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39" w:rsidRDefault="00F84A39" w:rsidP="00F84A39">
      <w:pPr>
        <w:rPr>
          <w:lang w:eastAsia="ar-SA"/>
        </w:rPr>
      </w:pPr>
      <w:bookmarkStart w:id="0" w:name="_Toc172342269"/>
      <w:bookmarkStart w:id="1" w:name="_Toc180757518"/>
    </w:p>
    <w:p w:rsidR="00086007" w:rsidRDefault="00086007" w:rsidP="00F84A39">
      <w:pPr>
        <w:rPr>
          <w:lang w:eastAsia="ar-SA"/>
        </w:rPr>
      </w:pPr>
    </w:p>
    <w:p w:rsidR="00086007" w:rsidRDefault="00F26737" w:rsidP="00F26737">
      <w:pPr>
        <w:jc w:val="center"/>
        <w:rPr>
          <w:lang w:eastAsia="ar-SA"/>
        </w:rPr>
      </w:pPr>
      <w:r w:rsidRPr="00F26737">
        <w:rPr>
          <w:noProof/>
          <w:lang w:val="en-US"/>
        </w:rPr>
        <w:drawing>
          <wp:inline distT="0" distB="0" distL="0" distR="0">
            <wp:extent cx="1457325" cy="1057275"/>
            <wp:effectExtent l="0" t="0" r="9525" b="9525"/>
            <wp:docPr id="7" name="Picture 7" descr="C:\Users\wb370127\Pictures\logo 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370127\Pictures\logo Ca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rsidR="00086007" w:rsidRDefault="00086007" w:rsidP="00F84A39">
      <w:pPr>
        <w:rPr>
          <w:lang w:eastAsia="ar-SA"/>
        </w:rPr>
      </w:pPr>
    </w:p>
    <w:p w:rsidR="00086007" w:rsidRPr="00A17E25" w:rsidRDefault="00547B8C" w:rsidP="00F84A39">
      <w:pPr>
        <w:rPr>
          <w:lang w:eastAsia="ar-SA"/>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-1147445</wp:posOffset>
                </wp:positionH>
                <wp:positionV relativeFrom="paragraph">
                  <wp:posOffset>189230</wp:posOffset>
                </wp:positionV>
                <wp:extent cx="7772400" cy="1838325"/>
                <wp:effectExtent l="76200" t="57150" r="95250" b="12382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3832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236C" id="Rectangle 16" o:spid="_x0000_s1026" style="position:absolute;margin-left:-90.35pt;margin-top:14.9pt;width:612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" fillcolor="#5b9bd5" strokecolor="#f2f2f2" strokeweight="3pt">
                <v:shadow on="t" color="#1f4d78" opacity=".5" offset="1pt,.74833mm"/>
                <v:textbox inset=",0,,0"/>
              </v:rect>
            </w:pict>
          </mc:Fallback>
        </mc:AlternateContent>
      </w:r>
    </w:p>
    <w:p w:rsidR="00F84A39" w:rsidRPr="00A17E25" w:rsidRDefault="00547B8C" w:rsidP="00F84A39">
      <w:pPr>
        <w:pStyle w:val="Footer"/>
        <w:jc w:val="cent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-246380</wp:posOffset>
                </wp:positionH>
                <wp:positionV relativeFrom="paragraph">
                  <wp:posOffset>144780</wp:posOffset>
                </wp:positionV>
                <wp:extent cx="6724650" cy="1703070"/>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1B" w:rsidRPr="00F84A39" w:rsidRDefault="0034021B" w:rsidP="00F84A39">
                            <w:pPr>
                              <w:jc w:val="center"/>
                              <w:rPr>
                                <w:b/>
                                <w:bCs/>
                                <w:caps/>
                                <w:color w:val="FFFFFF"/>
                                <w:sz w:val="36"/>
                                <w:szCs w:val="36"/>
                              </w:rPr>
                            </w:pPr>
                            <w:r>
                              <w:rPr>
                                <w:b/>
                                <w:bCs/>
                                <w:caps/>
                                <w:color w:val="FFFFFF"/>
                                <w:sz w:val="36"/>
                                <w:szCs w:val="36"/>
                              </w:rPr>
                              <w:t>COMMUNE DE CASABLANCA (CC)</w:t>
                            </w:r>
                          </w:p>
                          <w:p w:rsidR="0034021B" w:rsidRPr="00F84A39" w:rsidRDefault="0034021B" w:rsidP="00F84A39">
                            <w:pPr>
                              <w:jc w:val="center"/>
                              <w:rPr>
                                <w:b/>
                                <w:bCs/>
                                <w:caps/>
                                <w:color w:val="FFFFFF"/>
                                <w:sz w:val="36"/>
                                <w:szCs w:val="36"/>
                              </w:rPr>
                            </w:pPr>
                          </w:p>
                          <w:p w:rsidR="0034021B" w:rsidRPr="00F84A39" w:rsidRDefault="0034021B" w:rsidP="00F84A39">
                            <w:pPr>
                              <w:jc w:val="center"/>
                              <w:rPr>
                                <w:b/>
                                <w:bCs/>
                                <w:caps/>
                                <w:color w:val="FFFFFF"/>
                                <w:sz w:val="36"/>
                                <w:szCs w:val="36"/>
                              </w:rPr>
                            </w:pPr>
                            <w:r w:rsidRPr="00F84A39">
                              <w:rPr>
                                <w:b/>
                                <w:bCs/>
                                <w:caps/>
                                <w:color w:val="FFFFFF"/>
                                <w:sz w:val="36"/>
                                <w:szCs w:val="36"/>
                              </w:rPr>
                              <w:t xml:space="preserve">EVALUATION DE LA GESTION DES FINANCES PUBLIQUES </w:t>
                            </w:r>
                          </w:p>
                          <w:p w:rsidR="0034021B" w:rsidRPr="00F84A39" w:rsidRDefault="0034021B" w:rsidP="00F84A39">
                            <w:pPr>
                              <w:jc w:val="center"/>
                              <w:rPr>
                                <w:b/>
                                <w:bCs/>
                                <w:caps/>
                                <w:color w:val="FFFFFF"/>
                                <w:sz w:val="36"/>
                                <w:szCs w:val="36"/>
                              </w:rPr>
                            </w:pPr>
                          </w:p>
                          <w:p w:rsidR="0034021B" w:rsidRPr="00F84A39" w:rsidRDefault="0034021B" w:rsidP="00F84A39">
                            <w:pPr>
                              <w:jc w:val="center"/>
                              <w:rPr>
                                <w:b/>
                                <w:bCs/>
                                <w:caps/>
                                <w:color w:val="FFFFFF"/>
                                <w:sz w:val="36"/>
                                <w:szCs w:val="36"/>
                              </w:rPr>
                            </w:pPr>
                            <w:r>
                              <w:rPr>
                                <w:b/>
                                <w:bCs/>
                                <w:caps/>
                                <w:color w:val="FFFFFF"/>
                                <w:sz w:val="36"/>
                                <w:szCs w:val="36"/>
                              </w:rPr>
                              <w:t>RAPPORT PEFA SUR LA PERFORMANCE</w:t>
                            </w:r>
                          </w:p>
                          <w:p w:rsidR="0034021B" w:rsidRPr="00DE652A" w:rsidRDefault="0034021B" w:rsidP="00F84A39">
                            <w:pPr>
                              <w:jc w:val="center"/>
                              <w:rPr>
                                <w:b/>
                                <w:bCs/>
                                <w:caps/>
                                <w:color w:val="FFFFFF"/>
                                <w:sz w:val="40"/>
                                <w:szCs w:val="40"/>
                              </w:rPr>
                            </w:pPr>
                          </w:p>
                          <w:p w:rsidR="0034021B" w:rsidRPr="00DE652A" w:rsidRDefault="0034021B" w:rsidP="00F84A39">
                            <w:pPr>
                              <w:jc w:val="center"/>
                              <w:rPr>
                                <w:szCs w:val="5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9.4pt;margin-top:11.4pt;width:529.5pt;height:1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" filled="f" stroked="f">
                <v:textbox>
                  <w:txbxContent>
                    <w:p w:rsidR="0034021B" w:rsidRPr="00F84A39" w:rsidRDefault="0034021B" w:rsidP="00F84A39">
                      <w:pPr>
                        <w:jc w:val="center"/>
                        <w:rPr>
                          <w:b/>
                          <w:bCs/>
                          <w:caps/>
                          <w:color w:val="FFFFFF"/>
                          <w:sz w:val="36"/>
                          <w:szCs w:val="36"/>
                        </w:rPr>
                      </w:pPr>
                      <w:r>
                        <w:rPr>
                          <w:b/>
                          <w:bCs/>
                          <w:caps/>
                          <w:color w:val="FFFFFF"/>
                          <w:sz w:val="36"/>
                          <w:szCs w:val="36"/>
                        </w:rPr>
                        <w:t>COMMUNE DE CASABLANCA (CC)</w:t>
                      </w:r>
                    </w:p>
                    <w:p w:rsidR="0034021B" w:rsidRPr="00F84A39" w:rsidRDefault="0034021B" w:rsidP="00F84A39">
                      <w:pPr>
                        <w:jc w:val="center"/>
                        <w:rPr>
                          <w:b/>
                          <w:bCs/>
                          <w:caps/>
                          <w:color w:val="FFFFFF"/>
                          <w:sz w:val="36"/>
                          <w:szCs w:val="36"/>
                        </w:rPr>
                      </w:pPr>
                    </w:p>
                    <w:p w:rsidR="0034021B" w:rsidRPr="00F84A39" w:rsidRDefault="0034021B" w:rsidP="00F84A39">
                      <w:pPr>
                        <w:jc w:val="center"/>
                        <w:rPr>
                          <w:b/>
                          <w:bCs/>
                          <w:caps/>
                          <w:color w:val="FFFFFF"/>
                          <w:sz w:val="36"/>
                          <w:szCs w:val="36"/>
                        </w:rPr>
                      </w:pPr>
                      <w:r w:rsidRPr="00F84A39">
                        <w:rPr>
                          <w:b/>
                          <w:bCs/>
                          <w:caps/>
                          <w:color w:val="FFFFFF"/>
                          <w:sz w:val="36"/>
                          <w:szCs w:val="36"/>
                        </w:rPr>
                        <w:t xml:space="preserve">EVALUATION DE LA GESTION DES FINANCES PUBLIQUES </w:t>
                      </w:r>
                    </w:p>
                    <w:p w:rsidR="0034021B" w:rsidRPr="00F84A39" w:rsidRDefault="0034021B" w:rsidP="00F84A39">
                      <w:pPr>
                        <w:jc w:val="center"/>
                        <w:rPr>
                          <w:b/>
                          <w:bCs/>
                          <w:caps/>
                          <w:color w:val="FFFFFF"/>
                          <w:sz w:val="36"/>
                          <w:szCs w:val="36"/>
                        </w:rPr>
                      </w:pPr>
                    </w:p>
                    <w:p w:rsidR="0034021B" w:rsidRPr="00F84A39" w:rsidRDefault="0034021B" w:rsidP="00F84A39">
                      <w:pPr>
                        <w:jc w:val="center"/>
                        <w:rPr>
                          <w:b/>
                          <w:bCs/>
                          <w:caps/>
                          <w:color w:val="FFFFFF"/>
                          <w:sz w:val="36"/>
                          <w:szCs w:val="36"/>
                        </w:rPr>
                      </w:pPr>
                      <w:r>
                        <w:rPr>
                          <w:b/>
                          <w:bCs/>
                          <w:caps/>
                          <w:color w:val="FFFFFF"/>
                          <w:sz w:val="36"/>
                          <w:szCs w:val="36"/>
                        </w:rPr>
                        <w:t>RAPPORT PEFA SUR LA PERFORMANCE</w:t>
                      </w:r>
                    </w:p>
                    <w:p w:rsidR="0034021B" w:rsidRPr="00DE652A" w:rsidRDefault="0034021B" w:rsidP="00F84A39">
                      <w:pPr>
                        <w:jc w:val="center"/>
                        <w:rPr>
                          <w:b/>
                          <w:bCs/>
                          <w:caps/>
                          <w:color w:val="FFFFFF"/>
                          <w:sz w:val="40"/>
                          <w:szCs w:val="40"/>
                        </w:rPr>
                      </w:pPr>
                    </w:p>
                    <w:p w:rsidR="0034021B" w:rsidRPr="00DE652A" w:rsidRDefault="0034021B" w:rsidP="00F84A39">
                      <w:pPr>
                        <w:jc w:val="center"/>
                        <w:rPr>
                          <w:szCs w:val="52"/>
                        </w:rPr>
                      </w:pPr>
                    </w:p>
                  </w:txbxContent>
                </v:textbox>
              </v:shape>
            </w:pict>
          </mc:Fallback>
        </mc:AlternateContent>
      </w: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pStyle w:val="Footer"/>
        <w:jc w:val="center"/>
      </w:pPr>
    </w:p>
    <w:p w:rsidR="00F84A39" w:rsidRPr="00A17E25" w:rsidRDefault="00F84A39" w:rsidP="00F84A39">
      <w:pPr>
        <w:jc w:val="center"/>
      </w:pPr>
    </w:p>
    <w:p w:rsidR="00F84A39" w:rsidRPr="00A17E25" w:rsidRDefault="00F84A39" w:rsidP="00F84A39">
      <w:pPr>
        <w:jc w:val="center"/>
      </w:pPr>
    </w:p>
    <w:p w:rsidR="00F84A39" w:rsidRPr="00A17E25" w:rsidRDefault="00F84A39" w:rsidP="00F84A39">
      <w:pPr>
        <w:jc w:val="center"/>
      </w:pPr>
    </w:p>
    <w:p w:rsidR="00F84A39" w:rsidRPr="00A17E25" w:rsidRDefault="00F84A39" w:rsidP="00F84A39">
      <w:pPr>
        <w:jc w:val="center"/>
      </w:pPr>
    </w:p>
    <w:tbl>
      <w:tblPr>
        <w:tblW w:w="9675" w:type="dxa"/>
        <w:tblLook w:val="04A0" w:firstRow="1" w:lastRow="0" w:firstColumn="1" w:lastColumn="0" w:noHBand="0" w:noVBand="1"/>
      </w:tblPr>
      <w:tblGrid>
        <w:gridCol w:w="3426"/>
        <w:gridCol w:w="3225"/>
        <w:gridCol w:w="3024"/>
      </w:tblGrid>
      <w:tr w:rsidR="00F84A39" w:rsidRPr="00A17E25" w:rsidTr="00F84A39">
        <w:trPr>
          <w:trHeight w:val="1788"/>
        </w:trPr>
        <w:tc>
          <w:tcPr>
            <w:tcW w:w="3189" w:type="dxa"/>
          </w:tcPr>
          <w:p w:rsidR="00F84A39" w:rsidRPr="00A17E25" w:rsidRDefault="00086007" w:rsidP="00F84A39">
            <w:pPr>
              <w:jc w:val="center"/>
            </w:pPr>
            <w:r w:rsidRPr="00086007">
              <w:rPr>
                <w:noProof/>
                <w:lang w:val="en-US"/>
              </w:rPr>
              <w:drawing>
                <wp:inline distT="0" distB="0" distL="0" distR="0">
                  <wp:extent cx="2038350" cy="923414"/>
                  <wp:effectExtent l="0" t="0" r="0" b="0"/>
                  <wp:docPr id="6" name="Picture 6" descr="C:\Users\wb370127\Desktop\WBG Logo Vertical\WBG_Vertical_color\jpeg\WBG_Vertic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70127\Desktop\WBG Logo Vertical\WBG_Vertical_color\jpeg\WBG_Vertical-RGB-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792" cy="924973"/>
                          </a:xfrm>
                          <a:prstGeom prst="rect">
                            <a:avLst/>
                          </a:prstGeom>
                          <a:noFill/>
                          <a:ln>
                            <a:noFill/>
                          </a:ln>
                        </pic:spPr>
                      </pic:pic>
                    </a:graphicData>
                  </a:graphic>
                </wp:inline>
              </w:drawing>
            </w:r>
          </w:p>
          <w:p w:rsidR="00F84A39" w:rsidRPr="00A17E25" w:rsidRDefault="00F84A39" w:rsidP="00F84A39">
            <w:pPr>
              <w:tabs>
                <w:tab w:val="left" w:pos="2055"/>
              </w:tabs>
            </w:pPr>
          </w:p>
        </w:tc>
        <w:tc>
          <w:tcPr>
            <w:tcW w:w="3301" w:type="dxa"/>
          </w:tcPr>
          <w:p w:rsidR="00F84A39" w:rsidRPr="00A17E25" w:rsidRDefault="00145C88" w:rsidP="00F84A39">
            <w:pPr>
              <w:jc w:val="center"/>
            </w:pPr>
            <w:r w:rsidRPr="00A17E25">
              <w:rPr>
                <w:noProof/>
                <w:lang w:val="en-US"/>
              </w:rPr>
              <w:drawing>
                <wp:anchor distT="0" distB="0" distL="114300" distR="114300" simplePos="0" relativeHeight="251655680" behindDoc="1" locked="0" layoutInCell="1" allowOverlap="1">
                  <wp:simplePos x="0" y="0"/>
                  <wp:positionH relativeFrom="column">
                    <wp:posOffset>91440</wp:posOffset>
                  </wp:positionH>
                  <wp:positionV relativeFrom="paragraph">
                    <wp:posOffset>88265</wp:posOffset>
                  </wp:positionV>
                  <wp:extent cx="1508125" cy="471170"/>
                  <wp:effectExtent l="0" t="0" r="0" b="5080"/>
                  <wp:wrapTight wrapText="bothSides">
                    <wp:wrapPolygon edited="0">
                      <wp:start x="0" y="0"/>
                      <wp:lineTo x="0" y="20960"/>
                      <wp:lineTo x="21282" y="20960"/>
                      <wp:lineTo x="21282" y="0"/>
                      <wp:lineTo x="0" y="0"/>
                    </wp:wrapPolygon>
                  </wp:wrapTight>
                  <wp:docPr id="236" name="Picture 1" descr="cid:0__=8FBBF7C2DF9A527B8f9e8a93df9386909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8FBBF7C2DF9A527B8f9e8a93df93869091@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08125" cy="471170"/>
                          </a:xfrm>
                          <a:prstGeom prst="rect">
                            <a:avLst/>
                          </a:prstGeom>
                          <a:noFill/>
                          <a:ln>
                            <a:noFill/>
                          </a:ln>
                        </pic:spPr>
                      </pic:pic>
                    </a:graphicData>
                  </a:graphic>
                </wp:anchor>
              </w:drawing>
            </w:r>
          </w:p>
        </w:tc>
        <w:tc>
          <w:tcPr>
            <w:tcW w:w="3184" w:type="dxa"/>
          </w:tcPr>
          <w:p w:rsidR="00F84A39" w:rsidRPr="00A17E25" w:rsidRDefault="00145C88" w:rsidP="00F84A39">
            <w:pPr>
              <w:jc w:val="center"/>
            </w:pPr>
            <w:r w:rsidRPr="00A17E25">
              <w:rPr>
                <w:noProof/>
                <w:lang w:val="en-US"/>
              </w:rPr>
              <w:drawing>
                <wp:anchor distT="0" distB="0" distL="114300" distR="114300" simplePos="0" relativeHeight="251658752" behindDoc="1" locked="0" layoutInCell="1" allowOverlap="1">
                  <wp:simplePos x="0" y="0"/>
                  <wp:positionH relativeFrom="column">
                    <wp:posOffset>742315</wp:posOffset>
                  </wp:positionH>
                  <wp:positionV relativeFrom="paragraph">
                    <wp:posOffset>88265</wp:posOffset>
                  </wp:positionV>
                  <wp:extent cx="939165" cy="817880"/>
                  <wp:effectExtent l="0" t="0" r="0" b="1270"/>
                  <wp:wrapTight wrapText="bothSides">
                    <wp:wrapPolygon edited="0">
                      <wp:start x="0" y="0"/>
                      <wp:lineTo x="0" y="21130"/>
                      <wp:lineTo x="21030" y="21130"/>
                      <wp:lineTo x="21030" y="0"/>
                      <wp:lineTo x="0" y="0"/>
                    </wp:wrapPolygon>
                  </wp:wrapTight>
                  <wp:docPr id="235" name="Picture 5" descr="AFD_rvb_v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D_rvb_v2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817880"/>
                          </a:xfrm>
                          <a:prstGeom prst="rect">
                            <a:avLst/>
                          </a:prstGeom>
                          <a:noFill/>
                          <a:ln>
                            <a:noFill/>
                          </a:ln>
                        </pic:spPr>
                      </pic:pic>
                    </a:graphicData>
                  </a:graphic>
                </wp:anchor>
              </w:drawing>
            </w:r>
          </w:p>
        </w:tc>
      </w:tr>
      <w:tr w:rsidR="00F84A39" w:rsidRPr="00A17E25" w:rsidTr="00F84A39">
        <w:trPr>
          <w:trHeight w:val="1788"/>
        </w:trPr>
        <w:tc>
          <w:tcPr>
            <w:tcW w:w="9675" w:type="dxa"/>
            <w:gridSpan w:val="3"/>
          </w:tcPr>
          <w:p w:rsidR="00F84A39" w:rsidRPr="00A17E25" w:rsidRDefault="00F84A39" w:rsidP="00F84A39">
            <w:pPr>
              <w:jc w:val="center"/>
            </w:pPr>
          </w:p>
          <w:p w:rsidR="00F84A39" w:rsidRPr="00A17E25" w:rsidRDefault="00F84A39" w:rsidP="00F84A39">
            <w:pPr>
              <w:jc w:val="center"/>
              <w:rPr>
                <w:sz w:val="20"/>
                <w:szCs w:val="20"/>
              </w:rPr>
            </w:pPr>
          </w:p>
          <w:p w:rsidR="00F84A39" w:rsidRPr="00A17E25" w:rsidRDefault="00F84A39" w:rsidP="00F84A39">
            <w:pPr>
              <w:jc w:val="center"/>
              <w:rPr>
                <w:sz w:val="20"/>
                <w:szCs w:val="20"/>
              </w:rPr>
            </w:pPr>
          </w:p>
          <w:p w:rsidR="00F84A39" w:rsidRPr="00A17E25" w:rsidRDefault="00F84A39" w:rsidP="00F84A39">
            <w:pPr>
              <w:jc w:val="center"/>
              <w:rPr>
                <w:sz w:val="20"/>
                <w:szCs w:val="20"/>
              </w:rPr>
            </w:pPr>
          </w:p>
          <w:p w:rsidR="00F84A39" w:rsidRPr="00A17E25" w:rsidRDefault="00F84A39" w:rsidP="00F84A39">
            <w:pPr>
              <w:jc w:val="center"/>
              <w:rPr>
                <w:sz w:val="20"/>
                <w:szCs w:val="20"/>
              </w:rPr>
            </w:pPr>
            <w:bookmarkStart w:id="2" w:name="_GoBack"/>
            <w:bookmarkEnd w:id="2"/>
          </w:p>
          <w:p w:rsidR="00F84A39" w:rsidRPr="00A17E25" w:rsidRDefault="00F84A39" w:rsidP="00F84A39">
            <w:pPr>
              <w:jc w:val="center"/>
              <w:rPr>
                <w:sz w:val="20"/>
                <w:szCs w:val="20"/>
              </w:rPr>
            </w:pPr>
          </w:p>
          <w:p w:rsidR="00F84A39" w:rsidRPr="00A17E25" w:rsidRDefault="00F84A39" w:rsidP="00F84A39">
            <w:pPr>
              <w:jc w:val="center"/>
              <w:rPr>
                <w:sz w:val="20"/>
                <w:szCs w:val="20"/>
              </w:rPr>
            </w:pPr>
          </w:p>
          <w:p w:rsidR="00F84A39" w:rsidRPr="00A17E25" w:rsidRDefault="00F84A39" w:rsidP="00F84A39">
            <w:pPr>
              <w:jc w:val="center"/>
              <w:rPr>
                <w:sz w:val="20"/>
                <w:szCs w:val="20"/>
              </w:rPr>
            </w:pPr>
          </w:p>
          <w:p w:rsidR="00F84A39" w:rsidRPr="00A17E25" w:rsidRDefault="00F84A39" w:rsidP="00F84A39">
            <w:pPr>
              <w:jc w:val="center"/>
              <w:rPr>
                <w:sz w:val="20"/>
                <w:szCs w:val="20"/>
              </w:rPr>
            </w:pPr>
          </w:p>
          <w:p w:rsidR="00F84A39" w:rsidRPr="00A17E25" w:rsidRDefault="00145C88" w:rsidP="00F84A39">
            <w:pPr>
              <w:jc w:val="center"/>
              <w:rPr>
                <w:sz w:val="20"/>
                <w:szCs w:val="20"/>
              </w:rPr>
            </w:pPr>
            <w:r w:rsidRPr="00A17E25">
              <w:rPr>
                <w:noProof/>
                <w:lang w:val="en-US"/>
              </w:rPr>
              <w:drawing>
                <wp:inline distT="0" distB="0" distL="0" distR="0">
                  <wp:extent cx="1257300" cy="714375"/>
                  <wp:effectExtent l="0" t="0" r="0" b="9525"/>
                  <wp:docPr id="3" name="Imagen 4" descr="Logo ACE-A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CE-AE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p w:rsidR="00F84A39" w:rsidRPr="00A17E25" w:rsidRDefault="00F84A39" w:rsidP="00F84A39">
            <w:pPr>
              <w:jc w:val="center"/>
            </w:pPr>
            <w:r w:rsidRPr="00A17E25">
              <w:rPr>
                <w:sz w:val="20"/>
                <w:szCs w:val="20"/>
              </w:rPr>
              <w:t>Projet mis en œuvre par ACE International Consultants</w:t>
            </w:r>
          </w:p>
        </w:tc>
      </w:tr>
    </w:tbl>
    <w:p w:rsidR="00F84A39" w:rsidRPr="00A17E25" w:rsidRDefault="00F84A39" w:rsidP="00374350">
      <w:pPr>
        <w:jc w:val="center"/>
        <w:rPr>
          <w:rFonts w:ascii="Arial" w:hAnsi="Arial"/>
          <w:b/>
        </w:rPr>
      </w:pPr>
      <w:bookmarkStart w:id="3" w:name="_Toc172888311"/>
      <w:bookmarkStart w:id="4" w:name="_Toc174348908"/>
      <w:bookmarkStart w:id="5" w:name="_Toc174357418"/>
      <w:bookmarkStart w:id="6" w:name="_Toc180757507"/>
      <w:bookmarkStart w:id="7" w:name="_Toc215818886"/>
      <w:bookmarkStart w:id="8" w:name="_Toc216878472"/>
      <w:bookmarkStart w:id="9" w:name="_Toc217142298"/>
      <w:bookmarkStart w:id="10" w:name="_Toc217142679"/>
      <w:bookmarkStart w:id="11" w:name="_Toc217144865"/>
      <w:bookmarkStart w:id="12" w:name="_Toc217146104"/>
      <w:bookmarkStart w:id="13" w:name="_Toc221276200"/>
      <w:bookmarkStart w:id="14" w:name="_Toc221350210"/>
      <w:bookmarkStart w:id="15" w:name="_Toc253746876"/>
      <w:bookmarkStart w:id="16" w:name="_Toc255740410"/>
      <w:bookmarkStart w:id="17" w:name="_Toc260257248"/>
      <w:bookmarkStart w:id="18" w:name="_Toc260257961"/>
      <w:bookmarkStart w:id="19" w:name="_Toc260258454"/>
      <w:bookmarkStart w:id="20" w:name="_Toc311908558"/>
      <w:bookmarkStart w:id="21" w:name="_Toc316150405"/>
    </w:p>
    <w:p w:rsidR="00374350" w:rsidRPr="00592C7E" w:rsidRDefault="00592C7E" w:rsidP="00374350">
      <w:pPr>
        <w:jc w:val="center"/>
        <w:rPr>
          <w:rFonts w:ascii="Arial" w:hAnsi="Arial"/>
          <w:b/>
          <w:sz w:val="28"/>
          <w:szCs w:val="28"/>
        </w:rPr>
      </w:pPr>
      <w:r w:rsidRPr="00592C7E">
        <w:rPr>
          <w:rFonts w:ascii="Arial" w:hAnsi="Arial"/>
          <w:b/>
          <w:sz w:val="28"/>
          <w:szCs w:val="28"/>
        </w:rPr>
        <w:t xml:space="preserve">Version du </w:t>
      </w:r>
      <w:r w:rsidR="00AE743D">
        <w:rPr>
          <w:rFonts w:ascii="Arial" w:hAnsi="Arial"/>
          <w:b/>
          <w:sz w:val="28"/>
          <w:szCs w:val="28"/>
        </w:rPr>
        <w:t>29</w:t>
      </w:r>
      <w:r w:rsidRPr="00592C7E">
        <w:rPr>
          <w:rFonts w:ascii="Arial" w:hAnsi="Arial"/>
          <w:b/>
          <w:sz w:val="28"/>
          <w:szCs w:val="28"/>
        </w:rPr>
        <w:t xml:space="preserve"> </w:t>
      </w:r>
      <w:r w:rsidR="00F26737">
        <w:rPr>
          <w:rFonts w:ascii="Arial" w:hAnsi="Arial"/>
          <w:b/>
          <w:sz w:val="28"/>
          <w:szCs w:val="28"/>
        </w:rPr>
        <w:t>mars 2016</w:t>
      </w:r>
    </w:p>
    <w:p w:rsidR="00374350" w:rsidRPr="00A17E25" w:rsidRDefault="00374350" w:rsidP="00374350">
      <w:pPr>
        <w:jc w:val="center"/>
        <w:rPr>
          <w:rFonts w:ascii="Gill Sans" w:hAnsi="Gill Sans" w:cs="Arial"/>
          <w:b/>
        </w:rPr>
      </w:pPr>
    </w:p>
    <w:p w:rsidR="00374350" w:rsidRPr="00A17E25" w:rsidRDefault="001126DF" w:rsidP="00374350">
      <w:pPr>
        <w:jc w:val="center"/>
        <w:rPr>
          <w:rFonts w:ascii="Arial" w:hAnsi="Arial" w:cs="Arial"/>
          <w:bCs/>
        </w:rPr>
      </w:pPr>
      <w:r w:rsidRPr="00A17E25">
        <w:rPr>
          <w:rFonts w:ascii="Arial" w:hAnsi="Arial" w:cs="Arial"/>
          <w:bCs/>
        </w:rPr>
        <w:t xml:space="preserve">Rédigée par </w:t>
      </w:r>
      <w:r w:rsidR="008B0301" w:rsidRPr="00A17E25">
        <w:rPr>
          <w:rFonts w:ascii="Arial" w:hAnsi="Arial" w:cs="Arial"/>
          <w:bCs/>
        </w:rPr>
        <w:t>Nicolas Lokpe</w:t>
      </w:r>
      <w:r w:rsidRPr="00A17E25">
        <w:rPr>
          <w:rFonts w:ascii="Arial" w:hAnsi="Arial" w:cs="Arial"/>
          <w:bCs/>
        </w:rPr>
        <w:t xml:space="preserve"> et Anas Abou El Mikias</w:t>
      </w:r>
      <w:r w:rsidR="00FD3FAF">
        <w:rPr>
          <w:rFonts w:ascii="Arial" w:hAnsi="Arial" w:cs="Arial"/>
          <w:bCs/>
        </w:rPr>
        <w:t xml:space="preserve"> </w:t>
      </w:r>
    </w:p>
    <w:p w:rsidR="00374350" w:rsidRPr="00A17E25" w:rsidRDefault="00374350" w:rsidP="00374350">
      <w:pPr>
        <w:jc w:val="center"/>
        <w:rPr>
          <w:rFonts w:ascii="Arial" w:hAnsi="Arial" w:cs="Arial"/>
          <w:b/>
        </w:rPr>
      </w:pPr>
    </w:p>
    <w:p w:rsidR="00374350" w:rsidRPr="00A17E25" w:rsidRDefault="00374350" w:rsidP="00374350">
      <w:pPr>
        <w:jc w:val="center"/>
        <w:rPr>
          <w:rFonts w:ascii="Arial" w:hAnsi="Arial"/>
        </w:rPr>
      </w:pPr>
    </w:p>
    <w:p w:rsidR="0047447E" w:rsidRDefault="0047447E">
      <w:pPr>
        <w:pStyle w:val="Heading1"/>
        <w:jc w:val="center"/>
        <w:rPr>
          <w:sz w:val="28"/>
          <w:szCs w:val="28"/>
        </w:rPr>
      </w:pPr>
      <w:bookmarkStart w:id="22" w:name="_Toc412839418"/>
    </w:p>
    <w:p w:rsidR="0047447E" w:rsidRDefault="0047447E">
      <w:pPr>
        <w:pStyle w:val="Heading1"/>
        <w:jc w:val="center"/>
        <w:rPr>
          <w:sz w:val="28"/>
          <w:szCs w:val="28"/>
        </w:rPr>
      </w:pPr>
    </w:p>
    <w:p w:rsidR="0047447E" w:rsidRDefault="0047447E">
      <w:pPr>
        <w:pStyle w:val="Heading1"/>
        <w:jc w:val="center"/>
        <w:rPr>
          <w:sz w:val="28"/>
          <w:szCs w:val="28"/>
        </w:rPr>
      </w:pPr>
    </w:p>
    <w:p w:rsidR="0047447E" w:rsidRDefault="0047447E">
      <w:pPr>
        <w:pStyle w:val="Heading1"/>
        <w:jc w:val="center"/>
        <w:rPr>
          <w:sz w:val="28"/>
          <w:szCs w:val="28"/>
        </w:rPr>
      </w:pPr>
    </w:p>
    <w:p w:rsidR="0047447E" w:rsidRDefault="0047447E">
      <w:pPr>
        <w:pStyle w:val="Heading1"/>
        <w:jc w:val="center"/>
        <w:rPr>
          <w:sz w:val="28"/>
          <w:szCs w:val="28"/>
        </w:rPr>
      </w:pPr>
    </w:p>
    <w:p w:rsidR="0047447E" w:rsidRDefault="0047447E">
      <w:pPr>
        <w:pStyle w:val="Heading1"/>
        <w:jc w:val="center"/>
        <w:rPr>
          <w:sz w:val="28"/>
          <w:szCs w:val="28"/>
        </w:rPr>
      </w:pPr>
    </w:p>
    <w:p w:rsidR="00313821" w:rsidRPr="00A17E25" w:rsidRDefault="00313821">
      <w:pPr>
        <w:pStyle w:val="Heading1"/>
        <w:jc w:val="center"/>
        <w:rPr>
          <w:sz w:val="28"/>
          <w:szCs w:val="28"/>
        </w:rPr>
      </w:pPr>
      <w:bookmarkStart w:id="23" w:name="_Toc434916092"/>
      <w:bookmarkStart w:id="24" w:name="_Toc434918304"/>
      <w:r w:rsidRPr="00A17E25">
        <w:rPr>
          <w:sz w:val="28"/>
          <w:szCs w:val="28"/>
        </w:rPr>
        <w:t>Equivalence Monétaire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359DF" w:rsidRPr="00A17E25" w:rsidRDefault="00D359DF">
      <w:pPr>
        <w:jc w:val="center"/>
        <w:rPr>
          <w:rFonts w:ascii="Arial" w:hAnsi="Arial" w:cs="Arial"/>
        </w:rPr>
      </w:pPr>
    </w:p>
    <w:p w:rsidR="00313821" w:rsidRPr="00A17E25" w:rsidRDefault="00313821">
      <w:pPr>
        <w:jc w:val="center"/>
        <w:rPr>
          <w:rFonts w:ascii="Arial" w:hAnsi="Arial" w:cs="Arial"/>
        </w:rPr>
      </w:pPr>
      <w:r w:rsidRPr="00A17E25">
        <w:rPr>
          <w:rFonts w:ascii="Arial" w:hAnsi="Arial" w:cs="Arial"/>
        </w:rPr>
        <w:t xml:space="preserve">Unité monétaire : </w:t>
      </w:r>
      <w:r w:rsidR="00F95C41" w:rsidRPr="00A17E25">
        <w:rPr>
          <w:rFonts w:ascii="Arial" w:hAnsi="Arial" w:cs="Arial"/>
        </w:rPr>
        <w:t>Dirham Marocain</w:t>
      </w:r>
      <w:r w:rsidR="00FD071E" w:rsidRPr="00A17E25">
        <w:rPr>
          <w:rFonts w:ascii="Arial" w:hAnsi="Arial" w:cs="Arial"/>
        </w:rPr>
        <w:t xml:space="preserve"> (MAD)</w:t>
      </w:r>
    </w:p>
    <w:p w:rsidR="00D359DF" w:rsidRPr="00A17E25" w:rsidRDefault="00D359DF">
      <w:pPr>
        <w:jc w:val="center"/>
        <w:rPr>
          <w:rFonts w:ascii="Arial" w:hAnsi="Arial" w:cs="Arial"/>
          <w:sz w:val="22"/>
          <w:szCs w:val="22"/>
        </w:rPr>
      </w:pPr>
      <w:r w:rsidRPr="00A17E25">
        <w:rPr>
          <w:rFonts w:ascii="Arial" w:hAnsi="Arial" w:cs="Arial"/>
          <w:sz w:val="22"/>
          <w:szCs w:val="22"/>
        </w:rPr>
        <w:t xml:space="preserve">(Au </w:t>
      </w:r>
      <w:r w:rsidR="00990B9E">
        <w:rPr>
          <w:rFonts w:ascii="Arial" w:hAnsi="Arial" w:cs="Arial"/>
          <w:sz w:val="22"/>
          <w:szCs w:val="22"/>
        </w:rPr>
        <w:t>07 novembre</w:t>
      </w:r>
      <w:r w:rsidRPr="00A17E25">
        <w:rPr>
          <w:rFonts w:ascii="Arial" w:hAnsi="Arial" w:cs="Arial"/>
          <w:sz w:val="22"/>
          <w:szCs w:val="22"/>
        </w:rPr>
        <w:t xml:space="preserve"> 2015)</w:t>
      </w:r>
    </w:p>
    <w:p w:rsidR="00D359DF" w:rsidRPr="00A17E25" w:rsidRDefault="00D359DF">
      <w:pPr>
        <w:jc w:val="center"/>
        <w:rPr>
          <w:rFonts w:ascii="Arial" w:hAnsi="Arial" w:cs="Arial"/>
          <w:sz w:val="22"/>
          <w:szCs w:val="22"/>
        </w:rPr>
      </w:pPr>
    </w:p>
    <w:p w:rsidR="00313821" w:rsidRPr="00A17E25" w:rsidRDefault="00313821">
      <w:pPr>
        <w:jc w:val="center"/>
        <w:rPr>
          <w:rFonts w:ascii="Arial" w:hAnsi="Arial" w:cs="Arial"/>
          <w:sz w:val="22"/>
          <w:szCs w:val="22"/>
        </w:rPr>
      </w:pPr>
      <w:r w:rsidRPr="00A17E25">
        <w:rPr>
          <w:rFonts w:ascii="Arial" w:hAnsi="Arial" w:cs="Arial"/>
          <w:sz w:val="22"/>
          <w:szCs w:val="22"/>
        </w:rPr>
        <w:t>1 Euro =</w:t>
      </w:r>
      <w:r w:rsidR="00D359DF" w:rsidRPr="00A17E25">
        <w:rPr>
          <w:rFonts w:ascii="Arial" w:hAnsi="Arial" w:cs="Arial"/>
          <w:sz w:val="22"/>
          <w:szCs w:val="22"/>
        </w:rPr>
        <w:t>10,</w:t>
      </w:r>
      <w:r w:rsidR="003C030B" w:rsidRPr="00A17E25">
        <w:rPr>
          <w:rFonts w:ascii="Arial" w:hAnsi="Arial" w:cs="Arial"/>
          <w:sz w:val="22"/>
          <w:szCs w:val="22"/>
        </w:rPr>
        <w:t>6</w:t>
      </w:r>
      <w:r w:rsidR="00990B9E">
        <w:rPr>
          <w:rFonts w:ascii="Arial" w:hAnsi="Arial" w:cs="Arial"/>
          <w:sz w:val="22"/>
          <w:szCs w:val="22"/>
        </w:rPr>
        <w:t xml:space="preserve">99 </w:t>
      </w:r>
      <w:r w:rsidR="00CF3BBC" w:rsidRPr="00A17E25">
        <w:rPr>
          <w:rFonts w:ascii="Arial" w:hAnsi="Arial" w:cs="Arial"/>
          <w:sz w:val="22"/>
          <w:szCs w:val="22"/>
        </w:rPr>
        <w:t>MAD</w:t>
      </w:r>
    </w:p>
    <w:p w:rsidR="00313821" w:rsidRPr="00A17E25" w:rsidRDefault="00313821">
      <w:pPr>
        <w:jc w:val="center"/>
        <w:rPr>
          <w:rFonts w:ascii="Arial" w:hAnsi="Arial" w:cs="Arial"/>
          <w:sz w:val="22"/>
          <w:szCs w:val="22"/>
        </w:rPr>
      </w:pPr>
      <w:r w:rsidRPr="00A17E25">
        <w:rPr>
          <w:rFonts w:ascii="Arial" w:hAnsi="Arial" w:cs="Arial"/>
          <w:sz w:val="22"/>
          <w:szCs w:val="22"/>
        </w:rPr>
        <w:t xml:space="preserve">1 US $ = </w:t>
      </w:r>
      <w:r w:rsidR="00990B9E">
        <w:rPr>
          <w:rFonts w:ascii="Arial" w:hAnsi="Arial" w:cs="Arial"/>
          <w:sz w:val="22"/>
          <w:szCs w:val="22"/>
        </w:rPr>
        <w:t xml:space="preserve">9,964 </w:t>
      </w:r>
      <w:r w:rsidR="00CF3BBC" w:rsidRPr="00A17E25">
        <w:rPr>
          <w:rFonts w:ascii="Arial" w:hAnsi="Arial" w:cs="Arial"/>
          <w:sz w:val="22"/>
          <w:szCs w:val="22"/>
        </w:rPr>
        <w:t>MAD</w:t>
      </w:r>
    </w:p>
    <w:p w:rsidR="00313821" w:rsidRPr="00A17E25" w:rsidRDefault="00313821">
      <w:pPr>
        <w:rPr>
          <w:rFonts w:ascii="Arial" w:hAnsi="Arial" w:cs="Arial"/>
        </w:rPr>
      </w:pPr>
    </w:p>
    <w:p w:rsidR="00FC55ED" w:rsidRPr="00A17E25" w:rsidRDefault="00FC55ED">
      <w:pPr>
        <w:rPr>
          <w:rFonts w:ascii="Arial" w:hAnsi="Arial" w:cs="Arial"/>
        </w:rPr>
      </w:pPr>
    </w:p>
    <w:p w:rsidR="00313821" w:rsidRPr="00A17E25" w:rsidRDefault="00313821">
      <w:pPr>
        <w:jc w:val="center"/>
        <w:rPr>
          <w:rFonts w:ascii="Arial" w:hAnsi="Arial" w:cs="Arial"/>
          <w:b/>
          <w:sz w:val="28"/>
          <w:szCs w:val="28"/>
        </w:rPr>
      </w:pPr>
      <w:r w:rsidRPr="00A17E25">
        <w:rPr>
          <w:rFonts w:ascii="Arial" w:hAnsi="Arial" w:cs="Arial"/>
          <w:b/>
          <w:sz w:val="28"/>
          <w:szCs w:val="28"/>
        </w:rPr>
        <w:t>Exercice financier de la Ville</w:t>
      </w:r>
    </w:p>
    <w:p w:rsidR="00313821" w:rsidRPr="00A17E25" w:rsidRDefault="00313821">
      <w:pPr>
        <w:jc w:val="center"/>
        <w:rPr>
          <w:rFonts w:ascii="Arial" w:hAnsi="Arial" w:cs="Arial"/>
          <w:sz w:val="22"/>
          <w:szCs w:val="22"/>
        </w:rPr>
      </w:pPr>
      <w:r w:rsidRPr="00A17E25">
        <w:rPr>
          <w:rFonts w:ascii="Arial" w:hAnsi="Arial" w:cs="Arial"/>
          <w:sz w:val="22"/>
          <w:szCs w:val="22"/>
        </w:rPr>
        <w:t>1 janvier  -  31 décembre</w:t>
      </w:r>
    </w:p>
    <w:p w:rsidR="00FC55ED" w:rsidRPr="00A17E25" w:rsidRDefault="00FC55ED" w:rsidP="00FC55ED"/>
    <w:p w:rsidR="00313821" w:rsidRPr="00A17E25" w:rsidRDefault="00313821">
      <w:pPr>
        <w:pStyle w:val="Heading1"/>
        <w:jc w:val="center"/>
        <w:rPr>
          <w:sz w:val="28"/>
          <w:szCs w:val="28"/>
        </w:rPr>
      </w:pPr>
      <w:bookmarkStart w:id="25" w:name="_Toc172888312"/>
      <w:bookmarkStart w:id="26" w:name="_Toc174348909"/>
      <w:bookmarkStart w:id="27" w:name="_Toc174357419"/>
      <w:bookmarkStart w:id="28" w:name="_Toc180757508"/>
      <w:bookmarkStart w:id="29" w:name="_Toc215492652"/>
      <w:bookmarkStart w:id="30" w:name="_Toc215818887"/>
      <w:bookmarkStart w:id="31" w:name="_Toc216878473"/>
      <w:bookmarkStart w:id="32" w:name="_Toc217142299"/>
      <w:bookmarkStart w:id="33" w:name="_Toc217142680"/>
      <w:bookmarkStart w:id="34" w:name="_Toc217144866"/>
      <w:bookmarkStart w:id="35" w:name="_Toc217146105"/>
      <w:bookmarkStart w:id="36" w:name="_Toc221276201"/>
      <w:bookmarkStart w:id="37" w:name="_Toc221350211"/>
      <w:bookmarkStart w:id="38" w:name="_Toc253746877"/>
      <w:bookmarkStart w:id="39" w:name="_Toc255740411"/>
      <w:bookmarkStart w:id="40" w:name="_Toc260257249"/>
      <w:bookmarkStart w:id="41" w:name="_Toc260257962"/>
      <w:bookmarkStart w:id="42" w:name="_Toc260258455"/>
      <w:bookmarkStart w:id="43" w:name="_Toc311908559"/>
      <w:bookmarkStart w:id="44" w:name="_Toc316150406"/>
      <w:bookmarkStart w:id="45" w:name="_Toc412839419"/>
      <w:bookmarkStart w:id="46" w:name="_Toc434916093"/>
      <w:bookmarkStart w:id="47" w:name="_Toc434918305"/>
      <w:r w:rsidRPr="00A17E25">
        <w:rPr>
          <w:sz w:val="28"/>
          <w:szCs w:val="28"/>
        </w:rPr>
        <w:t>Poids et mesures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13821" w:rsidRPr="00A17E25" w:rsidRDefault="00313821">
      <w:pPr>
        <w:jc w:val="center"/>
        <w:rPr>
          <w:rFonts w:ascii="Arial" w:hAnsi="Arial" w:cs="Arial"/>
          <w:sz w:val="22"/>
          <w:szCs w:val="22"/>
        </w:rPr>
      </w:pPr>
      <w:r w:rsidRPr="00A17E25">
        <w:rPr>
          <w:rFonts w:ascii="Arial" w:hAnsi="Arial" w:cs="Arial"/>
          <w:sz w:val="22"/>
          <w:szCs w:val="22"/>
        </w:rPr>
        <w:t>Système métrique</w:t>
      </w:r>
    </w:p>
    <w:p w:rsidR="00FC55ED" w:rsidRPr="00A17E25" w:rsidRDefault="00FC55ED"/>
    <w:p w:rsidR="00FC55ED" w:rsidRPr="00A17E25" w:rsidRDefault="00FC55ED" w:rsidP="00FC55ED">
      <w:pPr>
        <w:autoSpaceDE w:val="0"/>
        <w:autoSpaceDN w:val="0"/>
        <w:adjustRightInd w:val="0"/>
        <w:spacing w:after="120"/>
        <w:jc w:val="both"/>
        <w:rPr>
          <w:rFonts w:ascii="Arial" w:hAnsi="Arial"/>
        </w:rPr>
      </w:pPr>
    </w:p>
    <w:p w:rsidR="00FC55ED" w:rsidRPr="00A17E25" w:rsidRDefault="00FC55ED" w:rsidP="00FC55ED">
      <w:pPr>
        <w:autoSpaceDE w:val="0"/>
        <w:autoSpaceDN w:val="0"/>
        <w:adjustRightInd w:val="0"/>
        <w:spacing w:after="120"/>
        <w:jc w:val="both"/>
        <w:rPr>
          <w:rFonts w:ascii="Arial" w:hAnsi="Arial"/>
          <w:sz w:val="22"/>
          <w:szCs w:val="22"/>
        </w:rPr>
      </w:pPr>
    </w:p>
    <w:p w:rsidR="00FC55ED" w:rsidRPr="00A17E25" w:rsidRDefault="00FC55ED" w:rsidP="00FC55ED">
      <w:pPr>
        <w:autoSpaceDE w:val="0"/>
        <w:autoSpaceDN w:val="0"/>
        <w:adjustRightInd w:val="0"/>
        <w:spacing w:after="120"/>
        <w:jc w:val="both"/>
        <w:rPr>
          <w:rFonts w:ascii="Arial" w:hAnsi="Arial"/>
          <w:sz w:val="22"/>
          <w:szCs w:val="22"/>
        </w:rPr>
      </w:pPr>
    </w:p>
    <w:p w:rsidR="00FC55ED" w:rsidRPr="00A17E25" w:rsidRDefault="00FC55ED" w:rsidP="00FC55ED">
      <w:pPr>
        <w:autoSpaceDE w:val="0"/>
        <w:autoSpaceDN w:val="0"/>
        <w:adjustRightInd w:val="0"/>
        <w:spacing w:after="120"/>
        <w:jc w:val="both"/>
        <w:rPr>
          <w:rFonts w:ascii="Arial" w:hAnsi="Arial"/>
          <w:sz w:val="22"/>
          <w:szCs w:val="22"/>
        </w:rPr>
      </w:pPr>
    </w:p>
    <w:p w:rsidR="00FC55ED" w:rsidRPr="00A17E25" w:rsidRDefault="00FC55ED" w:rsidP="00FC55ED">
      <w:pPr>
        <w:autoSpaceDE w:val="0"/>
        <w:autoSpaceDN w:val="0"/>
        <w:adjustRightInd w:val="0"/>
        <w:spacing w:after="120"/>
        <w:jc w:val="both"/>
        <w:rPr>
          <w:rFonts w:ascii="Arial" w:hAnsi="Arial"/>
          <w:sz w:val="22"/>
          <w:szCs w:val="22"/>
        </w:rPr>
      </w:pPr>
    </w:p>
    <w:p w:rsidR="00FC55ED" w:rsidRPr="00A17E25" w:rsidRDefault="00FC55ED" w:rsidP="00FC55ED">
      <w:pPr>
        <w:autoSpaceDE w:val="0"/>
        <w:autoSpaceDN w:val="0"/>
        <w:adjustRightInd w:val="0"/>
        <w:spacing w:after="120"/>
        <w:jc w:val="both"/>
        <w:rPr>
          <w:rFonts w:ascii="Arial" w:hAnsi="Arial"/>
          <w:sz w:val="22"/>
          <w:szCs w:val="22"/>
        </w:rPr>
      </w:pPr>
    </w:p>
    <w:p w:rsidR="00FC55ED" w:rsidRPr="00A17E25" w:rsidRDefault="00FC55ED" w:rsidP="00FC55ED">
      <w:pPr>
        <w:autoSpaceDE w:val="0"/>
        <w:autoSpaceDN w:val="0"/>
        <w:adjustRightInd w:val="0"/>
        <w:spacing w:after="120"/>
        <w:ind w:left="600" w:right="481"/>
        <w:jc w:val="both"/>
        <w:rPr>
          <w:rFonts w:ascii="Arial" w:hAnsi="Arial"/>
          <w:sz w:val="20"/>
          <w:szCs w:val="20"/>
        </w:rPr>
      </w:pPr>
    </w:p>
    <w:p w:rsidR="004F720D" w:rsidRPr="00A17E25" w:rsidRDefault="004F720D" w:rsidP="004F720D">
      <w:pPr>
        <w:pStyle w:val="Heading1"/>
        <w:spacing w:after="0"/>
        <w:jc w:val="center"/>
        <w:rPr>
          <w:color w:val="0070C0"/>
        </w:rPr>
      </w:pPr>
      <w:r w:rsidRPr="00A17E25">
        <w:br w:type="page"/>
      </w:r>
      <w:bookmarkStart w:id="48" w:name="_Toc172888313"/>
      <w:bookmarkStart w:id="49" w:name="_Toc180757509"/>
      <w:bookmarkStart w:id="50" w:name="_Toc216878474"/>
      <w:bookmarkStart w:id="51" w:name="_Toc217142300"/>
      <w:bookmarkStart w:id="52" w:name="_Toc217142681"/>
      <w:bookmarkStart w:id="53" w:name="_Toc217144867"/>
      <w:bookmarkStart w:id="54" w:name="_Toc260257250"/>
      <w:bookmarkStart w:id="55" w:name="_Toc260257963"/>
      <w:bookmarkStart w:id="56" w:name="_Toc260258456"/>
      <w:bookmarkStart w:id="57" w:name="_Toc412839420"/>
      <w:bookmarkStart w:id="58" w:name="_Toc434916094"/>
      <w:bookmarkStart w:id="59" w:name="_Toc434918306"/>
      <w:r w:rsidRPr="00F92FF8">
        <w:rPr>
          <w:color w:val="0070C0"/>
        </w:rPr>
        <w:lastRenderedPageBreak/>
        <w:t>Liste des abréviations</w:t>
      </w:r>
      <w:bookmarkEnd w:id="48"/>
      <w:bookmarkEnd w:id="49"/>
      <w:bookmarkEnd w:id="50"/>
      <w:bookmarkEnd w:id="51"/>
      <w:bookmarkEnd w:id="52"/>
      <w:bookmarkEnd w:id="53"/>
      <w:bookmarkEnd w:id="54"/>
      <w:bookmarkEnd w:id="55"/>
      <w:bookmarkEnd w:id="56"/>
      <w:bookmarkEnd w:id="57"/>
      <w:bookmarkEnd w:id="58"/>
      <w:bookmarkEnd w:id="59"/>
    </w:p>
    <w:p w:rsidR="00313821" w:rsidRPr="002D25B3" w:rsidRDefault="00313821" w:rsidP="004F720D">
      <w:pPr>
        <w:rPr>
          <w:rFonts w:ascii="Arial" w:hAnsi="Arial" w:cs="Arial"/>
        </w:rPr>
      </w:pPr>
    </w:p>
    <w:p w:rsidR="00F632A0" w:rsidRPr="002D25B3" w:rsidRDefault="00F632A0" w:rsidP="002D25B3">
      <w:pPr>
        <w:spacing w:line="276" w:lineRule="auto"/>
        <w:rPr>
          <w:rFonts w:ascii="Arial" w:hAnsi="Arial" w:cs="Arial"/>
          <w:sz w:val="22"/>
          <w:szCs w:val="22"/>
        </w:rPr>
      </w:pP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AFC</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Administration fiscale communale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AFD</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Agence Française de Développement</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BM</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Banque Mondiale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CAS</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Comp</w:t>
      </w:r>
      <w:r w:rsidR="008E0ACF" w:rsidRPr="002D25B3">
        <w:rPr>
          <w:rFonts w:ascii="Arial" w:hAnsi="Arial" w:cs="Arial"/>
          <w:sz w:val="22"/>
          <w:szCs w:val="22"/>
        </w:rPr>
        <w:t xml:space="preserve">tes d’affectation spéciale </w:t>
      </w:r>
      <w:r w:rsidRPr="002D25B3">
        <w:rPr>
          <w:rFonts w:ascii="Arial" w:hAnsi="Arial" w:cs="Arial"/>
          <w:sz w:val="22"/>
          <w:szCs w:val="22"/>
        </w:rPr>
        <w:t xml:space="preserve"> </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CCG</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Conseil de coopération du golfe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CDD</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Comptes</w:t>
      </w:r>
      <w:r w:rsidR="008E0ACF" w:rsidRPr="002D25B3">
        <w:rPr>
          <w:rFonts w:ascii="Arial" w:hAnsi="Arial" w:cs="Arial"/>
          <w:sz w:val="22"/>
          <w:szCs w:val="22"/>
        </w:rPr>
        <w:t xml:space="preserve"> de dépenses sur dotations </w:t>
      </w:r>
    </w:p>
    <w:p w:rsidR="007E0547" w:rsidRDefault="007E0547" w:rsidP="002D25B3">
      <w:pPr>
        <w:spacing w:line="276" w:lineRule="auto"/>
        <w:jc w:val="both"/>
        <w:rPr>
          <w:rFonts w:ascii="Arial" w:hAnsi="Arial" w:cs="Arial"/>
          <w:sz w:val="22"/>
          <w:szCs w:val="22"/>
        </w:rPr>
      </w:pPr>
      <w:r w:rsidRPr="002D25B3">
        <w:rPr>
          <w:rFonts w:ascii="Arial" w:hAnsi="Arial" w:cs="Arial"/>
          <w:sz w:val="22"/>
          <w:szCs w:val="22"/>
        </w:rPr>
        <w:t>CDMT</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Cadre de dépenses à moyen terme</w:t>
      </w:r>
    </w:p>
    <w:p w:rsidR="005409DB" w:rsidRPr="002D25B3" w:rsidRDefault="005409DB" w:rsidP="002D25B3">
      <w:pPr>
        <w:spacing w:line="276" w:lineRule="auto"/>
        <w:jc w:val="both"/>
        <w:rPr>
          <w:rFonts w:ascii="Arial" w:hAnsi="Arial" w:cs="Arial"/>
          <w:sz w:val="22"/>
          <w:szCs w:val="22"/>
        </w:rPr>
      </w:pPr>
      <w:r>
        <w:rPr>
          <w:rFonts w:ascii="Arial" w:hAnsi="Arial" w:cs="Arial"/>
          <w:sz w:val="22"/>
          <w:szCs w:val="22"/>
        </w:rPr>
        <w:t>CFAP</w:t>
      </w:r>
      <w:r>
        <w:rPr>
          <w:rFonts w:ascii="Arial" w:hAnsi="Arial" w:cs="Arial"/>
          <w:sz w:val="22"/>
          <w:szCs w:val="22"/>
        </w:rPr>
        <w:tab/>
      </w:r>
      <w:r>
        <w:rPr>
          <w:rFonts w:ascii="Arial" w:hAnsi="Arial" w:cs="Arial"/>
          <w:sz w:val="22"/>
          <w:szCs w:val="22"/>
        </w:rPr>
        <w:tab/>
      </w:r>
      <w:r>
        <w:rPr>
          <w:rFonts w:ascii="Arial" w:hAnsi="Arial" w:cs="Arial"/>
          <w:sz w:val="22"/>
          <w:szCs w:val="22"/>
        </w:rPr>
        <w:tab/>
        <w:t>Classification des Fonctions des Administrations Publiques</w:t>
      </w:r>
    </w:p>
    <w:p w:rsidR="007E0547" w:rsidRPr="002D25B3" w:rsidRDefault="007E0547" w:rsidP="002D25B3">
      <w:pPr>
        <w:pStyle w:val="FootnoteText"/>
        <w:spacing w:line="276" w:lineRule="auto"/>
        <w:jc w:val="both"/>
        <w:rPr>
          <w:rFonts w:ascii="Arial" w:hAnsi="Arial" w:cs="Arial"/>
          <w:color w:val="000000"/>
          <w:sz w:val="22"/>
          <w:szCs w:val="22"/>
        </w:rPr>
      </w:pPr>
      <w:r w:rsidRPr="002D25B3">
        <w:rPr>
          <w:rFonts w:ascii="Arial" w:hAnsi="Arial" w:cs="Arial"/>
          <w:color w:val="000000"/>
          <w:sz w:val="22"/>
          <w:szCs w:val="22"/>
        </w:rPr>
        <w:t>CNT</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Centre national de traitement</w:t>
      </w:r>
    </w:p>
    <w:p w:rsidR="007E0547" w:rsidRPr="00F75220" w:rsidRDefault="007E0547" w:rsidP="002D25B3">
      <w:pPr>
        <w:pStyle w:val="FootnoteText"/>
        <w:spacing w:line="276" w:lineRule="auto"/>
        <w:ind w:left="2160" w:hanging="2160"/>
        <w:jc w:val="both"/>
        <w:rPr>
          <w:rFonts w:ascii="Arial" w:hAnsi="Arial" w:cs="Arial"/>
          <w:iCs/>
          <w:color w:val="000000"/>
          <w:sz w:val="22"/>
          <w:szCs w:val="22"/>
        </w:rPr>
      </w:pPr>
      <w:r w:rsidRPr="00F75220">
        <w:rPr>
          <w:rFonts w:ascii="Arial" w:hAnsi="Arial" w:cs="Arial"/>
          <w:color w:val="000000"/>
          <w:sz w:val="22"/>
          <w:szCs w:val="22"/>
        </w:rPr>
        <w:t>COFOG</w:t>
      </w:r>
      <w:r w:rsidRPr="00F75220">
        <w:rPr>
          <w:rFonts w:ascii="Arial" w:hAnsi="Arial" w:cs="Arial"/>
          <w:color w:val="000000"/>
          <w:sz w:val="22"/>
          <w:szCs w:val="22"/>
        </w:rPr>
        <w:tab/>
      </w:r>
      <w:r w:rsidRPr="00F75220">
        <w:rPr>
          <w:rFonts w:ascii="Arial" w:hAnsi="Arial" w:cs="Arial"/>
          <w:iCs/>
          <w:color w:val="000000"/>
          <w:sz w:val="22"/>
          <w:szCs w:val="22"/>
        </w:rPr>
        <w:t>Classification of Functions of Government</w:t>
      </w:r>
    </w:p>
    <w:p w:rsidR="007E0547" w:rsidRPr="002D25B3" w:rsidRDefault="007E0547" w:rsidP="002D25B3">
      <w:pPr>
        <w:pStyle w:val="FootnoteText"/>
        <w:spacing w:line="276" w:lineRule="auto"/>
        <w:ind w:left="2160" w:hanging="2160"/>
        <w:jc w:val="both"/>
        <w:rPr>
          <w:rFonts w:ascii="Arial" w:hAnsi="Arial" w:cs="Arial"/>
          <w:iCs/>
          <w:color w:val="000000"/>
          <w:sz w:val="22"/>
          <w:szCs w:val="22"/>
        </w:rPr>
      </w:pPr>
      <w:r w:rsidRPr="002D25B3">
        <w:rPr>
          <w:rFonts w:ascii="Arial" w:hAnsi="Arial" w:cs="Arial"/>
          <w:iCs/>
          <w:color w:val="000000"/>
          <w:sz w:val="22"/>
          <w:szCs w:val="22"/>
        </w:rPr>
        <w:t>CRC</w:t>
      </w:r>
      <w:r w:rsidRPr="002D25B3">
        <w:rPr>
          <w:rFonts w:ascii="Arial" w:hAnsi="Arial" w:cs="Arial"/>
          <w:iCs/>
          <w:color w:val="000000"/>
          <w:sz w:val="22"/>
          <w:szCs w:val="22"/>
        </w:rPr>
        <w:tab/>
        <w:t>Cour Régionale des Comptes</w:t>
      </w:r>
    </w:p>
    <w:p w:rsidR="007E0547" w:rsidRPr="002D25B3" w:rsidRDefault="007E0547" w:rsidP="002D25B3">
      <w:pPr>
        <w:pStyle w:val="FootnoteText"/>
        <w:spacing w:line="276" w:lineRule="auto"/>
        <w:ind w:left="2160" w:hanging="2160"/>
        <w:jc w:val="both"/>
        <w:rPr>
          <w:rFonts w:ascii="Arial" w:hAnsi="Arial" w:cs="Arial"/>
          <w:color w:val="000000"/>
          <w:sz w:val="22"/>
          <w:szCs w:val="22"/>
        </w:rPr>
      </w:pPr>
      <w:r w:rsidRPr="002D25B3">
        <w:rPr>
          <w:rFonts w:ascii="Arial" w:hAnsi="Arial" w:cs="Arial"/>
          <w:color w:val="000000"/>
          <w:sz w:val="22"/>
          <w:szCs w:val="22"/>
        </w:rPr>
        <w:t>CT</w:t>
      </w:r>
      <w:r w:rsidRPr="002D25B3">
        <w:rPr>
          <w:rFonts w:ascii="Arial" w:hAnsi="Arial" w:cs="Arial"/>
          <w:color w:val="000000"/>
          <w:sz w:val="22"/>
          <w:szCs w:val="22"/>
        </w:rPr>
        <w:tab/>
        <w:t>Collectivité Territoriale</w:t>
      </w:r>
    </w:p>
    <w:p w:rsidR="007E0547" w:rsidRPr="002D25B3" w:rsidRDefault="007E0547" w:rsidP="002D25B3">
      <w:pPr>
        <w:pStyle w:val="FootnoteText"/>
        <w:spacing w:line="276" w:lineRule="auto"/>
        <w:jc w:val="both"/>
        <w:rPr>
          <w:rFonts w:ascii="Arial" w:hAnsi="Arial" w:cs="Arial"/>
          <w:color w:val="000000"/>
          <w:sz w:val="22"/>
          <w:szCs w:val="22"/>
        </w:rPr>
      </w:pPr>
      <w:r w:rsidRPr="002D25B3">
        <w:rPr>
          <w:rFonts w:ascii="Arial" w:hAnsi="Arial" w:cs="Arial"/>
          <w:color w:val="000000"/>
          <w:sz w:val="22"/>
          <w:szCs w:val="22"/>
        </w:rPr>
        <w:t>CC</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Commune de Casablanca</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DGCL</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Direction Générale des Collectivités Locales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DGI</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Direction générale des impôts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DRH</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Division des ressources humaines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FEC</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Fonds d’Equipement Communal</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FMI</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Fonds Monétaire International</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GFP</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Gestion des finances publiques</w:t>
      </w:r>
    </w:p>
    <w:p w:rsidR="007E0547" w:rsidRPr="002D25B3" w:rsidRDefault="007E0547" w:rsidP="002D25B3">
      <w:pPr>
        <w:spacing w:line="276" w:lineRule="auto"/>
        <w:jc w:val="both"/>
        <w:rPr>
          <w:rFonts w:ascii="Arial" w:hAnsi="Arial" w:cs="Arial"/>
          <w:color w:val="000000"/>
          <w:sz w:val="22"/>
          <w:szCs w:val="22"/>
        </w:rPr>
      </w:pPr>
      <w:r w:rsidRPr="002D25B3">
        <w:rPr>
          <w:rFonts w:ascii="Arial" w:hAnsi="Arial" w:cs="Arial"/>
          <w:color w:val="000000"/>
          <w:sz w:val="22"/>
          <w:szCs w:val="22"/>
        </w:rPr>
        <w:t>GID</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Gestion intégrée des dépenses</w:t>
      </w:r>
    </w:p>
    <w:p w:rsidR="007E0547" w:rsidRPr="002D25B3" w:rsidRDefault="007E0547" w:rsidP="002D25B3">
      <w:pPr>
        <w:spacing w:line="276" w:lineRule="auto"/>
        <w:jc w:val="both"/>
        <w:rPr>
          <w:rFonts w:ascii="Arial" w:hAnsi="Arial" w:cs="Arial"/>
          <w:color w:val="000000"/>
          <w:sz w:val="22"/>
          <w:szCs w:val="22"/>
        </w:rPr>
      </w:pPr>
      <w:r w:rsidRPr="002D25B3">
        <w:rPr>
          <w:rFonts w:ascii="Arial" w:hAnsi="Arial" w:cs="Arial"/>
          <w:color w:val="000000"/>
          <w:sz w:val="22"/>
          <w:szCs w:val="22"/>
        </w:rPr>
        <w:t>GIPE</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Gestion intégrée du personnel de l’Etat</w:t>
      </w:r>
    </w:p>
    <w:p w:rsidR="007E0547" w:rsidRPr="002D25B3" w:rsidRDefault="007E0547" w:rsidP="002D25B3">
      <w:pPr>
        <w:spacing w:line="276" w:lineRule="auto"/>
        <w:jc w:val="both"/>
        <w:rPr>
          <w:rFonts w:ascii="Arial" w:hAnsi="Arial" w:cs="Arial"/>
          <w:color w:val="000000"/>
          <w:sz w:val="22"/>
          <w:szCs w:val="22"/>
        </w:rPr>
      </w:pPr>
      <w:r w:rsidRPr="002D25B3">
        <w:rPr>
          <w:rFonts w:ascii="Arial" w:hAnsi="Arial" w:cs="Arial"/>
          <w:color w:val="000000"/>
          <w:sz w:val="22"/>
          <w:szCs w:val="22"/>
        </w:rPr>
        <w:t>GIR</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Gestion intégrée des recettes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IGAT</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Inspection Générale de l’Administration Territoriale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IGF</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Inspection Générale des Finances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color w:val="000000"/>
          <w:sz w:val="22"/>
          <w:szCs w:val="22"/>
        </w:rPr>
        <w:t>INDH</w:t>
      </w:r>
      <w:r w:rsidRPr="002D25B3">
        <w:rPr>
          <w:rFonts w:ascii="Arial" w:hAnsi="Arial" w:cs="Arial"/>
          <w:color w:val="000000"/>
          <w:sz w:val="22"/>
          <w:szCs w:val="22"/>
        </w:rPr>
        <w:tab/>
      </w:r>
      <w:r w:rsidRPr="002D25B3">
        <w:rPr>
          <w:rFonts w:ascii="Arial" w:hAnsi="Arial" w:cs="Arial"/>
          <w:color w:val="000000"/>
          <w:sz w:val="22"/>
          <w:szCs w:val="22"/>
        </w:rPr>
        <w:tab/>
      </w:r>
      <w:r w:rsidRPr="002D25B3">
        <w:rPr>
          <w:rFonts w:ascii="Arial" w:hAnsi="Arial" w:cs="Arial"/>
          <w:color w:val="000000"/>
          <w:sz w:val="22"/>
          <w:szCs w:val="22"/>
        </w:rPr>
        <w:tab/>
        <w:t>Initiative Nationale de Développement Humain</w:t>
      </w:r>
    </w:p>
    <w:p w:rsidR="007E0547" w:rsidRPr="002D25B3" w:rsidRDefault="002D25B3" w:rsidP="002D25B3">
      <w:pPr>
        <w:spacing w:line="276" w:lineRule="auto"/>
        <w:ind w:left="2127" w:right="-284" w:hanging="2127"/>
        <w:rPr>
          <w:rFonts w:ascii="Arial" w:hAnsi="Arial" w:cs="Arial"/>
          <w:sz w:val="22"/>
          <w:szCs w:val="22"/>
        </w:rPr>
      </w:pPr>
      <w:r w:rsidRPr="002D25B3">
        <w:rPr>
          <w:rFonts w:ascii="Arial" w:hAnsi="Arial" w:cs="Arial"/>
          <w:sz w:val="22"/>
          <w:szCs w:val="22"/>
        </w:rPr>
        <w:t>IPSAS</w:t>
      </w:r>
      <w:r w:rsidRPr="002D25B3">
        <w:rPr>
          <w:rFonts w:ascii="Arial" w:hAnsi="Arial" w:cs="Arial"/>
          <w:sz w:val="22"/>
          <w:szCs w:val="22"/>
        </w:rPr>
        <w:tab/>
      </w:r>
      <w:r w:rsidRPr="002D25B3">
        <w:rPr>
          <w:rFonts w:ascii="Arial" w:hAnsi="Arial" w:cs="Arial"/>
          <w:sz w:val="22"/>
          <w:szCs w:val="22"/>
        </w:rPr>
        <w:tab/>
        <w:t xml:space="preserve">Normes </w:t>
      </w:r>
      <w:r w:rsidR="007E0547" w:rsidRPr="002D25B3">
        <w:rPr>
          <w:rFonts w:ascii="Arial" w:hAnsi="Arial" w:cs="Arial"/>
          <w:sz w:val="22"/>
          <w:szCs w:val="22"/>
        </w:rPr>
        <w:t xml:space="preserve">internationales de gestion comptable des institutions publiques </w:t>
      </w:r>
    </w:p>
    <w:p w:rsidR="007E0547" w:rsidRPr="002D25B3" w:rsidRDefault="002D25B3" w:rsidP="002D25B3">
      <w:pPr>
        <w:spacing w:line="276" w:lineRule="auto"/>
        <w:jc w:val="both"/>
        <w:rPr>
          <w:rFonts w:ascii="Arial" w:hAnsi="Arial" w:cs="Arial"/>
          <w:sz w:val="22"/>
          <w:szCs w:val="22"/>
        </w:rPr>
      </w:pPr>
      <w:r w:rsidRPr="002D25B3">
        <w:rPr>
          <w:rFonts w:ascii="Arial" w:hAnsi="Arial" w:cs="Arial"/>
          <w:sz w:val="22"/>
          <w:szCs w:val="22"/>
        </w:rPr>
        <w:t>IR</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L</w:t>
      </w:r>
      <w:r w:rsidR="007E0547" w:rsidRPr="002D25B3">
        <w:rPr>
          <w:rFonts w:ascii="Arial" w:hAnsi="Arial" w:cs="Arial"/>
          <w:sz w:val="22"/>
          <w:szCs w:val="22"/>
        </w:rPr>
        <w:t>’Impôt sur les Revenus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IS</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Impôt sur les Sociétés</w:t>
      </w:r>
    </w:p>
    <w:p w:rsidR="007E0547" w:rsidRPr="002D25B3" w:rsidRDefault="007E0547" w:rsidP="002D25B3">
      <w:pPr>
        <w:spacing w:line="276" w:lineRule="auto"/>
        <w:jc w:val="both"/>
        <w:rPr>
          <w:rFonts w:ascii="Arial" w:hAnsi="Arial" w:cs="Arial"/>
          <w:sz w:val="22"/>
          <w:szCs w:val="22"/>
          <w:lang w:eastAsia="fr-FR"/>
        </w:rPr>
      </w:pPr>
      <w:r w:rsidRPr="002D25B3">
        <w:rPr>
          <w:rFonts w:ascii="Arial" w:hAnsi="Arial" w:cs="Arial"/>
          <w:sz w:val="22"/>
          <w:szCs w:val="22"/>
        </w:rPr>
        <w:t>LOLF</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lang w:eastAsia="fr-FR"/>
        </w:rPr>
        <w:t>Loi organique relative aux lois de finances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lang w:eastAsia="fr-FR"/>
        </w:rPr>
        <w:t>LYDEC</w:t>
      </w:r>
      <w:r w:rsidRPr="002D25B3">
        <w:rPr>
          <w:rFonts w:ascii="Arial" w:hAnsi="Arial" w:cs="Arial"/>
          <w:sz w:val="22"/>
          <w:szCs w:val="22"/>
          <w:lang w:eastAsia="fr-FR"/>
        </w:rPr>
        <w:tab/>
      </w:r>
      <w:r w:rsidRPr="002D25B3">
        <w:rPr>
          <w:rFonts w:ascii="Arial" w:hAnsi="Arial" w:cs="Arial"/>
          <w:sz w:val="22"/>
          <w:szCs w:val="22"/>
          <w:lang w:eastAsia="fr-FR"/>
        </w:rPr>
        <w:tab/>
        <w:t>Lyonnaise des eaux de Casablanca</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MAD</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Dirham Marocain</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MSFP</w:t>
      </w:r>
      <w:r w:rsidRPr="002D25B3">
        <w:rPr>
          <w:rFonts w:ascii="Arial" w:hAnsi="Arial" w:cs="Arial"/>
          <w:bCs/>
          <w:sz w:val="22"/>
          <w:szCs w:val="22"/>
        </w:rPr>
        <w:tab/>
      </w:r>
      <w:r w:rsidRPr="002D25B3">
        <w:rPr>
          <w:rFonts w:ascii="Arial" w:hAnsi="Arial" w:cs="Arial"/>
          <w:bCs/>
          <w:sz w:val="22"/>
          <w:szCs w:val="22"/>
        </w:rPr>
        <w:tab/>
      </w:r>
      <w:r w:rsidRPr="002D25B3">
        <w:rPr>
          <w:rFonts w:ascii="Arial" w:hAnsi="Arial" w:cs="Arial"/>
          <w:bCs/>
          <w:sz w:val="22"/>
          <w:szCs w:val="22"/>
        </w:rPr>
        <w:tab/>
      </w:r>
      <w:r w:rsidRPr="002D25B3">
        <w:rPr>
          <w:rFonts w:ascii="Arial" w:hAnsi="Arial" w:cs="Arial"/>
          <w:sz w:val="22"/>
          <w:szCs w:val="22"/>
        </w:rPr>
        <w:t>Manuel des statistiques des finances publiques</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ONE</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Office national d’électricité</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ONEE</w:t>
      </w:r>
      <w:r w:rsidRPr="002D25B3">
        <w:rPr>
          <w:rFonts w:ascii="Arial" w:hAnsi="Arial" w:cs="Arial"/>
          <w:sz w:val="22"/>
          <w:szCs w:val="22"/>
        </w:rPr>
        <w:tab/>
      </w:r>
      <w:r w:rsidRPr="002D25B3">
        <w:rPr>
          <w:rFonts w:ascii="Arial" w:hAnsi="Arial" w:cs="Arial"/>
          <w:sz w:val="22"/>
          <w:szCs w:val="22"/>
        </w:rPr>
        <w:tab/>
      </w:r>
      <w:r w:rsidR="00AE743D">
        <w:rPr>
          <w:rFonts w:ascii="Arial" w:hAnsi="Arial" w:cs="Arial"/>
          <w:sz w:val="22"/>
          <w:szCs w:val="22"/>
        </w:rPr>
        <w:tab/>
      </w:r>
      <w:r w:rsidRPr="002D25B3">
        <w:rPr>
          <w:rFonts w:ascii="Arial" w:hAnsi="Arial" w:cs="Arial"/>
          <w:sz w:val="22"/>
          <w:szCs w:val="22"/>
        </w:rPr>
        <w:t>Office national d’électricité et d’eau potable</w:t>
      </w:r>
    </w:p>
    <w:p w:rsidR="007E0547" w:rsidRPr="002D25B3" w:rsidRDefault="007E0547" w:rsidP="002D25B3">
      <w:pPr>
        <w:spacing w:line="276" w:lineRule="auto"/>
        <w:jc w:val="both"/>
        <w:rPr>
          <w:rFonts w:ascii="Arial" w:hAnsi="Arial" w:cs="Arial"/>
          <w:bCs/>
          <w:sz w:val="22"/>
          <w:szCs w:val="22"/>
        </w:rPr>
      </w:pPr>
      <w:r w:rsidRPr="002D25B3">
        <w:rPr>
          <w:rFonts w:ascii="Arial" w:hAnsi="Arial" w:cs="Arial"/>
          <w:bCs/>
          <w:sz w:val="22"/>
          <w:szCs w:val="22"/>
        </w:rPr>
        <w:t xml:space="preserve">PCD </w:t>
      </w:r>
      <w:r w:rsidRPr="002D25B3">
        <w:rPr>
          <w:rFonts w:ascii="Arial" w:hAnsi="Arial" w:cs="Arial"/>
          <w:bCs/>
          <w:sz w:val="22"/>
          <w:szCs w:val="22"/>
        </w:rPr>
        <w:tab/>
      </w:r>
      <w:r w:rsidRPr="002D25B3">
        <w:rPr>
          <w:rFonts w:ascii="Arial" w:hAnsi="Arial" w:cs="Arial"/>
          <w:bCs/>
          <w:sz w:val="22"/>
          <w:szCs w:val="22"/>
        </w:rPr>
        <w:tab/>
      </w:r>
      <w:r w:rsidRPr="002D25B3">
        <w:rPr>
          <w:rFonts w:ascii="Arial" w:hAnsi="Arial" w:cs="Arial"/>
          <w:bCs/>
          <w:sz w:val="22"/>
          <w:szCs w:val="22"/>
        </w:rPr>
        <w:tab/>
        <w:t>Plan Communal de Développement</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PDGC</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 xml:space="preserve">Plan de développement du Grand Casablanca </w:t>
      </w:r>
    </w:p>
    <w:p w:rsidR="007E0547" w:rsidRPr="002D25B3" w:rsidRDefault="007E0547" w:rsidP="002D25B3">
      <w:pPr>
        <w:spacing w:line="276" w:lineRule="auto"/>
        <w:jc w:val="both"/>
        <w:rPr>
          <w:rFonts w:ascii="Arial" w:hAnsi="Arial" w:cs="Arial"/>
          <w:sz w:val="22"/>
          <w:szCs w:val="22"/>
          <w:lang w:val="en-US" w:eastAsia="fr-FR"/>
        </w:rPr>
      </w:pPr>
      <w:r w:rsidRPr="002D25B3">
        <w:rPr>
          <w:rFonts w:ascii="Arial" w:hAnsi="Arial" w:cs="Arial"/>
          <w:sz w:val="22"/>
          <w:szCs w:val="22"/>
          <w:lang w:val="en-US"/>
        </w:rPr>
        <w:t>PEFA</w:t>
      </w:r>
      <w:r w:rsidRPr="002D25B3">
        <w:rPr>
          <w:rFonts w:ascii="Arial" w:hAnsi="Arial" w:cs="Arial"/>
          <w:sz w:val="22"/>
          <w:szCs w:val="22"/>
          <w:lang w:val="en-US"/>
        </w:rPr>
        <w:tab/>
      </w:r>
      <w:r w:rsidRPr="002D25B3">
        <w:rPr>
          <w:rFonts w:ascii="Arial" w:hAnsi="Arial" w:cs="Arial"/>
          <w:sz w:val="22"/>
          <w:szCs w:val="22"/>
          <w:lang w:val="en-US"/>
        </w:rPr>
        <w:tab/>
      </w:r>
      <w:r w:rsidRPr="002D25B3">
        <w:rPr>
          <w:rFonts w:ascii="Arial" w:hAnsi="Arial" w:cs="Arial"/>
          <w:sz w:val="22"/>
          <w:szCs w:val="22"/>
          <w:lang w:val="en-US"/>
        </w:rPr>
        <w:tab/>
      </w:r>
      <w:r w:rsidRPr="002D25B3">
        <w:rPr>
          <w:rFonts w:ascii="Arial" w:hAnsi="Arial" w:cs="Arial"/>
          <w:iCs/>
          <w:sz w:val="22"/>
          <w:szCs w:val="22"/>
          <w:lang w:val="en-US" w:eastAsia="fr-FR"/>
        </w:rPr>
        <w:t>Public Expenditure and Financial Accountability</w:t>
      </w:r>
    </w:p>
    <w:p w:rsidR="007E0547" w:rsidRPr="002D25B3" w:rsidRDefault="007E0547" w:rsidP="002D25B3">
      <w:pPr>
        <w:spacing w:line="276" w:lineRule="auto"/>
        <w:jc w:val="both"/>
        <w:rPr>
          <w:rFonts w:ascii="Arial" w:hAnsi="Arial" w:cs="Arial"/>
          <w:sz w:val="22"/>
          <w:szCs w:val="22"/>
          <w:lang w:eastAsia="fr-FR"/>
        </w:rPr>
      </w:pPr>
      <w:r w:rsidRPr="002D25B3">
        <w:rPr>
          <w:rFonts w:ascii="Arial" w:hAnsi="Arial" w:cs="Arial"/>
          <w:sz w:val="22"/>
          <w:szCs w:val="22"/>
          <w:lang w:eastAsia="fr-FR"/>
        </w:rPr>
        <w:t>PGL</w:t>
      </w:r>
      <w:r w:rsidRPr="002D25B3">
        <w:rPr>
          <w:rFonts w:ascii="Arial" w:hAnsi="Arial" w:cs="Arial"/>
          <w:sz w:val="22"/>
          <w:szCs w:val="22"/>
          <w:lang w:eastAsia="fr-FR"/>
        </w:rPr>
        <w:tab/>
      </w:r>
      <w:r w:rsidRPr="002D25B3">
        <w:rPr>
          <w:rFonts w:ascii="Arial" w:hAnsi="Arial" w:cs="Arial"/>
          <w:sz w:val="22"/>
          <w:szCs w:val="22"/>
          <w:lang w:eastAsia="fr-FR"/>
        </w:rPr>
        <w:tab/>
      </w:r>
      <w:r w:rsidRPr="002D25B3">
        <w:rPr>
          <w:rFonts w:ascii="Arial" w:hAnsi="Arial" w:cs="Arial"/>
          <w:sz w:val="22"/>
          <w:szCs w:val="22"/>
          <w:lang w:eastAsia="fr-FR"/>
        </w:rPr>
        <w:tab/>
        <w:t>Programme de Gouvernance Locale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PIB</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Produit Intérieur Brut</w:t>
      </w:r>
    </w:p>
    <w:p w:rsidR="007E0547" w:rsidRPr="0024165B" w:rsidRDefault="007E0547" w:rsidP="002D25B3">
      <w:pPr>
        <w:spacing w:line="276" w:lineRule="auto"/>
        <w:jc w:val="both"/>
        <w:rPr>
          <w:rFonts w:ascii="Arial" w:hAnsi="Arial" w:cs="Arial"/>
          <w:iCs/>
          <w:sz w:val="22"/>
          <w:szCs w:val="22"/>
          <w:lang w:val="en-US"/>
        </w:rPr>
      </w:pPr>
      <w:r w:rsidRPr="0024165B">
        <w:rPr>
          <w:rFonts w:ascii="Arial" w:hAnsi="Arial" w:cs="Arial"/>
          <w:sz w:val="22"/>
          <w:szCs w:val="22"/>
          <w:lang w:val="en-US"/>
        </w:rPr>
        <w:t>PPIAF</w:t>
      </w:r>
      <w:r w:rsidRPr="0024165B">
        <w:rPr>
          <w:rFonts w:ascii="Arial" w:hAnsi="Arial" w:cs="Arial"/>
          <w:sz w:val="22"/>
          <w:szCs w:val="22"/>
          <w:lang w:val="en-US"/>
        </w:rPr>
        <w:tab/>
      </w:r>
      <w:r w:rsidRPr="0024165B">
        <w:rPr>
          <w:rFonts w:ascii="Arial" w:hAnsi="Arial" w:cs="Arial"/>
          <w:sz w:val="22"/>
          <w:szCs w:val="22"/>
          <w:lang w:val="en-US"/>
        </w:rPr>
        <w:tab/>
      </w:r>
      <w:r w:rsidRPr="0024165B">
        <w:rPr>
          <w:rFonts w:ascii="Arial" w:hAnsi="Arial" w:cs="Arial"/>
          <w:sz w:val="22"/>
          <w:szCs w:val="22"/>
          <w:lang w:val="en-US"/>
        </w:rPr>
        <w:tab/>
      </w:r>
      <w:r w:rsidRPr="0024165B">
        <w:rPr>
          <w:rFonts w:ascii="Arial" w:hAnsi="Arial" w:cs="Arial"/>
          <w:iCs/>
          <w:sz w:val="22"/>
          <w:szCs w:val="22"/>
          <w:lang w:val="en-US"/>
        </w:rPr>
        <w:t>Public –</w:t>
      </w:r>
      <w:r w:rsidR="002D25B3" w:rsidRPr="0024165B">
        <w:rPr>
          <w:rFonts w:ascii="Arial" w:hAnsi="Arial" w:cs="Arial"/>
          <w:iCs/>
          <w:sz w:val="22"/>
          <w:szCs w:val="22"/>
          <w:lang w:val="en-US"/>
        </w:rPr>
        <w:t xml:space="preserve"> </w:t>
      </w:r>
      <w:r w:rsidRPr="0024165B">
        <w:rPr>
          <w:rFonts w:ascii="Arial" w:hAnsi="Arial" w:cs="Arial"/>
          <w:iCs/>
          <w:sz w:val="22"/>
          <w:szCs w:val="22"/>
          <w:lang w:val="en-US"/>
        </w:rPr>
        <w:t>Private Infrastructure Advisory</w:t>
      </w:r>
      <w:r w:rsidR="0024165B" w:rsidRPr="0024165B">
        <w:rPr>
          <w:rFonts w:ascii="Arial" w:hAnsi="Arial" w:cs="Arial"/>
          <w:iCs/>
          <w:sz w:val="22"/>
          <w:szCs w:val="22"/>
          <w:lang w:val="en-US"/>
        </w:rPr>
        <w:t xml:space="preserve"> </w:t>
      </w:r>
      <w:r w:rsidRPr="0024165B">
        <w:rPr>
          <w:rFonts w:ascii="Arial" w:hAnsi="Arial" w:cs="Arial"/>
          <w:iCs/>
          <w:sz w:val="22"/>
          <w:szCs w:val="22"/>
          <w:lang w:val="en-US"/>
        </w:rPr>
        <w:t>Facility</w:t>
      </w:r>
    </w:p>
    <w:p w:rsidR="007E0547" w:rsidRPr="002D25B3" w:rsidRDefault="007E0547" w:rsidP="002D25B3">
      <w:pPr>
        <w:spacing w:line="276" w:lineRule="auto"/>
        <w:jc w:val="both"/>
        <w:rPr>
          <w:rFonts w:ascii="Arial" w:hAnsi="Arial" w:cs="Arial"/>
          <w:iCs/>
          <w:sz w:val="22"/>
          <w:szCs w:val="22"/>
        </w:rPr>
      </w:pPr>
      <w:r w:rsidRPr="002D25B3">
        <w:rPr>
          <w:rFonts w:ascii="Arial" w:hAnsi="Arial" w:cs="Arial"/>
          <w:iCs/>
          <w:sz w:val="22"/>
          <w:szCs w:val="22"/>
        </w:rPr>
        <w:t>SDL</w:t>
      </w:r>
      <w:r w:rsidRPr="002D25B3">
        <w:rPr>
          <w:rFonts w:ascii="Arial" w:hAnsi="Arial" w:cs="Arial"/>
          <w:iCs/>
          <w:sz w:val="22"/>
          <w:szCs w:val="22"/>
        </w:rPr>
        <w:tab/>
      </w:r>
      <w:r w:rsidRPr="002D25B3">
        <w:rPr>
          <w:rFonts w:ascii="Arial" w:hAnsi="Arial" w:cs="Arial"/>
          <w:iCs/>
          <w:sz w:val="22"/>
          <w:szCs w:val="22"/>
        </w:rPr>
        <w:tab/>
      </w:r>
      <w:r w:rsidRPr="002D25B3">
        <w:rPr>
          <w:rFonts w:ascii="Arial" w:hAnsi="Arial" w:cs="Arial"/>
          <w:iCs/>
          <w:sz w:val="22"/>
          <w:szCs w:val="22"/>
        </w:rPr>
        <w:tab/>
        <w:t>Société de développement local</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TGR</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Trésorerie Générale du Royaume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TVA</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Taxe sur la Valeur Ajoutée</w:t>
      </w:r>
    </w:p>
    <w:p w:rsidR="007E0547" w:rsidRPr="002D25B3" w:rsidRDefault="007E0547" w:rsidP="002D25B3">
      <w:pPr>
        <w:spacing w:line="276" w:lineRule="auto"/>
        <w:jc w:val="both"/>
        <w:rPr>
          <w:rFonts w:ascii="Arial" w:hAnsi="Arial" w:cs="Arial"/>
          <w:sz w:val="22"/>
          <w:szCs w:val="22"/>
        </w:rPr>
      </w:pPr>
      <w:r w:rsidRPr="002D25B3">
        <w:rPr>
          <w:rFonts w:ascii="Arial" w:hAnsi="Arial" w:cs="Arial"/>
          <w:sz w:val="22"/>
          <w:szCs w:val="22"/>
        </w:rPr>
        <w:t>UE</w:t>
      </w:r>
      <w:r w:rsidRPr="002D25B3">
        <w:rPr>
          <w:rFonts w:ascii="Arial" w:hAnsi="Arial" w:cs="Arial"/>
          <w:sz w:val="22"/>
          <w:szCs w:val="22"/>
        </w:rPr>
        <w:tab/>
      </w:r>
      <w:r w:rsidRPr="002D25B3">
        <w:rPr>
          <w:rFonts w:ascii="Arial" w:hAnsi="Arial" w:cs="Arial"/>
          <w:sz w:val="22"/>
          <w:szCs w:val="22"/>
        </w:rPr>
        <w:tab/>
      </w:r>
      <w:r w:rsidRPr="002D25B3">
        <w:rPr>
          <w:rFonts w:ascii="Arial" w:hAnsi="Arial" w:cs="Arial"/>
          <w:sz w:val="22"/>
          <w:szCs w:val="22"/>
        </w:rPr>
        <w:tab/>
        <w:t>Union Européenne</w:t>
      </w:r>
    </w:p>
    <w:p w:rsidR="00313821" w:rsidRPr="00F92FF8" w:rsidRDefault="00313821" w:rsidP="003821F1">
      <w:pPr>
        <w:pStyle w:val="Heading1"/>
        <w:jc w:val="center"/>
        <w:rPr>
          <w:color w:val="0070C0"/>
        </w:rPr>
      </w:pPr>
      <w:bookmarkStart w:id="60" w:name="_Toc434918307"/>
      <w:r w:rsidRPr="00F92FF8">
        <w:rPr>
          <w:color w:val="0070C0"/>
        </w:rPr>
        <w:lastRenderedPageBreak/>
        <w:t>Table des matières</w:t>
      </w:r>
      <w:bookmarkEnd w:id="60"/>
    </w:p>
    <w:p w:rsidR="002D25B3" w:rsidRPr="00A17E25" w:rsidRDefault="002D25B3" w:rsidP="002D25B3">
      <w:pPr>
        <w:rPr>
          <w:rFonts w:ascii="Arial" w:hAnsi="Arial"/>
          <w:b/>
          <w:bCs/>
          <w:color w:val="0070C0"/>
          <w:sz w:val="28"/>
          <w:szCs w:val="28"/>
        </w:rPr>
      </w:pPr>
    </w:p>
    <w:p w:rsidR="00BF40C7" w:rsidRDefault="00E618E8">
      <w:pPr>
        <w:pStyle w:val="TOC1"/>
        <w:rPr>
          <w:rFonts w:asciiTheme="minorHAnsi" w:eastAsiaTheme="minorEastAsia" w:hAnsiTheme="minorHAnsi" w:cstheme="minorBidi"/>
          <w:b w:val="0"/>
          <w:sz w:val="22"/>
          <w:szCs w:val="22"/>
          <w:lang w:eastAsia="fr-FR" w:bidi="ar-SA"/>
        </w:rPr>
      </w:pPr>
      <w:r>
        <w:rPr>
          <w:bCs/>
          <w:sz w:val="28"/>
          <w:szCs w:val="28"/>
        </w:rPr>
        <w:fldChar w:fldCharType="begin"/>
      </w:r>
      <w:r w:rsidR="00BF40C7">
        <w:rPr>
          <w:bCs/>
          <w:sz w:val="28"/>
          <w:szCs w:val="28"/>
        </w:rPr>
        <w:instrText xml:space="preserve"> TOC \o "1-3" \h \z \u </w:instrText>
      </w:r>
      <w:r>
        <w:rPr>
          <w:bCs/>
          <w:sz w:val="28"/>
          <w:szCs w:val="28"/>
        </w:rPr>
        <w:fldChar w:fldCharType="separate"/>
      </w:r>
      <w:hyperlink w:anchor="_Toc434918304" w:history="1">
        <w:r w:rsidR="00BF40C7" w:rsidRPr="001E51AF">
          <w:rPr>
            <w:rStyle w:val="Hyperlink"/>
          </w:rPr>
          <w:t>Equivalence Monétaire</w:t>
        </w:r>
        <w:r w:rsidR="00BF40C7">
          <w:rPr>
            <w:webHidden/>
          </w:rPr>
          <w:tab/>
        </w:r>
        <w:r>
          <w:rPr>
            <w:webHidden/>
          </w:rPr>
          <w:fldChar w:fldCharType="begin"/>
        </w:r>
        <w:r w:rsidR="00BF40C7">
          <w:rPr>
            <w:webHidden/>
          </w:rPr>
          <w:instrText xml:space="preserve"> PAGEREF _Toc434918304 \h </w:instrText>
        </w:r>
        <w:r>
          <w:rPr>
            <w:webHidden/>
          </w:rPr>
        </w:r>
        <w:r>
          <w:rPr>
            <w:webHidden/>
          </w:rPr>
          <w:fldChar w:fldCharType="separate"/>
        </w:r>
        <w:r w:rsidR="0034021B">
          <w:rPr>
            <w:webHidden/>
          </w:rPr>
          <w:t>2</w:t>
        </w:r>
        <w:r>
          <w:rPr>
            <w:webHidden/>
          </w:rPr>
          <w:fldChar w:fldCharType="end"/>
        </w:r>
      </w:hyperlink>
    </w:p>
    <w:p w:rsidR="00BF40C7" w:rsidRDefault="0026344C">
      <w:pPr>
        <w:pStyle w:val="TOC1"/>
        <w:rPr>
          <w:rFonts w:asciiTheme="minorHAnsi" w:eastAsiaTheme="minorEastAsia" w:hAnsiTheme="minorHAnsi" w:cstheme="minorBidi"/>
          <w:b w:val="0"/>
          <w:sz w:val="22"/>
          <w:szCs w:val="22"/>
          <w:lang w:eastAsia="fr-FR" w:bidi="ar-SA"/>
        </w:rPr>
      </w:pPr>
      <w:hyperlink w:anchor="_Toc434918305" w:history="1">
        <w:r w:rsidR="00BF40C7" w:rsidRPr="001E51AF">
          <w:rPr>
            <w:rStyle w:val="Hyperlink"/>
          </w:rPr>
          <w:t>Poids et mesures</w:t>
        </w:r>
        <w:r w:rsidR="00BF40C7">
          <w:rPr>
            <w:webHidden/>
          </w:rPr>
          <w:tab/>
        </w:r>
        <w:r w:rsidR="00E618E8">
          <w:rPr>
            <w:webHidden/>
          </w:rPr>
          <w:fldChar w:fldCharType="begin"/>
        </w:r>
        <w:r w:rsidR="00BF40C7">
          <w:rPr>
            <w:webHidden/>
          </w:rPr>
          <w:instrText xml:space="preserve"> PAGEREF _Toc434918305 \h </w:instrText>
        </w:r>
        <w:r w:rsidR="00E618E8">
          <w:rPr>
            <w:webHidden/>
          </w:rPr>
        </w:r>
        <w:r w:rsidR="00E618E8">
          <w:rPr>
            <w:webHidden/>
          </w:rPr>
          <w:fldChar w:fldCharType="separate"/>
        </w:r>
        <w:r w:rsidR="0034021B">
          <w:rPr>
            <w:webHidden/>
          </w:rPr>
          <w:t>2</w:t>
        </w:r>
        <w:r w:rsidR="00E618E8">
          <w:rPr>
            <w:webHidden/>
          </w:rPr>
          <w:fldChar w:fldCharType="end"/>
        </w:r>
      </w:hyperlink>
    </w:p>
    <w:p w:rsidR="00BF40C7" w:rsidRDefault="0026344C">
      <w:pPr>
        <w:pStyle w:val="TOC1"/>
        <w:rPr>
          <w:rFonts w:asciiTheme="minorHAnsi" w:eastAsiaTheme="minorEastAsia" w:hAnsiTheme="minorHAnsi" w:cstheme="minorBidi"/>
          <w:b w:val="0"/>
          <w:sz w:val="22"/>
          <w:szCs w:val="22"/>
          <w:lang w:eastAsia="fr-FR" w:bidi="ar-SA"/>
        </w:rPr>
      </w:pPr>
      <w:hyperlink w:anchor="_Toc434918306" w:history="1">
        <w:r w:rsidR="00BF40C7" w:rsidRPr="001E51AF">
          <w:rPr>
            <w:rStyle w:val="Hyperlink"/>
          </w:rPr>
          <w:t>Liste des abréviations</w:t>
        </w:r>
        <w:r w:rsidR="00BF40C7">
          <w:rPr>
            <w:webHidden/>
          </w:rPr>
          <w:tab/>
        </w:r>
        <w:r w:rsidR="00E618E8">
          <w:rPr>
            <w:webHidden/>
          </w:rPr>
          <w:fldChar w:fldCharType="begin"/>
        </w:r>
        <w:r w:rsidR="00BF40C7">
          <w:rPr>
            <w:webHidden/>
          </w:rPr>
          <w:instrText xml:space="preserve"> PAGEREF _Toc434918306 \h </w:instrText>
        </w:r>
        <w:r w:rsidR="00E618E8">
          <w:rPr>
            <w:webHidden/>
          </w:rPr>
        </w:r>
        <w:r w:rsidR="00E618E8">
          <w:rPr>
            <w:webHidden/>
          </w:rPr>
          <w:fldChar w:fldCharType="separate"/>
        </w:r>
        <w:r w:rsidR="0034021B">
          <w:rPr>
            <w:webHidden/>
          </w:rPr>
          <w:t>3</w:t>
        </w:r>
        <w:r w:rsidR="00E618E8">
          <w:rPr>
            <w:webHidden/>
          </w:rPr>
          <w:fldChar w:fldCharType="end"/>
        </w:r>
      </w:hyperlink>
    </w:p>
    <w:p w:rsidR="00BF40C7" w:rsidRDefault="0026344C">
      <w:pPr>
        <w:pStyle w:val="TOC1"/>
        <w:rPr>
          <w:rFonts w:asciiTheme="minorHAnsi" w:eastAsiaTheme="minorEastAsia" w:hAnsiTheme="minorHAnsi" w:cstheme="minorBidi"/>
          <w:b w:val="0"/>
          <w:sz w:val="22"/>
          <w:szCs w:val="22"/>
          <w:lang w:eastAsia="fr-FR" w:bidi="ar-SA"/>
        </w:rPr>
      </w:pPr>
      <w:hyperlink w:anchor="_Toc434918307" w:history="1">
        <w:r w:rsidR="00BF40C7" w:rsidRPr="001E51AF">
          <w:rPr>
            <w:rStyle w:val="Hyperlink"/>
          </w:rPr>
          <w:t>Table des matières</w:t>
        </w:r>
        <w:r w:rsidR="00BF40C7">
          <w:rPr>
            <w:webHidden/>
          </w:rPr>
          <w:tab/>
        </w:r>
        <w:r w:rsidR="00E618E8">
          <w:rPr>
            <w:webHidden/>
          </w:rPr>
          <w:fldChar w:fldCharType="begin"/>
        </w:r>
        <w:r w:rsidR="00BF40C7">
          <w:rPr>
            <w:webHidden/>
          </w:rPr>
          <w:instrText xml:space="preserve"> PAGEREF _Toc434918307 \h </w:instrText>
        </w:r>
        <w:r w:rsidR="00E618E8">
          <w:rPr>
            <w:webHidden/>
          </w:rPr>
        </w:r>
        <w:r w:rsidR="00E618E8">
          <w:rPr>
            <w:webHidden/>
          </w:rPr>
          <w:fldChar w:fldCharType="separate"/>
        </w:r>
        <w:r w:rsidR="0034021B">
          <w:rPr>
            <w:webHidden/>
          </w:rPr>
          <w:t>4</w:t>
        </w:r>
        <w:r w:rsidR="00E618E8">
          <w:rPr>
            <w:webHidden/>
          </w:rPr>
          <w:fldChar w:fldCharType="end"/>
        </w:r>
      </w:hyperlink>
    </w:p>
    <w:p w:rsidR="00BF40C7" w:rsidRDefault="0026344C">
      <w:pPr>
        <w:pStyle w:val="TOC1"/>
        <w:rPr>
          <w:rFonts w:asciiTheme="minorHAnsi" w:eastAsiaTheme="minorEastAsia" w:hAnsiTheme="minorHAnsi" w:cstheme="minorBidi"/>
          <w:b w:val="0"/>
          <w:sz w:val="22"/>
          <w:szCs w:val="22"/>
          <w:lang w:eastAsia="fr-FR" w:bidi="ar-SA"/>
        </w:rPr>
      </w:pPr>
      <w:hyperlink w:anchor="_Toc434918308" w:history="1">
        <w:r w:rsidR="00BF40C7" w:rsidRPr="001E51AF">
          <w:rPr>
            <w:rStyle w:val="Hyperlink"/>
          </w:rPr>
          <w:t>Avant - Propos</w:t>
        </w:r>
        <w:r w:rsidR="00BF40C7">
          <w:rPr>
            <w:webHidden/>
          </w:rPr>
          <w:tab/>
        </w:r>
        <w:r w:rsidR="00E618E8">
          <w:rPr>
            <w:webHidden/>
          </w:rPr>
          <w:fldChar w:fldCharType="begin"/>
        </w:r>
        <w:r w:rsidR="00BF40C7">
          <w:rPr>
            <w:webHidden/>
          </w:rPr>
          <w:instrText xml:space="preserve"> PAGEREF _Toc434918308 \h </w:instrText>
        </w:r>
        <w:r w:rsidR="00E618E8">
          <w:rPr>
            <w:webHidden/>
          </w:rPr>
        </w:r>
        <w:r w:rsidR="00E618E8">
          <w:rPr>
            <w:webHidden/>
          </w:rPr>
          <w:fldChar w:fldCharType="separate"/>
        </w:r>
        <w:r w:rsidR="0034021B">
          <w:rPr>
            <w:webHidden/>
          </w:rPr>
          <w:t>5</w:t>
        </w:r>
        <w:r w:rsidR="00E618E8">
          <w:rPr>
            <w:webHidden/>
          </w:rPr>
          <w:fldChar w:fldCharType="end"/>
        </w:r>
      </w:hyperlink>
    </w:p>
    <w:p w:rsidR="00BF40C7" w:rsidRDefault="0026344C">
      <w:pPr>
        <w:pStyle w:val="TOC1"/>
        <w:rPr>
          <w:rFonts w:asciiTheme="minorHAnsi" w:eastAsiaTheme="minorEastAsia" w:hAnsiTheme="minorHAnsi" w:cstheme="minorBidi"/>
          <w:b w:val="0"/>
          <w:sz w:val="22"/>
          <w:szCs w:val="22"/>
          <w:lang w:eastAsia="fr-FR" w:bidi="ar-SA"/>
        </w:rPr>
      </w:pPr>
      <w:hyperlink w:anchor="_Toc434918309" w:history="1">
        <w:r w:rsidR="00BF40C7" w:rsidRPr="001E51AF">
          <w:rPr>
            <w:rStyle w:val="Hyperlink"/>
          </w:rPr>
          <w:t>Résumé de l’évaluation</w:t>
        </w:r>
        <w:r w:rsidR="00BF40C7">
          <w:rPr>
            <w:webHidden/>
          </w:rPr>
          <w:tab/>
        </w:r>
        <w:r w:rsidR="00E618E8">
          <w:rPr>
            <w:webHidden/>
          </w:rPr>
          <w:fldChar w:fldCharType="begin"/>
        </w:r>
        <w:r w:rsidR="00BF40C7">
          <w:rPr>
            <w:webHidden/>
          </w:rPr>
          <w:instrText xml:space="preserve"> PAGEREF _Toc434918309 \h </w:instrText>
        </w:r>
        <w:r w:rsidR="00E618E8">
          <w:rPr>
            <w:webHidden/>
          </w:rPr>
        </w:r>
        <w:r w:rsidR="00E618E8">
          <w:rPr>
            <w:webHidden/>
          </w:rPr>
          <w:fldChar w:fldCharType="separate"/>
        </w:r>
        <w:r w:rsidR="0034021B">
          <w:rPr>
            <w:webHidden/>
          </w:rPr>
          <w:t>6</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310" w:history="1">
        <w:r w:rsidR="00BF40C7" w:rsidRPr="001E51AF">
          <w:rPr>
            <w:rStyle w:val="Hyperlink"/>
          </w:rPr>
          <w:t>1. Introduction</w:t>
        </w:r>
        <w:r w:rsidR="00BF40C7">
          <w:rPr>
            <w:webHidden/>
          </w:rPr>
          <w:tab/>
        </w:r>
        <w:r w:rsidR="00E618E8">
          <w:rPr>
            <w:webHidden/>
          </w:rPr>
          <w:fldChar w:fldCharType="begin"/>
        </w:r>
        <w:r w:rsidR="00BF40C7">
          <w:rPr>
            <w:webHidden/>
          </w:rPr>
          <w:instrText xml:space="preserve"> PAGEREF _Toc434918310 \h </w:instrText>
        </w:r>
        <w:r w:rsidR="00E618E8">
          <w:rPr>
            <w:webHidden/>
          </w:rPr>
        </w:r>
        <w:r w:rsidR="00E618E8">
          <w:rPr>
            <w:webHidden/>
          </w:rPr>
          <w:fldChar w:fldCharType="separate"/>
        </w:r>
        <w:r w:rsidR="0034021B">
          <w:rPr>
            <w:webHidden/>
          </w:rPr>
          <w:t>11</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311" w:history="1">
        <w:r w:rsidR="00BF40C7" w:rsidRPr="001E51AF">
          <w:rPr>
            <w:rStyle w:val="Hyperlink"/>
          </w:rPr>
          <w:t>2. Informations générales sur le Maroc et sur la Commune  de Casablanca</w:t>
        </w:r>
        <w:r w:rsidR="00BF40C7">
          <w:rPr>
            <w:webHidden/>
          </w:rPr>
          <w:tab/>
        </w:r>
        <w:r w:rsidR="00E618E8">
          <w:rPr>
            <w:webHidden/>
          </w:rPr>
          <w:fldChar w:fldCharType="begin"/>
        </w:r>
        <w:r w:rsidR="00BF40C7">
          <w:rPr>
            <w:webHidden/>
          </w:rPr>
          <w:instrText xml:space="preserve"> PAGEREF _Toc434918311 \h </w:instrText>
        </w:r>
        <w:r w:rsidR="00E618E8">
          <w:rPr>
            <w:webHidden/>
          </w:rPr>
        </w:r>
        <w:r w:rsidR="00E618E8">
          <w:rPr>
            <w:webHidden/>
          </w:rPr>
          <w:fldChar w:fldCharType="separate"/>
        </w:r>
        <w:r w:rsidR="0034021B">
          <w:rPr>
            <w:webHidden/>
          </w:rPr>
          <w:t>14</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12" w:history="1">
        <w:r w:rsidR="00BF40C7" w:rsidRPr="001E51AF">
          <w:rPr>
            <w:rStyle w:val="Hyperlink"/>
          </w:rPr>
          <w:t xml:space="preserve">2.1 Description de la situation économique nationale et du contexte de la </w:t>
        </w:r>
        <w:r w:rsidR="00262F9D">
          <w:rPr>
            <w:rStyle w:val="Hyperlink"/>
          </w:rPr>
          <w:t>CC</w:t>
        </w:r>
        <w:r w:rsidR="00BF40C7">
          <w:rPr>
            <w:webHidden/>
          </w:rPr>
          <w:tab/>
        </w:r>
        <w:r w:rsidR="00E618E8">
          <w:rPr>
            <w:webHidden/>
          </w:rPr>
          <w:fldChar w:fldCharType="begin"/>
        </w:r>
        <w:r w:rsidR="00BF40C7">
          <w:rPr>
            <w:webHidden/>
          </w:rPr>
          <w:instrText xml:space="preserve"> PAGEREF _Toc434918312 \h </w:instrText>
        </w:r>
        <w:r w:rsidR="00E618E8">
          <w:rPr>
            <w:webHidden/>
          </w:rPr>
        </w:r>
        <w:r w:rsidR="00E618E8">
          <w:rPr>
            <w:webHidden/>
          </w:rPr>
          <w:fldChar w:fldCharType="separate"/>
        </w:r>
        <w:r w:rsidR="0034021B">
          <w:rPr>
            <w:webHidden/>
          </w:rPr>
          <w:t>14</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13" w:history="1">
        <w:r w:rsidR="00BF40C7" w:rsidRPr="001E51AF">
          <w:rPr>
            <w:rStyle w:val="Hyperlink"/>
          </w:rPr>
          <w:t>2.2 Description  des objectifs financiers et budgétaires</w:t>
        </w:r>
        <w:r w:rsidR="00BF40C7">
          <w:rPr>
            <w:webHidden/>
          </w:rPr>
          <w:tab/>
        </w:r>
        <w:r w:rsidR="00E618E8">
          <w:rPr>
            <w:webHidden/>
          </w:rPr>
          <w:fldChar w:fldCharType="begin"/>
        </w:r>
        <w:r w:rsidR="00BF40C7">
          <w:rPr>
            <w:webHidden/>
          </w:rPr>
          <w:instrText xml:space="preserve"> PAGEREF _Toc434918313 \h </w:instrText>
        </w:r>
        <w:r w:rsidR="00E618E8">
          <w:rPr>
            <w:webHidden/>
          </w:rPr>
        </w:r>
        <w:r w:rsidR="00E618E8">
          <w:rPr>
            <w:webHidden/>
          </w:rPr>
          <w:fldChar w:fldCharType="separate"/>
        </w:r>
        <w:r w:rsidR="0034021B">
          <w:rPr>
            <w:webHidden/>
          </w:rPr>
          <w:t>20</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14" w:history="1">
        <w:r w:rsidR="00BF40C7" w:rsidRPr="001E51AF">
          <w:rPr>
            <w:rStyle w:val="Hyperlink"/>
          </w:rPr>
          <w:t>2.3 Description de la structure des Collectivités Territoriales</w:t>
        </w:r>
        <w:r w:rsidR="00BF40C7">
          <w:rPr>
            <w:webHidden/>
          </w:rPr>
          <w:tab/>
        </w:r>
        <w:r w:rsidR="00E618E8">
          <w:rPr>
            <w:webHidden/>
          </w:rPr>
          <w:fldChar w:fldCharType="begin"/>
        </w:r>
        <w:r w:rsidR="00BF40C7">
          <w:rPr>
            <w:webHidden/>
          </w:rPr>
          <w:instrText xml:space="preserve"> PAGEREF _Toc434918314 \h </w:instrText>
        </w:r>
        <w:r w:rsidR="00E618E8">
          <w:rPr>
            <w:webHidden/>
          </w:rPr>
        </w:r>
        <w:r w:rsidR="00E618E8">
          <w:rPr>
            <w:webHidden/>
          </w:rPr>
          <w:fldChar w:fldCharType="separate"/>
        </w:r>
        <w:r w:rsidR="0034021B">
          <w:rPr>
            <w:webHidden/>
          </w:rPr>
          <w:t>21</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15" w:history="1">
        <w:r w:rsidR="00BF40C7" w:rsidRPr="001E51AF">
          <w:rPr>
            <w:rStyle w:val="Hyperlink"/>
          </w:rPr>
          <w:t>2.4 Description du cadre juridique et institutionnel de la gestion des finances locales de la ville de Casablanca</w:t>
        </w:r>
        <w:r w:rsidR="00BF40C7">
          <w:rPr>
            <w:webHidden/>
          </w:rPr>
          <w:tab/>
        </w:r>
        <w:r w:rsidR="00E618E8">
          <w:rPr>
            <w:webHidden/>
          </w:rPr>
          <w:fldChar w:fldCharType="begin"/>
        </w:r>
        <w:r w:rsidR="00BF40C7">
          <w:rPr>
            <w:webHidden/>
          </w:rPr>
          <w:instrText xml:space="preserve"> PAGEREF _Toc434918315 \h </w:instrText>
        </w:r>
        <w:r w:rsidR="00E618E8">
          <w:rPr>
            <w:webHidden/>
          </w:rPr>
        </w:r>
        <w:r w:rsidR="00E618E8">
          <w:rPr>
            <w:webHidden/>
          </w:rPr>
          <w:fldChar w:fldCharType="separate"/>
        </w:r>
        <w:r w:rsidR="0034021B">
          <w:rPr>
            <w:webHidden/>
          </w:rPr>
          <w:t>25</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16" w:history="1">
        <w:r w:rsidR="00BF40C7" w:rsidRPr="001E51AF">
          <w:rPr>
            <w:rStyle w:val="Hyperlink"/>
          </w:rPr>
          <w:t>2.5 Description du cadre de contrôle interne</w:t>
        </w:r>
        <w:r w:rsidR="00BF40C7">
          <w:rPr>
            <w:webHidden/>
          </w:rPr>
          <w:tab/>
        </w:r>
        <w:r w:rsidR="00E618E8">
          <w:rPr>
            <w:webHidden/>
          </w:rPr>
          <w:fldChar w:fldCharType="begin"/>
        </w:r>
        <w:r w:rsidR="00BF40C7">
          <w:rPr>
            <w:webHidden/>
          </w:rPr>
          <w:instrText xml:space="preserve"> PAGEREF _Toc434918316 \h </w:instrText>
        </w:r>
        <w:r w:rsidR="00E618E8">
          <w:rPr>
            <w:webHidden/>
          </w:rPr>
        </w:r>
        <w:r w:rsidR="00E618E8">
          <w:rPr>
            <w:webHidden/>
          </w:rPr>
          <w:fldChar w:fldCharType="separate"/>
        </w:r>
        <w:r w:rsidR="0034021B">
          <w:rPr>
            <w:webHidden/>
          </w:rPr>
          <w:t>34</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317" w:history="1">
        <w:r w:rsidR="00BF40C7" w:rsidRPr="001E51AF">
          <w:rPr>
            <w:rStyle w:val="Hyperlink"/>
          </w:rPr>
          <w:t>3. Evaluation des systèmes, des processus et des institutions de gestion des finances publiques</w:t>
        </w:r>
        <w:r w:rsidR="00BF40C7">
          <w:rPr>
            <w:webHidden/>
          </w:rPr>
          <w:tab/>
        </w:r>
        <w:r w:rsidR="00E618E8">
          <w:rPr>
            <w:webHidden/>
          </w:rPr>
          <w:fldChar w:fldCharType="begin"/>
        </w:r>
        <w:r w:rsidR="00BF40C7">
          <w:rPr>
            <w:webHidden/>
          </w:rPr>
          <w:instrText xml:space="preserve"> PAGEREF _Toc434918317 \h </w:instrText>
        </w:r>
        <w:r w:rsidR="00E618E8">
          <w:rPr>
            <w:webHidden/>
          </w:rPr>
        </w:r>
        <w:r w:rsidR="00E618E8">
          <w:rPr>
            <w:webHidden/>
          </w:rPr>
          <w:fldChar w:fldCharType="separate"/>
        </w:r>
        <w:r w:rsidR="0034021B">
          <w:rPr>
            <w:webHidden/>
          </w:rPr>
          <w:t>35</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24" w:history="1">
        <w:r w:rsidR="00BF40C7" w:rsidRPr="001E51AF">
          <w:rPr>
            <w:rStyle w:val="Hyperlink"/>
          </w:rPr>
          <w:t>3.1 Crédibilité de la stratégie de finances publiques et du budget</w:t>
        </w:r>
        <w:r w:rsidR="00BF40C7">
          <w:rPr>
            <w:webHidden/>
          </w:rPr>
          <w:tab/>
        </w:r>
        <w:r w:rsidR="00E618E8">
          <w:rPr>
            <w:webHidden/>
          </w:rPr>
          <w:fldChar w:fldCharType="begin"/>
        </w:r>
        <w:r w:rsidR="00BF40C7">
          <w:rPr>
            <w:webHidden/>
          </w:rPr>
          <w:instrText xml:space="preserve"> PAGEREF _Toc434918324 \h </w:instrText>
        </w:r>
        <w:r w:rsidR="00E618E8">
          <w:rPr>
            <w:webHidden/>
          </w:rPr>
        </w:r>
        <w:r w:rsidR="00E618E8">
          <w:rPr>
            <w:webHidden/>
          </w:rPr>
          <w:fldChar w:fldCharType="separate"/>
        </w:r>
        <w:r w:rsidR="0034021B">
          <w:rPr>
            <w:webHidden/>
          </w:rPr>
          <w:t>40</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26" w:history="1">
        <w:r w:rsidR="00BF40C7" w:rsidRPr="001E51AF">
          <w:rPr>
            <w:rStyle w:val="Hyperlink"/>
          </w:rPr>
          <w:t>3.2 Exhaustivité et transparence</w:t>
        </w:r>
        <w:r w:rsidR="00BF40C7">
          <w:rPr>
            <w:webHidden/>
          </w:rPr>
          <w:tab/>
        </w:r>
        <w:r w:rsidR="00E618E8">
          <w:rPr>
            <w:webHidden/>
          </w:rPr>
          <w:fldChar w:fldCharType="begin"/>
        </w:r>
        <w:r w:rsidR="00BF40C7">
          <w:rPr>
            <w:webHidden/>
          </w:rPr>
          <w:instrText xml:space="preserve"> PAGEREF _Toc434918326 \h </w:instrText>
        </w:r>
        <w:r w:rsidR="00E618E8">
          <w:rPr>
            <w:webHidden/>
          </w:rPr>
        </w:r>
        <w:r w:rsidR="00E618E8">
          <w:rPr>
            <w:webHidden/>
          </w:rPr>
          <w:fldChar w:fldCharType="separate"/>
        </w:r>
        <w:r w:rsidR="0034021B">
          <w:rPr>
            <w:webHidden/>
          </w:rPr>
          <w:t>46</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40" w:history="1">
        <w:r w:rsidR="00BF40C7" w:rsidRPr="001E51AF">
          <w:rPr>
            <w:rStyle w:val="Hyperlink"/>
          </w:rPr>
          <w:t>3.3 Gestion des actifs et des passifs</w:t>
        </w:r>
        <w:r w:rsidR="00BF40C7">
          <w:rPr>
            <w:webHidden/>
          </w:rPr>
          <w:tab/>
        </w:r>
        <w:r w:rsidR="00E618E8">
          <w:rPr>
            <w:webHidden/>
          </w:rPr>
          <w:fldChar w:fldCharType="begin"/>
        </w:r>
        <w:r w:rsidR="00BF40C7">
          <w:rPr>
            <w:webHidden/>
          </w:rPr>
          <w:instrText xml:space="preserve"> PAGEREF _Toc434918340 \h </w:instrText>
        </w:r>
        <w:r w:rsidR="00E618E8">
          <w:rPr>
            <w:webHidden/>
          </w:rPr>
        </w:r>
        <w:r w:rsidR="00E618E8">
          <w:rPr>
            <w:webHidden/>
          </w:rPr>
          <w:fldChar w:fldCharType="separate"/>
        </w:r>
        <w:r w:rsidR="0034021B">
          <w:rPr>
            <w:webHidden/>
          </w:rPr>
          <w:t>61</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47" w:history="1">
        <w:r w:rsidR="00BF40C7" w:rsidRPr="001E51AF">
          <w:rPr>
            <w:rStyle w:val="Hyperlink"/>
          </w:rPr>
          <w:t>3.4 Planification et préparation du budget sur la base des politiques publiques</w:t>
        </w:r>
        <w:r w:rsidR="00BF40C7">
          <w:rPr>
            <w:webHidden/>
          </w:rPr>
          <w:tab/>
        </w:r>
        <w:r w:rsidR="00E618E8">
          <w:rPr>
            <w:webHidden/>
          </w:rPr>
          <w:fldChar w:fldCharType="begin"/>
        </w:r>
        <w:r w:rsidR="00BF40C7">
          <w:rPr>
            <w:webHidden/>
          </w:rPr>
          <w:instrText xml:space="preserve"> PAGEREF _Toc434918347 \h </w:instrText>
        </w:r>
        <w:r w:rsidR="00E618E8">
          <w:rPr>
            <w:webHidden/>
          </w:rPr>
        </w:r>
        <w:r w:rsidR="00E618E8">
          <w:rPr>
            <w:webHidden/>
          </w:rPr>
          <w:fldChar w:fldCharType="separate"/>
        </w:r>
        <w:r w:rsidR="0034021B">
          <w:rPr>
            <w:webHidden/>
          </w:rPr>
          <w:t>70</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56" w:history="1">
        <w:r w:rsidR="00BF40C7" w:rsidRPr="001E51AF">
          <w:rPr>
            <w:rStyle w:val="Hyperlink"/>
          </w:rPr>
          <w:t>3.5 Prévisibilité et contrôle de l’exécution budgétaire</w:t>
        </w:r>
        <w:r w:rsidR="00BF40C7">
          <w:rPr>
            <w:webHidden/>
          </w:rPr>
          <w:tab/>
        </w:r>
        <w:r w:rsidR="00E618E8">
          <w:rPr>
            <w:webHidden/>
          </w:rPr>
          <w:fldChar w:fldCharType="begin"/>
        </w:r>
        <w:r w:rsidR="00BF40C7">
          <w:rPr>
            <w:webHidden/>
          </w:rPr>
          <w:instrText xml:space="preserve"> PAGEREF _Toc434918356 \h </w:instrText>
        </w:r>
        <w:r w:rsidR="00E618E8">
          <w:rPr>
            <w:webHidden/>
          </w:rPr>
        </w:r>
        <w:r w:rsidR="00E618E8">
          <w:rPr>
            <w:webHidden/>
          </w:rPr>
          <w:fldChar w:fldCharType="separate"/>
        </w:r>
        <w:r w:rsidR="0034021B">
          <w:rPr>
            <w:webHidden/>
          </w:rPr>
          <w:t>84</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69" w:history="1">
        <w:r w:rsidR="00BF40C7" w:rsidRPr="001E51AF">
          <w:rPr>
            <w:rStyle w:val="Hyperlink"/>
          </w:rPr>
          <w:t>3.6 Comptabilité, enregistrement de données et établissement  de rapports</w:t>
        </w:r>
        <w:r w:rsidR="00BF40C7">
          <w:rPr>
            <w:webHidden/>
          </w:rPr>
          <w:tab/>
        </w:r>
        <w:r w:rsidR="00E618E8">
          <w:rPr>
            <w:webHidden/>
          </w:rPr>
          <w:fldChar w:fldCharType="begin"/>
        </w:r>
        <w:r w:rsidR="00BF40C7">
          <w:rPr>
            <w:webHidden/>
          </w:rPr>
          <w:instrText xml:space="preserve"> PAGEREF _Toc434918369 \h </w:instrText>
        </w:r>
        <w:r w:rsidR="00E618E8">
          <w:rPr>
            <w:webHidden/>
          </w:rPr>
        </w:r>
        <w:r w:rsidR="00E618E8">
          <w:rPr>
            <w:webHidden/>
          </w:rPr>
          <w:fldChar w:fldCharType="separate"/>
        </w:r>
        <w:r w:rsidR="0034021B">
          <w:rPr>
            <w:webHidden/>
          </w:rPr>
          <w:t>106</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384" w:history="1">
        <w:r w:rsidR="00BF40C7" w:rsidRPr="001E51AF">
          <w:rPr>
            <w:rStyle w:val="Hyperlink"/>
          </w:rPr>
          <w:t>3.7 Surveillance et audits externes</w:t>
        </w:r>
        <w:r w:rsidR="00BF40C7">
          <w:rPr>
            <w:webHidden/>
          </w:rPr>
          <w:tab/>
        </w:r>
        <w:r w:rsidR="00E618E8">
          <w:rPr>
            <w:webHidden/>
          </w:rPr>
          <w:fldChar w:fldCharType="begin"/>
        </w:r>
        <w:r w:rsidR="00BF40C7">
          <w:rPr>
            <w:webHidden/>
          </w:rPr>
          <w:instrText xml:space="preserve"> PAGEREF _Toc434918384 \h </w:instrText>
        </w:r>
        <w:r w:rsidR="00E618E8">
          <w:rPr>
            <w:webHidden/>
          </w:rPr>
        </w:r>
        <w:r w:rsidR="00E618E8">
          <w:rPr>
            <w:webHidden/>
          </w:rPr>
          <w:fldChar w:fldCharType="separate"/>
        </w:r>
        <w:r w:rsidR="0034021B">
          <w:rPr>
            <w:webHidden/>
          </w:rPr>
          <w:t>113</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399" w:history="1">
        <w:r w:rsidR="00BF40C7" w:rsidRPr="001E51AF">
          <w:rPr>
            <w:rStyle w:val="Hyperlink"/>
          </w:rPr>
          <w:t>4. Analyse des systèmes disponibles pour produire les résultats budgétaires</w:t>
        </w:r>
        <w:r w:rsidR="00BF40C7">
          <w:rPr>
            <w:webHidden/>
          </w:rPr>
          <w:tab/>
        </w:r>
        <w:r w:rsidR="00E618E8">
          <w:rPr>
            <w:webHidden/>
          </w:rPr>
          <w:fldChar w:fldCharType="begin"/>
        </w:r>
        <w:r w:rsidR="00BF40C7">
          <w:rPr>
            <w:webHidden/>
          </w:rPr>
          <w:instrText xml:space="preserve"> PAGEREF _Toc434918399 \h </w:instrText>
        </w:r>
        <w:r w:rsidR="00E618E8">
          <w:rPr>
            <w:webHidden/>
          </w:rPr>
        </w:r>
        <w:r w:rsidR="00E618E8">
          <w:rPr>
            <w:webHidden/>
          </w:rPr>
          <w:fldChar w:fldCharType="separate"/>
        </w:r>
        <w:r w:rsidR="0034021B">
          <w:rPr>
            <w:webHidden/>
          </w:rPr>
          <w:t>117</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0" w:history="1">
        <w:r w:rsidR="00BF40C7" w:rsidRPr="001E51AF">
          <w:rPr>
            <w:rStyle w:val="Hyperlink"/>
          </w:rPr>
          <w:t>4.1 Evaluation intégrée des différents indicateurs de performance</w:t>
        </w:r>
        <w:r w:rsidR="00BF40C7">
          <w:rPr>
            <w:webHidden/>
          </w:rPr>
          <w:tab/>
        </w:r>
        <w:r w:rsidR="00E618E8">
          <w:rPr>
            <w:webHidden/>
          </w:rPr>
          <w:fldChar w:fldCharType="begin"/>
        </w:r>
        <w:r w:rsidR="00BF40C7">
          <w:rPr>
            <w:webHidden/>
          </w:rPr>
          <w:instrText xml:space="preserve"> PAGEREF _Toc434918400 \h </w:instrText>
        </w:r>
        <w:r w:rsidR="00E618E8">
          <w:rPr>
            <w:webHidden/>
          </w:rPr>
        </w:r>
        <w:r w:rsidR="00E618E8">
          <w:rPr>
            <w:webHidden/>
          </w:rPr>
          <w:fldChar w:fldCharType="separate"/>
        </w:r>
        <w:r w:rsidR="0034021B">
          <w:rPr>
            <w:webHidden/>
          </w:rPr>
          <w:t>117</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1" w:history="1">
        <w:r w:rsidR="00BF40C7" w:rsidRPr="001E51AF">
          <w:rPr>
            <w:rStyle w:val="Hyperlink"/>
          </w:rPr>
          <w:t>4.2 Efficacité du cadre des contrôles internes</w:t>
        </w:r>
        <w:r w:rsidR="00BF40C7">
          <w:rPr>
            <w:webHidden/>
          </w:rPr>
          <w:tab/>
        </w:r>
        <w:r w:rsidR="00E618E8">
          <w:rPr>
            <w:webHidden/>
          </w:rPr>
          <w:fldChar w:fldCharType="begin"/>
        </w:r>
        <w:r w:rsidR="00BF40C7">
          <w:rPr>
            <w:webHidden/>
          </w:rPr>
          <w:instrText xml:space="preserve"> PAGEREF _Toc434918401 \h </w:instrText>
        </w:r>
        <w:r w:rsidR="00E618E8">
          <w:rPr>
            <w:webHidden/>
          </w:rPr>
        </w:r>
        <w:r w:rsidR="00E618E8">
          <w:rPr>
            <w:webHidden/>
          </w:rPr>
          <w:fldChar w:fldCharType="separate"/>
        </w:r>
        <w:r w:rsidR="0034021B">
          <w:rPr>
            <w:webHidden/>
          </w:rPr>
          <w:t>121</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2" w:history="1">
        <w:r w:rsidR="00BF40C7" w:rsidRPr="001E51AF">
          <w:rPr>
            <w:rStyle w:val="Hyperlink"/>
          </w:rPr>
          <w:t>4.3 Evaluation de l’impact des points forts et des points faibles de la GFP</w:t>
        </w:r>
        <w:r w:rsidR="00BF40C7">
          <w:rPr>
            <w:webHidden/>
          </w:rPr>
          <w:tab/>
        </w:r>
        <w:r w:rsidR="00E618E8">
          <w:rPr>
            <w:webHidden/>
          </w:rPr>
          <w:fldChar w:fldCharType="begin"/>
        </w:r>
        <w:r w:rsidR="00BF40C7">
          <w:rPr>
            <w:webHidden/>
          </w:rPr>
          <w:instrText xml:space="preserve"> PAGEREF _Toc434918402 \h </w:instrText>
        </w:r>
        <w:r w:rsidR="00E618E8">
          <w:rPr>
            <w:webHidden/>
          </w:rPr>
        </w:r>
        <w:r w:rsidR="00E618E8">
          <w:rPr>
            <w:webHidden/>
          </w:rPr>
          <w:fldChar w:fldCharType="separate"/>
        </w:r>
        <w:r w:rsidR="0034021B">
          <w:rPr>
            <w:webHidden/>
          </w:rPr>
          <w:t>122</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403" w:history="1">
        <w:r w:rsidR="00BF40C7" w:rsidRPr="001E51AF">
          <w:rPr>
            <w:rStyle w:val="Hyperlink"/>
          </w:rPr>
          <w:t>5. Processus de réforme de la gestion des finances publiques</w:t>
        </w:r>
        <w:r w:rsidR="00BF40C7">
          <w:rPr>
            <w:webHidden/>
          </w:rPr>
          <w:tab/>
        </w:r>
        <w:r w:rsidR="00E618E8">
          <w:rPr>
            <w:webHidden/>
          </w:rPr>
          <w:fldChar w:fldCharType="begin"/>
        </w:r>
        <w:r w:rsidR="00BF40C7">
          <w:rPr>
            <w:webHidden/>
          </w:rPr>
          <w:instrText xml:space="preserve"> PAGEREF _Toc434918403 \h </w:instrText>
        </w:r>
        <w:r w:rsidR="00E618E8">
          <w:rPr>
            <w:webHidden/>
          </w:rPr>
        </w:r>
        <w:r w:rsidR="00E618E8">
          <w:rPr>
            <w:webHidden/>
          </w:rPr>
          <w:fldChar w:fldCharType="separate"/>
        </w:r>
        <w:r w:rsidR="0034021B">
          <w:rPr>
            <w:webHidden/>
          </w:rPr>
          <w:t>124</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4" w:history="1">
        <w:r w:rsidR="00BF40C7" w:rsidRPr="001E51AF">
          <w:rPr>
            <w:rStyle w:val="Hyperlink"/>
          </w:rPr>
          <w:t>5.1 Démarche globale suivie pour procéder à la réforme de la GFP</w:t>
        </w:r>
        <w:r w:rsidR="00BF40C7">
          <w:rPr>
            <w:webHidden/>
          </w:rPr>
          <w:tab/>
        </w:r>
        <w:r w:rsidR="00E618E8">
          <w:rPr>
            <w:webHidden/>
          </w:rPr>
          <w:fldChar w:fldCharType="begin"/>
        </w:r>
        <w:r w:rsidR="00BF40C7">
          <w:rPr>
            <w:webHidden/>
          </w:rPr>
          <w:instrText xml:space="preserve"> PAGEREF _Toc434918404 \h </w:instrText>
        </w:r>
        <w:r w:rsidR="00E618E8">
          <w:rPr>
            <w:webHidden/>
          </w:rPr>
        </w:r>
        <w:r w:rsidR="00E618E8">
          <w:rPr>
            <w:webHidden/>
          </w:rPr>
          <w:fldChar w:fldCharType="separate"/>
        </w:r>
        <w:r w:rsidR="0034021B">
          <w:rPr>
            <w:webHidden/>
          </w:rPr>
          <w:t>124</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5" w:history="1">
        <w:r w:rsidR="00BF40C7" w:rsidRPr="001E51AF">
          <w:rPr>
            <w:rStyle w:val="Hyperlink"/>
          </w:rPr>
          <w:t>5.2 Description des réformes récentes et en cours</w:t>
        </w:r>
        <w:r w:rsidR="00BF40C7">
          <w:rPr>
            <w:webHidden/>
          </w:rPr>
          <w:tab/>
        </w:r>
        <w:r w:rsidR="00E618E8">
          <w:rPr>
            <w:webHidden/>
          </w:rPr>
          <w:fldChar w:fldCharType="begin"/>
        </w:r>
        <w:r w:rsidR="00BF40C7">
          <w:rPr>
            <w:webHidden/>
          </w:rPr>
          <w:instrText xml:space="preserve"> PAGEREF _Toc434918405 \h </w:instrText>
        </w:r>
        <w:r w:rsidR="00E618E8">
          <w:rPr>
            <w:webHidden/>
          </w:rPr>
        </w:r>
        <w:r w:rsidR="00E618E8">
          <w:rPr>
            <w:webHidden/>
          </w:rPr>
          <w:fldChar w:fldCharType="separate"/>
        </w:r>
        <w:r w:rsidR="0034021B">
          <w:rPr>
            <w:webHidden/>
          </w:rPr>
          <w:t>125</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6" w:history="1">
        <w:r w:rsidR="00BF40C7" w:rsidRPr="001E51AF">
          <w:rPr>
            <w:rStyle w:val="Hyperlink"/>
          </w:rPr>
          <w:t>5.3 Facteurs institutionnels soutenant la planification et la mise en œuvre des réformes</w:t>
        </w:r>
        <w:r w:rsidR="00BF40C7">
          <w:rPr>
            <w:webHidden/>
          </w:rPr>
          <w:tab/>
        </w:r>
        <w:r w:rsidR="00E618E8">
          <w:rPr>
            <w:webHidden/>
          </w:rPr>
          <w:fldChar w:fldCharType="begin"/>
        </w:r>
        <w:r w:rsidR="00BF40C7">
          <w:rPr>
            <w:webHidden/>
          </w:rPr>
          <w:instrText xml:space="preserve"> PAGEREF _Toc434918406 \h </w:instrText>
        </w:r>
        <w:r w:rsidR="00E618E8">
          <w:rPr>
            <w:webHidden/>
          </w:rPr>
        </w:r>
        <w:r w:rsidR="00E618E8">
          <w:rPr>
            <w:webHidden/>
          </w:rPr>
          <w:fldChar w:fldCharType="separate"/>
        </w:r>
        <w:r w:rsidR="0034021B">
          <w:rPr>
            <w:webHidden/>
          </w:rPr>
          <w:t>126</w:t>
        </w:r>
        <w:r w:rsidR="00E618E8">
          <w:rPr>
            <w:webHidden/>
          </w:rPr>
          <w:fldChar w:fldCharType="end"/>
        </w:r>
      </w:hyperlink>
    </w:p>
    <w:p w:rsidR="00BF40C7" w:rsidRDefault="00BF40C7">
      <w:pPr>
        <w:pStyle w:val="TOC1"/>
        <w:rPr>
          <w:rStyle w:val="Hyperlink"/>
        </w:rPr>
      </w:pPr>
    </w:p>
    <w:p w:rsidR="00BF40C7" w:rsidRDefault="0026344C">
      <w:pPr>
        <w:pStyle w:val="TOC1"/>
        <w:rPr>
          <w:rFonts w:asciiTheme="minorHAnsi" w:eastAsiaTheme="minorEastAsia" w:hAnsiTheme="minorHAnsi" w:cstheme="minorBidi"/>
          <w:b w:val="0"/>
          <w:sz w:val="22"/>
          <w:szCs w:val="22"/>
          <w:lang w:eastAsia="fr-FR" w:bidi="ar-SA"/>
        </w:rPr>
      </w:pPr>
      <w:hyperlink w:anchor="_Toc434918407" w:history="1">
        <w:r w:rsidR="00BF40C7" w:rsidRPr="001E51AF">
          <w:rPr>
            <w:rStyle w:val="Hyperlink"/>
          </w:rPr>
          <w:t>ANNEXES</w:t>
        </w:r>
        <w:r w:rsidR="00BF40C7">
          <w:rPr>
            <w:webHidden/>
          </w:rPr>
          <w:tab/>
        </w:r>
        <w:r w:rsidR="00E618E8">
          <w:rPr>
            <w:webHidden/>
          </w:rPr>
          <w:fldChar w:fldCharType="begin"/>
        </w:r>
        <w:r w:rsidR="00BF40C7">
          <w:rPr>
            <w:webHidden/>
          </w:rPr>
          <w:instrText xml:space="preserve"> PAGEREF _Toc434918407 \h </w:instrText>
        </w:r>
        <w:r w:rsidR="00E618E8">
          <w:rPr>
            <w:webHidden/>
          </w:rPr>
        </w:r>
        <w:r w:rsidR="00E618E8">
          <w:rPr>
            <w:webHidden/>
          </w:rPr>
          <w:fldChar w:fldCharType="separate"/>
        </w:r>
        <w:r w:rsidR="0034021B">
          <w:rPr>
            <w:webHidden/>
          </w:rPr>
          <w:t>128</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08" w:history="1">
        <w:r w:rsidR="00BF40C7" w:rsidRPr="001E51AF">
          <w:rPr>
            <w:rStyle w:val="Hyperlink"/>
          </w:rPr>
          <w:t>Annexe 1: Tableaux récapitulatifs des indicateurs de performance</w:t>
        </w:r>
        <w:r w:rsidR="00BF40C7">
          <w:rPr>
            <w:webHidden/>
          </w:rPr>
          <w:tab/>
        </w:r>
        <w:r w:rsidR="00E618E8">
          <w:rPr>
            <w:webHidden/>
          </w:rPr>
          <w:fldChar w:fldCharType="begin"/>
        </w:r>
        <w:r w:rsidR="00BF40C7">
          <w:rPr>
            <w:webHidden/>
          </w:rPr>
          <w:instrText xml:space="preserve"> PAGEREF _Toc434918408 \h </w:instrText>
        </w:r>
        <w:r w:rsidR="00E618E8">
          <w:rPr>
            <w:webHidden/>
          </w:rPr>
        </w:r>
        <w:r w:rsidR="00E618E8">
          <w:rPr>
            <w:webHidden/>
          </w:rPr>
          <w:fldChar w:fldCharType="separate"/>
        </w:r>
        <w:r w:rsidR="0034021B">
          <w:rPr>
            <w:webHidden/>
          </w:rPr>
          <w:t>129</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11" w:history="1">
        <w:r w:rsidR="00BF40C7" w:rsidRPr="001E51AF">
          <w:rPr>
            <w:rStyle w:val="Hyperlink"/>
          </w:rPr>
          <w:t>Annexe 2: Sources des informations</w:t>
        </w:r>
        <w:r w:rsidR="00BF40C7">
          <w:rPr>
            <w:webHidden/>
          </w:rPr>
          <w:tab/>
        </w:r>
        <w:r w:rsidR="00E618E8">
          <w:rPr>
            <w:webHidden/>
          </w:rPr>
          <w:fldChar w:fldCharType="begin"/>
        </w:r>
        <w:r w:rsidR="00BF40C7">
          <w:rPr>
            <w:webHidden/>
          </w:rPr>
          <w:instrText xml:space="preserve"> PAGEREF _Toc434918411 \h </w:instrText>
        </w:r>
        <w:r w:rsidR="00E618E8">
          <w:rPr>
            <w:webHidden/>
          </w:rPr>
        </w:r>
        <w:r w:rsidR="00E618E8">
          <w:rPr>
            <w:webHidden/>
          </w:rPr>
          <w:fldChar w:fldCharType="separate"/>
        </w:r>
        <w:r w:rsidR="0034021B">
          <w:rPr>
            <w:webHidden/>
          </w:rPr>
          <w:t>135</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14" w:history="1">
        <w:r w:rsidR="00BF40C7" w:rsidRPr="001E51AF">
          <w:rPr>
            <w:rStyle w:val="Hyperlink"/>
          </w:rPr>
          <w:t>Annexe 3: Calculs pour HLG1</w:t>
        </w:r>
        <w:r w:rsidR="00BF40C7">
          <w:rPr>
            <w:webHidden/>
          </w:rPr>
          <w:tab/>
        </w:r>
        <w:r w:rsidR="00E618E8">
          <w:rPr>
            <w:webHidden/>
          </w:rPr>
          <w:fldChar w:fldCharType="begin"/>
        </w:r>
        <w:r w:rsidR="00BF40C7">
          <w:rPr>
            <w:webHidden/>
          </w:rPr>
          <w:instrText xml:space="preserve"> PAGEREF _Toc434918414 \h </w:instrText>
        </w:r>
        <w:r w:rsidR="00E618E8">
          <w:rPr>
            <w:webHidden/>
          </w:rPr>
        </w:r>
        <w:r w:rsidR="00E618E8">
          <w:rPr>
            <w:webHidden/>
          </w:rPr>
          <w:fldChar w:fldCharType="separate"/>
        </w:r>
        <w:r w:rsidR="0034021B">
          <w:rPr>
            <w:webHidden/>
          </w:rPr>
          <w:t>141</w:t>
        </w:r>
        <w:r w:rsidR="00E618E8">
          <w:rPr>
            <w:webHidden/>
          </w:rPr>
          <w:fldChar w:fldCharType="end"/>
        </w:r>
      </w:hyperlink>
    </w:p>
    <w:p w:rsidR="00BF40C7" w:rsidRDefault="0026344C">
      <w:pPr>
        <w:pStyle w:val="TOC2"/>
        <w:rPr>
          <w:rFonts w:asciiTheme="minorHAnsi" w:eastAsiaTheme="minorEastAsia" w:hAnsiTheme="minorHAnsi" w:cstheme="minorBidi"/>
          <w:smallCaps w:val="0"/>
          <w:sz w:val="22"/>
          <w:szCs w:val="22"/>
          <w:lang w:eastAsia="fr-FR"/>
        </w:rPr>
      </w:pPr>
      <w:hyperlink w:anchor="_Toc434918415" w:history="1">
        <w:r w:rsidR="00BF40C7" w:rsidRPr="001E51AF">
          <w:rPr>
            <w:rStyle w:val="Hyperlink"/>
          </w:rPr>
          <w:t>Annexe 4: Calculs pour PI-1, PI-2 &amp; PI-15</w:t>
        </w:r>
        <w:r w:rsidR="00BF40C7">
          <w:rPr>
            <w:webHidden/>
          </w:rPr>
          <w:tab/>
        </w:r>
        <w:r w:rsidR="00E618E8">
          <w:rPr>
            <w:webHidden/>
          </w:rPr>
          <w:fldChar w:fldCharType="begin"/>
        </w:r>
        <w:r w:rsidR="00BF40C7">
          <w:rPr>
            <w:webHidden/>
          </w:rPr>
          <w:instrText xml:space="preserve"> PAGEREF _Toc434918415 \h </w:instrText>
        </w:r>
        <w:r w:rsidR="00E618E8">
          <w:rPr>
            <w:webHidden/>
          </w:rPr>
        </w:r>
        <w:r w:rsidR="00E618E8">
          <w:rPr>
            <w:webHidden/>
          </w:rPr>
          <w:fldChar w:fldCharType="separate"/>
        </w:r>
        <w:r w:rsidR="0034021B">
          <w:rPr>
            <w:webHidden/>
          </w:rPr>
          <w:t>144</w:t>
        </w:r>
        <w:r w:rsidR="00E618E8">
          <w:rPr>
            <w:webHidden/>
          </w:rPr>
          <w:fldChar w:fldCharType="end"/>
        </w:r>
      </w:hyperlink>
    </w:p>
    <w:p w:rsidR="00163636" w:rsidRPr="00A17E25" w:rsidRDefault="00E618E8" w:rsidP="00F75220">
      <w:pPr>
        <w:rPr>
          <w:rFonts w:ascii="Arial" w:hAnsi="Arial"/>
          <w:b/>
          <w:bCs/>
          <w:sz w:val="28"/>
          <w:szCs w:val="28"/>
        </w:rPr>
      </w:pPr>
      <w:r>
        <w:rPr>
          <w:rFonts w:ascii="Arial" w:hAnsi="Arial" w:cs="Arial"/>
          <w:bCs/>
          <w:noProof/>
          <w:sz w:val="28"/>
          <w:szCs w:val="28"/>
          <w:lang w:bidi="ml-IN"/>
        </w:rPr>
        <w:fldChar w:fldCharType="end"/>
      </w:r>
    </w:p>
    <w:p w:rsidR="00B16601" w:rsidRPr="00A17E25" w:rsidRDefault="00B16601" w:rsidP="00D922FE">
      <w:pPr>
        <w:jc w:val="center"/>
        <w:rPr>
          <w:rFonts w:ascii="Arial" w:hAnsi="Arial"/>
          <w:b/>
          <w:bCs/>
          <w:sz w:val="28"/>
          <w:szCs w:val="28"/>
        </w:rPr>
      </w:pPr>
    </w:p>
    <w:p w:rsidR="00C64E4E" w:rsidRPr="00A17E25" w:rsidRDefault="004F2EB1" w:rsidP="004F2EB1">
      <w:pPr>
        <w:jc w:val="both"/>
        <w:rPr>
          <w:rFonts w:ascii="Arial" w:hAnsi="Arial"/>
          <w:b/>
          <w:bCs/>
          <w:caps/>
          <w:sz w:val="20"/>
        </w:rPr>
      </w:pPr>
      <w:r w:rsidRPr="00A17E25">
        <w:rPr>
          <w:rFonts w:ascii="Arial" w:hAnsi="Arial"/>
          <w:sz w:val="20"/>
        </w:rPr>
        <w:tab/>
      </w:r>
    </w:p>
    <w:p w:rsidR="00313821" w:rsidRPr="00A17E25" w:rsidRDefault="00C64E4E">
      <w:pPr>
        <w:jc w:val="center"/>
        <w:rPr>
          <w:rFonts w:ascii="Arial" w:hAnsi="Arial"/>
        </w:rPr>
      </w:pPr>
      <w:r w:rsidRPr="00A17E25">
        <w:rPr>
          <w:rFonts w:ascii="Arial" w:hAnsi="Arial"/>
          <w:b/>
          <w:bCs/>
          <w:caps/>
          <w:sz w:val="20"/>
        </w:rPr>
        <w:br w:type="page"/>
      </w:r>
    </w:p>
    <w:p w:rsidR="00313821" w:rsidRPr="00F92FF8" w:rsidRDefault="00313821" w:rsidP="00CC112B">
      <w:pPr>
        <w:pStyle w:val="Heading1"/>
        <w:rPr>
          <w:color w:val="0070C0"/>
        </w:rPr>
      </w:pPr>
      <w:bookmarkStart w:id="61" w:name="_Toc180757510"/>
      <w:bookmarkStart w:id="62" w:name="_Toc260257251"/>
      <w:bookmarkStart w:id="63" w:name="_Toc412839421"/>
      <w:bookmarkStart w:id="64" w:name="_Toc434916095"/>
      <w:bookmarkStart w:id="65" w:name="_Toc434918308"/>
      <w:r w:rsidRPr="00F92FF8">
        <w:rPr>
          <w:color w:val="0070C0"/>
        </w:rPr>
        <w:lastRenderedPageBreak/>
        <w:t>Avant - Propos</w:t>
      </w:r>
      <w:bookmarkEnd w:id="61"/>
      <w:bookmarkEnd w:id="62"/>
      <w:bookmarkEnd w:id="63"/>
      <w:bookmarkEnd w:id="64"/>
      <w:bookmarkEnd w:id="65"/>
    </w:p>
    <w:p w:rsidR="00313821" w:rsidRPr="00A17E25" w:rsidRDefault="00313821">
      <w:pPr>
        <w:autoSpaceDE w:val="0"/>
        <w:autoSpaceDN w:val="0"/>
        <w:adjustRightInd w:val="0"/>
        <w:rPr>
          <w:rFonts w:ascii="Arial" w:hAnsi="Arial" w:cs="Arial"/>
          <w:iCs/>
        </w:rPr>
      </w:pPr>
    </w:p>
    <w:p w:rsidR="00FD3FAF" w:rsidRDefault="00FE4161" w:rsidP="00D36C92">
      <w:pPr>
        <w:jc w:val="both"/>
        <w:rPr>
          <w:rFonts w:ascii="Arial" w:hAnsi="Arial" w:cs="Arial"/>
          <w:bCs/>
        </w:rPr>
      </w:pPr>
      <w:r w:rsidRPr="00A17E25">
        <w:rPr>
          <w:rFonts w:ascii="Arial" w:hAnsi="Arial" w:cs="Arial"/>
          <w:iCs/>
        </w:rPr>
        <w:t xml:space="preserve">Le présent rapport sur la performance de la gestion des finances publiques de la Commune de Casablanca </w:t>
      </w:r>
      <w:r>
        <w:rPr>
          <w:rFonts w:ascii="Arial" w:hAnsi="Arial" w:cs="Arial"/>
          <w:iCs/>
        </w:rPr>
        <w:t>(CC) a été</w:t>
      </w:r>
      <w:r w:rsidRPr="00A17E25">
        <w:rPr>
          <w:rFonts w:ascii="Arial" w:hAnsi="Arial" w:cs="Arial"/>
          <w:iCs/>
        </w:rPr>
        <w:t xml:space="preserve"> rédigé par Nicolas Lokpe, </w:t>
      </w:r>
      <w:r>
        <w:rPr>
          <w:rFonts w:ascii="Arial" w:hAnsi="Arial" w:cs="Arial"/>
          <w:iCs/>
        </w:rPr>
        <w:t xml:space="preserve">expert international en gestion des finances publiques </w:t>
      </w:r>
      <w:r w:rsidRPr="00A17E25">
        <w:rPr>
          <w:rFonts w:ascii="Arial" w:hAnsi="Arial" w:cs="Arial"/>
          <w:iCs/>
        </w:rPr>
        <w:t>et Anas Abou El Mikias, expert local en finances publiques</w:t>
      </w:r>
      <w:r w:rsidR="00FD3FAF">
        <w:rPr>
          <w:rFonts w:ascii="Arial" w:hAnsi="Arial" w:cs="Arial"/>
          <w:iCs/>
        </w:rPr>
        <w:t xml:space="preserve">, </w:t>
      </w:r>
      <w:r w:rsidR="00FD3FAF">
        <w:rPr>
          <w:rFonts w:ascii="Arial" w:hAnsi="Arial" w:cs="Arial"/>
          <w:bCs/>
        </w:rPr>
        <w:t xml:space="preserve">sous la supervision de Fabian Seiderer, spécialiste principale du secteur public de la Banque mondiale.  </w:t>
      </w:r>
    </w:p>
    <w:p w:rsidR="00FD3FAF" w:rsidRPr="00A17E25" w:rsidRDefault="00FD3FAF" w:rsidP="00D36C92">
      <w:pPr>
        <w:jc w:val="both"/>
        <w:rPr>
          <w:rFonts w:ascii="Arial" w:hAnsi="Arial" w:cs="Arial"/>
          <w:bCs/>
        </w:rPr>
      </w:pPr>
    </w:p>
    <w:p w:rsidR="00FE4161" w:rsidRPr="008014B5" w:rsidRDefault="00FD3FAF" w:rsidP="00D36C92">
      <w:pPr>
        <w:autoSpaceDE w:val="0"/>
        <w:autoSpaceDN w:val="0"/>
        <w:adjustRightInd w:val="0"/>
        <w:jc w:val="both"/>
        <w:rPr>
          <w:rFonts w:ascii="Arial" w:hAnsi="Arial" w:cs="Arial"/>
        </w:rPr>
      </w:pPr>
      <w:r>
        <w:rPr>
          <w:rFonts w:ascii="Arial" w:hAnsi="Arial" w:cs="Arial"/>
          <w:iCs/>
        </w:rPr>
        <w:t xml:space="preserve">Ce rapport </w:t>
      </w:r>
      <w:r w:rsidR="00FE4161" w:rsidRPr="008014B5">
        <w:rPr>
          <w:rFonts w:ascii="Arial" w:hAnsi="Arial" w:cs="Arial"/>
          <w:lang w:val="sw-KE"/>
        </w:rPr>
        <w:t xml:space="preserve">est le produit d’un exercice conjoint piloté par la ville de </w:t>
      </w:r>
      <w:r w:rsidR="00FE4161">
        <w:rPr>
          <w:rFonts w:ascii="Arial" w:hAnsi="Arial" w:cs="Arial"/>
          <w:lang w:val="sw-KE"/>
        </w:rPr>
        <w:t>Casablanca</w:t>
      </w:r>
      <w:r w:rsidR="001948AD">
        <w:rPr>
          <w:rFonts w:ascii="Arial" w:hAnsi="Arial" w:cs="Arial"/>
          <w:lang w:val="sw-KE"/>
        </w:rPr>
        <w:t>,</w:t>
      </w:r>
      <w:r w:rsidR="00FE4161" w:rsidRPr="008014B5">
        <w:rPr>
          <w:rFonts w:ascii="Arial" w:hAnsi="Arial" w:cs="Arial"/>
          <w:lang w:val="sw-KE"/>
        </w:rPr>
        <w:t xml:space="preserve"> </w:t>
      </w:r>
      <w:r w:rsidR="001948AD">
        <w:rPr>
          <w:rFonts w:ascii="Arial" w:hAnsi="Arial" w:cs="Arial"/>
          <w:lang w:val="sw-KE"/>
        </w:rPr>
        <w:t xml:space="preserve">représentée par </w:t>
      </w:r>
      <w:r w:rsidR="001948AD">
        <w:rPr>
          <w:rFonts w:ascii="Arial" w:hAnsi="Arial" w:cs="Arial"/>
          <w:iCs/>
        </w:rPr>
        <w:t xml:space="preserve">Monsieur Naciri Ahmed Taoufik, </w:t>
      </w:r>
      <w:r w:rsidR="001948AD" w:rsidRPr="00A17E25">
        <w:rPr>
          <w:rFonts w:ascii="Arial" w:hAnsi="Arial" w:cs="Arial"/>
          <w:iCs/>
        </w:rPr>
        <w:t xml:space="preserve">Secrétaire Général </w:t>
      </w:r>
      <w:r w:rsidR="00FE4161" w:rsidRPr="008014B5">
        <w:rPr>
          <w:rFonts w:ascii="Arial" w:hAnsi="Arial" w:cs="Arial"/>
          <w:lang w:val="sw-KE"/>
        </w:rPr>
        <w:t xml:space="preserve">et </w:t>
      </w:r>
      <w:r>
        <w:rPr>
          <w:rFonts w:ascii="Arial" w:hAnsi="Arial" w:cs="Arial"/>
          <w:lang w:val="sw-KE"/>
        </w:rPr>
        <w:t>s</w:t>
      </w:r>
      <w:r w:rsidR="00FE4161" w:rsidRPr="008014B5">
        <w:rPr>
          <w:rFonts w:ascii="Arial" w:hAnsi="Arial" w:cs="Arial"/>
          <w:lang w:val="sw-KE"/>
        </w:rPr>
        <w:t>es Partenaires Techniques et Financiers</w:t>
      </w:r>
      <w:r w:rsidR="001948AD">
        <w:rPr>
          <w:rFonts w:ascii="Arial" w:hAnsi="Arial" w:cs="Arial"/>
          <w:lang w:val="sw-KE"/>
        </w:rPr>
        <w:t>, représentés respectivement par Mme Kirti Devi pour le</w:t>
      </w:r>
      <w:r w:rsidR="001948AD" w:rsidRPr="008014B5">
        <w:rPr>
          <w:rFonts w:ascii="Arial" w:hAnsi="Arial" w:cs="Arial"/>
          <w:lang w:val="sw-KE"/>
        </w:rPr>
        <w:t xml:space="preserve"> </w:t>
      </w:r>
      <w:r w:rsidR="00FE4161" w:rsidRPr="008014B5">
        <w:rPr>
          <w:rFonts w:ascii="Arial" w:hAnsi="Arial" w:cs="Arial"/>
          <w:lang w:val="sw-KE"/>
        </w:rPr>
        <w:t>PPIAF</w:t>
      </w:r>
      <w:r w:rsidR="00FE4161" w:rsidRPr="008014B5">
        <w:rPr>
          <w:rStyle w:val="FootnoteReference"/>
          <w:rFonts w:ascii="Arial" w:hAnsi="Arial" w:cs="Arial"/>
          <w:lang w:val="sw-KE"/>
        </w:rPr>
        <w:footnoteReference w:id="1"/>
      </w:r>
      <w:r w:rsidR="001948AD">
        <w:rPr>
          <w:rFonts w:ascii="Arial" w:hAnsi="Arial" w:cs="Arial"/>
          <w:lang w:val="sw-KE"/>
        </w:rPr>
        <w:t>, Mr Fabian Seiderer et Mme Marie Cerceau pour la</w:t>
      </w:r>
      <w:r w:rsidR="00FE4161" w:rsidRPr="008014B5">
        <w:rPr>
          <w:rFonts w:ascii="Arial" w:hAnsi="Arial" w:cs="Arial"/>
          <w:lang w:val="sw-KE"/>
        </w:rPr>
        <w:t xml:space="preserve"> Banque Mondiale</w:t>
      </w:r>
      <w:r w:rsidR="001948AD">
        <w:rPr>
          <w:rFonts w:ascii="Arial" w:hAnsi="Arial" w:cs="Arial"/>
          <w:lang w:val="sw-KE"/>
        </w:rPr>
        <w:t xml:space="preserve"> et Mr Herve Dubreuil et Mme Anne </w:t>
      </w:r>
      <w:r w:rsidR="008E0F52">
        <w:rPr>
          <w:rFonts w:ascii="Arial" w:hAnsi="Arial" w:cs="Arial"/>
          <w:lang w:val="sw-KE"/>
        </w:rPr>
        <w:t>Is</w:t>
      </w:r>
      <w:r w:rsidR="001948AD">
        <w:rPr>
          <w:rFonts w:ascii="Arial" w:hAnsi="Arial" w:cs="Arial"/>
          <w:lang w:val="sw-KE"/>
        </w:rPr>
        <w:t>ambert pour l’</w:t>
      </w:r>
      <w:r w:rsidR="00FE4161" w:rsidRPr="008014B5">
        <w:rPr>
          <w:rFonts w:ascii="Arial" w:hAnsi="Arial" w:cs="Arial"/>
          <w:lang w:val="sw-KE"/>
        </w:rPr>
        <w:t>Agence Française de Développement.</w:t>
      </w:r>
      <w:r w:rsidR="001948AD">
        <w:rPr>
          <w:rFonts w:ascii="Arial" w:hAnsi="Arial" w:cs="Arial"/>
          <w:lang w:val="sw-KE"/>
        </w:rPr>
        <w:t xml:space="preserve"> </w:t>
      </w:r>
    </w:p>
    <w:p w:rsidR="00FE4161" w:rsidRPr="00A17E25" w:rsidRDefault="00FE4161" w:rsidP="00D36C92">
      <w:pPr>
        <w:autoSpaceDE w:val="0"/>
        <w:autoSpaceDN w:val="0"/>
        <w:adjustRightInd w:val="0"/>
        <w:jc w:val="both"/>
        <w:rPr>
          <w:rFonts w:ascii="Arial" w:hAnsi="Arial"/>
        </w:rPr>
      </w:pPr>
    </w:p>
    <w:p w:rsidR="00FE4161" w:rsidRDefault="00FE4161" w:rsidP="00D36C92">
      <w:pPr>
        <w:autoSpaceDE w:val="0"/>
        <w:autoSpaceDN w:val="0"/>
        <w:adjustRightInd w:val="0"/>
        <w:jc w:val="both"/>
        <w:rPr>
          <w:rFonts w:ascii="Arial" w:hAnsi="Arial" w:cs="Arial"/>
          <w:iCs/>
        </w:rPr>
      </w:pPr>
      <w:r w:rsidRPr="00A17E25">
        <w:rPr>
          <w:rFonts w:ascii="Arial" w:hAnsi="Arial" w:cs="Arial"/>
          <w:iCs/>
        </w:rPr>
        <w:t xml:space="preserve">Les membres de l’équipe </w:t>
      </w:r>
      <w:r>
        <w:rPr>
          <w:rFonts w:ascii="Arial" w:hAnsi="Arial" w:cs="Arial"/>
          <w:iCs/>
        </w:rPr>
        <w:t xml:space="preserve">d’évaluation </w:t>
      </w:r>
      <w:r w:rsidRPr="00A17E25">
        <w:rPr>
          <w:rFonts w:ascii="Arial" w:hAnsi="Arial" w:cs="Arial"/>
          <w:iCs/>
        </w:rPr>
        <w:t xml:space="preserve">remercient toutes les autorités de la </w:t>
      </w:r>
      <w:r w:rsidR="00262F9D">
        <w:rPr>
          <w:rFonts w:ascii="Arial" w:hAnsi="Arial" w:cs="Arial"/>
          <w:iCs/>
        </w:rPr>
        <w:t>CC</w:t>
      </w:r>
      <w:r w:rsidRPr="00A17E25">
        <w:rPr>
          <w:rFonts w:ascii="Arial" w:hAnsi="Arial" w:cs="Arial"/>
          <w:iCs/>
        </w:rPr>
        <w:t xml:space="preserve"> et de façon particulière </w:t>
      </w:r>
      <w:r>
        <w:rPr>
          <w:rFonts w:ascii="Arial" w:hAnsi="Arial" w:cs="Arial"/>
          <w:iCs/>
        </w:rPr>
        <w:t xml:space="preserve">Monsieur Naciri Ahmed Taoufik, </w:t>
      </w:r>
      <w:r w:rsidR="0082013C">
        <w:rPr>
          <w:rFonts w:ascii="Arial" w:hAnsi="Arial" w:cs="Arial"/>
          <w:iCs/>
        </w:rPr>
        <w:t>Directeur</w:t>
      </w:r>
      <w:r w:rsidRPr="00A17E25">
        <w:rPr>
          <w:rFonts w:ascii="Arial" w:hAnsi="Arial" w:cs="Arial"/>
          <w:iCs/>
        </w:rPr>
        <w:t xml:space="preserve"> Général de la </w:t>
      </w:r>
      <w:r w:rsidR="00262F9D">
        <w:rPr>
          <w:rFonts w:ascii="Arial" w:hAnsi="Arial" w:cs="Arial"/>
          <w:iCs/>
        </w:rPr>
        <w:t>CC</w:t>
      </w:r>
      <w:r w:rsidRPr="00A17E25">
        <w:rPr>
          <w:rFonts w:ascii="Arial" w:hAnsi="Arial" w:cs="Arial"/>
          <w:iCs/>
        </w:rPr>
        <w:t xml:space="preserve"> et tous ses Adjoints pour </w:t>
      </w:r>
      <w:r w:rsidR="001948AD">
        <w:rPr>
          <w:rFonts w:ascii="Arial" w:hAnsi="Arial" w:cs="Arial"/>
          <w:iCs/>
        </w:rPr>
        <w:t>leur engagement et l’excellente coopération tout au long de la mission.</w:t>
      </w:r>
      <w:r w:rsidRPr="00A17E25">
        <w:rPr>
          <w:rFonts w:ascii="Arial" w:hAnsi="Arial" w:cs="Arial"/>
          <w:iCs/>
        </w:rPr>
        <w:t xml:space="preserve"> Ils remercient également les responsables de tous les services </w:t>
      </w:r>
      <w:r>
        <w:rPr>
          <w:rFonts w:ascii="Arial" w:hAnsi="Arial" w:cs="Arial"/>
          <w:iCs/>
        </w:rPr>
        <w:t xml:space="preserve">de la CC </w:t>
      </w:r>
      <w:r w:rsidRPr="00A17E25">
        <w:rPr>
          <w:rFonts w:ascii="Arial" w:hAnsi="Arial" w:cs="Arial"/>
          <w:iCs/>
        </w:rPr>
        <w:t xml:space="preserve">qu’ils ont rencontrés et particulièrement </w:t>
      </w:r>
      <w:r>
        <w:rPr>
          <w:rFonts w:ascii="Arial" w:hAnsi="Arial" w:cs="Arial"/>
          <w:iCs/>
        </w:rPr>
        <w:t>Monsieur Hadine Saïd,</w:t>
      </w:r>
      <w:r w:rsidRPr="00A17E25">
        <w:rPr>
          <w:rFonts w:ascii="Arial" w:hAnsi="Arial" w:cs="Arial"/>
          <w:iCs/>
        </w:rPr>
        <w:t xml:space="preserve"> Chef de la Division de la gestion budgétaire et ses collaborateurs pour les informations, données et documents utiles qu’ils leur ont communiqués au cours et après la mission de terrain.</w:t>
      </w:r>
      <w:r>
        <w:rPr>
          <w:rFonts w:ascii="Arial" w:hAnsi="Arial" w:cs="Arial"/>
          <w:iCs/>
        </w:rPr>
        <w:t xml:space="preserve"> Les membres de l’équipe d’évaluation expriment aussi leur gratitude aux responsables de toutes les structures extérieures et organismes qu’ils ont rencontrés pour leur disponibilité et les informations utiles qu’ils leur ont communiquées.</w:t>
      </w:r>
    </w:p>
    <w:p w:rsidR="00FE4161" w:rsidRDefault="00FE4161" w:rsidP="00D36C92">
      <w:pPr>
        <w:autoSpaceDE w:val="0"/>
        <w:autoSpaceDN w:val="0"/>
        <w:adjustRightInd w:val="0"/>
        <w:jc w:val="both"/>
        <w:rPr>
          <w:rFonts w:ascii="Arial" w:hAnsi="Arial" w:cs="Arial"/>
          <w:iCs/>
        </w:rPr>
      </w:pPr>
    </w:p>
    <w:p w:rsidR="00FE4161" w:rsidRDefault="001948AD" w:rsidP="00D36C92">
      <w:pPr>
        <w:jc w:val="both"/>
        <w:rPr>
          <w:rFonts w:ascii="Arial" w:hAnsi="Arial" w:cs="Arial"/>
          <w:iCs/>
        </w:rPr>
      </w:pPr>
      <w:r>
        <w:rPr>
          <w:rFonts w:ascii="Arial" w:hAnsi="Arial" w:cs="Arial"/>
          <w:iCs/>
        </w:rPr>
        <w:t>Casablanca est la première ville à avoir testé le nouveau cadre méthodologique d’évaluation PEFA 2015 et contribue ainsi au développement d’un nouveau référentiel mondial en la matière. Cela a per</w:t>
      </w:r>
      <w:r w:rsidR="00C84AA3">
        <w:rPr>
          <w:rFonts w:ascii="Arial" w:hAnsi="Arial" w:cs="Arial"/>
          <w:iCs/>
        </w:rPr>
        <w:t xml:space="preserve">mis de tester les changements proposés depuis le cadre d’évaluation 2011 ainsi que leur pertinence et faisabilité pour une ville de taille moyenne comme Casablanca. </w:t>
      </w:r>
      <w:r w:rsidR="00E64904">
        <w:rPr>
          <w:rFonts w:ascii="Arial" w:hAnsi="Arial" w:cs="Arial"/>
          <w:iCs/>
        </w:rPr>
        <w:t xml:space="preserve">En conséquence certains piliers (iv) et indicateurs sont plus pertinents pour l’Etat et ne sont pas toujours adapté à une commune. Aussi certains indicateurs non pas pu être notés. Ils ont la mention Non Applicable (NA). </w:t>
      </w:r>
      <w:r>
        <w:rPr>
          <w:rFonts w:ascii="Arial" w:hAnsi="Arial" w:cs="Arial"/>
          <w:iCs/>
        </w:rPr>
        <w:t xml:space="preserve">Les enseignements </w:t>
      </w:r>
      <w:r w:rsidR="00C84AA3">
        <w:rPr>
          <w:rFonts w:ascii="Arial" w:hAnsi="Arial" w:cs="Arial"/>
          <w:iCs/>
        </w:rPr>
        <w:t xml:space="preserve">tirés </w:t>
      </w:r>
      <w:r>
        <w:rPr>
          <w:rFonts w:ascii="Arial" w:hAnsi="Arial" w:cs="Arial"/>
          <w:iCs/>
        </w:rPr>
        <w:t xml:space="preserve">de cette évaluation permettront ainsi d’informer le nouveau cadre d’évaluation de la performance de la gestion des finances publiques au niveau des collectivités territoriales. L’équipe </w:t>
      </w:r>
      <w:r w:rsidR="00C84AA3">
        <w:rPr>
          <w:rFonts w:ascii="Arial" w:hAnsi="Arial" w:cs="Arial"/>
          <w:iCs/>
        </w:rPr>
        <w:t xml:space="preserve">et le secrétariat PEFA </w:t>
      </w:r>
      <w:r>
        <w:rPr>
          <w:rFonts w:ascii="Arial" w:hAnsi="Arial" w:cs="Arial"/>
          <w:iCs/>
        </w:rPr>
        <w:t>tien</w:t>
      </w:r>
      <w:r w:rsidR="00C84AA3">
        <w:rPr>
          <w:rFonts w:ascii="Arial" w:hAnsi="Arial" w:cs="Arial"/>
          <w:iCs/>
        </w:rPr>
        <w:t>nent</w:t>
      </w:r>
      <w:r>
        <w:rPr>
          <w:rFonts w:ascii="Arial" w:hAnsi="Arial" w:cs="Arial"/>
          <w:iCs/>
        </w:rPr>
        <w:t xml:space="preserve"> à </w:t>
      </w:r>
      <w:r w:rsidR="00C84AA3">
        <w:rPr>
          <w:rFonts w:ascii="Arial" w:hAnsi="Arial" w:cs="Arial"/>
          <w:iCs/>
        </w:rPr>
        <w:t xml:space="preserve">en remercier la ville. </w:t>
      </w:r>
    </w:p>
    <w:p w:rsidR="00AE743D" w:rsidRPr="00A17E25" w:rsidRDefault="00AE743D" w:rsidP="00D36C92">
      <w:pPr>
        <w:autoSpaceDE w:val="0"/>
        <w:autoSpaceDN w:val="0"/>
        <w:adjustRightInd w:val="0"/>
        <w:jc w:val="both"/>
        <w:rPr>
          <w:rFonts w:ascii="Arial" w:hAnsi="Arial" w:cs="Arial"/>
          <w:iCs/>
          <w:color w:val="FF0000"/>
        </w:rPr>
      </w:pPr>
    </w:p>
    <w:p w:rsidR="00FE4161" w:rsidRPr="00A17E25" w:rsidRDefault="00FE4161" w:rsidP="00D36C92">
      <w:pPr>
        <w:autoSpaceDE w:val="0"/>
        <w:autoSpaceDN w:val="0"/>
        <w:adjustRightInd w:val="0"/>
        <w:jc w:val="both"/>
        <w:rPr>
          <w:rFonts w:ascii="Arial" w:hAnsi="Arial" w:cs="Arial"/>
          <w:iCs/>
        </w:rPr>
      </w:pPr>
      <w:r w:rsidRPr="00A17E25">
        <w:rPr>
          <w:rFonts w:ascii="Arial" w:hAnsi="Arial" w:cs="Arial"/>
          <w:iCs/>
        </w:rPr>
        <w:t xml:space="preserve">Le contenu de cette évaluation n’engage que les </w:t>
      </w:r>
      <w:r w:rsidR="001948AD">
        <w:rPr>
          <w:rFonts w:ascii="Arial" w:hAnsi="Arial" w:cs="Arial"/>
          <w:iCs/>
        </w:rPr>
        <w:t xml:space="preserve">évaluateurs et nullement </w:t>
      </w:r>
      <w:r w:rsidRPr="00A17E25">
        <w:rPr>
          <w:rFonts w:ascii="Arial" w:hAnsi="Arial" w:cs="Arial"/>
          <w:iCs/>
        </w:rPr>
        <w:t xml:space="preserve">la Commune de Casablanca, ni </w:t>
      </w:r>
      <w:r w:rsidR="001948AD">
        <w:rPr>
          <w:rFonts w:ascii="Arial" w:hAnsi="Arial" w:cs="Arial"/>
          <w:iCs/>
        </w:rPr>
        <w:t xml:space="preserve">les </w:t>
      </w:r>
      <w:r w:rsidR="001948AD" w:rsidRPr="008014B5">
        <w:rPr>
          <w:rFonts w:ascii="Arial" w:hAnsi="Arial" w:cs="Arial"/>
          <w:lang w:val="sw-KE"/>
        </w:rPr>
        <w:t>Partenaires Techniques et Financiers</w:t>
      </w:r>
      <w:r w:rsidR="001948AD">
        <w:rPr>
          <w:rFonts w:ascii="Arial" w:hAnsi="Arial" w:cs="Arial"/>
          <w:iCs/>
        </w:rPr>
        <w:t xml:space="preserve"> qui ont soutenu ce travail ou </w:t>
      </w:r>
      <w:r w:rsidRPr="00A17E25">
        <w:rPr>
          <w:rFonts w:ascii="Arial" w:hAnsi="Arial" w:cs="Arial"/>
          <w:iCs/>
        </w:rPr>
        <w:t>le Secrétariat PEFA</w:t>
      </w:r>
      <w:r w:rsidR="001948AD">
        <w:rPr>
          <w:rFonts w:ascii="Arial" w:hAnsi="Arial" w:cs="Arial"/>
          <w:iCs/>
        </w:rPr>
        <w:t xml:space="preserve">. </w:t>
      </w:r>
      <w:r w:rsidRPr="00A17E25">
        <w:rPr>
          <w:rFonts w:ascii="Arial" w:hAnsi="Arial" w:cs="Arial"/>
          <w:iCs/>
        </w:rPr>
        <w:t xml:space="preserve"> </w:t>
      </w:r>
    </w:p>
    <w:p w:rsidR="00FE4161" w:rsidRPr="00A17E25" w:rsidRDefault="00FE4161" w:rsidP="00FE4161">
      <w:pPr>
        <w:autoSpaceDE w:val="0"/>
        <w:autoSpaceDN w:val="0"/>
        <w:adjustRightInd w:val="0"/>
        <w:rPr>
          <w:rFonts w:ascii="Arial" w:hAnsi="Arial" w:cs="Arial"/>
          <w:iCs/>
        </w:rPr>
      </w:pPr>
    </w:p>
    <w:p w:rsidR="00A71697" w:rsidRDefault="00A71697">
      <w:pPr>
        <w:rPr>
          <w:rFonts w:ascii="Arial" w:hAnsi="Arial"/>
          <w:b/>
          <w:bCs/>
          <w:color w:val="0070C0"/>
          <w:kern w:val="32"/>
          <w:sz w:val="32"/>
          <w:szCs w:val="32"/>
        </w:rPr>
      </w:pPr>
      <w:bookmarkStart w:id="66" w:name="_Toc260257252"/>
      <w:bookmarkStart w:id="67" w:name="_Toc412839422"/>
      <w:bookmarkStart w:id="68" w:name="_Toc434918309"/>
      <w:r>
        <w:rPr>
          <w:color w:val="0070C0"/>
        </w:rPr>
        <w:br w:type="page"/>
      </w:r>
    </w:p>
    <w:p w:rsidR="00B94F3C" w:rsidRPr="00F92FF8" w:rsidRDefault="00313821" w:rsidP="00603A02">
      <w:pPr>
        <w:pStyle w:val="Heading1"/>
        <w:rPr>
          <w:b w:val="0"/>
          <w:color w:val="0070C0"/>
        </w:rPr>
      </w:pPr>
      <w:r w:rsidRPr="00F92FF8">
        <w:rPr>
          <w:color w:val="0070C0"/>
        </w:rPr>
        <w:t>Résumé de l’évaluation</w:t>
      </w:r>
      <w:bookmarkEnd w:id="66"/>
      <w:bookmarkEnd w:id="67"/>
      <w:bookmarkEnd w:id="68"/>
    </w:p>
    <w:p w:rsidR="00B94F3C" w:rsidRPr="00A17E25" w:rsidRDefault="00B94F3C">
      <w:pPr>
        <w:rPr>
          <w:rStyle w:val="Heading1Char"/>
          <w:rFonts w:cs="Arial"/>
          <w:b w:val="0"/>
          <w:bCs w:val="0"/>
          <w:color w:val="0070C0"/>
          <w:sz w:val="24"/>
          <w:szCs w:val="24"/>
          <w:lang w:val="fr-FR"/>
        </w:rPr>
      </w:pPr>
    </w:p>
    <w:p w:rsidR="00961468" w:rsidRPr="00A17E25" w:rsidRDefault="00961468" w:rsidP="00961468">
      <w:pPr>
        <w:jc w:val="both"/>
        <w:rPr>
          <w:rFonts w:ascii="Arial" w:hAnsi="Arial" w:cs="Arial"/>
          <w:b/>
          <w:bCs/>
        </w:rPr>
      </w:pPr>
      <w:r w:rsidRPr="00A17E25">
        <w:rPr>
          <w:rFonts w:ascii="Arial" w:hAnsi="Arial" w:cs="Arial"/>
        </w:rPr>
        <w:t>Cette section vise à présenter une description générale intégrée et stratég</w:t>
      </w:r>
      <w:r w:rsidR="003E7412">
        <w:rPr>
          <w:rFonts w:ascii="Arial" w:hAnsi="Arial" w:cs="Arial"/>
        </w:rPr>
        <w:t>ique des conclusions du rapport. Elle présente</w:t>
      </w:r>
      <w:r w:rsidRPr="00A17E25">
        <w:rPr>
          <w:rFonts w:ascii="Arial" w:hAnsi="Arial" w:cs="Arial"/>
        </w:rPr>
        <w:t xml:space="preserve"> notamment </w:t>
      </w:r>
      <w:r w:rsidR="003E7412">
        <w:rPr>
          <w:rFonts w:ascii="Arial" w:hAnsi="Arial" w:cs="Arial"/>
        </w:rPr>
        <w:t>pour chacun des piliers du cadre PEFA les insuffisances du système de gestion des finances publiques de la CC.</w:t>
      </w:r>
    </w:p>
    <w:p w:rsidR="00961468" w:rsidRPr="00A17E25" w:rsidRDefault="00961468" w:rsidP="00961468">
      <w:pPr>
        <w:rPr>
          <w:rFonts w:ascii="Arial" w:hAnsi="Arial"/>
        </w:rPr>
      </w:pPr>
    </w:p>
    <w:p w:rsidR="00961468" w:rsidRPr="00A17E25" w:rsidRDefault="00961468" w:rsidP="00961468">
      <w:pPr>
        <w:jc w:val="both"/>
        <w:rPr>
          <w:rFonts w:ascii="Arial" w:hAnsi="Arial"/>
          <w:b/>
          <w:bCs/>
          <w:i/>
          <w:iCs/>
        </w:rPr>
      </w:pPr>
      <w:r w:rsidRPr="00A17E25">
        <w:rPr>
          <w:rFonts w:ascii="Arial" w:hAnsi="Arial"/>
          <w:b/>
          <w:bCs/>
          <w:i/>
          <w:iCs/>
        </w:rPr>
        <w:t>i) Objet et gestion de l’évaluation</w:t>
      </w:r>
    </w:p>
    <w:p w:rsidR="00ED5B7C" w:rsidRDefault="00ED5B7C" w:rsidP="00961468">
      <w:pPr>
        <w:jc w:val="both"/>
        <w:rPr>
          <w:rFonts w:ascii="Arial" w:hAnsi="Arial"/>
          <w:bCs/>
          <w:iCs/>
        </w:rPr>
      </w:pPr>
    </w:p>
    <w:p w:rsidR="00961468" w:rsidRDefault="00961468" w:rsidP="00961468">
      <w:pPr>
        <w:jc w:val="both"/>
        <w:rPr>
          <w:rFonts w:ascii="Arial" w:hAnsi="Arial"/>
          <w:bCs/>
          <w:iCs/>
        </w:rPr>
      </w:pPr>
      <w:r>
        <w:rPr>
          <w:rFonts w:ascii="Arial" w:hAnsi="Arial"/>
          <w:bCs/>
          <w:iCs/>
        </w:rPr>
        <w:t xml:space="preserve">L’amélioration de la gestion des finances municipales est un objectif visé par de nombreuses collectivités territoriales. Pour atteindre cet objectif, les municipalités ont besoin de connaître les forces et les faiblesses de leur système de gestion des finances publiques. C’est ce diagnostic que l’évaluation PEFA leur fournit. </w:t>
      </w:r>
    </w:p>
    <w:p w:rsidR="002B7953" w:rsidRDefault="002B7953" w:rsidP="00961468">
      <w:pPr>
        <w:jc w:val="both"/>
        <w:rPr>
          <w:rFonts w:ascii="Arial" w:hAnsi="Arial" w:cs="Arial"/>
        </w:rPr>
      </w:pPr>
    </w:p>
    <w:p w:rsidR="00961468" w:rsidRDefault="002650E5" w:rsidP="00961468">
      <w:pPr>
        <w:jc w:val="both"/>
        <w:rPr>
          <w:rFonts w:ascii="Arial" w:hAnsi="Arial" w:cs="Arial"/>
        </w:rPr>
      </w:pPr>
      <w:r>
        <w:rPr>
          <w:rFonts w:ascii="Arial" w:hAnsi="Arial" w:cs="Arial"/>
        </w:rPr>
        <w:t>L</w:t>
      </w:r>
      <w:r w:rsidRPr="002650E5">
        <w:rPr>
          <w:rFonts w:ascii="Arial" w:hAnsi="Arial" w:cs="Arial"/>
        </w:rPr>
        <w:t>e Maroc et la CC ont lancé de nombreux chantiers de modernisation de la GFP au niveaux</w:t>
      </w:r>
      <w:r w:rsidR="00F92FF8">
        <w:rPr>
          <w:rFonts w:ascii="Arial" w:hAnsi="Arial" w:cs="Arial"/>
        </w:rPr>
        <w:t xml:space="preserve"> </w:t>
      </w:r>
      <w:r w:rsidRPr="002650E5">
        <w:rPr>
          <w:rFonts w:ascii="Arial" w:hAnsi="Arial" w:cs="Arial"/>
        </w:rPr>
        <w:t xml:space="preserve">national et local </w:t>
      </w:r>
      <w:r>
        <w:rPr>
          <w:rFonts w:ascii="Arial" w:hAnsi="Arial" w:cs="Arial"/>
        </w:rPr>
        <w:t>qui</w:t>
      </w:r>
      <w:r w:rsidRPr="002650E5">
        <w:rPr>
          <w:rFonts w:ascii="Arial" w:hAnsi="Arial" w:cs="Arial"/>
        </w:rPr>
        <w:t xml:space="preserve"> sont pris en compte dans le rappo</w:t>
      </w:r>
      <w:r>
        <w:rPr>
          <w:rFonts w:ascii="Arial" w:hAnsi="Arial" w:cs="Arial"/>
        </w:rPr>
        <w:t>r</w:t>
      </w:r>
      <w:r w:rsidRPr="002650E5">
        <w:rPr>
          <w:rFonts w:ascii="Arial" w:hAnsi="Arial" w:cs="Arial"/>
        </w:rPr>
        <w:t xml:space="preserve">t et dans les notes, lorsque c’est permis compte tenu du champ et de la période couverte par chaque indicateur.  Ce diagnostic représente une ligne de référence pour le suivi de la mise en œuvre de ces reformes </w:t>
      </w:r>
      <w:r>
        <w:rPr>
          <w:rFonts w:ascii="Arial" w:hAnsi="Arial" w:cs="Arial"/>
        </w:rPr>
        <w:t>De même, l</w:t>
      </w:r>
      <w:r w:rsidR="00961468">
        <w:rPr>
          <w:rFonts w:ascii="Arial" w:hAnsi="Arial" w:cs="Arial"/>
        </w:rPr>
        <w:t>es résultats de cette évaluation devraient</w:t>
      </w:r>
      <w:r w:rsidR="00961468" w:rsidRPr="00CB7EE0">
        <w:rPr>
          <w:rFonts w:ascii="Arial" w:hAnsi="Arial" w:cs="Arial"/>
        </w:rPr>
        <w:t xml:space="preserve"> permettre à la Ville de </w:t>
      </w:r>
      <w:r w:rsidR="00961468">
        <w:rPr>
          <w:rFonts w:ascii="Arial" w:hAnsi="Arial" w:cs="Arial"/>
        </w:rPr>
        <w:t>Casablanca</w:t>
      </w:r>
      <w:r w:rsidR="00961468" w:rsidRPr="00CB7EE0">
        <w:rPr>
          <w:rFonts w:ascii="Arial" w:hAnsi="Arial" w:cs="Arial"/>
        </w:rPr>
        <w:t xml:space="preserve"> d’envisager </w:t>
      </w:r>
      <w:r w:rsidR="00961468">
        <w:rPr>
          <w:rFonts w:ascii="Arial" w:hAnsi="Arial" w:cs="Arial"/>
        </w:rPr>
        <w:t>un renforcement ultérieur de son système</w:t>
      </w:r>
      <w:r w:rsidR="00961468" w:rsidRPr="00CB7EE0">
        <w:rPr>
          <w:rFonts w:ascii="Arial" w:hAnsi="Arial" w:cs="Arial"/>
        </w:rPr>
        <w:t xml:space="preserve"> de gestion pour mieux utiliser ses ressources, de même que d’éventuelles sources de financement externes. Au vu du diagnostic PEFA, des propositions d’amélioration de la gestion pourront être faites. </w:t>
      </w:r>
      <w:r w:rsidR="00961468">
        <w:rPr>
          <w:rFonts w:ascii="Arial" w:hAnsi="Arial" w:cs="Arial"/>
        </w:rPr>
        <w:t>La répétition</w:t>
      </w:r>
      <w:r w:rsidR="00961468" w:rsidRPr="00CB7EE0">
        <w:rPr>
          <w:rFonts w:ascii="Arial" w:hAnsi="Arial" w:cs="Arial"/>
        </w:rPr>
        <w:t xml:space="preserve"> périodique </w:t>
      </w:r>
      <w:r w:rsidR="00961468">
        <w:rPr>
          <w:rFonts w:ascii="Arial" w:hAnsi="Arial" w:cs="Arial"/>
        </w:rPr>
        <w:t>de l’exercice</w:t>
      </w:r>
      <w:r w:rsidR="00961468" w:rsidRPr="00CB7EE0">
        <w:rPr>
          <w:rFonts w:ascii="Arial" w:hAnsi="Arial" w:cs="Arial"/>
        </w:rPr>
        <w:t xml:space="preserve"> permettra de mesurer les effets des </w:t>
      </w:r>
      <w:r w:rsidR="00961468">
        <w:rPr>
          <w:rFonts w:ascii="Arial" w:hAnsi="Arial" w:cs="Arial"/>
        </w:rPr>
        <w:t>réformes</w:t>
      </w:r>
      <w:r w:rsidR="00961468" w:rsidRPr="00CB7EE0">
        <w:rPr>
          <w:rFonts w:ascii="Arial" w:hAnsi="Arial" w:cs="Arial"/>
        </w:rPr>
        <w:t xml:space="preserve"> entrepris</w:t>
      </w:r>
      <w:r w:rsidR="00961468">
        <w:rPr>
          <w:rFonts w:ascii="Arial" w:hAnsi="Arial" w:cs="Arial"/>
        </w:rPr>
        <w:t>es</w:t>
      </w:r>
      <w:r w:rsidR="00961468" w:rsidRPr="00CB7EE0">
        <w:rPr>
          <w:rFonts w:ascii="Arial" w:hAnsi="Arial" w:cs="Arial"/>
        </w:rPr>
        <w:t xml:space="preserve"> par la Ville. Le diagnostic pourra également constituer une référence pour les bailleurs désirant octroyer un financement à la ville.</w:t>
      </w:r>
    </w:p>
    <w:p w:rsidR="00961468" w:rsidRDefault="00961468" w:rsidP="00961468">
      <w:pPr>
        <w:jc w:val="both"/>
        <w:rPr>
          <w:rFonts w:ascii="Arial" w:hAnsi="Arial" w:cs="Arial"/>
        </w:rPr>
      </w:pPr>
    </w:p>
    <w:p w:rsidR="00961468" w:rsidRPr="00CB7EE0" w:rsidRDefault="00961468" w:rsidP="00961468">
      <w:pPr>
        <w:jc w:val="both"/>
        <w:rPr>
          <w:rFonts w:ascii="Arial" w:hAnsi="Arial" w:cs="Arial"/>
          <w:bCs/>
          <w:iCs/>
        </w:rPr>
      </w:pPr>
      <w:r>
        <w:rPr>
          <w:rFonts w:ascii="Arial" w:hAnsi="Arial" w:cs="Arial"/>
        </w:rPr>
        <w:t xml:space="preserve">L’évaluation est pilotée conjointement par les autorités de la CC avec les bailleurs de fonds qui participent au projet, notamment </w:t>
      </w:r>
      <w:r w:rsidR="00575D02">
        <w:rPr>
          <w:rFonts w:ascii="Arial" w:hAnsi="Arial" w:cs="Arial"/>
        </w:rPr>
        <w:t>PPIAF-</w:t>
      </w:r>
      <w:r>
        <w:rPr>
          <w:rFonts w:ascii="Arial" w:hAnsi="Arial" w:cs="Arial"/>
        </w:rPr>
        <w:t>Banque Mondiale et l’Agence Française de Développement.</w:t>
      </w:r>
    </w:p>
    <w:p w:rsidR="00961468" w:rsidRPr="00A17E25" w:rsidRDefault="00961468" w:rsidP="00961468">
      <w:pPr>
        <w:jc w:val="both"/>
        <w:rPr>
          <w:rFonts w:ascii="Arial" w:hAnsi="Arial" w:cs="Arial"/>
          <w:iCs/>
        </w:rPr>
      </w:pPr>
    </w:p>
    <w:p w:rsidR="00961468" w:rsidRPr="00A17E25" w:rsidRDefault="00961468" w:rsidP="00961468">
      <w:pPr>
        <w:jc w:val="both"/>
        <w:rPr>
          <w:rFonts w:ascii="Arial" w:hAnsi="Arial"/>
          <w:b/>
          <w:bCs/>
          <w:i/>
          <w:iCs/>
        </w:rPr>
      </w:pPr>
      <w:r w:rsidRPr="00A17E25">
        <w:rPr>
          <w:rFonts w:ascii="Arial" w:hAnsi="Arial"/>
          <w:b/>
          <w:bCs/>
          <w:i/>
          <w:iCs/>
        </w:rPr>
        <w:t>ii) Calendrier, couverture et période couverte par l’évaluation</w:t>
      </w:r>
    </w:p>
    <w:p w:rsidR="00DB5BD1" w:rsidRDefault="00DB5BD1" w:rsidP="00961468">
      <w:pPr>
        <w:jc w:val="both"/>
        <w:rPr>
          <w:rStyle w:val="Strong"/>
          <w:rFonts w:ascii="Arial" w:hAnsi="Arial" w:cs="Arial"/>
          <w:b w:val="0"/>
        </w:rPr>
      </w:pPr>
    </w:p>
    <w:p w:rsidR="00961468" w:rsidRDefault="00961468" w:rsidP="00961468">
      <w:pPr>
        <w:jc w:val="both"/>
        <w:rPr>
          <w:rStyle w:val="Strong"/>
          <w:rFonts w:ascii="Arial" w:hAnsi="Arial" w:cs="Arial"/>
          <w:b w:val="0"/>
        </w:rPr>
      </w:pPr>
      <w:r>
        <w:rPr>
          <w:rStyle w:val="Strong"/>
          <w:rFonts w:ascii="Arial" w:hAnsi="Arial" w:cs="Arial"/>
          <w:b w:val="0"/>
        </w:rPr>
        <w:t>Les deux experts membres de l’équipe d</w:t>
      </w:r>
      <w:r w:rsidR="00DF3591">
        <w:rPr>
          <w:rStyle w:val="Strong"/>
          <w:rFonts w:ascii="Arial" w:hAnsi="Arial" w:cs="Arial"/>
          <w:b w:val="0"/>
        </w:rPr>
        <w:t>’</w:t>
      </w:r>
      <w:r>
        <w:rPr>
          <w:rStyle w:val="Strong"/>
          <w:rFonts w:ascii="Arial" w:hAnsi="Arial" w:cs="Arial"/>
          <w:b w:val="0"/>
        </w:rPr>
        <w:t>évaluation</w:t>
      </w:r>
      <w:r w:rsidRPr="00B92B83">
        <w:rPr>
          <w:rStyle w:val="Strong"/>
          <w:rFonts w:ascii="Arial" w:hAnsi="Arial" w:cs="Arial"/>
          <w:b w:val="0"/>
        </w:rPr>
        <w:t xml:space="preserve"> </w:t>
      </w:r>
      <w:r>
        <w:rPr>
          <w:rStyle w:val="Strong"/>
          <w:rFonts w:ascii="Arial" w:hAnsi="Arial" w:cs="Arial"/>
          <w:b w:val="0"/>
        </w:rPr>
        <w:t>ont</w:t>
      </w:r>
      <w:r w:rsidRPr="00B92B83">
        <w:rPr>
          <w:rStyle w:val="Strong"/>
          <w:rFonts w:ascii="Arial" w:hAnsi="Arial" w:cs="Arial"/>
          <w:b w:val="0"/>
        </w:rPr>
        <w:t xml:space="preserve"> réalisé </w:t>
      </w:r>
      <w:r w:rsidR="00AE743D">
        <w:rPr>
          <w:rStyle w:val="Strong"/>
          <w:rFonts w:ascii="Arial" w:hAnsi="Arial" w:cs="Arial"/>
          <w:b w:val="0"/>
        </w:rPr>
        <w:t>trois missions à Casablanca : la</w:t>
      </w:r>
      <w:r w:rsidR="00AE743D" w:rsidRPr="00B92B83">
        <w:rPr>
          <w:rStyle w:val="Strong"/>
          <w:rFonts w:ascii="Arial" w:hAnsi="Arial" w:cs="Arial"/>
          <w:b w:val="0"/>
        </w:rPr>
        <w:t xml:space="preserve"> </w:t>
      </w:r>
      <w:r w:rsidRPr="00B92B83">
        <w:rPr>
          <w:rStyle w:val="Strong"/>
          <w:rFonts w:ascii="Arial" w:hAnsi="Arial" w:cs="Arial"/>
          <w:b w:val="0"/>
        </w:rPr>
        <w:t xml:space="preserve">première de terrain à </w:t>
      </w:r>
      <w:r>
        <w:rPr>
          <w:rStyle w:val="Strong"/>
          <w:rFonts w:ascii="Arial" w:hAnsi="Arial" w:cs="Arial"/>
          <w:b w:val="0"/>
        </w:rPr>
        <w:t>Casablanca</w:t>
      </w:r>
      <w:r w:rsidRPr="00B92B83">
        <w:rPr>
          <w:rStyle w:val="Strong"/>
          <w:rFonts w:ascii="Arial" w:hAnsi="Arial" w:cs="Arial"/>
          <w:b w:val="0"/>
        </w:rPr>
        <w:t xml:space="preserve"> </w:t>
      </w:r>
      <w:r>
        <w:rPr>
          <w:rStyle w:val="Strong"/>
          <w:rFonts w:ascii="Arial" w:hAnsi="Arial" w:cs="Arial"/>
          <w:b w:val="0"/>
        </w:rPr>
        <w:t>du 20 au 24 juillet</w:t>
      </w:r>
      <w:r w:rsidRPr="00B92B83">
        <w:rPr>
          <w:rStyle w:val="Strong"/>
          <w:rFonts w:ascii="Arial" w:hAnsi="Arial" w:cs="Arial"/>
          <w:b w:val="0"/>
        </w:rPr>
        <w:t xml:space="preserve"> 2015</w:t>
      </w:r>
      <w:r w:rsidR="00AE743D">
        <w:rPr>
          <w:rStyle w:val="Strong"/>
          <w:rFonts w:ascii="Arial" w:hAnsi="Arial" w:cs="Arial"/>
          <w:b w:val="0"/>
        </w:rPr>
        <w:t>,</w:t>
      </w:r>
      <w:r w:rsidRPr="00B92B83">
        <w:rPr>
          <w:rStyle w:val="Strong"/>
          <w:rFonts w:ascii="Arial" w:hAnsi="Arial" w:cs="Arial"/>
          <w:b w:val="0"/>
        </w:rPr>
        <w:t xml:space="preserve"> </w:t>
      </w:r>
      <w:r w:rsidR="00AE743D">
        <w:rPr>
          <w:rStyle w:val="Strong"/>
          <w:rFonts w:ascii="Arial" w:hAnsi="Arial" w:cs="Arial"/>
          <w:b w:val="0"/>
        </w:rPr>
        <w:t>la</w:t>
      </w:r>
      <w:r w:rsidRPr="00B92B83">
        <w:rPr>
          <w:rStyle w:val="Strong"/>
          <w:rFonts w:ascii="Arial" w:hAnsi="Arial" w:cs="Arial"/>
          <w:b w:val="0"/>
        </w:rPr>
        <w:t xml:space="preserve"> deuxième du </w:t>
      </w:r>
      <w:r>
        <w:rPr>
          <w:rStyle w:val="Strong"/>
          <w:rFonts w:ascii="Arial" w:hAnsi="Arial" w:cs="Arial"/>
          <w:b w:val="0"/>
        </w:rPr>
        <w:t>17 août au 04 septembre 2015</w:t>
      </w:r>
      <w:r w:rsidR="00AE743D">
        <w:rPr>
          <w:rStyle w:val="Strong"/>
          <w:rFonts w:ascii="Arial" w:hAnsi="Arial" w:cs="Arial"/>
          <w:b w:val="0"/>
        </w:rPr>
        <w:t xml:space="preserve"> et la troisième du 21</w:t>
      </w:r>
      <w:r w:rsidR="00116C71">
        <w:rPr>
          <w:rStyle w:val="Strong"/>
          <w:rFonts w:ascii="Arial" w:hAnsi="Arial" w:cs="Arial"/>
          <w:b w:val="0"/>
        </w:rPr>
        <w:t xml:space="preserve"> au 28 mars</w:t>
      </w:r>
      <w:r>
        <w:rPr>
          <w:rStyle w:val="Strong"/>
          <w:rFonts w:ascii="Arial" w:hAnsi="Arial" w:cs="Arial"/>
          <w:b w:val="0"/>
        </w:rPr>
        <w:t>. Au début de la première mission de terrain, un atelier de lancement a eu lieu dans les locaux de la CC</w:t>
      </w:r>
      <w:r w:rsidRPr="00B92B83">
        <w:rPr>
          <w:rStyle w:val="Strong"/>
          <w:rFonts w:ascii="Arial" w:hAnsi="Arial" w:cs="Arial"/>
          <w:b w:val="0"/>
        </w:rPr>
        <w:t xml:space="preserve"> le </w:t>
      </w:r>
      <w:r>
        <w:rPr>
          <w:rStyle w:val="Strong"/>
          <w:rFonts w:ascii="Arial" w:hAnsi="Arial" w:cs="Arial"/>
          <w:b w:val="0"/>
        </w:rPr>
        <w:t>20</w:t>
      </w:r>
      <w:r w:rsidRPr="00B92B83">
        <w:rPr>
          <w:rStyle w:val="Strong"/>
          <w:rFonts w:ascii="Arial" w:hAnsi="Arial" w:cs="Arial"/>
          <w:b w:val="0"/>
        </w:rPr>
        <w:t xml:space="preserve"> </w:t>
      </w:r>
      <w:r>
        <w:rPr>
          <w:rStyle w:val="Strong"/>
          <w:rFonts w:ascii="Arial" w:hAnsi="Arial" w:cs="Arial"/>
          <w:b w:val="0"/>
        </w:rPr>
        <w:t>juillet</w:t>
      </w:r>
      <w:r w:rsidRPr="00B92B83">
        <w:rPr>
          <w:rStyle w:val="Strong"/>
          <w:rFonts w:ascii="Arial" w:hAnsi="Arial" w:cs="Arial"/>
          <w:b w:val="0"/>
        </w:rPr>
        <w:t xml:space="preserve"> 2015 et a rassemblé </w:t>
      </w:r>
      <w:r>
        <w:rPr>
          <w:rStyle w:val="Strong"/>
          <w:rFonts w:ascii="Arial" w:hAnsi="Arial" w:cs="Arial"/>
          <w:b w:val="0"/>
        </w:rPr>
        <w:t>plus</w:t>
      </w:r>
      <w:r w:rsidRPr="00B92B83">
        <w:rPr>
          <w:rStyle w:val="Strong"/>
          <w:rFonts w:ascii="Arial" w:hAnsi="Arial" w:cs="Arial"/>
          <w:b w:val="0"/>
        </w:rPr>
        <w:t xml:space="preserve"> d’une </w:t>
      </w:r>
      <w:r>
        <w:rPr>
          <w:rStyle w:val="Strong"/>
          <w:rFonts w:ascii="Arial" w:hAnsi="Arial" w:cs="Arial"/>
          <w:b w:val="0"/>
        </w:rPr>
        <w:t>vingtaine</w:t>
      </w:r>
      <w:r w:rsidRPr="00B92B83">
        <w:rPr>
          <w:rStyle w:val="Strong"/>
          <w:rFonts w:ascii="Arial" w:hAnsi="Arial" w:cs="Arial"/>
          <w:b w:val="0"/>
        </w:rPr>
        <w:t xml:space="preserve"> de participants.</w:t>
      </w:r>
      <w:r w:rsidR="00116C71">
        <w:rPr>
          <w:rStyle w:val="Strong"/>
          <w:rFonts w:ascii="Arial" w:hAnsi="Arial" w:cs="Arial"/>
          <w:b w:val="0"/>
        </w:rPr>
        <w:t xml:space="preserve"> Au terme de la deuxième mission de terrain, un rapport préliminaire a été produit par les experts et soumis aux différents réviseurs à savoir, la Banque Mondiale, l’Agence française de développement, la Commune de Casablanca et le secrétariat PEFA. Sur la base des commentaires formulés par les réviseurs, la mission finalisé le rapport provisoire et a organisé le 28 mars 2016 un atelier de restitution des résultats de l’évaluation.</w:t>
      </w:r>
    </w:p>
    <w:p w:rsidR="00961468" w:rsidRDefault="00961468" w:rsidP="00961468">
      <w:pPr>
        <w:jc w:val="both"/>
        <w:rPr>
          <w:rStyle w:val="Strong"/>
          <w:rFonts w:ascii="Arial" w:hAnsi="Arial" w:cs="Arial"/>
          <w:b w:val="0"/>
        </w:rPr>
      </w:pPr>
    </w:p>
    <w:p w:rsidR="00961468" w:rsidRPr="00837F93" w:rsidRDefault="00961468" w:rsidP="00961468">
      <w:pPr>
        <w:jc w:val="both"/>
        <w:rPr>
          <w:rFonts w:ascii="Arial" w:hAnsi="Arial" w:cs="Arial"/>
        </w:rPr>
      </w:pPr>
      <w:r w:rsidRPr="00837F93">
        <w:rPr>
          <w:rFonts w:ascii="Arial" w:hAnsi="Arial" w:cs="Arial"/>
        </w:rPr>
        <w:t>Au Maroc, des communes urbaines limitativement énumérées</w:t>
      </w:r>
      <w:r w:rsidRPr="00837F93">
        <w:rPr>
          <w:rStyle w:val="FootnoteReference"/>
          <w:rFonts w:ascii="Arial" w:hAnsi="Arial" w:cs="Arial"/>
        </w:rPr>
        <w:footnoteReference w:id="2"/>
      </w:r>
      <w:r w:rsidRPr="00837F93">
        <w:rPr>
          <w:rFonts w:ascii="Arial" w:hAnsi="Arial" w:cs="Arial"/>
        </w:rPr>
        <w:t xml:space="preserve"> par la loi n° 78-00 portant</w:t>
      </w:r>
      <w:r w:rsidR="00F92FF8">
        <w:rPr>
          <w:rFonts w:ascii="Arial" w:hAnsi="Arial" w:cs="Arial"/>
        </w:rPr>
        <w:t xml:space="preserve"> </w:t>
      </w:r>
      <w:r w:rsidRPr="00837F93">
        <w:rPr>
          <w:rFonts w:ascii="Arial" w:hAnsi="Arial" w:cs="Arial"/>
        </w:rPr>
        <w:t>charte</w:t>
      </w:r>
      <w:r w:rsidR="00B75A7F">
        <w:rPr>
          <w:rFonts w:ascii="Arial" w:hAnsi="Arial" w:cs="Arial"/>
        </w:rPr>
        <w:t xml:space="preserve"> </w:t>
      </w:r>
      <w:r w:rsidRPr="00837F93">
        <w:rPr>
          <w:rFonts w:ascii="Arial" w:hAnsi="Arial" w:cs="Arial"/>
        </w:rPr>
        <w:t>communale</w:t>
      </w:r>
      <w:r w:rsidR="00F92FF8">
        <w:rPr>
          <w:rFonts w:ascii="Arial" w:hAnsi="Arial" w:cs="Arial"/>
        </w:rPr>
        <w:t xml:space="preserve"> </w:t>
      </w:r>
      <w:r w:rsidRPr="00837F93">
        <w:rPr>
          <w:rFonts w:ascii="Arial" w:hAnsi="Arial" w:cs="Arial"/>
        </w:rPr>
        <w:t>sont</w:t>
      </w:r>
      <w:r w:rsidR="00F92FF8">
        <w:rPr>
          <w:rFonts w:ascii="Arial" w:hAnsi="Arial" w:cs="Arial"/>
        </w:rPr>
        <w:t xml:space="preserve"> </w:t>
      </w:r>
      <w:r w:rsidRPr="00837F93">
        <w:rPr>
          <w:rFonts w:ascii="Arial" w:hAnsi="Arial" w:cs="Arial"/>
        </w:rPr>
        <w:t>subdivisées</w:t>
      </w:r>
      <w:r w:rsidR="00F92FF8">
        <w:rPr>
          <w:rFonts w:ascii="Arial" w:hAnsi="Arial" w:cs="Arial"/>
        </w:rPr>
        <w:t xml:space="preserve"> </w:t>
      </w:r>
      <w:r w:rsidRPr="00837F93">
        <w:rPr>
          <w:rFonts w:ascii="Arial" w:hAnsi="Arial" w:cs="Arial"/>
        </w:rPr>
        <w:t>en</w:t>
      </w:r>
      <w:r w:rsidR="00F92FF8">
        <w:rPr>
          <w:rFonts w:ascii="Arial" w:hAnsi="Arial" w:cs="Arial"/>
        </w:rPr>
        <w:t xml:space="preserve"> </w:t>
      </w:r>
      <w:r w:rsidRPr="00837F93">
        <w:rPr>
          <w:rFonts w:ascii="Arial" w:hAnsi="Arial" w:cs="Arial"/>
        </w:rPr>
        <w:t>arrondissements.</w:t>
      </w:r>
      <w:r w:rsidR="00F92FF8">
        <w:rPr>
          <w:rFonts w:ascii="Arial" w:hAnsi="Arial" w:cs="Arial"/>
        </w:rPr>
        <w:t xml:space="preserve"> </w:t>
      </w:r>
      <w:r w:rsidRPr="00837F93">
        <w:rPr>
          <w:rFonts w:ascii="Arial" w:hAnsi="Arial" w:cs="Arial"/>
        </w:rPr>
        <w:t>La commune urbaine de Casablanca comprend seize (16) arrondissements. Aux termes des dispositions de l’article 85 de la charte communale, les arrondissements sont dépourvus de la personnalité juridique, mais jouissent de l’autonomie administrative et financière, et sont dotés de conseils d’arrondissement.</w:t>
      </w:r>
    </w:p>
    <w:p w:rsidR="00961468" w:rsidRPr="00837F93" w:rsidRDefault="00961468" w:rsidP="00961468">
      <w:pPr>
        <w:jc w:val="both"/>
        <w:rPr>
          <w:rFonts w:ascii="Arial" w:hAnsi="Arial" w:cs="Arial"/>
        </w:rPr>
      </w:pPr>
    </w:p>
    <w:p w:rsidR="00961468" w:rsidRDefault="00961468" w:rsidP="00961468">
      <w:pPr>
        <w:jc w:val="both"/>
        <w:rPr>
          <w:rFonts w:ascii="Arial" w:hAnsi="Arial" w:cs="Arial"/>
        </w:rPr>
      </w:pPr>
      <w:r w:rsidRPr="00837F93">
        <w:rPr>
          <w:rFonts w:ascii="Arial" w:hAnsi="Arial" w:cs="Arial"/>
        </w:rPr>
        <w:t>Sur le plan financier, les arrondissements reçoivent de la commune une dotation globale destinée à financer des d</w:t>
      </w:r>
      <w:r>
        <w:rPr>
          <w:rFonts w:ascii="Arial" w:hAnsi="Arial" w:cs="Arial"/>
        </w:rPr>
        <w:t xml:space="preserve">épenses préalablement définies. Ces dotations sont inscrites au budget de la CC. </w:t>
      </w:r>
      <w:r w:rsidRPr="00837F93">
        <w:rPr>
          <w:rFonts w:ascii="Arial" w:hAnsi="Arial" w:cs="Arial"/>
        </w:rPr>
        <w:t xml:space="preserve">Chaque arrondissement élabore annuellement, conformément à l’article 13 de la loi n° 45-08, relative à l’organisation des finances des collectivités locales et de leurs groupements, un compte de dépenses sur dotation (CDD) prévisionnel. </w:t>
      </w:r>
    </w:p>
    <w:p w:rsidR="00961468" w:rsidRDefault="00961468" w:rsidP="00961468">
      <w:pPr>
        <w:jc w:val="both"/>
        <w:rPr>
          <w:rFonts w:ascii="Arial" w:hAnsi="Arial" w:cs="Arial"/>
        </w:rPr>
      </w:pPr>
    </w:p>
    <w:p w:rsidR="00961468" w:rsidRPr="007339D4" w:rsidRDefault="00961468" w:rsidP="00961468">
      <w:pPr>
        <w:jc w:val="both"/>
        <w:rPr>
          <w:rFonts w:ascii="Arial" w:hAnsi="Arial" w:cs="Arial"/>
        </w:rPr>
      </w:pPr>
      <w:r w:rsidRPr="007339D4">
        <w:rPr>
          <w:rFonts w:ascii="Arial" w:hAnsi="Arial" w:cs="Arial"/>
        </w:rPr>
        <w:t>Conformément aux dispositions de la loi n° 45-08 relative à l’organisation des finances des collectivités locales et de leurs groupements, le budget de la Commune  de Casablanca comprend:</w:t>
      </w:r>
    </w:p>
    <w:p w:rsidR="00961468" w:rsidRPr="007339D4" w:rsidRDefault="00961468" w:rsidP="00151AD3">
      <w:pPr>
        <w:pStyle w:val="ListParagraph"/>
        <w:numPr>
          <w:ilvl w:val="0"/>
          <w:numId w:val="14"/>
        </w:numPr>
        <w:jc w:val="both"/>
        <w:rPr>
          <w:rFonts w:ascii="Arial" w:hAnsi="Arial" w:cs="Arial"/>
        </w:rPr>
      </w:pPr>
      <w:r w:rsidRPr="007339D4">
        <w:rPr>
          <w:rFonts w:ascii="Arial" w:hAnsi="Arial" w:cs="Arial"/>
        </w:rPr>
        <w:t>Une première partie qui décrit les opérations de recettes et de dépenses de fonctionnement;</w:t>
      </w:r>
    </w:p>
    <w:p w:rsidR="00961468" w:rsidRPr="007339D4" w:rsidRDefault="00961468" w:rsidP="00151AD3">
      <w:pPr>
        <w:pStyle w:val="ListParagraph"/>
        <w:numPr>
          <w:ilvl w:val="0"/>
          <w:numId w:val="14"/>
        </w:numPr>
        <w:jc w:val="both"/>
        <w:rPr>
          <w:rFonts w:ascii="Arial" w:hAnsi="Arial" w:cs="Arial"/>
        </w:rPr>
      </w:pPr>
      <w:r w:rsidRPr="007339D4">
        <w:rPr>
          <w:rFonts w:ascii="Arial" w:hAnsi="Arial" w:cs="Arial"/>
        </w:rPr>
        <w:t>Une deuxième partie qui retrace les opérations de recettes et de dépenses d’équipement;</w:t>
      </w:r>
    </w:p>
    <w:p w:rsidR="00961468" w:rsidRPr="007339D4" w:rsidRDefault="00961468" w:rsidP="00151AD3">
      <w:pPr>
        <w:pStyle w:val="ListParagraph"/>
        <w:numPr>
          <w:ilvl w:val="0"/>
          <w:numId w:val="14"/>
        </w:numPr>
        <w:jc w:val="both"/>
        <w:rPr>
          <w:rFonts w:ascii="Arial" w:hAnsi="Arial" w:cs="Arial"/>
        </w:rPr>
      </w:pPr>
      <w:r w:rsidRPr="007339D4">
        <w:rPr>
          <w:rFonts w:ascii="Arial" w:hAnsi="Arial" w:cs="Arial"/>
        </w:rPr>
        <w:t>Les comptes spéciaux qui sont composés des comptes d’affectation spéciale (CAS) et les comptes de dépenses sur dotations (CDD).</w:t>
      </w:r>
    </w:p>
    <w:p w:rsidR="00961468" w:rsidRDefault="00961468" w:rsidP="00961468">
      <w:pPr>
        <w:jc w:val="both"/>
        <w:rPr>
          <w:rFonts w:ascii="Arial" w:hAnsi="Arial" w:cs="Arial"/>
        </w:rPr>
      </w:pPr>
    </w:p>
    <w:p w:rsidR="00961468" w:rsidRPr="00A55071" w:rsidRDefault="00961468" w:rsidP="00961468">
      <w:pPr>
        <w:jc w:val="both"/>
        <w:rPr>
          <w:rStyle w:val="Strong"/>
          <w:rFonts w:ascii="Arial" w:hAnsi="Arial" w:cs="Arial"/>
          <w:b w:val="0"/>
          <w:bCs w:val="0"/>
        </w:rPr>
      </w:pPr>
      <w:r>
        <w:rPr>
          <w:rFonts w:ascii="Arial" w:hAnsi="Arial" w:cs="Arial"/>
        </w:rPr>
        <w:t xml:space="preserve">La présente évaluation couvre le budget de la </w:t>
      </w:r>
      <w:r w:rsidR="00262F9D">
        <w:rPr>
          <w:rFonts w:ascii="Arial" w:hAnsi="Arial" w:cs="Arial"/>
        </w:rPr>
        <w:t>CC</w:t>
      </w:r>
      <w:r>
        <w:rPr>
          <w:rFonts w:ascii="Arial" w:hAnsi="Arial" w:cs="Arial"/>
        </w:rPr>
        <w:t xml:space="preserve"> stricto sensu </w:t>
      </w:r>
      <w:r w:rsidR="00575D02">
        <w:rPr>
          <w:rFonts w:ascii="Arial" w:hAnsi="Arial" w:cs="Arial"/>
        </w:rPr>
        <w:t>(première et deuxième parties),</w:t>
      </w:r>
      <w:r>
        <w:rPr>
          <w:rFonts w:ascii="Arial" w:hAnsi="Arial" w:cs="Arial"/>
        </w:rPr>
        <w:t xml:space="preserve"> les opérations des CDD et celles des CAS, et porte sur les trois exercices clôturés, à savoir 2012, 2013 et 2014.</w:t>
      </w:r>
      <w:r w:rsidRPr="00837F93">
        <w:rPr>
          <w:rFonts w:ascii="Arial" w:hAnsi="Arial" w:cs="Arial"/>
        </w:rPr>
        <w:t xml:space="preserve"> </w:t>
      </w:r>
      <w:r>
        <w:rPr>
          <w:rFonts w:ascii="Arial" w:hAnsi="Arial" w:cs="Arial"/>
        </w:rPr>
        <w:t>Pour la notation de certains indicateurs et conformément à la méthodologie du cadre PEFA, les données de l’exercice 2015 ont été prises en compte.</w:t>
      </w:r>
    </w:p>
    <w:p w:rsidR="00961468" w:rsidRPr="00A17E25" w:rsidRDefault="00961468" w:rsidP="00961468">
      <w:pPr>
        <w:jc w:val="both"/>
        <w:rPr>
          <w:rFonts w:ascii="Arial" w:hAnsi="Arial" w:cs="Arial"/>
        </w:rPr>
      </w:pPr>
    </w:p>
    <w:p w:rsidR="00961468" w:rsidRPr="00A17E25" w:rsidRDefault="00961468" w:rsidP="00961468">
      <w:pPr>
        <w:jc w:val="both"/>
        <w:rPr>
          <w:rFonts w:ascii="Arial" w:hAnsi="Arial" w:cs="Arial"/>
          <w:b/>
          <w:bCs/>
          <w:i/>
          <w:iCs/>
        </w:rPr>
      </w:pPr>
      <w:r w:rsidRPr="00A17E25">
        <w:rPr>
          <w:rFonts w:ascii="Arial" w:hAnsi="Arial" w:cs="Arial"/>
          <w:b/>
          <w:bCs/>
          <w:i/>
          <w:iCs/>
        </w:rPr>
        <w:t>iii) Évaluation de l’incidence des faiblesses de la gestion des finances publiques municipales</w:t>
      </w:r>
    </w:p>
    <w:p w:rsidR="00961468" w:rsidRDefault="00961468" w:rsidP="00961468">
      <w:pPr>
        <w:jc w:val="both"/>
        <w:rPr>
          <w:rFonts w:ascii="Arial" w:hAnsi="Arial" w:cs="Arial"/>
          <w:bCs/>
          <w:iCs/>
        </w:rPr>
      </w:pPr>
    </w:p>
    <w:p w:rsidR="00961468" w:rsidRDefault="00961468" w:rsidP="00961468">
      <w:pPr>
        <w:jc w:val="both"/>
        <w:rPr>
          <w:rFonts w:ascii="Arial" w:hAnsi="Arial" w:cs="Arial"/>
          <w:bCs/>
          <w:iCs/>
        </w:rPr>
      </w:pPr>
      <w:r>
        <w:rPr>
          <w:rFonts w:ascii="Arial" w:hAnsi="Arial" w:cs="Arial"/>
          <w:bCs/>
          <w:iCs/>
        </w:rPr>
        <w:t>Les principales faiblesses du système de la gestion des finances publiques de la CC révélées par l’évaluation se présentent par pilier comme il suit :</w:t>
      </w:r>
    </w:p>
    <w:p w:rsidR="00961468" w:rsidRDefault="00961468" w:rsidP="00961468">
      <w:pPr>
        <w:jc w:val="both"/>
        <w:rPr>
          <w:rFonts w:ascii="Arial" w:hAnsi="Arial" w:cs="Arial"/>
          <w:bCs/>
          <w:iCs/>
        </w:rPr>
      </w:pPr>
    </w:p>
    <w:p w:rsidR="00961468" w:rsidRPr="008C4BE7" w:rsidRDefault="00575D02" w:rsidP="00961468">
      <w:pPr>
        <w:jc w:val="both"/>
        <w:rPr>
          <w:rFonts w:ascii="Arial" w:hAnsi="Arial" w:cs="Arial"/>
          <w:b/>
          <w:bCs/>
          <w:iCs/>
        </w:rPr>
      </w:pPr>
      <w:r>
        <w:rPr>
          <w:rFonts w:ascii="Arial" w:hAnsi="Arial" w:cs="Arial"/>
          <w:b/>
          <w:bCs/>
          <w:iCs/>
        </w:rPr>
        <w:t xml:space="preserve">1. </w:t>
      </w:r>
      <w:r w:rsidR="00961468" w:rsidRPr="008C4BE7">
        <w:rPr>
          <w:rFonts w:ascii="Arial" w:hAnsi="Arial" w:cs="Arial"/>
          <w:b/>
          <w:bCs/>
          <w:iCs/>
        </w:rPr>
        <w:t>Crédibilité de la stratégie des finances publiques et du budget</w:t>
      </w:r>
    </w:p>
    <w:p w:rsidR="00ED5B7C" w:rsidRDefault="00ED5B7C" w:rsidP="00961468">
      <w:pPr>
        <w:jc w:val="both"/>
        <w:rPr>
          <w:rFonts w:ascii="Arial" w:hAnsi="Arial" w:cs="Arial"/>
          <w:bCs/>
          <w:iCs/>
        </w:rPr>
      </w:pPr>
    </w:p>
    <w:p w:rsidR="00961468" w:rsidRDefault="00961468" w:rsidP="00961468">
      <w:pPr>
        <w:jc w:val="both"/>
        <w:rPr>
          <w:rFonts w:ascii="Arial" w:hAnsi="Arial" w:cs="Arial"/>
          <w:bCs/>
          <w:iCs/>
        </w:rPr>
      </w:pPr>
      <w:r>
        <w:rPr>
          <w:rFonts w:ascii="Arial" w:hAnsi="Arial" w:cs="Arial"/>
          <w:bCs/>
          <w:iCs/>
        </w:rPr>
        <w:t xml:space="preserve">Le budget </w:t>
      </w:r>
      <w:r w:rsidR="00D8102C">
        <w:rPr>
          <w:rFonts w:ascii="Arial" w:hAnsi="Arial" w:cs="Arial"/>
          <w:bCs/>
          <w:iCs/>
        </w:rPr>
        <w:t>initial</w:t>
      </w:r>
      <w:r>
        <w:rPr>
          <w:rFonts w:ascii="Arial" w:hAnsi="Arial" w:cs="Arial"/>
          <w:bCs/>
          <w:iCs/>
        </w:rPr>
        <w:t xml:space="preserve"> de la CC ne couvre que l’intégralité des dépenses de fonctionnement (première partie).</w:t>
      </w:r>
      <w:r w:rsidR="00575D02">
        <w:rPr>
          <w:rFonts w:ascii="Arial" w:hAnsi="Arial" w:cs="Arial"/>
          <w:bCs/>
          <w:iCs/>
        </w:rPr>
        <w:t xml:space="preserve"> L</w:t>
      </w:r>
      <w:r>
        <w:rPr>
          <w:rFonts w:ascii="Arial" w:hAnsi="Arial" w:cs="Arial"/>
          <w:bCs/>
          <w:iCs/>
        </w:rPr>
        <w:t>es  dépenses d’équipement n’y sont pas prévues. Ces dépenses sont programmées au coup par coup en cours d’année. Les CAS ne sont pas apurés conformément aux dispositions de la loi relative aux finances locales, et les prévisions au titre de leurs opérations contenues dans les documents budgétaires intègrent de nombreux CAS qui ne sont plus opérationnels depuis plusieurs années. Ce qui a pour conséquence un très bas taux d’exécution de</w:t>
      </w:r>
      <w:r w:rsidR="00575D02">
        <w:rPr>
          <w:rFonts w:ascii="Arial" w:hAnsi="Arial" w:cs="Arial"/>
          <w:bCs/>
          <w:iCs/>
        </w:rPr>
        <w:t>s</w:t>
      </w:r>
      <w:r>
        <w:rPr>
          <w:rFonts w:ascii="Arial" w:hAnsi="Arial" w:cs="Arial"/>
          <w:bCs/>
          <w:iCs/>
        </w:rPr>
        <w:t xml:space="preserve"> opérations </w:t>
      </w:r>
      <w:r w:rsidR="00575D02">
        <w:rPr>
          <w:rFonts w:ascii="Arial" w:hAnsi="Arial" w:cs="Arial"/>
          <w:bCs/>
          <w:iCs/>
        </w:rPr>
        <w:t xml:space="preserve">au titre des CAS </w:t>
      </w:r>
      <w:r>
        <w:rPr>
          <w:rFonts w:ascii="Arial" w:hAnsi="Arial" w:cs="Arial"/>
          <w:bCs/>
          <w:iCs/>
        </w:rPr>
        <w:t xml:space="preserve">et affecte considérablement la crédibilité </w:t>
      </w:r>
      <w:r w:rsidR="00575D02">
        <w:rPr>
          <w:rFonts w:ascii="Arial" w:hAnsi="Arial" w:cs="Arial"/>
          <w:bCs/>
          <w:iCs/>
        </w:rPr>
        <w:t xml:space="preserve">globale du budget de la CC. </w:t>
      </w:r>
    </w:p>
    <w:p w:rsidR="0089006E" w:rsidRDefault="0089006E" w:rsidP="00961468">
      <w:pPr>
        <w:jc w:val="both"/>
        <w:rPr>
          <w:rFonts w:ascii="Arial" w:hAnsi="Arial" w:cs="Arial"/>
          <w:bCs/>
          <w:iCs/>
        </w:rPr>
      </w:pPr>
    </w:p>
    <w:p w:rsidR="00961468" w:rsidRPr="008C4BE7" w:rsidRDefault="00575D02" w:rsidP="00961468">
      <w:pPr>
        <w:jc w:val="both"/>
        <w:rPr>
          <w:rFonts w:ascii="Arial" w:hAnsi="Arial" w:cs="Arial"/>
          <w:b/>
          <w:bCs/>
          <w:iCs/>
        </w:rPr>
      </w:pPr>
      <w:r>
        <w:rPr>
          <w:rFonts w:ascii="Arial" w:hAnsi="Arial" w:cs="Arial"/>
          <w:b/>
          <w:bCs/>
          <w:iCs/>
        </w:rPr>
        <w:t xml:space="preserve">2. </w:t>
      </w:r>
      <w:r w:rsidR="00961468" w:rsidRPr="008C4BE7">
        <w:rPr>
          <w:rFonts w:ascii="Arial" w:hAnsi="Arial" w:cs="Arial"/>
          <w:b/>
          <w:bCs/>
          <w:iCs/>
        </w:rPr>
        <w:t>Exhaustivité et transparence</w:t>
      </w:r>
    </w:p>
    <w:p w:rsidR="00ED5B7C" w:rsidRDefault="00ED5B7C" w:rsidP="00961468">
      <w:pPr>
        <w:jc w:val="both"/>
        <w:rPr>
          <w:rFonts w:ascii="Arial" w:hAnsi="Arial" w:cs="Arial"/>
          <w:color w:val="000000"/>
        </w:rPr>
      </w:pPr>
    </w:p>
    <w:p w:rsidR="00D32FE0" w:rsidRDefault="00961468" w:rsidP="00D32FE0">
      <w:pPr>
        <w:jc w:val="both"/>
        <w:rPr>
          <w:rFonts w:ascii="Arial" w:hAnsi="Arial" w:cs="Arial"/>
          <w:color w:val="000000"/>
        </w:rPr>
      </w:pPr>
      <w:r w:rsidRPr="00F8678C">
        <w:rPr>
          <w:rFonts w:ascii="Arial" w:hAnsi="Arial" w:cs="Arial"/>
          <w:color w:val="000000"/>
        </w:rPr>
        <w:t>La préparation et l’exécution du budge</w:t>
      </w:r>
      <w:r>
        <w:rPr>
          <w:rFonts w:ascii="Arial" w:hAnsi="Arial" w:cs="Arial"/>
          <w:color w:val="000000"/>
        </w:rPr>
        <w:t>t de la Commune de Casablanca</w:t>
      </w:r>
      <w:r w:rsidRPr="00F8678C">
        <w:rPr>
          <w:rFonts w:ascii="Arial" w:hAnsi="Arial" w:cs="Arial"/>
          <w:color w:val="000000"/>
        </w:rPr>
        <w:t xml:space="preserve"> ne se base</w:t>
      </w:r>
      <w:r w:rsidR="00116C71">
        <w:rPr>
          <w:rFonts w:ascii="Arial" w:hAnsi="Arial" w:cs="Arial"/>
          <w:color w:val="000000"/>
        </w:rPr>
        <w:t>nt</w:t>
      </w:r>
      <w:r w:rsidRPr="00F8678C">
        <w:rPr>
          <w:rFonts w:ascii="Arial" w:hAnsi="Arial" w:cs="Arial"/>
          <w:color w:val="000000"/>
        </w:rPr>
        <w:t xml:space="preserve"> ni sur une classification économique conforme aux normes SFP ni sur classification fonctionnelle conforme au COFOG</w:t>
      </w:r>
      <w:r w:rsidR="002F6248">
        <w:rPr>
          <w:rFonts w:ascii="Arial" w:hAnsi="Arial" w:cs="Arial"/>
          <w:color w:val="000000"/>
        </w:rPr>
        <w:t>, limitant ainsi sa lisibilité pour les citoyens</w:t>
      </w:r>
      <w:r w:rsidRPr="00F8678C">
        <w:rPr>
          <w:rFonts w:ascii="Arial" w:hAnsi="Arial" w:cs="Arial"/>
          <w:color w:val="000000"/>
        </w:rPr>
        <w:t>.</w:t>
      </w:r>
    </w:p>
    <w:p w:rsidR="00961468" w:rsidRPr="00D32FE0" w:rsidRDefault="00961468" w:rsidP="00D32FE0">
      <w:pPr>
        <w:jc w:val="both"/>
        <w:rPr>
          <w:rFonts w:ascii="Arial" w:hAnsi="Arial" w:cs="Arial"/>
          <w:color w:val="000000"/>
        </w:rPr>
      </w:pPr>
      <w:r>
        <w:rPr>
          <w:rFonts w:ascii="Arial" w:hAnsi="Arial" w:cs="Arial"/>
          <w:bCs/>
          <w:iCs/>
        </w:rPr>
        <w:t xml:space="preserve">La </w:t>
      </w:r>
      <w:r w:rsidR="00262F9D">
        <w:rPr>
          <w:rFonts w:ascii="Arial" w:hAnsi="Arial" w:cs="Arial"/>
          <w:bCs/>
          <w:iCs/>
        </w:rPr>
        <w:t>CC</w:t>
      </w:r>
      <w:r>
        <w:rPr>
          <w:rFonts w:ascii="Arial" w:hAnsi="Arial" w:cs="Arial"/>
          <w:bCs/>
          <w:iCs/>
        </w:rPr>
        <w:t xml:space="preserve"> communique très peu d’informations budgétaires au public.</w:t>
      </w:r>
    </w:p>
    <w:p w:rsidR="00961468" w:rsidRDefault="00961468" w:rsidP="00961468">
      <w:pPr>
        <w:jc w:val="both"/>
        <w:rPr>
          <w:rFonts w:ascii="Arial" w:hAnsi="Arial" w:cs="Arial"/>
          <w:bCs/>
          <w:iCs/>
        </w:rPr>
      </w:pPr>
    </w:p>
    <w:p w:rsidR="00961468" w:rsidRPr="00301FD2" w:rsidRDefault="00AF57D5" w:rsidP="00961468">
      <w:pPr>
        <w:jc w:val="both"/>
        <w:rPr>
          <w:rFonts w:ascii="Arial" w:hAnsi="Arial" w:cs="Arial"/>
          <w:bCs/>
          <w:iCs/>
        </w:rPr>
      </w:pPr>
      <w:r>
        <w:rPr>
          <w:rFonts w:ascii="Arial" w:hAnsi="Arial" w:cs="Arial"/>
          <w:b/>
          <w:bCs/>
          <w:iCs/>
        </w:rPr>
        <w:t xml:space="preserve">3. </w:t>
      </w:r>
      <w:r w:rsidR="00961468">
        <w:rPr>
          <w:rFonts w:ascii="Arial" w:hAnsi="Arial" w:cs="Arial"/>
          <w:b/>
          <w:bCs/>
          <w:iCs/>
        </w:rPr>
        <w:t>Gestion des actifs et des passifs</w:t>
      </w:r>
      <w:r w:rsidR="00961468">
        <w:rPr>
          <w:rFonts w:ascii="Arial" w:hAnsi="Arial" w:cs="Arial"/>
          <w:bCs/>
          <w:iCs/>
        </w:rPr>
        <w:t xml:space="preserve"> </w:t>
      </w:r>
    </w:p>
    <w:p w:rsidR="00ED5B7C" w:rsidRDefault="00ED5B7C" w:rsidP="00961468">
      <w:pPr>
        <w:jc w:val="both"/>
        <w:rPr>
          <w:rFonts w:ascii="Arial" w:hAnsi="Arial"/>
          <w:bCs/>
          <w:iCs/>
        </w:rPr>
      </w:pPr>
    </w:p>
    <w:p w:rsidR="00961468" w:rsidRDefault="002F6248" w:rsidP="00961468">
      <w:pPr>
        <w:jc w:val="both"/>
        <w:rPr>
          <w:rFonts w:ascii="Arial" w:hAnsi="Arial" w:cs="Arial"/>
        </w:rPr>
      </w:pPr>
      <w:r>
        <w:rPr>
          <w:rFonts w:ascii="Arial" w:hAnsi="Arial"/>
          <w:bCs/>
          <w:iCs/>
        </w:rPr>
        <w:t>A défaut d’un service et d’outils intégrés, le</w:t>
      </w:r>
      <w:r w:rsidR="00961468">
        <w:rPr>
          <w:rFonts w:ascii="Arial" w:hAnsi="Arial"/>
          <w:bCs/>
          <w:iCs/>
        </w:rPr>
        <w:t xml:space="preserve"> suivi de la situation financière des sociétés de développement local (SDL)</w:t>
      </w:r>
      <w:r>
        <w:rPr>
          <w:rFonts w:ascii="Arial" w:hAnsi="Arial"/>
          <w:bCs/>
          <w:iCs/>
        </w:rPr>
        <w:t>, dont la plupart sont de création récentes,</w:t>
      </w:r>
      <w:r w:rsidR="00961468">
        <w:rPr>
          <w:rFonts w:ascii="Arial" w:hAnsi="Arial"/>
          <w:bCs/>
          <w:iCs/>
        </w:rPr>
        <w:t xml:space="preserve"> n’est pas </w:t>
      </w:r>
      <w:r w:rsidR="00E72257">
        <w:rPr>
          <w:rFonts w:ascii="Arial" w:hAnsi="Arial"/>
          <w:bCs/>
          <w:iCs/>
        </w:rPr>
        <w:t xml:space="preserve">encore </w:t>
      </w:r>
      <w:r w:rsidR="00961468">
        <w:rPr>
          <w:rFonts w:ascii="Arial" w:hAnsi="Arial"/>
          <w:bCs/>
          <w:iCs/>
        </w:rPr>
        <w:t xml:space="preserve">convenablement assuré par la CC afin de prévenir les risques budgétaires liés à leur gestion. </w:t>
      </w:r>
      <w:r w:rsidR="00961468" w:rsidRPr="006827EB">
        <w:rPr>
          <w:rFonts w:ascii="Arial" w:hAnsi="Arial" w:cs="Arial"/>
        </w:rPr>
        <w:t xml:space="preserve">Les passifs conditionnels </w:t>
      </w:r>
      <w:r w:rsidR="00961468">
        <w:rPr>
          <w:rFonts w:ascii="Arial" w:hAnsi="Arial" w:cs="Arial"/>
        </w:rPr>
        <w:t>liés aux activités de la CC</w:t>
      </w:r>
      <w:r w:rsidR="00961468" w:rsidRPr="006827EB">
        <w:rPr>
          <w:rFonts w:ascii="Arial" w:hAnsi="Arial" w:cs="Arial"/>
        </w:rPr>
        <w:t xml:space="preserve"> </w:t>
      </w:r>
      <w:r w:rsidR="00961468">
        <w:rPr>
          <w:rFonts w:ascii="Arial" w:hAnsi="Arial" w:cs="Arial"/>
        </w:rPr>
        <w:t>ne sont pas tous quantifiés, consolidés et suivis.</w:t>
      </w:r>
    </w:p>
    <w:p w:rsidR="00961468" w:rsidRDefault="00961468" w:rsidP="00961468">
      <w:pPr>
        <w:jc w:val="both"/>
        <w:rPr>
          <w:rFonts w:ascii="Arial" w:hAnsi="Arial" w:cs="Arial"/>
        </w:rPr>
      </w:pPr>
    </w:p>
    <w:p w:rsidR="00961468" w:rsidRPr="003925E8" w:rsidRDefault="00961468" w:rsidP="00961468">
      <w:pPr>
        <w:jc w:val="both"/>
        <w:rPr>
          <w:rFonts w:ascii="Arial" w:hAnsi="Arial" w:cs="Arial"/>
        </w:rPr>
      </w:pPr>
      <w:r>
        <w:rPr>
          <w:rFonts w:ascii="Arial" w:hAnsi="Arial" w:cs="Arial"/>
        </w:rPr>
        <w:t>Les projets d’investissements programmés par la CC ne font pas systématiquement l’objet d’</w:t>
      </w:r>
      <w:r w:rsidR="00E72257">
        <w:rPr>
          <w:rFonts w:ascii="Arial" w:hAnsi="Arial" w:cs="Arial"/>
        </w:rPr>
        <w:t>analyses économiques objectives</w:t>
      </w:r>
      <w:r>
        <w:rPr>
          <w:rFonts w:ascii="Arial" w:hAnsi="Arial" w:cs="Arial"/>
        </w:rPr>
        <w:t xml:space="preserve">. Les études </w:t>
      </w:r>
      <w:r w:rsidR="00E72257">
        <w:rPr>
          <w:rFonts w:ascii="Arial" w:hAnsi="Arial" w:cs="Arial"/>
        </w:rPr>
        <w:t xml:space="preserve">de faisabilité </w:t>
      </w:r>
      <w:r>
        <w:rPr>
          <w:rFonts w:ascii="Arial" w:hAnsi="Arial" w:cs="Arial"/>
        </w:rPr>
        <w:t xml:space="preserve">réalisées ne portent que sur des aspects techniques. </w:t>
      </w:r>
      <w:r w:rsidRPr="003925E8">
        <w:rPr>
          <w:rFonts w:ascii="Arial" w:hAnsi="Arial" w:cs="Arial"/>
        </w:rPr>
        <w:t>Les projets d’investissements ne font pas l’objet d’une programmation budgétaire pluriannuelle. Le mécanisme d’autorisation de programme et de crédit de paiement n’est convenablement mis en œuvre. Les charges récurrentes ne sont pas estimées et prises en compte.</w:t>
      </w:r>
      <w:r>
        <w:rPr>
          <w:rFonts w:ascii="Arial" w:hAnsi="Arial" w:cs="Arial"/>
        </w:rPr>
        <w:t xml:space="preserve"> </w:t>
      </w:r>
      <w:r w:rsidRPr="003925E8">
        <w:rPr>
          <w:rFonts w:ascii="Arial" w:hAnsi="Arial" w:cs="Arial"/>
        </w:rPr>
        <w:t>Les états de suivi des projets élaborés ne portent que sur l’exécution financière des projets</w:t>
      </w:r>
      <w:r>
        <w:rPr>
          <w:rFonts w:ascii="Arial" w:hAnsi="Arial" w:cs="Arial"/>
        </w:rPr>
        <w:t>,</w:t>
      </w:r>
      <w:r w:rsidRPr="003925E8">
        <w:rPr>
          <w:rFonts w:ascii="Arial" w:hAnsi="Arial" w:cs="Arial"/>
        </w:rPr>
        <w:t xml:space="preserve"> et ne contiennent pas de données sur l’état d’avancement physique des projets.</w:t>
      </w:r>
    </w:p>
    <w:p w:rsidR="00961468" w:rsidRDefault="00961468" w:rsidP="00961468">
      <w:pPr>
        <w:jc w:val="both"/>
        <w:rPr>
          <w:rFonts w:ascii="Arial" w:hAnsi="Arial" w:cs="Arial"/>
        </w:rPr>
      </w:pPr>
    </w:p>
    <w:p w:rsidR="00961468" w:rsidRDefault="00961468" w:rsidP="00961468">
      <w:pPr>
        <w:jc w:val="both"/>
        <w:rPr>
          <w:rFonts w:ascii="Arial" w:hAnsi="Arial" w:cs="Arial"/>
        </w:rPr>
      </w:pPr>
      <w:r w:rsidRPr="00BA0126">
        <w:rPr>
          <w:rFonts w:ascii="Arial" w:hAnsi="Arial" w:cs="Arial"/>
        </w:rPr>
        <w:t>La performance des actifs financiers ne fait pas l’objet d’un suivi et de rapports annuels</w:t>
      </w:r>
      <w:r>
        <w:rPr>
          <w:rFonts w:ascii="Arial" w:hAnsi="Arial" w:cs="Arial"/>
        </w:rPr>
        <w:t xml:space="preserve">. La gestion des actifs non financiers du domaine public et du domaine privé de la CC </w:t>
      </w:r>
      <w:r w:rsidR="005F0AD4">
        <w:rPr>
          <w:rFonts w:ascii="Arial" w:hAnsi="Arial" w:cs="Arial"/>
        </w:rPr>
        <w:t>soulèvent</w:t>
      </w:r>
      <w:r w:rsidRPr="00BA0126">
        <w:rPr>
          <w:rFonts w:ascii="Arial" w:hAnsi="Arial" w:cs="Arial"/>
        </w:rPr>
        <w:t xml:space="preserve"> </w:t>
      </w:r>
      <w:r>
        <w:rPr>
          <w:rFonts w:ascii="Arial" w:hAnsi="Arial" w:cs="Arial"/>
        </w:rPr>
        <w:t xml:space="preserve">de nombreuses </w:t>
      </w:r>
      <w:r w:rsidR="005F0AD4">
        <w:rPr>
          <w:rFonts w:ascii="Arial" w:hAnsi="Arial" w:cs="Arial"/>
        </w:rPr>
        <w:t>observations</w:t>
      </w:r>
      <w:r>
        <w:rPr>
          <w:rFonts w:ascii="Arial" w:hAnsi="Arial" w:cs="Arial"/>
        </w:rPr>
        <w:t xml:space="preserve"> : les informations sur la superficie, le prix d’acquisition, les références du titre foncier et les références de l’enregistrement à la conservation foncière ne sont pas systématiquement renseignées dans les registres. Quant à la gestion du matériel, elle est fragmentée du fait que chaque division de la CC tient son propre registre qui est manuel, non valorisé et non confirmé par un inventaire physique. Le matériel roulant n’est pas intégré dans ces registres. </w:t>
      </w:r>
    </w:p>
    <w:p w:rsidR="00961468" w:rsidRDefault="00961468" w:rsidP="00961468">
      <w:pPr>
        <w:jc w:val="both"/>
        <w:rPr>
          <w:rFonts w:ascii="Arial" w:hAnsi="Arial" w:cs="Arial"/>
        </w:rPr>
      </w:pPr>
    </w:p>
    <w:p w:rsidR="00961468" w:rsidRDefault="00961468" w:rsidP="00961468">
      <w:pPr>
        <w:jc w:val="both"/>
        <w:rPr>
          <w:rFonts w:ascii="Arial" w:hAnsi="Arial" w:cs="Arial"/>
        </w:rPr>
      </w:pPr>
      <w:r>
        <w:rPr>
          <w:rFonts w:ascii="Arial" w:hAnsi="Arial" w:cs="Arial"/>
        </w:rPr>
        <w:t>La CC</w:t>
      </w:r>
      <w:r w:rsidRPr="00C25049">
        <w:rPr>
          <w:rFonts w:ascii="Arial" w:hAnsi="Arial" w:cs="Arial"/>
        </w:rPr>
        <w:t xml:space="preserve"> ne dispose pas d’une stratégie de gestion de la dette à moyen terme</w:t>
      </w:r>
      <w:r w:rsidR="002F6248">
        <w:rPr>
          <w:rFonts w:ascii="Arial" w:hAnsi="Arial" w:cs="Arial"/>
        </w:rPr>
        <w:t>.</w:t>
      </w:r>
      <w:r w:rsidRPr="00C25049">
        <w:rPr>
          <w:rFonts w:ascii="Arial" w:hAnsi="Arial" w:cs="Arial"/>
        </w:rPr>
        <w:t xml:space="preserve"> </w:t>
      </w:r>
      <w:r w:rsidRPr="000874BD">
        <w:rPr>
          <w:rFonts w:ascii="Arial" w:hAnsi="Arial" w:cs="Arial"/>
        </w:rPr>
        <w:t xml:space="preserve">Les données sur la dette intérieure et extérieure de la CC sont de qualité relativement satisfaisante, mais des insuffisances sont relevées en matière de rapprochement de ces données et des rapports périodiques sur la dette ne sont pas produits. </w:t>
      </w:r>
      <w:r w:rsidRPr="00C25049">
        <w:rPr>
          <w:rFonts w:ascii="Arial" w:hAnsi="Arial" w:cs="Arial"/>
        </w:rPr>
        <w:t>La décision de contracter des emprunts et d’émettre des garanties n’est pas prise sur la base de critères précis et de plafonds préalablement fixés.</w:t>
      </w:r>
      <w:r>
        <w:rPr>
          <w:rFonts w:ascii="Arial" w:hAnsi="Arial" w:cs="Arial"/>
        </w:rPr>
        <w:t xml:space="preserve"> </w:t>
      </w:r>
      <w:r w:rsidRPr="00C25049">
        <w:rPr>
          <w:rFonts w:ascii="Arial" w:hAnsi="Arial" w:cs="Arial"/>
        </w:rPr>
        <w:t>Les procédures d’exécution des dépenses et d’enregistrement des opérations budgétaires en place ne permettent pas de générer les données sur les a</w:t>
      </w:r>
      <w:r>
        <w:rPr>
          <w:rFonts w:ascii="Arial" w:hAnsi="Arial" w:cs="Arial"/>
        </w:rPr>
        <w:t>rriérés de paiement de dépenses dont le stock à fin 2014 est important.</w:t>
      </w:r>
    </w:p>
    <w:p w:rsidR="0089006E" w:rsidRDefault="0089006E" w:rsidP="00961468">
      <w:pPr>
        <w:jc w:val="both"/>
        <w:rPr>
          <w:rFonts w:ascii="Arial" w:hAnsi="Arial" w:cs="Arial"/>
        </w:rPr>
      </w:pPr>
    </w:p>
    <w:p w:rsidR="00961468" w:rsidRPr="008C4BE7" w:rsidRDefault="00AF57D5" w:rsidP="00961468">
      <w:pPr>
        <w:jc w:val="both"/>
        <w:rPr>
          <w:rFonts w:ascii="Arial" w:hAnsi="Arial" w:cs="Arial"/>
          <w:b/>
        </w:rPr>
      </w:pPr>
      <w:r>
        <w:rPr>
          <w:rFonts w:ascii="Arial" w:hAnsi="Arial" w:cs="Arial"/>
          <w:b/>
        </w:rPr>
        <w:t xml:space="preserve">4. </w:t>
      </w:r>
      <w:r w:rsidR="00961468" w:rsidRPr="008C4BE7">
        <w:rPr>
          <w:rFonts w:ascii="Arial" w:hAnsi="Arial" w:cs="Arial"/>
          <w:b/>
        </w:rPr>
        <w:t>Planification et budgétisation fondées sur les politiques publiques</w:t>
      </w:r>
    </w:p>
    <w:p w:rsidR="00ED5B7C" w:rsidRDefault="00ED5B7C" w:rsidP="00961468">
      <w:pPr>
        <w:jc w:val="both"/>
        <w:rPr>
          <w:rFonts w:ascii="Arial" w:hAnsi="Arial" w:cs="Arial"/>
        </w:rPr>
      </w:pPr>
    </w:p>
    <w:p w:rsidR="00961468" w:rsidRDefault="002F6248" w:rsidP="00961468">
      <w:pPr>
        <w:jc w:val="both"/>
        <w:rPr>
          <w:rFonts w:ascii="Arial" w:hAnsi="Arial" w:cs="Arial"/>
        </w:rPr>
      </w:pPr>
      <w:r>
        <w:rPr>
          <w:rFonts w:ascii="Arial" w:hAnsi="Arial" w:cs="Arial"/>
        </w:rPr>
        <w:t>Bien que cette dimension relève plutôt d</w:t>
      </w:r>
      <w:r w:rsidR="008B390B">
        <w:rPr>
          <w:rFonts w:ascii="Arial" w:hAnsi="Arial" w:cs="Arial"/>
        </w:rPr>
        <w:t>e l’Etat et en l’absence de réglementation sur la programmation pluriannuelle, la CC n’est pas en mesure de préparer un</w:t>
      </w:r>
      <w:r w:rsidR="00961468" w:rsidRPr="00904B2C">
        <w:rPr>
          <w:rFonts w:ascii="Arial" w:hAnsi="Arial" w:cs="Arial"/>
        </w:rPr>
        <w:t xml:space="preserve"> cadre budgétaire</w:t>
      </w:r>
      <w:r w:rsidR="008B390B">
        <w:rPr>
          <w:rFonts w:ascii="Arial" w:hAnsi="Arial" w:cs="Arial"/>
        </w:rPr>
        <w:t xml:space="preserve"> ou de dépenses</w:t>
      </w:r>
      <w:r w:rsidR="00961468" w:rsidRPr="00904B2C">
        <w:rPr>
          <w:rFonts w:ascii="Arial" w:hAnsi="Arial" w:cs="Arial"/>
        </w:rPr>
        <w:t xml:space="preserve"> à moyen terme</w:t>
      </w:r>
      <w:r w:rsidR="00961468">
        <w:rPr>
          <w:rFonts w:ascii="Arial" w:hAnsi="Arial" w:cs="Arial"/>
        </w:rPr>
        <w:t xml:space="preserve">. </w:t>
      </w:r>
    </w:p>
    <w:p w:rsidR="00961468" w:rsidRDefault="00961468" w:rsidP="00961468">
      <w:pPr>
        <w:jc w:val="both"/>
        <w:rPr>
          <w:rFonts w:ascii="Arial" w:hAnsi="Arial" w:cs="Arial"/>
        </w:rPr>
      </w:pPr>
    </w:p>
    <w:p w:rsidR="00961468" w:rsidRDefault="00961468" w:rsidP="00961468">
      <w:pPr>
        <w:jc w:val="both"/>
        <w:rPr>
          <w:rFonts w:ascii="Arial" w:hAnsi="Arial" w:cs="Arial"/>
        </w:rPr>
      </w:pPr>
      <w:r>
        <w:rPr>
          <w:rFonts w:ascii="Arial" w:hAnsi="Arial" w:cs="Arial"/>
        </w:rPr>
        <w:t>Un</w:t>
      </w:r>
      <w:r w:rsidRPr="00E41017">
        <w:rPr>
          <w:rFonts w:ascii="Arial" w:hAnsi="Arial" w:cs="Arial"/>
        </w:rPr>
        <w:t xml:space="preserve"> calendrier budgétaire n’est </w:t>
      </w:r>
      <w:r w:rsidR="00AF57D5">
        <w:rPr>
          <w:rFonts w:ascii="Arial" w:hAnsi="Arial" w:cs="Arial"/>
        </w:rPr>
        <w:t xml:space="preserve">pas </w:t>
      </w:r>
      <w:r w:rsidRPr="00E41017">
        <w:rPr>
          <w:rFonts w:ascii="Arial" w:hAnsi="Arial" w:cs="Arial"/>
        </w:rPr>
        <w:t xml:space="preserve">établi en vue de baliser le processus de préparation du budget de la </w:t>
      </w:r>
      <w:r>
        <w:rPr>
          <w:rFonts w:ascii="Arial" w:hAnsi="Arial" w:cs="Arial"/>
        </w:rPr>
        <w:t xml:space="preserve">CC. </w:t>
      </w:r>
      <w:r w:rsidRPr="00E41017">
        <w:rPr>
          <w:rFonts w:ascii="Arial" w:hAnsi="Arial" w:cs="Arial"/>
        </w:rPr>
        <w:t xml:space="preserve">La circulaire budgétaire </w:t>
      </w:r>
      <w:r>
        <w:rPr>
          <w:rFonts w:ascii="Arial" w:hAnsi="Arial" w:cs="Arial"/>
        </w:rPr>
        <w:t xml:space="preserve">émise chaque année  </w:t>
      </w:r>
      <w:r w:rsidRPr="00E41017">
        <w:rPr>
          <w:rFonts w:ascii="Arial" w:hAnsi="Arial" w:cs="Arial"/>
        </w:rPr>
        <w:t xml:space="preserve">ne concerne que les dépenses de fonctionnement, </w:t>
      </w:r>
      <w:r>
        <w:rPr>
          <w:rFonts w:ascii="Arial" w:hAnsi="Arial" w:cs="Arial"/>
        </w:rPr>
        <w:t>ne contient pas des indications sur les plafonds de dépenses et des directives à suivre par les services pour la préparation de leurs propositions budgétaires.</w:t>
      </w:r>
    </w:p>
    <w:p w:rsidR="00961468" w:rsidRDefault="00961468" w:rsidP="00961468">
      <w:pPr>
        <w:jc w:val="both"/>
        <w:rPr>
          <w:rFonts w:ascii="Arial" w:hAnsi="Arial" w:cs="Arial"/>
        </w:rPr>
      </w:pPr>
      <w:r>
        <w:rPr>
          <w:rFonts w:ascii="Arial" w:hAnsi="Arial" w:cs="Arial"/>
        </w:rPr>
        <w:t xml:space="preserve"> </w:t>
      </w:r>
    </w:p>
    <w:p w:rsidR="00961468" w:rsidRDefault="00961468" w:rsidP="00961468">
      <w:pPr>
        <w:jc w:val="both"/>
        <w:rPr>
          <w:rFonts w:ascii="Arial" w:hAnsi="Arial" w:cs="Arial"/>
        </w:rPr>
      </w:pPr>
      <w:r w:rsidRPr="00E41017">
        <w:rPr>
          <w:rFonts w:ascii="Arial" w:hAnsi="Arial" w:cs="Arial"/>
        </w:rPr>
        <w:t xml:space="preserve">Le conseil communal ne </w:t>
      </w:r>
      <w:r w:rsidR="008B390B">
        <w:rPr>
          <w:rFonts w:ascii="Arial" w:hAnsi="Arial" w:cs="Arial"/>
        </w:rPr>
        <w:t xml:space="preserve">semble pas </w:t>
      </w:r>
      <w:r w:rsidRPr="00E41017">
        <w:rPr>
          <w:rFonts w:ascii="Arial" w:hAnsi="Arial" w:cs="Arial"/>
        </w:rPr>
        <w:t>discute</w:t>
      </w:r>
      <w:r w:rsidR="008B390B">
        <w:rPr>
          <w:rFonts w:ascii="Arial" w:hAnsi="Arial" w:cs="Arial"/>
        </w:rPr>
        <w:t>r</w:t>
      </w:r>
      <w:r w:rsidRPr="00E41017">
        <w:rPr>
          <w:rFonts w:ascii="Arial" w:hAnsi="Arial" w:cs="Arial"/>
        </w:rPr>
        <w:t xml:space="preserve"> des grandes orientations budgétaires avant la finalisation et la t</w:t>
      </w:r>
      <w:r>
        <w:rPr>
          <w:rFonts w:ascii="Arial" w:hAnsi="Arial" w:cs="Arial"/>
        </w:rPr>
        <w:t>ransmission du projet de budget</w:t>
      </w:r>
      <w:r w:rsidR="00AF57D5">
        <w:rPr>
          <w:rFonts w:ascii="Arial" w:hAnsi="Arial" w:cs="Arial"/>
        </w:rPr>
        <w:t>,</w:t>
      </w:r>
      <w:r>
        <w:rPr>
          <w:rFonts w:ascii="Arial" w:hAnsi="Arial" w:cs="Arial"/>
        </w:rPr>
        <w:t xml:space="preserve"> et ne suit pas des procédures dûment établies pour l’examen du projet de budget.  </w:t>
      </w:r>
    </w:p>
    <w:p w:rsidR="00961468" w:rsidRDefault="00961468" w:rsidP="00961468">
      <w:pPr>
        <w:jc w:val="both"/>
        <w:rPr>
          <w:rFonts w:ascii="Arial" w:hAnsi="Arial" w:cs="Arial"/>
        </w:rPr>
      </w:pPr>
    </w:p>
    <w:p w:rsidR="00961468" w:rsidRPr="008C4BE7" w:rsidRDefault="00AF57D5" w:rsidP="00961468">
      <w:pPr>
        <w:jc w:val="both"/>
        <w:rPr>
          <w:rFonts w:ascii="Arial" w:hAnsi="Arial" w:cs="Arial"/>
          <w:b/>
        </w:rPr>
      </w:pPr>
      <w:r>
        <w:rPr>
          <w:rFonts w:ascii="Arial" w:hAnsi="Arial" w:cs="Arial"/>
          <w:b/>
        </w:rPr>
        <w:t xml:space="preserve">5. </w:t>
      </w:r>
      <w:r w:rsidR="00961468" w:rsidRPr="008C4BE7">
        <w:rPr>
          <w:rFonts w:ascii="Arial" w:hAnsi="Arial" w:cs="Arial"/>
          <w:b/>
        </w:rPr>
        <w:t>Prévisibilité et contrôle de l’exécution du budget</w:t>
      </w:r>
    </w:p>
    <w:p w:rsidR="00ED5B7C" w:rsidRDefault="00ED5B7C" w:rsidP="00961468">
      <w:pPr>
        <w:jc w:val="both"/>
        <w:rPr>
          <w:rFonts w:ascii="Arial" w:hAnsi="Arial" w:cs="Arial"/>
        </w:rPr>
      </w:pPr>
    </w:p>
    <w:p w:rsidR="00961468" w:rsidRDefault="00961468" w:rsidP="00961468">
      <w:pPr>
        <w:jc w:val="both"/>
        <w:rPr>
          <w:rFonts w:ascii="Arial" w:hAnsi="Arial" w:cs="Arial"/>
        </w:rPr>
      </w:pPr>
      <w:r>
        <w:rPr>
          <w:rFonts w:ascii="Arial" w:hAnsi="Arial" w:cs="Arial"/>
        </w:rPr>
        <w:t xml:space="preserve">La CC n’a pas mis en place un processus de gestion des risques auxquels sont exposées les recettes. Les arriérés fiscaux ne sont pas </w:t>
      </w:r>
      <w:r w:rsidR="005F0AD4">
        <w:rPr>
          <w:rFonts w:ascii="Arial" w:hAnsi="Arial" w:cs="Arial"/>
        </w:rPr>
        <w:t xml:space="preserve">suffisamment </w:t>
      </w:r>
      <w:r>
        <w:rPr>
          <w:rFonts w:ascii="Arial" w:hAnsi="Arial" w:cs="Arial"/>
        </w:rPr>
        <w:t xml:space="preserve">maîtrisés. </w:t>
      </w:r>
      <w:r w:rsidRPr="007C2BA3">
        <w:rPr>
          <w:rFonts w:ascii="Arial" w:hAnsi="Arial" w:cs="Arial"/>
        </w:rPr>
        <w:t xml:space="preserve">Le rapprochement complet des évaluations d’impôt, des recouvrements, des arriérés et des transferts ne se </w:t>
      </w:r>
      <w:r>
        <w:rPr>
          <w:rFonts w:ascii="Arial" w:hAnsi="Arial" w:cs="Arial"/>
        </w:rPr>
        <w:t>fait pas de manière systématique</w:t>
      </w:r>
      <w:r w:rsidRPr="007C2BA3">
        <w:rPr>
          <w:rFonts w:ascii="Arial" w:hAnsi="Arial" w:cs="Arial"/>
        </w:rPr>
        <w:t>.</w:t>
      </w:r>
      <w:r>
        <w:rPr>
          <w:rFonts w:ascii="Arial" w:hAnsi="Arial" w:cs="Arial"/>
        </w:rPr>
        <w:t xml:space="preserve"> D</w:t>
      </w:r>
      <w:r w:rsidRPr="00CE3481">
        <w:rPr>
          <w:rFonts w:ascii="Arial" w:hAnsi="Arial" w:cs="Arial"/>
        </w:rPr>
        <w:t xml:space="preserve">es prévisions des flux de trésorerie </w:t>
      </w:r>
      <w:r>
        <w:rPr>
          <w:rFonts w:ascii="Arial" w:hAnsi="Arial" w:cs="Arial"/>
        </w:rPr>
        <w:t xml:space="preserve">ne </w:t>
      </w:r>
      <w:r w:rsidRPr="00CE3481">
        <w:rPr>
          <w:rFonts w:ascii="Arial" w:hAnsi="Arial" w:cs="Arial"/>
        </w:rPr>
        <w:t xml:space="preserve">sont préparées </w:t>
      </w:r>
      <w:r>
        <w:rPr>
          <w:rFonts w:ascii="Arial" w:hAnsi="Arial" w:cs="Arial"/>
        </w:rPr>
        <w:t>et  mises à jour au cours de l’exercice</w:t>
      </w:r>
      <w:r w:rsidRPr="00CE3481">
        <w:rPr>
          <w:rFonts w:ascii="Arial" w:hAnsi="Arial" w:cs="Arial"/>
        </w:rPr>
        <w:t xml:space="preserve">. </w:t>
      </w:r>
    </w:p>
    <w:p w:rsidR="00961468" w:rsidRDefault="00961468" w:rsidP="00961468">
      <w:pPr>
        <w:spacing w:after="1" w:line="237" w:lineRule="auto"/>
        <w:ind w:right="55"/>
        <w:jc w:val="both"/>
        <w:rPr>
          <w:rFonts w:ascii="Arial" w:hAnsi="Arial" w:cs="Arial"/>
        </w:rPr>
      </w:pPr>
    </w:p>
    <w:p w:rsidR="00961468" w:rsidRDefault="00961468" w:rsidP="00961468">
      <w:pPr>
        <w:spacing w:after="1" w:line="237" w:lineRule="auto"/>
        <w:ind w:right="55"/>
        <w:jc w:val="both"/>
        <w:rPr>
          <w:rFonts w:ascii="Arial" w:hAnsi="Arial" w:cs="Arial"/>
        </w:rPr>
      </w:pPr>
      <w:r w:rsidRPr="00AE7005">
        <w:rPr>
          <w:rFonts w:ascii="Arial" w:hAnsi="Arial" w:cs="Arial"/>
        </w:rPr>
        <w:t xml:space="preserve">Le tableau des emplois, le fichier nominatif du personnel et les états de paie ne sont pas directement liés. Les vérifications </w:t>
      </w:r>
      <w:r>
        <w:rPr>
          <w:rFonts w:ascii="Arial" w:hAnsi="Arial" w:cs="Arial"/>
        </w:rPr>
        <w:t>effectuées à</w:t>
      </w:r>
      <w:r w:rsidRPr="00AE7005">
        <w:rPr>
          <w:rFonts w:ascii="Arial" w:hAnsi="Arial" w:cs="Arial"/>
        </w:rPr>
        <w:t xml:space="preserve"> l’occasion </w:t>
      </w:r>
      <w:r>
        <w:rPr>
          <w:rFonts w:ascii="Arial" w:hAnsi="Arial" w:cs="Arial"/>
        </w:rPr>
        <w:t xml:space="preserve">de la modification </w:t>
      </w:r>
      <w:r w:rsidRPr="00AE7005">
        <w:rPr>
          <w:rFonts w:ascii="Arial" w:hAnsi="Arial" w:cs="Arial"/>
        </w:rPr>
        <w:t>de la situation administrative du personnel découlant notamment des transformations d’emplois ne sont convenablement assurées ni par rapport aux autorisations du tableau des emplois, ni par référence aux dotations budgétaires.</w:t>
      </w:r>
      <w:r>
        <w:rPr>
          <w:rFonts w:ascii="Arial" w:hAnsi="Arial" w:cs="Arial"/>
        </w:rPr>
        <w:t xml:space="preserve"> </w:t>
      </w:r>
      <w:r w:rsidRPr="0022016B">
        <w:rPr>
          <w:rFonts w:ascii="Arial" w:hAnsi="Arial" w:cs="Arial"/>
        </w:rPr>
        <w:t>Les modifications des dossiers du personnel et des états de paie sont effectué</w:t>
      </w:r>
      <w:r>
        <w:rPr>
          <w:rFonts w:ascii="Arial" w:hAnsi="Arial" w:cs="Arial"/>
        </w:rPr>
        <w:t>e</w:t>
      </w:r>
      <w:r w:rsidRPr="0022016B">
        <w:rPr>
          <w:rFonts w:ascii="Arial" w:hAnsi="Arial" w:cs="Arial"/>
        </w:rPr>
        <w:t>s dans un délai pouvant aller jusqu’à</w:t>
      </w:r>
      <w:r w:rsidR="00F92FF8">
        <w:rPr>
          <w:rFonts w:ascii="Arial" w:hAnsi="Arial" w:cs="Arial"/>
        </w:rPr>
        <w:t xml:space="preserve"> </w:t>
      </w:r>
      <w:r w:rsidRPr="0022016B">
        <w:rPr>
          <w:rFonts w:ascii="Arial" w:hAnsi="Arial" w:cs="Arial"/>
        </w:rPr>
        <w:t>15 mois</w:t>
      </w:r>
      <w:r w:rsidR="00F92FF8">
        <w:rPr>
          <w:rFonts w:ascii="Arial" w:hAnsi="Arial" w:cs="Arial"/>
        </w:rPr>
        <w:t xml:space="preserve"> </w:t>
      </w:r>
      <w:r w:rsidRPr="0022016B">
        <w:rPr>
          <w:rFonts w:ascii="Arial" w:hAnsi="Arial" w:cs="Arial"/>
        </w:rPr>
        <w:t>et les rappels de salaires découlant de ces modifications sont significatifs</w:t>
      </w:r>
      <w:r>
        <w:rPr>
          <w:rFonts w:ascii="Arial" w:hAnsi="Arial" w:cs="Arial"/>
        </w:rPr>
        <w:t>.</w:t>
      </w:r>
    </w:p>
    <w:p w:rsidR="00961468" w:rsidRDefault="00961468" w:rsidP="00961468">
      <w:pPr>
        <w:spacing w:after="1" w:line="237" w:lineRule="auto"/>
        <w:ind w:right="55"/>
        <w:jc w:val="both"/>
        <w:rPr>
          <w:rFonts w:ascii="Arial" w:hAnsi="Arial" w:cs="Arial"/>
        </w:rPr>
      </w:pPr>
    </w:p>
    <w:p w:rsidR="00961468" w:rsidRDefault="00961468" w:rsidP="00961468">
      <w:pPr>
        <w:spacing w:after="1" w:line="237" w:lineRule="auto"/>
        <w:ind w:right="55"/>
        <w:jc w:val="both"/>
        <w:rPr>
          <w:rFonts w:ascii="Arial" w:hAnsi="Arial" w:cs="Arial"/>
        </w:rPr>
      </w:pPr>
      <w:r w:rsidRPr="0022016B">
        <w:rPr>
          <w:rFonts w:ascii="Arial" w:hAnsi="Arial" w:cs="Arial"/>
        </w:rPr>
        <w:t xml:space="preserve">La CC </w:t>
      </w:r>
      <w:r>
        <w:rPr>
          <w:rFonts w:ascii="Arial" w:hAnsi="Arial" w:cs="Arial"/>
        </w:rPr>
        <w:t xml:space="preserve">ne </w:t>
      </w:r>
      <w:r w:rsidRPr="0022016B">
        <w:rPr>
          <w:rFonts w:ascii="Arial" w:hAnsi="Arial" w:cs="Arial"/>
        </w:rPr>
        <w:t xml:space="preserve">produit </w:t>
      </w:r>
      <w:r>
        <w:rPr>
          <w:rFonts w:ascii="Arial" w:hAnsi="Arial" w:cs="Arial"/>
        </w:rPr>
        <w:t xml:space="preserve">pas de rapport </w:t>
      </w:r>
      <w:r w:rsidRPr="0022016B">
        <w:rPr>
          <w:rFonts w:ascii="Arial" w:hAnsi="Arial" w:cs="Arial"/>
        </w:rPr>
        <w:t xml:space="preserve">pour rendre compte  de la mise en œuvre des plans prévisionnels de passation des marchés et des coûts définitifs des marchés comparés aux montants initiaux des marchés attribués. Le mécanisme mis en place pour l’instruction des plaintes liées à la </w:t>
      </w:r>
      <w:r>
        <w:rPr>
          <w:rFonts w:ascii="Arial" w:hAnsi="Arial" w:cs="Arial"/>
        </w:rPr>
        <w:t>passation des marchés publics n’est pas  satisfaisant eu égard</w:t>
      </w:r>
      <w:r w:rsidRPr="0022016B">
        <w:rPr>
          <w:rFonts w:ascii="Arial" w:hAnsi="Arial" w:cs="Arial"/>
        </w:rPr>
        <w:t xml:space="preserve"> au</w:t>
      </w:r>
      <w:r>
        <w:rPr>
          <w:rFonts w:ascii="Arial" w:hAnsi="Arial" w:cs="Arial"/>
        </w:rPr>
        <w:t>x</w:t>
      </w:r>
      <w:r w:rsidRPr="0022016B">
        <w:rPr>
          <w:rFonts w:ascii="Arial" w:hAnsi="Arial" w:cs="Arial"/>
        </w:rPr>
        <w:t xml:space="preserve"> critère</w:t>
      </w:r>
      <w:r>
        <w:rPr>
          <w:rFonts w:ascii="Arial" w:hAnsi="Arial" w:cs="Arial"/>
        </w:rPr>
        <w:t>s</w:t>
      </w:r>
      <w:r w:rsidRPr="0022016B">
        <w:rPr>
          <w:rFonts w:ascii="Arial" w:hAnsi="Arial" w:cs="Arial"/>
        </w:rPr>
        <w:t xml:space="preserve"> </w:t>
      </w:r>
      <w:r>
        <w:rPr>
          <w:rFonts w:ascii="Arial" w:hAnsi="Arial" w:cs="Arial"/>
        </w:rPr>
        <w:t xml:space="preserve">du </w:t>
      </w:r>
      <w:r w:rsidRPr="0022016B">
        <w:rPr>
          <w:rFonts w:ascii="Arial" w:hAnsi="Arial" w:cs="Arial"/>
        </w:rPr>
        <w:t>cadre PEFA.</w:t>
      </w:r>
    </w:p>
    <w:p w:rsidR="00961468" w:rsidRDefault="00961468" w:rsidP="00961468">
      <w:pPr>
        <w:spacing w:after="1" w:line="237" w:lineRule="auto"/>
        <w:ind w:right="55"/>
        <w:jc w:val="both"/>
        <w:rPr>
          <w:rFonts w:ascii="Arial" w:hAnsi="Arial" w:cs="Arial"/>
        </w:rPr>
      </w:pPr>
    </w:p>
    <w:p w:rsidR="00961468" w:rsidRDefault="00961468" w:rsidP="00961468">
      <w:pPr>
        <w:spacing w:after="1" w:line="237" w:lineRule="auto"/>
        <w:ind w:right="55"/>
        <w:jc w:val="both"/>
        <w:rPr>
          <w:rFonts w:ascii="Arial" w:hAnsi="Arial" w:cs="Arial"/>
        </w:rPr>
      </w:pPr>
      <w:r w:rsidRPr="0022016B">
        <w:rPr>
          <w:rFonts w:ascii="Arial" w:hAnsi="Arial" w:cs="Arial"/>
        </w:rPr>
        <w:t xml:space="preserve">Le contrôle des engagements de dépenses par rapport aux dotations budgétaires est </w:t>
      </w:r>
      <w:r w:rsidR="00AF57D5">
        <w:rPr>
          <w:rFonts w:ascii="Arial" w:hAnsi="Arial" w:cs="Arial"/>
        </w:rPr>
        <w:t>bien</w:t>
      </w:r>
      <w:r w:rsidRPr="0022016B">
        <w:rPr>
          <w:rFonts w:ascii="Arial" w:hAnsi="Arial" w:cs="Arial"/>
        </w:rPr>
        <w:t xml:space="preserve"> assuré</w:t>
      </w:r>
      <w:r>
        <w:rPr>
          <w:rFonts w:ascii="Arial" w:hAnsi="Arial" w:cs="Arial"/>
        </w:rPr>
        <w:t xml:space="preserve"> par le Trésorier au travers du système GID</w:t>
      </w:r>
      <w:r w:rsidRPr="0022016B">
        <w:rPr>
          <w:rFonts w:ascii="Arial" w:hAnsi="Arial" w:cs="Arial"/>
        </w:rPr>
        <w:t>. Mais le contrôle de la dispon</w:t>
      </w:r>
      <w:r w:rsidR="00AF57D5">
        <w:rPr>
          <w:rFonts w:ascii="Arial" w:hAnsi="Arial" w:cs="Arial"/>
        </w:rPr>
        <w:t>ibilité des fonds est exercé au stade</w:t>
      </w:r>
      <w:r w:rsidRPr="0022016B">
        <w:rPr>
          <w:rFonts w:ascii="Arial" w:hAnsi="Arial" w:cs="Arial"/>
        </w:rPr>
        <w:t xml:space="preserve"> de l’ordonnancement </w:t>
      </w:r>
      <w:r>
        <w:rPr>
          <w:rFonts w:ascii="Arial" w:hAnsi="Arial" w:cs="Arial"/>
        </w:rPr>
        <w:t>préalablement a</w:t>
      </w:r>
      <w:r w:rsidRPr="0022016B">
        <w:rPr>
          <w:rFonts w:ascii="Arial" w:hAnsi="Arial" w:cs="Arial"/>
        </w:rPr>
        <w:t xml:space="preserve">u paiement et non </w:t>
      </w:r>
      <w:r w:rsidR="002C4459">
        <w:rPr>
          <w:rFonts w:ascii="Arial" w:hAnsi="Arial" w:cs="Arial"/>
        </w:rPr>
        <w:t xml:space="preserve">au moment </w:t>
      </w:r>
      <w:r w:rsidRPr="0022016B">
        <w:rPr>
          <w:rFonts w:ascii="Arial" w:hAnsi="Arial" w:cs="Arial"/>
        </w:rPr>
        <w:t>de l’engagement.</w:t>
      </w:r>
    </w:p>
    <w:p w:rsidR="00961468" w:rsidRDefault="00961468" w:rsidP="00961468">
      <w:pPr>
        <w:spacing w:after="1" w:line="237" w:lineRule="auto"/>
        <w:ind w:right="55"/>
        <w:jc w:val="both"/>
        <w:rPr>
          <w:rFonts w:ascii="Arial" w:hAnsi="Arial" w:cs="Arial"/>
        </w:rPr>
      </w:pPr>
    </w:p>
    <w:p w:rsidR="00961468" w:rsidRDefault="00961468" w:rsidP="00961468">
      <w:pPr>
        <w:spacing w:after="1" w:line="237" w:lineRule="auto"/>
        <w:ind w:right="55"/>
        <w:jc w:val="both"/>
        <w:rPr>
          <w:rFonts w:ascii="Arial" w:hAnsi="Arial" w:cs="Arial"/>
        </w:rPr>
      </w:pPr>
      <w:r>
        <w:rPr>
          <w:rFonts w:ascii="Arial" w:hAnsi="Arial" w:cs="Arial"/>
        </w:rPr>
        <w:t xml:space="preserve">La fonction d’audit interne n’est pas opérationnelle à la CC. </w:t>
      </w:r>
    </w:p>
    <w:p w:rsidR="00A71697" w:rsidRDefault="00A71697" w:rsidP="00961468">
      <w:pPr>
        <w:spacing w:after="1" w:line="237" w:lineRule="auto"/>
        <w:ind w:right="55"/>
        <w:jc w:val="both"/>
        <w:rPr>
          <w:rFonts w:ascii="Arial" w:hAnsi="Arial" w:cs="Arial"/>
        </w:rPr>
      </w:pPr>
    </w:p>
    <w:p w:rsidR="00961468" w:rsidRPr="008C4BE7" w:rsidRDefault="000F418C" w:rsidP="00961468">
      <w:pPr>
        <w:spacing w:after="1" w:line="237" w:lineRule="auto"/>
        <w:ind w:right="55"/>
        <w:jc w:val="both"/>
        <w:rPr>
          <w:rFonts w:ascii="Arial" w:hAnsi="Arial" w:cs="Arial"/>
          <w:b/>
        </w:rPr>
      </w:pPr>
      <w:r>
        <w:rPr>
          <w:rFonts w:ascii="Arial" w:hAnsi="Arial" w:cs="Arial"/>
          <w:b/>
        </w:rPr>
        <w:t xml:space="preserve">6. </w:t>
      </w:r>
      <w:r w:rsidR="00961468" w:rsidRPr="008C4BE7">
        <w:rPr>
          <w:rFonts w:ascii="Arial" w:hAnsi="Arial" w:cs="Arial"/>
          <w:b/>
        </w:rPr>
        <w:t>Comptabilité, enregistrement des données et établissement de rapports</w:t>
      </w:r>
    </w:p>
    <w:p w:rsidR="00ED5B7C" w:rsidRDefault="00ED5B7C" w:rsidP="00961468">
      <w:pPr>
        <w:spacing w:after="1" w:line="237" w:lineRule="auto"/>
        <w:ind w:right="55"/>
        <w:jc w:val="both"/>
        <w:rPr>
          <w:rFonts w:ascii="Arial" w:hAnsi="Arial" w:cs="Arial"/>
        </w:rPr>
      </w:pPr>
    </w:p>
    <w:p w:rsidR="00961468" w:rsidRDefault="00961468" w:rsidP="00961468">
      <w:pPr>
        <w:spacing w:after="1" w:line="237" w:lineRule="auto"/>
        <w:ind w:right="55"/>
        <w:jc w:val="both"/>
        <w:rPr>
          <w:rFonts w:ascii="Arial" w:hAnsi="Arial" w:cs="Arial"/>
        </w:rPr>
      </w:pPr>
      <w:r>
        <w:rPr>
          <w:rFonts w:ascii="Arial" w:hAnsi="Arial" w:cs="Arial"/>
        </w:rPr>
        <w:t xml:space="preserve">L’apurement et le rapprochement des comptes d’attente ne sont pas régulièrement réalisés. </w:t>
      </w:r>
      <w:r w:rsidRPr="00690599">
        <w:rPr>
          <w:rFonts w:ascii="Arial" w:hAnsi="Arial" w:cs="Arial"/>
        </w:rPr>
        <w:t xml:space="preserve">Les rapports d’exécution du budget </w:t>
      </w:r>
      <w:r>
        <w:rPr>
          <w:rFonts w:ascii="Arial" w:hAnsi="Arial" w:cs="Arial"/>
        </w:rPr>
        <w:t xml:space="preserve">ne </w:t>
      </w:r>
      <w:r w:rsidRPr="00690599">
        <w:rPr>
          <w:rFonts w:ascii="Arial" w:hAnsi="Arial" w:cs="Arial"/>
        </w:rPr>
        <w:t>sont</w:t>
      </w:r>
      <w:r>
        <w:rPr>
          <w:rFonts w:ascii="Arial" w:hAnsi="Arial" w:cs="Arial"/>
        </w:rPr>
        <w:t xml:space="preserve"> pas préparés sur une base périodique</w:t>
      </w:r>
      <w:r w:rsidRPr="00690599">
        <w:rPr>
          <w:rFonts w:ascii="Arial" w:hAnsi="Arial" w:cs="Arial"/>
        </w:rPr>
        <w:t xml:space="preserve"> et </w:t>
      </w:r>
      <w:r>
        <w:rPr>
          <w:rFonts w:ascii="Arial" w:hAnsi="Arial" w:cs="Arial"/>
        </w:rPr>
        <w:t xml:space="preserve">ne sont </w:t>
      </w:r>
      <w:r w:rsidR="000F418C">
        <w:rPr>
          <w:rFonts w:ascii="Arial" w:hAnsi="Arial" w:cs="Arial"/>
        </w:rPr>
        <w:t xml:space="preserve">pas </w:t>
      </w:r>
      <w:r>
        <w:rPr>
          <w:rFonts w:ascii="Arial" w:hAnsi="Arial" w:cs="Arial"/>
        </w:rPr>
        <w:t>publiés. La documentation des comptes de gestion ne contient pas d’informations sur les actifs et les passifs de la CC.</w:t>
      </w:r>
    </w:p>
    <w:p w:rsidR="00961468" w:rsidRDefault="00961468" w:rsidP="00961468">
      <w:pPr>
        <w:spacing w:after="1" w:line="237" w:lineRule="auto"/>
        <w:ind w:right="55"/>
        <w:jc w:val="both"/>
        <w:rPr>
          <w:rFonts w:ascii="Arial" w:hAnsi="Arial" w:cs="Arial"/>
        </w:rPr>
      </w:pPr>
    </w:p>
    <w:p w:rsidR="00961468" w:rsidRPr="008C4BE7" w:rsidRDefault="000F418C" w:rsidP="00961468">
      <w:pPr>
        <w:spacing w:after="1" w:line="237" w:lineRule="auto"/>
        <w:ind w:right="55"/>
        <w:jc w:val="both"/>
        <w:rPr>
          <w:rFonts w:ascii="Arial" w:hAnsi="Arial" w:cs="Arial"/>
          <w:b/>
        </w:rPr>
      </w:pPr>
      <w:r>
        <w:rPr>
          <w:rFonts w:ascii="Arial" w:hAnsi="Arial" w:cs="Arial"/>
          <w:b/>
        </w:rPr>
        <w:t xml:space="preserve">7. </w:t>
      </w:r>
      <w:r w:rsidR="00961468" w:rsidRPr="008C4BE7">
        <w:rPr>
          <w:rFonts w:ascii="Arial" w:hAnsi="Arial" w:cs="Arial"/>
          <w:b/>
        </w:rPr>
        <w:t>Surveillance et audit externes</w:t>
      </w:r>
    </w:p>
    <w:p w:rsidR="00ED5B7C" w:rsidRDefault="00ED5B7C" w:rsidP="00961468">
      <w:pPr>
        <w:spacing w:after="1" w:line="237" w:lineRule="auto"/>
        <w:ind w:right="55"/>
        <w:jc w:val="both"/>
        <w:rPr>
          <w:rFonts w:ascii="Arial" w:hAnsi="Arial" w:cs="Arial"/>
        </w:rPr>
      </w:pPr>
    </w:p>
    <w:p w:rsidR="00961468" w:rsidRPr="00DC4613" w:rsidRDefault="0089006E" w:rsidP="00961468">
      <w:pPr>
        <w:spacing w:after="1" w:line="237" w:lineRule="auto"/>
        <w:ind w:right="55"/>
        <w:jc w:val="both"/>
        <w:rPr>
          <w:rFonts w:ascii="Arial" w:hAnsi="Arial" w:cs="Arial"/>
        </w:rPr>
      </w:pPr>
      <w:r>
        <w:rPr>
          <w:rFonts w:ascii="Arial" w:hAnsi="Arial" w:cs="Arial"/>
        </w:rPr>
        <w:t xml:space="preserve">Les comptes de résultats et de gestion sont transmis par la commune à la Cour Régionale des Comptes. Cependant, il ne semble pas y avoir eu de </w:t>
      </w:r>
      <w:r w:rsidR="00961468">
        <w:rPr>
          <w:rFonts w:ascii="Arial" w:hAnsi="Arial" w:cs="Arial"/>
        </w:rPr>
        <w:t xml:space="preserve">missions de vérification externe </w:t>
      </w:r>
      <w:r>
        <w:rPr>
          <w:rFonts w:ascii="Arial" w:hAnsi="Arial" w:cs="Arial"/>
        </w:rPr>
        <w:t xml:space="preserve">auprès de la commune </w:t>
      </w:r>
      <w:r w:rsidR="00961468">
        <w:rPr>
          <w:rFonts w:ascii="Arial" w:hAnsi="Arial" w:cs="Arial"/>
        </w:rPr>
        <w:t xml:space="preserve">au cours des trois exercices couverts par l’évaluation. Le conseil communal n’a donc pas reçu de rapport d’audit au cours des trois exercices retenus pour l’évaluation. </w:t>
      </w:r>
    </w:p>
    <w:p w:rsidR="00961468" w:rsidRPr="0022016B" w:rsidRDefault="00961468" w:rsidP="00961468">
      <w:pPr>
        <w:spacing w:after="1" w:line="237" w:lineRule="auto"/>
        <w:ind w:right="55"/>
        <w:jc w:val="both"/>
        <w:rPr>
          <w:rFonts w:ascii="Arial" w:hAnsi="Arial" w:cs="Arial"/>
        </w:rPr>
      </w:pPr>
    </w:p>
    <w:p w:rsidR="00375367" w:rsidRPr="00A17E25" w:rsidRDefault="00961468">
      <w:pPr>
        <w:jc w:val="both"/>
        <w:rPr>
          <w:rFonts w:ascii="Arial" w:hAnsi="Arial" w:cs="Arial"/>
          <w:b/>
          <w:bCs/>
          <w:i/>
          <w:iCs/>
        </w:rPr>
      </w:pPr>
      <w:r>
        <w:rPr>
          <w:rFonts w:ascii="Arial" w:hAnsi="Arial" w:cs="Arial"/>
        </w:rPr>
        <w:t>Ces</w:t>
      </w:r>
      <w:r w:rsidRPr="007F19F3">
        <w:rPr>
          <w:rFonts w:ascii="Arial" w:hAnsi="Arial" w:cs="Arial"/>
        </w:rPr>
        <w:t xml:space="preserve">  consta</w:t>
      </w:r>
      <w:r w:rsidR="005F0AD4">
        <w:rPr>
          <w:rFonts w:ascii="Arial" w:hAnsi="Arial" w:cs="Arial"/>
        </w:rPr>
        <w:t>t</w:t>
      </w:r>
      <w:r w:rsidRPr="007F19F3">
        <w:rPr>
          <w:rFonts w:ascii="Arial" w:hAnsi="Arial" w:cs="Arial"/>
        </w:rPr>
        <w:t xml:space="preserve">s dans le système de la GFP </w:t>
      </w:r>
      <w:r>
        <w:rPr>
          <w:rFonts w:ascii="Arial" w:hAnsi="Arial" w:cs="Arial"/>
        </w:rPr>
        <w:t>de la CC impactent inévitablement les</w:t>
      </w:r>
      <w:r w:rsidRPr="007F19F3">
        <w:rPr>
          <w:rFonts w:ascii="Arial" w:hAnsi="Arial" w:cs="Arial"/>
        </w:rPr>
        <w:t xml:space="preserve"> trois principaux objectifs d’un système transparent et organisé de gestion des finances publiques : la discipline budgétaire, l’allocation stratégique des ressources et la prestation efficace des services publics. </w:t>
      </w:r>
    </w:p>
    <w:p w:rsidR="00E83CED" w:rsidRPr="00A17E25" w:rsidRDefault="00E83CED" w:rsidP="00375367">
      <w:pPr>
        <w:jc w:val="both"/>
        <w:rPr>
          <w:rFonts w:ascii="Arial" w:hAnsi="Arial"/>
          <w:b/>
          <w:bCs/>
          <w:i/>
          <w:iCs/>
        </w:rPr>
      </w:pPr>
    </w:p>
    <w:p w:rsidR="00375367" w:rsidRPr="00A17E25" w:rsidRDefault="00375367" w:rsidP="00375367">
      <w:pPr>
        <w:jc w:val="both"/>
        <w:rPr>
          <w:rFonts w:ascii="Arial" w:hAnsi="Arial"/>
          <w:b/>
          <w:bCs/>
          <w:i/>
          <w:iCs/>
        </w:rPr>
      </w:pPr>
      <w:r w:rsidRPr="00A17E25">
        <w:rPr>
          <w:rFonts w:ascii="Arial" w:hAnsi="Arial"/>
          <w:b/>
          <w:bCs/>
          <w:i/>
          <w:iCs/>
        </w:rPr>
        <w:t>iv) Programme de réformes en cours et prévues</w:t>
      </w:r>
    </w:p>
    <w:p w:rsidR="00375367" w:rsidRPr="00A17E25" w:rsidRDefault="00375367" w:rsidP="00375367">
      <w:pPr>
        <w:jc w:val="both"/>
        <w:rPr>
          <w:rFonts w:ascii="Arial" w:hAnsi="Arial"/>
          <w:b/>
          <w:bCs/>
          <w:i/>
          <w:iCs/>
        </w:rPr>
      </w:pPr>
    </w:p>
    <w:p w:rsidR="006E740B" w:rsidRDefault="006E740B" w:rsidP="006E740B">
      <w:pPr>
        <w:jc w:val="both"/>
        <w:rPr>
          <w:rFonts w:ascii="Arial" w:hAnsi="Arial" w:cs="Arial"/>
          <w:bCs/>
        </w:rPr>
      </w:pPr>
      <w:r>
        <w:rPr>
          <w:rFonts w:ascii="Arial" w:hAnsi="Arial" w:cs="Arial"/>
          <w:bCs/>
        </w:rPr>
        <w:t xml:space="preserve">En vue de la modernisation de sa gestion et de la professionnalisation de ses services, la CC a identifié </w:t>
      </w:r>
      <w:r w:rsidR="005F0AD4">
        <w:rPr>
          <w:rFonts w:ascii="Arial" w:hAnsi="Arial" w:cs="Arial"/>
          <w:bCs/>
        </w:rPr>
        <w:t xml:space="preserve">et lancé </w:t>
      </w:r>
      <w:r>
        <w:rPr>
          <w:rFonts w:ascii="Arial" w:hAnsi="Arial" w:cs="Arial"/>
          <w:bCs/>
        </w:rPr>
        <w:t>un certain nombre de chantiers prioritaires dont :</w:t>
      </w:r>
    </w:p>
    <w:p w:rsidR="006E740B" w:rsidRPr="00A3569B" w:rsidRDefault="006E740B" w:rsidP="00A3569B">
      <w:pPr>
        <w:jc w:val="both"/>
        <w:rPr>
          <w:rFonts w:ascii="Arial" w:hAnsi="Arial" w:cs="Arial"/>
        </w:rPr>
      </w:pPr>
    </w:p>
    <w:p w:rsidR="006E740B" w:rsidRPr="00BA7ABD" w:rsidRDefault="00F92FF8" w:rsidP="00151AD3">
      <w:pPr>
        <w:pStyle w:val="ListParagraph"/>
        <w:numPr>
          <w:ilvl w:val="0"/>
          <w:numId w:val="92"/>
        </w:numPr>
        <w:jc w:val="both"/>
        <w:rPr>
          <w:rFonts w:ascii="Arial" w:hAnsi="Arial" w:cs="Arial"/>
        </w:rPr>
      </w:pPr>
      <w:r>
        <w:rPr>
          <w:rFonts w:ascii="Arial" w:hAnsi="Arial" w:cs="Arial"/>
        </w:rPr>
        <w:t>L</w:t>
      </w:r>
      <w:r w:rsidR="006E740B">
        <w:rPr>
          <w:rFonts w:ascii="Arial" w:hAnsi="Arial" w:cs="Arial"/>
        </w:rPr>
        <w:t>a</w:t>
      </w:r>
      <w:r>
        <w:rPr>
          <w:rFonts w:ascii="Arial" w:hAnsi="Arial" w:cs="Arial"/>
        </w:rPr>
        <w:t xml:space="preserve"> </w:t>
      </w:r>
      <w:r w:rsidR="006E740B">
        <w:rPr>
          <w:rFonts w:ascii="Arial" w:hAnsi="Arial" w:cs="Arial"/>
        </w:rPr>
        <w:t>restructuration de l’Administration Communale, la refonte de l’organigramme et  de procédures</w:t>
      </w:r>
      <w:r w:rsidR="00CD1013">
        <w:rPr>
          <w:rFonts w:ascii="Arial" w:hAnsi="Arial" w:cs="Arial"/>
        </w:rPr>
        <w:t> ;</w:t>
      </w:r>
    </w:p>
    <w:p w:rsidR="006E740B" w:rsidRDefault="006E740B" w:rsidP="006E740B">
      <w:pPr>
        <w:pStyle w:val="ListParagraph"/>
        <w:jc w:val="both"/>
        <w:rPr>
          <w:rFonts w:ascii="Arial" w:hAnsi="Arial" w:cs="Arial"/>
        </w:rPr>
      </w:pPr>
    </w:p>
    <w:p w:rsidR="006E740B" w:rsidRPr="008057E0" w:rsidRDefault="00CD1013" w:rsidP="00151AD3">
      <w:pPr>
        <w:pStyle w:val="ListParagraph"/>
        <w:numPr>
          <w:ilvl w:val="0"/>
          <w:numId w:val="92"/>
        </w:numPr>
        <w:jc w:val="both"/>
        <w:rPr>
          <w:rFonts w:ascii="Arial" w:hAnsi="Arial" w:cs="Arial"/>
        </w:rPr>
      </w:pPr>
      <w:r>
        <w:rPr>
          <w:rFonts w:ascii="Arial" w:hAnsi="Arial" w:cs="Arial"/>
        </w:rPr>
        <w:t>u</w:t>
      </w:r>
      <w:r w:rsidR="006E740B" w:rsidRPr="00241915">
        <w:rPr>
          <w:rFonts w:ascii="Arial" w:hAnsi="Arial" w:cs="Arial"/>
        </w:rPr>
        <w:t>n diagn</w:t>
      </w:r>
      <w:r w:rsidR="006E740B">
        <w:rPr>
          <w:rFonts w:ascii="Arial" w:hAnsi="Arial" w:cs="Arial"/>
        </w:rPr>
        <w:t>ostic des ressources humaines et la mise en place d’un</w:t>
      </w:r>
      <w:r w:rsidR="006E740B" w:rsidRPr="00BA7ABD">
        <w:rPr>
          <w:rFonts w:ascii="Arial" w:hAnsi="Arial" w:cs="Arial"/>
        </w:rPr>
        <w:t xml:space="preserve"> référentie</w:t>
      </w:r>
      <w:r w:rsidR="006E740B">
        <w:rPr>
          <w:rFonts w:ascii="Arial" w:hAnsi="Arial" w:cs="Arial"/>
        </w:rPr>
        <w:t>l d'emploi et de compétence. Ce chantier vise la modernisation la gestion des ressources h</w:t>
      </w:r>
      <w:r w:rsidR="006E740B" w:rsidRPr="008057E0">
        <w:rPr>
          <w:rFonts w:ascii="Arial" w:hAnsi="Arial" w:cs="Arial"/>
        </w:rPr>
        <w:t>umaines</w:t>
      </w:r>
      <w:r w:rsidR="006E740B">
        <w:rPr>
          <w:rFonts w:ascii="Arial" w:hAnsi="Arial" w:cs="Arial"/>
        </w:rPr>
        <w:t>, l’amélioration d</w:t>
      </w:r>
      <w:r w:rsidR="006E740B" w:rsidRPr="008057E0">
        <w:rPr>
          <w:rFonts w:ascii="Arial" w:hAnsi="Arial" w:cs="Arial"/>
        </w:rPr>
        <w:t>es éc</w:t>
      </w:r>
      <w:r w:rsidR="006E740B">
        <w:rPr>
          <w:rFonts w:ascii="Arial" w:hAnsi="Arial" w:cs="Arial"/>
        </w:rPr>
        <w:t xml:space="preserve">hanges avec les Arrondissements </w:t>
      </w:r>
      <w:r w:rsidR="006E740B" w:rsidRPr="008057E0">
        <w:rPr>
          <w:rFonts w:ascii="Arial" w:hAnsi="Arial" w:cs="Arial"/>
        </w:rPr>
        <w:t xml:space="preserve">et </w:t>
      </w:r>
      <w:r w:rsidR="006E740B">
        <w:rPr>
          <w:rFonts w:ascii="Arial" w:hAnsi="Arial" w:cs="Arial"/>
        </w:rPr>
        <w:t>une meilleure information</w:t>
      </w:r>
      <w:r w:rsidR="006E740B" w:rsidRPr="008057E0">
        <w:rPr>
          <w:rFonts w:ascii="Arial" w:hAnsi="Arial" w:cs="Arial"/>
        </w:rPr>
        <w:t xml:space="preserve"> sur les procédures et démarches </w:t>
      </w:r>
      <w:r>
        <w:rPr>
          <w:rFonts w:ascii="Arial" w:hAnsi="Arial" w:cs="Arial"/>
        </w:rPr>
        <w:t>administratives à suivre ;</w:t>
      </w:r>
    </w:p>
    <w:p w:rsidR="006E740B" w:rsidRPr="008057E0" w:rsidRDefault="006E740B" w:rsidP="006E740B">
      <w:pPr>
        <w:jc w:val="both"/>
        <w:rPr>
          <w:rFonts w:ascii="Arial" w:hAnsi="Arial" w:cs="Arial"/>
        </w:rPr>
      </w:pPr>
    </w:p>
    <w:p w:rsidR="006E740B" w:rsidRDefault="00CD1013" w:rsidP="00151AD3">
      <w:pPr>
        <w:pStyle w:val="ListParagraph"/>
        <w:numPr>
          <w:ilvl w:val="0"/>
          <w:numId w:val="92"/>
        </w:numPr>
        <w:jc w:val="both"/>
        <w:rPr>
          <w:rFonts w:ascii="Arial" w:hAnsi="Arial" w:cs="Arial"/>
        </w:rPr>
      </w:pPr>
      <w:r>
        <w:rPr>
          <w:rFonts w:ascii="Arial" w:hAnsi="Arial" w:cs="Arial"/>
        </w:rPr>
        <w:t>l</w:t>
      </w:r>
      <w:r w:rsidR="006E740B">
        <w:rPr>
          <w:rFonts w:ascii="Arial" w:hAnsi="Arial" w:cs="Arial"/>
        </w:rPr>
        <w:t>’adoption d’un nouveau schéma directeur informatique et l</w:t>
      </w:r>
      <w:r w:rsidR="006E740B" w:rsidRPr="00241915">
        <w:rPr>
          <w:rFonts w:ascii="Arial" w:hAnsi="Arial" w:cs="Arial"/>
        </w:rPr>
        <w:t>a mise en place d’un système d’information efficace</w:t>
      </w:r>
      <w:r>
        <w:rPr>
          <w:rFonts w:ascii="Arial" w:hAnsi="Arial" w:cs="Arial"/>
        </w:rPr>
        <w:t> ;</w:t>
      </w:r>
      <w:r w:rsidR="006E740B" w:rsidRPr="00241915">
        <w:rPr>
          <w:rFonts w:ascii="Arial" w:hAnsi="Arial" w:cs="Arial"/>
        </w:rPr>
        <w:t xml:space="preserve"> </w:t>
      </w:r>
    </w:p>
    <w:p w:rsidR="006E740B" w:rsidRDefault="006E740B" w:rsidP="006E740B">
      <w:pPr>
        <w:pStyle w:val="ListParagraph"/>
        <w:jc w:val="both"/>
        <w:rPr>
          <w:rFonts w:ascii="Arial" w:hAnsi="Arial" w:cs="Arial"/>
        </w:rPr>
      </w:pPr>
    </w:p>
    <w:p w:rsidR="006E740B" w:rsidRPr="00DC573F" w:rsidRDefault="006E740B" w:rsidP="00DC573F">
      <w:pPr>
        <w:pStyle w:val="ListParagraph"/>
        <w:numPr>
          <w:ilvl w:val="0"/>
          <w:numId w:val="92"/>
        </w:numPr>
        <w:jc w:val="both"/>
      </w:pPr>
      <w:r w:rsidRPr="00241915">
        <w:rPr>
          <w:rFonts w:ascii="Arial" w:hAnsi="Arial" w:cs="Arial"/>
        </w:rPr>
        <w:t>une meilleure exploitation du p</w:t>
      </w:r>
      <w:r>
        <w:rPr>
          <w:rFonts w:ascii="Arial" w:hAnsi="Arial" w:cs="Arial"/>
        </w:rPr>
        <w:t xml:space="preserve">otentiel fiscal à travers notamment une réorganisation de l’administration fiscale communale, le lancement d’une opération de recensement et une meilleure collaboration avec les autres </w:t>
      </w:r>
      <w:r w:rsidRPr="00351EDB">
        <w:rPr>
          <w:rFonts w:ascii="Arial" w:hAnsi="Arial" w:cs="Arial"/>
        </w:rPr>
        <w:t xml:space="preserve">parties prenantes (DGI et TGR) et </w:t>
      </w:r>
      <w:r w:rsidRPr="00351EDB">
        <w:rPr>
          <w:rFonts w:ascii="Arial" w:hAnsi="Arial" w:cs="Arial"/>
          <w:bCs/>
        </w:rPr>
        <w:t>l’élaboration d’un système d’information de la gestion de la fiscalité communale</w:t>
      </w:r>
      <w:r w:rsidR="00CD1013">
        <w:rPr>
          <w:rFonts w:ascii="Arial" w:hAnsi="Arial" w:cs="Arial"/>
          <w:bCs/>
        </w:rPr>
        <w:t> ;</w:t>
      </w:r>
      <w:r w:rsidRPr="00351EDB">
        <w:rPr>
          <w:rFonts w:ascii="Arial" w:hAnsi="Arial" w:cs="Arial"/>
          <w:bCs/>
        </w:rPr>
        <w:t xml:space="preserve"> </w:t>
      </w:r>
    </w:p>
    <w:p w:rsidR="006E740B" w:rsidRDefault="006E740B" w:rsidP="006E740B">
      <w:pPr>
        <w:pStyle w:val="ListParagraph"/>
        <w:jc w:val="both"/>
        <w:rPr>
          <w:rFonts w:ascii="Arial" w:hAnsi="Arial" w:cs="Arial"/>
        </w:rPr>
      </w:pPr>
    </w:p>
    <w:p w:rsidR="006E740B" w:rsidRDefault="006E740B" w:rsidP="00151AD3">
      <w:pPr>
        <w:pStyle w:val="ListParagraph"/>
        <w:numPr>
          <w:ilvl w:val="0"/>
          <w:numId w:val="92"/>
        </w:numPr>
        <w:jc w:val="both"/>
        <w:rPr>
          <w:rFonts w:ascii="Arial" w:hAnsi="Arial" w:cs="Arial"/>
        </w:rPr>
      </w:pPr>
      <w:r w:rsidRPr="002046C0">
        <w:rPr>
          <w:rFonts w:ascii="Arial" w:hAnsi="Arial" w:cs="Arial"/>
        </w:rPr>
        <w:t>un inventaire actualisé du patrimoine de la ville</w:t>
      </w:r>
      <w:r w:rsidR="00CD1013">
        <w:rPr>
          <w:rFonts w:ascii="Arial" w:hAnsi="Arial" w:cs="Arial"/>
        </w:rPr>
        <w:t>,</w:t>
      </w:r>
      <w:r w:rsidRPr="002046C0">
        <w:rPr>
          <w:rFonts w:ascii="Arial" w:hAnsi="Arial" w:cs="Arial"/>
        </w:rPr>
        <w:t xml:space="preserve"> l’</w:t>
      </w:r>
      <w:r>
        <w:rPr>
          <w:rFonts w:ascii="Arial" w:hAnsi="Arial" w:cs="Arial"/>
          <w:bCs/>
        </w:rPr>
        <w:t>a</w:t>
      </w:r>
      <w:r w:rsidRPr="002046C0">
        <w:rPr>
          <w:rFonts w:ascii="Arial" w:hAnsi="Arial" w:cs="Arial"/>
          <w:bCs/>
        </w:rPr>
        <w:t>cquisition d’un logiciel de collec</w:t>
      </w:r>
      <w:r>
        <w:rPr>
          <w:rFonts w:ascii="Arial" w:hAnsi="Arial" w:cs="Arial"/>
          <w:bCs/>
        </w:rPr>
        <w:t>te et traitement de données géo-</w:t>
      </w:r>
      <w:r w:rsidRPr="002046C0">
        <w:rPr>
          <w:rFonts w:ascii="Arial" w:hAnsi="Arial" w:cs="Arial"/>
          <w:bCs/>
        </w:rPr>
        <w:t>localisées de la gestion du territ</w:t>
      </w:r>
      <w:r w:rsidR="00CD1013">
        <w:rPr>
          <w:rFonts w:ascii="Arial" w:hAnsi="Arial" w:cs="Arial"/>
          <w:bCs/>
        </w:rPr>
        <w:t>oire de la ville de Casablanca ;</w:t>
      </w:r>
      <w:r w:rsidRPr="002046C0">
        <w:rPr>
          <w:rFonts w:ascii="Arial" w:hAnsi="Arial" w:cs="Arial"/>
        </w:rPr>
        <w:t xml:space="preserve"> </w:t>
      </w:r>
    </w:p>
    <w:p w:rsidR="006E740B" w:rsidRPr="00CD24A4" w:rsidRDefault="006E740B" w:rsidP="006E740B">
      <w:pPr>
        <w:rPr>
          <w:rFonts w:ascii="Arial" w:hAnsi="Arial" w:cs="Arial"/>
        </w:rPr>
      </w:pPr>
    </w:p>
    <w:p w:rsidR="00F92FF8" w:rsidRPr="00F92FF8" w:rsidRDefault="006E740B" w:rsidP="00375367">
      <w:pPr>
        <w:pStyle w:val="ListParagraph"/>
        <w:numPr>
          <w:ilvl w:val="0"/>
          <w:numId w:val="92"/>
        </w:numPr>
        <w:jc w:val="both"/>
        <w:rPr>
          <w:rFonts w:ascii="Arial" w:hAnsi="Arial" w:cs="Arial"/>
        </w:rPr>
      </w:pPr>
      <w:r>
        <w:rPr>
          <w:rFonts w:ascii="Arial" w:hAnsi="Arial" w:cs="Arial"/>
        </w:rPr>
        <w:t xml:space="preserve">une gestion des réclamations en ligne et </w:t>
      </w:r>
      <w:r w:rsidRPr="00351EDB">
        <w:rPr>
          <w:rFonts w:ascii="Arial" w:hAnsi="Arial" w:cs="Arial"/>
        </w:rPr>
        <w:t>la mise en place d’un portail pour la ville de Casablanca. Ce projet vise</w:t>
      </w:r>
      <w:r>
        <w:rPr>
          <w:rFonts w:ascii="Arial" w:hAnsi="Arial" w:cs="Arial"/>
          <w:b/>
          <w:bCs/>
        </w:rPr>
        <w:t xml:space="preserve"> </w:t>
      </w:r>
      <w:r w:rsidRPr="00351EDB">
        <w:rPr>
          <w:rFonts w:ascii="Arial" w:hAnsi="Arial" w:cs="Arial"/>
          <w:bCs/>
        </w:rPr>
        <w:t>à r</w:t>
      </w:r>
      <w:r w:rsidRPr="00351EDB">
        <w:rPr>
          <w:rFonts w:ascii="Arial" w:hAnsi="Arial" w:cs="Arial"/>
        </w:rPr>
        <w:t>épondre aux attentes des citoyens, touristes et investisseurs qui sollicitent les services de la Ville de Casablanca</w:t>
      </w:r>
      <w:r>
        <w:rPr>
          <w:rFonts w:ascii="Arial" w:hAnsi="Arial" w:cs="Arial"/>
        </w:rPr>
        <w:t>,</w:t>
      </w:r>
      <w:r w:rsidRPr="00351EDB">
        <w:rPr>
          <w:rFonts w:ascii="Arial" w:hAnsi="Arial" w:cs="Arial"/>
        </w:rPr>
        <w:t xml:space="preserve"> à informer et communiquer autour des activités réalisées par les diff</w:t>
      </w:r>
      <w:r w:rsidR="00F92FF8">
        <w:rPr>
          <w:rFonts w:ascii="Arial" w:hAnsi="Arial" w:cs="Arial"/>
        </w:rPr>
        <w:t>érentes structures de la Ville.</w:t>
      </w:r>
    </w:p>
    <w:p w:rsidR="00F92FF8" w:rsidRDefault="00F92FF8" w:rsidP="00375367">
      <w:pPr>
        <w:jc w:val="both"/>
        <w:rPr>
          <w:rFonts w:ascii="Arial" w:hAnsi="Arial"/>
          <w:b/>
          <w:bCs/>
          <w:i/>
          <w:iCs/>
        </w:rPr>
      </w:pPr>
    </w:p>
    <w:p w:rsidR="0034021B" w:rsidRDefault="0034021B">
      <w:pPr>
        <w:rPr>
          <w:rFonts w:ascii="Arial" w:hAnsi="Arial"/>
          <w:b/>
          <w:bCs/>
          <w:i/>
          <w:iCs/>
        </w:rPr>
      </w:pPr>
      <w:r>
        <w:rPr>
          <w:rFonts w:ascii="Arial" w:hAnsi="Arial"/>
          <w:b/>
          <w:bCs/>
          <w:i/>
          <w:iCs/>
        </w:rPr>
        <w:br w:type="page"/>
      </w:r>
    </w:p>
    <w:p w:rsidR="00375367" w:rsidRDefault="00375367" w:rsidP="00375367">
      <w:pPr>
        <w:jc w:val="both"/>
        <w:rPr>
          <w:rFonts w:ascii="Arial" w:hAnsi="Arial"/>
          <w:b/>
          <w:bCs/>
          <w:i/>
          <w:iCs/>
        </w:rPr>
      </w:pPr>
      <w:r w:rsidRPr="00A17E25">
        <w:rPr>
          <w:rFonts w:ascii="Arial" w:hAnsi="Arial"/>
          <w:b/>
          <w:bCs/>
          <w:i/>
          <w:iCs/>
        </w:rPr>
        <w:t xml:space="preserve">v) </w:t>
      </w:r>
      <w:r w:rsidR="0065624F" w:rsidRPr="00A17E25">
        <w:rPr>
          <w:rFonts w:ascii="Arial" w:hAnsi="Arial"/>
          <w:b/>
          <w:bCs/>
          <w:i/>
          <w:iCs/>
        </w:rPr>
        <w:t>Récapitulation des notes</w:t>
      </w:r>
    </w:p>
    <w:p w:rsidR="00F92FF8" w:rsidRPr="00A17E25" w:rsidRDefault="00F92FF8" w:rsidP="00375367">
      <w:pPr>
        <w:jc w:val="both"/>
        <w:rPr>
          <w:rFonts w:ascii="Arial" w:hAnsi="Arial"/>
          <w:b/>
          <w:bCs/>
          <w:i/>
          <w:iCs/>
        </w:rPr>
      </w:pPr>
    </w:p>
    <w:p w:rsidR="00437C96" w:rsidRDefault="00437C96" w:rsidP="00375367">
      <w:pPr>
        <w:jc w:val="both"/>
        <w:rPr>
          <w:rFonts w:ascii="Arial" w:hAnsi="Arial"/>
          <w:bCs/>
          <w:iCs/>
        </w:rPr>
      </w:pPr>
      <w:r w:rsidRPr="00A17E25">
        <w:rPr>
          <w:rFonts w:ascii="Arial" w:hAnsi="Arial"/>
          <w:bCs/>
          <w:iCs/>
        </w:rPr>
        <w:t>Les notes attribuées aux trente (30) indicateurs sont récapitulées ci-dessous.</w:t>
      </w:r>
    </w:p>
    <w:p w:rsidR="00D32FE0" w:rsidRPr="00A17E25" w:rsidRDefault="00D32FE0" w:rsidP="00375367">
      <w:pPr>
        <w:jc w:val="both"/>
        <w:rPr>
          <w:rFonts w:ascii="Arial" w:hAnsi="Arial"/>
          <w:bCs/>
          <w:iCs/>
        </w:rPr>
      </w:pPr>
    </w:p>
    <w:p w:rsidR="00437C96" w:rsidRPr="00A17E25" w:rsidRDefault="00FA4FC0" w:rsidP="00463AB9">
      <w:pPr>
        <w:jc w:val="center"/>
        <w:rPr>
          <w:rFonts w:ascii="Arial Narrow" w:hAnsi="Arial Narrow"/>
          <w:b/>
          <w:sz w:val="20"/>
          <w:szCs w:val="20"/>
        </w:rPr>
      </w:pPr>
      <w:r>
        <w:rPr>
          <w:rFonts w:ascii="Arial Narrow" w:hAnsi="Arial Narrow"/>
          <w:b/>
          <w:sz w:val="20"/>
          <w:szCs w:val="20"/>
          <w:u w:val="single"/>
        </w:rPr>
        <w:t>TABLEAU</w:t>
      </w:r>
      <w:r w:rsidR="00437C96" w:rsidRPr="00A17E25">
        <w:rPr>
          <w:rFonts w:ascii="Arial Narrow" w:hAnsi="Arial Narrow"/>
          <w:b/>
          <w:sz w:val="20"/>
          <w:szCs w:val="20"/>
        </w:rPr>
        <w:t> </w:t>
      </w:r>
      <w:r>
        <w:rPr>
          <w:rFonts w:ascii="Arial Narrow" w:hAnsi="Arial Narrow"/>
          <w:b/>
          <w:sz w:val="20"/>
          <w:szCs w:val="20"/>
        </w:rPr>
        <w:t xml:space="preserve">O.1 : </w:t>
      </w:r>
      <w:r w:rsidR="00437C96" w:rsidRPr="00A17E25">
        <w:rPr>
          <w:rFonts w:ascii="Arial Narrow" w:hAnsi="Arial Narrow"/>
          <w:b/>
          <w:sz w:val="20"/>
          <w:szCs w:val="20"/>
        </w:rPr>
        <w:t>Récapitulatif des notes des indicateurs de performance de la Commune de Casablanca</w:t>
      </w:r>
    </w:p>
    <w:tbl>
      <w:tblPr>
        <w:tblW w:w="94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7429"/>
        <w:gridCol w:w="1136"/>
      </w:tblGrid>
      <w:tr w:rsidR="00437C96" w:rsidRPr="00A17E25" w:rsidTr="00D32FE0">
        <w:trPr>
          <w:cantSplit/>
        </w:trPr>
        <w:tc>
          <w:tcPr>
            <w:tcW w:w="851" w:type="dxa"/>
            <w:shd w:val="clear" w:color="auto" w:fill="0070C0"/>
          </w:tcPr>
          <w:p w:rsidR="00437C96" w:rsidRPr="00A17E25" w:rsidRDefault="00437C96" w:rsidP="00463AB9">
            <w:pPr>
              <w:jc w:val="center"/>
              <w:rPr>
                <w:rFonts w:ascii="Arial Narrow" w:hAnsi="Arial Narrow"/>
                <w:b/>
                <w:color w:val="FFFFFF"/>
                <w:sz w:val="20"/>
                <w:szCs w:val="20"/>
              </w:rPr>
            </w:pPr>
          </w:p>
        </w:tc>
        <w:tc>
          <w:tcPr>
            <w:tcW w:w="7429" w:type="dxa"/>
            <w:shd w:val="clear" w:color="auto" w:fill="0070C0"/>
          </w:tcPr>
          <w:p w:rsidR="00437C96" w:rsidRPr="00A17E25" w:rsidRDefault="00437C96" w:rsidP="00463AB9">
            <w:pPr>
              <w:ind w:left="360" w:hanging="360"/>
              <w:jc w:val="center"/>
              <w:rPr>
                <w:rFonts w:ascii="Arial Narrow" w:hAnsi="Arial Narrow"/>
                <w:b/>
                <w:color w:val="FFFFFF"/>
                <w:sz w:val="20"/>
                <w:szCs w:val="20"/>
              </w:rPr>
            </w:pPr>
            <w:r w:rsidRPr="00A17E25">
              <w:rPr>
                <w:rFonts w:ascii="Arial Narrow" w:hAnsi="Arial Narrow"/>
                <w:b/>
                <w:bCs/>
                <w:color w:val="FFFFFF"/>
                <w:sz w:val="20"/>
                <w:szCs w:val="20"/>
              </w:rPr>
              <w:t>Indicateurs de performance</w:t>
            </w:r>
          </w:p>
        </w:tc>
        <w:tc>
          <w:tcPr>
            <w:tcW w:w="1136" w:type="dxa"/>
            <w:shd w:val="clear" w:color="auto" w:fill="0070C0"/>
          </w:tcPr>
          <w:p w:rsidR="00437C96" w:rsidRPr="00A17E25" w:rsidRDefault="00437C96" w:rsidP="00463AB9">
            <w:pPr>
              <w:jc w:val="center"/>
              <w:rPr>
                <w:rFonts w:ascii="Arial Narrow" w:hAnsi="Arial Narrow"/>
                <w:b/>
                <w:color w:val="FFFFFF"/>
                <w:sz w:val="20"/>
                <w:szCs w:val="20"/>
              </w:rPr>
            </w:pPr>
            <w:r w:rsidRPr="00A17E25">
              <w:rPr>
                <w:rFonts w:ascii="Arial Narrow" w:hAnsi="Arial Narrow"/>
                <w:b/>
                <w:color w:val="FFFFFF"/>
                <w:sz w:val="20"/>
                <w:szCs w:val="20"/>
              </w:rPr>
              <w:t>Notation</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HLG-1</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Prévisibilité des transferts du Gouvernement Central</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ind w:left="360" w:hanging="360"/>
              <w:jc w:val="center"/>
              <w:rPr>
                <w:rFonts w:ascii="Arial" w:hAnsi="Arial" w:cs="Arial"/>
                <w:b/>
                <w:bCs/>
                <w:color w:val="FFFFFF"/>
                <w:sz w:val="18"/>
                <w:szCs w:val="18"/>
              </w:rPr>
            </w:pPr>
            <w:r w:rsidRPr="00D32FE0">
              <w:rPr>
                <w:rFonts w:ascii="Arial" w:hAnsi="Arial" w:cs="Arial"/>
                <w:b/>
                <w:bCs/>
                <w:color w:val="FFFFFF"/>
                <w:sz w:val="18"/>
                <w:szCs w:val="18"/>
              </w:rPr>
              <w:t>Pilier I. RESULTATS DU SYSTÈME DE GESTION DES FINANCES PUBLIQUES :</w:t>
            </w:r>
          </w:p>
          <w:p w:rsidR="00437C96" w:rsidRPr="00D32FE0" w:rsidRDefault="00437C96" w:rsidP="00D32FE0">
            <w:pPr>
              <w:ind w:left="360" w:hanging="360"/>
              <w:jc w:val="center"/>
              <w:rPr>
                <w:rFonts w:ascii="Arial" w:hAnsi="Arial" w:cs="Arial"/>
                <w:b/>
                <w:color w:val="FFFFFF"/>
                <w:sz w:val="18"/>
                <w:szCs w:val="18"/>
              </w:rPr>
            </w:pPr>
            <w:r w:rsidRPr="00D32FE0">
              <w:rPr>
                <w:rFonts w:ascii="Arial" w:hAnsi="Arial" w:cs="Arial"/>
                <w:b/>
                <w:bCs/>
                <w:color w:val="FFFFFF"/>
                <w:sz w:val="18"/>
                <w:szCs w:val="18"/>
              </w:rPr>
              <w:t xml:space="preserve">  Crédibilité de la stratégie de finances publiques et du budget</w:t>
            </w:r>
          </w:p>
        </w:tc>
        <w:tc>
          <w:tcPr>
            <w:tcW w:w="1136" w:type="dxa"/>
            <w:shd w:val="clear" w:color="auto" w:fill="0070C0"/>
          </w:tcPr>
          <w:p w:rsidR="00437C96" w:rsidRPr="00D32FE0" w:rsidRDefault="00437C96" w:rsidP="00D32FE0">
            <w:pPr>
              <w:jc w:val="center"/>
              <w:rPr>
                <w:rFonts w:ascii="Arial" w:hAnsi="Arial" w:cs="Arial"/>
                <w:b/>
                <w:color w:val="FFFFFF"/>
                <w:sz w:val="18"/>
                <w:szCs w:val="18"/>
              </w:rPr>
            </w:pPr>
            <w:r w:rsidRPr="00D32FE0">
              <w:rPr>
                <w:rFonts w:ascii="Arial" w:hAnsi="Arial" w:cs="Arial"/>
                <w:b/>
                <w:color w:val="FFFFFF"/>
                <w:sz w:val="18"/>
                <w:szCs w:val="18"/>
              </w:rPr>
              <w:t>Notation</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Dépenses effectives totales par rapport au budget initialement approuvé</w:t>
            </w:r>
          </w:p>
        </w:tc>
        <w:tc>
          <w:tcPr>
            <w:tcW w:w="1136" w:type="dxa"/>
          </w:tcPr>
          <w:p w:rsidR="00437C96" w:rsidRPr="00D32FE0" w:rsidRDefault="00CA3D6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PI-2</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Composition des dépenses effectives par rapport au budget initialement approuvé</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437C96"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PI-3</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Recettes effectives totales par rapport au budget initialement approuvé</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jc w:val="center"/>
              <w:rPr>
                <w:rFonts w:ascii="Arial" w:hAnsi="Arial" w:cs="Arial"/>
                <w:b/>
                <w:color w:val="FFFFFF"/>
                <w:sz w:val="18"/>
                <w:szCs w:val="18"/>
              </w:rPr>
            </w:pPr>
            <w:r w:rsidRPr="00D32FE0">
              <w:rPr>
                <w:rFonts w:ascii="Arial" w:hAnsi="Arial" w:cs="Arial"/>
                <w:b/>
                <w:bCs/>
                <w:color w:val="FFFFFF"/>
                <w:sz w:val="18"/>
                <w:szCs w:val="18"/>
              </w:rPr>
              <w:t>Piliers II-III. PRINCIPAUX ASPECTS TRANSVERSAUX</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II. Exhaustivité et transparence</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PI-4</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Classification du budget</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-5</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Exhaustivité des informations contenues dans le document du budget</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-6</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 xml:space="preserve">Importance des opérations extrabudgétaires rapportées </w:t>
            </w:r>
          </w:p>
        </w:tc>
        <w:tc>
          <w:tcPr>
            <w:tcW w:w="1136" w:type="dxa"/>
          </w:tcPr>
          <w:p w:rsidR="00437C96" w:rsidRPr="00D32FE0" w:rsidRDefault="00CE32D0" w:rsidP="00D32FE0">
            <w:pPr>
              <w:jc w:val="center"/>
              <w:rPr>
                <w:rFonts w:ascii="Arial" w:hAnsi="Arial" w:cs="Arial"/>
                <w:b/>
                <w:sz w:val="18"/>
                <w:szCs w:val="18"/>
              </w:rPr>
            </w:pPr>
            <w:r w:rsidRPr="00D32FE0">
              <w:rPr>
                <w:rFonts w:ascii="Arial" w:hAnsi="Arial" w:cs="Arial"/>
                <w:b/>
                <w:sz w:val="18"/>
                <w:szCs w:val="18"/>
              </w:rPr>
              <w:t>B</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-7</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Transparence des relations budgétaires entre différents niveaux d’administration</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CE32D0" w:rsidRPr="00D32FE0">
              <w:rPr>
                <w:rFonts w:ascii="Arial" w:hAnsi="Arial" w:cs="Arial"/>
                <w:b/>
                <w:sz w:val="18"/>
                <w:szCs w:val="18"/>
              </w:rPr>
              <w:t>N/A</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-8</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Utilisation des informations sur la performance pour assurer une prestation de service efficace</w:t>
            </w:r>
          </w:p>
        </w:tc>
        <w:tc>
          <w:tcPr>
            <w:tcW w:w="1136" w:type="dxa"/>
          </w:tcPr>
          <w:p w:rsidR="00437C96" w:rsidRPr="00D32FE0" w:rsidRDefault="009C247D"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-9</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Accès du public aux principales informations budgétaires</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III. Gestion des actifs et des passifs</w:t>
            </w:r>
          </w:p>
        </w:tc>
        <w:tc>
          <w:tcPr>
            <w:tcW w:w="1136" w:type="dxa"/>
            <w:shd w:val="clear" w:color="auto" w:fill="0070C0"/>
          </w:tcPr>
          <w:p w:rsidR="00437C96" w:rsidRPr="00D32FE0" w:rsidRDefault="00437C96" w:rsidP="00D32FE0">
            <w:pPr>
              <w:jc w:val="center"/>
              <w:rPr>
                <w:rFonts w:ascii="Arial" w:hAnsi="Arial" w:cs="Arial"/>
                <w:b/>
                <w:color w:val="FFFFFF"/>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PI-10</w:t>
            </w:r>
          </w:p>
        </w:tc>
        <w:tc>
          <w:tcPr>
            <w:tcW w:w="7429" w:type="dxa"/>
          </w:tcPr>
          <w:p w:rsidR="00437C96" w:rsidRPr="00D32FE0" w:rsidRDefault="00437C96" w:rsidP="00D32FE0">
            <w:pPr>
              <w:rPr>
                <w:rFonts w:ascii="Arial" w:hAnsi="Arial" w:cs="Arial"/>
                <w:bCs/>
                <w:color w:val="000000"/>
                <w:sz w:val="18"/>
                <w:szCs w:val="18"/>
              </w:rPr>
            </w:pPr>
            <w:r w:rsidRPr="00D32FE0">
              <w:rPr>
                <w:rFonts w:ascii="Arial" w:hAnsi="Arial" w:cs="Arial"/>
                <w:bCs/>
                <w:color w:val="000000"/>
                <w:sz w:val="18"/>
                <w:szCs w:val="18"/>
              </w:rPr>
              <w:t>Gestion du risque budgétaire</w:t>
            </w:r>
          </w:p>
        </w:tc>
        <w:tc>
          <w:tcPr>
            <w:tcW w:w="1136" w:type="dxa"/>
          </w:tcPr>
          <w:p w:rsidR="00437C96" w:rsidRPr="00D32FE0" w:rsidRDefault="00387203"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PI-11</w:t>
            </w:r>
          </w:p>
        </w:tc>
        <w:tc>
          <w:tcPr>
            <w:tcW w:w="7429" w:type="dxa"/>
          </w:tcPr>
          <w:p w:rsidR="00437C96" w:rsidRPr="00D32FE0" w:rsidRDefault="00437C96" w:rsidP="00D32FE0">
            <w:pPr>
              <w:rPr>
                <w:rFonts w:ascii="Arial" w:hAnsi="Arial" w:cs="Arial"/>
                <w:bCs/>
                <w:color w:val="000000"/>
                <w:sz w:val="18"/>
                <w:szCs w:val="18"/>
              </w:rPr>
            </w:pPr>
            <w:r w:rsidRPr="00D32FE0">
              <w:rPr>
                <w:rFonts w:ascii="Arial" w:hAnsi="Arial" w:cs="Arial"/>
                <w:bCs/>
                <w:color w:val="000000"/>
                <w:sz w:val="18"/>
                <w:szCs w:val="18"/>
              </w:rPr>
              <w:t>Gestion des investissements publics</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PI-12</w:t>
            </w:r>
          </w:p>
        </w:tc>
        <w:tc>
          <w:tcPr>
            <w:tcW w:w="7429" w:type="dxa"/>
          </w:tcPr>
          <w:p w:rsidR="00437C96" w:rsidRPr="00D32FE0" w:rsidRDefault="00437C96" w:rsidP="00D32FE0">
            <w:pPr>
              <w:rPr>
                <w:rFonts w:ascii="Arial" w:hAnsi="Arial" w:cs="Arial"/>
                <w:bCs/>
                <w:color w:val="000000"/>
                <w:sz w:val="18"/>
                <w:szCs w:val="18"/>
              </w:rPr>
            </w:pPr>
            <w:r w:rsidRPr="00D32FE0">
              <w:rPr>
                <w:rFonts w:ascii="Arial" w:hAnsi="Arial" w:cs="Arial"/>
                <w:bCs/>
                <w:color w:val="000000"/>
                <w:sz w:val="18"/>
                <w:szCs w:val="18"/>
              </w:rPr>
              <w:t>Gestion des actifs publics</w:t>
            </w:r>
          </w:p>
        </w:tc>
        <w:tc>
          <w:tcPr>
            <w:tcW w:w="1136" w:type="dxa"/>
          </w:tcPr>
          <w:p w:rsidR="00437C96" w:rsidRPr="00D32FE0" w:rsidRDefault="00237EEF"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PI-13</w:t>
            </w:r>
          </w:p>
        </w:tc>
        <w:tc>
          <w:tcPr>
            <w:tcW w:w="7429" w:type="dxa"/>
          </w:tcPr>
          <w:p w:rsidR="00437C96" w:rsidRPr="00D32FE0" w:rsidRDefault="00437C96" w:rsidP="00D32FE0">
            <w:pPr>
              <w:rPr>
                <w:rFonts w:ascii="Arial" w:hAnsi="Arial" w:cs="Arial"/>
                <w:bCs/>
                <w:color w:val="000000"/>
                <w:sz w:val="18"/>
                <w:szCs w:val="18"/>
              </w:rPr>
            </w:pPr>
            <w:r w:rsidRPr="00D32FE0">
              <w:rPr>
                <w:rFonts w:ascii="Arial" w:hAnsi="Arial" w:cs="Arial"/>
                <w:bCs/>
                <w:color w:val="000000"/>
                <w:sz w:val="18"/>
                <w:szCs w:val="18"/>
              </w:rPr>
              <w:t>Gestion des arriérés au titre de la dette et des dépenses et présentation de rapport sur les arriérés</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AA49A7" w:rsidRPr="00D32FE0">
              <w:rPr>
                <w:rFonts w:ascii="Arial" w:hAnsi="Arial" w:cs="Arial"/>
                <w:b/>
                <w:sz w:val="18"/>
                <w:szCs w:val="18"/>
              </w:rPr>
              <w:t>D</w:t>
            </w:r>
            <w:r w:rsidR="00437C96" w:rsidRPr="00D32FE0">
              <w:rPr>
                <w:rFonts w:ascii="Arial" w:hAnsi="Arial" w:cs="Arial"/>
                <w:b/>
                <w:sz w:val="18"/>
                <w:szCs w:val="18"/>
              </w:rPr>
              <w:t>+</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jc w:val="center"/>
              <w:rPr>
                <w:rFonts w:ascii="Arial" w:hAnsi="Arial" w:cs="Arial"/>
                <w:b/>
                <w:color w:val="FFFFFF"/>
                <w:sz w:val="18"/>
                <w:szCs w:val="18"/>
              </w:rPr>
            </w:pPr>
            <w:r w:rsidRPr="00D32FE0">
              <w:rPr>
                <w:rFonts w:ascii="Arial" w:hAnsi="Arial" w:cs="Arial"/>
                <w:b/>
                <w:bCs/>
                <w:color w:val="FFFFFF"/>
                <w:sz w:val="18"/>
                <w:szCs w:val="18"/>
              </w:rPr>
              <w:t>Piliers IV-VII. CYCLE DU BUDGET</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IV. Planification et budgétisation fondée sur les politiques publiques</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-14</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Stratégie budgétaire crédible</w:t>
            </w:r>
          </w:p>
        </w:tc>
        <w:tc>
          <w:tcPr>
            <w:tcW w:w="1136" w:type="dxa"/>
          </w:tcPr>
          <w:p w:rsidR="00437C96" w:rsidRPr="00D32FE0" w:rsidRDefault="00E433A7" w:rsidP="00D32FE0">
            <w:pPr>
              <w:jc w:val="center"/>
              <w:rPr>
                <w:rFonts w:ascii="Arial" w:hAnsi="Arial" w:cs="Arial"/>
                <w:b/>
                <w:sz w:val="18"/>
                <w:szCs w:val="18"/>
              </w:rPr>
            </w:pPr>
            <w:r w:rsidRPr="00D32FE0">
              <w:rPr>
                <w:rFonts w:ascii="Arial" w:hAnsi="Arial" w:cs="Arial"/>
                <w:b/>
                <w:sz w:val="18"/>
                <w:szCs w:val="18"/>
              </w:rPr>
              <w:t>NA</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-15</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Budgétisation des recettes</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PI-16</w:t>
            </w:r>
          </w:p>
        </w:tc>
        <w:tc>
          <w:tcPr>
            <w:tcW w:w="7429" w:type="dxa"/>
          </w:tcPr>
          <w:p w:rsidR="00437C96" w:rsidRPr="00D32FE0" w:rsidRDefault="00437C96" w:rsidP="00D32FE0">
            <w:pPr>
              <w:rPr>
                <w:rFonts w:ascii="Arial" w:hAnsi="Arial" w:cs="Arial"/>
                <w:color w:val="000000"/>
                <w:sz w:val="18"/>
                <w:szCs w:val="18"/>
              </w:rPr>
            </w:pPr>
            <w:r w:rsidRPr="00D32FE0">
              <w:rPr>
                <w:rFonts w:ascii="Arial" w:hAnsi="Arial" w:cs="Arial"/>
                <w:color w:val="000000"/>
                <w:sz w:val="18"/>
                <w:szCs w:val="18"/>
              </w:rPr>
              <w:t>Perspective à moyen terme de la budgétisation des dépenses</w:t>
            </w:r>
          </w:p>
        </w:tc>
        <w:tc>
          <w:tcPr>
            <w:tcW w:w="1136" w:type="dxa"/>
          </w:tcPr>
          <w:p w:rsidR="00437C96" w:rsidRPr="00D32FE0" w:rsidRDefault="00E433A7" w:rsidP="00D32FE0">
            <w:pPr>
              <w:jc w:val="center"/>
              <w:rPr>
                <w:rFonts w:ascii="Arial" w:hAnsi="Arial" w:cs="Arial"/>
                <w:b/>
                <w:sz w:val="18"/>
                <w:szCs w:val="18"/>
              </w:rPr>
            </w:pPr>
            <w:r w:rsidRPr="00D32FE0">
              <w:rPr>
                <w:rFonts w:ascii="Arial" w:hAnsi="Arial" w:cs="Arial"/>
                <w:b/>
                <w:sz w:val="18"/>
                <w:szCs w:val="18"/>
              </w:rPr>
              <w:t>NA</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PI-17</w:t>
            </w:r>
          </w:p>
        </w:tc>
        <w:tc>
          <w:tcPr>
            <w:tcW w:w="7429" w:type="dxa"/>
          </w:tcPr>
          <w:p w:rsidR="00437C96" w:rsidRPr="00D32FE0" w:rsidRDefault="00437C96" w:rsidP="00D32FE0">
            <w:pPr>
              <w:rPr>
                <w:rFonts w:ascii="Arial" w:hAnsi="Arial" w:cs="Arial"/>
                <w:color w:val="000000"/>
                <w:sz w:val="18"/>
                <w:szCs w:val="18"/>
              </w:rPr>
            </w:pPr>
            <w:r w:rsidRPr="00D32FE0">
              <w:rPr>
                <w:rFonts w:ascii="Arial" w:hAnsi="Arial" w:cs="Arial"/>
                <w:color w:val="000000"/>
                <w:sz w:val="18"/>
                <w:szCs w:val="18"/>
              </w:rPr>
              <w:t>Caractère organisé et participatif du processus annuel de préparation du budget</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73416E" w:rsidRPr="00D32FE0">
              <w:rPr>
                <w:rFonts w:ascii="Arial" w:hAnsi="Arial" w:cs="Arial"/>
                <w:b/>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PI-18</w:t>
            </w:r>
          </w:p>
        </w:tc>
        <w:tc>
          <w:tcPr>
            <w:tcW w:w="7429" w:type="dxa"/>
          </w:tcPr>
          <w:p w:rsidR="00437C96" w:rsidRPr="00D32FE0" w:rsidRDefault="00437C96" w:rsidP="00D32FE0">
            <w:pPr>
              <w:rPr>
                <w:rFonts w:ascii="Arial" w:hAnsi="Arial" w:cs="Arial"/>
                <w:color w:val="000000"/>
                <w:sz w:val="18"/>
                <w:szCs w:val="18"/>
              </w:rPr>
            </w:pPr>
            <w:r w:rsidRPr="00D32FE0">
              <w:rPr>
                <w:rFonts w:ascii="Arial" w:hAnsi="Arial" w:cs="Arial"/>
                <w:color w:val="000000"/>
                <w:sz w:val="18"/>
                <w:szCs w:val="18"/>
              </w:rPr>
              <w:t>Examen de la loi de finances annuelle par le pouvoir législatif</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437C96" w:rsidRPr="00D32FE0">
              <w:rPr>
                <w:rFonts w:ascii="Arial" w:hAnsi="Arial" w:cs="Arial"/>
                <w:b/>
                <w:sz w:val="18"/>
                <w:szCs w:val="18"/>
              </w:rPr>
              <w:t>C+</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V. Prévisibilité et contrôle de l’exécution du budget</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-19</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Conformité aux principes de l’administration des recettes</w:t>
            </w:r>
          </w:p>
        </w:tc>
        <w:tc>
          <w:tcPr>
            <w:tcW w:w="1136" w:type="dxa"/>
          </w:tcPr>
          <w:p w:rsidR="00437C96" w:rsidRPr="00D32FE0" w:rsidRDefault="00FB2AD5" w:rsidP="00D32FE0">
            <w:pPr>
              <w:jc w:val="center"/>
              <w:rPr>
                <w:rFonts w:ascii="Arial" w:hAnsi="Arial" w:cs="Arial"/>
                <w:b/>
                <w:bCs/>
                <w:sz w:val="18"/>
                <w:szCs w:val="18"/>
              </w:rPr>
            </w:pPr>
            <w:r w:rsidRPr="00D32FE0">
              <w:rPr>
                <w:rFonts w:ascii="Arial" w:hAnsi="Arial" w:cs="Arial"/>
                <w:b/>
                <w:bCs/>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-20</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Comptabilisation des recettes</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-21</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Prévisibilité de la disponibilité des fonds pour financer les prestations de service</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-22</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Efficacité des contrôles des états de paie</w:t>
            </w:r>
          </w:p>
        </w:tc>
        <w:tc>
          <w:tcPr>
            <w:tcW w:w="1136" w:type="dxa"/>
          </w:tcPr>
          <w:p w:rsidR="00437C96" w:rsidRPr="00D32FE0" w:rsidRDefault="00437C96" w:rsidP="00D32FE0">
            <w:pPr>
              <w:jc w:val="center"/>
              <w:rPr>
                <w:rFonts w:ascii="Arial" w:hAnsi="Arial" w:cs="Arial"/>
                <w:b/>
                <w:bCs/>
                <w:sz w:val="18"/>
                <w:szCs w:val="18"/>
              </w:rPr>
            </w:pPr>
            <w:r w:rsidRPr="00D32FE0">
              <w:rPr>
                <w:rFonts w:ascii="Arial" w:hAnsi="Arial" w:cs="Arial"/>
                <w:b/>
                <w:bCs/>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-23</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Passation des marchés publics- efficacité, transparence, concurrence et mécanisme de dépôt des plaintes</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-24</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Efficacité des contrôles internes pour les dépenses non salariales</w:t>
            </w:r>
          </w:p>
        </w:tc>
        <w:tc>
          <w:tcPr>
            <w:tcW w:w="1136" w:type="dxa"/>
          </w:tcPr>
          <w:p w:rsidR="00437C96" w:rsidRPr="00D32FE0" w:rsidRDefault="00437C96" w:rsidP="00D32FE0">
            <w:pPr>
              <w:jc w:val="center"/>
              <w:rPr>
                <w:rFonts w:ascii="Arial" w:hAnsi="Arial" w:cs="Arial"/>
                <w:b/>
                <w:sz w:val="18"/>
                <w:szCs w:val="18"/>
              </w:rPr>
            </w:pPr>
            <w:r w:rsidRPr="00D32FE0">
              <w:rPr>
                <w:rFonts w:ascii="Arial" w:hAnsi="Arial" w:cs="Arial"/>
                <w:b/>
                <w:sz w:val="18"/>
                <w:szCs w:val="18"/>
              </w:rPr>
              <w:t>B</w:t>
            </w:r>
            <w:r w:rsidR="001D2EB4" w:rsidRPr="00D32FE0">
              <w:rPr>
                <w:rFonts w:ascii="Arial" w:hAnsi="Arial" w:cs="Arial"/>
                <w:b/>
                <w:sz w:val="18"/>
                <w:szCs w:val="18"/>
              </w:rPr>
              <w:t>+</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-25</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Efficacité de l’audit interne</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VI. Comptabilité, enregistrement des données et établissement de rapports</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-26</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Rapprochement des comptes et intégrité des données financières</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E154F1" w:rsidRPr="00D32FE0">
              <w:rPr>
                <w:rFonts w:ascii="Arial" w:hAnsi="Arial" w:cs="Arial"/>
                <w:b/>
                <w:sz w:val="18"/>
                <w:szCs w:val="18"/>
              </w:rPr>
              <w:t>C+</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-27</w:t>
            </w:r>
          </w:p>
        </w:tc>
        <w:tc>
          <w:tcPr>
            <w:tcW w:w="7429" w:type="dxa"/>
          </w:tcPr>
          <w:p w:rsidR="00437C96" w:rsidRPr="00D32FE0" w:rsidRDefault="00437C96" w:rsidP="00D32FE0">
            <w:pPr>
              <w:rPr>
                <w:rFonts w:ascii="Arial" w:hAnsi="Arial" w:cs="Arial"/>
                <w:sz w:val="18"/>
                <w:szCs w:val="18"/>
              </w:rPr>
            </w:pPr>
            <w:r w:rsidRPr="00D32FE0">
              <w:rPr>
                <w:rFonts w:ascii="Arial" w:hAnsi="Arial" w:cs="Arial"/>
                <w:color w:val="000000"/>
                <w:sz w:val="18"/>
                <w:szCs w:val="18"/>
              </w:rPr>
              <w:t>Qualité et ponctualité des rapports budgétaires en cours d’année</w:t>
            </w:r>
          </w:p>
        </w:tc>
        <w:tc>
          <w:tcPr>
            <w:tcW w:w="1136" w:type="dxa"/>
          </w:tcPr>
          <w:p w:rsidR="00437C96" w:rsidRPr="00D32FE0" w:rsidRDefault="00E154F1" w:rsidP="00D32FE0">
            <w:pPr>
              <w:jc w:val="center"/>
              <w:rPr>
                <w:rFonts w:ascii="Arial" w:hAnsi="Arial" w:cs="Arial"/>
                <w:b/>
                <w:sz w:val="18"/>
                <w:szCs w:val="18"/>
              </w:rPr>
            </w:pPr>
            <w:r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-28</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Qualité et respect des délais des états financiers annuels</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E154F1" w:rsidRPr="00D32FE0">
              <w:rPr>
                <w:rFonts w:ascii="Arial" w:hAnsi="Arial" w:cs="Arial"/>
                <w:b/>
                <w:sz w:val="18"/>
                <w:szCs w:val="18"/>
              </w:rPr>
              <w:t>D+</w:t>
            </w:r>
          </w:p>
        </w:tc>
      </w:tr>
      <w:tr w:rsidR="00437C96" w:rsidRPr="00D32FE0" w:rsidTr="00D32FE0">
        <w:trPr>
          <w:cantSplit/>
        </w:trPr>
        <w:tc>
          <w:tcPr>
            <w:tcW w:w="851" w:type="dxa"/>
            <w:shd w:val="clear" w:color="auto" w:fill="0070C0"/>
          </w:tcPr>
          <w:p w:rsidR="00437C96" w:rsidRPr="00D32FE0" w:rsidRDefault="00437C96" w:rsidP="00D32FE0">
            <w:pPr>
              <w:rPr>
                <w:rFonts w:ascii="Arial" w:hAnsi="Arial" w:cs="Arial"/>
                <w:b/>
                <w:color w:val="FFFFFF"/>
                <w:sz w:val="18"/>
                <w:szCs w:val="18"/>
              </w:rPr>
            </w:pPr>
          </w:p>
        </w:tc>
        <w:tc>
          <w:tcPr>
            <w:tcW w:w="7429" w:type="dxa"/>
            <w:shd w:val="clear" w:color="auto" w:fill="0070C0"/>
          </w:tcPr>
          <w:p w:rsidR="00437C96" w:rsidRPr="00D32FE0" w:rsidRDefault="00437C96" w:rsidP="00D32FE0">
            <w:pPr>
              <w:rPr>
                <w:rFonts w:ascii="Arial" w:hAnsi="Arial" w:cs="Arial"/>
                <w:b/>
                <w:bCs/>
                <w:color w:val="FFFFFF"/>
                <w:sz w:val="18"/>
                <w:szCs w:val="18"/>
              </w:rPr>
            </w:pPr>
            <w:r w:rsidRPr="00D32FE0">
              <w:rPr>
                <w:rFonts w:ascii="Arial" w:hAnsi="Arial" w:cs="Arial"/>
                <w:b/>
                <w:bCs/>
                <w:color w:val="FFFFFF"/>
                <w:sz w:val="18"/>
                <w:szCs w:val="18"/>
              </w:rPr>
              <w:t>VII. Supervision et audit externes</w:t>
            </w:r>
          </w:p>
        </w:tc>
        <w:tc>
          <w:tcPr>
            <w:tcW w:w="1136" w:type="dxa"/>
            <w:shd w:val="clear" w:color="auto" w:fill="0070C0"/>
          </w:tcPr>
          <w:p w:rsidR="00437C96" w:rsidRPr="00D32FE0" w:rsidRDefault="00437C96" w:rsidP="00D32FE0">
            <w:pPr>
              <w:jc w:val="center"/>
              <w:rPr>
                <w:rFonts w:ascii="Arial" w:hAnsi="Arial" w:cs="Arial"/>
                <w:b/>
                <w:sz w:val="18"/>
                <w:szCs w:val="18"/>
              </w:rPr>
            </w:pP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-29</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Indépendance de l’ISC et efficacité de l’audit externe, des rapports financiers des administrations publiques</w:t>
            </w:r>
          </w:p>
        </w:tc>
        <w:tc>
          <w:tcPr>
            <w:tcW w:w="1136" w:type="dxa"/>
          </w:tcPr>
          <w:p w:rsidR="00437C96" w:rsidRPr="00D32FE0" w:rsidRDefault="008F14E1" w:rsidP="00D32FE0">
            <w:pPr>
              <w:jc w:val="center"/>
              <w:rPr>
                <w:rFonts w:ascii="Arial" w:hAnsi="Arial" w:cs="Arial"/>
                <w:b/>
                <w:sz w:val="18"/>
                <w:szCs w:val="18"/>
              </w:rPr>
            </w:pPr>
            <w:r w:rsidRPr="00D32FE0">
              <w:rPr>
                <w:rFonts w:ascii="Arial" w:hAnsi="Arial" w:cs="Arial"/>
                <w:b/>
                <w:sz w:val="18"/>
                <w:szCs w:val="18"/>
              </w:rPr>
              <w:t xml:space="preserve">  </w:t>
            </w:r>
            <w:r w:rsidR="00E154F1" w:rsidRPr="00D32FE0">
              <w:rPr>
                <w:rFonts w:ascii="Arial" w:hAnsi="Arial" w:cs="Arial"/>
                <w:b/>
                <w:sz w:val="18"/>
                <w:szCs w:val="18"/>
              </w:rPr>
              <w:t>D+</w:t>
            </w:r>
          </w:p>
        </w:tc>
      </w:tr>
      <w:tr w:rsidR="00437C96" w:rsidRPr="00D32FE0" w:rsidTr="00D32FE0">
        <w:trPr>
          <w:cantSplit/>
        </w:trPr>
        <w:tc>
          <w:tcPr>
            <w:tcW w:w="851" w:type="dxa"/>
          </w:tcPr>
          <w:p w:rsidR="00437C96" w:rsidRPr="00D32FE0" w:rsidRDefault="00437C96" w:rsidP="00D32FE0">
            <w:pPr>
              <w:rPr>
                <w:rFonts w:ascii="Arial" w:hAnsi="Arial" w:cs="Arial"/>
                <w:sz w:val="18"/>
                <w:szCs w:val="18"/>
              </w:rPr>
            </w:pPr>
            <w:r w:rsidRPr="00D32FE0">
              <w:rPr>
                <w:rFonts w:ascii="Arial" w:hAnsi="Arial" w:cs="Arial"/>
                <w:sz w:val="18"/>
                <w:szCs w:val="18"/>
              </w:rPr>
              <w:t>PI -30</w:t>
            </w:r>
          </w:p>
        </w:tc>
        <w:tc>
          <w:tcPr>
            <w:tcW w:w="7429" w:type="dxa"/>
          </w:tcPr>
          <w:p w:rsidR="00437C96" w:rsidRPr="00D32FE0" w:rsidRDefault="00437C96" w:rsidP="00D32FE0">
            <w:pPr>
              <w:rPr>
                <w:rFonts w:ascii="Arial" w:hAnsi="Arial" w:cs="Arial"/>
                <w:sz w:val="18"/>
                <w:szCs w:val="18"/>
              </w:rPr>
            </w:pPr>
            <w:r w:rsidRPr="00D32FE0">
              <w:rPr>
                <w:rFonts w:ascii="Arial" w:hAnsi="Arial" w:cs="Arial"/>
                <w:sz w:val="18"/>
                <w:szCs w:val="18"/>
              </w:rPr>
              <w:t>Examen des rapports d’audit externe par le pouvoir législatif</w:t>
            </w:r>
          </w:p>
        </w:tc>
        <w:tc>
          <w:tcPr>
            <w:tcW w:w="1136" w:type="dxa"/>
          </w:tcPr>
          <w:p w:rsidR="00437C96" w:rsidRPr="00D32FE0" w:rsidRDefault="00E433A7" w:rsidP="00D32FE0">
            <w:pPr>
              <w:jc w:val="center"/>
              <w:rPr>
                <w:rFonts w:ascii="Arial" w:hAnsi="Arial" w:cs="Arial"/>
                <w:b/>
                <w:sz w:val="18"/>
                <w:szCs w:val="18"/>
              </w:rPr>
            </w:pPr>
            <w:r w:rsidRPr="00D32FE0">
              <w:rPr>
                <w:rFonts w:ascii="Arial" w:hAnsi="Arial" w:cs="Arial"/>
                <w:b/>
                <w:sz w:val="18"/>
                <w:szCs w:val="18"/>
              </w:rPr>
              <w:t>NA</w:t>
            </w:r>
          </w:p>
        </w:tc>
      </w:tr>
    </w:tbl>
    <w:p w:rsidR="00375367" w:rsidRPr="00D32FE0" w:rsidRDefault="00E433A7" w:rsidP="00D32FE0">
      <w:pPr>
        <w:ind w:firstLine="720"/>
        <w:jc w:val="both"/>
        <w:rPr>
          <w:rFonts w:ascii="Arial" w:hAnsi="Arial" w:cs="Arial"/>
          <w:bCs/>
          <w:iCs/>
          <w:sz w:val="18"/>
          <w:szCs w:val="18"/>
        </w:rPr>
      </w:pPr>
      <w:r w:rsidRPr="00D32FE0">
        <w:rPr>
          <w:rFonts w:ascii="Arial" w:hAnsi="Arial" w:cs="Arial"/>
          <w:bCs/>
          <w:iCs/>
          <w:sz w:val="18"/>
          <w:szCs w:val="18"/>
        </w:rPr>
        <w:t>NA : non applicable</w:t>
      </w:r>
    </w:p>
    <w:p w:rsidR="00375367" w:rsidRPr="00D32FE0" w:rsidRDefault="00375367" w:rsidP="00D32FE0">
      <w:pPr>
        <w:jc w:val="both"/>
        <w:rPr>
          <w:rFonts w:ascii="Arial" w:hAnsi="Arial" w:cs="Arial"/>
          <w:b/>
          <w:bCs/>
          <w:i/>
          <w:iCs/>
          <w:sz w:val="18"/>
          <w:szCs w:val="18"/>
        </w:rPr>
      </w:pPr>
    </w:p>
    <w:p w:rsidR="0034021B" w:rsidRDefault="0034021B">
      <w:pPr>
        <w:rPr>
          <w:rFonts w:ascii="Arial" w:hAnsi="Arial"/>
          <w:b/>
          <w:bCs/>
          <w:color w:val="0070C0"/>
          <w:kern w:val="32"/>
          <w:sz w:val="32"/>
          <w:szCs w:val="32"/>
        </w:rPr>
      </w:pPr>
      <w:bookmarkStart w:id="69" w:name="_Toc412839423"/>
      <w:bookmarkStart w:id="70" w:name="_Toc434916096"/>
      <w:bookmarkStart w:id="71" w:name="_Toc434918310"/>
      <w:r>
        <w:rPr>
          <w:color w:val="0070C0"/>
        </w:rPr>
        <w:br w:type="page"/>
      </w:r>
    </w:p>
    <w:p w:rsidR="00840879" w:rsidRPr="00A17E25" w:rsidRDefault="00840879" w:rsidP="005C7A1A">
      <w:pPr>
        <w:pStyle w:val="Heading1"/>
        <w:rPr>
          <w:color w:val="0070C0"/>
        </w:rPr>
      </w:pPr>
      <w:r w:rsidRPr="00A17E25">
        <w:rPr>
          <w:color w:val="0070C0"/>
        </w:rPr>
        <w:t>1. Introduction</w:t>
      </w:r>
      <w:bookmarkEnd w:id="69"/>
      <w:bookmarkEnd w:id="70"/>
      <w:bookmarkEnd w:id="71"/>
    </w:p>
    <w:p w:rsidR="00840879" w:rsidRPr="00B75A7F" w:rsidRDefault="00840879" w:rsidP="005C7A1A">
      <w:pPr>
        <w:rPr>
          <w:rFonts w:ascii="Arial" w:hAnsi="Arial"/>
          <w:color w:val="0070C0"/>
        </w:rPr>
      </w:pPr>
    </w:p>
    <w:p w:rsidR="00961468" w:rsidRPr="00B75A7F" w:rsidRDefault="00961468" w:rsidP="00370022">
      <w:pPr>
        <w:jc w:val="both"/>
        <w:rPr>
          <w:rFonts w:ascii="Arial" w:hAnsi="Arial"/>
          <w:b/>
          <w:color w:val="0070C0"/>
          <w:sz w:val="28"/>
          <w:szCs w:val="28"/>
        </w:rPr>
      </w:pPr>
      <w:r w:rsidRPr="00B75A7F">
        <w:rPr>
          <w:rFonts w:ascii="Arial" w:hAnsi="Arial"/>
          <w:b/>
          <w:bCs/>
          <w:iCs/>
          <w:color w:val="0070C0"/>
          <w:sz w:val="28"/>
          <w:szCs w:val="28"/>
        </w:rPr>
        <w:t>1.1 Objectif de l’évaluation</w:t>
      </w:r>
    </w:p>
    <w:p w:rsidR="00961468" w:rsidRPr="00A17E25" w:rsidRDefault="00961468" w:rsidP="00961468">
      <w:pPr>
        <w:spacing w:after="60"/>
        <w:jc w:val="both"/>
        <w:rPr>
          <w:rFonts w:ascii="Arial" w:hAnsi="Arial"/>
        </w:rPr>
      </w:pPr>
    </w:p>
    <w:p w:rsidR="00961468" w:rsidRDefault="00961468" w:rsidP="00961468">
      <w:pPr>
        <w:spacing w:after="60"/>
        <w:jc w:val="both"/>
        <w:rPr>
          <w:rFonts w:ascii="Arial" w:hAnsi="Arial"/>
        </w:rPr>
      </w:pPr>
      <w:r w:rsidRPr="00A17E25">
        <w:rPr>
          <w:rFonts w:ascii="Arial" w:hAnsi="Arial"/>
        </w:rPr>
        <w:t>L’évaluation PEFA de la commune de Casablanca (CC) est une initiative du Fonds de Conseil en Infrastructure Publique Privée</w:t>
      </w:r>
      <w:r w:rsidRPr="00A17E25">
        <w:rPr>
          <w:rStyle w:val="FootnoteReference"/>
          <w:rFonts w:ascii="Arial" w:hAnsi="Arial"/>
        </w:rPr>
        <w:footnoteReference w:id="3"/>
      </w:r>
      <w:r w:rsidRPr="00A17E25">
        <w:rPr>
          <w:rFonts w:ascii="Arial" w:hAnsi="Arial"/>
        </w:rPr>
        <w:t xml:space="preserve"> et de l’Agence Française de Développement (AFD). </w:t>
      </w:r>
    </w:p>
    <w:p w:rsidR="001F1FFB" w:rsidRPr="00A17E25" w:rsidRDefault="001F1FFB" w:rsidP="00961468">
      <w:pPr>
        <w:spacing w:after="60"/>
        <w:jc w:val="both"/>
        <w:rPr>
          <w:rFonts w:ascii="Arial" w:hAnsi="Arial"/>
        </w:rPr>
      </w:pPr>
    </w:p>
    <w:p w:rsidR="00A607E4" w:rsidRPr="00A607E4" w:rsidRDefault="00A607E4" w:rsidP="00A607E4">
      <w:pPr>
        <w:spacing w:after="60"/>
        <w:jc w:val="both"/>
        <w:rPr>
          <w:rFonts w:ascii="Arial" w:hAnsi="Arial"/>
        </w:rPr>
      </w:pPr>
      <w:r w:rsidRPr="00A607E4">
        <w:rPr>
          <w:rFonts w:ascii="Arial" w:hAnsi="Arial"/>
        </w:rPr>
        <w:t xml:space="preserve">Le cadre </w:t>
      </w:r>
      <w:r>
        <w:rPr>
          <w:rFonts w:ascii="Arial" w:hAnsi="Arial"/>
        </w:rPr>
        <w:t xml:space="preserve">PEFA </w:t>
      </w:r>
      <w:r w:rsidRPr="00A607E4">
        <w:rPr>
          <w:rFonts w:ascii="Arial" w:hAnsi="Arial"/>
        </w:rPr>
        <w:t>présente</w:t>
      </w:r>
      <w:r w:rsidRPr="00A607E4">
        <w:rPr>
          <w:rFonts w:ascii="Arial" w:hAnsi="Arial"/>
          <w:b/>
          <w:bCs/>
        </w:rPr>
        <w:t>:</w:t>
      </w:r>
    </w:p>
    <w:p w:rsidR="00B3374E" w:rsidRPr="00A607E4" w:rsidRDefault="00991970" w:rsidP="00A607E4">
      <w:pPr>
        <w:numPr>
          <w:ilvl w:val="0"/>
          <w:numId w:val="105"/>
        </w:numPr>
        <w:spacing w:after="60"/>
        <w:jc w:val="both"/>
        <w:rPr>
          <w:rFonts w:ascii="Arial" w:hAnsi="Arial"/>
        </w:rPr>
      </w:pPr>
      <w:r w:rsidRPr="00A607E4">
        <w:rPr>
          <w:rFonts w:ascii="Arial" w:hAnsi="Arial"/>
        </w:rPr>
        <w:t>Une vue d’ensemble et de haut niveau de tous les aspects de la performance des systèmes de GFP (recettes et dépenses, systèmes de passation des marchés publics, actifs et passif financiers</w:t>
      </w:r>
    </w:p>
    <w:p w:rsidR="00A607E4" w:rsidRPr="00A607E4" w:rsidRDefault="00A607E4" w:rsidP="00A607E4">
      <w:pPr>
        <w:spacing w:after="60"/>
        <w:jc w:val="both"/>
        <w:rPr>
          <w:rFonts w:ascii="Arial" w:hAnsi="Arial"/>
        </w:rPr>
      </w:pPr>
      <w:r w:rsidRPr="00A607E4">
        <w:rPr>
          <w:rFonts w:ascii="Arial" w:hAnsi="Arial"/>
        </w:rPr>
        <w:t>Le cadre ne présente pas:</w:t>
      </w:r>
    </w:p>
    <w:p w:rsidR="00B3374E" w:rsidRPr="00A607E4" w:rsidRDefault="00991970" w:rsidP="00A607E4">
      <w:pPr>
        <w:numPr>
          <w:ilvl w:val="0"/>
          <w:numId w:val="106"/>
        </w:numPr>
        <w:spacing w:after="60"/>
        <w:jc w:val="both"/>
        <w:rPr>
          <w:rFonts w:ascii="Arial" w:hAnsi="Arial"/>
        </w:rPr>
      </w:pPr>
      <w:r w:rsidRPr="00A607E4">
        <w:rPr>
          <w:rFonts w:ascii="Arial" w:hAnsi="Arial"/>
        </w:rPr>
        <w:t>Une évaluation des causes sous-jacentes de la bonne ou mauvaise performance c’est à dire des facteurs de capacités</w:t>
      </w:r>
      <w:r w:rsidR="008114D4">
        <w:rPr>
          <w:rFonts w:ascii="Arial" w:hAnsi="Arial"/>
        </w:rPr>
        <w:t xml:space="preserve"> (tel que le cadre juridique et réglementaire ou les ressources humaines disponibles).</w:t>
      </w:r>
    </w:p>
    <w:p w:rsidR="00B3374E" w:rsidRDefault="00991970" w:rsidP="00A607E4">
      <w:pPr>
        <w:numPr>
          <w:ilvl w:val="0"/>
          <w:numId w:val="106"/>
        </w:numPr>
        <w:spacing w:after="60"/>
        <w:jc w:val="both"/>
        <w:rPr>
          <w:rFonts w:ascii="Arial" w:hAnsi="Arial"/>
        </w:rPr>
      </w:pPr>
      <w:r w:rsidRPr="00A607E4">
        <w:rPr>
          <w:rFonts w:ascii="Arial" w:hAnsi="Arial"/>
        </w:rPr>
        <w:t>Une évaluation des poli</w:t>
      </w:r>
      <w:r w:rsidR="00A607E4">
        <w:rPr>
          <w:rFonts w:ascii="Arial" w:hAnsi="Arial"/>
        </w:rPr>
        <w:t>tiques publiques de la CC</w:t>
      </w:r>
      <w:r w:rsidRPr="00A607E4">
        <w:rPr>
          <w:rFonts w:ascii="Arial" w:hAnsi="Arial"/>
        </w:rPr>
        <w:t xml:space="preserve"> (politiques fiscales et financières)</w:t>
      </w:r>
      <w:r w:rsidR="00A607E4">
        <w:rPr>
          <w:rFonts w:ascii="Arial" w:hAnsi="Arial"/>
        </w:rPr>
        <w:t>.</w:t>
      </w:r>
    </w:p>
    <w:p w:rsidR="00961468" w:rsidRDefault="00A607E4" w:rsidP="00961468">
      <w:pPr>
        <w:spacing w:after="60"/>
        <w:jc w:val="both"/>
        <w:rPr>
          <w:rFonts w:ascii="Arial" w:hAnsi="Arial"/>
        </w:rPr>
      </w:pPr>
      <w:r w:rsidRPr="00A607E4">
        <w:rPr>
          <w:rFonts w:ascii="Arial" w:hAnsi="Arial"/>
        </w:rPr>
        <w:t xml:space="preserve">La série d’indicateurs de haut niveau prend en compte les éléments clés de la GFP qui sont considérés essentiels, dans tous les pays, à une bonne gestion des finances publiques. </w:t>
      </w:r>
      <w:r w:rsidR="008114D4">
        <w:rPr>
          <w:rFonts w:ascii="Arial" w:hAnsi="Arial"/>
        </w:rPr>
        <w:t xml:space="preserve"> </w:t>
      </w:r>
    </w:p>
    <w:p w:rsidR="001F1FFB" w:rsidRPr="00A17E25" w:rsidRDefault="001F1FFB" w:rsidP="00961468">
      <w:pPr>
        <w:spacing w:after="60"/>
        <w:jc w:val="both"/>
        <w:rPr>
          <w:rFonts w:ascii="Arial" w:hAnsi="Arial"/>
        </w:rPr>
      </w:pPr>
    </w:p>
    <w:p w:rsidR="001F1FFB" w:rsidRDefault="00961468" w:rsidP="00961468">
      <w:pPr>
        <w:spacing w:after="60"/>
        <w:jc w:val="both"/>
        <w:rPr>
          <w:rFonts w:ascii="Arial" w:hAnsi="Arial"/>
        </w:rPr>
      </w:pPr>
      <w:r w:rsidRPr="00A17E25">
        <w:rPr>
          <w:rFonts w:ascii="Arial" w:hAnsi="Arial"/>
        </w:rPr>
        <w:t xml:space="preserve">L’objectif de l’évaluation </w:t>
      </w:r>
      <w:r>
        <w:rPr>
          <w:rFonts w:ascii="Arial" w:hAnsi="Arial"/>
        </w:rPr>
        <w:t>est d</w:t>
      </w:r>
      <w:r w:rsidRPr="00A17E25">
        <w:rPr>
          <w:rFonts w:ascii="Arial" w:hAnsi="Arial"/>
        </w:rPr>
        <w:t xml:space="preserve">e </w:t>
      </w:r>
    </w:p>
    <w:p w:rsidR="00961468" w:rsidRPr="00A17E25" w:rsidRDefault="00961468" w:rsidP="00961468">
      <w:pPr>
        <w:spacing w:after="60"/>
        <w:jc w:val="both"/>
        <w:rPr>
          <w:rFonts w:ascii="Arial" w:hAnsi="Arial"/>
        </w:rPr>
      </w:pPr>
    </w:p>
    <w:p w:rsidR="00B3374E" w:rsidRPr="00A607E4" w:rsidRDefault="00991970" w:rsidP="00A607E4">
      <w:pPr>
        <w:numPr>
          <w:ilvl w:val="0"/>
          <w:numId w:val="104"/>
        </w:numPr>
        <w:spacing w:after="60"/>
        <w:jc w:val="both"/>
        <w:rPr>
          <w:rFonts w:ascii="Arial" w:hAnsi="Arial"/>
        </w:rPr>
      </w:pPr>
      <w:r w:rsidRPr="00A607E4">
        <w:rPr>
          <w:rFonts w:ascii="Arial" w:hAnsi="Arial"/>
        </w:rPr>
        <w:t>Disposer d’une analyse sur la performance globale du système de gestion des finances publiques de la CC;</w:t>
      </w:r>
    </w:p>
    <w:p w:rsidR="00B3374E" w:rsidRPr="00A607E4" w:rsidRDefault="00991970" w:rsidP="00A607E4">
      <w:pPr>
        <w:numPr>
          <w:ilvl w:val="0"/>
          <w:numId w:val="104"/>
        </w:numPr>
        <w:spacing w:after="60"/>
        <w:jc w:val="both"/>
        <w:rPr>
          <w:rFonts w:ascii="Arial" w:hAnsi="Arial"/>
        </w:rPr>
      </w:pPr>
      <w:r w:rsidRPr="00A607E4">
        <w:rPr>
          <w:rFonts w:ascii="Arial" w:hAnsi="Arial"/>
        </w:rPr>
        <w:t xml:space="preserve">Identifier les actions nécessaires au renforcement le système de gestion de la CC; </w:t>
      </w:r>
    </w:p>
    <w:p w:rsidR="00B3374E" w:rsidRDefault="00991970" w:rsidP="00A607E4">
      <w:pPr>
        <w:numPr>
          <w:ilvl w:val="0"/>
          <w:numId w:val="104"/>
        </w:numPr>
        <w:spacing w:after="60"/>
        <w:jc w:val="both"/>
        <w:rPr>
          <w:rFonts w:ascii="Arial" w:hAnsi="Arial"/>
        </w:rPr>
      </w:pPr>
      <w:r w:rsidRPr="00A607E4">
        <w:rPr>
          <w:rFonts w:ascii="Arial" w:hAnsi="Arial"/>
        </w:rPr>
        <w:t>Avoir une situation de référence pour mesurer dans le temps les progrès réalisés en matière de GFP par la CC.</w:t>
      </w:r>
    </w:p>
    <w:p w:rsidR="00A607E4" w:rsidRPr="00A607E4" w:rsidRDefault="00A607E4" w:rsidP="00F53182">
      <w:pPr>
        <w:spacing w:after="60"/>
        <w:ind w:left="720"/>
        <w:jc w:val="both"/>
        <w:rPr>
          <w:rFonts w:ascii="Arial" w:hAnsi="Arial"/>
        </w:rPr>
      </w:pPr>
    </w:p>
    <w:p w:rsidR="00A607E4" w:rsidRDefault="00A607E4" w:rsidP="00961468">
      <w:pPr>
        <w:spacing w:after="60"/>
        <w:jc w:val="both"/>
        <w:rPr>
          <w:rFonts w:ascii="Arial" w:hAnsi="Arial"/>
        </w:rPr>
      </w:pPr>
      <w:r>
        <w:rPr>
          <w:rFonts w:ascii="Arial" w:hAnsi="Arial"/>
        </w:rPr>
        <w:t>Ce</w:t>
      </w:r>
      <w:r w:rsidRPr="00A17E25">
        <w:rPr>
          <w:rFonts w:ascii="Arial" w:hAnsi="Arial"/>
        </w:rPr>
        <w:t xml:space="preserve"> diagnostic de la gestion </w:t>
      </w:r>
      <w:r>
        <w:rPr>
          <w:rFonts w:ascii="Arial" w:hAnsi="Arial"/>
        </w:rPr>
        <w:t>des finances publiques</w:t>
      </w:r>
      <w:r w:rsidRPr="00A17E25">
        <w:rPr>
          <w:rFonts w:ascii="Arial" w:hAnsi="Arial"/>
        </w:rPr>
        <w:t xml:space="preserve"> (GFP) de la </w:t>
      </w:r>
      <w:r>
        <w:rPr>
          <w:rFonts w:ascii="Arial" w:hAnsi="Arial"/>
        </w:rPr>
        <w:t xml:space="preserve">Commune  de Casablanca pourrait servir de base </w:t>
      </w:r>
      <w:r w:rsidRPr="00A17E25">
        <w:rPr>
          <w:rFonts w:ascii="Arial" w:hAnsi="Arial"/>
        </w:rPr>
        <w:t xml:space="preserve">pour l’élaboration d’un plan d’action de réformes avec séquençage et un plan d’activités de renforcement des capacités.  </w:t>
      </w:r>
    </w:p>
    <w:p w:rsidR="00F92FF8" w:rsidRPr="00B75A7F" w:rsidRDefault="00F92FF8" w:rsidP="00961468">
      <w:pPr>
        <w:spacing w:after="60"/>
        <w:jc w:val="both"/>
        <w:rPr>
          <w:rFonts w:ascii="Arial" w:hAnsi="Arial"/>
          <w:b/>
          <w:color w:val="0070C0"/>
          <w:sz w:val="28"/>
        </w:rPr>
      </w:pPr>
    </w:p>
    <w:p w:rsidR="00961468" w:rsidRPr="00B75A7F" w:rsidRDefault="00961468" w:rsidP="00370022">
      <w:pPr>
        <w:jc w:val="both"/>
        <w:rPr>
          <w:rFonts w:ascii="Arial" w:hAnsi="Arial"/>
          <w:b/>
          <w:bCs/>
          <w:iCs/>
          <w:color w:val="0070C0"/>
          <w:sz w:val="28"/>
        </w:rPr>
      </w:pPr>
      <w:r w:rsidRPr="00B75A7F">
        <w:rPr>
          <w:rFonts w:ascii="Arial" w:hAnsi="Arial"/>
          <w:b/>
          <w:bCs/>
          <w:iCs/>
          <w:color w:val="0070C0"/>
          <w:sz w:val="28"/>
        </w:rPr>
        <w:t>1.2 Gestion de l’évaluation et assurance de la qualité</w:t>
      </w:r>
    </w:p>
    <w:p w:rsidR="00B42ED0" w:rsidRPr="00A17E25" w:rsidRDefault="00B42ED0" w:rsidP="00961468">
      <w:pPr>
        <w:ind w:firstLine="720"/>
        <w:jc w:val="both"/>
        <w:rPr>
          <w:rFonts w:ascii="Arial" w:hAnsi="Arial"/>
          <w:b/>
          <w:bCs/>
          <w:i/>
          <w:iCs/>
        </w:rPr>
      </w:pPr>
    </w:p>
    <w:p w:rsidR="00961468" w:rsidRDefault="00961468" w:rsidP="00961468">
      <w:pPr>
        <w:autoSpaceDE w:val="0"/>
        <w:autoSpaceDN w:val="0"/>
        <w:adjustRightInd w:val="0"/>
        <w:jc w:val="both"/>
        <w:rPr>
          <w:rFonts w:ascii="Arial" w:hAnsi="Arial" w:cs="Arial"/>
          <w:lang w:val="sw-KE"/>
        </w:rPr>
      </w:pPr>
      <w:r>
        <w:rPr>
          <w:rFonts w:ascii="Arial" w:hAnsi="Arial"/>
          <w:bCs/>
          <w:iCs/>
        </w:rPr>
        <w:t>L’évaluation de la performance du système de gestion des finances publiques de la Commune de Casablanca a été réalisée par une équipe de deux experts en gestion des finances publiques : Nicolas Lokpê et Anas Abou El Mikias</w:t>
      </w:r>
      <w:r w:rsidR="00F86504">
        <w:rPr>
          <w:rFonts w:ascii="Arial" w:hAnsi="Arial"/>
          <w:bCs/>
          <w:iCs/>
        </w:rPr>
        <w:t>, sous la supervision de Fabian Seiderer</w:t>
      </w:r>
      <w:r>
        <w:rPr>
          <w:rFonts w:ascii="Arial" w:hAnsi="Arial"/>
          <w:bCs/>
          <w:iCs/>
        </w:rPr>
        <w:t xml:space="preserve">. Elle a été </w:t>
      </w:r>
      <w:r w:rsidRPr="00C5429C">
        <w:rPr>
          <w:rFonts w:ascii="Arial" w:hAnsi="Arial" w:cs="Arial"/>
          <w:lang w:val="sw-KE"/>
        </w:rPr>
        <w:t>piloté</w:t>
      </w:r>
      <w:r>
        <w:rPr>
          <w:rFonts w:ascii="Arial" w:hAnsi="Arial" w:cs="Arial"/>
          <w:lang w:val="sw-KE"/>
        </w:rPr>
        <w:t>e</w:t>
      </w:r>
      <w:r w:rsidRPr="00C5429C">
        <w:rPr>
          <w:rFonts w:ascii="Arial" w:hAnsi="Arial" w:cs="Arial"/>
          <w:lang w:val="sw-KE"/>
        </w:rPr>
        <w:t xml:space="preserve"> par la </w:t>
      </w:r>
      <w:r>
        <w:rPr>
          <w:rFonts w:ascii="Arial" w:hAnsi="Arial" w:cs="Arial"/>
          <w:lang w:val="sw-KE"/>
        </w:rPr>
        <w:t>CC</w:t>
      </w:r>
      <w:r w:rsidRPr="00C5429C">
        <w:rPr>
          <w:rFonts w:ascii="Arial" w:hAnsi="Arial" w:cs="Arial"/>
          <w:lang w:val="sw-KE"/>
        </w:rPr>
        <w:t xml:space="preserve"> et les Partenaires Techniques et Financiers (PPIAF</w:t>
      </w:r>
      <w:r w:rsidRPr="00C5429C">
        <w:rPr>
          <w:rStyle w:val="FootnoteReference"/>
          <w:rFonts w:ascii="Arial" w:hAnsi="Arial" w:cs="Arial"/>
          <w:lang w:val="sw-KE"/>
        </w:rPr>
        <w:footnoteReference w:id="4"/>
      </w:r>
      <w:r w:rsidRPr="00C5429C">
        <w:rPr>
          <w:rFonts w:ascii="Arial" w:hAnsi="Arial" w:cs="Arial"/>
          <w:lang w:val="sw-KE"/>
        </w:rPr>
        <w:t xml:space="preserve"> – Banque Mondiale, Agence Française de Développement). </w:t>
      </w:r>
    </w:p>
    <w:p w:rsidR="00961468" w:rsidRDefault="00961468" w:rsidP="00961468">
      <w:pPr>
        <w:autoSpaceDE w:val="0"/>
        <w:autoSpaceDN w:val="0"/>
        <w:adjustRightInd w:val="0"/>
        <w:jc w:val="both"/>
        <w:rPr>
          <w:rFonts w:ascii="Arial" w:hAnsi="Arial" w:cs="Arial"/>
          <w:lang w:val="sw-KE"/>
        </w:rPr>
      </w:pPr>
    </w:p>
    <w:p w:rsidR="00961468" w:rsidRDefault="00961468" w:rsidP="00961468">
      <w:pPr>
        <w:jc w:val="both"/>
        <w:rPr>
          <w:rStyle w:val="Strong"/>
          <w:rFonts w:ascii="Arial" w:hAnsi="Arial" w:cs="Arial"/>
          <w:b w:val="0"/>
        </w:rPr>
      </w:pPr>
      <w:r>
        <w:rPr>
          <w:rStyle w:val="Strong"/>
          <w:rFonts w:ascii="Arial" w:hAnsi="Arial" w:cs="Arial"/>
          <w:b w:val="0"/>
        </w:rPr>
        <w:t>Les deux experts membres de l’équipe d</w:t>
      </w:r>
      <w:r w:rsidR="00C525CF">
        <w:rPr>
          <w:rStyle w:val="Strong"/>
          <w:rFonts w:ascii="Arial" w:hAnsi="Arial" w:cs="Arial"/>
          <w:b w:val="0"/>
        </w:rPr>
        <w:t>’</w:t>
      </w:r>
      <w:r>
        <w:rPr>
          <w:rStyle w:val="Strong"/>
          <w:rFonts w:ascii="Arial" w:hAnsi="Arial" w:cs="Arial"/>
          <w:b w:val="0"/>
        </w:rPr>
        <w:t>évaluation</w:t>
      </w:r>
      <w:r w:rsidRPr="00B92B83">
        <w:rPr>
          <w:rStyle w:val="Strong"/>
          <w:rFonts w:ascii="Arial" w:hAnsi="Arial" w:cs="Arial"/>
          <w:b w:val="0"/>
        </w:rPr>
        <w:t xml:space="preserve"> </w:t>
      </w:r>
      <w:r>
        <w:rPr>
          <w:rStyle w:val="Strong"/>
          <w:rFonts w:ascii="Arial" w:hAnsi="Arial" w:cs="Arial"/>
          <w:b w:val="0"/>
        </w:rPr>
        <w:t>ont</w:t>
      </w:r>
      <w:r w:rsidRPr="00B92B83">
        <w:rPr>
          <w:rStyle w:val="Strong"/>
          <w:rFonts w:ascii="Arial" w:hAnsi="Arial" w:cs="Arial"/>
          <w:b w:val="0"/>
        </w:rPr>
        <w:t xml:space="preserve"> réalisé une première mission de terrain à </w:t>
      </w:r>
      <w:r>
        <w:rPr>
          <w:rStyle w:val="Strong"/>
          <w:rFonts w:ascii="Arial" w:hAnsi="Arial" w:cs="Arial"/>
          <w:b w:val="0"/>
        </w:rPr>
        <w:t>Casablanca</w:t>
      </w:r>
      <w:r w:rsidRPr="00B92B83">
        <w:rPr>
          <w:rStyle w:val="Strong"/>
          <w:rFonts w:ascii="Arial" w:hAnsi="Arial" w:cs="Arial"/>
          <w:b w:val="0"/>
        </w:rPr>
        <w:t xml:space="preserve"> </w:t>
      </w:r>
      <w:r>
        <w:rPr>
          <w:rStyle w:val="Strong"/>
          <w:rFonts w:ascii="Arial" w:hAnsi="Arial" w:cs="Arial"/>
          <w:b w:val="0"/>
        </w:rPr>
        <w:t>du 20 au 24 juillet</w:t>
      </w:r>
      <w:r w:rsidRPr="00B92B83">
        <w:rPr>
          <w:rStyle w:val="Strong"/>
          <w:rFonts w:ascii="Arial" w:hAnsi="Arial" w:cs="Arial"/>
          <w:b w:val="0"/>
        </w:rPr>
        <w:t xml:space="preserve"> 2015 et une deuxième mission du </w:t>
      </w:r>
      <w:r>
        <w:rPr>
          <w:rStyle w:val="Strong"/>
          <w:rFonts w:ascii="Arial" w:hAnsi="Arial" w:cs="Arial"/>
          <w:b w:val="0"/>
        </w:rPr>
        <w:t>17 août au 04 septembre 2015. Au début de la première mission de terrain, un atelier de lancement a eu lieu dans les locaux de la CC</w:t>
      </w:r>
      <w:r w:rsidRPr="00B92B83">
        <w:rPr>
          <w:rStyle w:val="Strong"/>
          <w:rFonts w:ascii="Arial" w:hAnsi="Arial" w:cs="Arial"/>
          <w:b w:val="0"/>
        </w:rPr>
        <w:t xml:space="preserve"> le </w:t>
      </w:r>
      <w:r>
        <w:rPr>
          <w:rStyle w:val="Strong"/>
          <w:rFonts w:ascii="Arial" w:hAnsi="Arial" w:cs="Arial"/>
          <w:b w:val="0"/>
        </w:rPr>
        <w:t>20</w:t>
      </w:r>
      <w:r w:rsidRPr="00B92B83">
        <w:rPr>
          <w:rStyle w:val="Strong"/>
          <w:rFonts w:ascii="Arial" w:hAnsi="Arial" w:cs="Arial"/>
          <w:b w:val="0"/>
        </w:rPr>
        <w:t xml:space="preserve"> </w:t>
      </w:r>
      <w:r>
        <w:rPr>
          <w:rStyle w:val="Strong"/>
          <w:rFonts w:ascii="Arial" w:hAnsi="Arial" w:cs="Arial"/>
          <w:b w:val="0"/>
        </w:rPr>
        <w:t>juillet</w:t>
      </w:r>
      <w:r w:rsidRPr="00B92B83">
        <w:rPr>
          <w:rStyle w:val="Strong"/>
          <w:rFonts w:ascii="Arial" w:hAnsi="Arial" w:cs="Arial"/>
          <w:b w:val="0"/>
        </w:rPr>
        <w:t xml:space="preserve"> 2015 et a rassemblé </w:t>
      </w:r>
      <w:r>
        <w:rPr>
          <w:rStyle w:val="Strong"/>
          <w:rFonts w:ascii="Arial" w:hAnsi="Arial" w:cs="Arial"/>
          <w:b w:val="0"/>
        </w:rPr>
        <w:t>plus</w:t>
      </w:r>
      <w:r w:rsidRPr="00B92B83">
        <w:rPr>
          <w:rStyle w:val="Strong"/>
          <w:rFonts w:ascii="Arial" w:hAnsi="Arial" w:cs="Arial"/>
          <w:b w:val="0"/>
        </w:rPr>
        <w:t xml:space="preserve"> d’une </w:t>
      </w:r>
      <w:r>
        <w:rPr>
          <w:rStyle w:val="Strong"/>
          <w:rFonts w:ascii="Arial" w:hAnsi="Arial" w:cs="Arial"/>
          <w:b w:val="0"/>
        </w:rPr>
        <w:t>vingtaine</w:t>
      </w:r>
      <w:r w:rsidRPr="00B92B83">
        <w:rPr>
          <w:rStyle w:val="Strong"/>
          <w:rFonts w:ascii="Arial" w:hAnsi="Arial" w:cs="Arial"/>
          <w:b w:val="0"/>
        </w:rPr>
        <w:t xml:space="preserve"> de participants.</w:t>
      </w:r>
      <w:r>
        <w:rPr>
          <w:rStyle w:val="Strong"/>
          <w:rFonts w:ascii="Arial" w:hAnsi="Arial" w:cs="Arial"/>
          <w:b w:val="0"/>
        </w:rPr>
        <w:t xml:space="preserve"> Avant, au cours et après les missions de terrain, les experts ont recueilli auprès des services de la CC les données et documents nécessaires à la réalisation de l’évaluation. Le bureau de la Banque Mondiale à Rabat a également mis à la disposition de l’équipe certains documents budgétaires et textes régissant le cadre juridique de la gestion des finances locales en sa possession. La coordination de</w:t>
      </w:r>
      <w:r w:rsidR="00C525CF">
        <w:rPr>
          <w:rStyle w:val="Strong"/>
          <w:rFonts w:ascii="Arial" w:hAnsi="Arial" w:cs="Arial"/>
          <w:b w:val="0"/>
        </w:rPr>
        <w:t>s</w:t>
      </w:r>
      <w:r>
        <w:rPr>
          <w:rStyle w:val="Strong"/>
          <w:rFonts w:ascii="Arial" w:hAnsi="Arial" w:cs="Arial"/>
          <w:b w:val="0"/>
        </w:rPr>
        <w:t xml:space="preserve"> mission</w:t>
      </w:r>
      <w:r w:rsidR="00C525CF">
        <w:rPr>
          <w:rStyle w:val="Strong"/>
          <w:rFonts w:ascii="Arial" w:hAnsi="Arial" w:cs="Arial"/>
          <w:b w:val="0"/>
        </w:rPr>
        <w:t>s de terrain</w:t>
      </w:r>
      <w:r>
        <w:rPr>
          <w:rStyle w:val="Strong"/>
          <w:rFonts w:ascii="Arial" w:hAnsi="Arial" w:cs="Arial"/>
          <w:b w:val="0"/>
        </w:rPr>
        <w:t xml:space="preserve">, la planification de toutes les rencontres et l’introduction des experts au niveau des services ont été assurées par le Secrétaire général de </w:t>
      </w:r>
      <w:r w:rsidR="00F86504">
        <w:rPr>
          <w:rStyle w:val="Strong"/>
          <w:rFonts w:ascii="Arial" w:hAnsi="Arial" w:cs="Arial"/>
          <w:b w:val="0"/>
        </w:rPr>
        <w:t>CC</w:t>
      </w:r>
      <w:r>
        <w:rPr>
          <w:rStyle w:val="Strong"/>
          <w:rFonts w:ascii="Arial" w:hAnsi="Arial" w:cs="Arial"/>
          <w:b w:val="0"/>
        </w:rPr>
        <w:t>.</w:t>
      </w:r>
    </w:p>
    <w:p w:rsidR="00961468" w:rsidRDefault="00961468" w:rsidP="00961468">
      <w:pPr>
        <w:jc w:val="both"/>
        <w:rPr>
          <w:rStyle w:val="Strong"/>
          <w:rFonts w:ascii="Arial" w:hAnsi="Arial" w:cs="Arial"/>
          <w:b w:val="0"/>
        </w:rPr>
      </w:pPr>
    </w:p>
    <w:p w:rsidR="00961468" w:rsidRDefault="00961468" w:rsidP="00961468">
      <w:pPr>
        <w:jc w:val="both"/>
        <w:rPr>
          <w:rStyle w:val="Strong"/>
          <w:rFonts w:ascii="Arial" w:hAnsi="Arial" w:cs="Arial"/>
          <w:b w:val="0"/>
        </w:rPr>
      </w:pPr>
      <w:r>
        <w:rPr>
          <w:rStyle w:val="Strong"/>
          <w:rFonts w:ascii="Arial" w:hAnsi="Arial" w:cs="Arial"/>
          <w:b w:val="0"/>
        </w:rPr>
        <w:t xml:space="preserve">A la fin de la deuxième mission de terrain, les experts ont présenté au cours d’une réunion aux autorités locales et aux partenaires techniques financiers qui participent au projet les principales constations et conclusions de leurs travaux. </w:t>
      </w:r>
    </w:p>
    <w:p w:rsidR="00961468" w:rsidRDefault="00961468" w:rsidP="00961468">
      <w:pPr>
        <w:jc w:val="both"/>
        <w:rPr>
          <w:rStyle w:val="Strong"/>
          <w:rFonts w:ascii="Arial" w:hAnsi="Arial" w:cs="Arial"/>
          <w:b w:val="0"/>
        </w:rPr>
      </w:pPr>
    </w:p>
    <w:p w:rsidR="00961468" w:rsidRDefault="00961468" w:rsidP="00961468">
      <w:pPr>
        <w:jc w:val="both"/>
        <w:rPr>
          <w:rStyle w:val="Strong"/>
          <w:rFonts w:ascii="Arial" w:hAnsi="Arial" w:cs="Arial"/>
          <w:b w:val="0"/>
        </w:rPr>
      </w:pPr>
      <w:r>
        <w:rPr>
          <w:rStyle w:val="Strong"/>
          <w:rFonts w:ascii="Arial" w:hAnsi="Arial" w:cs="Arial"/>
          <w:b w:val="0"/>
        </w:rPr>
        <w:t xml:space="preserve">Le présent rapport préliminaire est soumis aux autorités de la </w:t>
      </w:r>
      <w:r w:rsidR="00F86504">
        <w:rPr>
          <w:rStyle w:val="Strong"/>
          <w:rFonts w:ascii="Arial" w:hAnsi="Arial" w:cs="Arial"/>
          <w:b w:val="0"/>
        </w:rPr>
        <w:t>CC</w:t>
      </w:r>
      <w:r>
        <w:rPr>
          <w:rStyle w:val="Strong"/>
          <w:rFonts w:ascii="Arial" w:hAnsi="Arial" w:cs="Arial"/>
          <w:b w:val="0"/>
        </w:rPr>
        <w:t xml:space="preserve"> ainsi qu’aux partenaires techniques et financiers qui participent au projet.</w:t>
      </w:r>
    </w:p>
    <w:p w:rsidR="00961468" w:rsidRPr="00B75A7F" w:rsidRDefault="00961468" w:rsidP="00961468">
      <w:pPr>
        <w:autoSpaceDE w:val="0"/>
        <w:autoSpaceDN w:val="0"/>
        <w:adjustRightInd w:val="0"/>
        <w:jc w:val="both"/>
        <w:rPr>
          <w:rFonts w:ascii="Arial" w:hAnsi="Arial" w:cs="Arial"/>
          <w:color w:val="0070C0"/>
          <w:sz w:val="28"/>
          <w:lang w:val="sw-KE"/>
        </w:rPr>
      </w:pPr>
    </w:p>
    <w:p w:rsidR="00961468" w:rsidRPr="00B75A7F" w:rsidRDefault="00961468" w:rsidP="00370022">
      <w:pPr>
        <w:jc w:val="both"/>
        <w:rPr>
          <w:rFonts w:ascii="Arial" w:hAnsi="Arial" w:cs="Arial"/>
          <w:color w:val="0070C0"/>
          <w:sz w:val="28"/>
        </w:rPr>
      </w:pPr>
      <w:r w:rsidRPr="00B75A7F">
        <w:rPr>
          <w:rFonts w:ascii="Arial" w:hAnsi="Arial"/>
          <w:b/>
          <w:bCs/>
          <w:iCs/>
          <w:color w:val="0070C0"/>
          <w:sz w:val="28"/>
        </w:rPr>
        <w:t>1.3 Méthodologie suivie pour l’évaluation</w:t>
      </w:r>
    </w:p>
    <w:p w:rsidR="00ED5B7C" w:rsidRDefault="00ED5B7C" w:rsidP="00961468">
      <w:pPr>
        <w:jc w:val="both"/>
        <w:rPr>
          <w:rFonts w:ascii="Arial" w:hAnsi="Arial" w:cs="Arial"/>
        </w:rPr>
      </w:pPr>
    </w:p>
    <w:p w:rsidR="00961468" w:rsidRPr="004C476F" w:rsidRDefault="00961468" w:rsidP="00961468">
      <w:pPr>
        <w:jc w:val="both"/>
        <w:rPr>
          <w:rFonts w:ascii="Arial" w:hAnsi="Arial" w:cs="Arial"/>
        </w:rPr>
      </w:pPr>
      <w:r>
        <w:rPr>
          <w:rFonts w:ascii="Arial" w:hAnsi="Arial" w:cs="Arial"/>
        </w:rPr>
        <w:t xml:space="preserve">La présente évaluation couvre la totalité (100%) du budget de la </w:t>
      </w:r>
      <w:r w:rsidR="00F86504">
        <w:rPr>
          <w:rFonts w:ascii="Arial" w:hAnsi="Arial" w:cs="Arial"/>
        </w:rPr>
        <w:t>CC</w:t>
      </w:r>
      <w:r>
        <w:rPr>
          <w:rFonts w:ascii="Arial" w:hAnsi="Arial" w:cs="Arial"/>
        </w:rPr>
        <w:t xml:space="preserve"> stricto sensu (première et deuxième parties</w:t>
      </w:r>
      <w:r w:rsidR="00526518">
        <w:rPr>
          <w:rFonts w:ascii="Arial" w:hAnsi="Arial" w:cs="Arial"/>
        </w:rPr>
        <w:t>),</w:t>
      </w:r>
      <w:r>
        <w:rPr>
          <w:rFonts w:ascii="Arial" w:hAnsi="Arial" w:cs="Arial"/>
        </w:rPr>
        <w:t xml:space="preserve"> les opérations des CDD et celles des CAS, et porte sur les trois exercices clôturés, à savoir 2012, 2013 et 2014.</w:t>
      </w:r>
      <w:r w:rsidRPr="00837F93">
        <w:rPr>
          <w:rFonts w:ascii="Arial" w:hAnsi="Arial" w:cs="Arial"/>
        </w:rPr>
        <w:t xml:space="preserve"> </w:t>
      </w:r>
      <w:r w:rsidR="00C525CF">
        <w:rPr>
          <w:rFonts w:ascii="Arial" w:hAnsi="Arial" w:cs="Arial"/>
        </w:rPr>
        <w:t>Pour la notation de certains indicateurs, l</w:t>
      </w:r>
      <w:r w:rsidR="00B42ED0">
        <w:rPr>
          <w:rFonts w:ascii="Arial" w:hAnsi="Arial" w:cs="Arial"/>
        </w:rPr>
        <w:t xml:space="preserve">a nouvelle méthodologie PEFA test de </w:t>
      </w:r>
      <w:r w:rsidR="00C525CF">
        <w:rPr>
          <w:rFonts w:ascii="Arial" w:hAnsi="Arial" w:cs="Arial"/>
        </w:rPr>
        <w:t>2015 a été pris en compte</w:t>
      </w:r>
      <w:r w:rsidR="00B42ED0">
        <w:rPr>
          <w:rFonts w:ascii="Arial" w:hAnsi="Arial" w:cs="Arial"/>
        </w:rPr>
        <w:t>. Par conséquent certains indicateurs spécifiques à l’Etat n’ont pas pu être évalués et sont notés non applicables.</w:t>
      </w:r>
    </w:p>
    <w:p w:rsidR="00961468" w:rsidRDefault="00961468" w:rsidP="00961468">
      <w:pPr>
        <w:jc w:val="both"/>
        <w:rPr>
          <w:rFonts w:ascii="Arial" w:hAnsi="Arial" w:cs="Arial"/>
          <w:color w:val="000000"/>
        </w:rPr>
      </w:pPr>
    </w:p>
    <w:p w:rsidR="00961468" w:rsidRPr="00A17E25" w:rsidRDefault="00961468" w:rsidP="00961468">
      <w:pPr>
        <w:jc w:val="both"/>
        <w:rPr>
          <w:rFonts w:ascii="Arial" w:hAnsi="Arial" w:cs="Arial"/>
          <w:color w:val="000000"/>
        </w:rPr>
      </w:pPr>
      <w:r w:rsidRPr="00A17E25">
        <w:rPr>
          <w:rFonts w:ascii="Arial" w:hAnsi="Arial" w:cs="Arial"/>
          <w:color w:val="000000"/>
        </w:rPr>
        <w:t xml:space="preserve">L’évaluation PEFA de la </w:t>
      </w:r>
      <w:r w:rsidR="00F86504">
        <w:rPr>
          <w:rFonts w:ascii="Arial" w:hAnsi="Arial" w:cs="Arial"/>
          <w:color w:val="000000"/>
        </w:rPr>
        <w:t>CC</w:t>
      </w:r>
      <w:r w:rsidRPr="00A17E25">
        <w:rPr>
          <w:rFonts w:ascii="Arial" w:hAnsi="Arial" w:cs="Arial"/>
          <w:color w:val="000000"/>
        </w:rPr>
        <w:t xml:space="preserve"> a été faite sur la base:</w:t>
      </w:r>
    </w:p>
    <w:p w:rsidR="00961468" w:rsidRPr="00A17E25" w:rsidRDefault="00961468" w:rsidP="00151AD3">
      <w:pPr>
        <w:pStyle w:val="ListParagraph"/>
        <w:numPr>
          <w:ilvl w:val="0"/>
          <w:numId w:val="9"/>
        </w:numPr>
        <w:jc w:val="both"/>
        <w:rPr>
          <w:rFonts w:ascii="Arial" w:hAnsi="Arial" w:cs="Arial"/>
          <w:color w:val="000000"/>
        </w:rPr>
      </w:pPr>
      <w:r w:rsidRPr="00A17E25">
        <w:rPr>
          <w:rFonts w:ascii="Arial" w:hAnsi="Arial" w:cs="Arial"/>
          <w:color w:val="000000"/>
        </w:rPr>
        <w:t>De la version de test du cadre de mesure de la performance de la gestion des finances publiques mise à jour en janvier 2015 par le Secrétariat PEFA ;</w:t>
      </w:r>
    </w:p>
    <w:p w:rsidR="00961468" w:rsidRPr="00A17E25" w:rsidRDefault="00961468" w:rsidP="00151AD3">
      <w:pPr>
        <w:pStyle w:val="ListParagraph"/>
        <w:numPr>
          <w:ilvl w:val="0"/>
          <w:numId w:val="9"/>
        </w:numPr>
        <w:jc w:val="both"/>
        <w:rPr>
          <w:rFonts w:ascii="Arial" w:hAnsi="Arial" w:cs="Arial"/>
          <w:i/>
          <w:color w:val="000000"/>
        </w:rPr>
      </w:pPr>
      <w:r w:rsidRPr="00A17E25">
        <w:rPr>
          <w:rFonts w:ascii="Arial" w:hAnsi="Arial" w:cs="Arial"/>
          <w:color w:val="000000"/>
        </w:rPr>
        <w:t xml:space="preserve">Du guide pour l’application  de la version de test du cadre PEFA 2015 </w:t>
      </w:r>
      <w:r w:rsidRPr="00A17E25">
        <w:rPr>
          <w:rFonts w:ascii="Arial" w:hAnsi="Arial" w:cs="Arial"/>
          <w:i/>
          <w:color w:val="000000"/>
        </w:rPr>
        <w:t>(Guidance for assessors for use with the testing version  dated january 2015) ;</w:t>
      </w:r>
    </w:p>
    <w:p w:rsidR="00961468" w:rsidRDefault="00961468" w:rsidP="00961468">
      <w:pPr>
        <w:jc w:val="both"/>
        <w:rPr>
          <w:rFonts w:ascii="Arial" w:hAnsi="Arial" w:cs="Arial"/>
        </w:rPr>
      </w:pPr>
    </w:p>
    <w:p w:rsidR="00961468" w:rsidRPr="00E46458" w:rsidRDefault="00961468" w:rsidP="00961468">
      <w:pPr>
        <w:jc w:val="both"/>
        <w:rPr>
          <w:rFonts w:ascii="Arial" w:hAnsi="Arial" w:cs="Arial"/>
        </w:rPr>
      </w:pPr>
      <w:r w:rsidRPr="00E46458">
        <w:rPr>
          <w:rFonts w:ascii="Arial" w:hAnsi="Arial" w:cs="Arial"/>
        </w:rPr>
        <w:t xml:space="preserve">Les </w:t>
      </w:r>
      <w:r>
        <w:rPr>
          <w:rFonts w:ascii="Arial" w:hAnsi="Arial" w:cs="Arial"/>
        </w:rPr>
        <w:t xml:space="preserve">experts ont fondé l’évaluation sur les </w:t>
      </w:r>
      <w:r w:rsidRPr="00E46458">
        <w:rPr>
          <w:rFonts w:ascii="Arial" w:hAnsi="Arial" w:cs="Arial"/>
        </w:rPr>
        <w:t>informations recueillies auprès de diverses structures de la Commune et des services déconcentrés de l’Etat impliqués dans la gestion financière de la Commune au cours des séances de travail organisées lors des deux missions de terrain. Ces informations ont été complétées par la revue des sources primaires (budgets, rapports d’exécution budgétaire en cours d’année, comptes administratifs, comptes de gestion, textes de lois etc.)</w:t>
      </w:r>
      <w:r w:rsidRPr="00E46458">
        <w:rPr>
          <w:rStyle w:val="FootnoteReference"/>
          <w:rFonts w:ascii="Arial" w:hAnsi="Arial" w:cs="Arial"/>
        </w:rPr>
        <w:footnoteReference w:id="5"/>
      </w:r>
      <w:r w:rsidRPr="00E46458">
        <w:rPr>
          <w:rFonts w:ascii="Arial" w:hAnsi="Arial" w:cs="Arial"/>
        </w:rPr>
        <w:t>. Les communications spécifiques des structures ont été utilisées et citées comme sources dans le rapport uniquement quand celles-ci n’étaient pas disponibles au niveau des sources primaires et secondaires. Dans ce cas et dans la mesure du possible, elles ont été corroborées par une communication d’une autre structure.</w:t>
      </w:r>
    </w:p>
    <w:p w:rsidR="0029572C" w:rsidRPr="00A17E25" w:rsidRDefault="0029572C" w:rsidP="00C525CF">
      <w:pPr>
        <w:pStyle w:val="ListParagraph"/>
        <w:jc w:val="both"/>
        <w:rPr>
          <w:rFonts w:ascii="Arial" w:hAnsi="Arial" w:cs="Arial"/>
          <w:color w:val="000000"/>
        </w:rPr>
      </w:pPr>
    </w:p>
    <w:p w:rsidR="008114D4" w:rsidRDefault="008114D4" w:rsidP="008114D4">
      <w:pPr>
        <w:jc w:val="both"/>
        <w:rPr>
          <w:rFonts w:ascii="Arial" w:hAnsi="Arial" w:cs="Arial"/>
        </w:rPr>
      </w:pPr>
      <w:r>
        <w:rPr>
          <w:rFonts w:ascii="Arial" w:hAnsi="Arial" w:cs="Arial"/>
        </w:rPr>
        <w:t>Un des défis majeurs de cette</w:t>
      </w:r>
      <w:r w:rsidRPr="008114D4">
        <w:rPr>
          <w:rFonts w:ascii="Arial" w:hAnsi="Arial" w:cs="Arial"/>
        </w:rPr>
        <w:t xml:space="preserve"> </w:t>
      </w:r>
      <w:r>
        <w:rPr>
          <w:rFonts w:ascii="Arial" w:hAnsi="Arial" w:cs="Arial"/>
        </w:rPr>
        <w:t>évaluation consiste dans la difficulté</w:t>
      </w:r>
      <w:r w:rsidRPr="008114D4">
        <w:rPr>
          <w:rFonts w:ascii="Arial" w:hAnsi="Arial" w:cs="Arial"/>
        </w:rPr>
        <w:t xml:space="preserve"> </w:t>
      </w:r>
      <w:r>
        <w:rPr>
          <w:rFonts w:ascii="Arial" w:hAnsi="Arial" w:cs="Arial"/>
        </w:rPr>
        <w:t xml:space="preserve">de </w:t>
      </w:r>
      <w:r w:rsidRPr="008114D4">
        <w:rPr>
          <w:rFonts w:ascii="Arial" w:hAnsi="Arial" w:cs="Arial"/>
        </w:rPr>
        <w:t xml:space="preserve">différencier adéquatement les caractéristiques de la performance nationale </w:t>
      </w:r>
      <w:r w:rsidR="00D774A0">
        <w:rPr>
          <w:rFonts w:ascii="Arial" w:hAnsi="Arial" w:cs="Arial"/>
        </w:rPr>
        <w:t xml:space="preserve">(notamment les aspects de planification et budgétisation fondées sur les politiques publiques) </w:t>
      </w:r>
      <w:r w:rsidRPr="008114D4">
        <w:rPr>
          <w:rFonts w:ascii="Arial" w:hAnsi="Arial" w:cs="Arial"/>
        </w:rPr>
        <w:t xml:space="preserve">de celles de la collectivité afin de mettre en avant les répercussions au niveau local du cadre réglementaire déterminé au niveau central. </w:t>
      </w:r>
    </w:p>
    <w:p w:rsidR="008114D4" w:rsidRPr="008114D4" w:rsidRDefault="008114D4" w:rsidP="008114D4">
      <w:pPr>
        <w:jc w:val="both"/>
        <w:rPr>
          <w:rFonts w:ascii="Arial" w:hAnsi="Arial" w:cs="Arial"/>
        </w:rPr>
      </w:pPr>
    </w:p>
    <w:p w:rsidR="008114D4" w:rsidRPr="008114D4" w:rsidRDefault="008114D4" w:rsidP="008114D4">
      <w:pPr>
        <w:jc w:val="both"/>
        <w:rPr>
          <w:rFonts w:ascii="Arial" w:hAnsi="Arial" w:cs="Arial"/>
        </w:rPr>
      </w:pPr>
      <w:r>
        <w:rPr>
          <w:rFonts w:ascii="Arial" w:hAnsi="Arial" w:cs="Arial"/>
        </w:rPr>
        <w:t>Par ailleurs, le timing de l’évaluation a coïncidé avec l’adoption d</w:t>
      </w:r>
      <w:r w:rsidRPr="008114D4">
        <w:rPr>
          <w:rFonts w:ascii="Arial" w:hAnsi="Arial" w:cs="Arial"/>
        </w:rPr>
        <w:t xml:space="preserve">es nouvelles dispositions des lois organiques adoptées en 2015 </w:t>
      </w:r>
      <w:r>
        <w:rPr>
          <w:rFonts w:ascii="Arial" w:hAnsi="Arial" w:cs="Arial"/>
        </w:rPr>
        <w:t xml:space="preserve">qui </w:t>
      </w:r>
      <w:r w:rsidRPr="008114D4">
        <w:rPr>
          <w:rFonts w:ascii="Arial" w:hAnsi="Arial" w:cs="Arial"/>
        </w:rPr>
        <w:t>visent le renforcement de la démocratie locale, l'élargissement du rôle des collectivités territoriales dans le développement, la conception de mécanismes de renforcement de la participation dans la gestion de la chose locale, l'efficacité dans la gestion locale et la mise en œuvre des principes et règles de la bonne gouvernance</w:t>
      </w:r>
      <w:r>
        <w:rPr>
          <w:rFonts w:ascii="Arial" w:hAnsi="Arial" w:cs="Arial"/>
        </w:rPr>
        <w:t>. Cependant</w:t>
      </w:r>
      <w:r w:rsidRPr="008114D4">
        <w:rPr>
          <w:rFonts w:ascii="Arial" w:hAnsi="Arial" w:cs="Arial"/>
        </w:rPr>
        <w:t xml:space="preserve">, pour la période d’analyse considérée pour ce diagnostic (essentiellement 2012-2014), certaines réformes majeures en cours dans lesquelles s’est engagée la commune </w:t>
      </w:r>
      <w:r>
        <w:rPr>
          <w:rFonts w:ascii="Arial" w:hAnsi="Arial" w:cs="Arial"/>
        </w:rPr>
        <w:t xml:space="preserve">ont été </w:t>
      </w:r>
      <w:r w:rsidR="001F1FFB">
        <w:rPr>
          <w:rFonts w:ascii="Arial" w:hAnsi="Arial" w:cs="Arial"/>
        </w:rPr>
        <w:t>mentionnées</w:t>
      </w:r>
      <w:r>
        <w:rPr>
          <w:rFonts w:ascii="Arial" w:hAnsi="Arial" w:cs="Arial"/>
        </w:rPr>
        <w:t xml:space="preserve"> dans le rapport mais </w:t>
      </w:r>
      <w:r w:rsidRPr="008114D4">
        <w:rPr>
          <w:rFonts w:ascii="Arial" w:hAnsi="Arial" w:cs="Arial"/>
        </w:rPr>
        <w:t>n’ont pu être prises en compte</w:t>
      </w:r>
      <w:r>
        <w:rPr>
          <w:rFonts w:ascii="Arial" w:hAnsi="Arial" w:cs="Arial"/>
        </w:rPr>
        <w:t xml:space="preserve"> dans l’évaluation des indicateurs.</w:t>
      </w:r>
    </w:p>
    <w:p w:rsidR="0070479E" w:rsidRPr="00A17E25" w:rsidRDefault="0070479E" w:rsidP="0070479E">
      <w:pPr>
        <w:jc w:val="both"/>
        <w:rPr>
          <w:rFonts w:ascii="Arial" w:hAnsi="Arial" w:cs="Arial"/>
          <w:b/>
          <w:i/>
        </w:rPr>
      </w:pPr>
    </w:p>
    <w:p w:rsidR="0070479E" w:rsidRPr="00CA09F7" w:rsidRDefault="0070479E" w:rsidP="00CC3ED7">
      <w:pPr>
        <w:pStyle w:val="Heading1"/>
        <w:rPr>
          <w:color w:val="0070C0"/>
        </w:rPr>
      </w:pPr>
      <w:bookmarkStart w:id="72" w:name="_Toc260257256"/>
      <w:bookmarkStart w:id="73" w:name="_Toc412839426"/>
      <w:bookmarkStart w:id="74" w:name="_Toc434916097"/>
      <w:bookmarkStart w:id="75" w:name="_Toc434918311"/>
      <w:r w:rsidRPr="00CA09F7">
        <w:rPr>
          <w:color w:val="0070C0"/>
        </w:rPr>
        <w:t>2. Informations générales sur le Maroc et sur la Commune  d</w:t>
      </w:r>
      <w:bookmarkEnd w:id="72"/>
      <w:bookmarkEnd w:id="73"/>
      <w:r w:rsidRPr="00CA09F7">
        <w:rPr>
          <w:color w:val="0070C0"/>
        </w:rPr>
        <w:t>e Casablanca</w:t>
      </w:r>
      <w:bookmarkEnd w:id="74"/>
      <w:bookmarkEnd w:id="75"/>
    </w:p>
    <w:p w:rsidR="0070479E" w:rsidRPr="00B75A7F" w:rsidRDefault="0070479E" w:rsidP="00370022">
      <w:pPr>
        <w:pStyle w:val="Heading2"/>
        <w:rPr>
          <w:i w:val="0"/>
          <w:color w:val="0070C0"/>
        </w:rPr>
      </w:pPr>
      <w:bookmarkStart w:id="76" w:name="_Toc412839427"/>
      <w:bookmarkStart w:id="77" w:name="_Toc434916098"/>
      <w:bookmarkStart w:id="78" w:name="_Toc434918312"/>
      <w:r w:rsidRPr="00B75A7F">
        <w:rPr>
          <w:i w:val="0"/>
          <w:color w:val="0070C0"/>
        </w:rPr>
        <w:t xml:space="preserve">2.1 Description de la situation économique nationale et du contexte de la </w:t>
      </w:r>
      <w:bookmarkEnd w:id="76"/>
      <w:bookmarkEnd w:id="77"/>
      <w:bookmarkEnd w:id="78"/>
      <w:r w:rsidR="00F86504" w:rsidRPr="00B75A7F">
        <w:rPr>
          <w:i w:val="0"/>
          <w:color w:val="0070C0"/>
        </w:rPr>
        <w:t>CC</w:t>
      </w:r>
    </w:p>
    <w:p w:rsidR="0070479E" w:rsidRPr="00A17E25" w:rsidRDefault="0070479E" w:rsidP="0070479E">
      <w:pPr>
        <w:pStyle w:val="NormalWeb"/>
        <w:jc w:val="both"/>
        <w:rPr>
          <w:rFonts w:ascii="Arial" w:hAnsi="Arial" w:cs="Arial"/>
          <w:b/>
          <w:i/>
        </w:rPr>
      </w:pPr>
      <w:r w:rsidRPr="00A17E25">
        <w:rPr>
          <w:rFonts w:ascii="Arial" w:hAnsi="Arial" w:cs="Arial"/>
          <w:b/>
          <w:i/>
        </w:rPr>
        <w:t>Le contexte économique général du Maroc</w:t>
      </w:r>
    </w:p>
    <w:p w:rsidR="0070479E" w:rsidRPr="00A17E25" w:rsidRDefault="0070479E" w:rsidP="0070479E">
      <w:pPr>
        <w:pStyle w:val="ListParagraph"/>
        <w:ind w:left="0"/>
        <w:jc w:val="both"/>
        <w:rPr>
          <w:rFonts w:ascii="Arial" w:hAnsi="Arial" w:cs="Arial"/>
        </w:rPr>
      </w:pPr>
      <w:bookmarkStart w:id="79" w:name="_Toc387913654"/>
      <w:r w:rsidRPr="00A17E25">
        <w:rPr>
          <w:rFonts w:ascii="Arial" w:hAnsi="Arial" w:cs="Arial"/>
        </w:rPr>
        <w:t>Le Maroc a réalisé des progrès majeurs en matière de développement économique et social au cours des 15 dernières années (2000-2015). Le Maroc est parvenu à enregistrer une croissance notable du revenu par habitant et à préserver sa stabilité politique, ce qui à son tour a permis d'améliorer sensiblement de nombreux indicateurs sociaux. Le revenu réel par habitant du Maroc a presque doublé depuis la situation de stagnation des années 1990. Le taux de pauvreté a été réduit de moitié à deux reprises au cours de la période. Quant au taux moyen d'alphabétisation chez les adultes, il a plus que doublé, alors que l'espérance de vie des Marocains à la naissance dépasse désormais 70 ans. Cette performance est principalement due à la mise en œuvre de politiques macroéconomiques saines ainsi que de réformes structurelles.</w:t>
      </w:r>
    </w:p>
    <w:p w:rsidR="0070479E" w:rsidRPr="00A17E25" w:rsidRDefault="0070479E" w:rsidP="0070479E">
      <w:pPr>
        <w:pStyle w:val="ListParagraph"/>
        <w:ind w:left="0"/>
        <w:jc w:val="both"/>
        <w:rPr>
          <w:rFonts w:ascii="Arial" w:hAnsi="Arial" w:cs="Arial"/>
          <w:b/>
          <w:color w:val="000000"/>
        </w:rPr>
      </w:pPr>
    </w:p>
    <w:p w:rsidR="0070479E" w:rsidRDefault="0070479E" w:rsidP="0070479E">
      <w:pPr>
        <w:pStyle w:val="ListParagraph"/>
        <w:ind w:left="0"/>
        <w:jc w:val="both"/>
        <w:rPr>
          <w:rFonts w:ascii="Arial" w:hAnsi="Arial" w:cs="Arial"/>
        </w:rPr>
      </w:pPr>
      <w:r w:rsidRPr="00A17E25">
        <w:rPr>
          <w:rFonts w:ascii="Arial" w:hAnsi="Arial" w:cs="Arial"/>
        </w:rPr>
        <w:t>En réponse aux tendances de détérioration budgétaires,</w:t>
      </w:r>
      <w:r w:rsidR="001640C4">
        <w:rPr>
          <w:rFonts w:ascii="Arial" w:hAnsi="Arial" w:cs="Arial"/>
        </w:rPr>
        <w:t xml:space="preserve"> dans un contexte internationale défavorable,</w:t>
      </w:r>
      <w:r w:rsidRPr="00A17E25">
        <w:rPr>
          <w:rFonts w:ascii="Arial" w:hAnsi="Arial" w:cs="Arial"/>
        </w:rPr>
        <w:t xml:space="preserve"> le Gouvernement a lancé la réforme du système de subvention et a commencé à maîtriser les autres dépenses de fonctionnement, tout en consolidant les recettes fiscales. L'équilibre budgétaire du Maroc est passé d'un excédent de 0,4 pourcent du PIB en 2008 au plus haut déficit enregistré en deux décennies, à savoir 7,4 pourcent du PIB en 2012. Cependant, l'activation d'un mécanisme d'indexation des prix des carburants a contribué à réduire les subventions de 24 pourcent (soit presque 2 points de pourcentage du PIB). La mise en œuvre complète du mécanisme d'indexation du prix des carburants a permis de réduire davantage les subventions de 19,6 pourcent (soit 1 point de pourcentage du PIB) au cours de 2014. </w:t>
      </w:r>
    </w:p>
    <w:p w:rsidR="001640C4" w:rsidRPr="00A17E25" w:rsidRDefault="001640C4" w:rsidP="0070479E">
      <w:pPr>
        <w:pStyle w:val="ListParagraph"/>
        <w:ind w:left="0"/>
        <w:jc w:val="both"/>
        <w:rPr>
          <w:rFonts w:ascii="Arial" w:hAnsi="Arial" w:cs="Arial"/>
        </w:rPr>
      </w:pPr>
    </w:p>
    <w:p w:rsidR="0070479E" w:rsidRPr="00A17E25" w:rsidRDefault="0070479E" w:rsidP="0070479E">
      <w:pPr>
        <w:pStyle w:val="ListParagraph"/>
        <w:ind w:left="0"/>
        <w:jc w:val="both"/>
        <w:rPr>
          <w:rFonts w:ascii="Arial" w:hAnsi="Arial" w:cs="Arial"/>
        </w:rPr>
      </w:pPr>
      <w:r w:rsidRPr="00A17E25">
        <w:rPr>
          <w:rFonts w:ascii="Arial" w:hAnsi="Arial" w:cs="Arial"/>
        </w:rPr>
        <w:t xml:space="preserve">Les mesures de consolidation budgétaire ont également permis de limiter l’augmentation de la masse salariale de 2,2 pourcent par le gel des salaires les plus élevés et la limitation des recrutements de fonctionnaires. Les mesures de consolidation fiscale sont également passées par l'amélioration du recouvrement de l'impôt, par l'extension de l’assiette fiscale, l'harmonisation des taux d'imposition et la lutte contre l'évasion fiscale. Dans ce contexte, et aussi grâce à l'augmentation des dons en capital des pays du Conseil de Coopération du Golfe (CCG), les besoins de financement du Gouvernement ont considérablement diminué par rapport à la période 2012-2013. </w:t>
      </w:r>
    </w:p>
    <w:p w:rsidR="0070479E" w:rsidRPr="00A17E25" w:rsidRDefault="0070479E" w:rsidP="0070479E">
      <w:pPr>
        <w:pStyle w:val="ListParagraph"/>
        <w:ind w:left="0"/>
        <w:jc w:val="both"/>
        <w:rPr>
          <w:rFonts w:ascii="Arial" w:hAnsi="Arial" w:cs="Arial"/>
        </w:rPr>
      </w:pPr>
    </w:p>
    <w:p w:rsidR="0070479E" w:rsidRPr="00A17E25" w:rsidRDefault="0070479E" w:rsidP="0070479E">
      <w:pPr>
        <w:pStyle w:val="ListParagraph"/>
        <w:ind w:left="0"/>
        <w:jc w:val="both"/>
        <w:rPr>
          <w:rFonts w:ascii="Arial" w:hAnsi="Arial" w:cs="Arial"/>
        </w:rPr>
      </w:pPr>
      <w:r w:rsidRPr="00A17E25">
        <w:rPr>
          <w:rFonts w:ascii="Arial" w:hAnsi="Arial" w:cs="Arial"/>
        </w:rPr>
        <w:t xml:space="preserve">Reflétant la rigueur budgétaire, les indicateurs de la balance des paiements se sont améliorés depuis 2013. Après avoir constamment augmenté depuis 2007 pour atteindre 7% pourcent du PIB en 2012, le déficit budgétaire a été réduit. </w:t>
      </w:r>
    </w:p>
    <w:p w:rsidR="0070479E" w:rsidRPr="00A17E25" w:rsidRDefault="0070479E" w:rsidP="0070479E">
      <w:pPr>
        <w:pStyle w:val="ListParagraph"/>
        <w:ind w:left="0"/>
        <w:jc w:val="both"/>
        <w:rPr>
          <w:rFonts w:ascii="Arial" w:hAnsi="Arial" w:cs="Arial"/>
        </w:rPr>
      </w:pPr>
    </w:p>
    <w:bookmarkEnd w:id="79"/>
    <w:p w:rsidR="0070479E" w:rsidRPr="00A17E25" w:rsidRDefault="0070479E" w:rsidP="0070479E">
      <w:pPr>
        <w:pStyle w:val="ListParagraph"/>
        <w:ind w:left="0"/>
        <w:jc w:val="both"/>
        <w:rPr>
          <w:rFonts w:ascii="Arial" w:hAnsi="Arial" w:cs="Arial"/>
          <w:color w:val="000000"/>
        </w:rPr>
      </w:pPr>
      <w:r w:rsidRPr="00A17E25">
        <w:rPr>
          <w:rFonts w:ascii="Arial" w:hAnsi="Arial" w:cs="Arial"/>
          <w:color w:val="000000"/>
        </w:rPr>
        <w:t xml:space="preserve">Les perspectives à court et moyen termes continueront de dépendre de la poursuite de politiques macroéconomiques saines, y compris une consolidation budgétaire robuste, une politique monétaire prudente et une plus grande flexibilité dans la gestion des taux de change. En conformité avec la nouvelle exigence constitutionnelle, le Gouvernement est déterminé à stabiliser le budget et réduire progressivement le déficit budgétaire à un objectif à moyen terme de 3 pourcent du PIB d'ici 2017 grâce à la mise en œuvre d'un ensemble de réformes. Les principales mesures comprennent : (i) la poursuite de la réforme du système de subvention universelle ; (ii) la mise en œuvre de la réforme de la fonction publique, notamment par l'introduction d'un plafond sur les dépenses de salaires et d’un nouveau système de rémunération ; (iii) l'accélération de la réforme fiscale et de la réforme des retraites ; et (iv) l’amélioration de l'efficacité des investissements publics. La Loi de finances pour 2015 a confirmé la stratégie du Gouvernement de poursuivre la réforme du système de subventions et de lancer les réformes de la retraite et du système fiscal.  La Banque Centrale a également annoncé l'an dernier son intention d'adopter un mécanisme de taux de change plus flexible au cours des trois prochaines années.  </w:t>
      </w:r>
    </w:p>
    <w:p w:rsidR="0070479E" w:rsidRPr="00A17E25" w:rsidRDefault="0070479E" w:rsidP="0070479E">
      <w:pPr>
        <w:pStyle w:val="ListParagraph"/>
        <w:ind w:left="0"/>
        <w:jc w:val="both"/>
        <w:rPr>
          <w:rFonts w:ascii="Arial" w:hAnsi="Arial" w:cs="Arial"/>
        </w:rPr>
      </w:pPr>
    </w:p>
    <w:p w:rsidR="0070479E" w:rsidRPr="00A17E25" w:rsidRDefault="0070479E" w:rsidP="0070479E">
      <w:pPr>
        <w:pStyle w:val="ListParagraph"/>
        <w:ind w:left="0"/>
        <w:jc w:val="both"/>
        <w:rPr>
          <w:rFonts w:ascii="Arial" w:hAnsi="Arial" w:cs="Arial"/>
          <w:color w:val="000000"/>
        </w:rPr>
      </w:pPr>
      <w:r w:rsidRPr="00A17E25">
        <w:rPr>
          <w:rFonts w:ascii="Arial" w:hAnsi="Arial" w:cs="Arial"/>
          <w:color w:val="000000"/>
        </w:rPr>
        <w:t>Lorsqu’il a achevé la troisième et dernière revue de la LPL (</w:t>
      </w:r>
      <w:r w:rsidRPr="00A17E25">
        <w:rPr>
          <w:rFonts w:ascii="Arial" w:hAnsi="Arial" w:cs="Arial"/>
        </w:rPr>
        <w:t>ligne de crédits de précaution et de liquidités)</w:t>
      </w:r>
      <w:r w:rsidRPr="00A17E25">
        <w:rPr>
          <w:rFonts w:ascii="Arial" w:hAnsi="Arial" w:cs="Arial"/>
          <w:color w:val="000000"/>
        </w:rPr>
        <w:t xml:space="preserve"> en janvier 2014, le FMI a constaté que, malgré l'environnement extérieur </w:t>
      </w:r>
      <w:r w:rsidRPr="00A17E25">
        <w:rPr>
          <w:rFonts w:ascii="Arial" w:hAnsi="Arial" w:cs="Arial"/>
        </w:rPr>
        <w:t>défavorable et les conditions intérieures difficiles, la performance macroéconomique du Maroc s’est améliorée en 2013, soutenue par des engagements forts en matière de politique et de mise en œuvre, ainsi que par la garantie fournie par la LPL.  Le 28 juillet 2014, le FMI a approuvé un nouvel accord de 24 mois pour le Maroc dans le cadre de la LPL pour un mo</w:t>
      </w:r>
      <w:r w:rsidRPr="00A17E25">
        <w:rPr>
          <w:rFonts w:ascii="Arial" w:hAnsi="Arial" w:cs="Arial"/>
          <w:color w:val="000000"/>
        </w:rPr>
        <w:t>ntant équivalent à 3,2 milliards de DTS (environ 5 milliards de dollars US). Le FMI a constaté que le Maroc a réussi à stabiliser l'économie et à améliorer les principaux indicateurs macroéconomiques et budgétaires grâce à " la solidité des fondamentaux économiques et d’une mise en œuvre solide des politiques ".</w:t>
      </w:r>
    </w:p>
    <w:p w:rsidR="0070479E" w:rsidRPr="00A17E25" w:rsidRDefault="0070479E" w:rsidP="0070479E">
      <w:pPr>
        <w:pStyle w:val="ListParagraph"/>
        <w:ind w:left="0"/>
        <w:jc w:val="both"/>
        <w:rPr>
          <w:rFonts w:ascii="Arial" w:hAnsi="Arial" w:cs="Arial"/>
          <w:color w:val="000000"/>
        </w:rPr>
      </w:pPr>
    </w:p>
    <w:p w:rsidR="0070479E" w:rsidRPr="00A17E25" w:rsidRDefault="0070479E" w:rsidP="0070479E">
      <w:pPr>
        <w:autoSpaceDE w:val="0"/>
        <w:autoSpaceDN w:val="0"/>
        <w:adjustRightInd w:val="0"/>
        <w:jc w:val="both"/>
        <w:rPr>
          <w:rFonts w:ascii="Arial" w:hAnsi="Arial" w:cs="Arial"/>
          <w:color w:val="000000"/>
        </w:rPr>
      </w:pPr>
      <w:r w:rsidRPr="00A17E25">
        <w:rPr>
          <w:rFonts w:ascii="Arial" w:hAnsi="Arial" w:cs="Arial"/>
          <w:color w:val="000000"/>
        </w:rPr>
        <w:t>L’exécution de la loi de finances de 2014, fait ressortir les principales évolutions ci-après :</w:t>
      </w:r>
    </w:p>
    <w:p w:rsidR="0070479E" w:rsidRPr="00A17E25" w:rsidRDefault="0070479E" w:rsidP="00151AD3">
      <w:pPr>
        <w:pStyle w:val="ListParagraph"/>
        <w:numPr>
          <w:ilvl w:val="0"/>
          <w:numId w:val="66"/>
        </w:numPr>
        <w:autoSpaceDE w:val="0"/>
        <w:autoSpaceDN w:val="0"/>
        <w:adjustRightInd w:val="0"/>
        <w:contextualSpacing/>
        <w:jc w:val="both"/>
        <w:rPr>
          <w:rFonts w:ascii="Arial" w:hAnsi="Arial" w:cs="Arial"/>
          <w:color w:val="000000"/>
        </w:rPr>
      </w:pPr>
      <w:r w:rsidRPr="00A17E25">
        <w:rPr>
          <w:rFonts w:ascii="Arial" w:hAnsi="Arial" w:cs="Arial"/>
          <w:color w:val="000000"/>
        </w:rPr>
        <w:t>Une augmentation des recettes ordinaires de 0,7% par rapport à l’année précédente provenant essentiellement de :</w:t>
      </w:r>
    </w:p>
    <w:p w:rsidR="0070479E" w:rsidRPr="00A17E25" w:rsidRDefault="0070479E" w:rsidP="00151AD3">
      <w:pPr>
        <w:pStyle w:val="ListParagraph"/>
        <w:numPr>
          <w:ilvl w:val="1"/>
          <w:numId w:val="67"/>
        </w:numPr>
        <w:autoSpaceDE w:val="0"/>
        <w:autoSpaceDN w:val="0"/>
        <w:adjustRightInd w:val="0"/>
        <w:jc w:val="both"/>
        <w:rPr>
          <w:rFonts w:ascii="Arial" w:hAnsi="Arial" w:cs="Arial"/>
          <w:color w:val="000000"/>
        </w:rPr>
      </w:pPr>
      <w:r w:rsidRPr="00A17E25">
        <w:rPr>
          <w:rFonts w:ascii="Arial" w:hAnsi="Arial" w:cs="Arial"/>
          <w:color w:val="000000"/>
        </w:rPr>
        <w:t>la hausse des recettes douanières de 1,3%,</w:t>
      </w:r>
    </w:p>
    <w:p w:rsidR="0070479E" w:rsidRPr="00A17E25" w:rsidRDefault="0070479E" w:rsidP="00151AD3">
      <w:pPr>
        <w:pStyle w:val="ListParagraph"/>
        <w:numPr>
          <w:ilvl w:val="1"/>
          <w:numId w:val="67"/>
        </w:numPr>
        <w:autoSpaceDE w:val="0"/>
        <w:autoSpaceDN w:val="0"/>
        <w:adjustRightInd w:val="0"/>
        <w:jc w:val="both"/>
        <w:rPr>
          <w:rFonts w:ascii="Arial" w:hAnsi="Arial" w:cs="Arial"/>
          <w:color w:val="000000"/>
        </w:rPr>
      </w:pPr>
      <w:r w:rsidRPr="00A17E25">
        <w:rPr>
          <w:rFonts w:ascii="Arial" w:hAnsi="Arial" w:cs="Arial"/>
          <w:color w:val="000000"/>
        </w:rPr>
        <w:t xml:space="preserve">la hausse de 2% de la fiscalité domestique, </w:t>
      </w:r>
    </w:p>
    <w:p w:rsidR="0070479E" w:rsidRPr="00A17E25" w:rsidRDefault="0070479E" w:rsidP="00151AD3">
      <w:pPr>
        <w:pStyle w:val="ListParagraph"/>
        <w:numPr>
          <w:ilvl w:val="1"/>
          <w:numId w:val="67"/>
        </w:numPr>
        <w:autoSpaceDE w:val="0"/>
        <w:autoSpaceDN w:val="0"/>
        <w:adjustRightInd w:val="0"/>
        <w:jc w:val="both"/>
        <w:rPr>
          <w:rFonts w:ascii="Arial" w:hAnsi="Arial" w:cs="Arial"/>
          <w:color w:val="000000"/>
        </w:rPr>
      </w:pPr>
      <w:r w:rsidRPr="00A17E25">
        <w:rPr>
          <w:rFonts w:ascii="Arial" w:hAnsi="Arial" w:cs="Arial"/>
          <w:color w:val="000000"/>
        </w:rPr>
        <w:t xml:space="preserve">la diminution de 7,1% des recettes non fiscales qui résulte en grande partie de la baisse des recettes de monopole (9,8 MMDH contre 13,3 MMDH) et des fonds de concours (2,5 MMDH contre 4,4 MMDH). </w:t>
      </w:r>
    </w:p>
    <w:p w:rsidR="0070479E" w:rsidRPr="00A17E25" w:rsidRDefault="0070479E" w:rsidP="0070479E">
      <w:pPr>
        <w:pStyle w:val="ListParagraph"/>
        <w:autoSpaceDE w:val="0"/>
        <w:autoSpaceDN w:val="0"/>
        <w:adjustRightInd w:val="0"/>
        <w:ind w:left="1440"/>
        <w:jc w:val="both"/>
        <w:rPr>
          <w:rFonts w:ascii="Arial" w:hAnsi="Arial" w:cs="Arial"/>
          <w:color w:val="000000"/>
        </w:rPr>
      </w:pPr>
    </w:p>
    <w:p w:rsidR="0070479E" w:rsidRPr="00A17E25" w:rsidRDefault="0070479E" w:rsidP="00151AD3">
      <w:pPr>
        <w:pStyle w:val="ListParagraph"/>
        <w:numPr>
          <w:ilvl w:val="0"/>
          <w:numId w:val="66"/>
        </w:numPr>
        <w:autoSpaceDE w:val="0"/>
        <w:autoSpaceDN w:val="0"/>
        <w:adjustRightInd w:val="0"/>
        <w:contextualSpacing/>
        <w:jc w:val="both"/>
        <w:rPr>
          <w:rFonts w:ascii="Arial" w:hAnsi="Arial" w:cs="Arial"/>
          <w:color w:val="000000"/>
        </w:rPr>
      </w:pPr>
      <w:r w:rsidRPr="00A17E25">
        <w:rPr>
          <w:rFonts w:ascii="Arial" w:hAnsi="Arial" w:cs="Arial"/>
          <w:color w:val="000000"/>
        </w:rPr>
        <w:t>Des dépenses ordinaires émises, en hausse de 0,3%, résultant de l’augmentation de 2,6% des dépenses de personnel, de 16,4% des dépenses des autres biens et services et de 10,7% des charges en intérêts de la dette, conjuguée à la baisse de 24,7% des émissions de la compensation (37,2 MMDH contre 49,5 MMDH).</w:t>
      </w:r>
    </w:p>
    <w:p w:rsidR="0070479E" w:rsidRPr="00A17E25" w:rsidRDefault="0070479E" w:rsidP="00151AD3">
      <w:pPr>
        <w:pStyle w:val="ListParagraph"/>
        <w:numPr>
          <w:ilvl w:val="0"/>
          <w:numId w:val="66"/>
        </w:numPr>
        <w:autoSpaceDE w:val="0"/>
        <w:autoSpaceDN w:val="0"/>
        <w:adjustRightInd w:val="0"/>
        <w:contextualSpacing/>
        <w:jc w:val="both"/>
        <w:rPr>
          <w:rFonts w:ascii="Arial" w:hAnsi="Arial" w:cs="Arial"/>
          <w:color w:val="000000"/>
        </w:rPr>
      </w:pPr>
      <w:r w:rsidRPr="00A17E25">
        <w:rPr>
          <w:rFonts w:ascii="Arial" w:hAnsi="Arial" w:cs="Arial"/>
          <w:color w:val="000000"/>
        </w:rPr>
        <w:t>Des dépenses d’investissement émises en hausse de 14%, passant de 45,3 MMDH à fin décembre 2013 à 51,6 MMDH à fin décembre 2014.</w:t>
      </w:r>
    </w:p>
    <w:p w:rsidR="0070479E" w:rsidRPr="00A17E25" w:rsidRDefault="0070479E" w:rsidP="0070479E">
      <w:pPr>
        <w:pStyle w:val="ListParagraph"/>
        <w:autoSpaceDE w:val="0"/>
        <w:autoSpaceDN w:val="0"/>
        <w:adjustRightInd w:val="0"/>
        <w:jc w:val="both"/>
        <w:rPr>
          <w:rFonts w:ascii="Arial" w:hAnsi="Arial" w:cs="Arial"/>
          <w:color w:val="000000"/>
        </w:rPr>
      </w:pPr>
    </w:p>
    <w:p w:rsidR="0070479E" w:rsidRPr="00A17E25" w:rsidRDefault="0070479E" w:rsidP="0070479E">
      <w:pPr>
        <w:autoSpaceDE w:val="0"/>
        <w:autoSpaceDN w:val="0"/>
        <w:adjustRightInd w:val="0"/>
        <w:jc w:val="both"/>
        <w:rPr>
          <w:rFonts w:ascii="Arial" w:hAnsi="Arial" w:cs="Arial"/>
          <w:color w:val="000000"/>
        </w:rPr>
      </w:pPr>
      <w:r w:rsidRPr="00A17E25">
        <w:rPr>
          <w:rFonts w:ascii="Arial" w:hAnsi="Arial" w:cs="Arial"/>
          <w:color w:val="000000"/>
        </w:rPr>
        <w:t>Sur cette base, l’exécution de la loi de finances fait ressortir :</w:t>
      </w:r>
    </w:p>
    <w:p w:rsidR="0070479E" w:rsidRPr="00A17E25" w:rsidRDefault="0070479E" w:rsidP="00151AD3">
      <w:pPr>
        <w:pStyle w:val="ListParagraph"/>
        <w:numPr>
          <w:ilvl w:val="1"/>
          <w:numId w:val="67"/>
        </w:numPr>
        <w:autoSpaceDE w:val="0"/>
        <w:autoSpaceDN w:val="0"/>
        <w:adjustRightInd w:val="0"/>
        <w:jc w:val="both"/>
        <w:rPr>
          <w:rFonts w:ascii="Arial" w:hAnsi="Arial" w:cs="Arial"/>
          <w:color w:val="000000"/>
        </w:rPr>
      </w:pPr>
      <w:r w:rsidRPr="00A17E25">
        <w:rPr>
          <w:rFonts w:ascii="Arial" w:hAnsi="Arial" w:cs="Arial"/>
          <w:color w:val="000000"/>
        </w:rPr>
        <w:t>un solde ordinaire négatif de 16 MMDH contre un solde négatif de 16,9 MMDH un an auparavant,</w:t>
      </w:r>
    </w:p>
    <w:p w:rsidR="0070479E" w:rsidRPr="00A17E25" w:rsidRDefault="0070479E" w:rsidP="00151AD3">
      <w:pPr>
        <w:pStyle w:val="ListParagraph"/>
        <w:numPr>
          <w:ilvl w:val="1"/>
          <w:numId w:val="67"/>
        </w:numPr>
        <w:autoSpaceDE w:val="0"/>
        <w:autoSpaceDN w:val="0"/>
        <w:adjustRightInd w:val="0"/>
        <w:jc w:val="both"/>
        <w:rPr>
          <w:rFonts w:ascii="Arial" w:hAnsi="Arial" w:cs="Arial"/>
          <w:color w:val="000000"/>
        </w:rPr>
      </w:pPr>
      <w:r w:rsidRPr="00A17E25">
        <w:rPr>
          <w:rFonts w:ascii="Arial" w:hAnsi="Arial" w:cs="Arial"/>
          <w:color w:val="000000"/>
        </w:rPr>
        <w:t xml:space="preserve">un déficit du Trésor de 49 MMDH contre un déficit du Trésor de 50 MMDH à fin décembre 2013.  </w:t>
      </w:r>
    </w:p>
    <w:p w:rsidR="009D1111" w:rsidRDefault="009D1111" w:rsidP="0070479E">
      <w:pPr>
        <w:spacing w:after="200" w:line="276" w:lineRule="auto"/>
        <w:rPr>
          <w:rFonts w:ascii="Arial" w:hAnsi="Arial" w:cs="Arial"/>
          <w:b/>
          <w:bCs/>
          <w:i/>
          <w:iCs/>
        </w:rPr>
      </w:pPr>
    </w:p>
    <w:p w:rsidR="0070479E" w:rsidRPr="00A17E25" w:rsidRDefault="0070479E" w:rsidP="0070479E">
      <w:pPr>
        <w:spacing w:after="200" w:line="276" w:lineRule="auto"/>
        <w:rPr>
          <w:rFonts w:ascii="Arial" w:hAnsi="Arial" w:cs="Arial"/>
          <w:b/>
          <w:bCs/>
          <w:i/>
          <w:iCs/>
        </w:rPr>
      </w:pPr>
      <w:r w:rsidRPr="00A17E25">
        <w:rPr>
          <w:rFonts w:ascii="Arial" w:hAnsi="Arial" w:cs="Arial"/>
          <w:b/>
          <w:bCs/>
          <w:i/>
          <w:iCs/>
        </w:rPr>
        <w:t>Le contexte politique général du Maroc</w:t>
      </w:r>
    </w:p>
    <w:p w:rsidR="0070479E" w:rsidRPr="00A17E25" w:rsidRDefault="0070479E" w:rsidP="0070479E">
      <w:pPr>
        <w:suppressAutoHyphens/>
        <w:jc w:val="both"/>
        <w:rPr>
          <w:rFonts w:ascii="Arial" w:hAnsi="Arial" w:cs="Arial"/>
        </w:rPr>
      </w:pPr>
      <w:r w:rsidRPr="00A17E25">
        <w:rPr>
          <w:rFonts w:ascii="Arial" w:hAnsi="Arial" w:cs="Arial"/>
        </w:rPr>
        <w:t>Dans le contexte des événements historiques qui ont balayé la région du Moyen-Orient et de l’Afrique du Nord au début de l’année 2011, le Maroc a engagé d’importants changements aux plans politique et social. Parmi ces initiatives figurent notamment le lancement par le roi Mohammed VI de la rédaction d’une nouvelle Constitution et la préparation d’une vaste série de réformes pour répondre aux revendications populaires en faveur d’une meilleure gouvernance et de l’amélioration des perspectives économiques.</w:t>
      </w:r>
    </w:p>
    <w:p w:rsidR="0070479E" w:rsidRPr="00A17E25" w:rsidRDefault="0070479E" w:rsidP="0070479E">
      <w:pPr>
        <w:suppressAutoHyphens/>
        <w:jc w:val="both"/>
        <w:rPr>
          <w:rFonts w:ascii="Arial" w:hAnsi="Arial" w:cs="Arial"/>
        </w:rPr>
      </w:pPr>
    </w:p>
    <w:p w:rsidR="0070479E" w:rsidRPr="00A17E25" w:rsidRDefault="0070479E" w:rsidP="0070479E">
      <w:pPr>
        <w:suppressAutoHyphens/>
        <w:jc w:val="both"/>
        <w:rPr>
          <w:rFonts w:ascii="Arial" w:hAnsi="Arial" w:cs="Arial"/>
        </w:rPr>
      </w:pPr>
      <w:r w:rsidRPr="00A17E25">
        <w:rPr>
          <w:rFonts w:ascii="Arial" w:hAnsi="Arial" w:cs="Arial"/>
        </w:rPr>
        <w:t xml:space="preserve">La nouvelle Constitution est venue renforcer la séparation des pouvoirs et garantir de nouveaux droits sur le plan humain et social. </w:t>
      </w:r>
    </w:p>
    <w:p w:rsidR="0070479E" w:rsidRPr="00A17E25" w:rsidRDefault="0070479E" w:rsidP="0070479E">
      <w:pPr>
        <w:suppressAutoHyphens/>
        <w:jc w:val="both"/>
        <w:rPr>
          <w:rFonts w:ascii="Arial" w:hAnsi="Arial" w:cs="Arial"/>
        </w:rPr>
      </w:pPr>
    </w:p>
    <w:p w:rsidR="0070479E" w:rsidRPr="00A17E25" w:rsidRDefault="0070479E" w:rsidP="0070479E">
      <w:pPr>
        <w:suppressAutoHyphens/>
        <w:jc w:val="both"/>
        <w:rPr>
          <w:rFonts w:ascii="Arial" w:hAnsi="Arial" w:cs="Arial"/>
        </w:rPr>
      </w:pPr>
      <w:r w:rsidRPr="00A17E25">
        <w:rPr>
          <w:rFonts w:ascii="Arial" w:hAnsi="Arial" w:cs="Arial"/>
        </w:rPr>
        <w:t xml:space="preserve">Le gouvernement a mis au point un programme de réforme visant à établir un cadre de gouvernance plus ouvert et plus inclusif. Le programme gouvernemental 2012-2016, présenté au Parlement le 26 janvier 2012, repose sur cinq piliers : i) consolidation de l’identité nationale et de la cohésion sociale ; ii) État de droit et progression de la régionalisation et de la gouvernance ; iii) création d’emplois et développement économique ; iv) souveraineté nationale et développement social ; et v) amélioration de l’accès aux services sociaux pour tous les Marocains. Le programme gouvernemental se concentre sur un certain nombre de réformes de la gouvernance liées à la prestation des services publics, l’accès à l’information et la participation du public, la réforme budgétaire et la décentralisation. Il met un accent particulier sur le secteur de la justice. </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rPr>
      </w:pPr>
      <w:r w:rsidRPr="00A17E25">
        <w:rPr>
          <w:rFonts w:ascii="Arial" w:hAnsi="Arial" w:cs="Arial"/>
        </w:rPr>
        <w:t>La réforme budgétaire a pris un nouvel élan et est considérée comme l’un des principaux leviers de l’amélioration de la prestation des services publics et de la redevabilité du gouvernement par rapport à l’utilisation des ressources publiques. La réforme budgétaire a été consacrée par l’adoption en juillet 2015 de la nouvelle Loi Organique des Finances qui apporte des réformes essentielles : La classification programmatique du budget et l’introduction de perspectives budgétaires pluriannuelles sont considérées comme des moyens d’améliorer la nature stratégique de la politique budgétaire du gouvernement et d’améliorer l’efficacité des affectations. Le renforcement des liens entre les politiques publiques, les objectifs de performance et les crédits budgétaires devront améliorer la transparence et faciliter la surveillance parlementaire. L’introduction d’une approche de gestion basée sur les performances, où le gouvernement, les ministères et les responsables de programmes s’engagent à atteindre des objectifs de performance et à faire rapport sur leurs réalisations, vise à renforcer la redevabilité de l’administration.</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rPr>
      </w:pPr>
      <w:r w:rsidRPr="00A17E25">
        <w:rPr>
          <w:rFonts w:ascii="Arial" w:hAnsi="Arial" w:cs="Arial"/>
        </w:rPr>
        <w:t>Sur un autre plan, le gouvernement a déjà entamé la mise en œuvre des réformes qui permettront de réduire les subventions, refondre le système des retraites, doper la compétitivité, créer des emplois et améliorer la qualité des services dans des secteurs fondamentaux. Des mesures prometteuses ont déjà abouti à une baisse des subventions grâce à la mise en place d’un mécanisme d’indexation. Parallèlement à ces réformes, les priorités du pays portent sur l’amélioration des résultats dans les secteurs publics clés que sont l’éducation et la santé ainsi que sur les déficits de développement social et humain. L’économie marocaine est globalement performante et le Maroc est parvenu à faire baisser le taux d’extrême pauvreté à 0,3 % seulement.</w:t>
      </w:r>
    </w:p>
    <w:p w:rsidR="0070479E" w:rsidRPr="00A17E25" w:rsidRDefault="0070479E" w:rsidP="0070479E">
      <w:pPr>
        <w:spacing w:after="200"/>
        <w:rPr>
          <w:rFonts w:ascii="Arial" w:hAnsi="Arial" w:cs="Arial"/>
          <w:b/>
          <w:bCs/>
          <w:i/>
          <w:iCs/>
          <w:color w:val="000000"/>
        </w:rPr>
      </w:pPr>
    </w:p>
    <w:p w:rsidR="0070479E" w:rsidRPr="00A17E25" w:rsidRDefault="0070479E" w:rsidP="0070479E">
      <w:pPr>
        <w:spacing w:after="200"/>
        <w:jc w:val="both"/>
        <w:rPr>
          <w:rFonts w:ascii="Arial" w:hAnsi="Arial" w:cs="Arial"/>
        </w:rPr>
      </w:pPr>
      <w:r w:rsidRPr="00A17E25">
        <w:rPr>
          <w:rFonts w:ascii="Arial" w:hAnsi="Arial" w:cs="Arial"/>
          <w:b/>
          <w:bCs/>
          <w:i/>
          <w:iCs/>
          <w:color w:val="000000"/>
        </w:rPr>
        <w:t>Le contexte de la Commune de Casablanca (économie et administration)</w:t>
      </w:r>
    </w:p>
    <w:p w:rsidR="0070479E" w:rsidRPr="00331D0F" w:rsidRDefault="0070479E" w:rsidP="0070479E">
      <w:pPr>
        <w:spacing w:before="100" w:beforeAutospacing="1" w:after="100" w:afterAutospacing="1"/>
        <w:jc w:val="both"/>
        <w:rPr>
          <w:rStyle w:val="Strong"/>
          <w:rFonts w:ascii="Arial" w:hAnsi="Arial" w:cs="Arial"/>
          <w:b w:val="0"/>
          <w:color w:val="000000"/>
        </w:rPr>
      </w:pPr>
      <w:r w:rsidRPr="00331D0F">
        <w:rPr>
          <w:rStyle w:val="Strong"/>
          <w:rFonts w:ascii="Arial" w:hAnsi="Arial" w:cs="Arial"/>
          <w:b w:val="0"/>
          <w:color w:val="000000"/>
        </w:rPr>
        <w:t>La ville de Casablanca a été fondée par les berbères, conquise par les arabes au XIIème siècle, occupée par les portugais en 1468, libérée par le Sultan Sidi Mohamed Ben Abdellah 300 ans après. Casablanca découvre très tôt sa vocation commerciale qui s’est confirmé</w:t>
      </w:r>
      <w:r w:rsidR="00331D0F" w:rsidRPr="00331D0F">
        <w:rPr>
          <w:rStyle w:val="Strong"/>
          <w:rFonts w:ascii="Arial" w:hAnsi="Arial" w:cs="Arial"/>
          <w:b w:val="0"/>
          <w:color w:val="000000"/>
        </w:rPr>
        <w:t>e</w:t>
      </w:r>
      <w:r w:rsidRPr="00331D0F">
        <w:rPr>
          <w:rStyle w:val="Strong"/>
          <w:rFonts w:ascii="Arial" w:hAnsi="Arial" w:cs="Arial"/>
          <w:b w:val="0"/>
          <w:color w:val="000000"/>
        </w:rPr>
        <w:t xml:space="preserve"> avec la construction du plus grand port du royaume au début du siècle dernier.</w:t>
      </w:r>
    </w:p>
    <w:p w:rsidR="0070479E" w:rsidRPr="00A17E25" w:rsidRDefault="0070479E" w:rsidP="0070479E">
      <w:pPr>
        <w:spacing w:before="100" w:beforeAutospacing="1" w:after="100" w:afterAutospacing="1"/>
        <w:jc w:val="both"/>
        <w:rPr>
          <w:rStyle w:val="details"/>
          <w:rFonts w:ascii="Arial" w:hAnsi="Arial" w:cs="Arial"/>
          <w:color w:val="000000"/>
        </w:rPr>
      </w:pPr>
      <w:r w:rsidRPr="00A17E25">
        <w:rPr>
          <w:rStyle w:val="details"/>
          <w:rFonts w:ascii="Arial" w:hAnsi="Arial" w:cs="Arial"/>
          <w:color w:val="000000"/>
        </w:rPr>
        <w:t xml:space="preserve">La deuxième guerre mondiale consacrera une légitimité internationale à la Ville. Casablanca fut en effet le théâtre d’événements importants dans la stratégie des alliés avec notamment le débarquement des alliés en 1942 et l’organisation de la conférence d’Anfa entre Churchill, Roosevelt et le Sultan Mohamed V en 1943. </w:t>
      </w:r>
    </w:p>
    <w:p w:rsidR="0070479E" w:rsidRPr="00A17E25" w:rsidRDefault="0070479E" w:rsidP="0070479E">
      <w:pPr>
        <w:pStyle w:val="Default"/>
        <w:spacing w:after="60"/>
        <w:jc w:val="both"/>
        <w:rPr>
          <w:rFonts w:ascii="Arial" w:hAnsi="Arial" w:cs="Arial"/>
          <w:lang w:val="fr-FR"/>
        </w:rPr>
      </w:pPr>
      <w:r w:rsidRPr="00A17E25">
        <w:rPr>
          <w:rStyle w:val="details"/>
          <w:rFonts w:ascii="Arial" w:hAnsi="Arial" w:cs="Arial"/>
          <w:lang w:val="fr-FR"/>
        </w:rPr>
        <w:t>Autour de la Médina qui s’est « greffée » au port, une nouvelle ville structurée et moderne qui s’est très rapidement développée pour répondre au développement démographique que connaîtra la ville dans la deuxième moitié du XXème siècle. </w:t>
      </w:r>
      <w:r w:rsidRPr="00A17E25">
        <w:rPr>
          <w:rFonts w:ascii="Arial" w:hAnsi="Arial" w:cs="Arial"/>
          <w:lang w:val="fr-FR"/>
        </w:rPr>
        <w:br/>
      </w:r>
      <w:r w:rsidRPr="00A17E25">
        <w:rPr>
          <w:rFonts w:ascii="Arial" w:hAnsi="Arial" w:cs="Arial"/>
          <w:lang w:val="fr-FR"/>
        </w:rPr>
        <w:br/>
      </w:r>
      <w:r w:rsidRPr="00A17E25">
        <w:rPr>
          <w:rStyle w:val="details"/>
          <w:rFonts w:ascii="Arial" w:hAnsi="Arial" w:cs="Arial"/>
          <w:lang w:val="fr-FR"/>
        </w:rPr>
        <w:t xml:space="preserve">Depuis l’indépendance, Casablanca s’est rapidement affirmée comme capitale économique du royaume et a catalysé dans son sillage, le développement de tout le pays. Elle concentre </w:t>
      </w:r>
      <w:r w:rsidRPr="00A17E25">
        <w:rPr>
          <w:rFonts w:ascii="Arial" w:hAnsi="Arial" w:cs="Arial"/>
          <w:lang w:val="fr-FR"/>
        </w:rPr>
        <w:t>20% du PIB national et 48% de la production industrielle nationale.</w:t>
      </w:r>
    </w:p>
    <w:p w:rsidR="0070479E" w:rsidRPr="00A17E25" w:rsidRDefault="0070479E" w:rsidP="0070479E">
      <w:pPr>
        <w:pStyle w:val="Default"/>
        <w:spacing w:after="60"/>
        <w:jc w:val="both"/>
        <w:rPr>
          <w:rFonts w:ascii="Arial" w:hAnsi="Arial" w:cs="Arial"/>
          <w:lang w:val="fr-FR"/>
        </w:rPr>
      </w:pPr>
      <w:r w:rsidRPr="00A17E25">
        <w:rPr>
          <w:rFonts w:ascii="Arial" w:hAnsi="Arial" w:cs="Arial"/>
          <w:lang w:val="fr-FR"/>
        </w:rPr>
        <w:br/>
      </w:r>
      <w:r w:rsidRPr="00A17E25">
        <w:rPr>
          <w:rStyle w:val="details"/>
          <w:rFonts w:ascii="Arial" w:hAnsi="Arial" w:cs="Arial"/>
          <w:lang w:val="fr-FR"/>
        </w:rPr>
        <w:t>Aujourd’hui, le Grand Casablanca, étendu sur 1600 km2, avec un littoral de plus de 70 km, prend les allures d’une véritable métropole qui est appelée à relever les défis de la mondialisation et de la concurrence internationale</w:t>
      </w:r>
      <w:r w:rsidRPr="00A17E25">
        <w:rPr>
          <w:rFonts w:ascii="Arial" w:hAnsi="Arial" w:cs="Arial"/>
          <w:lang w:val="fr-FR"/>
        </w:rPr>
        <w:t>. L’agglomération compte plus de 3,9 millions d’habitants (807.000 ménages) et connaît également une forte croissance du point de vue démographique. Sa population est particulièrement jeune : 31 % de ses habitants ont moins de 15 ans et la population active compte plus de 1,2 millions de personnes. Les projections prévoient que l’agglomération compte 6 millions d’habitants en 2030.</w:t>
      </w:r>
    </w:p>
    <w:p w:rsidR="0070479E" w:rsidRPr="00A17E25" w:rsidRDefault="0070479E" w:rsidP="0070479E">
      <w:pPr>
        <w:pStyle w:val="Default"/>
        <w:spacing w:after="60"/>
        <w:jc w:val="both"/>
        <w:rPr>
          <w:lang w:val="fr-FR"/>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9072"/>
      </w:tblGrid>
      <w:tr w:rsidR="0070479E" w:rsidRPr="00A17E25" w:rsidTr="0070479E">
        <w:trPr>
          <w:tblCellSpacing w:w="7" w:type="dxa"/>
        </w:trPr>
        <w:tc>
          <w:tcPr>
            <w:tcW w:w="0" w:type="auto"/>
            <w:vAlign w:val="center"/>
            <w:hideMark/>
          </w:tcPr>
          <w:p w:rsidR="0070479E" w:rsidRPr="00A17E25" w:rsidRDefault="0070479E" w:rsidP="0070479E">
            <w:pPr>
              <w:spacing w:before="100" w:beforeAutospacing="1" w:after="100" w:afterAutospacing="1"/>
              <w:jc w:val="both"/>
              <w:rPr>
                <w:rFonts w:ascii="Arial" w:hAnsi="Arial" w:cs="Arial"/>
                <w:lang w:eastAsia="fr-FR"/>
              </w:rPr>
            </w:pPr>
            <w:r w:rsidRPr="00A17E25">
              <w:rPr>
                <w:rFonts w:ascii="Arial" w:hAnsi="Arial" w:cs="Arial"/>
                <w:b/>
                <w:bCs/>
                <w:color w:val="000000"/>
                <w:lang w:eastAsia="fr-FR"/>
              </w:rPr>
              <w:t>Casablanca, métropole économique du Royaume, se caractérise par les indicateurs suivants :</w:t>
            </w:r>
          </w:p>
        </w:tc>
      </w:tr>
    </w:tbl>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shd w:val="clear" w:color="auto" w:fill="FFFFFF"/>
          <w:lang w:eastAsia="fr-FR"/>
        </w:rPr>
      </w:pPr>
      <w:r w:rsidRPr="00A17E25">
        <w:rPr>
          <w:rFonts w:ascii="Arial" w:hAnsi="Arial" w:cs="Arial"/>
          <w:color w:val="000000"/>
          <w:lang w:eastAsia="fr-FR"/>
        </w:rPr>
        <w:t>Premier pôle industriel avec près d’un tiers des établissements industriels du pays,</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shd w:val="clear" w:color="auto" w:fill="FFFFFF"/>
          <w:lang w:eastAsia="fr-FR"/>
        </w:rPr>
      </w:pPr>
      <w:r w:rsidRPr="00A17E25">
        <w:rPr>
          <w:rFonts w:ascii="Arial" w:hAnsi="Arial" w:cs="Arial"/>
          <w:color w:val="000000"/>
          <w:lang w:eastAsia="fr-FR"/>
        </w:rPr>
        <w:t>Premier contributeur à la création d’emploi avec près de 50% de la population active du Maroc,</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lang w:eastAsia="fr-FR"/>
        </w:rPr>
      </w:pPr>
      <w:r w:rsidRPr="00A17E25">
        <w:rPr>
          <w:rFonts w:ascii="Arial" w:hAnsi="Arial" w:cs="Arial"/>
          <w:color w:val="000000"/>
          <w:lang w:eastAsia="fr-FR"/>
        </w:rPr>
        <w:t>Première zone portuaire du Maroc avec environ 60% des échanges commerciaux,</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lang w:eastAsia="fr-FR"/>
        </w:rPr>
      </w:pPr>
      <w:r w:rsidRPr="00A17E25">
        <w:rPr>
          <w:rFonts w:ascii="Arial" w:hAnsi="Arial" w:cs="Arial"/>
          <w:color w:val="000000"/>
          <w:lang w:eastAsia="fr-FR"/>
        </w:rPr>
        <w:t xml:space="preserve">Premier parc </w:t>
      </w:r>
      <w:r w:rsidR="004F0354" w:rsidRPr="00A17E25">
        <w:rPr>
          <w:rFonts w:ascii="Arial" w:hAnsi="Arial" w:cs="Arial"/>
          <w:color w:val="000000"/>
          <w:lang w:eastAsia="fr-FR"/>
        </w:rPr>
        <w:t>nord-africain</w:t>
      </w:r>
      <w:r w:rsidRPr="00A17E25">
        <w:rPr>
          <w:rFonts w:ascii="Arial" w:hAnsi="Arial" w:cs="Arial"/>
          <w:color w:val="000000"/>
          <w:lang w:eastAsia="fr-FR"/>
        </w:rPr>
        <w:t xml:space="preserve"> d’immobilier d’entreprise,</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lang w:eastAsia="fr-FR"/>
        </w:rPr>
      </w:pPr>
      <w:r w:rsidRPr="00A17E25">
        <w:rPr>
          <w:rFonts w:ascii="Arial" w:hAnsi="Arial" w:cs="Arial"/>
          <w:color w:val="000000"/>
          <w:lang w:eastAsia="fr-FR"/>
        </w:rPr>
        <w:t>Première place financière d’Afrique du Nord  avec 30% du réseau bancaire et la totalité des sièges des banques et assurances,</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lang w:eastAsia="fr-FR"/>
        </w:rPr>
      </w:pPr>
      <w:r w:rsidRPr="00A17E25">
        <w:rPr>
          <w:rFonts w:ascii="Arial" w:hAnsi="Arial" w:cs="Arial"/>
          <w:color w:val="000000"/>
          <w:lang w:eastAsia="fr-FR"/>
        </w:rPr>
        <w:t>Un pôle d’innovation et de recherche scientifique, avec plus de 20% de l’effectif national des professeurs chercheurs, 10 facultés, 7 grandes écoles, plus de 45 écoles supérieures privées,</w:t>
      </w:r>
    </w:p>
    <w:p w:rsidR="0070479E" w:rsidRPr="00A17E25" w:rsidRDefault="0070479E" w:rsidP="00151AD3">
      <w:pPr>
        <w:pStyle w:val="ListParagraph"/>
        <w:numPr>
          <w:ilvl w:val="0"/>
          <w:numId w:val="68"/>
        </w:numPr>
        <w:spacing w:before="100" w:beforeAutospacing="1" w:after="100" w:afterAutospacing="1"/>
        <w:contextualSpacing/>
        <w:jc w:val="both"/>
        <w:rPr>
          <w:rFonts w:ascii="Arial" w:hAnsi="Arial" w:cs="Arial"/>
          <w:color w:val="000000"/>
          <w:lang w:eastAsia="fr-FR"/>
        </w:rPr>
      </w:pPr>
      <w:r w:rsidRPr="00A17E25">
        <w:rPr>
          <w:rFonts w:ascii="Arial" w:hAnsi="Arial" w:cs="Arial"/>
          <w:color w:val="000000"/>
          <w:lang w:eastAsia="fr-FR"/>
        </w:rPr>
        <w:t xml:space="preserve"> 3</w:t>
      </w:r>
      <w:r w:rsidRPr="00A17E25">
        <w:rPr>
          <w:rFonts w:ascii="Arial" w:hAnsi="Arial" w:cs="Arial"/>
          <w:color w:val="000000"/>
          <w:vertAlign w:val="superscript"/>
          <w:lang w:eastAsia="fr-FR"/>
        </w:rPr>
        <w:t>ème</w:t>
      </w:r>
      <w:r w:rsidRPr="00A17E25">
        <w:rPr>
          <w:rFonts w:ascii="Arial" w:hAnsi="Arial" w:cs="Arial"/>
          <w:color w:val="000000"/>
          <w:lang w:eastAsia="fr-FR"/>
        </w:rPr>
        <w:t xml:space="preserve">  destination touristique du pays</w:t>
      </w:r>
    </w:p>
    <w:p w:rsidR="0070479E" w:rsidRPr="00A17E25" w:rsidRDefault="0070479E" w:rsidP="0070479E">
      <w:pPr>
        <w:pStyle w:val="tahomagris"/>
        <w:shd w:val="clear" w:color="auto" w:fill="FFFFFF"/>
        <w:spacing w:after="240" w:afterAutospacing="0"/>
        <w:jc w:val="both"/>
        <w:rPr>
          <w:rFonts w:ascii="Arial" w:hAnsi="Arial" w:cs="Arial"/>
          <w:shd w:val="clear" w:color="auto" w:fill="FFFFFF"/>
          <w:lang w:eastAsia="en-US" w:bidi="ml-IN"/>
        </w:rPr>
      </w:pPr>
      <w:r w:rsidRPr="00A17E25">
        <w:rPr>
          <w:rFonts w:ascii="Arial" w:hAnsi="Arial" w:cs="Arial"/>
          <w:color w:val="000000"/>
          <w:shd w:val="clear" w:color="auto" w:fill="FFFFFF"/>
          <w:lang w:eastAsia="en-US" w:bidi="ml-IN"/>
        </w:rPr>
        <w:t xml:space="preserve">Quatre axes de développement stratégique du Grand Casablanca ont été identifiés : La déclinaison territoriale du Plan Emergence, La vision touristique 2012, Le Grands Chantiers du Grand Casablanca, et les niches à dimension régionale. Aussi, </w:t>
      </w:r>
      <w:r w:rsidRPr="00A17E25">
        <w:rPr>
          <w:rFonts w:ascii="Arial" w:hAnsi="Arial" w:cs="Arial"/>
          <w:bCs/>
          <w:shd w:val="clear" w:color="auto" w:fill="FFFFFF"/>
          <w:lang w:eastAsia="en-US" w:bidi="ml-IN"/>
        </w:rPr>
        <w:t>huit secteurs clés de la ville</w:t>
      </w:r>
      <w:r w:rsidR="00105BAB">
        <w:rPr>
          <w:rFonts w:ascii="Arial" w:hAnsi="Arial" w:cs="Arial"/>
          <w:bCs/>
          <w:shd w:val="clear" w:color="auto" w:fill="FFFFFF"/>
          <w:lang w:eastAsia="en-US" w:bidi="ml-IN"/>
        </w:rPr>
        <w:t xml:space="preserve"> de Casablanca ont été déclinés: </w:t>
      </w:r>
      <w:r w:rsidRPr="00A17E25">
        <w:rPr>
          <w:rFonts w:ascii="Arial" w:hAnsi="Arial" w:cs="Arial"/>
          <w:bCs/>
          <w:shd w:val="clear" w:color="auto" w:fill="FFFFFF"/>
          <w:lang w:eastAsia="en-US" w:bidi="ml-IN"/>
        </w:rPr>
        <w:t>Offshoring</w:t>
      </w:r>
      <w:r w:rsidRPr="00A17E25">
        <w:rPr>
          <w:rStyle w:val="Strong"/>
          <w:color w:val="000000"/>
        </w:rPr>
        <w:t>,</w:t>
      </w:r>
      <w:r w:rsidRPr="00A17E25">
        <w:rPr>
          <w:rFonts w:ascii="Arial" w:hAnsi="Arial" w:cs="Arial"/>
          <w:color w:val="000000"/>
          <w:shd w:val="clear" w:color="auto" w:fill="FFFFFF"/>
        </w:rPr>
        <w:t> </w:t>
      </w:r>
      <w:r w:rsidRPr="00A17E25">
        <w:rPr>
          <w:rFonts w:ascii="Arial" w:hAnsi="Arial" w:cs="Arial"/>
        </w:rPr>
        <w:t xml:space="preserve">tourisme, aéronautique, franchise / commerce organise, </w:t>
      </w:r>
      <w:r w:rsidRPr="00A17E25">
        <w:rPr>
          <w:rFonts w:ascii="Arial" w:hAnsi="Arial" w:cs="Arial"/>
          <w:color w:val="000000"/>
          <w:shd w:val="clear" w:color="auto" w:fill="FFFFFF"/>
        </w:rPr>
        <w:t xml:space="preserve">immobilier, </w:t>
      </w:r>
      <w:r w:rsidRPr="00A17E25">
        <w:rPr>
          <w:rFonts w:ascii="Arial" w:hAnsi="Arial" w:cs="Arial"/>
        </w:rPr>
        <w:t>agroalimentaire, textile  et logistique.</w:t>
      </w:r>
    </w:p>
    <w:p w:rsidR="0070479E" w:rsidRPr="00A17E25" w:rsidRDefault="0070479E" w:rsidP="0070479E">
      <w:pPr>
        <w:jc w:val="both"/>
        <w:rPr>
          <w:rFonts w:ascii="Arial" w:hAnsi="Arial" w:cs="Arial"/>
        </w:rPr>
      </w:pPr>
      <w:r w:rsidRPr="00A17E25">
        <w:rPr>
          <w:rFonts w:ascii="Arial" w:hAnsi="Arial" w:cs="Arial"/>
          <w:color w:val="000000"/>
          <w:lang w:eastAsia="fr-FR"/>
        </w:rPr>
        <w:t xml:space="preserve">Casablanca présente néanmoins une situation sociale contrastée avec un taux de pauvreté relativement faible (de l’ordre de 4%), un taux  chômage relativement élevé (+ de 10%) et plus de 31% de la population active sans aucun niveau d’instruction et seulement 12% d’universitaires. Casablanca, reste la </w:t>
      </w:r>
      <w:r w:rsidRPr="00A17E25">
        <w:rPr>
          <w:rFonts w:ascii="Arial" w:hAnsi="Arial" w:cs="Arial"/>
          <w:bCs/>
        </w:rPr>
        <w:t>région la plus peuplée</w:t>
      </w:r>
      <w:r w:rsidR="00621670">
        <w:rPr>
          <w:rFonts w:ascii="Arial" w:hAnsi="Arial" w:cs="Arial"/>
          <w:bCs/>
        </w:rPr>
        <w:t xml:space="preserve"> </w:t>
      </w:r>
      <w:r w:rsidRPr="00A17E25">
        <w:rPr>
          <w:rFonts w:ascii="Arial" w:hAnsi="Arial" w:cs="Arial"/>
        </w:rPr>
        <w:t>(12% de la population nationale).</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color w:val="000000"/>
          <w:lang w:eastAsia="fr-FR"/>
        </w:rPr>
      </w:pPr>
      <w:r w:rsidRPr="00A17E25">
        <w:rPr>
          <w:rFonts w:ascii="Arial" w:hAnsi="Arial" w:cs="Arial"/>
        </w:rPr>
        <w:t>Casablanca se caractérise aussi par une extension urbaine démesurée avec une forte ségrégation socio-spatiale et un mouvement de périurbanisation sans infrastructures et sans assiette urbaine adéquate.</w:t>
      </w:r>
    </w:p>
    <w:p w:rsidR="0070479E" w:rsidRPr="00A17E25" w:rsidRDefault="0070479E" w:rsidP="0070479E">
      <w:pPr>
        <w:jc w:val="both"/>
        <w:rPr>
          <w:rFonts w:ascii="Arial" w:hAnsi="Arial" w:cs="Arial"/>
          <w:color w:val="000000"/>
          <w:lang w:eastAsia="fr-FR"/>
        </w:rPr>
      </w:pPr>
    </w:p>
    <w:p w:rsidR="0070479E" w:rsidRDefault="0070479E" w:rsidP="0070479E">
      <w:pPr>
        <w:jc w:val="both"/>
        <w:rPr>
          <w:rFonts w:ascii="Arial" w:hAnsi="Arial" w:cs="Arial"/>
        </w:rPr>
      </w:pPr>
      <w:r w:rsidRPr="00A17E25">
        <w:rPr>
          <w:rFonts w:ascii="Arial" w:hAnsi="Arial" w:cs="Arial"/>
        </w:rPr>
        <w:t>Pour garantir sa stabilité sociale, la région du Grand Casablanca devrait accélérer sa croissance (au même taux de croissance soit 4,4%, le taux de chômage serait de l’ordre de 23% en 2030). Il faudrait doubler le taux de croissance à 8,6% pour maintenir le taux de chômage à 10%.Le diagnostic a révélé qu’une gouvernance forte et efficiente sera nécessaire à la mise en œuvre de  cette ambition économique notamment à travers la régionalisation avancée.</w:t>
      </w:r>
    </w:p>
    <w:p w:rsidR="0070479E" w:rsidRPr="00A17E25" w:rsidRDefault="0070479E" w:rsidP="0070479E">
      <w:pPr>
        <w:rPr>
          <w:rFonts w:ascii="Arial" w:hAnsi="Arial" w:cs="Arial"/>
          <w:b/>
          <w:i/>
          <w:lang w:eastAsia="en-CA"/>
        </w:rPr>
      </w:pPr>
    </w:p>
    <w:p w:rsidR="00371755" w:rsidRDefault="00371755" w:rsidP="0070479E">
      <w:pPr>
        <w:rPr>
          <w:rFonts w:ascii="Arial" w:hAnsi="Arial" w:cs="Arial"/>
          <w:b/>
          <w:i/>
          <w:lang w:eastAsia="en-CA"/>
        </w:rPr>
      </w:pPr>
    </w:p>
    <w:p w:rsidR="00371755" w:rsidRDefault="00371755" w:rsidP="0070479E">
      <w:pPr>
        <w:rPr>
          <w:rFonts w:ascii="Arial" w:hAnsi="Arial" w:cs="Arial"/>
          <w:b/>
          <w:i/>
          <w:lang w:eastAsia="en-CA"/>
        </w:rPr>
      </w:pPr>
    </w:p>
    <w:p w:rsidR="0070479E" w:rsidRPr="00A17E25" w:rsidRDefault="0070479E" w:rsidP="0070479E">
      <w:pPr>
        <w:rPr>
          <w:rFonts w:ascii="Arial" w:hAnsi="Arial" w:cs="Arial"/>
        </w:rPr>
      </w:pPr>
      <w:r w:rsidRPr="00A17E25">
        <w:rPr>
          <w:rFonts w:ascii="Arial" w:hAnsi="Arial" w:cs="Arial"/>
          <w:b/>
          <w:i/>
          <w:lang w:eastAsia="en-CA"/>
        </w:rPr>
        <w:t>Le programme de réformes des autorités communales</w:t>
      </w:r>
    </w:p>
    <w:p w:rsidR="0070479E" w:rsidRPr="00A17E25" w:rsidRDefault="0070479E" w:rsidP="0070479E">
      <w:pPr>
        <w:jc w:val="both"/>
        <w:rPr>
          <w:rFonts w:ascii="Arial" w:hAnsi="Arial" w:cs="Arial"/>
          <w:bCs/>
        </w:rPr>
      </w:pPr>
    </w:p>
    <w:p w:rsidR="0070479E" w:rsidRPr="00A17E25" w:rsidRDefault="0070479E" w:rsidP="0070479E">
      <w:pPr>
        <w:pStyle w:val="Default"/>
        <w:jc w:val="both"/>
        <w:rPr>
          <w:rFonts w:ascii="Arial" w:hAnsi="Arial" w:cs="Arial"/>
          <w:lang w:val="fr-FR"/>
        </w:rPr>
      </w:pPr>
      <w:r w:rsidRPr="00A17E25">
        <w:rPr>
          <w:rFonts w:ascii="Arial" w:hAnsi="Arial" w:cs="Arial"/>
          <w:lang w:val="fr-FR"/>
        </w:rPr>
        <w:t>Suite au diagnostic, des axes d’amélioration importants ont été identifiés pour améliorer la prospérité économique des entreprises, des investisseurs et des citoyens : la formation, le foncier/infrastructure, l’environnement fiscal et administratif, le financement, l’inclusion économique des citoyens, la promotion et l’accueil des investisseurs.</w:t>
      </w:r>
    </w:p>
    <w:p w:rsidR="0070479E" w:rsidRPr="00A17E25" w:rsidRDefault="0070479E" w:rsidP="0070479E">
      <w:pPr>
        <w:pStyle w:val="Default"/>
        <w:jc w:val="both"/>
        <w:rPr>
          <w:rFonts w:ascii="Arial" w:hAnsi="Arial" w:cs="Arial"/>
          <w:lang w:val="fr-FR"/>
        </w:rPr>
      </w:pPr>
    </w:p>
    <w:p w:rsidR="0070479E" w:rsidRPr="00A17E25" w:rsidRDefault="0070479E" w:rsidP="0070479E">
      <w:pPr>
        <w:pStyle w:val="Default"/>
        <w:jc w:val="both"/>
        <w:rPr>
          <w:rFonts w:ascii="Arial" w:hAnsi="Arial" w:cs="Arial"/>
          <w:lang w:val="fr-FR"/>
        </w:rPr>
      </w:pPr>
      <w:r w:rsidRPr="00A17E25">
        <w:rPr>
          <w:rFonts w:ascii="Arial" w:hAnsi="Arial" w:cs="Arial"/>
          <w:lang w:val="fr-FR"/>
        </w:rPr>
        <w:t>Pour répondre à ces défis, la Région de Casablanca s’est dotée d’une vision stratégique déclinée en un plan de développement (Pan de Développement du Grand Casablanca PDGC) en quatre pôles :</w:t>
      </w:r>
    </w:p>
    <w:p w:rsidR="0070479E" w:rsidRPr="00A17E25" w:rsidRDefault="0070479E" w:rsidP="00151AD3">
      <w:pPr>
        <w:pStyle w:val="ListParagraph"/>
        <w:numPr>
          <w:ilvl w:val="0"/>
          <w:numId w:val="69"/>
        </w:numPr>
        <w:spacing w:after="200"/>
        <w:contextualSpacing/>
        <w:jc w:val="both"/>
        <w:rPr>
          <w:rFonts w:ascii="Arial" w:hAnsi="Arial" w:cs="Arial"/>
        </w:rPr>
      </w:pPr>
      <w:r w:rsidRPr="00A17E25">
        <w:rPr>
          <w:rFonts w:ascii="Arial" w:hAnsi="Arial" w:cs="Arial"/>
        </w:rPr>
        <w:t>Le « pôle cadre de vie »,</w:t>
      </w:r>
    </w:p>
    <w:p w:rsidR="0070479E" w:rsidRPr="00A17E25" w:rsidRDefault="0070479E" w:rsidP="00151AD3">
      <w:pPr>
        <w:pStyle w:val="ListParagraph"/>
        <w:numPr>
          <w:ilvl w:val="0"/>
          <w:numId w:val="69"/>
        </w:numPr>
        <w:spacing w:after="200"/>
        <w:contextualSpacing/>
        <w:jc w:val="both"/>
        <w:rPr>
          <w:rFonts w:ascii="Arial" w:hAnsi="Arial" w:cs="Arial"/>
        </w:rPr>
      </w:pPr>
      <w:r w:rsidRPr="00A17E25">
        <w:rPr>
          <w:rFonts w:ascii="Arial" w:hAnsi="Arial" w:cs="Arial"/>
        </w:rPr>
        <w:t>Le « pôle plateforme » visant à optimiser la mobilité dans la région,</w:t>
      </w:r>
    </w:p>
    <w:p w:rsidR="0070479E" w:rsidRPr="00A17E25" w:rsidRDefault="0070479E" w:rsidP="00151AD3">
      <w:pPr>
        <w:pStyle w:val="ListParagraph"/>
        <w:numPr>
          <w:ilvl w:val="0"/>
          <w:numId w:val="69"/>
        </w:numPr>
        <w:spacing w:after="200"/>
        <w:contextualSpacing/>
        <w:jc w:val="both"/>
        <w:rPr>
          <w:rFonts w:ascii="Arial" w:hAnsi="Arial" w:cs="Arial"/>
        </w:rPr>
      </w:pPr>
      <w:r w:rsidRPr="00A17E25">
        <w:rPr>
          <w:rFonts w:ascii="Arial" w:hAnsi="Arial" w:cs="Arial"/>
        </w:rPr>
        <w:t>Le  « pôle excellence économique » pour renforcer le rôle de la région en tant que locomotive de l’économie nationale,</w:t>
      </w:r>
    </w:p>
    <w:p w:rsidR="0070479E" w:rsidRPr="00A17E25" w:rsidRDefault="0070479E" w:rsidP="00151AD3">
      <w:pPr>
        <w:pStyle w:val="ListParagraph"/>
        <w:numPr>
          <w:ilvl w:val="0"/>
          <w:numId w:val="69"/>
        </w:numPr>
        <w:spacing w:after="200"/>
        <w:contextualSpacing/>
        <w:jc w:val="both"/>
        <w:rPr>
          <w:rFonts w:ascii="Arial" w:hAnsi="Arial" w:cs="Arial"/>
        </w:rPr>
      </w:pPr>
      <w:r w:rsidRPr="00A17E25">
        <w:rPr>
          <w:rFonts w:ascii="Arial" w:hAnsi="Arial" w:cs="Arial"/>
        </w:rPr>
        <w:t>Le « pôle animation ».</w:t>
      </w:r>
    </w:p>
    <w:p w:rsidR="0070479E" w:rsidRPr="00A17E25" w:rsidRDefault="0070479E" w:rsidP="0070479E">
      <w:pPr>
        <w:pStyle w:val="Default"/>
        <w:jc w:val="both"/>
        <w:rPr>
          <w:rFonts w:ascii="Arial" w:hAnsi="Arial" w:cs="Arial"/>
          <w:bCs/>
          <w:color w:val="auto"/>
          <w:lang w:val="fr-FR"/>
        </w:rPr>
      </w:pPr>
      <w:r w:rsidRPr="00A17E25">
        <w:rPr>
          <w:rFonts w:ascii="Arial" w:hAnsi="Arial" w:cs="Arial"/>
          <w:bCs/>
          <w:color w:val="auto"/>
          <w:lang w:val="fr-FR"/>
        </w:rPr>
        <w:t>Ce plan stratégique s’appuie sur quatre piliers : bonne gouvernance et cadre juridique approprié, financements innovants et adaptés aux enjeux, gestion moderne et efficiente et enfin le levier marketing territorial efficace.</w:t>
      </w:r>
    </w:p>
    <w:p w:rsidR="0070479E" w:rsidRPr="00A17E25" w:rsidRDefault="0070479E" w:rsidP="0070479E">
      <w:pPr>
        <w:pStyle w:val="Default"/>
        <w:jc w:val="both"/>
        <w:rPr>
          <w:rFonts w:ascii="Arial" w:hAnsi="Arial" w:cs="Arial"/>
          <w:bCs/>
          <w:color w:val="auto"/>
          <w:lang w:val="fr-FR"/>
        </w:rPr>
      </w:pPr>
    </w:p>
    <w:p w:rsidR="0070479E" w:rsidRDefault="0070479E" w:rsidP="0070479E">
      <w:pPr>
        <w:pStyle w:val="Default"/>
        <w:jc w:val="both"/>
        <w:rPr>
          <w:rFonts w:ascii="Arial" w:hAnsi="Arial" w:cs="Arial"/>
          <w:bCs/>
          <w:color w:val="auto"/>
          <w:lang w:val="fr-FR"/>
        </w:rPr>
      </w:pPr>
      <w:r w:rsidRPr="00A17E25">
        <w:rPr>
          <w:rFonts w:ascii="Arial" w:hAnsi="Arial" w:cs="Arial"/>
          <w:bCs/>
          <w:color w:val="auto"/>
          <w:lang w:val="fr-FR"/>
        </w:rPr>
        <w:t xml:space="preserve">Les projets arrêtés par la Région dans le cadre du PDGC ont donné lieu à la signature de conventions dont la </w:t>
      </w:r>
      <w:r w:rsidR="00F86504">
        <w:rPr>
          <w:rFonts w:ascii="Arial" w:hAnsi="Arial" w:cs="Arial"/>
          <w:bCs/>
          <w:color w:val="auto"/>
          <w:lang w:val="fr-FR"/>
        </w:rPr>
        <w:t>CC</w:t>
      </w:r>
      <w:r w:rsidRPr="00A17E25">
        <w:rPr>
          <w:rFonts w:ascii="Arial" w:hAnsi="Arial" w:cs="Arial"/>
          <w:bCs/>
          <w:color w:val="auto"/>
          <w:lang w:val="fr-FR"/>
        </w:rPr>
        <w:t xml:space="preserve"> est partie prenante. Le détail de ces conventions sur la période 2015-2023 est le suivant :</w:t>
      </w:r>
    </w:p>
    <w:p w:rsidR="00331D0F" w:rsidRDefault="00331D0F" w:rsidP="0070479E">
      <w:pPr>
        <w:pStyle w:val="Default"/>
        <w:jc w:val="both"/>
        <w:rPr>
          <w:rFonts w:ascii="Arial" w:hAnsi="Arial" w:cs="Arial"/>
          <w:bCs/>
          <w:color w:val="auto"/>
          <w:lang w:val="fr-FR"/>
        </w:rPr>
      </w:pPr>
    </w:p>
    <w:p w:rsidR="00331D0F" w:rsidRPr="00463AB9" w:rsidRDefault="00331D0F" w:rsidP="00123E42">
      <w:pPr>
        <w:pStyle w:val="Default"/>
        <w:jc w:val="center"/>
        <w:rPr>
          <w:rFonts w:ascii="Arial Narrow" w:hAnsi="Arial Narrow" w:cs="Arial"/>
          <w:b/>
          <w:bCs/>
          <w:color w:val="auto"/>
          <w:sz w:val="20"/>
          <w:szCs w:val="20"/>
          <w:lang w:val="fr-FR"/>
        </w:rPr>
      </w:pPr>
      <w:r w:rsidRPr="00463AB9">
        <w:rPr>
          <w:rFonts w:ascii="Arial Narrow" w:hAnsi="Arial Narrow" w:cs="Arial"/>
          <w:b/>
          <w:bCs/>
          <w:color w:val="auto"/>
          <w:sz w:val="20"/>
          <w:szCs w:val="20"/>
          <w:lang w:val="fr-FR"/>
        </w:rPr>
        <w:t>TABLEAU</w:t>
      </w:r>
      <w:r w:rsidR="00592ACC" w:rsidRPr="00463AB9">
        <w:rPr>
          <w:rFonts w:ascii="Arial Narrow" w:hAnsi="Arial Narrow" w:cs="Arial"/>
          <w:b/>
          <w:bCs/>
          <w:color w:val="auto"/>
          <w:sz w:val="20"/>
          <w:szCs w:val="20"/>
          <w:lang w:val="fr-FR"/>
        </w:rPr>
        <w:t xml:space="preserve"> 2.1</w:t>
      </w:r>
      <w:r w:rsidRPr="00463AB9">
        <w:rPr>
          <w:rFonts w:ascii="Arial Narrow" w:hAnsi="Arial Narrow" w:cs="Arial"/>
          <w:b/>
          <w:bCs/>
          <w:color w:val="auto"/>
          <w:sz w:val="20"/>
          <w:szCs w:val="20"/>
          <w:lang w:val="fr-FR"/>
        </w:rPr>
        <w:t> : Conventions conclues dans le cadre du PDGC (</w:t>
      </w:r>
      <w:r w:rsidR="00123E42" w:rsidRPr="00463AB9">
        <w:rPr>
          <w:rFonts w:ascii="Arial Narrow" w:hAnsi="Arial Narrow" w:cs="Arial"/>
          <w:b/>
          <w:bCs/>
          <w:color w:val="auto"/>
          <w:sz w:val="20"/>
          <w:szCs w:val="20"/>
          <w:lang w:val="fr-FR"/>
        </w:rPr>
        <w:t>2015-2023)</w:t>
      </w:r>
    </w:p>
    <w:p w:rsidR="0070479E" w:rsidRPr="00463AB9" w:rsidRDefault="0070479E" w:rsidP="0070479E">
      <w:pPr>
        <w:pStyle w:val="Default"/>
        <w:jc w:val="both"/>
        <w:rPr>
          <w:rFonts w:ascii="Arial Narrow" w:hAnsi="Arial Narrow" w:cs="Arial"/>
          <w:bCs/>
          <w:color w:val="auto"/>
          <w:lang w:val="fr-FR"/>
        </w:rPr>
      </w:pPr>
    </w:p>
    <w:tbl>
      <w:tblPr>
        <w:tblW w:w="9129" w:type="dxa"/>
        <w:tblCellMar>
          <w:left w:w="0" w:type="dxa"/>
          <w:right w:w="0" w:type="dxa"/>
        </w:tblCellMar>
        <w:tblLook w:val="04A0" w:firstRow="1" w:lastRow="0" w:firstColumn="1" w:lastColumn="0" w:noHBand="0" w:noVBand="1"/>
      </w:tblPr>
      <w:tblGrid>
        <w:gridCol w:w="460"/>
        <w:gridCol w:w="6118"/>
        <w:gridCol w:w="1091"/>
        <w:gridCol w:w="1460"/>
      </w:tblGrid>
      <w:tr w:rsidR="0070479E" w:rsidRPr="00463AB9" w:rsidTr="0034021B">
        <w:trPr>
          <w:trHeight w:val="922"/>
        </w:trPr>
        <w:tc>
          <w:tcPr>
            <w:tcW w:w="460" w:type="dxa"/>
            <w:tcBorders>
              <w:top w:val="single" w:sz="8" w:space="0" w:color="000000"/>
              <w:left w:val="single" w:sz="8" w:space="0" w:color="000000"/>
              <w:bottom w:val="single" w:sz="8" w:space="0" w:color="000000"/>
              <w:right w:val="single" w:sz="8" w:space="0" w:color="000000"/>
            </w:tcBorders>
            <w:shd w:val="clear" w:color="auto" w:fill="0070C0"/>
            <w:tcMar>
              <w:top w:w="15" w:type="dxa"/>
              <w:left w:w="57" w:type="dxa"/>
              <w:bottom w:w="0" w:type="dxa"/>
              <w:right w:w="57" w:type="dxa"/>
            </w:tcMar>
            <w:vAlign w:val="center"/>
            <w:hideMark/>
          </w:tcPr>
          <w:p w:rsidR="0070479E" w:rsidRPr="00463AB9" w:rsidRDefault="0070479E" w:rsidP="0070479E">
            <w:pPr>
              <w:jc w:val="center"/>
              <w:textAlignment w:val="baseline"/>
              <w:rPr>
                <w:rFonts w:ascii="Arial Narrow" w:hAnsi="Arial Narrow" w:cs="Arial"/>
                <w:color w:val="FFFFFF" w:themeColor="background1"/>
                <w:sz w:val="20"/>
                <w:szCs w:val="18"/>
                <w:lang w:eastAsia="fr-FR"/>
              </w:rPr>
            </w:pPr>
            <w:r w:rsidRPr="00463AB9">
              <w:rPr>
                <w:rFonts w:ascii="Arial Narrow" w:hAnsi="Arial Narrow" w:cs="Arial"/>
                <w:b/>
                <w:bCs/>
                <w:color w:val="FFFFFF" w:themeColor="background1"/>
                <w:kern w:val="24"/>
                <w:sz w:val="20"/>
                <w:szCs w:val="18"/>
                <w:lang w:eastAsia="fr-FR"/>
              </w:rPr>
              <w:t>N°</w:t>
            </w:r>
          </w:p>
        </w:tc>
        <w:tc>
          <w:tcPr>
            <w:tcW w:w="6118" w:type="dxa"/>
            <w:tcBorders>
              <w:top w:val="single" w:sz="8" w:space="0" w:color="000000"/>
              <w:left w:val="single" w:sz="8" w:space="0" w:color="000000"/>
              <w:bottom w:val="single" w:sz="8" w:space="0" w:color="000000"/>
              <w:right w:val="single" w:sz="8" w:space="0" w:color="000000"/>
            </w:tcBorders>
            <w:shd w:val="clear" w:color="auto" w:fill="0070C0"/>
            <w:tcMar>
              <w:top w:w="15" w:type="dxa"/>
              <w:left w:w="57" w:type="dxa"/>
              <w:bottom w:w="0" w:type="dxa"/>
              <w:right w:w="57" w:type="dxa"/>
            </w:tcMar>
            <w:vAlign w:val="center"/>
            <w:hideMark/>
          </w:tcPr>
          <w:p w:rsidR="0070479E" w:rsidRPr="00463AB9" w:rsidRDefault="0070479E" w:rsidP="00331D0F">
            <w:pPr>
              <w:jc w:val="center"/>
              <w:textAlignment w:val="baseline"/>
              <w:rPr>
                <w:rFonts w:ascii="Arial Narrow" w:hAnsi="Arial Narrow" w:cs="Arial"/>
                <w:color w:val="FFFFFF" w:themeColor="background1"/>
                <w:sz w:val="20"/>
                <w:szCs w:val="18"/>
                <w:lang w:eastAsia="fr-FR"/>
              </w:rPr>
            </w:pPr>
            <w:r w:rsidRPr="00463AB9">
              <w:rPr>
                <w:rFonts w:ascii="Arial Narrow" w:hAnsi="Arial Narrow" w:cs="Arial"/>
                <w:b/>
                <w:bCs/>
                <w:color w:val="FFFFFF" w:themeColor="background1"/>
                <w:kern w:val="24"/>
                <w:sz w:val="20"/>
                <w:szCs w:val="18"/>
                <w:lang w:eastAsia="fr-FR"/>
              </w:rPr>
              <w:t>Conventions Cadres</w:t>
            </w:r>
          </w:p>
        </w:tc>
        <w:tc>
          <w:tcPr>
            <w:tcW w:w="1091" w:type="dxa"/>
            <w:tcBorders>
              <w:top w:val="single" w:sz="8" w:space="0" w:color="000000"/>
              <w:left w:val="single" w:sz="8" w:space="0" w:color="000000"/>
              <w:bottom w:val="single" w:sz="8" w:space="0" w:color="000000"/>
              <w:right w:val="single" w:sz="8" w:space="0" w:color="000000"/>
            </w:tcBorders>
            <w:shd w:val="clear" w:color="auto" w:fill="0070C0"/>
            <w:tcMar>
              <w:top w:w="15" w:type="dxa"/>
              <w:left w:w="57" w:type="dxa"/>
              <w:bottom w:w="0" w:type="dxa"/>
              <w:right w:w="57" w:type="dxa"/>
            </w:tcMar>
            <w:vAlign w:val="center"/>
            <w:hideMark/>
          </w:tcPr>
          <w:p w:rsidR="0070479E" w:rsidRPr="00463AB9" w:rsidRDefault="0070479E" w:rsidP="0070479E">
            <w:pPr>
              <w:jc w:val="center"/>
              <w:textAlignment w:val="baseline"/>
              <w:rPr>
                <w:rFonts w:ascii="Arial Narrow" w:hAnsi="Arial Narrow" w:cs="Arial"/>
                <w:color w:val="FFFFFF" w:themeColor="background1"/>
                <w:sz w:val="20"/>
                <w:szCs w:val="18"/>
                <w:lang w:eastAsia="fr-FR"/>
              </w:rPr>
            </w:pPr>
            <w:r w:rsidRPr="00463AB9">
              <w:rPr>
                <w:rFonts w:ascii="Arial Narrow" w:hAnsi="Arial Narrow" w:cs="Arial"/>
                <w:b/>
                <w:bCs/>
                <w:color w:val="FFFFFF" w:themeColor="background1"/>
                <w:kern w:val="24"/>
                <w:sz w:val="20"/>
                <w:szCs w:val="18"/>
                <w:lang w:eastAsia="fr-FR"/>
              </w:rPr>
              <w:t>Montant de la Convention (MDHS)</w:t>
            </w:r>
          </w:p>
        </w:tc>
        <w:tc>
          <w:tcPr>
            <w:tcW w:w="1460" w:type="dxa"/>
            <w:tcBorders>
              <w:top w:val="single" w:sz="8" w:space="0" w:color="000000"/>
              <w:left w:val="single" w:sz="8" w:space="0" w:color="000000"/>
              <w:bottom w:val="single" w:sz="8" w:space="0" w:color="000000"/>
              <w:right w:val="single" w:sz="8" w:space="0" w:color="000000"/>
            </w:tcBorders>
            <w:shd w:val="clear" w:color="auto" w:fill="0070C0"/>
          </w:tcPr>
          <w:p w:rsidR="00D32FE0" w:rsidRPr="00463AB9" w:rsidRDefault="00D32FE0" w:rsidP="00D32FE0">
            <w:pPr>
              <w:jc w:val="center"/>
              <w:textAlignment w:val="baseline"/>
              <w:rPr>
                <w:rFonts w:ascii="Arial Narrow" w:hAnsi="Arial Narrow" w:cs="Arial"/>
                <w:b/>
                <w:bCs/>
                <w:color w:val="FFFFFF" w:themeColor="background1"/>
                <w:kern w:val="24"/>
                <w:sz w:val="20"/>
                <w:szCs w:val="18"/>
                <w:lang w:eastAsia="fr-FR"/>
              </w:rPr>
            </w:pPr>
          </w:p>
          <w:p w:rsidR="00D32FE0" w:rsidRPr="00463AB9" w:rsidRDefault="00D32FE0" w:rsidP="00D32FE0">
            <w:pPr>
              <w:jc w:val="center"/>
              <w:textAlignment w:val="baseline"/>
              <w:rPr>
                <w:rFonts w:ascii="Arial Narrow" w:hAnsi="Arial Narrow" w:cs="Arial"/>
                <w:b/>
                <w:bCs/>
                <w:color w:val="FFFFFF" w:themeColor="background1"/>
                <w:kern w:val="24"/>
                <w:sz w:val="20"/>
                <w:szCs w:val="18"/>
                <w:lang w:eastAsia="fr-FR"/>
              </w:rPr>
            </w:pPr>
          </w:p>
          <w:p w:rsidR="0070479E" w:rsidRPr="00463AB9" w:rsidRDefault="0070479E" w:rsidP="00D32FE0">
            <w:pPr>
              <w:jc w:val="center"/>
              <w:textAlignment w:val="baseline"/>
              <w:rPr>
                <w:rFonts w:ascii="Arial Narrow" w:hAnsi="Arial Narrow" w:cs="Arial"/>
                <w:b/>
                <w:bCs/>
                <w:color w:val="FFFFFF" w:themeColor="background1"/>
                <w:kern w:val="24"/>
                <w:sz w:val="20"/>
                <w:szCs w:val="18"/>
                <w:lang w:eastAsia="fr-FR"/>
              </w:rPr>
            </w:pPr>
            <w:r w:rsidRPr="00463AB9">
              <w:rPr>
                <w:rFonts w:ascii="Arial Narrow" w:hAnsi="Arial Narrow" w:cs="Arial"/>
                <w:b/>
                <w:bCs/>
                <w:color w:val="FFFFFF" w:themeColor="background1"/>
                <w:kern w:val="24"/>
                <w:sz w:val="20"/>
                <w:szCs w:val="18"/>
                <w:lang w:eastAsia="fr-FR"/>
              </w:rPr>
              <w:t xml:space="preserve">Contribution de la </w:t>
            </w:r>
            <w:r w:rsidR="00F86504" w:rsidRPr="00463AB9">
              <w:rPr>
                <w:rFonts w:ascii="Arial Narrow" w:hAnsi="Arial Narrow" w:cs="Arial"/>
                <w:b/>
                <w:bCs/>
                <w:color w:val="FFFFFF" w:themeColor="background1"/>
                <w:kern w:val="24"/>
                <w:sz w:val="20"/>
                <w:szCs w:val="18"/>
                <w:lang w:eastAsia="fr-FR"/>
              </w:rPr>
              <w:t>CC</w:t>
            </w:r>
          </w:p>
        </w:tc>
      </w:tr>
      <w:tr w:rsidR="0070479E" w:rsidRPr="00A17E25" w:rsidTr="00331D0F">
        <w:trPr>
          <w:trHeight w:val="535"/>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 xml:space="preserve"> Mobilité et Amélioration du transport en commun</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16 000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1 440</w:t>
            </w:r>
          </w:p>
        </w:tc>
      </w:tr>
      <w:tr w:rsidR="0070479E" w:rsidRPr="00A17E25" w:rsidTr="0070479E">
        <w:trPr>
          <w:trHeight w:val="535"/>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2</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 xml:space="preserve"> Aménagement de la voirie et des infrastructures routières et amélioration des conditions de la circulation</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10 898</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1 254</w:t>
            </w:r>
          </w:p>
        </w:tc>
      </w:tr>
      <w:tr w:rsidR="0070479E" w:rsidRPr="00A17E25" w:rsidTr="0070479E">
        <w:trPr>
          <w:trHeight w:val="535"/>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3</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 xml:space="preserve"> Restructuration des quartiers sous équipés</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2 016</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100</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4</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Programme régional intégré de mise à niveau sociale</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1 800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5</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b/>
                <w:bCs/>
                <w:color w:val="000000"/>
                <w:kern w:val="24"/>
                <w:sz w:val="18"/>
                <w:szCs w:val="18"/>
                <w:lang w:eastAsia="fr-FR"/>
              </w:rPr>
            </w:pPr>
            <w:r w:rsidRPr="00D32FE0">
              <w:rPr>
                <w:rFonts w:ascii="Arial" w:hAnsi="Arial" w:cs="Arial"/>
                <w:b/>
                <w:bCs/>
                <w:color w:val="000000"/>
                <w:kern w:val="24"/>
                <w:sz w:val="18"/>
                <w:szCs w:val="18"/>
                <w:lang w:eastAsia="fr-FR"/>
              </w:rPr>
              <w:t>Mise à niveau des infrastructures Culturelles, Sportives et d'Animation</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1 130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185</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6</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Construction des équipements publics projetés dans le cadre des opérations de lutte contre l'habitat précaire</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750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7</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 xml:space="preserve">Mise à niveau du littoral de la Région du Grand Casablanca </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700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100</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8</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Marketing et promotion territoriale du Grand Casablanca</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300</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25</w:t>
            </w:r>
          </w:p>
        </w:tc>
      </w:tr>
      <w:tr w:rsidR="0070479E" w:rsidRPr="00A17E25" w:rsidTr="0070479E">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9</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Sauvegarde et mise en valeur du Patrimoine de la Région du Grand Casablanca</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w:t>
            </w:r>
          </w:p>
        </w:tc>
      </w:tr>
      <w:tr w:rsidR="0070479E" w:rsidRPr="00A17E25" w:rsidTr="00331D0F">
        <w:trPr>
          <w:trHeight w:val="503"/>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10</w:t>
            </w:r>
          </w:p>
        </w:tc>
        <w:tc>
          <w:tcPr>
            <w:tcW w:w="6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Harmonisation des services de distribution d'électricité, d'eau potable et gestion de l'assainissement liquide</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w:t>
            </w:r>
          </w:p>
        </w:tc>
        <w:tc>
          <w:tcPr>
            <w:tcW w:w="1460" w:type="dxa"/>
            <w:tcBorders>
              <w:top w:val="single" w:sz="8" w:space="0" w:color="000000"/>
              <w:left w:val="single" w:sz="8" w:space="0" w:color="000000"/>
              <w:bottom w:val="single" w:sz="8" w:space="0" w:color="000000"/>
              <w:right w:val="single" w:sz="8" w:space="0" w:color="000000"/>
            </w:tcBorders>
            <w:vAlign w:val="center"/>
          </w:tcPr>
          <w:p w:rsidR="0070479E" w:rsidRPr="00D32FE0" w:rsidRDefault="0070479E" w:rsidP="0070479E">
            <w:pPr>
              <w:pStyle w:val="NormalWeb"/>
              <w:spacing w:before="0" w:beforeAutospacing="0" w:after="0" w:afterAutospacing="0"/>
              <w:jc w:val="center"/>
              <w:textAlignment w:val="baseline"/>
              <w:rPr>
                <w:rFonts w:ascii="Arial" w:hAnsi="Arial" w:cs="Arial"/>
                <w:sz w:val="18"/>
                <w:szCs w:val="18"/>
              </w:rPr>
            </w:pPr>
            <w:r w:rsidRPr="00D32FE0">
              <w:rPr>
                <w:rFonts w:ascii="Arial" w:hAnsi="Arial" w:cs="Arial"/>
                <w:b/>
                <w:bCs/>
                <w:color w:val="000000"/>
                <w:kern w:val="24"/>
                <w:sz w:val="18"/>
                <w:szCs w:val="18"/>
              </w:rPr>
              <w:t>-</w:t>
            </w:r>
          </w:p>
        </w:tc>
      </w:tr>
      <w:tr w:rsidR="0070479E" w:rsidRPr="00A17E25" w:rsidTr="00331D0F">
        <w:trPr>
          <w:trHeight w:val="523"/>
        </w:trPr>
        <w:tc>
          <w:tcPr>
            <w:tcW w:w="6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331D0F">
            <w:pPr>
              <w:jc w:val="cente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Total</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0479E" w:rsidRPr="00D32FE0" w:rsidRDefault="0070479E" w:rsidP="0070479E">
            <w:pPr>
              <w:textAlignment w:val="baseline"/>
              <w:rPr>
                <w:rFonts w:ascii="Arial" w:hAnsi="Arial" w:cs="Arial"/>
                <w:sz w:val="18"/>
                <w:szCs w:val="18"/>
                <w:lang w:eastAsia="fr-FR"/>
              </w:rPr>
            </w:pPr>
            <w:r w:rsidRPr="00D32FE0">
              <w:rPr>
                <w:rFonts w:ascii="Arial" w:hAnsi="Arial" w:cs="Arial"/>
                <w:b/>
                <w:bCs/>
                <w:color w:val="000000"/>
                <w:kern w:val="24"/>
                <w:sz w:val="18"/>
                <w:szCs w:val="18"/>
                <w:lang w:eastAsia="fr-FR"/>
              </w:rPr>
              <w:t>33 595</w:t>
            </w: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rsidR="0070479E" w:rsidRPr="00D32FE0" w:rsidRDefault="0070479E" w:rsidP="0070479E">
            <w:pPr>
              <w:jc w:val="center"/>
              <w:textAlignment w:val="baseline"/>
              <w:rPr>
                <w:rFonts w:ascii="Arial" w:hAnsi="Arial" w:cs="Arial"/>
                <w:b/>
                <w:bCs/>
                <w:color w:val="000000"/>
                <w:kern w:val="24"/>
                <w:sz w:val="18"/>
                <w:szCs w:val="18"/>
                <w:lang w:eastAsia="fr-FR"/>
              </w:rPr>
            </w:pPr>
          </w:p>
          <w:p w:rsidR="0070479E" w:rsidRPr="00D32FE0" w:rsidRDefault="0070479E" w:rsidP="0070479E">
            <w:pPr>
              <w:jc w:val="center"/>
              <w:textAlignment w:val="baseline"/>
              <w:rPr>
                <w:rFonts w:ascii="Arial" w:hAnsi="Arial" w:cs="Arial"/>
                <w:b/>
                <w:bCs/>
                <w:color w:val="000000"/>
                <w:kern w:val="24"/>
                <w:sz w:val="18"/>
                <w:szCs w:val="18"/>
                <w:lang w:eastAsia="fr-FR"/>
              </w:rPr>
            </w:pPr>
            <w:r w:rsidRPr="00D32FE0">
              <w:rPr>
                <w:rFonts w:ascii="Arial" w:hAnsi="Arial" w:cs="Arial"/>
                <w:b/>
                <w:bCs/>
                <w:color w:val="000000"/>
                <w:kern w:val="24"/>
                <w:sz w:val="18"/>
                <w:szCs w:val="18"/>
                <w:lang w:eastAsia="fr-FR"/>
              </w:rPr>
              <w:t>3 104</w:t>
            </w:r>
          </w:p>
          <w:p w:rsidR="0070479E" w:rsidRPr="00D32FE0" w:rsidRDefault="0070479E" w:rsidP="0070479E">
            <w:pPr>
              <w:jc w:val="center"/>
              <w:textAlignment w:val="baseline"/>
              <w:rPr>
                <w:rFonts w:ascii="Arial" w:hAnsi="Arial" w:cs="Arial"/>
                <w:b/>
                <w:bCs/>
                <w:color w:val="000000"/>
                <w:kern w:val="24"/>
                <w:sz w:val="18"/>
                <w:szCs w:val="18"/>
                <w:lang w:eastAsia="fr-FR"/>
              </w:rPr>
            </w:pPr>
          </w:p>
        </w:tc>
      </w:tr>
    </w:tbl>
    <w:p w:rsidR="0070479E" w:rsidRPr="00A17E25" w:rsidRDefault="0070479E" w:rsidP="0070479E">
      <w:pPr>
        <w:pStyle w:val="Default"/>
        <w:jc w:val="both"/>
        <w:rPr>
          <w:bCs/>
          <w:lang w:val="fr-FR"/>
        </w:rPr>
      </w:pPr>
    </w:p>
    <w:p w:rsidR="000F43FB" w:rsidRDefault="0070479E" w:rsidP="0070479E">
      <w:pPr>
        <w:jc w:val="both"/>
        <w:rPr>
          <w:rFonts w:ascii="Arial" w:hAnsi="Arial" w:cs="Arial"/>
          <w:bCs/>
        </w:rPr>
      </w:pPr>
      <w:r w:rsidRPr="00A17E25">
        <w:rPr>
          <w:rFonts w:ascii="Arial" w:hAnsi="Arial" w:cs="Arial"/>
          <w:bCs/>
        </w:rPr>
        <w:t xml:space="preserve">Il est, cependant, à noter que la </w:t>
      </w:r>
      <w:r w:rsidR="00F86504">
        <w:rPr>
          <w:rFonts w:ascii="Arial" w:hAnsi="Arial" w:cs="Arial"/>
          <w:bCs/>
        </w:rPr>
        <w:t>CC</w:t>
      </w:r>
      <w:r w:rsidRPr="00A17E25">
        <w:rPr>
          <w:rFonts w:ascii="Arial" w:hAnsi="Arial" w:cs="Arial"/>
          <w:bCs/>
        </w:rPr>
        <w:t xml:space="preserve"> ne s’est pas dotée d’un Plan Communal de Développement (PCD) propre alors même que la charte communale stipule que le conseil communal examine et vote le plan de développement économique et social de la commune, conformément aux orientations et aux objectifs du plan national.</w:t>
      </w:r>
    </w:p>
    <w:p w:rsidR="0070479E" w:rsidRPr="00A17E25" w:rsidRDefault="0070479E" w:rsidP="0070479E">
      <w:pPr>
        <w:jc w:val="both"/>
        <w:rPr>
          <w:rFonts w:ascii="Arial" w:hAnsi="Arial" w:cs="Arial"/>
          <w:bCs/>
        </w:rPr>
      </w:pPr>
    </w:p>
    <w:p w:rsidR="0070479E" w:rsidRPr="00A17E25" w:rsidRDefault="0070479E" w:rsidP="0070479E">
      <w:pPr>
        <w:spacing w:after="200" w:line="276" w:lineRule="auto"/>
        <w:rPr>
          <w:rFonts w:ascii="Arial" w:hAnsi="Arial" w:cs="Arial"/>
        </w:rPr>
      </w:pPr>
      <w:r w:rsidRPr="00A17E25">
        <w:rPr>
          <w:rFonts w:ascii="Arial" w:hAnsi="Arial" w:cs="Arial"/>
          <w:b/>
          <w:i/>
          <w:lang w:eastAsia="en-CA"/>
        </w:rPr>
        <w:t>Le programme de réformes de la Gestion des Finances de la Commune</w:t>
      </w:r>
    </w:p>
    <w:p w:rsidR="0070479E" w:rsidRPr="00A17E25" w:rsidRDefault="0070479E" w:rsidP="0070479E">
      <w:pPr>
        <w:jc w:val="both"/>
        <w:rPr>
          <w:rFonts w:ascii="Arial" w:hAnsi="Arial" w:cs="Arial"/>
        </w:rPr>
      </w:pPr>
      <w:r w:rsidRPr="00A17E25">
        <w:rPr>
          <w:rFonts w:ascii="Arial" w:hAnsi="Arial" w:cs="Arial"/>
        </w:rPr>
        <w:t xml:space="preserve">La </w:t>
      </w:r>
      <w:r w:rsidR="00F86504">
        <w:rPr>
          <w:rFonts w:ascii="Arial" w:hAnsi="Arial" w:cs="Arial"/>
        </w:rPr>
        <w:t>CC</w:t>
      </w:r>
      <w:r w:rsidRPr="00A17E25">
        <w:rPr>
          <w:rFonts w:ascii="Arial" w:hAnsi="Arial" w:cs="Arial"/>
        </w:rPr>
        <w:t xml:space="preserve"> est consciente qu’elle devrait disposer de ressources humaines performantes et de ressources financières suffisantes</w:t>
      </w:r>
      <w:r w:rsidR="000F43FB">
        <w:rPr>
          <w:rFonts w:ascii="Arial" w:hAnsi="Arial" w:cs="Arial"/>
        </w:rPr>
        <w:t xml:space="preserve"> pour atteindre ses objectifs de développement</w:t>
      </w:r>
      <w:r w:rsidRPr="00A17E25">
        <w:rPr>
          <w:rFonts w:ascii="Arial" w:hAnsi="Arial" w:cs="Arial"/>
        </w:rPr>
        <w:t>.</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rPr>
      </w:pPr>
      <w:r w:rsidRPr="00A17E25">
        <w:rPr>
          <w:rFonts w:ascii="Arial" w:hAnsi="Arial" w:cs="Arial"/>
        </w:rPr>
        <w:t xml:space="preserve">La </w:t>
      </w:r>
      <w:r w:rsidR="00F86504">
        <w:rPr>
          <w:rFonts w:ascii="Arial" w:hAnsi="Arial" w:cs="Arial"/>
        </w:rPr>
        <w:t>CC</w:t>
      </w:r>
      <w:r w:rsidRPr="00A17E25">
        <w:rPr>
          <w:rFonts w:ascii="Arial" w:hAnsi="Arial" w:cs="Arial"/>
        </w:rPr>
        <w:t xml:space="preserve"> vise la modernisation et professionnalisation des services communaux à travers le déploiement d'un système de management à quatre composantes: l'Organigramme et le référentiel d'emploi et de compétence "REC", les manuels de procédures, les tableaux de bord et enfin le système d'information communal.</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rPr>
      </w:pPr>
      <w:r w:rsidRPr="00A17E25">
        <w:rPr>
          <w:rFonts w:ascii="Arial" w:hAnsi="Arial" w:cs="Arial"/>
        </w:rPr>
        <w:t>Les chantiers prioritaires identifiés par la commune sont : une meilleure exploitation du potentiel fiscal, l’apurement des montants importants de restes à recouvrer et des reports de crédits, un inventaire actualisé du patrimoine de la ville, un diagnostic des ressources humaines et la mise en place d’un système d’information efficace et d’un portail pour la ville de Casablanca.</w:t>
      </w:r>
    </w:p>
    <w:p w:rsidR="0070479E" w:rsidRPr="00CA09F7" w:rsidRDefault="0070479E" w:rsidP="00F75220">
      <w:pPr>
        <w:pStyle w:val="Heading2"/>
        <w:rPr>
          <w:i w:val="0"/>
          <w:color w:val="0070C0"/>
        </w:rPr>
      </w:pPr>
      <w:bookmarkStart w:id="80" w:name="_Toc412839428"/>
      <w:bookmarkStart w:id="81" w:name="_Toc434916099"/>
      <w:bookmarkStart w:id="82" w:name="_Toc434918313"/>
      <w:r w:rsidRPr="00CA09F7">
        <w:rPr>
          <w:i w:val="0"/>
          <w:color w:val="0070C0"/>
        </w:rPr>
        <w:t>2.2 Description  des objectifs financiers et budgétaires</w:t>
      </w:r>
      <w:bookmarkEnd w:id="80"/>
      <w:bookmarkEnd w:id="81"/>
      <w:bookmarkEnd w:id="82"/>
    </w:p>
    <w:p w:rsidR="0070479E" w:rsidRPr="00A17E25" w:rsidRDefault="0070479E" w:rsidP="0070479E">
      <w:pPr>
        <w:rPr>
          <w:rFonts w:ascii="Arial" w:hAnsi="Arial" w:cs="Arial"/>
          <w:lang w:eastAsia="en-CA"/>
        </w:rPr>
      </w:pPr>
    </w:p>
    <w:p w:rsidR="00DC573F" w:rsidRPr="00A17E25" w:rsidRDefault="00DC573F" w:rsidP="00DC573F">
      <w:pPr>
        <w:jc w:val="both"/>
        <w:rPr>
          <w:rFonts w:ascii="Arial" w:hAnsi="Arial" w:cs="Arial"/>
          <w:lang w:eastAsia="en-CA"/>
        </w:rPr>
      </w:pPr>
      <w:r>
        <w:rPr>
          <w:rFonts w:ascii="Arial" w:hAnsi="Arial" w:cs="Arial"/>
          <w:lang w:eastAsia="en-CA"/>
        </w:rPr>
        <w:t>Le tableau 2-2 ci-dessous montre l’évolution des dotations budgétaires de la Commune de Casablanca exprimé</w:t>
      </w:r>
      <w:r w:rsidR="00D87C9A">
        <w:rPr>
          <w:rFonts w:ascii="Arial" w:hAnsi="Arial" w:cs="Arial"/>
          <w:lang w:eastAsia="en-CA"/>
        </w:rPr>
        <w:t>e</w:t>
      </w:r>
      <w:r>
        <w:rPr>
          <w:rFonts w:ascii="Arial" w:hAnsi="Arial" w:cs="Arial"/>
          <w:lang w:eastAsia="en-CA"/>
        </w:rPr>
        <w:t xml:space="preserve">s en valeur monétaire de 2012 à 2014. La mission a fait l’option d’une présentation en valeur monétaire parce qu’elle estime qu’il n’est pas pertinent de présenter les objectifs budgétaires d’une collectivité locale par rapport au PIB. </w:t>
      </w:r>
      <w:r w:rsidRPr="00C57281">
        <w:rPr>
          <w:rFonts w:ascii="Arial" w:hAnsi="Arial" w:cs="Arial"/>
          <w:lang w:eastAsia="en-CA"/>
        </w:rPr>
        <w:t>Cette présentation aurait pu être faite par rapport au produit local brut (PLB) si les informations avaient été disponibles.</w:t>
      </w:r>
    </w:p>
    <w:p w:rsidR="00DC573F" w:rsidRPr="00A17E25" w:rsidRDefault="00DC573F" w:rsidP="00DC573F">
      <w:pPr>
        <w:rPr>
          <w:rFonts w:ascii="Arial" w:hAnsi="Arial" w:cs="Arial"/>
          <w:lang w:eastAsia="en-CA"/>
        </w:rPr>
      </w:pPr>
    </w:p>
    <w:p w:rsidR="00DC573F" w:rsidRDefault="00DC573F" w:rsidP="00DC573F">
      <w:pPr>
        <w:jc w:val="both"/>
        <w:rPr>
          <w:rFonts w:ascii="Arial" w:hAnsi="Arial" w:cs="Arial"/>
          <w:lang w:eastAsia="en-CA"/>
        </w:rPr>
      </w:pPr>
      <w:r>
        <w:rPr>
          <w:rFonts w:ascii="Arial" w:hAnsi="Arial" w:cs="Arial"/>
          <w:lang w:eastAsia="en-CA"/>
        </w:rPr>
        <w:t>Le tableau 2-2 n’est pas à assimilé à un tableau des opérations financières de la CC construit suivant le format du tableau des opérations financières de l’Etat</w:t>
      </w:r>
      <w:r w:rsidR="00D87C9A">
        <w:rPr>
          <w:rFonts w:ascii="Arial" w:hAnsi="Arial" w:cs="Arial"/>
          <w:lang w:eastAsia="en-CA"/>
        </w:rPr>
        <w:t xml:space="preserve"> (TOFE)</w:t>
      </w:r>
      <w:r>
        <w:rPr>
          <w:rFonts w:ascii="Arial" w:hAnsi="Arial" w:cs="Arial"/>
          <w:lang w:eastAsia="en-CA"/>
        </w:rPr>
        <w:t>. Il vise tout simplement à présenter l’évolution des principaux agrégats budgétaires et financiers de la CC que sont les recettes totales, les dépenses totales et les emprunts nets.</w:t>
      </w:r>
    </w:p>
    <w:p w:rsidR="00DC573F" w:rsidRDefault="00DC573F" w:rsidP="00DC573F">
      <w:pPr>
        <w:jc w:val="both"/>
        <w:rPr>
          <w:rFonts w:ascii="Arial" w:hAnsi="Arial" w:cs="Arial"/>
          <w:lang w:eastAsia="en-CA"/>
        </w:rPr>
      </w:pPr>
    </w:p>
    <w:p w:rsidR="00DC573F" w:rsidRPr="00993669" w:rsidRDefault="00DC573F" w:rsidP="00DC573F">
      <w:pPr>
        <w:jc w:val="both"/>
        <w:rPr>
          <w:rFonts w:ascii="Arial" w:hAnsi="Arial" w:cs="Arial"/>
          <w:lang w:eastAsia="en-CA"/>
        </w:rPr>
      </w:pPr>
      <w:r>
        <w:rPr>
          <w:rFonts w:ascii="Arial" w:hAnsi="Arial" w:cs="Arial"/>
          <w:lang w:eastAsia="en-CA"/>
        </w:rPr>
        <w:t>Les prévisions budgétaires de la CC ont connu globalement de 2012 à 2014 une tendance baissière. Etablies à 3342,65 millions de dirhams en 2012, les prévisions de recettes totales sont à 3350,84 millions de dirhams en 2013 avant de fléchir à 3108,38 millions de dirhams en 2014. Corrélativement, les prévisions de dépenses totales connu aussi une tendance baissière sur la période de l’évaluation.</w:t>
      </w:r>
    </w:p>
    <w:p w:rsidR="00DC573F" w:rsidRDefault="00DC573F" w:rsidP="00DC573F">
      <w:pPr>
        <w:rPr>
          <w:rFonts w:ascii="Arial Narrow" w:hAnsi="Arial Narrow"/>
          <w:b/>
          <w:bCs/>
          <w:sz w:val="20"/>
          <w:u w:val="single"/>
        </w:rPr>
      </w:pPr>
    </w:p>
    <w:p w:rsidR="0034021B" w:rsidRDefault="0034021B">
      <w:pPr>
        <w:rPr>
          <w:rFonts w:ascii="Arial Narrow" w:hAnsi="Arial Narrow" w:cs="Arial"/>
          <w:b/>
          <w:bCs/>
          <w:sz w:val="20"/>
          <w:u w:val="single"/>
        </w:rPr>
      </w:pPr>
      <w:r>
        <w:rPr>
          <w:rFonts w:ascii="Arial Narrow" w:hAnsi="Arial Narrow" w:cs="Arial"/>
          <w:b/>
          <w:bCs/>
          <w:sz w:val="20"/>
          <w:u w:val="single"/>
        </w:rPr>
        <w:br w:type="page"/>
      </w:r>
    </w:p>
    <w:p w:rsidR="00DC573F" w:rsidRPr="00463AB9" w:rsidRDefault="00DC573F" w:rsidP="00D32FE0">
      <w:pPr>
        <w:jc w:val="center"/>
        <w:rPr>
          <w:rFonts w:ascii="Arial Narrow" w:hAnsi="Arial Narrow" w:cs="Arial"/>
          <w:b/>
          <w:bCs/>
          <w:sz w:val="20"/>
        </w:rPr>
      </w:pPr>
      <w:r w:rsidRPr="00463AB9">
        <w:rPr>
          <w:rFonts w:ascii="Arial Narrow" w:hAnsi="Arial Narrow" w:cs="Arial"/>
          <w:b/>
          <w:bCs/>
          <w:sz w:val="20"/>
          <w:u w:val="single"/>
        </w:rPr>
        <w:t>TABLEAU</w:t>
      </w:r>
      <w:r w:rsidRPr="00463AB9">
        <w:rPr>
          <w:rFonts w:ascii="Arial Narrow" w:hAnsi="Arial Narrow" w:cs="Arial"/>
          <w:b/>
          <w:bCs/>
          <w:sz w:val="20"/>
        </w:rPr>
        <w:t xml:space="preserve"> 2.2 : DOTATIONS BUDGÉTAIRES GLOBALES DE LA COMMUNE DE CASABLANCA DE 2012 – 2014</w:t>
      </w:r>
    </w:p>
    <w:p w:rsidR="00DC573F" w:rsidRPr="00463AB9" w:rsidRDefault="00DC573F" w:rsidP="00D32FE0">
      <w:pPr>
        <w:jc w:val="center"/>
        <w:rPr>
          <w:rFonts w:ascii="Arial Narrow" w:hAnsi="Arial Narrow" w:cs="Arial"/>
          <w:bCs/>
          <w:sz w:val="20"/>
        </w:rPr>
      </w:pPr>
      <w:r w:rsidRPr="00463AB9">
        <w:rPr>
          <w:rFonts w:ascii="Arial Narrow" w:hAnsi="Arial Narrow" w:cs="Arial"/>
          <w:bCs/>
          <w:sz w:val="20"/>
        </w:rPr>
        <w:t>(En millions de dirhams)</w:t>
      </w:r>
    </w:p>
    <w:p w:rsidR="00DC573F" w:rsidRDefault="00DC573F" w:rsidP="00DC573F">
      <w:pPr>
        <w:jc w:val="center"/>
        <w:rPr>
          <w:rFonts w:ascii="Arial Narrow" w:hAnsi="Arial Narrow" w:cs="Arial"/>
          <w:sz w:val="20"/>
          <w:szCs w:val="20"/>
          <w:u w:val="single"/>
          <w:lang w:eastAsia="en-CA"/>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540"/>
        <w:gridCol w:w="1920"/>
        <w:gridCol w:w="1660"/>
      </w:tblGrid>
      <w:tr w:rsidR="00DC573F" w:rsidRPr="00D32FE0" w:rsidTr="00CA09F7">
        <w:trPr>
          <w:trHeight w:val="300"/>
        </w:trPr>
        <w:tc>
          <w:tcPr>
            <w:tcW w:w="3760" w:type="dxa"/>
            <w:shd w:val="clear" w:color="auto" w:fill="0070C0"/>
            <w:noWrap/>
            <w:vAlign w:val="center"/>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Rubriques budgétaires</w:t>
            </w:r>
          </w:p>
        </w:tc>
        <w:tc>
          <w:tcPr>
            <w:tcW w:w="1540"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2012</w:t>
            </w:r>
          </w:p>
        </w:tc>
        <w:tc>
          <w:tcPr>
            <w:tcW w:w="1920"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2013</w:t>
            </w:r>
          </w:p>
        </w:tc>
        <w:tc>
          <w:tcPr>
            <w:tcW w:w="1660"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2014</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b/>
                <w:bCs/>
                <w:color w:val="000000"/>
                <w:sz w:val="20"/>
                <w:szCs w:val="20"/>
                <w:lang w:eastAsia="fr-FR"/>
              </w:rPr>
            </w:pPr>
            <w:r w:rsidRPr="00D32FE0">
              <w:rPr>
                <w:rFonts w:ascii="Arial" w:hAnsi="Arial" w:cs="Arial"/>
                <w:b/>
                <w:bCs/>
                <w:color w:val="000000"/>
                <w:sz w:val="20"/>
                <w:szCs w:val="20"/>
                <w:lang w:eastAsia="fr-FR"/>
              </w:rPr>
              <w:t>Recettes totales</w:t>
            </w:r>
          </w:p>
        </w:tc>
        <w:tc>
          <w:tcPr>
            <w:tcW w:w="154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3342,65</w:t>
            </w:r>
          </w:p>
        </w:tc>
        <w:tc>
          <w:tcPr>
            <w:tcW w:w="192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3350,84</w:t>
            </w:r>
          </w:p>
        </w:tc>
        <w:tc>
          <w:tcPr>
            <w:tcW w:w="166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3108,38</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Recettes propres</w:t>
            </w:r>
          </w:p>
        </w:tc>
        <w:tc>
          <w:tcPr>
            <w:tcW w:w="154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2305,98</w:t>
            </w:r>
          </w:p>
        </w:tc>
        <w:tc>
          <w:tcPr>
            <w:tcW w:w="192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2663,05</w:t>
            </w:r>
          </w:p>
        </w:tc>
        <w:tc>
          <w:tcPr>
            <w:tcW w:w="166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2465,10</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Transferts reçus de l'Etat</w:t>
            </w:r>
          </w:p>
        </w:tc>
        <w:tc>
          <w:tcPr>
            <w:tcW w:w="154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1036,67</w:t>
            </w:r>
          </w:p>
        </w:tc>
        <w:tc>
          <w:tcPr>
            <w:tcW w:w="192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687,79</w:t>
            </w:r>
          </w:p>
        </w:tc>
        <w:tc>
          <w:tcPr>
            <w:tcW w:w="166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643,28</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b/>
                <w:bCs/>
                <w:color w:val="000000"/>
                <w:sz w:val="20"/>
                <w:szCs w:val="20"/>
                <w:lang w:eastAsia="fr-FR"/>
              </w:rPr>
            </w:pPr>
            <w:r w:rsidRPr="00D32FE0">
              <w:rPr>
                <w:rFonts w:ascii="Arial" w:hAnsi="Arial" w:cs="Arial"/>
                <w:b/>
                <w:bCs/>
                <w:color w:val="000000"/>
                <w:sz w:val="20"/>
                <w:szCs w:val="20"/>
                <w:lang w:eastAsia="fr-FR"/>
              </w:rPr>
              <w:t>Dépenses totales</w:t>
            </w:r>
          </w:p>
        </w:tc>
        <w:tc>
          <w:tcPr>
            <w:tcW w:w="154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3887,15</w:t>
            </w:r>
          </w:p>
        </w:tc>
        <w:tc>
          <w:tcPr>
            <w:tcW w:w="192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3591,76</w:t>
            </w:r>
          </w:p>
        </w:tc>
        <w:tc>
          <w:tcPr>
            <w:tcW w:w="166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3263,92</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Dépenses hors intérêts</w:t>
            </w:r>
          </w:p>
        </w:tc>
        <w:tc>
          <w:tcPr>
            <w:tcW w:w="154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3819,80</w:t>
            </w:r>
          </w:p>
        </w:tc>
        <w:tc>
          <w:tcPr>
            <w:tcW w:w="192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3498,55</w:t>
            </w:r>
          </w:p>
        </w:tc>
        <w:tc>
          <w:tcPr>
            <w:tcW w:w="166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3138,92</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Dépenses intérêts</w:t>
            </w:r>
          </w:p>
        </w:tc>
        <w:tc>
          <w:tcPr>
            <w:tcW w:w="154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65,35</w:t>
            </w:r>
          </w:p>
        </w:tc>
        <w:tc>
          <w:tcPr>
            <w:tcW w:w="192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93,21</w:t>
            </w:r>
          </w:p>
        </w:tc>
        <w:tc>
          <w:tcPr>
            <w:tcW w:w="166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125,00</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b/>
                <w:bCs/>
                <w:color w:val="000000"/>
                <w:sz w:val="20"/>
                <w:szCs w:val="20"/>
                <w:lang w:eastAsia="fr-FR"/>
              </w:rPr>
            </w:pPr>
            <w:r w:rsidRPr="00D32FE0">
              <w:rPr>
                <w:rFonts w:ascii="Arial" w:hAnsi="Arial" w:cs="Arial"/>
                <w:b/>
                <w:bCs/>
                <w:color w:val="000000"/>
                <w:sz w:val="20"/>
                <w:szCs w:val="20"/>
                <w:lang w:eastAsia="fr-FR"/>
              </w:rPr>
              <w:t>Emprunts nets</w:t>
            </w:r>
          </w:p>
        </w:tc>
        <w:tc>
          <w:tcPr>
            <w:tcW w:w="154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634,90</w:t>
            </w:r>
          </w:p>
        </w:tc>
        <w:tc>
          <w:tcPr>
            <w:tcW w:w="192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203,80</w:t>
            </w:r>
          </w:p>
        </w:tc>
        <w:tc>
          <w:tcPr>
            <w:tcW w:w="1660" w:type="dxa"/>
            <w:shd w:val="clear" w:color="auto" w:fill="auto"/>
            <w:noWrap/>
            <w:vAlign w:val="bottom"/>
            <w:hideMark/>
          </w:tcPr>
          <w:p w:rsidR="00DC573F" w:rsidRPr="00D32FE0" w:rsidRDefault="00DC573F" w:rsidP="00DC573F">
            <w:pPr>
              <w:jc w:val="right"/>
              <w:rPr>
                <w:rFonts w:ascii="Arial" w:hAnsi="Arial" w:cs="Arial"/>
                <w:b/>
                <w:bCs/>
                <w:color w:val="000000"/>
                <w:sz w:val="20"/>
                <w:szCs w:val="20"/>
                <w:lang w:eastAsia="fr-FR"/>
              </w:rPr>
            </w:pPr>
            <w:r w:rsidRPr="00D32FE0">
              <w:rPr>
                <w:rFonts w:ascii="Arial" w:hAnsi="Arial" w:cs="Arial"/>
                <w:b/>
                <w:bCs/>
                <w:color w:val="000000"/>
                <w:sz w:val="20"/>
                <w:szCs w:val="20"/>
                <w:lang w:eastAsia="fr-FR"/>
              </w:rPr>
              <w:t>131,10</w:t>
            </w:r>
          </w:p>
        </w:tc>
      </w:tr>
      <w:tr w:rsidR="00DC573F" w:rsidRPr="00D32FE0" w:rsidTr="00DC573F">
        <w:trPr>
          <w:trHeight w:val="300"/>
        </w:trPr>
        <w:tc>
          <w:tcPr>
            <w:tcW w:w="3760" w:type="dxa"/>
            <w:shd w:val="clear" w:color="auto" w:fill="auto"/>
            <w:noWrap/>
            <w:vAlign w:val="bottom"/>
            <w:hideMark/>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Intérieurs</w:t>
            </w:r>
          </w:p>
        </w:tc>
        <w:tc>
          <w:tcPr>
            <w:tcW w:w="154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641.90</w:t>
            </w:r>
          </w:p>
        </w:tc>
        <w:tc>
          <w:tcPr>
            <w:tcW w:w="192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210,80</w:t>
            </w:r>
          </w:p>
        </w:tc>
        <w:tc>
          <w:tcPr>
            <w:tcW w:w="1660" w:type="dxa"/>
            <w:shd w:val="clear" w:color="auto" w:fill="auto"/>
            <w:noWrap/>
            <w:vAlign w:val="bottom"/>
            <w:hideMark/>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138,10</w:t>
            </w:r>
          </w:p>
        </w:tc>
      </w:tr>
      <w:tr w:rsidR="00DC573F" w:rsidRPr="00D32FE0" w:rsidTr="00DC573F">
        <w:trPr>
          <w:trHeight w:val="300"/>
        </w:trPr>
        <w:tc>
          <w:tcPr>
            <w:tcW w:w="3760" w:type="dxa"/>
            <w:shd w:val="clear" w:color="auto" w:fill="auto"/>
            <w:noWrap/>
            <w:vAlign w:val="bottom"/>
          </w:tcPr>
          <w:p w:rsidR="00DC573F" w:rsidRPr="00D32FE0" w:rsidRDefault="00DC573F" w:rsidP="00DC573F">
            <w:pPr>
              <w:pStyle w:val="ListParagraph"/>
              <w:numPr>
                <w:ilvl w:val="0"/>
                <w:numId w:val="107"/>
              </w:numPr>
              <w:contextualSpacing/>
              <w:rPr>
                <w:rFonts w:ascii="Arial" w:hAnsi="Arial" w:cs="Arial"/>
                <w:i/>
                <w:iCs/>
                <w:color w:val="000000"/>
                <w:sz w:val="20"/>
                <w:szCs w:val="20"/>
                <w:lang w:eastAsia="fr-FR"/>
              </w:rPr>
            </w:pPr>
            <w:r w:rsidRPr="00D32FE0">
              <w:rPr>
                <w:rFonts w:ascii="Arial" w:hAnsi="Arial" w:cs="Arial"/>
                <w:i/>
                <w:iCs/>
                <w:color w:val="000000"/>
                <w:sz w:val="20"/>
                <w:szCs w:val="20"/>
                <w:lang w:eastAsia="fr-FR"/>
              </w:rPr>
              <w:t>Extérieurs</w:t>
            </w:r>
          </w:p>
        </w:tc>
        <w:tc>
          <w:tcPr>
            <w:tcW w:w="1540" w:type="dxa"/>
            <w:shd w:val="clear" w:color="auto" w:fill="auto"/>
            <w:noWrap/>
            <w:vAlign w:val="bottom"/>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-7,00</w:t>
            </w:r>
          </w:p>
        </w:tc>
        <w:tc>
          <w:tcPr>
            <w:tcW w:w="1920" w:type="dxa"/>
            <w:shd w:val="clear" w:color="auto" w:fill="auto"/>
            <w:noWrap/>
            <w:vAlign w:val="bottom"/>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-7,00</w:t>
            </w:r>
          </w:p>
        </w:tc>
        <w:tc>
          <w:tcPr>
            <w:tcW w:w="1660" w:type="dxa"/>
            <w:shd w:val="clear" w:color="auto" w:fill="auto"/>
            <w:noWrap/>
            <w:vAlign w:val="bottom"/>
          </w:tcPr>
          <w:p w:rsidR="00DC573F" w:rsidRPr="00D32FE0" w:rsidRDefault="00DC573F" w:rsidP="00DC573F">
            <w:pPr>
              <w:jc w:val="right"/>
              <w:rPr>
                <w:rFonts w:ascii="Arial" w:hAnsi="Arial" w:cs="Arial"/>
                <w:color w:val="000000"/>
                <w:sz w:val="20"/>
                <w:szCs w:val="20"/>
                <w:lang w:eastAsia="fr-FR"/>
              </w:rPr>
            </w:pPr>
            <w:r w:rsidRPr="00D32FE0">
              <w:rPr>
                <w:rFonts w:ascii="Arial" w:hAnsi="Arial" w:cs="Arial"/>
                <w:color w:val="000000"/>
                <w:sz w:val="20"/>
                <w:szCs w:val="20"/>
                <w:lang w:eastAsia="fr-FR"/>
              </w:rPr>
              <w:t>-7,00</w:t>
            </w:r>
          </w:p>
        </w:tc>
      </w:tr>
    </w:tbl>
    <w:p w:rsidR="00DC573F" w:rsidRPr="008E0ACF" w:rsidRDefault="00DC573F" w:rsidP="00DC573F">
      <w:pPr>
        <w:jc w:val="center"/>
        <w:rPr>
          <w:rFonts w:ascii="Arial Narrow" w:hAnsi="Arial Narrow" w:cs="Arial"/>
          <w:sz w:val="20"/>
          <w:szCs w:val="20"/>
          <w:lang w:eastAsia="en-CA"/>
        </w:rPr>
      </w:pPr>
      <w:r w:rsidRPr="008E0ACF">
        <w:rPr>
          <w:rFonts w:ascii="Arial Narrow" w:hAnsi="Arial Narrow" w:cs="Arial"/>
          <w:sz w:val="20"/>
          <w:szCs w:val="20"/>
          <w:u w:val="single"/>
          <w:lang w:eastAsia="en-CA"/>
        </w:rPr>
        <w:t>Sources :</w:t>
      </w:r>
      <w:r w:rsidRPr="008E0ACF">
        <w:rPr>
          <w:rFonts w:ascii="Arial Narrow" w:hAnsi="Arial Narrow" w:cs="Arial"/>
          <w:sz w:val="20"/>
          <w:szCs w:val="20"/>
          <w:lang w:eastAsia="en-CA"/>
        </w:rPr>
        <w:t xml:space="preserve"> Calculs de l’équipe à partir de données fournies par le Division du Budget, des Marchés et de l'Approvisionnement</w:t>
      </w:r>
    </w:p>
    <w:p w:rsidR="00DC573F" w:rsidRDefault="00DC573F" w:rsidP="00DC573F">
      <w:pPr>
        <w:jc w:val="both"/>
        <w:rPr>
          <w:rFonts w:ascii="Arial" w:hAnsi="Arial" w:cs="Arial"/>
          <w:lang w:eastAsia="en-CA"/>
        </w:rPr>
      </w:pPr>
    </w:p>
    <w:p w:rsidR="00105BAB" w:rsidRDefault="00105BAB" w:rsidP="00DC573F">
      <w:pPr>
        <w:jc w:val="both"/>
        <w:rPr>
          <w:rFonts w:ascii="Arial" w:hAnsi="Arial" w:cs="Arial"/>
          <w:lang w:eastAsia="en-CA"/>
        </w:rPr>
      </w:pPr>
    </w:p>
    <w:p w:rsidR="00DC573F" w:rsidRDefault="00DC573F" w:rsidP="00DC573F">
      <w:pPr>
        <w:jc w:val="both"/>
        <w:rPr>
          <w:rFonts w:ascii="Arial" w:hAnsi="Arial" w:cs="Arial"/>
          <w:lang w:eastAsia="en-CA"/>
        </w:rPr>
      </w:pPr>
      <w:r>
        <w:rPr>
          <w:rFonts w:ascii="Arial" w:hAnsi="Arial" w:cs="Arial"/>
          <w:lang w:eastAsia="en-CA"/>
        </w:rPr>
        <w:t>Le tableau ci-dessous présente l’évolution des dotations budgétaires de la CC par domaine d’intervention, la répartition des dépenses suivant une classification fonctionnelle conforme à la CFAP n’étant pas disponible. Par ailleurs, pour mieux apprécier les ressources allouées par la CC à chacun des domaines, la mission a exclu des dépenses totales les dépenses des comptes d’affectation spéciale (CAS)  et s’est donc limitée aux opérations budgétaires stricto sensu de la CC.</w:t>
      </w:r>
    </w:p>
    <w:p w:rsidR="00DC573F" w:rsidRDefault="00DC573F" w:rsidP="00DC573F">
      <w:pPr>
        <w:jc w:val="both"/>
        <w:rPr>
          <w:rFonts w:ascii="Arial" w:hAnsi="Arial" w:cs="Arial"/>
          <w:lang w:eastAsia="en-CA"/>
        </w:rPr>
      </w:pPr>
    </w:p>
    <w:p w:rsidR="00105BAB" w:rsidRDefault="00DC573F" w:rsidP="00DC573F">
      <w:pPr>
        <w:jc w:val="both"/>
        <w:rPr>
          <w:rFonts w:ascii="Arial" w:hAnsi="Arial" w:cs="Arial"/>
          <w:lang w:eastAsia="en-CA"/>
        </w:rPr>
      </w:pPr>
      <w:r>
        <w:rPr>
          <w:rFonts w:ascii="Arial" w:hAnsi="Arial" w:cs="Arial"/>
          <w:lang w:eastAsia="en-CA"/>
        </w:rPr>
        <w:t>De l’examen de ce tableau, il ressort que les ressources de la CC sont principalement consacrées à l’administration générale dont la part a représenté plus de 50% des dépenses totales hors CAS sur les trois années. Le domaine des affaires sociales est celui qui bénéficie le moins de ressources. Sa part dans les dotations budgétaires totales hors CAS a varié entre 2,41% et 3,65% sur la période l’évaluation.</w:t>
      </w:r>
    </w:p>
    <w:p w:rsidR="00DC573F" w:rsidRDefault="00DC573F" w:rsidP="00DC573F">
      <w:pPr>
        <w:jc w:val="both"/>
        <w:rPr>
          <w:rFonts w:ascii="Arial" w:hAnsi="Arial" w:cs="Arial"/>
          <w:lang w:eastAsia="en-CA"/>
        </w:rPr>
      </w:pPr>
    </w:p>
    <w:p w:rsidR="00DC573F" w:rsidRDefault="00DC573F" w:rsidP="00DC573F">
      <w:pPr>
        <w:rPr>
          <w:rFonts w:ascii="Arial Narrow" w:hAnsi="Arial Narrow"/>
          <w:b/>
          <w:bCs/>
          <w:sz w:val="20"/>
        </w:rPr>
      </w:pPr>
      <w:r w:rsidRPr="008E0ACF">
        <w:rPr>
          <w:rFonts w:ascii="Arial Narrow" w:hAnsi="Arial Narrow"/>
          <w:b/>
          <w:bCs/>
          <w:sz w:val="20"/>
          <w:u w:val="single"/>
        </w:rPr>
        <w:t>TABLEAU</w:t>
      </w:r>
      <w:r>
        <w:rPr>
          <w:rFonts w:ascii="Arial Narrow" w:hAnsi="Arial Narrow"/>
          <w:b/>
          <w:bCs/>
          <w:sz w:val="20"/>
        </w:rPr>
        <w:t xml:space="preserve"> 2.3</w:t>
      </w:r>
      <w:r w:rsidRPr="008E0ACF">
        <w:rPr>
          <w:rFonts w:ascii="Arial Narrow" w:hAnsi="Arial Narrow"/>
          <w:b/>
          <w:bCs/>
          <w:sz w:val="20"/>
        </w:rPr>
        <w:t xml:space="preserve"> : DOTATIONS BUDGÉTAIRES </w:t>
      </w:r>
      <w:r>
        <w:rPr>
          <w:rFonts w:ascii="Arial Narrow" w:hAnsi="Arial Narrow"/>
          <w:b/>
          <w:bCs/>
          <w:sz w:val="20"/>
        </w:rPr>
        <w:t xml:space="preserve">DE LA COMMUNE DE CASABLANCA PAR DOMAINE DE 2012 – 2014 </w:t>
      </w:r>
    </w:p>
    <w:p w:rsidR="00DC573F" w:rsidRPr="00655EDE" w:rsidRDefault="00DC573F" w:rsidP="00DC573F">
      <w:pPr>
        <w:jc w:val="center"/>
        <w:rPr>
          <w:rFonts w:ascii="Arial Narrow" w:hAnsi="Arial Narrow"/>
          <w:bCs/>
          <w:sz w:val="20"/>
        </w:rPr>
      </w:pPr>
      <w:r w:rsidRPr="008E0ACF">
        <w:rPr>
          <w:rFonts w:ascii="Arial Narrow" w:hAnsi="Arial Narrow"/>
          <w:bCs/>
          <w:sz w:val="20"/>
        </w:rPr>
        <w:t>(</w:t>
      </w:r>
      <w:r>
        <w:rPr>
          <w:rFonts w:ascii="Arial Narrow" w:hAnsi="Arial Narrow"/>
          <w:bCs/>
          <w:sz w:val="20"/>
        </w:rPr>
        <w:t>En pourcentage des dépenses totales)</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0"/>
        <w:gridCol w:w="1540"/>
        <w:gridCol w:w="1803"/>
        <w:gridCol w:w="1777"/>
      </w:tblGrid>
      <w:tr w:rsidR="00DC573F" w:rsidRPr="00BF4A85" w:rsidTr="00CA09F7">
        <w:trPr>
          <w:trHeight w:val="300"/>
        </w:trPr>
        <w:tc>
          <w:tcPr>
            <w:tcW w:w="3760" w:type="dxa"/>
            <w:shd w:val="clear" w:color="auto" w:fill="0070C0"/>
            <w:noWrap/>
            <w:vAlign w:val="center"/>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Domaines</w:t>
            </w:r>
          </w:p>
        </w:tc>
        <w:tc>
          <w:tcPr>
            <w:tcW w:w="1540"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2012</w:t>
            </w:r>
          </w:p>
        </w:tc>
        <w:tc>
          <w:tcPr>
            <w:tcW w:w="1803"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2013</w:t>
            </w:r>
          </w:p>
        </w:tc>
        <w:tc>
          <w:tcPr>
            <w:tcW w:w="1777" w:type="dxa"/>
            <w:shd w:val="clear" w:color="auto" w:fill="0070C0"/>
            <w:noWrap/>
            <w:vAlign w:val="bottom"/>
            <w:hideMark/>
          </w:tcPr>
          <w:p w:rsidR="00DC573F" w:rsidRPr="00D32FE0" w:rsidRDefault="00DC573F" w:rsidP="00DC573F">
            <w:pPr>
              <w:jc w:val="center"/>
              <w:rPr>
                <w:rFonts w:ascii="Arial" w:hAnsi="Arial" w:cs="Arial"/>
                <w:b/>
                <w:color w:val="FFFFFF" w:themeColor="background1"/>
                <w:sz w:val="20"/>
                <w:szCs w:val="20"/>
                <w:lang w:eastAsia="fr-FR"/>
              </w:rPr>
            </w:pPr>
            <w:r w:rsidRPr="00D32FE0">
              <w:rPr>
                <w:rFonts w:ascii="Arial" w:hAnsi="Arial" w:cs="Arial"/>
                <w:b/>
                <w:color w:val="FFFFFF" w:themeColor="background1"/>
                <w:sz w:val="20"/>
                <w:szCs w:val="20"/>
                <w:lang w:eastAsia="fr-FR"/>
              </w:rPr>
              <w:t>2014</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Administration générale</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53,04</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50,91</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51,81</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Domaine affaires sociales</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3,65</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2,41</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3,07</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Domaine affaires techniques</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15,49</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13,10</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14,86</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Domaine affaires économiques</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0,00</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0,00</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0,00</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Domaine de soutien</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27,82</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33,58</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30,27</w:t>
            </w:r>
          </w:p>
        </w:tc>
      </w:tr>
      <w:tr w:rsidR="00DC573F" w:rsidRPr="00BF4A85" w:rsidTr="00DC573F">
        <w:trPr>
          <w:trHeight w:val="300"/>
        </w:trPr>
        <w:tc>
          <w:tcPr>
            <w:tcW w:w="3760" w:type="dxa"/>
            <w:shd w:val="clear" w:color="auto" w:fill="auto"/>
            <w:noWrap/>
            <w:vAlign w:val="bottom"/>
            <w:hideMark/>
          </w:tcPr>
          <w:p w:rsidR="00DC573F" w:rsidRPr="00D32FE0" w:rsidRDefault="00DC573F" w:rsidP="00DC573F">
            <w:pPr>
              <w:rPr>
                <w:rFonts w:ascii="Arial" w:hAnsi="Arial" w:cs="Arial"/>
                <w:color w:val="000000"/>
                <w:sz w:val="20"/>
                <w:szCs w:val="20"/>
                <w:lang w:eastAsia="fr-FR"/>
              </w:rPr>
            </w:pPr>
            <w:r w:rsidRPr="00D32FE0">
              <w:rPr>
                <w:rFonts w:ascii="Arial" w:hAnsi="Arial" w:cs="Arial"/>
                <w:color w:val="000000"/>
                <w:sz w:val="20"/>
                <w:szCs w:val="20"/>
                <w:lang w:eastAsia="fr-FR"/>
              </w:rPr>
              <w:t>TOTAL hors CAS</w:t>
            </w:r>
          </w:p>
        </w:tc>
        <w:tc>
          <w:tcPr>
            <w:tcW w:w="1540"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100,00</w:t>
            </w:r>
          </w:p>
        </w:tc>
        <w:tc>
          <w:tcPr>
            <w:tcW w:w="1803"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100,00</w:t>
            </w:r>
          </w:p>
        </w:tc>
        <w:tc>
          <w:tcPr>
            <w:tcW w:w="1777" w:type="dxa"/>
            <w:shd w:val="clear" w:color="auto" w:fill="auto"/>
            <w:noWrap/>
            <w:hideMark/>
          </w:tcPr>
          <w:p w:rsidR="00DC573F" w:rsidRPr="00D32FE0" w:rsidRDefault="00DC573F" w:rsidP="00DC573F">
            <w:pPr>
              <w:jc w:val="center"/>
              <w:rPr>
                <w:rFonts w:ascii="Arial" w:hAnsi="Arial" w:cs="Arial"/>
                <w:sz w:val="20"/>
                <w:szCs w:val="20"/>
              </w:rPr>
            </w:pPr>
            <w:r w:rsidRPr="00D32FE0">
              <w:rPr>
                <w:rFonts w:ascii="Arial" w:hAnsi="Arial" w:cs="Arial"/>
                <w:color w:val="000000"/>
                <w:sz w:val="20"/>
                <w:szCs w:val="20"/>
                <w:lang w:eastAsia="fr-FR"/>
              </w:rPr>
              <w:t>100,00</w:t>
            </w:r>
          </w:p>
        </w:tc>
      </w:tr>
    </w:tbl>
    <w:p w:rsidR="00DC573F" w:rsidRPr="008E0ACF" w:rsidRDefault="00DC573F" w:rsidP="00DC573F">
      <w:pPr>
        <w:jc w:val="center"/>
        <w:rPr>
          <w:rFonts w:ascii="Arial Narrow" w:hAnsi="Arial Narrow" w:cs="Arial"/>
          <w:sz w:val="20"/>
          <w:szCs w:val="20"/>
          <w:lang w:eastAsia="en-CA"/>
        </w:rPr>
      </w:pPr>
      <w:r w:rsidRPr="008E0ACF">
        <w:rPr>
          <w:rFonts w:ascii="Arial Narrow" w:hAnsi="Arial Narrow" w:cs="Arial"/>
          <w:sz w:val="20"/>
          <w:szCs w:val="20"/>
          <w:u w:val="single"/>
          <w:lang w:eastAsia="en-CA"/>
        </w:rPr>
        <w:t>Sources :</w:t>
      </w:r>
      <w:r w:rsidRPr="008E0ACF">
        <w:rPr>
          <w:rFonts w:ascii="Arial Narrow" w:hAnsi="Arial Narrow" w:cs="Arial"/>
          <w:sz w:val="20"/>
          <w:szCs w:val="20"/>
          <w:lang w:eastAsia="en-CA"/>
        </w:rPr>
        <w:t xml:space="preserve"> Calculs de l’équipe à partir de données fournies par le Division du Budget, des Marchés et de l'Approvisionnement</w:t>
      </w:r>
    </w:p>
    <w:p w:rsidR="00DC573F" w:rsidRDefault="00DC573F" w:rsidP="00DC573F">
      <w:pPr>
        <w:jc w:val="both"/>
        <w:rPr>
          <w:rFonts w:ascii="Arial" w:hAnsi="Arial" w:cs="Arial"/>
          <w:lang w:eastAsia="en-CA"/>
        </w:rPr>
      </w:pPr>
    </w:p>
    <w:p w:rsidR="00DC573F" w:rsidRDefault="00DC573F" w:rsidP="00DC573F">
      <w:pPr>
        <w:jc w:val="both"/>
        <w:rPr>
          <w:rFonts w:ascii="Arial" w:hAnsi="Arial" w:cs="Arial"/>
          <w:lang w:eastAsia="en-CA"/>
        </w:rPr>
      </w:pPr>
    </w:p>
    <w:p w:rsidR="00DC573F" w:rsidRDefault="00DC573F" w:rsidP="00DC573F">
      <w:pPr>
        <w:jc w:val="both"/>
        <w:rPr>
          <w:rFonts w:ascii="Arial" w:hAnsi="Arial" w:cs="Arial"/>
          <w:lang w:eastAsia="en-CA"/>
        </w:rPr>
      </w:pPr>
      <w:r>
        <w:rPr>
          <w:rFonts w:ascii="Arial" w:hAnsi="Arial" w:cs="Arial"/>
          <w:lang w:eastAsia="en-CA"/>
        </w:rPr>
        <w:t>Le tableau 2-4 qui suit présente l’évolution de la composition économique des dépenses en pourcentage des dépenses totales de 2012 à 2014.</w:t>
      </w:r>
    </w:p>
    <w:p w:rsidR="00544726" w:rsidRDefault="00544726" w:rsidP="00DC573F">
      <w:pPr>
        <w:jc w:val="both"/>
        <w:rPr>
          <w:rFonts w:ascii="Arial" w:hAnsi="Arial" w:cs="Arial"/>
          <w:lang w:eastAsia="en-CA"/>
        </w:rPr>
      </w:pPr>
    </w:p>
    <w:p w:rsidR="00DC573F" w:rsidRDefault="00DC573F" w:rsidP="00DC573F">
      <w:pPr>
        <w:jc w:val="both"/>
        <w:rPr>
          <w:rFonts w:ascii="Arial" w:hAnsi="Arial" w:cs="Arial"/>
          <w:lang w:eastAsia="en-CA"/>
        </w:rPr>
      </w:pPr>
    </w:p>
    <w:p w:rsidR="0034021B" w:rsidRDefault="0034021B">
      <w:pPr>
        <w:rPr>
          <w:rFonts w:ascii="Arial Narrow" w:hAnsi="Arial Narrow"/>
          <w:b/>
          <w:bCs/>
          <w:sz w:val="20"/>
          <w:u w:val="single"/>
        </w:rPr>
      </w:pPr>
      <w:r>
        <w:rPr>
          <w:rFonts w:ascii="Arial Narrow" w:hAnsi="Arial Narrow"/>
          <w:b/>
          <w:bCs/>
          <w:sz w:val="20"/>
          <w:u w:val="single"/>
        </w:rPr>
        <w:br w:type="page"/>
      </w:r>
    </w:p>
    <w:p w:rsidR="00DC573F" w:rsidRPr="00463AB9" w:rsidRDefault="00DC573F" w:rsidP="00DC573F">
      <w:pPr>
        <w:rPr>
          <w:rFonts w:ascii="Arial Narrow" w:hAnsi="Arial Narrow"/>
          <w:b/>
          <w:bCs/>
          <w:sz w:val="20"/>
        </w:rPr>
      </w:pPr>
      <w:r w:rsidRPr="00463AB9">
        <w:rPr>
          <w:rFonts w:ascii="Arial Narrow" w:hAnsi="Arial Narrow"/>
          <w:b/>
          <w:bCs/>
          <w:sz w:val="20"/>
          <w:u w:val="single"/>
        </w:rPr>
        <w:t>TABLEAU</w:t>
      </w:r>
      <w:r w:rsidRPr="00463AB9">
        <w:rPr>
          <w:rFonts w:ascii="Arial Narrow" w:hAnsi="Arial Narrow"/>
          <w:b/>
          <w:bCs/>
          <w:sz w:val="20"/>
        </w:rPr>
        <w:t xml:space="preserve"> 2.4 : DOTATIONS BUDGÉTAIRES DE LA COMMUNE DE CASABLANCA PAR NATURE DE 2012 – 2014 </w:t>
      </w:r>
    </w:p>
    <w:p w:rsidR="00DC573F" w:rsidRPr="00463AB9" w:rsidRDefault="00DC573F" w:rsidP="00DC573F">
      <w:pPr>
        <w:jc w:val="center"/>
        <w:rPr>
          <w:rFonts w:ascii="Arial Narrow" w:hAnsi="Arial Narrow"/>
          <w:bCs/>
          <w:sz w:val="20"/>
        </w:rPr>
      </w:pPr>
      <w:r w:rsidRPr="00463AB9">
        <w:rPr>
          <w:rFonts w:ascii="Arial Narrow" w:hAnsi="Arial Narrow"/>
          <w:bCs/>
          <w:sz w:val="20"/>
        </w:rPr>
        <w:t>(En pourcentage des dépenses totales)</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1560"/>
        <w:gridCol w:w="1417"/>
        <w:gridCol w:w="1352"/>
      </w:tblGrid>
      <w:tr w:rsidR="00DC573F" w:rsidRPr="00463AB9" w:rsidTr="00CA09F7">
        <w:trPr>
          <w:trHeight w:val="300"/>
        </w:trPr>
        <w:tc>
          <w:tcPr>
            <w:tcW w:w="4551" w:type="dxa"/>
            <w:shd w:val="clear" w:color="auto" w:fill="0070C0"/>
            <w:noWrap/>
            <w:vAlign w:val="center"/>
            <w:hideMark/>
          </w:tcPr>
          <w:p w:rsidR="00DC573F" w:rsidRPr="00463AB9" w:rsidRDefault="00DC573F" w:rsidP="00DC573F">
            <w:pPr>
              <w:jc w:val="center"/>
              <w:rPr>
                <w:rFonts w:ascii="Arial" w:hAnsi="Arial" w:cs="Arial"/>
                <w:b/>
                <w:color w:val="FFFFFF" w:themeColor="background1"/>
                <w:sz w:val="20"/>
                <w:szCs w:val="20"/>
                <w:lang w:eastAsia="fr-FR"/>
              </w:rPr>
            </w:pPr>
            <w:r w:rsidRPr="00463AB9">
              <w:rPr>
                <w:rFonts w:ascii="Arial" w:hAnsi="Arial" w:cs="Arial"/>
                <w:b/>
                <w:color w:val="FFFFFF" w:themeColor="background1"/>
                <w:sz w:val="20"/>
                <w:szCs w:val="20"/>
                <w:lang w:eastAsia="fr-FR"/>
              </w:rPr>
              <w:t>Domaines</w:t>
            </w:r>
          </w:p>
        </w:tc>
        <w:tc>
          <w:tcPr>
            <w:tcW w:w="1560" w:type="dxa"/>
            <w:shd w:val="clear" w:color="auto" w:fill="0070C0"/>
            <w:noWrap/>
            <w:vAlign w:val="bottom"/>
            <w:hideMark/>
          </w:tcPr>
          <w:p w:rsidR="00DC573F" w:rsidRPr="00463AB9" w:rsidRDefault="00DC573F" w:rsidP="00DC573F">
            <w:pPr>
              <w:jc w:val="center"/>
              <w:rPr>
                <w:rFonts w:ascii="Arial" w:hAnsi="Arial" w:cs="Arial"/>
                <w:b/>
                <w:color w:val="FFFFFF" w:themeColor="background1"/>
                <w:sz w:val="20"/>
                <w:szCs w:val="20"/>
                <w:lang w:eastAsia="fr-FR"/>
              </w:rPr>
            </w:pPr>
            <w:r w:rsidRPr="00463AB9">
              <w:rPr>
                <w:rFonts w:ascii="Arial" w:hAnsi="Arial" w:cs="Arial"/>
                <w:b/>
                <w:color w:val="FFFFFF" w:themeColor="background1"/>
                <w:sz w:val="20"/>
                <w:szCs w:val="20"/>
                <w:lang w:eastAsia="fr-FR"/>
              </w:rPr>
              <w:t>2012</w:t>
            </w:r>
          </w:p>
        </w:tc>
        <w:tc>
          <w:tcPr>
            <w:tcW w:w="1417" w:type="dxa"/>
            <w:shd w:val="clear" w:color="auto" w:fill="0070C0"/>
            <w:noWrap/>
            <w:vAlign w:val="bottom"/>
            <w:hideMark/>
          </w:tcPr>
          <w:p w:rsidR="00DC573F" w:rsidRPr="00463AB9" w:rsidRDefault="00DC573F" w:rsidP="00DC573F">
            <w:pPr>
              <w:jc w:val="center"/>
              <w:rPr>
                <w:rFonts w:ascii="Arial" w:hAnsi="Arial" w:cs="Arial"/>
                <w:b/>
                <w:color w:val="FFFFFF" w:themeColor="background1"/>
                <w:sz w:val="20"/>
                <w:szCs w:val="20"/>
                <w:lang w:eastAsia="fr-FR"/>
              </w:rPr>
            </w:pPr>
            <w:r w:rsidRPr="00463AB9">
              <w:rPr>
                <w:rFonts w:ascii="Arial" w:hAnsi="Arial" w:cs="Arial"/>
                <w:b/>
                <w:color w:val="FFFFFF" w:themeColor="background1"/>
                <w:sz w:val="20"/>
                <w:szCs w:val="20"/>
                <w:lang w:eastAsia="fr-FR"/>
              </w:rPr>
              <w:t>2013</w:t>
            </w:r>
          </w:p>
        </w:tc>
        <w:tc>
          <w:tcPr>
            <w:tcW w:w="1352" w:type="dxa"/>
            <w:shd w:val="clear" w:color="auto" w:fill="0070C0"/>
            <w:noWrap/>
            <w:vAlign w:val="bottom"/>
            <w:hideMark/>
          </w:tcPr>
          <w:p w:rsidR="00DC573F" w:rsidRPr="00463AB9" w:rsidRDefault="00DC573F" w:rsidP="00DC573F">
            <w:pPr>
              <w:jc w:val="center"/>
              <w:rPr>
                <w:rFonts w:ascii="Arial" w:hAnsi="Arial" w:cs="Arial"/>
                <w:b/>
                <w:color w:val="FFFFFF" w:themeColor="background1"/>
                <w:sz w:val="20"/>
                <w:szCs w:val="20"/>
                <w:lang w:eastAsia="fr-FR"/>
              </w:rPr>
            </w:pPr>
            <w:r w:rsidRPr="00463AB9">
              <w:rPr>
                <w:rFonts w:ascii="Arial" w:hAnsi="Arial" w:cs="Arial"/>
                <w:b/>
                <w:color w:val="FFFFFF" w:themeColor="background1"/>
                <w:sz w:val="20"/>
                <w:szCs w:val="20"/>
                <w:lang w:eastAsia="fr-FR"/>
              </w:rPr>
              <w:t>2014</w:t>
            </w:r>
          </w:p>
        </w:tc>
      </w:tr>
      <w:tr w:rsidR="00DC573F" w:rsidRPr="00463AB9" w:rsidTr="00DC573F">
        <w:trPr>
          <w:trHeight w:val="300"/>
        </w:trPr>
        <w:tc>
          <w:tcPr>
            <w:tcW w:w="4551" w:type="dxa"/>
            <w:shd w:val="clear" w:color="auto" w:fill="auto"/>
            <w:noWrap/>
            <w:vAlign w:val="bottom"/>
          </w:tcPr>
          <w:p w:rsidR="00DC573F" w:rsidRPr="00463AB9" w:rsidRDefault="00DC573F" w:rsidP="00DC573F">
            <w:pPr>
              <w:rPr>
                <w:rFonts w:ascii="Arial" w:hAnsi="Arial" w:cs="Arial"/>
                <w:b/>
                <w:color w:val="000000"/>
                <w:sz w:val="20"/>
                <w:szCs w:val="20"/>
                <w:lang w:eastAsia="fr-FR"/>
              </w:rPr>
            </w:pPr>
            <w:r w:rsidRPr="00463AB9">
              <w:rPr>
                <w:rFonts w:ascii="Arial" w:hAnsi="Arial" w:cs="Arial"/>
                <w:b/>
                <w:color w:val="000000"/>
                <w:sz w:val="20"/>
                <w:szCs w:val="20"/>
                <w:lang w:eastAsia="fr-FR"/>
              </w:rPr>
              <w:t>Dépenses de fonctionnement</w:t>
            </w:r>
          </w:p>
        </w:tc>
        <w:tc>
          <w:tcPr>
            <w:tcW w:w="1560" w:type="dxa"/>
            <w:shd w:val="clear" w:color="auto" w:fill="auto"/>
            <w:noWrap/>
          </w:tcPr>
          <w:p w:rsidR="00DC573F" w:rsidRPr="00463AB9" w:rsidRDefault="00DC573F" w:rsidP="00DC573F">
            <w:pPr>
              <w:jc w:val="center"/>
              <w:rPr>
                <w:rFonts w:ascii="Arial" w:hAnsi="Arial" w:cs="Arial"/>
                <w:b/>
                <w:color w:val="000000"/>
                <w:sz w:val="20"/>
                <w:szCs w:val="20"/>
                <w:lang w:eastAsia="fr-FR"/>
              </w:rPr>
            </w:pPr>
            <w:r w:rsidRPr="00463AB9">
              <w:rPr>
                <w:rFonts w:ascii="Arial" w:hAnsi="Arial" w:cs="Arial"/>
                <w:b/>
                <w:color w:val="000000"/>
                <w:sz w:val="20"/>
                <w:szCs w:val="20"/>
                <w:lang w:eastAsia="fr-FR"/>
              </w:rPr>
              <w:t>64,07</w:t>
            </w:r>
          </w:p>
        </w:tc>
        <w:tc>
          <w:tcPr>
            <w:tcW w:w="1417" w:type="dxa"/>
            <w:shd w:val="clear" w:color="auto" w:fill="auto"/>
            <w:noWrap/>
          </w:tcPr>
          <w:p w:rsidR="00DC573F" w:rsidRPr="00463AB9" w:rsidRDefault="00DC573F" w:rsidP="00DC573F">
            <w:pPr>
              <w:jc w:val="center"/>
              <w:rPr>
                <w:rFonts w:ascii="Arial" w:hAnsi="Arial" w:cs="Arial"/>
                <w:b/>
                <w:color w:val="000000"/>
                <w:sz w:val="20"/>
                <w:szCs w:val="20"/>
                <w:lang w:eastAsia="fr-FR"/>
              </w:rPr>
            </w:pPr>
            <w:r w:rsidRPr="00463AB9">
              <w:rPr>
                <w:rFonts w:ascii="Arial" w:hAnsi="Arial" w:cs="Arial"/>
                <w:b/>
                <w:color w:val="000000"/>
                <w:sz w:val="20"/>
                <w:szCs w:val="20"/>
                <w:lang w:eastAsia="fr-FR"/>
              </w:rPr>
              <w:t>65,36</w:t>
            </w:r>
          </w:p>
        </w:tc>
        <w:tc>
          <w:tcPr>
            <w:tcW w:w="1352" w:type="dxa"/>
            <w:shd w:val="clear" w:color="auto" w:fill="auto"/>
            <w:noWrap/>
          </w:tcPr>
          <w:p w:rsidR="00DC573F" w:rsidRPr="00463AB9" w:rsidRDefault="00DC573F" w:rsidP="00DC573F">
            <w:pPr>
              <w:jc w:val="center"/>
              <w:rPr>
                <w:rFonts w:ascii="Arial" w:hAnsi="Arial" w:cs="Arial"/>
                <w:b/>
                <w:color w:val="000000"/>
                <w:sz w:val="20"/>
                <w:szCs w:val="20"/>
                <w:lang w:eastAsia="fr-FR"/>
              </w:rPr>
            </w:pPr>
            <w:r w:rsidRPr="00463AB9">
              <w:rPr>
                <w:rFonts w:ascii="Arial" w:hAnsi="Arial" w:cs="Arial"/>
                <w:b/>
                <w:color w:val="000000"/>
                <w:sz w:val="20"/>
                <w:szCs w:val="20"/>
                <w:lang w:eastAsia="fr-FR"/>
              </w:rPr>
              <w:t>65,12</w:t>
            </w:r>
          </w:p>
        </w:tc>
      </w:tr>
      <w:tr w:rsidR="00DC573F" w:rsidRPr="00463AB9" w:rsidTr="00DC573F">
        <w:trPr>
          <w:trHeight w:val="300"/>
        </w:trPr>
        <w:tc>
          <w:tcPr>
            <w:tcW w:w="4551" w:type="dxa"/>
            <w:shd w:val="clear" w:color="auto" w:fill="auto"/>
            <w:noWrap/>
            <w:vAlign w:val="bottom"/>
          </w:tcPr>
          <w:p w:rsidR="00DC573F" w:rsidRPr="00463AB9" w:rsidRDefault="00DC573F" w:rsidP="00DC573F">
            <w:pPr>
              <w:pStyle w:val="ListParagraph"/>
              <w:numPr>
                <w:ilvl w:val="0"/>
                <w:numId w:val="107"/>
              </w:numPr>
              <w:contextualSpacing/>
              <w:rPr>
                <w:rFonts w:ascii="Arial" w:hAnsi="Arial" w:cs="Arial"/>
                <w:color w:val="000000"/>
                <w:sz w:val="20"/>
                <w:szCs w:val="20"/>
                <w:lang w:eastAsia="fr-FR"/>
              </w:rPr>
            </w:pPr>
            <w:r w:rsidRPr="00463AB9">
              <w:rPr>
                <w:rFonts w:ascii="Arial" w:hAnsi="Arial" w:cs="Arial"/>
                <w:color w:val="000000"/>
                <w:sz w:val="20"/>
                <w:szCs w:val="20"/>
                <w:lang w:eastAsia="fr-FR"/>
              </w:rPr>
              <w:t>Dépenses de personnel</w:t>
            </w:r>
          </w:p>
        </w:tc>
        <w:tc>
          <w:tcPr>
            <w:tcW w:w="1560"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31,19</w:t>
            </w:r>
          </w:p>
        </w:tc>
        <w:tc>
          <w:tcPr>
            <w:tcW w:w="1417"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30,97</w:t>
            </w:r>
          </w:p>
        </w:tc>
        <w:tc>
          <w:tcPr>
            <w:tcW w:w="1352"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30,79</w:t>
            </w:r>
          </w:p>
        </w:tc>
      </w:tr>
      <w:tr w:rsidR="00DC573F" w:rsidRPr="00463AB9" w:rsidTr="00DC573F">
        <w:trPr>
          <w:trHeight w:val="300"/>
        </w:trPr>
        <w:tc>
          <w:tcPr>
            <w:tcW w:w="4551" w:type="dxa"/>
            <w:shd w:val="clear" w:color="auto" w:fill="auto"/>
            <w:noWrap/>
            <w:vAlign w:val="bottom"/>
          </w:tcPr>
          <w:p w:rsidR="00DC573F" w:rsidRPr="00463AB9" w:rsidRDefault="00DC573F" w:rsidP="00DC573F">
            <w:pPr>
              <w:pStyle w:val="ListParagraph"/>
              <w:numPr>
                <w:ilvl w:val="0"/>
                <w:numId w:val="107"/>
              </w:numPr>
              <w:contextualSpacing/>
              <w:rPr>
                <w:rFonts w:ascii="Arial" w:hAnsi="Arial" w:cs="Arial"/>
                <w:color w:val="000000"/>
                <w:sz w:val="20"/>
                <w:szCs w:val="20"/>
                <w:lang w:eastAsia="fr-FR"/>
              </w:rPr>
            </w:pPr>
            <w:r w:rsidRPr="00463AB9">
              <w:rPr>
                <w:rFonts w:ascii="Arial" w:hAnsi="Arial" w:cs="Arial"/>
                <w:color w:val="000000"/>
                <w:sz w:val="20"/>
                <w:szCs w:val="20"/>
                <w:lang w:eastAsia="fr-FR"/>
              </w:rPr>
              <w:t>Autres dépenses de fonctionnement</w:t>
            </w:r>
          </w:p>
        </w:tc>
        <w:tc>
          <w:tcPr>
            <w:tcW w:w="1560"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32,88</w:t>
            </w:r>
          </w:p>
        </w:tc>
        <w:tc>
          <w:tcPr>
            <w:tcW w:w="1417"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34,39</w:t>
            </w:r>
          </w:p>
        </w:tc>
        <w:tc>
          <w:tcPr>
            <w:tcW w:w="1352" w:type="dxa"/>
            <w:shd w:val="clear" w:color="auto" w:fill="auto"/>
            <w:noWrap/>
          </w:tcPr>
          <w:p w:rsidR="00DC573F" w:rsidRPr="00463AB9" w:rsidRDefault="00DC573F" w:rsidP="00DC573F">
            <w:pPr>
              <w:jc w:val="center"/>
              <w:rPr>
                <w:rFonts w:ascii="Arial" w:hAnsi="Arial" w:cs="Arial"/>
                <w:sz w:val="20"/>
                <w:szCs w:val="20"/>
              </w:rPr>
            </w:pPr>
            <w:r w:rsidRPr="00463AB9">
              <w:rPr>
                <w:rFonts w:ascii="Arial" w:hAnsi="Arial" w:cs="Arial"/>
                <w:color w:val="000000"/>
                <w:sz w:val="20"/>
                <w:szCs w:val="20"/>
                <w:lang w:eastAsia="fr-FR"/>
              </w:rPr>
              <w:t>34,33</w:t>
            </w:r>
          </w:p>
        </w:tc>
      </w:tr>
      <w:tr w:rsidR="00DC573F" w:rsidRPr="00463AB9" w:rsidTr="00DC573F">
        <w:trPr>
          <w:trHeight w:val="300"/>
        </w:trPr>
        <w:tc>
          <w:tcPr>
            <w:tcW w:w="4551" w:type="dxa"/>
            <w:shd w:val="clear" w:color="auto" w:fill="auto"/>
            <w:noWrap/>
            <w:vAlign w:val="bottom"/>
          </w:tcPr>
          <w:p w:rsidR="00DC573F" w:rsidRPr="00463AB9" w:rsidRDefault="00DC573F" w:rsidP="00DC573F">
            <w:pPr>
              <w:rPr>
                <w:rFonts w:ascii="Arial" w:hAnsi="Arial" w:cs="Arial"/>
                <w:b/>
                <w:color w:val="000000"/>
                <w:sz w:val="20"/>
                <w:szCs w:val="20"/>
                <w:lang w:eastAsia="fr-FR"/>
              </w:rPr>
            </w:pPr>
            <w:r w:rsidRPr="00463AB9">
              <w:rPr>
                <w:rFonts w:ascii="Arial" w:hAnsi="Arial" w:cs="Arial"/>
                <w:b/>
                <w:color w:val="000000"/>
                <w:sz w:val="20"/>
                <w:szCs w:val="20"/>
                <w:lang w:eastAsia="fr-FR"/>
              </w:rPr>
              <w:t>Intérêts</w:t>
            </w:r>
          </w:p>
        </w:tc>
        <w:tc>
          <w:tcPr>
            <w:tcW w:w="1560"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1,62</w:t>
            </w:r>
          </w:p>
        </w:tc>
        <w:tc>
          <w:tcPr>
            <w:tcW w:w="1417"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2,20</w:t>
            </w:r>
          </w:p>
        </w:tc>
        <w:tc>
          <w:tcPr>
            <w:tcW w:w="1352"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2,90</w:t>
            </w:r>
          </w:p>
        </w:tc>
      </w:tr>
      <w:tr w:rsidR="00DC573F" w:rsidRPr="00463AB9" w:rsidTr="00DC573F">
        <w:trPr>
          <w:trHeight w:val="300"/>
        </w:trPr>
        <w:tc>
          <w:tcPr>
            <w:tcW w:w="4551" w:type="dxa"/>
            <w:shd w:val="clear" w:color="auto" w:fill="auto"/>
            <w:noWrap/>
            <w:vAlign w:val="bottom"/>
          </w:tcPr>
          <w:p w:rsidR="00DC573F" w:rsidRPr="00463AB9" w:rsidRDefault="00DC573F" w:rsidP="00DC573F">
            <w:pPr>
              <w:rPr>
                <w:rFonts w:ascii="Arial" w:hAnsi="Arial" w:cs="Arial"/>
                <w:b/>
                <w:color w:val="000000"/>
                <w:sz w:val="20"/>
                <w:szCs w:val="20"/>
                <w:lang w:eastAsia="fr-FR"/>
              </w:rPr>
            </w:pPr>
            <w:r w:rsidRPr="00463AB9">
              <w:rPr>
                <w:rFonts w:ascii="Arial" w:hAnsi="Arial" w:cs="Arial"/>
                <w:b/>
                <w:color w:val="000000"/>
                <w:sz w:val="20"/>
                <w:szCs w:val="20"/>
                <w:lang w:eastAsia="fr-FR"/>
              </w:rPr>
              <w:t>Dépenses d'équipement</w:t>
            </w:r>
          </w:p>
        </w:tc>
        <w:tc>
          <w:tcPr>
            <w:tcW w:w="1560"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34,30</w:t>
            </w:r>
          </w:p>
        </w:tc>
        <w:tc>
          <w:tcPr>
            <w:tcW w:w="1417"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32,44</w:t>
            </w:r>
          </w:p>
        </w:tc>
        <w:tc>
          <w:tcPr>
            <w:tcW w:w="1352"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31,98</w:t>
            </w:r>
          </w:p>
        </w:tc>
      </w:tr>
      <w:tr w:rsidR="00DC573F" w:rsidRPr="00463AB9" w:rsidTr="00DC573F">
        <w:trPr>
          <w:trHeight w:val="300"/>
        </w:trPr>
        <w:tc>
          <w:tcPr>
            <w:tcW w:w="4551" w:type="dxa"/>
            <w:shd w:val="clear" w:color="auto" w:fill="auto"/>
            <w:noWrap/>
            <w:vAlign w:val="bottom"/>
          </w:tcPr>
          <w:p w:rsidR="00DC573F" w:rsidRPr="00463AB9" w:rsidRDefault="00DC573F" w:rsidP="00DC573F">
            <w:pPr>
              <w:rPr>
                <w:rFonts w:ascii="Arial" w:hAnsi="Arial" w:cs="Arial"/>
                <w:b/>
                <w:color w:val="000000"/>
                <w:sz w:val="20"/>
                <w:szCs w:val="20"/>
                <w:lang w:eastAsia="fr-FR"/>
              </w:rPr>
            </w:pPr>
            <w:r w:rsidRPr="00463AB9">
              <w:rPr>
                <w:rFonts w:ascii="Arial" w:hAnsi="Arial" w:cs="Arial"/>
                <w:b/>
                <w:color w:val="000000"/>
                <w:sz w:val="20"/>
                <w:szCs w:val="20"/>
                <w:lang w:eastAsia="fr-FR"/>
              </w:rPr>
              <w:t>Dépenses totales</w:t>
            </w:r>
          </w:p>
        </w:tc>
        <w:tc>
          <w:tcPr>
            <w:tcW w:w="1560"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100,00</w:t>
            </w:r>
          </w:p>
        </w:tc>
        <w:tc>
          <w:tcPr>
            <w:tcW w:w="1417"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100,00</w:t>
            </w:r>
          </w:p>
        </w:tc>
        <w:tc>
          <w:tcPr>
            <w:tcW w:w="1352" w:type="dxa"/>
            <w:shd w:val="clear" w:color="auto" w:fill="auto"/>
            <w:noWrap/>
          </w:tcPr>
          <w:p w:rsidR="00DC573F" w:rsidRPr="00463AB9" w:rsidRDefault="00DC573F" w:rsidP="00DC573F">
            <w:pPr>
              <w:jc w:val="center"/>
              <w:rPr>
                <w:rFonts w:ascii="Arial" w:hAnsi="Arial" w:cs="Arial"/>
                <w:b/>
                <w:sz w:val="20"/>
                <w:szCs w:val="20"/>
              </w:rPr>
            </w:pPr>
            <w:r w:rsidRPr="00463AB9">
              <w:rPr>
                <w:rFonts w:ascii="Arial" w:hAnsi="Arial" w:cs="Arial"/>
                <w:b/>
                <w:color w:val="000000"/>
                <w:sz w:val="20"/>
                <w:szCs w:val="20"/>
                <w:lang w:eastAsia="fr-FR"/>
              </w:rPr>
              <w:t>100,00</w:t>
            </w:r>
          </w:p>
        </w:tc>
      </w:tr>
    </w:tbl>
    <w:p w:rsidR="00DC573F" w:rsidRDefault="00DC573F" w:rsidP="00DC573F">
      <w:pPr>
        <w:jc w:val="both"/>
        <w:rPr>
          <w:rFonts w:ascii="Arial" w:hAnsi="Arial" w:cs="Arial"/>
          <w:lang w:eastAsia="en-CA"/>
        </w:rPr>
      </w:pPr>
      <w:r w:rsidRPr="00463AB9">
        <w:rPr>
          <w:rFonts w:ascii="Arial" w:hAnsi="Arial" w:cs="Arial"/>
          <w:sz w:val="20"/>
          <w:szCs w:val="20"/>
          <w:u w:val="single"/>
          <w:lang w:eastAsia="en-CA"/>
        </w:rPr>
        <w:t>Sources :</w:t>
      </w:r>
      <w:r w:rsidRPr="00463AB9">
        <w:rPr>
          <w:rFonts w:ascii="Arial" w:hAnsi="Arial" w:cs="Arial"/>
          <w:sz w:val="20"/>
          <w:szCs w:val="20"/>
          <w:lang w:eastAsia="en-CA"/>
        </w:rPr>
        <w:t xml:space="preserve"> Calculs de l’équipe à partir de données fournies par le Division du Budget, des Marchés et de</w:t>
      </w:r>
      <w:r w:rsidRPr="008E0ACF">
        <w:rPr>
          <w:rFonts w:ascii="Arial Narrow" w:hAnsi="Arial Narrow" w:cs="Arial"/>
          <w:sz w:val="20"/>
          <w:szCs w:val="20"/>
          <w:lang w:eastAsia="en-CA"/>
        </w:rPr>
        <w:t xml:space="preserve"> l'Approvisionnement</w:t>
      </w:r>
    </w:p>
    <w:p w:rsidR="00DC573F" w:rsidRDefault="00DC573F" w:rsidP="00DC573F">
      <w:pPr>
        <w:jc w:val="both"/>
        <w:rPr>
          <w:rFonts w:ascii="Arial" w:hAnsi="Arial" w:cs="Arial"/>
          <w:lang w:eastAsia="en-CA"/>
        </w:rPr>
      </w:pPr>
    </w:p>
    <w:p w:rsidR="0070479E" w:rsidRPr="00913D5F" w:rsidRDefault="00DC573F" w:rsidP="0070479E">
      <w:pPr>
        <w:spacing w:after="200"/>
        <w:rPr>
          <w:rFonts w:ascii="Arial" w:hAnsi="Arial" w:cs="Arial"/>
          <w:lang w:eastAsia="en-CA"/>
        </w:rPr>
      </w:pPr>
      <w:r>
        <w:rPr>
          <w:rFonts w:ascii="Arial" w:hAnsi="Arial" w:cs="Arial"/>
          <w:lang w:eastAsia="en-CA"/>
        </w:rPr>
        <w:t xml:space="preserve">Les dotations budgétaires de la CC sont dominées par les dépenses de fonctionnement qui ont représenté en moyenne quelque 65% des dépenses totales de 2012 à 2014 et sont quasiment également réparties entre les dépenses de personnel et les autres dépenses de fonctionnement. La part des dépenses d’équipement a varié entre 31,98% et 34,30% sur la période. Les intérêts au titre des emprunts contractés ont constitué moins de 3% des dépenses totales. </w:t>
      </w:r>
      <w:bookmarkStart w:id="83" w:name="_Toc412839429"/>
    </w:p>
    <w:p w:rsidR="0070479E" w:rsidRPr="00CA09F7" w:rsidRDefault="0070479E" w:rsidP="00F75220">
      <w:pPr>
        <w:pStyle w:val="Heading2"/>
        <w:rPr>
          <w:i w:val="0"/>
          <w:color w:val="0070C0"/>
        </w:rPr>
      </w:pPr>
      <w:bookmarkStart w:id="84" w:name="_Toc434916100"/>
      <w:bookmarkStart w:id="85" w:name="_Toc434918314"/>
      <w:r w:rsidRPr="00CA09F7">
        <w:rPr>
          <w:i w:val="0"/>
          <w:color w:val="0070C0"/>
        </w:rPr>
        <w:t>2.3 Description de la structure des Collectivités Territoriales</w:t>
      </w:r>
      <w:bookmarkEnd w:id="84"/>
      <w:bookmarkEnd w:id="85"/>
    </w:p>
    <w:p w:rsidR="00106354" w:rsidRDefault="00106354" w:rsidP="0070479E">
      <w:pPr>
        <w:jc w:val="both"/>
        <w:rPr>
          <w:rFonts w:ascii="Arial" w:hAnsi="Arial" w:cs="Arial"/>
        </w:rPr>
      </w:pPr>
    </w:p>
    <w:p w:rsidR="00C24A07" w:rsidRDefault="00C24A07" w:rsidP="00C24A07">
      <w:pPr>
        <w:jc w:val="both"/>
        <w:rPr>
          <w:rFonts w:ascii="Arial" w:hAnsi="Arial" w:cs="Arial"/>
        </w:rPr>
      </w:pPr>
      <w:r>
        <w:rPr>
          <w:rFonts w:ascii="Arial" w:hAnsi="Arial" w:cs="Arial"/>
        </w:rPr>
        <w:t xml:space="preserve">Le secteur public marocain comprend 530 unités de l’administration centrale et 1594 unités au niveau infranational. L’administration centrale comprend 35 départements ministériels, 8 Institutions de l’Etat, 202 services de l’Etat gérés de manière autonome et 285 entreprises et établissements publics. </w:t>
      </w:r>
    </w:p>
    <w:p w:rsidR="00C24A07" w:rsidRDefault="00C24A07" w:rsidP="00C24A07">
      <w:pPr>
        <w:jc w:val="both"/>
        <w:rPr>
          <w:rFonts w:ascii="Arial" w:hAnsi="Arial" w:cs="Arial"/>
        </w:rPr>
      </w:pPr>
    </w:p>
    <w:p w:rsidR="00C24A07" w:rsidRPr="00130741" w:rsidRDefault="00C24A07" w:rsidP="00C24A07">
      <w:pPr>
        <w:pStyle w:val="CTBCorpsdetexte"/>
        <w:tabs>
          <w:tab w:val="left" w:pos="426"/>
        </w:tabs>
        <w:rPr>
          <w:rFonts w:eastAsiaTheme="minorHAnsi"/>
          <w:color w:val="000000"/>
          <w:kern w:val="0"/>
          <w:sz w:val="24"/>
          <w:szCs w:val="24"/>
          <w:lang w:val="fr-FR"/>
        </w:rPr>
      </w:pPr>
      <w:r w:rsidRPr="00130741">
        <w:rPr>
          <w:rFonts w:eastAsiaTheme="minorHAnsi"/>
          <w:color w:val="000000"/>
          <w:kern w:val="0"/>
          <w:sz w:val="24"/>
          <w:szCs w:val="24"/>
          <w:lang w:val="fr-FR"/>
        </w:rPr>
        <w:t>Les Services de l’Etat Gérés de Manière Autonome constituent une spécificité forte de la Gestion des Finances Publiques marocaine et de son organisation. Il s’agit d’administrations (sous-structures de ministères) ne disposant pas de la personnalité morale, celle-ci appartenant à leur structure de rattachement.</w:t>
      </w:r>
      <w:r>
        <w:rPr>
          <w:rFonts w:eastAsiaTheme="minorHAnsi"/>
          <w:color w:val="000000"/>
          <w:kern w:val="0"/>
          <w:sz w:val="24"/>
          <w:szCs w:val="24"/>
          <w:lang w:val="fr-FR"/>
        </w:rPr>
        <w:t xml:space="preserve"> Une</w:t>
      </w:r>
      <w:r w:rsidRPr="00130741">
        <w:rPr>
          <w:rFonts w:eastAsiaTheme="minorHAnsi"/>
          <w:color w:val="000000"/>
          <w:kern w:val="0"/>
          <w:sz w:val="24"/>
          <w:szCs w:val="24"/>
          <w:lang w:val="fr-FR"/>
        </w:rPr>
        <w:t xml:space="preserve"> partie des dépenses </w:t>
      </w:r>
      <w:r>
        <w:rPr>
          <w:rFonts w:eastAsiaTheme="minorHAnsi"/>
          <w:color w:val="000000"/>
          <w:kern w:val="0"/>
          <w:sz w:val="24"/>
          <w:szCs w:val="24"/>
          <w:lang w:val="fr-FR"/>
        </w:rPr>
        <w:t xml:space="preserve">des SEGMA </w:t>
      </w:r>
      <w:r w:rsidRPr="00130741">
        <w:rPr>
          <w:rFonts w:eastAsiaTheme="minorHAnsi"/>
          <w:color w:val="000000"/>
          <w:kern w:val="0"/>
          <w:sz w:val="24"/>
          <w:szCs w:val="24"/>
          <w:lang w:val="fr-FR"/>
        </w:rPr>
        <w:t>est couverte par des ressources non imputées sur crédits ouverts au budget de l’Etat</w:t>
      </w:r>
      <w:r>
        <w:rPr>
          <w:rFonts w:eastAsiaTheme="minorHAnsi"/>
          <w:color w:val="000000"/>
          <w:kern w:val="0"/>
          <w:sz w:val="24"/>
          <w:szCs w:val="24"/>
          <w:lang w:val="fr-FR"/>
        </w:rPr>
        <w:t>,</w:t>
      </w:r>
      <w:r w:rsidRPr="00130741">
        <w:rPr>
          <w:rFonts w:eastAsiaTheme="minorHAnsi"/>
          <w:color w:val="000000"/>
          <w:kern w:val="0"/>
          <w:sz w:val="24"/>
          <w:szCs w:val="24"/>
          <w:lang w:val="fr-FR"/>
        </w:rPr>
        <w:t xml:space="preserve"> mais par des ressources propres c’est-à-dire directement et spécifiquement affectées à ces structures. </w:t>
      </w:r>
    </w:p>
    <w:p w:rsidR="0034021B" w:rsidRDefault="0034021B">
      <w:pPr>
        <w:rPr>
          <w:rFonts w:ascii="Arial Narrow" w:hAnsi="Arial Narrow"/>
          <w:b/>
          <w:bCs/>
          <w:sz w:val="20"/>
          <w:u w:val="single"/>
        </w:rPr>
      </w:pPr>
      <w:r>
        <w:rPr>
          <w:rFonts w:ascii="Arial Narrow" w:hAnsi="Arial Narrow"/>
          <w:b/>
          <w:bCs/>
          <w:sz w:val="20"/>
          <w:u w:val="single"/>
        </w:rPr>
        <w:br w:type="page"/>
      </w:r>
    </w:p>
    <w:p w:rsidR="00C24A07" w:rsidRDefault="00C24A07" w:rsidP="00463AB9">
      <w:pPr>
        <w:jc w:val="center"/>
        <w:rPr>
          <w:rFonts w:ascii="Arial Narrow" w:hAnsi="Arial Narrow"/>
          <w:b/>
          <w:bCs/>
          <w:sz w:val="20"/>
        </w:rPr>
      </w:pPr>
      <w:r w:rsidRPr="008E0ACF">
        <w:rPr>
          <w:rFonts w:ascii="Arial Narrow" w:hAnsi="Arial Narrow"/>
          <w:b/>
          <w:bCs/>
          <w:sz w:val="20"/>
          <w:u w:val="single"/>
        </w:rPr>
        <w:t>TABLEAU</w:t>
      </w:r>
      <w:r>
        <w:rPr>
          <w:rFonts w:ascii="Arial Narrow" w:hAnsi="Arial Narrow"/>
          <w:b/>
          <w:bCs/>
          <w:sz w:val="20"/>
        </w:rPr>
        <w:t xml:space="preserve"> 2.5</w:t>
      </w:r>
      <w:r w:rsidRPr="008E0ACF">
        <w:rPr>
          <w:rFonts w:ascii="Arial Narrow" w:hAnsi="Arial Narrow"/>
          <w:b/>
          <w:bCs/>
          <w:sz w:val="20"/>
        </w:rPr>
        <w:t xml:space="preserve"> : </w:t>
      </w:r>
      <w:r>
        <w:rPr>
          <w:rFonts w:ascii="Arial Narrow" w:hAnsi="Arial Narrow"/>
          <w:b/>
          <w:bCs/>
          <w:sz w:val="20"/>
        </w:rPr>
        <w:t xml:space="preserve">STRUCTURE DU SECTEUR PUBLIC AU MAROC </w:t>
      </w:r>
      <w:r>
        <w:rPr>
          <w:rFonts w:ascii="Arial Narrow" w:hAnsi="Arial Narrow"/>
          <w:bCs/>
          <w:sz w:val="20"/>
        </w:rPr>
        <w:t>(Année 2014)</w:t>
      </w:r>
    </w:p>
    <w:p w:rsidR="00C24A07" w:rsidRPr="006F58D6" w:rsidRDefault="00C24A07" w:rsidP="00C24A07">
      <w:pPr>
        <w:rPr>
          <w:rFonts w:ascii="Arial Narrow" w:hAnsi="Arial Narrow"/>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3"/>
        <w:gridCol w:w="1709"/>
      </w:tblGrid>
      <w:tr w:rsidR="00C24A07" w:rsidRPr="006F58D6" w:rsidTr="00CA09F7">
        <w:trPr>
          <w:trHeight w:val="300"/>
        </w:trPr>
        <w:tc>
          <w:tcPr>
            <w:tcW w:w="4057" w:type="pct"/>
            <w:shd w:val="clear" w:color="auto" w:fill="0070C0"/>
            <w:noWrap/>
            <w:vAlign w:val="bottom"/>
            <w:hideMark/>
          </w:tcPr>
          <w:p w:rsidR="00C24A07" w:rsidRPr="00463AB9" w:rsidRDefault="00C24A07" w:rsidP="00C24A07">
            <w:pPr>
              <w:jc w:val="center"/>
              <w:rPr>
                <w:rFonts w:ascii="Arial" w:hAnsi="Arial" w:cs="Arial"/>
                <w:b/>
                <w:bCs/>
                <w:color w:val="FFFFFF" w:themeColor="background1"/>
                <w:sz w:val="20"/>
                <w:lang w:eastAsia="fr-FR"/>
              </w:rPr>
            </w:pPr>
            <w:r w:rsidRPr="00463AB9">
              <w:rPr>
                <w:rFonts w:ascii="Arial" w:hAnsi="Arial" w:cs="Arial"/>
                <w:b/>
                <w:bCs/>
                <w:color w:val="FFFFFF" w:themeColor="background1"/>
                <w:sz w:val="20"/>
                <w:lang w:eastAsia="fr-FR"/>
              </w:rPr>
              <w:t>Unités</w:t>
            </w:r>
          </w:p>
        </w:tc>
        <w:tc>
          <w:tcPr>
            <w:tcW w:w="943" w:type="pct"/>
            <w:shd w:val="clear" w:color="auto" w:fill="0070C0"/>
            <w:noWrap/>
            <w:vAlign w:val="bottom"/>
            <w:hideMark/>
          </w:tcPr>
          <w:p w:rsidR="00C24A07" w:rsidRPr="00463AB9" w:rsidRDefault="00C24A07" w:rsidP="00C24A07">
            <w:pPr>
              <w:jc w:val="center"/>
              <w:rPr>
                <w:rFonts w:ascii="Arial" w:hAnsi="Arial" w:cs="Arial"/>
                <w:b/>
                <w:bCs/>
                <w:color w:val="FFFFFF" w:themeColor="background1"/>
                <w:sz w:val="20"/>
                <w:lang w:eastAsia="fr-FR"/>
              </w:rPr>
            </w:pPr>
            <w:r w:rsidRPr="00463AB9">
              <w:rPr>
                <w:rFonts w:ascii="Arial" w:hAnsi="Arial" w:cs="Arial"/>
                <w:b/>
                <w:bCs/>
                <w:color w:val="FFFFFF" w:themeColor="background1"/>
                <w:sz w:val="20"/>
                <w:lang w:eastAsia="fr-FR"/>
              </w:rPr>
              <w:t>Nombre</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b/>
                <w:bCs/>
                <w:color w:val="000000"/>
                <w:sz w:val="20"/>
                <w:lang w:eastAsia="fr-FR"/>
              </w:rPr>
            </w:pPr>
            <w:r w:rsidRPr="00463AB9">
              <w:rPr>
                <w:rFonts w:ascii="Arial" w:hAnsi="Arial" w:cs="Arial"/>
                <w:b/>
                <w:bCs/>
                <w:color w:val="000000"/>
                <w:sz w:val="20"/>
                <w:lang w:eastAsia="fr-FR"/>
              </w:rPr>
              <w:t>Administration centrale</w:t>
            </w:r>
          </w:p>
        </w:tc>
        <w:tc>
          <w:tcPr>
            <w:tcW w:w="943" w:type="pct"/>
            <w:shd w:val="clear" w:color="auto" w:fill="auto"/>
            <w:noWrap/>
            <w:vAlign w:val="bottom"/>
            <w:hideMark/>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530</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 xml:space="preserve">Ministères </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35</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Institutions de l’Etat</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8</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Services de l’Etat gérés de manière autonome (SEGMA)</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202</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Entreprises et établissements publics</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285</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b/>
                <w:bCs/>
                <w:color w:val="000000"/>
                <w:sz w:val="20"/>
                <w:lang w:eastAsia="fr-FR"/>
              </w:rPr>
            </w:pPr>
            <w:r w:rsidRPr="00463AB9">
              <w:rPr>
                <w:rFonts w:ascii="Arial" w:hAnsi="Arial" w:cs="Arial"/>
                <w:b/>
                <w:bCs/>
                <w:color w:val="000000"/>
                <w:sz w:val="20"/>
                <w:lang w:eastAsia="fr-FR"/>
              </w:rPr>
              <w:t>Administrations infranationales</w:t>
            </w:r>
          </w:p>
        </w:tc>
        <w:tc>
          <w:tcPr>
            <w:tcW w:w="943" w:type="pct"/>
            <w:shd w:val="clear" w:color="auto" w:fill="auto"/>
            <w:noWrap/>
            <w:vAlign w:val="bottom"/>
            <w:hideMark/>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1594</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Régions</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16</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Provinces</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62</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Préfectures</w:t>
            </w:r>
          </w:p>
        </w:tc>
        <w:tc>
          <w:tcPr>
            <w:tcW w:w="943" w:type="pct"/>
            <w:shd w:val="clear" w:color="auto" w:fill="auto"/>
            <w:noWrap/>
            <w:vAlign w:val="bottom"/>
            <w:hideMark/>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13</w:t>
            </w:r>
          </w:p>
        </w:tc>
      </w:tr>
      <w:tr w:rsidR="00C24A07" w:rsidRPr="006F58D6" w:rsidTr="00C24A07">
        <w:trPr>
          <w:trHeight w:val="300"/>
        </w:trPr>
        <w:tc>
          <w:tcPr>
            <w:tcW w:w="4057" w:type="pct"/>
            <w:shd w:val="clear" w:color="auto" w:fill="auto"/>
            <w:noWrap/>
            <w:vAlign w:val="bottom"/>
          </w:tcPr>
          <w:p w:rsidR="00C24A07" w:rsidRPr="00463AB9" w:rsidRDefault="00C24A07" w:rsidP="00C24A07">
            <w:pPr>
              <w:rPr>
                <w:rFonts w:ascii="Arial" w:hAnsi="Arial" w:cs="Arial"/>
                <w:color w:val="000000"/>
                <w:sz w:val="20"/>
                <w:lang w:eastAsia="fr-FR"/>
              </w:rPr>
            </w:pPr>
            <w:r w:rsidRPr="00463AB9">
              <w:rPr>
                <w:rFonts w:ascii="Arial" w:hAnsi="Arial" w:cs="Arial"/>
                <w:color w:val="000000"/>
                <w:sz w:val="20"/>
                <w:lang w:eastAsia="fr-FR"/>
              </w:rPr>
              <w:t>Communes</w:t>
            </w:r>
          </w:p>
        </w:tc>
        <w:tc>
          <w:tcPr>
            <w:tcW w:w="943" w:type="pct"/>
            <w:shd w:val="clear" w:color="auto" w:fill="auto"/>
            <w:noWrap/>
            <w:vAlign w:val="bottom"/>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1503</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pStyle w:val="ListParagraph"/>
              <w:numPr>
                <w:ilvl w:val="0"/>
                <w:numId w:val="108"/>
              </w:numPr>
              <w:contextualSpacing/>
              <w:rPr>
                <w:rFonts w:ascii="Arial" w:hAnsi="Arial" w:cs="Arial"/>
                <w:i/>
                <w:color w:val="000000"/>
                <w:sz w:val="20"/>
                <w:lang w:eastAsia="fr-FR"/>
              </w:rPr>
            </w:pPr>
            <w:r w:rsidRPr="00463AB9">
              <w:rPr>
                <w:rFonts w:ascii="Arial" w:hAnsi="Arial" w:cs="Arial"/>
                <w:i/>
                <w:color w:val="000000"/>
                <w:sz w:val="20"/>
                <w:lang w:eastAsia="fr-FR"/>
              </w:rPr>
              <w:t>Communes urbaines</w:t>
            </w:r>
          </w:p>
        </w:tc>
        <w:tc>
          <w:tcPr>
            <w:tcW w:w="943" w:type="pct"/>
            <w:shd w:val="clear" w:color="auto" w:fill="auto"/>
            <w:noWrap/>
            <w:vAlign w:val="bottom"/>
            <w:hideMark/>
          </w:tcPr>
          <w:p w:rsidR="00C24A07" w:rsidRPr="00463AB9" w:rsidRDefault="00C24A07" w:rsidP="00C24A07">
            <w:pPr>
              <w:jc w:val="center"/>
              <w:rPr>
                <w:rFonts w:ascii="Arial" w:hAnsi="Arial" w:cs="Arial"/>
                <w:i/>
                <w:color w:val="000000"/>
                <w:sz w:val="20"/>
                <w:lang w:eastAsia="fr-FR"/>
              </w:rPr>
            </w:pPr>
            <w:r w:rsidRPr="00463AB9">
              <w:rPr>
                <w:rFonts w:ascii="Arial" w:hAnsi="Arial" w:cs="Arial"/>
                <w:i/>
                <w:color w:val="000000"/>
                <w:sz w:val="20"/>
                <w:lang w:eastAsia="fr-FR"/>
              </w:rPr>
              <w:t>221</w:t>
            </w:r>
          </w:p>
        </w:tc>
      </w:tr>
      <w:tr w:rsidR="00C24A07" w:rsidRPr="006F58D6" w:rsidTr="00C24A07">
        <w:trPr>
          <w:trHeight w:val="300"/>
        </w:trPr>
        <w:tc>
          <w:tcPr>
            <w:tcW w:w="4057" w:type="pct"/>
            <w:shd w:val="clear" w:color="auto" w:fill="auto"/>
            <w:noWrap/>
            <w:vAlign w:val="bottom"/>
            <w:hideMark/>
          </w:tcPr>
          <w:p w:rsidR="00C24A07" w:rsidRPr="00463AB9" w:rsidRDefault="00C24A07" w:rsidP="00C24A07">
            <w:pPr>
              <w:pStyle w:val="ListParagraph"/>
              <w:numPr>
                <w:ilvl w:val="0"/>
                <w:numId w:val="108"/>
              </w:numPr>
              <w:contextualSpacing/>
              <w:rPr>
                <w:rFonts w:ascii="Arial" w:hAnsi="Arial" w:cs="Arial"/>
                <w:i/>
                <w:color w:val="000000"/>
                <w:sz w:val="20"/>
                <w:lang w:eastAsia="fr-FR"/>
              </w:rPr>
            </w:pPr>
            <w:r w:rsidRPr="00463AB9">
              <w:rPr>
                <w:rFonts w:ascii="Arial" w:hAnsi="Arial" w:cs="Arial"/>
                <w:i/>
                <w:color w:val="000000"/>
                <w:sz w:val="20"/>
                <w:lang w:eastAsia="fr-FR"/>
              </w:rPr>
              <w:t>Communes rurales</w:t>
            </w:r>
          </w:p>
        </w:tc>
        <w:tc>
          <w:tcPr>
            <w:tcW w:w="943" w:type="pct"/>
            <w:shd w:val="clear" w:color="auto" w:fill="auto"/>
            <w:noWrap/>
            <w:vAlign w:val="bottom"/>
            <w:hideMark/>
          </w:tcPr>
          <w:p w:rsidR="00C24A07" w:rsidRPr="00463AB9" w:rsidRDefault="00C24A07" w:rsidP="00C24A07">
            <w:pPr>
              <w:jc w:val="center"/>
              <w:rPr>
                <w:rFonts w:ascii="Arial" w:hAnsi="Arial" w:cs="Arial"/>
                <w:i/>
                <w:color w:val="000000"/>
                <w:sz w:val="20"/>
                <w:lang w:eastAsia="fr-FR"/>
              </w:rPr>
            </w:pPr>
            <w:r w:rsidRPr="00463AB9">
              <w:rPr>
                <w:rFonts w:ascii="Arial" w:hAnsi="Arial" w:cs="Arial"/>
                <w:i/>
                <w:color w:val="000000"/>
                <w:sz w:val="20"/>
                <w:lang w:eastAsia="fr-FR"/>
              </w:rPr>
              <w:t>1282</w:t>
            </w:r>
          </w:p>
        </w:tc>
      </w:tr>
    </w:tbl>
    <w:p w:rsidR="00C24A07" w:rsidRDefault="00C24A07" w:rsidP="00C24A07">
      <w:pPr>
        <w:jc w:val="both"/>
        <w:rPr>
          <w:rFonts w:ascii="Arial" w:hAnsi="Arial" w:cs="Arial"/>
        </w:rPr>
      </w:pPr>
    </w:p>
    <w:p w:rsidR="00C24A07" w:rsidRDefault="00C24A07" w:rsidP="00C24A07">
      <w:pPr>
        <w:jc w:val="both"/>
        <w:rPr>
          <w:rFonts w:ascii="Arial" w:hAnsi="Arial" w:cs="Arial"/>
        </w:rPr>
      </w:pPr>
    </w:p>
    <w:p w:rsidR="00C24A07" w:rsidRPr="00D87C9A" w:rsidRDefault="00C24A07" w:rsidP="00C24A07">
      <w:pPr>
        <w:pStyle w:val="Default"/>
        <w:jc w:val="both"/>
        <w:rPr>
          <w:rFonts w:ascii="Arial" w:hAnsi="Arial"/>
          <w:lang w:val="fr-FR"/>
        </w:rPr>
      </w:pPr>
      <w:r w:rsidRPr="00D87C9A">
        <w:rPr>
          <w:rFonts w:ascii="Arial" w:hAnsi="Arial"/>
          <w:lang w:val="fr-FR"/>
        </w:rPr>
        <w:t>Le secteur public comprend en outre 243</w:t>
      </w:r>
      <w:r w:rsidRPr="00D87C9A">
        <w:rPr>
          <w:rStyle w:val="FootnoteReference"/>
          <w:lang w:val="fr-FR"/>
        </w:rPr>
        <w:footnoteReference w:id="6"/>
      </w:r>
      <w:r w:rsidRPr="00D87C9A">
        <w:rPr>
          <w:rFonts w:ascii="Arial" w:hAnsi="Arial"/>
          <w:lang w:val="fr-FR"/>
        </w:rPr>
        <w:t xml:space="preserve"> établissements publics et 42</w:t>
      </w:r>
      <w:r w:rsidRPr="00D87C9A">
        <w:rPr>
          <w:rStyle w:val="FootnoteReference"/>
          <w:lang w:val="fr-FR"/>
        </w:rPr>
        <w:footnoteReference w:id="7"/>
      </w:r>
      <w:r w:rsidRPr="00D87C9A">
        <w:rPr>
          <w:rFonts w:ascii="Arial" w:hAnsi="Arial"/>
          <w:lang w:val="fr-FR"/>
        </w:rPr>
        <w:t xml:space="preserve"> entreprises à participation directe du Trésor qui jouent un rôle essentiel et croissant dans la mise en œuvre des politiques de développement et des stratégies sectorielles de l’Etat avec un chiffre d’affaires annuel de 207 milliards de dirhams et 89 milliards de dirhams d’investissement. </w:t>
      </w:r>
    </w:p>
    <w:p w:rsidR="00C24A07" w:rsidRPr="00D87C9A" w:rsidRDefault="00C24A07" w:rsidP="00C24A07">
      <w:pPr>
        <w:pStyle w:val="Default"/>
        <w:jc w:val="both"/>
        <w:rPr>
          <w:rFonts w:ascii="Arial" w:hAnsi="Arial"/>
          <w:lang w:val="fr-FR"/>
        </w:rPr>
      </w:pPr>
    </w:p>
    <w:p w:rsidR="00C24A07" w:rsidRPr="00D87C9A" w:rsidRDefault="00C24A07" w:rsidP="00C24A07">
      <w:pPr>
        <w:pStyle w:val="Default"/>
        <w:jc w:val="both"/>
        <w:rPr>
          <w:rFonts w:ascii="Arial" w:hAnsi="Arial"/>
          <w:lang w:val="fr-FR"/>
        </w:rPr>
      </w:pPr>
      <w:r w:rsidRPr="00D87C9A">
        <w:rPr>
          <w:rFonts w:ascii="Arial" w:hAnsi="Arial"/>
          <w:lang w:val="fr-FR"/>
        </w:rPr>
        <w:t>Le portefeuille des EEP se caractérise notamment par la diversité des statuts juridiques, de ses composantes et des secteurs d'activité qu'il couvre. La répartition sectorielle des EEP fait ressortir l'importance du secteur social, éducatif et de la santé publique qui représente </w:t>
      </w:r>
      <w:hyperlink r:id="rId14" w:tooltip="Afficher le sous-menu" w:history="1">
        <w:r w:rsidRPr="00D87C9A">
          <w:rPr>
            <w:rFonts w:ascii="Arial" w:hAnsi="Arial"/>
            <w:lang w:val="fr-FR"/>
          </w:rPr>
          <w:t>29</w:t>
        </w:r>
      </w:hyperlink>
      <w:hyperlink r:id="rId15" w:tooltip="Afficher le sous-menu" w:history="1">
        <w:r w:rsidRPr="00D87C9A">
          <w:rPr>
            <w:rFonts w:ascii="Arial" w:hAnsi="Arial"/>
            <w:lang w:val="fr-FR"/>
          </w:rPr>
          <w:t> </w:t>
        </w:r>
      </w:hyperlink>
      <w:r w:rsidRPr="00D87C9A">
        <w:rPr>
          <w:rFonts w:ascii="Arial" w:hAnsi="Arial"/>
          <w:lang w:val="fr-FR"/>
        </w:rPr>
        <w:t>% du portefeuille public, suivi de</w:t>
      </w:r>
      <w:hyperlink r:id="rId16" w:tooltip="Afficher le sous-menu" w:history="1">
        <w:r w:rsidRPr="00D87C9A">
          <w:rPr>
            <w:rFonts w:ascii="Arial" w:hAnsi="Arial"/>
            <w:lang w:val="fr-FR"/>
          </w:rPr>
          <w:t> </w:t>
        </w:r>
      </w:hyperlink>
      <w:r w:rsidRPr="00D87C9A">
        <w:rPr>
          <w:rFonts w:ascii="Arial" w:hAnsi="Arial"/>
          <w:lang w:val="fr-FR"/>
        </w:rPr>
        <w:t> l'habitat, urbanisme  avec 21%, l'agriculture et de la pêche avec 12%, alors que la composante chargée des ressources hydriques, énergétiques et minières occupe 15% dudit portefeuille.</w:t>
      </w:r>
    </w:p>
    <w:p w:rsidR="00C24A07" w:rsidRPr="008E0F52" w:rsidRDefault="00C24A07" w:rsidP="00C24A07">
      <w:pPr>
        <w:pStyle w:val="Default"/>
        <w:jc w:val="both"/>
        <w:rPr>
          <w:rFonts w:ascii="Arial" w:hAnsi="Arial"/>
          <w:lang w:val="fr-FR"/>
        </w:rPr>
      </w:pPr>
    </w:p>
    <w:p w:rsidR="00C24A07" w:rsidRDefault="00C24A07" w:rsidP="00C24A07">
      <w:pPr>
        <w:jc w:val="both"/>
        <w:rPr>
          <w:rFonts w:ascii="Arial" w:hAnsi="Arial" w:cs="Arial"/>
        </w:rPr>
      </w:pPr>
      <w:r w:rsidRPr="00130741">
        <w:rPr>
          <w:rFonts w:ascii="Arial" w:hAnsi="Arial"/>
        </w:rPr>
        <w:t>La valeur des transferts du budget général de l’Etat aux Etablissements et Entreprises Publics n’a pas cessé d’augmenter passant de 9,3 milliards de dirhams en 2002 à 20,5</w:t>
      </w:r>
      <w:r w:rsidRPr="00130741">
        <w:rPr>
          <w:rStyle w:val="FootnoteReference"/>
        </w:rPr>
        <w:footnoteReference w:id="8"/>
      </w:r>
      <w:r w:rsidR="00370022">
        <w:rPr>
          <w:rFonts w:ascii="Arial" w:hAnsi="Arial"/>
        </w:rPr>
        <w:t xml:space="preserve"> </w:t>
      </w:r>
      <w:r w:rsidRPr="00130741">
        <w:rPr>
          <w:rFonts w:ascii="Arial" w:hAnsi="Arial"/>
        </w:rPr>
        <w:t>milliards de dirhams en 2013. En outre, les risques financiers encourus par le budget de l’Etat du fait de la gestion des autres entités du secteur public, se traduisent généralement par des dépenses importantes accordées sous forme de subventions, de dotations ou de recapitalisation, etc.…</w:t>
      </w:r>
    </w:p>
    <w:p w:rsidR="00C24A07" w:rsidRDefault="00C24A07" w:rsidP="00C24A07">
      <w:pPr>
        <w:jc w:val="both"/>
        <w:rPr>
          <w:rFonts w:ascii="Arial" w:hAnsi="Arial" w:cs="Arial"/>
        </w:rPr>
      </w:pPr>
    </w:p>
    <w:p w:rsidR="00C24A07" w:rsidRPr="00141E7D" w:rsidRDefault="00C24A07" w:rsidP="00C24A07">
      <w:pPr>
        <w:jc w:val="both"/>
        <w:rPr>
          <w:rFonts w:ascii="Arial" w:hAnsi="Arial"/>
        </w:rPr>
      </w:pPr>
      <w:r w:rsidRPr="00130741">
        <w:rPr>
          <w:rFonts w:ascii="Arial" w:hAnsi="Arial"/>
        </w:rPr>
        <w:t xml:space="preserve">Les collectivités territoriales </w:t>
      </w:r>
      <w:r>
        <w:rPr>
          <w:rFonts w:ascii="Arial" w:hAnsi="Arial"/>
        </w:rPr>
        <w:t>comprennent</w:t>
      </w:r>
      <w:r w:rsidRPr="00130741">
        <w:rPr>
          <w:rFonts w:ascii="Arial" w:hAnsi="Arial"/>
        </w:rPr>
        <w:t xml:space="preserve"> jusqu’au mois de septembre 2015</w:t>
      </w:r>
      <w:r>
        <w:rPr>
          <w:rFonts w:ascii="Arial" w:hAnsi="Arial"/>
        </w:rPr>
        <w:t>,</w:t>
      </w:r>
      <w:r w:rsidRPr="00130741">
        <w:rPr>
          <w:rFonts w:ascii="Arial" w:hAnsi="Arial"/>
        </w:rPr>
        <w:t xml:space="preserve"> 16 régions</w:t>
      </w:r>
      <w:r w:rsidRPr="00130741">
        <w:rPr>
          <w:rStyle w:val="FootnoteReference"/>
        </w:rPr>
        <w:footnoteReference w:id="9"/>
      </w:r>
      <w:r>
        <w:rPr>
          <w:rFonts w:ascii="Arial" w:hAnsi="Arial"/>
        </w:rPr>
        <w:t xml:space="preserve">, 62 provinces, 13 </w:t>
      </w:r>
      <w:r w:rsidRPr="00130741">
        <w:rPr>
          <w:rFonts w:ascii="Arial" w:hAnsi="Arial"/>
        </w:rPr>
        <w:t>préfectures</w:t>
      </w:r>
      <w:r w:rsidRPr="00130741">
        <w:rPr>
          <w:rStyle w:val="FootnoteReference"/>
        </w:rPr>
        <w:footnoteReference w:id="10"/>
      </w:r>
      <w:r>
        <w:rPr>
          <w:rFonts w:ascii="Arial" w:hAnsi="Arial"/>
        </w:rPr>
        <w:t>,</w:t>
      </w:r>
      <w:r w:rsidRPr="00130741">
        <w:rPr>
          <w:rFonts w:ascii="Arial" w:hAnsi="Arial"/>
        </w:rPr>
        <w:t xml:space="preserve"> 221 communes urbaines et 1.282 communes rurales</w:t>
      </w:r>
      <w:r>
        <w:rPr>
          <w:rFonts w:ascii="Arial" w:hAnsi="Arial"/>
        </w:rPr>
        <w:t>. Les communes</w:t>
      </w:r>
      <w:r w:rsidRPr="00130741">
        <w:rPr>
          <w:rFonts w:ascii="Arial" w:hAnsi="Arial"/>
        </w:rPr>
        <w:t xml:space="preserve"> ont des conseils municipaux élus et un maire choisi parmi les membres du conseil. </w:t>
      </w:r>
    </w:p>
    <w:p w:rsidR="00C24A07" w:rsidRDefault="00C24A07" w:rsidP="00C24A07">
      <w:pPr>
        <w:jc w:val="both"/>
        <w:rPr>
          <w:rFonts w:ascii="Arial" w:hAnsi="Arial" w:cs="Arial"/>
        </w:rPr>
      </w:pPr>
    </w:p>
    <w:p w:rsidR="00C24A07" w:rsidRPr="00A17E25" w:rsidRDefault="00C24A07" w:rsidP="00C24A07">
      <w:pPr>
        <w:jc w:val="both"/>
        <w:rPr>
          <w:rFonts w:ascii="Arial" w:hAnsi="Arial" w:cs="Arial"/>
        </w:rPr>
      </w:pPr>
      <w:r w:rsidRPr="00A17E25">
        <w:rPr>
          <w:rFonts w:ascii="Arial" w:hAnsi="Arial" w:cs="Arial"/>
        </w:rPr>
        <w:t xml:space="preserve">Il est important de signaler que les finances locales commencent à prendre de l’ampleur, par rapport à celles de l’Etat. </w:t>
      </w:r>
      <w:r>
        <w:rPr>
          <w:rFonts w:ascii="Arial" w:hAnsi="Arial" w:cs="Arial"/>
        </w:rPr>
        <w:t>A</w:t>
      </w:r>
      <w:r w:rsidRPr="00A17E25">
        <w:rPr>
          <w:rFonts w:ascii="Arial" w:hAnsi="Arial" w:cs="Arial"/>
        </w:rPr>
        <w:t xml:space="preserve"> titre illustratif, les dépenses ordinaires des collectivités territoriales représentent 19,9 milliards de MAD en 2013 et constituent l’équivalent de 8,7% des dépenses globales (celles de l’Etat et des collectivités territoriales), </w:t>
      </w:r>
      <w:r>
        <w:rPr>
          <w:rFonts w:ascii="Arial" w:hAnsi="Arial" w:cs="Arial"/>
        </w:rPr>
        <w:t>et</w:t>
      </w:r>
      <w:r w:rsidRPr="00A17E25">
        <w:rPr>
          <w:rFonts w:ascii="Arial" w:hAnsi="Arial" w:cs="Arial"/>
        </w:rPr>
        <w:t xml:space="preserve"> l</w:t>
      </w:r>
      <w:r>
        <w:rPr>
          <w:rFonts w:ascii="Arial" w:hAnsi="Arial" w:cs="Arial"/>
        </w:rPr>
        <w:t>eurs dépenses d’investissement se sont chiffrées à11 milliards de MAD,</w:t>
      </w:r>
      <w:r w:rsidRPr="00A17E25">
        <w:rPr>
          <w:rFonts w:ascii="Arial" w:hAnsi="Arial" w:cs="Arial"/>
        </w:rPr>
        <w:t xml:space="preserve"> </w:t>
      </w:r>
      <w:r>
        <w:rPr>
          <w:rFonts w:ascii="Arial" w:hAnsi="Arial" w:cs="Arial"/>
        </w:rPr>
        <w:t>soit</w:t>
      </w:r>
      <w:r w:rsidRPr="00A17E25">
        <w:rPr>
          <w:rFonts w:ascii="Arial" w:hAnsi="Arial" w:cs="Arial"/>
        </w:rPr>
        <w:t xml:space="preserve"> 19 % de celles de l’Etat. En 2013, les recettes des Collectivités Territoriales (CT) ont même </w:t>
      </w:r>
      <w:r>
        <w:rPr>
          <w:rFonts w:ascii="Arial" w:hAnsi="Arial" w:cs="Arial"/>
        </w:rPr>
        <w:t>atteint</w:t>
      </w:r>
      <w:r w:rsidRPr="00A17E25">
        <w:rPr>
          <w:rFonts w:ascii="Arial" w:hAnsi="Arial" w:cs="Arial"/>
        </w:rPr>
        <w:t xml:space="preserve"> le chiffre record de 31,8 milliards de dirhams, soit l’équivalent de 15,4% des recettes ordinaires de l’Etat.</w:t>
      </w:r>
      <w:r>
        <w:rPr>
          <w:rFonts w:ascii="Arial" w:hAnsi="Arial" w:cs="Arial"/>
        </w:rPr>
        <w:t xml:space="preserve"> </w:t>
      </w:r>
      <w:r w:rsidRPr="00A17E25">
        <w:rPr>
          <w:rFonts w:ascii="Arial" w:hAnsi="Arial" w:cs="Arial"/>
        </w:rPr>
        <w:t xml:space="preserve">Par ailleurs, les collectivités territoriales ont bénéficié de transferts financiers de l’Etat de l’ordre de 18,9 milliards de MAD en 2013. </w:t>
      </w:r>
      <w:r>
        <w:rPr>
          <w:rFonts w:ascii="Arial" w:hAnsi="Arial" w:cs="Arial"/>
        </w:rPr>
        <w:t>En outre</w:t>
      </w:r>
      <w:r w:rsidRPr="00A17E25">
        <w:rPr>
          <w:rFonts w:ascii="Arial" w:hAnsi="Arial" w:cs="Arial"/>
        </w:rPr>
        <w:t xml:space="preserve">, l’encours de la dette </w:t>
      </w:r>
      <w:r>
        <w:rPr>
          <w:rFonts w:ascii="Arial" w:hAnsi="Arial" w:cs="Arial"/>
        </w:rPr>
        <w:t>des CT</w:t>
      </w:r>
      <w:r w:rsidRPr="00A17E25">
        <w:rPr>
          <w:rFonts w:ascii="Arial" w:hAnsi="Arial" w:cs="Arial"/>
        </w:rPr>
        <w:t>, qui est quasi-totalement contracté</w:t>
      </w:r>
      <w:r>
        <w:rPr>
          <w:rFonts w:ascii="Arial" w:hAnsi="Arial" w:cs="Arial"/>
        </w:rPr>
        <w:t>e</w:t>
      </w:r>
      <w:r w:rsidRPr="00A17E25">
        <w:rPr>
          <w:rFonts w:ascii="Arial" w:hAnsi="Arial" w:cs="Arial"/>
        </w:rPr>
        <w:t xml:space="preserve"> auprès du Fonds d’Equipement Communal (FEC), a atteint environ 12.420 millions de DH à fin 2013, enregistrant, ainsi, une augmentation de 784 millions de DH par rapport à 2011.</w:t>
      </w:r>
    </w:p>
    <w:p w:rsidR="00544726" w:rsidRDefault="00544726" w:rsidP="00C24A07">
      <w:pPr>
        <w:jc w:val="both"/>
        <w:rPr>
          <w:rFonts w:ascii="Arial" w:hAnsi="Arial" w:cs="Arial"/>
        </w:rPr>
      </w:pPr>
    </w:p>
    <w:p w:rsidR="00C24A07" w:rsidRPr="00A17E25" w:rsidRDefault="00C24A07" w:rsidP="00C24A07">
      <w:pPr>
        <w:jc w:val="both"/>
        <w:rPr>
          <w:rFonts w:ascii="Arial" w:hAnsi="Arial" w:cs="Arial"/>
        </w:rPr>
      </w:pPr>
      <w:r w:rsidRPr="00A17E25">
        <w:rPr>
          <w:rFonts w:ascii="Arial" w:hAnsi="Arial" w:cs="Arial"/>
        </w:rPr>
        <w:t>S’agissant des ressources humaines, ces collectivités disposent d’un effectif de personnel de l’ordre de 150.000, soit l’équivalent du tiers de celui de la fonction publique de l’Etat.</w:t>
      </w:r>
    </w:p>
    <w:p w:rsidR="00C24A07" w:rsidRPr="00A17E25" w:rsidRDefault="00C24A07" w:rsidP="00C24A07">
      <w:pPr>
        <w:jc w:val="both"/>
        <w:rPr>
          <w:rFonts w:ascii="Arial" w:hAnsi="Arial" w:cs="Arial"/>
        </w:rPr>
      </w:pPr>
    </w:p>
    <w:p w:rsidR="00C24A07" w:rsidRPr="00A17E25" w:rsidRDefault="00C24A07" w:rsidP="00C24A07">
      <w:pPr>
        <w:jc w:val="both"/>
        <w:rPr>
          <w:rFonts w:ascii="Arial" w:hAnsi="Arial" w:cs="Arial"/>
          <w:color w:val="000000"/>
        </w:rPr>
      </w:pPr>
      <w:r w:rsidRPr="00A17E25">
        <w:rPr>
          <w:rFonts w:ascii="Arial" w:hAnsi="Arial" w:cs="Arial"/>
          <w:color w:val="000000"/>
        </w:rPr>
        <w:t xml:space="preserve">Le financement des collectivités territoriales repose sur un système combinant la fiscalité locale, les dotations de l’État et les emprunts. </w:t>
      </w:r>
    </w:p>
    <w:p w:rsidR="00C24A07" w:rsidRPr="00A17E25" w:rsidRDefault="00C24A07" w:rsidP="00C24A07">
      <w:pPr>
        <w:suppressAutoHyphens/>
        <w:jc w:val="both"/>
        <w:rPr>
          <w:rFonts w:ascii="Arial" w:hAnsi="Arial" w:cs="Arial"/>
        </w:rPr>
      </w:pPr>
    </w:p>
    <w:p w:rsidR="00C24A07" w:rsidRPr="00A17E25" w:rsidRDefault="00C24A07" w:rsidP="00C24A07">
      <w:pPr>
        <w:suppressAutoHyphens/>
        <w:jc w:val="both"/>
        <w:rPr>
          <w:rFonts w:ascii="Arial" w:hAnsi="Arial" w:cs="Arial"/>
        </w:rPr>
      </w:pPr>
      <w:r w:rsidRPr="00A17E25">
        <w:rPr>
          <w:rFonts w:ascii="Arial" w:hAnsi="Arial" w:cs="Arial"/>
        </w:rPr>
        <w:t>La loi a consacré le principe de partage du produit des impôts structurels de l’Etat, en transférant une partie aux CT dans les proportions suivantes :</w:t>
      </w:r>
    </w:p>
    <w:p w:rsidR="00C24A07" w:rsidRPr="00A17E25" w:rsidRDefault="00C24A07" w:rsidP="00C24A07">
      <w:pPr>
        <w:suppressAutoHyphens/>
        <w:jc w:val="both"/>
        <w:rPr>
          <w:rFonts w:ascii="Arial" w:hAnsi="Arial" w:cs="Arial"/>
        </w:rPr>
      </w:pPr>
    </w:p>
    <w:p w:rsidR="00C24A07" w:rsidRPr="00A17E25" w:rsidRDefault="00C24A07" w:rsidP="00C24A07">
      <w:pPr>
        <w:pStyle w:val="ListParagraph"/>
        <w:numPr>
          <w:ilvl w:val="1"/>
          <w:numId w:val="55"/>
        </w:numPr>
        <w:suppressAutoHyphens/>
        <w:overflowPunct w:val="0"/>
        <w:autoSpaceDE w:val="0"/>
        <w:jc w:val="both"/>
        <w:textAlignment w:val="baseline"/>
        <w:rPr>
          <w:rFonts w:ascii="Arial" w:hAnsi="Arial" w:cs="Arial"/>
        </w:rPr>
      </w:pPr>
      <w:r w:rsidRPr="00A17E25">
        <w:rPr>
          <w:rFonts w:ascii="Arial" w:hAnsi="Arial" w:cs="Arial"/>
        </w:rPr>
        <w:t>30% du produit de la Taxe sur la Valeur Ajoutée (TVA) ;</w:t>
      </w:r>
    </w:p>
    <w:p w:rsidR="00C24A07" w:rsidRPr="00A17E25" w:rsidRDefault="00C24A07" w:rsidP="00C24A07">
      <w:pPr>
        <w:pStyle w:val="ListParagraph"/>
        <w:numPr>
          <w:ilvl w:val="1"/>
          <w:numId w:val="55"/>
        </w:numPr>
        <w:suppressAutoHyphens/>
        <w:overflowPunct w:val="0"/>
        <w:autoSpaceDE w:val="0"/>
        <w:jc w:val="both"/>
        <w:textAlignment w:val="baseline"/>
        <w:rPr>
          <w:rFonts w:ascii="Arial" w:hAnsi="Arial" w:cs="Arial"/>
        </w:rPr>
      </w:pPr>
      <w:r w:rsidRPr="00A17E25">
        <w:rPr>
          <w:rFonts w:ascii="Arial" w:hAnsi="Arial" w:cs="Arial"/>
        </w:rPr>
        <w:t>1% du produit de l’Impôt sur les Sociétés (IS) ;</w:t>
      </w:r>
    </w:p>
    <w:p w:rsidR="00C24A07" w:rsidRPr="00A17E25" w:rsidRDefault="00C24A07" w:rsidP="00C24A07">
      <w:pPr>
        <w:pStyle w:val="ListParagraph"/>
        <w:numPr>
          <w:ilvl w:val="1"/>
          <w:numId w:val="55"/>
        </w:numPr>
        <w:suppressAutoHyphens/>
        <w:overflowPunct w:val="0"/>
        <w:autoSpaceDE w:val="0"/>
        <w:jc w:val="both"/>
        <w:textAlignment w:val="baseline"/>
        <w:rPr>
          <w:rFonts w:ascii="Arial" w:hAnsi="Arial" w:cs="Arial"/>
        </w:rPr>
      </w:pPr>
      <w:r w:rsidRPr="00A17E25">
        <w:rPr>
          <w:rFonts w:ascii="Arial" w:hAnsi="Arial" w:cs="Arial"/>
        </w:rPr>
        <w:t>1% du produit de l’Impôt sur le Revenu (IR).</w:t>
      </w:r>
      <w:r w:rsidRPr="00A17E25">
        <w:rPr>
          <w:rStyle w:val="FootnoteReference"/>
          <w:rFonts w:eastAsia="Arial Unicode MS"/>
        </w:rPr>
        <w:footnoteReference w:id="11"/>
      </w:r>
    </w:p>
    <w:p w:rsidR="00C24A07" w:rsidRDefault="00C24A07" w:rsidP="00C24A07">
      <w:pPr>
        <w:ind w:right="-426"/>
        <w:jc w:val="both"/>
        <w:rPr>
          <w:rFonts w:ascii="Arial" w:hAnsi="Arial" w:cs="Arial"/>
        </w:rPr>
      </w:pPr>
    </w:p>
    <w:p w:rsidR="00C24A07" w:rsidRPr="00A17E25" w:rsidRDefault="00C24A07" w:rsidP="00C24A07">
      <w:pPr>
        <w:ind w:right="-426"/>
        <w:jc w:val="both"/>
        <w:rPr>
          <w:rFonts w:ascii="Arial" w:hAnsi="Arial" w:cs="Arial"/>
        </w:rPr>
      </w:pPr>
      <w:r w:rsidRPr="00A17E25">
        <w:rPr>
          <w:rFonts w:ascii="Arial" w:hAnsi="Arial" w:cs="Arial"/>
        </w:rPr>
        <w:t>La gestion de la fiscalité locale relève des attributions du Président du Conseil Communal conférées par la Charte Communale</w:t>
      </w:r>
      <w:r w:rsidRPr="00A17E25">
        <w:rPr>
          <w:rStyle w:val="FootnoteReference"/>
          <w:rFonts w:eastAsia="Arial Unicode MS"/>
        </w:rPr>
        <w:footnoteReference w:id="12"/>
      </w:r>
      <w:r w:rsidRPr="00A17E25">
        <w:rPr>
          <w:rFonts w:ascii="Arial" w:hAnsi="Arial" w:cs="Arial"/>
        </w:rPr>
        <w:t xml:space="preserve">  qui précise que le Président du Conseil Communal « </w:t>
      </w:r>
      <w:r w:rsidRPr="00A17E25">
        <w:rPr>
          <w:rFonts w:ascii="Arial" w:hAnsi="Arial" w:cs="Arial"/>
          <w:i/>
          <w:iCs/>
        </w:rPr>
        <w:t xml:space="preserve">prend les arrêtés fixant les taux des taxes, les tarifs des redevances et droits divers, conformément à la législation et la réglementation en vigueur </w:t>
      </w:r>
      <w:r w:rsidRPr="00A17E25">
        <w:rPr>
          <w:rFonts w:ascii="Arial" w:hAnsi="Arial" w:cs="Arial"/>
        </w:rPr>
        <w:t>».</w:t>
      </w:r>
    </w:p>
    <w:p w:rsidR="00C24A07" w:rsidRPr="00A17E25" w:rsidRDefault="00C24A07" w:rsidP="00C24A07">
      <w:pPr>
        <w:ind w:right="-426"/>
        <w:jc w:val="both"/>
        <w:rPr>
          <w:rFonts w:ascii="Arial" w:hAnsi="Arial" w:cs="Arial"/>
        </w:rPr>
      </w:pPr>
    </w:p>
    <w:p w:rsidR="00C24A07" w:rsidRPr="00A17E25" w:rsidRDefault="00C24A07" w:rsidP="00C24A07">
      <w:pPr>
        <w:ind w:right="-426"/>
        <w:jc w:val="both"/>
        <w:rPr>
          <w:rFonts w:ascii="Arial" w:hAnsi="Arial" w:cs="Arial"/>
        </w:rPr>
      </w:pPr>
      <w:r w:rsidRPr="00A17E25">
        <w:rPr>
          <w:rFonts w:ascii="Arial" w:hAnsi="Arial" w:cs="Arial"/>
        </w:rPr>
        <w:t>Les différentes mesures introduites en la matière ont été couronnées par l’adoption en 2007 d’une nouvelle législation régissant la fiscalité des collectivités locales</w:t>
      </w:r>
      <w:r w:rsidRPr="00A17E25">
        <w:rPr>
          <w:rStyle w:val="FootnoteReference"/>
          <w:rFonts w:eastAsia="Arial Unicode MS"/>
        </w:rPr>
        <w:footnoteReference w:id="13"/>
      </w:r>
      <w:r w:rsidRPr="00A17E25">
        <w:rPr>
          <w:rFonts w:ascii="Arial" w:hAnsi="Arial" w:cs="Arial"/>
        </w:rPr>
        <w:t xml:space="preserve">. </w:t>
      </w:r>
    </w:p>
    <w:p w:rsidR="00C24A07" w:rsidRPr="00A17E25" w:rsidRDefault="00C24A07" w:rsidP="00C24A07">
      <w:pPr>
        <w:ind w:right="-426"/>
        <w:jc w:val="both"/>
        <w:rPr>
          <w:rFonts w:ascii="Arial" w:hAnsi="Arial" w:cs="Arial"/>
        </w:rPr>
      </w:pPr>
    </w:p>
    <w:p w:rsidR="00C24A07" w:rsidRPr="00A17E25" w:rsidRDefault="00C24A07" w:rsidP="00C24A07">
      <w:pPr>
        <w:ind w:right="-426"/>
        <w:jc w:val="both"/>
        <w:rPr>
          <w:rFonts w:ascii="Arial" w:hAnsi="Arial" w:cs="Arial"/>
          <w:lang w:eastAsia="fr-FR"/>
        </w:rPr>
      </w:pPr>
      <w:r w:rsidRPr="00A17E25">
        <w:rPr>
          <w:rFonts w:ascii="Arial" w:hAnsi="Arial" w:cs="Arial"/>
        </w:rPr>
        <w:t xml:space="preserve">La fiscalité locale compte 17 taxes réparties entre les communes (11 taxes), les préfectures et provinces (3 taxes) et les régions (3 taxes). </w:t>
      </w:r>
    </w:p>
    <w:p w:rsidR="00C24A07" w:rsidRPr="00A17E25" w:rsidRDefault="00C24A07" w:rsidP="00C24A07">
      <w:pPr>
        <w:ind w:right="-426"/>
        <w:jc w:val="both"/>
        <w:rPr>
          <w:rFonts w:ascii="Arial" w:hAnsi="Arial" w:cs="Arial"/>
        </w:rPr>
      </w:pPr>
    </w:p>
    <w:p w:rsidR="00C24A07" w:rsidRPr="00A17E25" w:rsidRDefault="00C24A07" w:rsidP="00C24A07">
      <w:pPr>
        <w:ind w:right="-426"/>
        <w:jc w:val="both"/>
        <w:rPr>
          <w:rFonts w:ascii="Arial" w:hAnsi="Arial" w:cs="Arial"/>
          <w:lang w:eastAsia="fr-FR"/>
        </w:rPr>
      </w:pPr>
      <w:r w:rsidRPr="00A17E25">
        <w:rPr>
          <w:rFonts w:ascii="Arial" w:hAnsi="Arial" w:cs="Arial"/>
          <w:lang w:eastAsia="fr-FR"/>
        </w:rPr>
        <w:t xml:space="preserve">Les instances communales disposent, pour certaines taxes, d‘une liberté relative pour la fixation du tarif dans le cadre d’une fourchette établie par la loi. </w:t>
      </w:r>
    </w:p>
    <w:p w:rsidR="00C24A07" w:rsidRPr="00A17E25" w:rsidRDefault="00C24A07" w:rsidP="00C24A07">
      <w:pPr>
        <w:rPr>
          <w:rFonts w:ascii="Arial" w:hAnsi="Arial" w:cs="Arial"/>
          <w:color w:val="000000"/>
        </w:rPr>
      </w:pPr>
    </w:p>
    <w:p w:rsidR="00C24A07" w:rsidRPr="00A17E25" w:rsidRDefault="00C24A07" w:rsidP="00C24A07">
      <w:pPr>
        <w:jc w:val="both"/>
        <w:rPr>
          <w:rFonts w:ascii="Arial" w:hAnsi="Arial" w:cs="Arial"/>
          <w:color w:val="000000"/>
        </w:rPr>
      </w:pPr>
      <w:r w:rsidRPr="00A17E25">
        <w:rPr>
          <w:rFonts w:ascii="Arial" w:hAnsi="Arial" w:cs="Arial"/>
          <w:color w:val="000000"/>
        </w:rPr>
        <w:t>Les collectivités territoriales empruntent auprès du Fonds d’Equipement Communal (FEC) sous réserve de respecter les règles prudentielles à savoir l’obtention de l’accord préalable de l’autorité de tutelle, l’interdiction de recourir à de nouveaux emprunts pour rembourser les échéances passées et le mandatement d’office du service de la dette qui est considéré comme une dépense obligatoire.</w:t>
      </w:r>
    </w:p>
    <w:p w:rsidR="00C24A07" w:rsidRPr="00A17E25" w:rsidRDefault="00C24A07" w:rsidP="00C24A07">
      <w:pPr>
        <w:jc w:val="both"/>
        <w:rPr>
          <w:rFonts w:ascii="Arial" w:hAnsi="Arial" w:cs="Arial"/>
          <w:color w:val="000000"/>
        </w:rPr>
      </w:pPr>
    </w:p>
    <w:p w:rsidR="00463AB9" w:rsidRPr="00463AB9" w:rsidRDefault="00C24A07" w:rsidP="00463AB9">
      <w:pPr>
        <w:jc w:val="both"/>
        <w:rPr>
          <w:rFonts w:ascii="Arial" w:hAnsi="Arial" w:cs="Arial"/>
          <w:lang w:eastAsia="en-CA"/>
        </w:rPr>
      </w:pPr>
      <w:r w:rsidRPr="00A17E25">
        <w:rPr>
          <w:rFonts w:ascii="Arial" w:hAnsi="Arial" w:cs="Arial"/>
          <w:color w:val="000000"/>
        </w:rPr>
        <w:t>Elles peuvent, également, mobiliser des fonds de concours auprès de l’Etat ou d’autres collectivités territoriales, dans le cadre de partenariats avec des associations ou avec le secteur privé</w:t>
      </w:r>
      <w:r w:rsidRPr="00A17E25">
        <w:rPr>
          <w:color w:val="000000"/>
        </w:rPr>
        <w:t>.</w:t>
      </w:r>
    </w:p>
    <w:p w:rsidR="00370022" w:rsidRDefault="00370022" w:rsidP="00C24A07">
      <w:pPr>
        <w:rPr>
          <w:rFonts w:ascii="Arial Narrow" w:hAnsi="Arial Narrow"/>
          <w:b/>
          <w:bCs/>
          <w:sz w:val="20"/>
          <w:u w:val="single"/>
        </w:rPr>
      </w:pPr>
    </w:p>
    <w:p w:rsidR="00C24A07" w:rsidRDefault="00C24A07" w:rsidP="00C24A07">
      <w:pPr>
        <w:rPr>
          <w:rFonts w:ascii="Arial Narrow" w:hAnsi="Arial Narrow"/>
          <w:b/>
          <w:bCs/>
          <w:sz w:val="20"/>
        </w:rPr>
      </w:pPr>
      <w:r w:rsidRPr="008E0ACF">
        <w:rPr>
          <w:rFonts w:ascii="Arial Narrow" w:hAnsi="Arial Narrow"/>
          <w:b/>
          <w:bCs/>
          <w:sz w:val="20"/>
          <w:u w:val="single"/>
        </w:rPr>
        <w:t>TABLEAU</w:t>
      </w:r>
      <w:r>
        <w:rPr>
          <w:rFonts w:ascii="Arial Narrow" w:hAnsi="Arial Narrow"/>
          <w:b/>
          <w:bCs/>
          <w:sz w:val="20"/>
        </w:rPr>
        <w:t xml:space="preserve"> 2.6</w:t>
      </w:r>
      <w:r w:rsidRPr="008E0ACF">
        <w:rPr>
          <w:rFonts w:ascii="Arial Narrow" w:hAnsi="Arial Narrow"/>
          <w:b/>
          <w:bCs/>
          <w:sz w:val="20"/>
        </w:rPr>
        <w:t xml:space="preserve"> : </w:t>
      </w:r>
      <w:r>
        <w:rPr>
          <w:rFonts w:ascii="Arial Narrow" w:hAnsi="Arial Narrow"/>
          <w:b/>
          <w:bCs/>
          <w:sz w:val="20"/>
        </w:rPr>
        <w:t>STRUCTURE FINANCIERE DE LA COMMUNE DE CASABLANCA (Base exécution budget 2014)</w:t>
      </w:r>
    </w:p>
    <w:p w:rsidR="00C24A07" w:rsidRDefault="00C24A07" w:rsidP="00C24A07">
      <w:pPr>
        <w:jc w:val="center"/>
        <w:rPr>
          <w:rFonts w:ascii="Arial Narrow" w:hAnsi="Arial Narrow"/>
          <w:b/>
          <w:bCs/>
          <w:sz w:val="20"/>
        </w:rPr>
      </w:pPr>
      <w:r>
        <w:rPr>
          <w:rFonts w:ascii="Arial Narrow" w:hAnsi="Arial Narrow"/>
          <w:bCs/>
          <w:sz w:val="20"/>
        </w:rPr>
        <w:t>(En millions de dirhams)</w:t>
      </w:r>
    </w:p>
    <w:p w:rsidR="00C24A07" w:rsidRPr="006F58D6" w:rsidRDefault="00C24A07" w:rsidP="00C24A07">
      <w:pPr>
        <w:rPr>
          <w:rFonts w:ascii="Arial Narrow" w:hAnsi="Arial Narrow"/>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9"/>
        <w:gridCol w:w="1091"/>
        <w:gridCol w:w="1091"/>
        <w:gridCol w:w="1091"/>
        <w:gridCol w:w="1080"/>
      </w:tblGrid>
      <w:tr w:rsidR="00C24A07" w:rsidRPr="006F58D6" w:rsidTr="00CA09F7">
        <w:trPr>
          <w:trHeight w:val="300"/>
        </w:trPr>
        <w:tc>
          <w:tcPr>
            <w:tcW w:w="2598" w:type="pct"/>
            <w:shd w:val="clear" w:color="auto" w:fill="0070C0"/>
            <w:noWrap/>
            <w:vAlign w:val="bottom"/>
            <w:hideMark/>
          </w:tcPr>
          <w:p w:rsidR="00C24A07" w:rsidRPr="00463AB9" w:rsidRDefault="00C24A07" w:rsidP="00C24A07">
            <w:pPr>
              <w:jc w:val="center"/>
              <w:rPr>
                <w:rFonts w:ascii="Arial" w:hAnsi="Arial" w:cs="Arial"/>
                <w:b/>
                <w:bCs/>
                <w:color w:val="FFFFFF" w:themeColor="background1"/>
                <w:sz w:val="20"/>
                <w:lang w:eastAsia="fr-FR"/>
              </w:rPr>
            </w:pPr>
          </w:p>
        </w:tc>
        <w:tc>
          <w:tcPr>
            <w:tcW w:w="602" w:type="pct"/>
            <w:shd w:val="clear" w:color="auto" w:fill="0070C0"/>
          </w:tcPr>
          <w:p w:rsidR="00C24A07" w:rsidRPr="00463AB9" w:rsidRDefault="00C24A07" w:rsidP="00C24A07">
            <w:pPr>
              <w:jc w:val="center"/>
              <w:rPr>
                <w:rFonts w:ascii="Arial" w:hAnsi="Arial" w:cs="Arial"/>
                <w:b/>
                <w:bCs/>
                <w:color w:val="FFFFFF" w:themeColor="background1"/>
                <w:sz w:val="20"/>
                <w:lang w:eastAsia="fr-FR"/>
              </w:rPr>
            </w:pPr>
            <w:r w:rsidRPr="00463AB9">
              <w:rPr>
                <w:rFonts w:ascii="Arial" w:hAnsi="Arial" w:cs="Arial"/>
                <w:b/>
                <w:bCs/>
                <w:color w:val="FFFFFF" w:themeColor="background1"/>
                <w:sz w:val="20"/>
                <w:lang w:eastAsia="fr-FR"/>
              </w:rPr>
              <w:t>Budget</w:t>
            </w:r>
          </w:p>
        </w:tc>
        <w:tc>
          <w:tcPr>
            <w:tcW w:w="602" w:type="pct"/>
            <w:shd w:val="clear" w:color="auto" w:fill="0070C0"/>
          </w:tcPr>
          <w:p w:rsidR="00C24A07" w:rsidRPr="00463AB9" w:rsidRDefault="00C24A07" w:rsidP="00C24A07">
            <w:pPr>
              <w:jc w:val="center"/>
              <w:rPr>
                <w:rFonts w:ascii="Arial" w:hAnsi="Arial" w:cs="Arial"/>
                <w:b/>
                <w:bCs/>
                <w:color w:val="FFFFFF" w:themeColor="background1"/>
                <w:sz w:val="20"/>
                <w:lang w:eastAsia="fr-FR"/>
              </w:rPr>
            </w:pPr>
            <w:r w:rsidRPr="00463AB9">
              <w:rPr>
                <w:rFonts w:ascii="Arial" w:hAnsi="Arial" w:cs="Arial"/>
                <w:b/>
                <w:bCs/>
                <w:color w:val="FFFFFF" w:themeColor="background1"/>
                <w:sz w:val="20"/>
                <w:lang w:eastAsia="fr-FR"/>
              </w:rPr>
              <w:t>CAS</w:t>
            </w:r>
          </w:p>
        </w:tc>
        <w:tc>
          <w:tcPr>
            <w:tcW w:w="602" w:type="pct"/>
            <w:shd w:val="clear" w:color="auto" w:fill="0070C0"/>
          </w:tcPr>
          <w:p w:rsidR="00C24A07" w:rsidRPr="00463AB9" w:rsidRDefault="00C24A07" w:rsidP="00C24A07">
            <w:pPr>
              <w:jc w:val="center"/>
              <w:rPr>
                <w:rFonts w:ascii="Arial" w:hAnsi="Arial" w:cs="Arial"/>
                <w:b/>
                <w:bCs/>
                <w:color w:val="FFFFFF" w:themeColor="background1"/>
                <w:sz w:val="20"/>
                <w:vertAlign w:val="superscript"/>
                <w:lang w:eastAsia="fr-FR"/>
              </w:rPr>
            </w:pPr>
            <w:r w:rsidRPr="00463AB9">
              <w:rPr>
                <w:rFonts w:ascii="Arial" w:hAnsi="Arial" w:cs="Arial"/>
                <w:b/>
                <w:bCs/>
                <w:color w:val="FFFFFF" w:themeColor="background1"/>
                <w:sz w:val="20"/>
                <w:lang w:eastAsia="fr-FR"/>
              </w:rPr>
              <w:t>CDD</w:t>
            </w:r>
            <w:r w:rsidRPr="00463AB9">
              <w:rPr>
                <w:rFonts w:ascii="Arial" w:hAnsi="Arial" w:cs="Arial"/>
                <w:b/>
                <w:bCs/>
                <w:color w:val="FFFFFF" w:themeColor="background1"/>
                <w:sz w:val="20"/>
                <w:vertAlign w:val="superscript"/>
                <w:lang w:eastAsia="fr-FR"/>
              </w:rPr>
              <w:t>*</w:t>
            </w:r>
          </w:p>
        </w:tc>
        <w:tc>
          <w:tcPr>
            <w:tcW w:w="597" w:type="pct"/>
            <w:shd w:val="clear" w:color="auto" w:fill="0070C0"/>
            <w:noWrap/>
            <w:vAlign w:val="bottom"/>
            <w:hideMark/>
          </w:tcPr>
          <w:p w:rsidR="00C24A07" w:rsidRPr="00463AB9" w:rsidRDefault="00C24A07" w:rsidP="00C24A07">
            <w:pPr>
              <w:jc w:val="center"/>
              <w:rPr>
                <w:rFonts w:ascii="Arial" w:hAnsi="Arial" w:cs="Arial"/>
                <w:b/>
                <w:bCs/>
                <w:color w:val="FFFFFF" w:themeColor="background1"/>
                <w:sz w:val="20"/>
                <w:lang w:eastAsia="fr-FR"/>
              </w:rPr>
            </w:pPr>
            <w:r w:rsidRPr="00463AB9">
              <w:rPr>
                <w:rFonts w:ascii="Arial" w:hAnsi="Arial" w:cs="Arial"/>
                <w:b/>
                <w:bCs/>
                <w:color w:val="FFFFFF" w:themeColor="background1"/>
                <w:sz w:val="20"/>
                <w:lang w:eastAsia="fr-FR"/>
              </w:rPr>
              <w:t>Total</w:t>
            </w:r>
          </w:p>
        </w:tc>
      </w:tr>
      <w:tr w:rsidR="00C24A07" w:rsidRPr="00C764E5" w:rsidTr="00C24A07">
        <w:trPr>
          <w:trHeight w:val="300"/>
        </w:trPr>
        <w:tc>
          <w:tcPr>
            <w:tcW w:w="2598" w:type="pct"/>
            <w:shd w:val="clear" w:color="auto" w:fill="auto"/>
            <w:noWrap/>
            <w:vAlign w:val="bottom"/>
          </w:tcPr>
          <w:p w:rsidR="00C24A07" w:rsidRPr="00463AB9" w:rsidRDefault="00C24A07" w:rsidP="00C24A07">
            <w:pPr>
              <w:rPr>
                <w:rFonts w:ascii="Arial" w:hAnsi="Arial" w:cs="Arial"/>
                <w:b/>
                <w:bCs/>
                <w:color w:val="000000"/>
                <w:sz w:val="20"/>
                <w:lang w:eastAsia="fr-FR"/>
              </w:rPr>
            </w:pPr>
            <w:r w:rsidRPr="00463AB9">
              <w:rPr>
                <w:rFonts w:ascii="Arial" w:hAnsi="Arial" w:cs="Arial"/>
                <w:b/>
                <w:bCs/>
                <w:color w:val="000000"/>
                <w:sz w:val="20"/>
                <w:lang w:eastAsia="fr-FR"/>
              </w:rPr>
              <w:t>Recettes</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3097,69</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10,69</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(317,42)</w:t>
            </w:r>
          </w:p>
        </w:tc>
        <w:tc>
          <w:tcPr>
            <w:tcW w:w="597" w:type="pct"/>
            <w:shd w:val="clear" w:color="auto" w:fill="auto"/>
            <w:noWrap/>
            <w:vAlign w:val="bottom"/>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bCs/>
                <w:color w:val="000000"/>
                <w:sz w:val="20"/>
                <w:lang w:eastAsia="fr-FR"/>
              </w:rPr>
              <w:t>3108,38</w:t>
            </w:r>
          </w:p>
        </w:tc>
      </w:tr>
      <w:tr w:rsidR="00C24A07" w:rsidRPr="006F58D6" w:rsidTr="00C24A07">
        <w:trPr>
          <w:trHeight w:val="300"/>
        </w:trPr>
        <w:tc>
          <w:tcPr>
            <w:tcW w:w="2598" w:type="pct"/>
            <w:shd w:val="clear" w:color="auto" w:fill="auto"/>
            <w:noWrap/>
            <w:vAlign w:val="bottom"/>
          </w:tcPr>
          <w:p w:rsidR="00C24A07" w:rsidRPr="00463AB9" w:rsidRDefault="00C24A07" w:rsidP="00C24A07">
            <w:pPr>
              <w:rPr>
                <w:rFonts w:ascii="Arial" w:hAnsi="Arial" w:cs="Arial"/>
                <w:i/>
                <w:color w:val="000000"/>
                <w:sz w:val="20"/>
                <w:lang w:eastAsia="fr-FR"/>
              </w:rPr>
            </w:pPr>
            <w:r w:rsidRPr="00463AB9">
              <w:rPr>
                <w:rFonts w:ascii="Arial" w:hAnsi="Arial" w:cs="Arial"/>
                <w:i/>
                <w:color w:val="000000"/>
                <w:sz w:val="20"/>
                <w:lang w:eastAsia="fr-FR"/>
              </w:rPr>
              <w:t>Dont transferts reçus</w:t>
            </w:r>
          </w:p>
        </w:tc>
        <w:tc>
          <w:tcPr>
            <w:tcW w:w="602" w:type="pct"/>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643,28</w:t>
            </w:r>
          </w:p>
        </w:tc>
        <w:tc>
          <w:tcPr>
            <w:tcW w:w="602" w:type="pct"/>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0</w:t>
            </w:r>
          </w:p>
        </w:tc>
        <w:tc>
          <w:tcPr>
            <w:tcW w:w="602" w:type="pct"/>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(317,42)</w:t>
            </w:r>
          </w:p>
        </w:tc>
        <w:tc>
          <w:tcPr>
            <w:tcW w:w="597" w:type="pct"/>
            <w:shd w:val="clear" w:color="auto" w:fill="auto"/>
            <w:noWrap/>
            <w:vAlign w:val="bottom"/>
          </w:tcPr>
          <w:p w:rsidR="00C24A07" w:rsidRPr="00463AB9" w:rsidRDefault="00C24A07" w:rsidP="00C24A07">
            <w:pPr>
              <w:jc w:val="center"/>
              <w:rPr>
                <w:rFonts w:ascii="Arial" w:hAnsi="Arial" w:cs="Arial"/>
                <w:color w:val="000000"/>
                <w:sz w:val="20"/>
                <w:lang w:eastAsia="fr-FR"/>
              </w:rPr>
            </w:pPr>
            <w:r w:rsidRPr="00463AB9">
              <w:rPr>
                <w:rFonts w:ascii="Arial" w:hAnsi="Arial" w:cs="Arial"/>
                <w:color w:val="000000"/>
                <w:sz w:val="20"/>
                <w:lang w:eastAsia="fr-FR"/>
              </w:rPr>
              <w:t>643,28</w:t>
            </w:r>
          </w:p>
        </w:tc>
      </w:tr>
      <w:tr w:rsidR="00C24A07" w:rsidRPr="00C764E5" w:rsidTr="00C24A07">
        <w:trPr>
          <w:trHeight w:val="300"/>
        </w:trPr>
        <w:tc>
          <w:tcPr>
            <w:tcW w:w="2598" w:type="pct"/>
            <w:shd w:val="clear" w:color="auto" w:fill="auto"/>
            <w:noWrap/>
            <w:vAlign w:val="bottom"/>
          </w:tcPr>
          <w:p w:rsidR="00C24A07" w:rsidRPr="00463AB9" w:rsidRDefault="00C24A07" w:rsidP="00C24A07">
            <w:pPr>
              <w:rPr>
                <w:rFonts w:ascii="Arial" w:hAnsi="Arial" w:cs="Arial"/>
                <w:b/>
                <w:color w:val="000000"/>
                <w:sz w:val="20"/>
                <w:lang w:eastAsia="fr-FR"/>
              </w:rPr>
            </w:pPr>
            <w:r w:rsidRPr="00463AB9">
              <w:rPr>
                <w:rFonts w:ascii="Arial" w:hAnsi="Arial" w:cs="Arial"/>
                <w:b/>
                <w:color w:val="000000"/>
                <w:sz w:val="20"/>
                <w:lang w:eastAsia="fr-FR"/>
              </w:rPr>
              <w:t>Dépenses</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3134,43</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4,47</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(317,42)</w:t>
            </w:r>
          </w:p>
        </w:tc>
        <w:tc>
          <w:tcPr>
            <w:tcW w:w="597" w:type="pct"/>
            <w:shd w:val="clear" w:color="auto" w:fill="auto"/>
            <w:noWrap/>
            <w:vAlign w:val="bottom"/>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3138,90</w:t>
            </w:r>
          </w:p>
        </w:tc>
      </w:tr>
      <w:tr w:rsidR="00C24A07" w:rsidRPr="00C764E5" w:rsidTr="00C24A07">
        <w:trPr>
          <w:trHeight w:val="300"/>
        </w:trPr>
        <w:tc>
          <w:tcPr>
            <w:tcW w:w="2598" w:type="pct"/>
            <w:shd w:val="clear" w:color="auto" w:fill="auto"/>
            <w:noWrap/>
            <w:vAlign w:val="bottom"/>
          </w:tcPr>
          <w:p w:rsidR="00C24A07" w:rsidRPr="00463AB9" w:rsidRDefault="00C24A07" w:rsidP="00C24A07">
            <w:pPr>
              <w:rPr>
                <w:rFonts w:ascii="Arial" w:hAnsi="Arial" w:cs="Arial"/>
                <w:b/>
                <w:color w:val="000000"/>
                <w:sz w:val="20"/>
                <w:lang w:eastAsia="fr-FR"/>
              </w:rPr>
            </w:pPr>
            <w:r w:rsidRPr="00463AB9">
              <w:rPr>
                <w:rFonts w:ascii="Arial" w:hAnsi="Arial" w:cs="Arial"/>
                <w:b/>
                <w:color w:val="000000"/>
                <w:sz w:val="20"/>
                <w:lang w:eastAsia="fr-FR"/>
              </w:rPr>
              <w:t>Passifs</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597" w:type="pct"/>
            <w:shd w:val="clear" w:color="auto" w:fill="auto"/>
            <w:noWrap/>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r>
      <w:tr w:rsidR="00C24A07" w:rsidRPr="00C764E5" w:rsidTr="00C24A07">
        <w:trPr>
          <w:trHeight w:val="300"/>
        </w:trPr>
        <w:tc>
          <w:tcPr>
            <w:tcW w:w="2598" w:type="pct"/>
            <w:shd w:val="clear" w:color="auto" w:fill="auto"/>
            <w:noWrap/>
            <w:vAlign w:val="bottom"/>
          </w:tcPr>
          <w:p w:rsidR="00C24A07" w:rsidRPr="00463AB9" w:rsidRDefault="00C24A07" w:rsidP="00C24A07">
            <w:pPr>
              <w:rPr>
                <w:rFonts w:ascii="Arial" w:hAnsi="Arial" w:cs="Arial"/>
                <w:b/>
                <w:color w:val="000000"/>
                <w:sz w:val="20"/>
                <w:lang w:eastAsia="fr-FR"/>
              </w:rPr>
            </w:pPr>
            <w:r w:rsidRPr="00463AB9">
              <w:rPr>
                <w:rFonts w:ascii="Arial" w:hAnsi="Arial" w:cs="Arial"/>
                <w:b/>
                <w:color w:val="000000"/>
                <w:sz w:val="20"/>
                <w:lang w:eastAsia="fr-FR"/>
              </w:rPr>
              <w:t>Actifs financiers</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c>
          <w:tcPr>
            <w:tcW w:w="597" w:type="pct"/>
            <w:shd w:val="clear" w:color="auto" w:fill="auto"/>
            <w:noWrap/>
          </w:tcPr>
          <w:p w:rsidR="00C24A07" w:rsidRPr="00463AB9" w:rsidRDefault="00C24A07" w:rsidP="00C24A07">
            <w:pPr>
              <w:jc w:val="center"/>
              <w:rPr>
                <w:rFonts w:ascii="Arial" w:hAnsi="Arial" w:cs="Arial"/>
                <w:b/>
                <w:color w:val="000000"/>
                <w:sz w:val="20"/>
                <w:lang w:eastAsia="fr-FR"/>
              </w:rPr>
            </w:pPr>
            <w:r w:rsidRPr="00463AB9">
              <w:rPr>
                <w:rFonts w:ascii="Arial" w:hAnsi="Arial" w:cs="Arial"/>
                <w:b/>
                <w:color w:val="000000"/>
                <w:sz w:val="20"/>
                <w:lang w:eastAsia="fr-FR"/>
              </w:rPr>
              <w:t>ND</w:t>
            </w:r>
          </w:p>
        </w:tc>
      </w:tr>
      <w:tr w:rsidR="00C24A07" w:rsidRPr="00C764E5" w:rsidTr="00C24A07">
        <w:trPr>
          <w:trHeight w:val="300"/>
        </w:trPr>
        <w:tc>
          <w:tcPr>
            <w:tcW w:w="2598" w:type="pct"/>
            <w:shd w:val="clear" w:color="auto" w:fill="auto"/>
            <w:noWrap/>
            <w:vAlign w:val="bottom"/>
          </w:tcPr>
          <w:p w:rsidR="00C24A07" w:rsidRPr="00463AB9" w:rsidRDefault="00C24A07" w:rsidP="00C24A07">
            <w:pPr>
              <w:rPr>
                <w:rFonts w:ascii="Arial" w:hAnsi="Arial" w:cs="Arial"/>
                <w:b/>
                <w:bCs/>
                <w:color w:val="000000"/>
                <w:sz w:val="20"/>
                <w:lang w:eastAsia="fr-FR"/>
              </w:rPr>
            </w:pPr>
            <w:r w:rsidRPr="00463AB9">
              <w:rPr>
                <w:rFonts w:ascii="Arial" w:hAnsi="Arial" w:cs="Arial"/>
                <w:b/>
                <w:bCs/>
                <w:color w:val="000000"/>
                <w:sz w:val="20"/>
                <w:lang w:eastAsia="fr-FR"/>
              </w:rPr>
              <w:t>Actifs non financiers</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color w:val="000000"/>
                <w:sz w:val="20"/>
                <w:lang w:eastAsia="fr-FR"/>
              </w:rPr>
              <w:t>ND</w:t>
            </w:r>
          </w:p>
        </w:tc>
        <w:tc>
          <w:tcPr>
            <w:tcW w:w="602" w:type="pct"/>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color w:val="000000"/>
                <w:sz w:val="20"/>
                <w:lang w:eastAsia="fr-FR"/>
              </w:rPr>
              <w:t>ND</w:t>
            </w:r>
          </w:p>
        </w:tc>
        <w:tc>
          <w:tcPr>
            <w:tcW w:w="597" w:type="pct"/>
            <w:shd w:val="clear" w:color="auto" w:fill="auto"/>
            <w:noWrap/>
          </w:tcPr>
          <w:p w:rsidR="00C24A07" w:rsidRPr="00463AB9" w:rsidRDefault="00C24A07" w:rsidP="00C24A07">
            <w:pPr>
              <w:jc w:val="center"/>
              <w:rPr>
                <w:rFonts w:ascii="Arial" w:hAnsi="Arial" w:cs="Arial"/>
                <w:b/>
                <w:bCs/>
                <w:color w:val="000000"/>
                <w:sz w:val="20"/>
                <w:lang w:eastAsia="fr-FR"/>
              </w:rPr>
            </w:pPr>
            <w:r w:rsidRPr="00463AB9">
              <w:rPr>
                <w:rFonts w:ascii="Arial" w:hAnsi="Arial" w:cs="Arial"/>
                <w:b/>
                <w:color w:val="000000"/>
                <w:sz w:val="20"/>
                <w:lang w:eastAsia="fr-FR"/>
              </w:rPr>
              <w:t>ND</w:t>
            </w:r>
          </w:p>
        </w:tc>
      </w:tr>
    </w:tbl>
    <w:p w:rsidR="00C24A07" w:rsidRPr="005E465B" w:rsidRDefault="00C24A07" w:rsidP="00C24A07">
      <w:pPr>
        <w:jc w:val="both"/>
        <w:rPr>
          <w:sz w:val="20"/>
          <w:szCs w:val="20"/>
        </w:rPr>
      </w:pPr>
      <w:r>
        <w:rPr>
          <w:sz w:val="20"/>
          <w:szCs w:val="20"/>
          <w:u w:val="single"/>
        </w:rPr>
        <w:t xml:space="preserve">Source : </w:t>
      </w:r>
      <w:r w:rsidRPr="005E465B">
        <w:rPr>
          <w:sz w:val="20"/>
          <w:szCs w:val="20"/>
        </w:rPr>
        <w:t>Calculés par la mission à</w:t>
      </w:r>
      <w:r>
        <w:rPr>
          <w:sz w:val="20"/>
          <w:szCs w:val="20"/>
        </w:rPr>
        <w:t xml:space="preserve"> partir du compte administratif de 2014.</w:t>
      </w:r>
    </w:p>
    <w:p w:rsidR="00C24A07" w:rsidRDefault="00C24A07" w:rsidP="00C24A07">
      <w:pPr>
        <w:jc w:val="both"/>
      </w:pPr>
      <w:r w:rsidRPr="00C764E5">
        <w:rPr>
          <w:sz w:val="20"/>
          <w:szCs w:val="20"/>
        </w:rPr>
        <w:t>* Les opérations des comptes de dépenses sur dotation (CDD) sont comprises dans les opérations du budget. Leurs montants ne sont pas pris en compte dans le total pour éviter des doublons</w:t>
      </w:r>
      <w:r>
        <w:t>.</w:t>
      </w:r>
    </w:p>
    <w:p w:rsidR="00C24A07" w:rsidRDefault="00C24A07" w:rsidP="00C24A07">
      <w:pPr>
        <w:jc w:val="both"/>
        <w:rPr>
          <w:sz w:val="20"/>
          <w:szCs w:val="20"/>
        </w:rPr>
      </w:pPr>
      <w:r>
        <w:rPr>
          <w:sz w:val="20"/>
          <w:szCs w:val="20"/>
          <w:u w:val="single"/>
        </w:rPr>
        <w:t>Légende :</w:t>
      </w:r>
      <w:r>
        <w:rPr>
          <w:sz w:val="20"/>
          <w:szCs w:val="20"/>
        </w:rPr>
        <w:t xml:space="preserve"> </w:t>
      </w:r>
    </w:p>
    <w:p w:rsidR="00C24A07" w:rsidRDefault="00C24A07" w:rsidP="00C24A07">
      <w:pPr>
        <w:jc w:val="both"/>
        <w:rPr>
          <w:sz w:val="20"/>
          <w:szCs w:val="20"/>
        </w:rPr>
      </w:pPr>
      <w:r>
        <w:rPr>
          <w:sz w:val="20"/>
          <w:szCs w:val="20"/>
        </w:rPr>
        <w:t>ND= Non disponible</w:t>
      </w:r>
    </w:p>
    <w:p w:rsidR="00C24A07" w:rsidRDefault="00C24A07" w:rsidP="00C24A07">
      <w:pPr>
        <w:jc w:val="both"/>
        <w:rPr>
          <w:sz w:val="20"/>
          <w:szCs w:val="20"/>
        </w:rPr>
      </w:pPr>
      <w:r>
        <w:rPr>
          <w:sz w:val="20"/>
          <w:szCs w:val="20"/>
        </w:rPr>
        <w:t>CAS : Comptes d’affectation spéciale</w:t>
      </w:r>
    </w:p>
    <w:p w:rsidR="00C24A07" w:rsidRDefault="00C24A07" w:rsidP="00C24A07">
      <w:pPr>
        <w:jc w:val="both"/>
        <w:rPr>
          <w:sz w:val="20"/>
          <w:szCs w:val="20"/>
        </w:rPr>
      </w:pPr>
      <w:r>
        <w:rPr>
          <w:sz w:val="20"/>
          <w:szCs w:val="20"/>
        </w:rPr>
        <w:t>CDD : Comptes de dépenses sur dotation</w:t>
      </w:r>
    </w:p>
    <w:p w:rsidR="00C24A07" w:rsidRDefault="00C24A07" w:rsidP="00C24A07">
      <w:pPr>
        <w:jc w:val="both"/>
        <w:rPr>
          <w:sz w:val="20"/>
          <w:szCs w:val="20"/>
        </w:rPr>
      </w:pPr>
    </w:p>
    <w:p w:rsidR="0070479E" w:rsidRPr="00A17E25" w:rsidRDefault="00C24A07" w:rsidP="0070479E">
      <w:pPr>
        <w:jc w:val="both"/>
        <w:rPr>
          <w:color w:val="000000"/>
        </w:rPr>
      </w:pPr>
      <w:r>
        <w:rPr>
          <w:rFonts w:ascii="Arial" w:hAnsi="Arial"/>
        </w:rPr>
        <w:t>Les opérations du budget de la CC au sens strict constituent la principale composante de sa structure financière.</w:t>
      </w:r>
    </w:p>
    <w:p w:rsidR="0070479E" w:rsidRPr="00A17E25" w:rsidRDefault="0070479E" w:rsidP="0070479E">
      <w:pPr>
        <w:spacing w:after="200" w:line="276" w:lineRule="auto"/>
        <w:rPr>
          <w:rFonts w:ascii="Arial" w:hAnsi="Arial" w:cs="Arial"/>
        </w:rPr>
      </w:pPr>
    </w:p>
    <w:p w:rsidR="0034021B" w:rsidRDefault="0034021B">
      <w:pPr>
        <w:rPr>
          <w:rFonts w:ascii="Arial" w:hAnsi="Arial" w:cs="Arial"/>
          <w:b/>
          <w:bCs/>
          <w:iCs/>
          <w:color w:val="0070C0"/>
          <w:sz w:val="28"/>
          <w:szCs w:val="28"/>
        </w:rPr>
      </w:pPr>
      <w:bookmarkStart w:id="86" w:name="_Toc434916101"/>
      <w:bookmarkStart w:id="87" w:name="_Toc434918315"/>
      <w:r>
        <w:rPr>
          <w:i/>
          <w:color w:val="0070C0"/>
        </w:rPr>
        <w:br w:type="page"/>
      </w:r>
    </w:p>
    <w:p w:rsidR="0070479E" w:rsidRPr="00CA09F7" w:rsidRDefault="0070479E" w:rsidP="00CC3ED7">
      <w:pPr>
        <w:pStyle w:val="Heading2"/>
        <w:rPr>
          <w:i w:val="0"/>
          <w:color w:val="0070C0"/>
        </w:rPr>
      </w:pPr>
      <w:r w:rsidRPr="00CA09F7">
        <w:rPr>
          <w:i w:val="0"/>
          <w:color w:val="0070C0"/>
        </w:rPr>
        <w:t xml:space="preserve">2.4 Description du cadre juridique et institutionnel de la </w:t>
      </w:r>
      <w:bookmarkEnd w:id="83"/>
      <w:r w:rsidRPr="00CA09F7">
        <w:rPr>
          <w:i w:val="0"/>
          <w:color w:val="0070C0"/>
        </w:rPr>
        <w:t>gestion des finances locales de la ville de Casablanca</w:t>
      </w:r>
      <w:bookmarkEnd w:id="86"/>
      <w:bookmarkEnd w:id="87"/>
    </w:p>
    <w:p w:rsidR="0070479E" w:rsidRPr="00A17E25" w:rsidRDefault="0070479E" w:rsidP="0070479E"/>
    <w:p w:rsidR="0070479E" w:rsidRPr="00A17E25" w:rsidRDefault="0070479E" w:rsidP="0070479E">
      <w:pPr>
        <w:jc w:val="both"/>
        <w:rPr>
          <w:rFonts w:ascii="Arial" w:hAnsi="Arial" w:cs="Arial"/>
          <w:b/>
        </w:rPr>
      </w:pPr>
      <w:r w:rsidRPr="00A17E25">
        <w:rPr>
          <w:rFonts w:ascii="Arial" w:hAnsi="Arial" w:cs="Arial"/>
          <w:b/>
        </w:rPr>
        <w:t>2.4.1 Le cadre juridique de la gestion des finances locales</w:t>
      </w:r>
    </w:p>
    <w:p w:rsidR="0070479E" w:rsidRPr="00A17E25" w:rsidRDefault="0070479E" w:rsidP="0070479E">
      <w:pPr>
        <w:jc w:val="both"/>
        <w:rPr>
          <w:rFonts w:ascii="Arial" w:hAnsi="Arial" w:cs="Arial"/>
          <w:b/>
        </w:rPr>
      </w:pPr>
    </w:p>
    <w:p w:rsidR="0070479E" w:rsidRPr="00A17E25" w:rsidRDefault="0070479E" w:rsidP="0070479E">
      <w:pPr>
        <w:jc w:val="both"/>
        <w:rPr>
          <w:rFonts w:ascii="Arial" w:hAnsi="Arial" w:cs="Arial"/>
        </w:rPr>
      </w:pPr>
      <w:r w:rsidRPr="00A17E25">
        <w:rPr>
          <w:rFonts w:ascii="Arial" w:hAnsi="Arial" w:cs="Arial"/>
        </w:rPr>
        <w:t>Depuis la Charte Communale de 1976, le Maroc a progressivement étendu l’autonomie juridique et administrative des collectivités territoriales (CT). Au cours des dix dernière années, en particulier à partir de la refonte d’envergure de la Charte Communale de 2002, ce ne sont pas moins d’une douzaine de lois et de nombreux décrets qui ont vu le jour, représentant chacun un pas vers plus de décentralisation. Ces changements ont essentiellement permis d’éliminer une série de contrôles ex ante exercés par le Ministère de l’Intérieur et le Ministère des Finances.</w:t>
      </w:r>
    </w:p>
    <w:p w:rsidR="0070479E" w:rsidRPr="00A17E25" w:rsidRDefault="0070479E" w:rsidP="0070479E">
      <w:pPr>
        <w:jc w:val="both"/>
        <w:rPr>
          <w:rFonts w:ascii="Arial" w:hAnsi="Arial" w:cs="Arial"/>
        </w:rPr>
      </w:pPr>
    </w:p>
    <w:p w:rsidR="0070479E" w:rsidRPr="00A17E25" w:rsidRDefault="0070479E" w:rsidP="0070479E">
      <w:pPr>
        <w:jc w:val="both"/>
        <w:rPr>
          <w:rFonts w:ascii="Arial" w:hAnsi="Arial" w:cs="Arial"/>
          <w:color w:val="000000"/>
        </w:rPr>
      </w:pPr>
      <w:r w:rsidRPr="00A17E25">
        <w:rPr>
          <w:rFonts w:ascii="Arial" w:hAnsi="Arial" w:cs="Arial"/>
          <w:color w:val="000000"/>
        </w:rPr>
        <w:t>La  charte communale révisée en 2002  (Loi 78-00) définit la sphère des responsabilités communales :</w:t>
      </w:r>
    </w:p>
    <w:p w:rsidR="0070479E" w:rsidRPr="00A17E25" w:rsidRDefault="0070479E" w:rsidP="0070479E">
      <w:pPr>
        <w:jc w:val="both"/>
        <w:rPr>
          <w:rFonts w:ascii="Arial" w:eastAsia="Calibri" w:hAnsi="Arial" w:cs="Arial"/>
          <w:color w:val="000000"/>
        </w:rPr>
      </w:pPr>
    </w:p>
    <w:p w:rsidR="0070479E" w:rsidRPr="00A17E25" w:rsidRDefault="0070479E" w:rsidP="0070479E">
      <w:pPr>
        <w:jc w:val="both"/>
        <w:rPr>
          <w:rFonts w:ascii="Arial" w:eastAsia="Calibri" w:hAnsi="Arial" w:cs="Arial"/>
          <w:color w:val="000000"/>
        </w:rPr>
      </w:pPr>
      <w:r w:rsidRPr="00A17E25">
        <w:rPr>
          <w:rFonts w:ascii="Arial" w:eastAsia="Calibri" w:hAnsi="Arial" w:cs="Arial"/>
          <w:color w:val="000000"/>
        </w:rPr>
        <w:t xml:space="preserve">• </w:t>
      </w:r>
      <w:r w:rsidRPr="00A17E25">
        <w:rPr>
          <w:rFonts w:ascii="Arial" w:eastAsia="Calibri" w:hAnsi="Arial" w:cs="Arial"/>
          <w:b/>
          <w:bCs/>
          <w:color w:val="000000"/>
        </w:rPr>
        <w:t xml:space="preserve">Les attributions propres </w:t>
      </w:r>
      <w:r w:rsidRPr="00A17E25">
        <w:rPr>
          <w:rFonts w:ascii="Arial" w:eastAsia="Calibri" w:hAnsi="Arial" w:cs="Arial"/>
          <w:color w:val="000000"/>
        </w:rPr>
        <w:t>: La loi a établi une nouvelle catégorisation des compétences sous forme de sept blocs portant sur :</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Le développement économique et social;</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Les finances, la fiscalité et les biens communaux;</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L’urbanisme et l’aménagement du territoire;</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Les services publics et les équipements collectifs;</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L’hygiène, la salubrité et l’environnement;</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Les équipements et les actions socioculturels;</w:t>
      </w:r>
    </w:p>
    <w:p w:rsidR="0070479E" w:rsidRPr="00A17E25" w:rsidRDefault="0070479E" w:rsidP="00151AD3">
      <w:pPr>
        <w:pStyle w:val="ListParagraph"/>
        <w:numPr>
          <w:ilvl w:val="1"/>
          <w:numId w:val="58"/>
        </w:numPr>
        <w:autoSpaceDE w:val="0"/>
        <w:autoSpaceDN w:val="0"/>
        <w:adjustRightInd w:val="0"/>
        <w:jc w:val="both"/>
        <w:rPr>
          <w:rFonts w:ascii="Arial" w:eastAsia="Calibri" w:hAnsi="Arial" w:cs="Arial"/>
          <w:color w:val="000000"/>
        </w:rPr>
      </w:pPr>
      <w:r w:rsidRPr="00A17E25">
        <w:rPr>
          <w:rFonts w:ascii="Arial" w:eastAsia="Calibri" w:hAnsi="Arial" w:cs="Arial"/>
          <w:color w:val="000000"/>
        </w:rPr>
        <w:t>La coopération, l’association et le partenariat.</w:t>
      </w:r>
    </w:p>
    <w:p w:rsidR="0070479E" w:rsidRPr="00A17E25" w:rsidRDefault="0070479E" w:rsidP="0070479E">
      <w:pPr>
        <w:jc w:val="both"/>
        <w:rPr>
          <w:rFonts w:ascii="Arial" w:eastAsia="Calibri" w:hAnsi="Arial" w:cs="Arial"/>
          <w:color w:val="000000"/>
        </w:rPr>
      </w:pPr>
    </w:p>
    <w:p w:rsidR="0070479E" w:rsidRPr="00A17E25" w:rsidRDefault="0070479E" w:rsidP="0070479E">
      <w:pPr>
        <w:jc w:val="both"/>
        <w:rPr>
          <w:rFonts w:ascii="Arial" w:eastAsia="Calibri" w:hAnsi="Arial" w:cs="Arial"/>
          <w:color w:val="000000"/>
        </w:rPr>
      </w:pPr>
      <w:r w:rsidRPr="00A17E25">
        <w:rPr>
          <w:rFonts w:ascii="Arial" w:eastAsia="Calibri" w:hAnsi="Arial" w:cs="Arial"/>
          <w:color w:val="000000"/>
        </w:rPr>
        <w:t xml:space="preserve">• </w:t>
      </w:r>
      <w:r w:rsidRPr="00A17E25">
        <w:rPr>
          <w:rFonts w:ascii="Arial" w:eastAsia="Calibri" w:hAnsi="Arial" w:cs="Arial"/>
          <w:b/>
          <w:bCs/>
          <w:color w:val="000000"/>
        </w:rPr>
        <w:t xml:space="preserve">Les attributions transférées </w:t>
      </w:r>
      <w:r w:rsidRPr="00A17E25">
        <w:rPr>
          <w:rFonts w:ascii="Arial" w:eastAsia="Calibri" w:hAnsi="Arial" w:cs="Arial"/>
          <w:color w:val="000000"/>
        </w:rPr>
        <w:t>: Lorsque l’intérêt général l’exige, l’Etat peut transférer certaines de ses attributions aux communes (éducation nationale, santé, formation professionnelle, formation des personnels et des élus, l’environnement, infrastructures et équipements d’intérêt communal…) sous réserve que tout transfert de compétences soit accompagné des ressources nécessaires à leur exercice;</w:t>
      </w:r>
    </w:p>
    <w:p w:rsidR="0070479E" w:rsidRPr="00A17E25" w:rsidRDefault="0070479E" w:rsidP="0070479E">
      <w:pPr>
        <w:jc w:val="both"/>
        <w:rPr>
          <w:rFonts w:ascii="Arial" w:eastAsia="Calibri" w:hAnsi="Arial" w:cs="Arial"/>
          <w:color w:val="000000"/>
        </w:rPr>
      </w:pPr>
    </w:p>
    <w:p w:rsidR="0070479E" w:rsidRPr="00A17E25" w:rsidRDefault="0070479E" w:rsidP="0070479E">
      <w:pPr>
        <w:jc w:val="both"/>
        <w:rPr>
          <w:rFonts w:ascii="Arial" w:eastAsia="Calibri" w:hAnsi="Arial" w:cs="Arial"/>
          <w:color w:val="000000"/>
        </w:rPr>
      </w:pPr>
      <w:r w:rsidRPr="00A17E25">
        <w:rPr>
          <w:rFonts w:ascii="Arial" w:eastAsia="Calibri" w:hAnsi="Arial" w:cs="Arial"/>
          <w:color w:val="000000"/>
        </w:rPr>
        <w:t>Cette dernière catégorie de compétences n’a pas encore été transférée aux communes. Tout transfert dans ce cadre devant être accompagné d’un transfert de ressources nécessaires à son exercice.</w:t>
      </w:r>
    </w:p>
    <w:p w:rsidR="0070479E" w:rsidRPr="00A17E25" w:rsidRDefault="0070479E" w:rsidP="0070479E">
      <w:pPr>
        <w:overflowPunct w:val="0"/>
        <w:autoSpaceDE w:val="0"/>
        <w:autoSpaceDN w:val="0"/>
        <w:adjustRightInd w:val="0"/>
        <w:jc w:val="both"/>
        <w:textAlignment w:val="baseline"/>
        <w:rPr>
          <w:rFonts w:ascii="Arial" w:hAnsi="Arial" w:cs="Arial"/>
          <w:color w:val="000000"/>
        </w:rPr>
      </w:pPr>
    </w:p>
    <w:p w:rsidR="0070479E" w:rsidRPr="00A17E25" w:rsidRDefault="0070479E" w:rsidP="0070479E">
      <w:pPr>
        <w:jc w:val="both"/>
        <w:rPr>
          <w:rFonts w:ascii="Arial" w:hAnsi="Arial" w:cs="Arial"/>
          <w:color w:val="000000"/>
        </w:rPr>
      </w:pPr>
      <w:r w:rsidRPr="00A17E25">
        <w:rPr>
          <w:rFonts w:ascii="Arial" w:hAnsi="Arial" w:cs="Arial"/>
          <w:color w:val="000000"/>
        </w:rPr>
        <w:t>La charte codifie les règles de fonctionnement régissant les travaux de l’Assemblée et des organes qui en dépendent en ce qui concerne notamment le régime des sessions, l’établissement de l’ordre du jour, les modalités de vote et calcul de la majorité et la tenue des registres des délibérations ;</w:t>
      </w:r>
    </w:p>
    <w:p w:rsidR="0070479E" w:rsidRPr="00A17E25" w:rsidRDefault="0070479E" w:rsidP="0070479E">
      <w:pPr>
        <w:pStyle w:val="ListParagraph"/>
        <w:ind w:left="0"/>
        <w:jc w:val="both"/>
        <w:rPr>
          <w:rFonts w:ascii="Arial" w:hAnsi="Arial" w:cs="Arial"/>
          <w:color w:val="000000"/>
        </w:rPr>
      </w:pPr>
    </w:p>
    <w:p w:rsidR="0070479E" w:rsidRPr="00A17E25" w:rsidRDefault="0070479E" w:rsidP="0070479E">
      <w:pPr>
        <w:jc w:val="both"/>
        <w:rPr>
          <w:rFonts w:ascii="Arial" w:hAnsi="Arial" w:cs="Arial"/>
          <w:color w:val="000000"/>
        </w:rPr>
      </w:pPr>
      <w:r w:rsidRPr="00A17E25">
        <w:rPr>
          <w:rFonts w:ascii="Arial" w:hAnsi="Arial" w:cs="Arial"/>
          <w:color w:val="000000"/>
        </w:rPr>
        <w:t xml:space="preserve">Elle instaure le principe de l’unité de la ville pour les grandes métropoles (plus de 500 000 habitants) qui sont depuis organisées sous formes de Communes Urbaines et d’Arrondissements se substituant aux anciennes Communautés Urbaines. </w:t>
      </w:r>
    </w:p>
    <w:p w:rsidR="0070479E" w:rsidRPr="00A17E25" w:rsidRDefault="0070479E" w:rsidP="0070479E">
      <w:pPr>
        <w:pStyle w:val="ListParagraph"/>
        <w:ind w:left="0"/>
        <w:jc w:val="both"/>
        <w:rPr>
          <w:rFonts w:ascii="Arial" w:hAnsi="Arial" w:cs="Arial"/>
          <w:color w:val="000000"/>
        </w:rPr>
      </w:pPr>
    </w:p>
    <w:p w:rsidR="0070479E" w:rsidRPr="00A17E25" w:rsidRDefault="0070479E" w:rsidP="0070479E">
      <w:pPr>
        <w:pStyle w:val="ListParagraph"/>
        <w:ind w:left="0"/>
        <w:jc w:val="both"/>
        <w:rPr>
          <w:rFonts w:ascii="Arial" w:hAnsi="Arial" w:cs="Arial"/>
          <w:color w:val="000000"/>
        </w:rPr>
      </w:pPr>
      <w:r w:rsidRPr="00A17E25">
        <w:rPr>
          <w:rFonts w:ascii="Arial" w:hAnsi="Arial" w:cs="Arial"/>
          <w:color w:val="000000"/>
        </w:rPr>
        <w:t xml:space="preserve">Par ailleurs, l’année 2008 a connu l’amendement de la charte communale dans certains domaines, à savoir : la gouvernance locale, l’administration locale, les outils de partenariat et la gestion du patrimoine communal. </w:t>
      </w:r>
    </w:p>
    <w:p w:rsidR="0070479E" w:rsidRPr="00A17E25" w:rsidRDefault="0070479E" w:rsidP="0070479E">
      <w:pPr>
        <w:pStyle w:val="ListParagraph"/>
        <w:ind w:left="0"/>
        <w:jc w:val="both"/>
        <w:rPr>
          <w:rFonts w:ascii="Arial" w:hAnsi="Arial" w:cs="Arial"/>
          <w:color w:val="000000"/>
        </w:rPr>
      </w:pPr>
    </w:p>
    <w:p w:rsidR="0070479E" w:rsidRPr="00A17E25" w:rsidRDefault="0070479E" w:rsidP="0070479E">
      <w:pPr>
        <w:pStyle w:val="ListParagraph"/>
        <w:ind w:left="0"/>
        <w:jc w:val="both"/>
        <w:rPr>
          <w:rFonts w:ascii="Arial" w:hAnsi="Arial" w:cs="Arial"/>
          <w:color w:val="000000"/>
        </w:rPr>
      </w:pPr>
      <w:r w:rsidRPr="00A17E25">
        <w:rPr>
          <w:rFonts w:ascii="Arial" w:hAnsi="Arial" w:cs="Arial"/>
          <w:color w:val="000000"/>
        </w:rPr>
        <w:t>Les points importants qui ont fait l’objet d’amendements concernent notamment :</w:t>
      </w:r>
    </w:p>
    <w:p w:rsidR="0070479E" w:rsidRPr="00A17E25" w:rsidRDefault="0070479E" w:rsidP="00151AD3">
      <w:pPr>
        <w:pStyle w:val="ListParagraph"/>
        <w:numPr>
          <w:ilvl w:val="0"/>
          <w:numId w:val="93"/>
        </w:numPr>
        <w:overflowPunct w:val="0"/>
        <w:autoSpaceDE w:val="0"/>
        <w:autoSpaceDN w:val="0"/>
        <w:adjustRightInd w:val="0"/>
        <w:jc w:val="both"/>
        <w:textAlignment w:val="baseline"/>
        <w:rPr>
          <w:rFonts w:ascii="Arial" w:hAnsi="Arial" w:cs="Arial"/>
          <w:color w:val="000000"/>
        </w:rPr>
      </w:pPr>
      <w:r w:rsidRPr="00A17E25">
        <w:rPr>
          <w:rFonts w:ascii="Arial" w:hAnsi="Arial" w:cs="Arial"/>
          <w:color w:val="000000"/>
        </w:rPr>
        <w:t xml:space="preserve">La clarification d’une part entre les attributions du président du conseil communal et de son bureau et d’autre part entre celles de l’administration locale et la tutelle. </w:t>
      </w:r>
    </w:p>
    <w:p w:rsidR="0070479E" w:rsidRPr="00A17E25" w:rsidRDefault="0070479E" w:rsidP="00151AD3">
      <w:pPr>
        <w:pStyle w:val="ListParagraph"/>
        <w:numPr>
          <w:ilvl w:val="0"/>
          <w:numId w:val="93"/>
        </w:numPr>
        <w:overflowPunct w:val="0"/>
        <w:autoSpaceDE w:val="0"/>
        <w:autoSpaceDN w:val="0"/>
        <w:adjustRightInd w:val="0"/>
        <w:jc w:val="both"/>
        <w:textAlignment w:val="baseline"/>
        <w:rPr>
          <w:rFonts w:ascii="Arial" w:hAnsi="Arial" w:cs="Arial"/>
          <w:color w:val="000000"/>
        </w:rPr>
      </w:pPr>
      <w:r w:rsidRPr="00A17E25">
        <w:rPr>
          <w:rFonts w:ascii="Arial" w:hAnsi="Arial" w:cs="Arial"/>
          <w:color w:val="000000"/>
        </w:rPr>
        <w:t>La détermination des attributions du conseil de la ville et celles des conseils d’arrondissements et la mise en place de la « conférence des présidents d’arrondissements ».</w:t>
      </w:r>
      <w:r w:rsidRPr="00A17E25">
        <w:rPr>
          <w:rStyle w:val="FootnoteReference"/>
          <w:rFonts w:ascii="Arial" w:hAnsi="Arial" w:cs="Arial"/>
          <w:color w:val="000000"/>
        </w:rPr>
        <w:footnoteReference w:id="14"/>
      </w:r>
    </w:p>
    <w:p w:rsidR="0070479E" w:rsidRPr="00A17E25" w:rsidRDefault="0070479E" w:rsidP="00151AD3">
      <w:pPr>
        <w:pStyle w:val="ListParagraph"/>
        <w:numPr>
          <w:ilvl w:val="0"/>
          <w:numId w:val="93"/>
        </w:numPr>
        <w:overflowPunct w:val="0"/>
        <w:autoSpaceDE w:val="0"/>
        <w:autoSpaceDN w:val="0"/>
        <w:adjustRightInd w:val="0"/>
        <w:jc w:val="both"/>
        <w:textAlignment w:val="baseline"/>
        <w:rPr>
          <w:rFonts w:ascii="Arial" w:hAnsi="Arial" w:cs="Arial"/>
          <w:color w:val="000000"/>
        </w:rPr>
      </w:pPr>
      <w:r w:rsidRPr="00A17E25">
        <w:rPr>
          <w:rFonts w:ascii="Arial" w:hAnsi="Arial" w:cs="Arial"/>
          <w:color w:val="000000"/>
        </w:rPr>
        <w:t>Les fonctions administratives qui ont été confiées au secrétaire général rattaché directement au président de la commune. Le rôle du Secrétaire Général, désigné par le Ministre de l’Intérieur sur proposition du président de la commune, a ainsi été renforcé.</w:t>
      </w:r>
    </w:p>
    <w:p w:rsidR="0070479E" w:rsidRPr="00A17E25" w:rsidRDefault="0070479E" w:rsidP="00151AD3">
      <w:pPr>
        <w:pStyle w:val="ListParagraph"/>
        <w:numPr>
          <w:ilvl w:val="0"/>
          <w:numId w:val="93"/>
        </w:numPr>
        <w:overflowPunct w:val="0"/>
        <w:autoSpaceDE w:val="0"/>
        <w:autoSpaceDN w:val="0"/>
        <w:adjustRightInd w:val="0"/>
        <w:jc w:val="both"/>
        <w:textAlignment w:val="baseline"/>
        <w:rPr>
          <w:rFonts w:ascii="Arial" w:hAnsi="Arial" w:cs="Arial"/>
          <w:color w:val="000000"/>
        </w:rPr>
      </w:pPr>
      <w:r w:rsidRPr="00A17E25">
        <w:rPr>
          <w:rFonts w:ascii="Arial" w:hAnsi="Arial" w:cs="Arial"/>
          <w:color w:val="000000"/>
        </w:rPr>
        <w:t xml:space="preserve">La réforme des outils de partenariat par la création d’une entité privée chargée de la gestion du service public local à côté de la régie et de la gestion déléguée. </w:t>
      </w:r>
    </w:p>
    <w:p w:rsidR="0070479E" w:rsidRPr="00A17E25" w:rsidRDefault="0070479E" w:rsidP="0070479E">
      <w:pPr>
        <w:jc w:val="both"/>
        <w:rPr>
          <w:rFonts w:ascii="Arial" w:hAnsi="Arial" w:cs="Arial"/>
          <w:color w:val="000000"/>
        </w:rPr>
      </w:pPr>
    </w:p>
    <w:p w:rsidR="0070479E" w:rsidRPr="00A17E25" w:rsidRDefault="0070479E" w:rsidP="0070479E">
      <w:pPr>
        <w:jc w:val="both"/>
        <w:rPr>
          <w:rFonts w:ascii="Arial" w:hAnsi="Arial" w:cs="Arial"/>
          <w:color w:val="000000"/>
        </w:rPr>
      </w:pPr>
      <w:r w:rsidRPr="00A17E25">
        <w:rPr>
          <w:rFonts w:ascii="Arial" w:hAnsi="Arial" w:cs="Arial"/>
          <w:b/>
          <w:bCs/>
          <w:color w:val="000000"/>
        </w:rPr>
        <w:t xml:space="preserve">Organisation des finances locales: </w:t>
      </w:r>
      <w:r w:rsidRPr="00A17E25">
        <w:rPr>
          <w:rFonts w:ascii="Arial" w:hAnsi="Arial" w:cs="Arial"/>
          <w:color w:val="000000"/>
        </w:rPr>
        <w:t>L’organisation financière des collectivités territoriales est encadrée par la loi n° 45-08 relative à l’organisation des finances des collectivités territoriales et de leurs groupements, promulguée par le Dahir n° 1-09-02 du 18 février 2009. Leur comptabilité est régie par le décret n° 2-09-441 du 3 janvier 2010 qui fixe les principes fondamentaux, les règles applicables à l’exécution des opérations de recettes et de dépenses et des opérations de trésorerie, les règles applicables à la comptabilité, au règlement du budget, à la reddition des comptes et au contrôle.</w:t>
      </w:r>
    </w:p>
    <w:p w:rsidR="0070479E" w:rsidRPr="00A17E25" w:rsidRDefault="0070479E" w:rsidP="0070479E">
      <w:pPr>
        <w:shd w:val="clear" w:color="auto" w:fill="FFFFFF"/>
        <w:jc w:val="both"/>
        <w:rPr>
          <w:rFonts w:ascii="Arial" w:hAnsi="Arial" w:cs="Arial"/>
          <w:color w:val="000000"/>
        </w:rPr>
      </w:pPr>
    </w:p>
    <w:p w:rsidR="0070479E" w:rsidRPr="00A17E25" w:rsidRDefault="0070479E" w:rsidP="0070479E">
      <w:pPr>
        <w:pStyle w:val="ListParagraph"/>
        <w:ind w:left="0"/>
        <w:jc w:val="both"/>
        <w:rPr>
          <w:rFonts w:ascii="Arial" w:hAnsi="Arial" w:cs="Arial"/>
          <w:color w:val="000000"/>
        </w:rPr>
      </w:pPr>
      <w:r w:rsidRPr="00A17E25">
        <w:rPr>
          <w:rFonts w:ascii="Arial" w:hAnsi="Arial" w:cs="Arial"/>
          <w:b/>
          <w:color w:val="000000"/>
        </w:rPr>
        <w:t>Sur le plan des évolutions récentes,</w:t>
      </w:r>
      <w:r w:rsidRPr="00A17E25">
        <w:rPr>
          <w:rFonts w:ascii="Arial" w:hAnsi="Arial" w:cs="Arial"/>
          <w:color w:val="000000"/>
        </w:rPr>
        <w:t xml:space="preserve"> l</w:t>
      </w:r>
      <w:r w:rsidRPr="00A17E25">
        <w:rPr>
          <w:rFonts w:ascii="Arial" w:hAnsi="Arial" w:cs="Arial"/>
        </w:rPr>
        <w:t xml:space="preserve">a Constitution de 2011 a instauré les principes sur lesquels devrait reposer l’organisation territoriale du Royaume, à savoir la libre administration, la coopération et la solidarité. </w:t>
      </w:r>
    </w:p>
    <w:p w:rsidR="0070479E" w:rsidRPr="00A17E25" w:rsidRDefault="0070479E" w:rsidP="0070479E">
      <w:pPr>
        <w:jc w:val="both"/>
        <w:rPr>
          <w:rFonts w:ascii="Arial" w:hAnsi="Arial" w:cs="Arial"/>
        </w:rPr>
      </w:pPr>
    </w:p>
    <w:p w:rsidR="0070479E" w:rsidRPr="00A17E25" w:rsidRDefault="0070479E" w:rsidP="0070479E">
      <w:pPr>
        <w:jc w:val="center"/>
        <w:rPr>
          <w:rFonts w:ascii="Arial Narrow" w:hAnsi="Arial Narrow" w:cs="Arial"/>
          <w:b/>
          <w:sz w:val="20"/>
          <w:szCs w:val="20"/>
        </w:rPr>
      </w:pPr>
      <w:r w:rsidRPr="00A17E25">
        <w:rPr>
          <w:rFonts w:ascii="Arial Narrow" w:hAnsi="Arial Narrow" w:cs="Arial"/>
          <w:b/>
          <w:sz w:val="20"/>
          <w:szCs w:val="20"/>
          <w:u w:val="single"/>
        </w:rPr>
        <w:t>TABLEAU</w:t>
      </w:r>
      <w:r w:rsidR="00592ACC">
        <w:rPr>
          <w:rFonts w:ascii="Arial Narrow" w:hAnsi="Arial Narrow" w:cs="Arial"/>
          <w:b/>
          <w:sz w:val="20"/>
          <w:szCs w:val="20"/>
        </w:rPr>
        <w:t xml:space="preserve"> 2.3</w:t>
      </w:r>
      <w:r w:rsidRPr="00A17E25">
        <w:rPr>
          <w:rFonts w:ascii="Arial Narrow" w:hAnsi="Arial Narrow" w:cs="Arial"/>
          <w:b/>
          <w:sz w:val="20"/>
          <w:szCs w:val="20"/>
        </w:rPr>
        <w:t> : TEXTE CONSTITUTIONNEL</w:t>
      </w:r>
    </w:p>
    <w:p w:rsidR="0070479E" w:rsidRPr="00A17E25" w:rsidRDefault="0070479E" w:rsidP="0070479E">
      <w:pPr>
        <w:ind w:left="360"/>
        <w:jc w:val="both"/>
        <w:rPr>
          <w:rFonts w:ascii="Arial" w:hAnsi="Arial" w:cs="Arial"/>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hAnsi="Arial Narrow" w:cs="Arial"/>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hAnsi="Arial Narrow" w:cs="Arial"/>
          <w:sz w:val="20"/>
          <w:szCs w:val="20"/>
        </w:rPr>
      </w:pPr>
      <w:r w:rsidRPr="00A17E25">
        <w:rPr>
          <w:rFonts w:ascii="Arial Narrow" w:hAnsi="Arial Narrow" w:cs="Arial"/>
          <w:sz w:val="20"/>
          <w:szCs w:val="20"/>
        </w:rPr>
        <w:t xml:space="preserve"> La Constitution comprend de nouvelles dispositions visant à donner plus d’autonomie de gestion aux régions en leur octroyant un gouvernement régional élu au suffrage direct (article 135), à accroître la participation du public afin d’améliorer la gouvernance locale (articles 136 et 139), et à renforcer la décentralisation financière (articles 141 et 142). </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hAnsi="Arial Narrow" w:cs="Arial"/>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hAnsi="Arial Narrow" w:cs="Arial"/>
          <w:sz w:val="20"/>
          <w:szCs w:val="20"/>
        </w:rPr>
      </w:pPr>
      <w:r w:rsidRPr="00A17E25">
        <w:rPr>
          <w:rFonts w:ascii="Arial Narrow" w:hAnsi="Arial Narrow" w:cs="Arial"/>
          <w:sz w:val="20"/>
          <w:szCs w:val="20"/>
        </w:rPr>
        <w:t xml:space="preserve">Le texte constitutionnel a prévu, dans son article 146, qu’une loi organique « (…) </w:t>
      </w:r>
      <w:r w:rsidRPr="00A17E25">
        <w:rPr>
          <w:rFonts w:ascii="Arial Narrow" w:hAnsi="Arial Narrow" w:cs="Arial"/>
          <w:i/>
          <w:iCs/>
          <w:sz w:val="20"/>
          <w:szCs w:val="20"/>
        </w:rPr>
        <w:t xml:space="preserve">définira les règles de gouvernance relatives au bon fonctionnement de la libre administration, au contrôle de la gestion des fonds et programmes, à l’évaluation des actions et à la reddition des comptes </w:t>
      </w:r>
      <w:r w:rsidRPr="00A17E25">
        <w:rPr>
          <w:rFonts w:ascii="Arial Narrow" w:hAnsi="Arial Narrow" w:cs="Arial"/>
          <w:sz w:val="20"/>
          <w:szCs w:val="20"/>
        </w:rPr>
        <w:t>».</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hAnsi="Arial Narrow" w:cs="Arial"/>
          <w:sz w:val="20"/>
          <w:szCs w:val="20"/>
        </w:rPr>
      </w:pPr>
    </w:p>
    <w:p w:rsidR="0070479E" w:rsidRPr="00A17E25" w:rsidRDefault="0070479E" w:rsidP="0070479E">
      <w:pPr>
        <w:jc w:val="both"/>
        <w:rPr>
          <w:rFonts w:ascii="Arial" w:hAnsi="Arial" w:cs="Arial"/>
        </w:rPr>
      </w:pPr>
    </w:p>
    <w:p w:rsidR="0070479E" w:rsidRPr="00A17E25" w:rsidRDefault="0070479E" w:rsidP="0070479E">
      <w:pPr>
        <w:pStyle w:val="ListParagraph"/>
        <w:ind w:left="0"/>
        <w:jc w:val="both"/>
        <w:rPr>
          <w:rFonts w:ascii="Arial" w:hAnsi="Arial" w:cs="Arial"/>
          <w:color w:val="000000"/>
        </w:rPr>
      </w:pPr>
      <w:r w:rsidRPr="00A17E25">
        <w:rPr>
          <w:rFonts w:ascii="Arial" w:hAnsi="Arial" w:cs="Arial"/>
          <w:color w:val="000000"/>
        </w:rPr>
        <w:t xml:space="preserve">Dans ce cadre, une nouvelle génération de réformes a été lancée en ce qui concerne les domaines de déconcentration et de décentralisation avec l’ambition de faire de la région un véritable levier de développement socio-économique et d’affirmer la politique de régionalisation en tant que moyen de renforcement de la démocratie locale.  </w:t>
      </w:r>
    </w:p>
    <w:p w:rsidR="0070479E" w:rsidRPr="00A17E25" w:rsidRDefault="0070479E" w:rsidP="0070479E">
      <w:pPr>
        <w:pStyle w:val="ListParagraph"/>
        <w:ind w:left="0"/>
        <w:jc w:val="both"/>
        <w:rPr>
          <w:rFonts w:ascii="Arial" w:hAnsi="Arial" w:cs="Arial"/>
          <w:color w:val="000000"/>
        </w:rPr>
      </w:pPr>
    </w:p>
    <w:p w:rsidR="0070479E" w:rsidRPr="00A17E25" w:rsidRDefault="0070479E" w:rsidP="0070479E">
      <w:pPr>
        <w:jc w:val="both"/>
        <w:rPr>
          <w:rFonts w:ascii="Arial" w:hAnsi="Arial" w:cs="Arial"/>
          <w:lang w:eastAsia="fr-FR"/>
        </w:rPr>
      </w:pPr>
      <w:r w:rsidRPr="00A17E25">
        <w:rPr>
          <w:rFonts w:ascii="Arial" w:hAnsi="Arial" w:cs="Arial"/>
          <w:lang w:eastAsia="fr-FR"/>
        </w:rPr>
        <w:t>Dans ce cadre, le Maroc a adopté en juillet 2015 trois lois organiques. Il s'agit du de loi organique 111-14 relative aux régions, la loi organique 112-14 concernant les préfectures et les provinces et la loi organique 113-14 sur les communes.</w:t>
      </w:r>
    </w:p>
    <w:p w:rsidR="0070479E" w:rsidRPr="00A17E25" w:rsidRDefault="0070479E" w:rsidP="0070479E">
      <w:pPr>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Ces lois organiques visent le renforcement de la démocratie locale, l'élargissement du rôle des collectivités territoriales dans le développement, la conception de mécanismes de renforcement de la participation dans la gestion de la chose locale, l'efficacité dans la gestion locale et la mise en œuvre des principes et règles de la bonne gouvernance.</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Ces trois textes de loi fondent une nouvelle architecture territoriale, qui place la région au centre de l'édifice institutionnel du pays, harmonise davantage la Charte Communale actuelle avec les dispositions de la Constitution, consolide la place des provinces et des préfectures en les séparant des services de l'administration territoriale relevant de l'Etat et en les dotant d'attributions dans les domaines du développement. </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Les trois textes comportent plusieurs nouveautés, dont l'adoption du vote public dans l'élection des conseils régionaux, des provinces, des préfectures et des régions et dans la prise des décisions au sein de ces conseils, la consécration du principe de la gestion autonome qui confère à ces collectivités territoriales, dans la limite de leurs prérogatives, le pouvoir de délibération de manière démocratique, le pouvoir d'exécuter les conclusions de leurs délibérations et décisions et la promotion de la présence et de la contribution de la femme.</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Ces lois organiques confèrent aussi aux régions, provinces, préfectures et communes des attributions autonomes, d'autres qu'elles partagent avec l'Etat ou qui leur sont transférées par l'Etat, sur la base des principes de subsidiarité et de suppléance pour la définition des prérogatives communes et transférées.</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Ces textes prévoient que seule la justice est habilitée à limoger les présidents et les membres des conseils régionaux, provinciaux et préfectoraux, à rendre nulles et non avenues les décisions émanant de ces conseils ou encore à les dissoudre. </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 xml:space="preserve">Ces lois organiques qui déterminent clairement les sources financières des collectivités territoriales, stipulent que le président du Conseil est l'ordonnateur du budget de la région, la province, la préfecture et la commune. Ce budget sera ventilé en fonction des </w:t>
      </w:r>
      <w:r w:rsidR="005409DB">
        <w:rPr>
          <w:rFonts w:ascii="Arial" w:hAnsi="Arial" w:cs="Arial"/>
          <w:lang w:eastAsia="fr-FR"/>
        </w:rPr>
        <w:t xml:space="preserve">programmes, </w:t>
      </w:r>
      <w:r w:rsidRPr="00A17E25">
        <w:rPr>
          <w:rFonts w:ascii="Arial" w:hAnsi="Arial" w:cs="Arial"/>
          <w:lang w:eastAsia="fr-FR"/>
        </w:rPr>
        <w:t>projets</w:t>
      </w:r>
      <w:r w:rsidR="005409DB">
        <w:rPr>
          <w:rFonts w:ascii="Arial" w:hAnsi="Arial" w:cs="Arial"/>
          <w:lang w:eastAsia="fr-FR"/>
        </w:rPr>
        <w:t xml:space="preserve"> et actions</w:t>
      </w:r>
      <w:r w:rsidRPr="00A17E25">
        <w:rPr>
          <w:rFonts w:ascii="Arial" w:hAnsi="Arial" w:cs="Arial"/>
          <w:lang w:eastAsia="fr-FR"/>
        </w:rPr>
        <w:t xml:space="preserve"> durant trois ans.</w:t>
      </w:r>
    </w:p>
    <w:p w:rsidR="0070479E" w:rsidRPr="00A17E25" w:rsidRDefault="0070479E" w:rsidP="0070479E">
      <w:pPr>
        <w:shd w:val="clear" w:color="auto" w:fill="FFFFFF"/>
        <w:jc w:val="both"/>
        <w:rPr>
          <w:rFonts w:ascii="Arial" w:hAnsi="Arial" w:cs="Arial"/>
          <w:lang w:eastAsia="fr-FR"/>
        </w:rPr>
      </w:pPr>
    </w:p>
    <w:p w:rsidR="0070479E" w:rsidRPr="00A17E25" w:rsidRDefault="0070479E" w:rsidP="0070479E">
      <w:pPr>
        <w:shd w:val="clear" w:color="auto" w:fill="FFFFFF"/>
        <w:jc w:val="both"/>
        <w:rPr>
          <w:rFonts w:ascii="Arial" w:hAnsi="Arial" w:cs="Arial"/>
          <w:lang w:eastAsia="fr-FR"/>
        </w:rPr>
      </w:pPr>
      <w:r w:rsidRPr="00A17E25">
        <w:rPr>
          <w:rFonts w:ascii="Arial" w:hAnsi="Arial" w:cs="Arial"/>
          <w:lang w:eastAsia="fr-FR"/>
        </w:rPr>
        <w:t>Les lois organiques en question édictent de nouvelles règles visant à instaurer clairement le principe limitant l’étendue du contrôle administratif à la vérification de la légalité des actes et à renforcer le contrôle de la gestion et la réédition des comptes.</w:t>
      </w:r>
    </w:p>
    <w:p w:rsidR="0070479E" w:rsidRPr="00A17E25" w:rsidRDefault="0070479E" w:rsidP="0070479E">
      <w:pPr>
        <w:rPr>
          <w:rFonts w:ascii="Arial" w:hAnsi="Arial" w:cs="Arial"/>
          <w:b/>
        </w:rPr>
      </w:pPr>
    </w:p>
    <w:p w:rsidR="0070479E" w:rsidRPr="00A17E25" w:rsidRDefault="0070479E" w:rsidP="0070479E">
      <w:pPr>
        <w:jc w:val="both"/>
        <w:rPr>
          <w:rFonts w:ascii="Arial" w:hAnsi="Arial"/>
        </w:rPr>
      </w:pPr>
      <w:r w:rsidRPr="00A17E25">
        <w:rPr>
          <w:rFonts w:ascii="Arial" w:hAnsi="Arial" w:cs="Arial"/>
        </w:rPr>
        <w:t xml:space="preserve">Pour l’évaluation PEFA de la gestion des finances de la </w:t>
      </w:r>
      <w:r w:rsidR="00F86504">
        <w:rPr>
          <w:rFonts w:ascii="Arial" w:hAnsi="Arial" w:cs="Arial"/>
        </w:rPr>
        <w:t>CC</w:t>
      </w:r>
      <w:r w:rsidRPr="00A17E25">
        <w:rPr>
          <w:rFonts w:ascii="Arial" w:hAnsi="Arial" w:cs="Arial"/>
        </w:rPr>
        <w:t xml:space="preserve">, la législation sus -mentionnée a été abondamment utilisée. D’autres textes annexes ont également été consultés et ont servi de référence à l’exercice. La totalité des textes légaux utilisés pour l’exercice sont présentés dans les tableaux ci- dessous : </w:t>
      </w:r>
    </w:p>
    <w:p w:rsidR="00106354" w:rsidRDefault="00106354">
      <w:pPr>
        <w:rPr>
          <w:rFonts w:ascii="Arial Narrow" w:hAnsi="Arial Narrow"/>
          <w:b/>
          <w:sz w:val="20"/>
          <w:u w:val="single"/>
        </w:rPr>
      </w:pPr>
    </w:p>
    <w:p w:rsidR="0034021B" w:rsidRDefault="0034021B">
      <w:pPr>
        <w:rPr>
          <w:rFonts w:ascii="Arial Narrow" w:hAnsi="Arial Narrow"/>
          <w:b/>
          <w:sz w:val="20"/>
          <w:u w:val="single"/>
        </w:rPr>
      </w:pPr>
      <w:r>
        <w:rPr>
          <w:rFonts w:ascii="Arial Narrow" w:hAnsi="Arial Narrow"/>
          <w:b/>
          <w:sz w:val="20"/>
          <w:u w:val="single"/>
        </w:rPr>
        <w:br w:type="page"/>
      </w:r>
    </w:p>
    <w:p w:rsidR="0070479E" w:rsidRPr="00A17E25" w:rsidRDefault="0070479E" w:rsidP="0070479E">
      <w:pPr>
        <w:jc w:val="center"/>
        <w:rPr>
          <w:rFonts w:ascii="Arial Narrow" w:hAnsi="Arial Narrow"/>
          <w:b/>
          <w:sz w:val="20"/>
        </w:rPr>
      </w:pPr>
      <w:r w:rsidRPr="00A17E25">
        <w:rPr>
          <w:rFonts w:ascii="Arial Narrow" w:hAnsi="Arial Narrow"/>
          <w:b/>
          <w:sz w:val="20"/>
          <w:u w:val="single"/>
        </w:rPr>
        <w:t>TABLEAU</w:t>
      </w:r>
      <w:r w:rsidR="00592ACC">
        <w:rPr>
          <w:rFonts w:ascii="Arial Narrow" w:hAnsi="Arial Narrow"/>
          <w:b/>
          <w:sz w:val="20"/>
        </w:rPr>
        <w:t xml:space="preserve"> 2.4</w:t>
      </w:r>
      <w:r w:rsidRPr="00A17E25">
        <w:rPr>
          <w:rFonts w:ascii="Arial Narrow" w:hAnsi="Arial Narrow"/>
          <w:b/>
          <w:sz w:val="20"/>
        </w:rPr>
        <w:t> : PRINCIPAUX TEXTES JURIDIQUES REGISSANT LES COLLECTIVITES TERRITORIALES</w:t>
      </w:r>
    </w:p>
    <w:p w:rsidR="0070479E" w:rsidRPr="00A17E25" w:rsidRDefault="0070479E" w:rsidP="0070479E">
      <w:pPr>
        <w:jc w:val="both"/>
        <w:rPr>
          <w:rFonts w:ascii="Arial" w:hAnsi="Arial"/>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Attributions et organisation du Ministère de l'Intérieur</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2-97-176 du 14 chaabane 1418 (15 décembre 1997) relatif aux attributions et à l'organisation du ministère de l'intérieur tel qu’il a été modifié et complété par le décret n° 2-04-750 du 14 kaada 1425 (27 décembre 2005), le décret n° 2-05-1585 du 12 joumada 1428 (28 juin 2007) et le décret n° 2-08-159 du 19 moharrem 1430 (16 janvier 2009).</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b/>
          <w:bCs/>
          <w:color w:val="000000"/>
          <w:sz w:val="20"/>
          <w:szCs w:val="20"/>
        </w:rPr>
        <w:t>- Organisation des communes urbaines et rurales et leurs groupements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n° 78-00 portant charte communale promulguée par le dahir n°1-02-297 du 25 rejeb 1423 (3 octobre 2002), telle qu’elle a été modifiée et complétée par la loi n°01-03 promulguée par le dahir n°1-03-82 du 20 moharrem 1424 (24 mars 2003) et la loi n°17-08 promulguée par le dahir n° 1-08-153 du 22 safar 1430 (18 février 2009).</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2-03-136 du 21 moharrem 1424 (3 avril 2003) fixant le nombre des arrondissements, leurs limites géographiques, leurs dénominations ainsi que le nombre des conseillers communaux et d’arrondissement à élire dans chaque arrondissement tel qu’il a été modifié par le décret n° 2-08-735 du 2 moharrem 1430 (30 décembre 2008).</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 xml:space="preserve">Décret n° 2-03-529 du 13 rejeb 1424 (10 septembre 2003) fixant le ressort territorial des préfectures d’arrondissements et les arrondissements qui en relèvent. </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Organisation des préfectures et des provinces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color w:val="000000"/>
          <w:sz w:val="20"/>
          <w:szCs w:val="20"/>
        </w:rPr>
        <w:t>Loi n° 79-00 relative à l’organisation des collectivités préfectorales et provinciales promulguée par le dahir n° 1-02-269 du 25 rejeb 1423 (3 octobre 2002).</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2-09-321 du 17 joumada II 1430 (11 juin 2009) fixant le nombre des membres des conseils préfectoraux et provinciaux.</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Organisation des régions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color w:val="000000"/>
          <w:sz w:val="20"/>
          <w:szCs w:val="20"/>
        </w:rPr>
        <w:t>Loi n° 47-96 relative à l’organisation de la région promulguée par le dahir n°1-97-84 du 23 kaada 1417 (2 février 1997).</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2-09-319 du 17 joumada II 1430 (11 juin 2009) modifiant et complétant le dahir n° 1-59-351 du 1er joumada II 1379 (2 décembre 1959) relatif à la division administrative du Royaume).</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2-97-246 du 12 rabii II 1418 (17 août 1997) fixant le nombre des régions, leur nom, leur chef-lieu, leur ressort territorial et le nombre de conseillers à élire dans chaque région ainsi que la répartition des sièges entre les divers collèges électoraux et la répartition entre les préfectures et provinces du nombre des sièges revenant aux collectivités locales tel qu’il a été modifié et complété par le décret n° 2-03-531 du 13 rejeb 1424 (10 septembre 2003) et le décret n° 2-09-322 du 17 joumada II 1430 (11 juin 2009).</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Finances, comptabilité et fiscalité des collectivités locales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color w:val="000000"/>
          <w:sz w:val="20"/>
          <w:szCs w:val="20"/>
        </w:rPr>
        <w:t>Loi n° 45-08 relative à l’organisation des finances des collectivités locales et de leurs groupements promulguée par le dahir n° 1-09-02 du 22 safar 1430 (18 février 2009).</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Décret n° 2-09-441 du 17 moharrem 1431 (3 janvier 2010) portant règlement de la comptabilité publique des collectivités locales et de leurs groupements.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n° 47-06 relative à la fiscalité des collectivités locales promulguée par le dahir 1-07-195 du 19 kaada 1428 (30 novembre 2007) tel qu’elle a été modifiée et complétée par la loi n° 05-10, promulguée par le dahir n° 1-10-22 du 26 safar 1431 (11 février 2010).</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La loi n° 39-07 édictant des dispositions transitoires en ce qui concerne certains taxes, droits, contributions et redevances dus aux collectivités locales, promulguée par le dahir n° 1-07-209 du 27 Décembre 2007.</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Responsabilité des ordonnateurs, des contrôleurs et des comptables publics</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color w:val="000000"/>
          <w:sz w:val="20"/>
          <w:szCs w:val="20"/>
        </w:rPr>
        <w:t>Loi n° 61-99 relative à la responsabilité des ordonnateurs, des contrôleurs et des comptables publics promulguée par le dahir n° 1-02-25 du 19 moharrem 1423 (3 avril 2002), telle qu’elle a été modifiée et complétée par la loi de finances n° 48-03 pour l'année budgétaire 2004 promulguée par le dahir n° 1-03-308 du 7 kaada 1424 (31 décembre 2003), la loi de finances n° 38-07 pour l'année budgétaire 2008 promulguée par le dahir n° 1-07-211 du 16 hija 1428 (27 décembre 2007) et la loi de finances n° 48-09 pour l'année budgétaire 2010 promulguée par le dahir n° 1-09-243 du 13 moharrem 1431 (30 décembre 2009).</w:t>
      </w:r>
    </w:p>
    <w:p w:rsidR="0070479E" w:rsidRPr="00A17E25" w:rsidRDefault="0070479E" w:rsidP="00621670">
      <w:pPr>
        <w:pBdr>
          <w:top w:val="single" w:sz="4" w:space="1" w:color="auto"/>
          <w:left w:val="single" w:sz="4" w:space="31"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b/>
          <w:bCs/>
          <w:color w:val="000000"/>
          <w:sz w:val="20"/>
          <w:szCs w:val="20"/>
        </w:rPr>
      </w:pPr>
      <w:r w:rsidRPr="00A17E25">
        <w:rPr>
          <w:rFonts w:ascii="Arial Narrow" w:eastAsia="Calibri" w:hAnsi="Arial Narrow" w:cs="Arial"/>
          <w:b/>
          <w:bCs/>
          <w:color w:val="000000"/>
          <w:sz w:val="20"/>
          <w:szCs w:val="20"/>
        </w:rPr>
        <w:t>- Gestion des services publics locaux</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n° 54-05 relative à la gestion déléguée des services publics promulguée par le dahir n° 1-06-15 du 15 moharrem 1427 (14 février 2006).</w:t>
      </w:r>
    </w:p>
    <w:p w:rsidR="0070479E" w:rsidRPr="00A17E25" w:rsidRDefault="0070479E" w:rsidP="0070479E">
      <w:pPr>
        <w:jc w:val="both"/>
        <w:rPr>
          <w:rFonts w:ascii="Arial" w:hAnsi="Arial"/>
          <w:sz w:val="16"/>
          <w:szCs w:val="16"/>
        </w:rPr>
      </w:pPr>
    </w:p>
    <w:p w:rsidR="0070479E" w:rsidRPr="00A17E25" w:rsidRDefault="0070479E" w:rsidP="0070479E">
      <w:pPr>
        <w:jc w:val="both"/>
        <w:rPr>
          <w:rFonts w:ascii="Arial" w:hAnsi="Arial"/>
        </w:rPr>
      </w:pPr>
    </w:p>
    <w:p w:rsidR="0070479E" w:rsidRPr="00A17E25" w:rsidRDefault="0070479E" w:rsidP="0070479E">
      <w:pPr>
        <w:jc w:val="both"/>
        <w:rPr>
          <w:rFonts w:ascii="Arial" w:hAnsi="Arial" w:cs="Arial"/>
        </w:rPr>
      </w:pPr>
      <w:r w:rsidRPr="00A17E25">
        <w:rPr>
          <w:rFonts w:ascii="Arial" w:hAnsi="Arial" w:cs="Arial"/>
        </w:rPr>
        <w:t>Le texte de loi sur le fonctionnement des systèmes de marchés publics :</w:t>
      </w:r>
    </w:p>
    <w:p w:rsidR="003821F1" w:rsidRDefault="003821F1">
      <w:pPr>
        <w:rPr>
          <w:rFonts w:ascii="Arial Narrow" w:hAnsi="Arial Narrow"/>
          <w:b/>
          <w:sz w:val="20"/>
          <w:u w:val="single"/>
        </w:rPr>
      </w:pPr>
    </w:p>
    <w:p w:rsidR="0070479E" w:rsidRPr="00A17E25" w:rsidRDefault="0070479E" w:rsidP="0070479E">
      <w:pPr>
        <w:jc w:val="center"/>
        <w:rPr>
          <w:rFonts w:ascii="Arial Narrow" w:hAnsi="Arial Narrow"/>
          <w:b/>
          <w:sz w:val="20"/>
        </w:rPr>
      </w:pPr>
      <w:r w:rsidRPr="00A17E25">
        <w:rPr>
          <w:rFonts w:ascii="Arial Narrow" w:hAnsi="Arial Narrow"/>
          <w:b/>
          <w:sz w:val="20"/>
          <w:u w:val="single"/>
        </w:rPr>
        <w:t>TABLEAU</w:t>
      </w:r>
      <w:r w:rsidR="00592ACC">
        <w:rPr>
          <w:rFonts w:ascii="Arial Narrow" w:hAnsi="Arial Narrow"/>
          <w:b/>
          <w:sz w:val="20"/>
        </w:rPr>
        <w:t xml:space="preserve"> 2.5</w:t>
      </w:r>
      <w:r w:rsidRPr="00A17E25">
        <w:rPr>
          <w:rFonts w:ascii="Arial Narrow" w:hAnsi="Arial Narrow"/>
          <w:b/>
          <w:sz w:val="20"/>
        </w:rPr>
        <w:t> : TEXTE SUR LES MARCHES PUBLICS</w:t>
      </w:r>
    </w:p>
    <w:p w:rsidR="0070479E" w:rsidRPr="00A17E25" w:rsidRDefault="0070479E" w:rsidP="0070479E">
      <w:pPr>
        <w:jc w:val="center"/>
        <w:rPr>
          <w:rFonts w:ascii="Arial Narrow" w:hAnsi="Arial Narrow"/>
          <w:sz w:val="20"/>
          <w:szCs w:val="20"/>
        </w:rPr>
      </w:pP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jc w:val="both"/>
        <w:rPr>
          <w:rFonts w:ascii="Arial Narrow" w:eastAsia="Calibri" w:hAnsi="Arial Narrow" w:cs="Arial"/>
          <w:sz w:val="20"/>
          <w:szCs w:val="20"/>
        </w:rPr>
      </w:pPr>
      <w:r w:rsidRPr="00A17E25">
        <w:rPr>
          <w:rFonts w:ascii="Arial Narrow" w:eastAsia="Calibri" w:hAnsi="Arial Narrow" w:cs="Arial"/>
          <w:sz w:val="20"/>
          <w:szCs w:val="20"/>
        </w:rPr>
        <w:t xml:space="preserve">Décret n° 2-12-349 du 8 joumada I 1434 (4 avril 2013) relatif aux marchés publics, </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jc w:val="both"/>
        <w:rPr>
          <w:rFonts w:ascii="Arial Narrow" w:eastAsia="Calibri" w:hAnsi="Arial Narrow" w:cs="Arial"/>
          <w:sz w:val="20"/>
          <w:szCs w:val="20"/>
        </w:rPr>
      </w:pPr>
      <w:r w:rsidRPr="00A17E25">
        <w:rPr>
          <w:rFonts w:ascii="Arial Narrow" w:eastAsia="Calibri" w:hAnsi="Arial Narrow" w:cs="Arial"/>
          <w:sz w:val="20"/>
          <w:szCs w:val="20"/>
        </w:rPr>
        <w:t>Arrêtés du Ministère de l’Intérieur du 6 safar 1435 (10 décembre 2013) relatifs aux marchés des régions, provinces, préfectures et communes,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Cahiers des Clauses Administratives Générales,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Cahiers des Prescriptions Communes,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A la composition de la commission des appels d’offres et des jurys de concours,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Au comité de suivi des marchés,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Aux autorités compétentes pour approuver les marchés,</w:t>
      </w:r>
    </w:p>
    <w:p w:rsidR="0070479E" w:rsidRPr="00A17E25" w:rsidRDefault="0070479E" w:rsidP="00151AD3">
      <w:pPr>
        <w:pStyle w:val="ListParagraph"/>
        <w:numPr>
          <w:ilvl w:val="0"/>
          <w:numId w:val="59"/>
        </w:num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eastAsia="Calibri" w:hAnsi="Arial Narrow" w:cs="Arial"/>
          <w:sz w:val="20"/>
          <w:szCs w:val="20"/>
        </w:rPr>
      </w:pPr>
      <w:r w:rsidRPr="00A17E25">
        <w:rPr>
          <w:rFonts w:ascii="Arial Narrow" w:eastAsia="Calibri" w:hAnsi="Arial Narrow" w:cs="Arial"/>
          <w:sz w:val="20"/>
          <w:szCs w:val="20"/>
        </w:rPr>
        <w:t>Fixant la liste des prestations pouvant faire l’objet de marchés négociés.</w:t>
      </w:r>
    </w:p>
    <w:p w:rsidR="0070479E" w:rsidRPr="00A17E25" w:rsidRDefault="0070479E" w:rsidP="0070479E">
      <w:pPr>
        <w:jc w:val="both"/>
        <w:rPr>
          <w:rFonts w:ascii="Arial" w:hAnsi="Arial"/>
        </w:rPr>
      </w:pPr>
    </w:p>
    <w:p w:rsidR="0070479E" w:rsidRPr="00A17E25" w:rsidRDefault="0070479E" w:rsidP="0070479E">
      <w:pPr>
        <w:jc w:val="both"/>
        <w:rPr>
          <w:rFonts w:ascii="Arial" w:hAnsi="Arial" w:cs="Arial"/>
        </w:rPr>
      </w:pPr>
      <w:r w:rsidRPr="00A17E25">
        <w:rPr>
          <w:rFonts w:ascii="Arial" w:hAnsi="Arial" w:cs="Arial"/>
        </w:rPr>
        <w:t>Autres textes :</w:t>
      </w:r>
    </w:p>
    <w:p w:rsidR="0070479E" w:rsidRPr="00A17E25" w:rsidRDefault="0070479E" w:rsidP="0070479E">
      <w:pPr>
        <w:jc w:val="center"/>
        <w:rPr>
          <w:rFonts w:ascii="Arial Narrow" w:hAnsi="Arial Narrow"/>
          <w:b/>
          <w:sz w:val="20"/>
          <w:u w:val="single"/>
        </w:rPr>
      </w:pPr>
    </w:p>
    <w:p w:rsidR="0070479E" w:rsidRPr="00A17E25" w:rsidRDefault="0070479E" w:rsidP="0070479E">
      <w:pPr>
        <w:jc w:val="center"/>
        <w:rPr>
          <w:rFonts w:ascii="Arial Narrow" w:hAnsi="Arial Narrow"/>
          <w:b/>
          <w:sz w:val="20"/>
        </w:rPr>
      </w:pPr>
      <w:r w:rsidRPr="00A17E25">
        <w:rPr>
          <w:rFonts w:ascii="Arial Narrow" w:hAnsi="Arial Narrow"/>
          <w:b/>
          <w:sz w:val="20"/>
          <w:u w:val="single"/>
        </w:rPr>
        <w:t>TABLEAU</w:t>
      </w:r>
      <w:r w:rsidR="00592ACC">
        <w:rPr>
          <w:rFonts w:ascii="Arial Narrow" w:hAnsi="Arial Narrow"/>
          <w:b/>
          <w:sz w:val="20"/>
        </w:rPr>
        <w:t xml:space="preserve"> 2.6</w:t>
      </w:r>
      <w:r w:rsidRPr="00A17E25">
        <w:rPr>
          <w:rFonts w:ascii="Arial Narrow" w:hAnsi="Arial Narrow"/>
          <w:b/>
          <w:sz w:val="20"/>
        </w:rPr>
        <w:t> : LES DIVERS TEXTES CONCERNANT LES COLLECTIVITES LOCALES</w:t>
      </w:r>
    </w:p>
    <w:p w:rsidR="0070479E" w:rsidRPr="00A17E25" w:rsidRDefault="0070479E" w:rsidP="0070479E">
      <w:pPr>
        <w:rPr>
          <w:rFonts w:ascii="Arial" w:eastAsia="Calibri" w:hAnsi="Arial" w:cs="Arial"/>
          <w:color w:val="00000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n° 31-90 portant réorganisation du Fonds d’équipement communal promulguée par le dahir n° 1-92-5 du 5 safar 1413 (5 août 1992) tel qu’elle a été complétée par la loi n° 11-96 promulguée par le dahir n° 1-96-100 du 16 rabii I 1417 (2 août 1996).</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Principales dispositions concernant les collectivités locales contenues dans la loi n° 62-99 formant code des juridictions financières promulguée par le dahir n° 1-02-124 du 1er rabii II 1423 (13 juin 2002) telle qu’elle a été modifiée et complété par la loi n° 52-06, promulguée par le dahir n° 1-07-199 du 19 kaada 1428 (30 novembre 2007).</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Principales dispositions concernant les attributions de l’inspection générale de l’administration territoriale contenues dans le décret n° 2-94-100 du 6 moharrem 1415 (16 juin 1994) portant statut particulier de l’inspection générale de l’administration territoriale du ministère d’Etat à l’intérieur.</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130-13 relatif à la Loi Organique de la Loi de Finances.</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r w:rsidRPr="00A17E25">
        <w:rPr>
          <w:rFonts w:ascii="Arial Narrow" w:eastAsia="Calibri" w:hAnsi="Arial Narrow" w:cs="Arial"/>
          <w:color w:val="000000"/>
          <w:sz w:val="20"/>
          <w:szCs w:val="20"/>
        </w:rPr>
        <w:t>Loi 113- 14 relatif à la Loi Organique des C</w:t>
      </w:r>
      <w:r w:rsidR="005409DB">
        <w:rPr>
          <w:rFonts w:ascii="Arial Narrow" w:eastAsia="Calibri" w:hAnsi="Arial Narrow" w:cs="Arial"/>
          <w:color w:val="000000"/>
          <w:sz w:val="20"/>
          <w:szCs w:val="20"/>
        </w:rPr>
        <w:t>ommunes.</w:t>
      </w:r>
      <w:r w:rsidRPr="00A17E25">
        <w:rPr>
          <w:rFonts w:ascii="Arial Narrow" w:eastAsia="Calibri" w:hAnsi="Arial Narrow" w:cs="Arial"/>
          <w:color w:val="000000"/>
          <w:sz w:val="20"/>
          <w:szCs w:val="20"/>
        </w:rPr>
        <w:t>.</w:t>
      </w:r>
    </w:p>
    <w:p w:rsidR="0070479E" w:rsidRPr="00A17E25" w:rsidRDefault="0070479E" w:rsidP="0070479E">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color w:val="000000"/>
          <w:sz w:val="20"/>
          <w:szCs w:val="20"/>
        </w:rPr>
      </w:pPr>
    </w:p>
    <w:p w:rsidR="0070479E" w:rsidRPr="00370022" w:rsidRDefault="0070479E" w:rsidP="00370022">
      <w:pPr>
        <w:pBdr>
          <w:top w:val="single" w:sz="4" w:space="1" w:color="auto"/>
          <w:left w:val="single" w:sz="4" w:space="4" w:color="auto"/>
          <w:bottom w:val="single" w:sz="4" w:space="1" w:color="auto"/>
          <w:right w:val="single" w:sz="4" w:space="4" w:color="auto"/>
        </w:pBdr>
        <w:ind w:left="360"/>
        <w:jc w:val="both"/>
        <w:rPr>
          <w:rFonts w:ascii="Arial Narrow" w:eastAsia="Calibri" w:hAnsi="Arial Narrow" w:cs="Arial"/>
          <w:sz w:val="20"/>
          <w:szCs w:val="20"/>
        </w:rPr>
      </w:pPr>
      <w:r w:rsidRPr="00A17E25">
        <w:rPr>
          <w:rFonts w:ascii="Arial Narrow" w:hAnsi="Arial Narrow" w:cs="ArialMT"/>
          <w:sz w:val="20"/>
          <w:szCs w:val="20"/>
          <w:lang w:eastAsia="fr-FR"/>
        </w:rPr>
        <w:t>Guide pour l’élaboration du plan communal de développement (PCD) selon l’approche de planification stratégique participative. DGCL, juin 2008.</w:t>
      </w:r>
    </w:p>
    <w:p w:rsidR="00370022" w:rsidRPr="00370022" w:rsidRDefault="00370022" w:rsidP="0070479E">
      <w:pPr>
        <w:rPr>
          <w:rFonts w:ascii="Arial" w:hAnsi="Arial"/>
          <w:b/>
        </w:rPr>
      </w:pPr>
    </w:p>
    <w:p w:rsidR="0070479E" w:rsidRDefault="00370022" w:rsidP="0070479E">
      <w:pPr>
        <w:rPr>
          <w:rFonts w:ascii="Arial" w:hAnsi="Arial"/>
          <w:b/>
        </w:rPr>
      </w:pPr>
      <w:r w:rsidRPr="00370022">
        <w:rPr>
          <w:rFonts w:ascii="Arial" w:hAnsi="Arial"/>
          <w:b/>
        </w:rPr>
        <w:t>2.4.2 Cadre institutionnel</w:t>
      </w:r>
    </w:p>
    <w:p w:rsidR="00370022" w:rsidRPr="00370022" w:rsidRDefault="00370022" w:rsidP="0070479E">
      <w:pPr>
        <w:rPr>
          <w:rFonts w:ascii="Arial" w:hAnsi="Arial"/>
          <w:b/>
        </w:rPr>
      </w:pPr>
    </w:p>
    <w:p w:rsidR="00C24A07" w:rsidRPr="00DC750E" w:rsidRDefault="00C24A07" w:rsidP="00C24A07">
      <w:pPr>
        <w:jc w:val="both"/>
        <w:rPr>
          <w:rFonts w:ascii="Arial" w:hAnsi="Arial" w:cs="Arial"/>
          <w:b/>
          <w:i/>
        </w:rPr>
      </w:pPr>
      <w:r>
        <w:rPr>
          <w:rFonts w:ascii="Arial" w:hAnsi="Arial" w:cs="Arial"/>
          <w:b/>
          <w:i/>
        </w:rPr>
        <w:t>Organisation territoriale du Royaume du Maroc</w:t>
      </w:r>
    </w:p>
    <w:p w:rsidR="00C24A07" w:rsidRDefault="00C24A07" w:rsidP="00C24A07">
      <w:pPr>
        <w:jc w:val="both"/>
        <w:rPr>
          <w:rFonts w:ascii="Arial" w:hAnsi="Arial" w:cs="Arial"/>
        </w:rPr>
      </w:pPr>
    </w:p>
    <w:p w:rsidR="00C24A07" w:rsidRDefault="00C24A07" w:rsidP="00C24A07">
      <w:pPr>
        <w:jc w:val="both"/>
        <w:rPr>
          <w:rFonts w:ascii="Arial" w:hAnsi="Arial" w:cs="Arial"/>
        </w:rPr>
      </w:pPr>
      <w:r w:rsidRPr="00A17E25">
        <w:rPr>
          <w:rFonts w:ascii="Arial" w:hAnsi="Arial" w:cs="Arial"/>
        </w:rPr>
        <w:t>Les collectivités locales territoriales regroupent</w:t>
      </w:r>
      <w:r>
        <w:rPr>
          <w:rFonts w:ascii="Arial" w:hAnsi="Arial" w:cs="Arial"/>
        </w:rPr>
        <w:t>,</w:t>
      </w:r>
      <w:r w:rsidRPr="00A17E25">
        <w:rPr>
          <w:rFonts w:ascii="Arial" w:hAnsi="Arial" w:cs="Arial"/>
        </w:rPr>
        <w:t xml:space="preserve"> jusqu’au mois de septembre 2015</w:t>
      </w:r>
      <w:r>
        <w:rPr>
          <w:rFonts w:ascii="Arial" w:hAnsi="Arial" w:cs="Arial"/>
        </w:rPr>
        <w:t>,</w:t>
      </w:r>
      <w:r w:rsidRPr="00A17E25">
        <w:rPr>
          <w:rFonts w:ascii="Arial" w:hAnsi="Arial" w:cs="Arial"/>
        </w:rPr>
        <w:t xml:space="preserve"> 16 régions, 75 provinces et préfectures (62 provinces et 13 préfectures), 221 communes urbaines et 1.282 communes rurales qui ont des conseils municipaux élus </w:t>
      </w:r>
      <w:r>
        <w:rPr>
          <w:rFonts w:ascii="Arial" w:hAnsi="Arial" w:cs="Arial"/>
        </w:rPr>
        <w:t xml:space="preserve">qui élisent en leur sein un maire. </w:t>
      </w:r>
    </w:p>
    <w:p w:rsidR="00C24A07" w:rsidRDefault="00C24A07" w:rsidP="00C24A07">
      <w:pPr>
        <w:jc w:val="both"/>
        <w:rPr>
          <w:rFonts w:ascii="Arial" w:hAnsi="Arial" w:cs="Arial"/>
        </w:rPr>
      </w:pPr>
    </w:p>
    <w:p w:rsidR="00C24A07" w:rsidRDefault="00C24A07" w:rsidP="00C24A07">
      <w:pPr>
        <w:jc w:val="both"/>
        <w:rPr>
          <w:rFonts w:ascii="Arial" w:hAnsi="Arial" w:cs="Arial"/>
        </w:rPr>
      </w:pPr>
      <w:r>
        <w:rPr>
          <w:rFonts w:ascii="Arial" w:hAnsi="Arial" w:cs="Arial"/>
        </w:rPr>
        <w:t>L</w:t>
      </w:r>
      <w:r w:rsidRPr="00A17E25">
        <w:rPr>
          <w:rFonts w:ascii="Arial" w:hAnsi="Arial" w:cs="Arial"/>
        </w:rPr>
        <w:t>es villes de plus de 500 000 habitants (Rabat, Sale, Casabl</w:t>
      </w:r>
      <w:r>
        <w:rPr>
          <w:rFonts w:ascii="Arial" w:hAnsi="Arial" w:cs="Arial"/>
        </w:rPr>
        <w:t>anca, Fès, Marrakech et Tanger)</w:t>
      </w:r>
      <w:r w:rsidRPr="00A17E25">
        <w:rPr>
          <w:rFonts w:ascii="Arial" w:hAnsi="Arial" w:cs="Arial"/>
        </w:rPr>
        <w:t xml:space="preserve"> </w:t>
      </w:r>
      <w:r>
        <w:rPr>
          <w:rFonts w:ascii="Arial" w:hAnsi="Arial" w:cs="Arial"/>
        </w:rPr>
        <w:t xml:space="preserve">sont gérées </w:t>
      </w:r>
      <w:r w:rsidRPr="00A17E25">
        <w:rPr>
          <w:rFonts w:ascii="Arial" w:hAnsi="Arial" w:cs="Arial"/>
        </w:rPr>
        <w:t xml:space="preserve">par un conseil communal et </w:t>
      </w:r>
      <w:r>
        <w:rPr>
          <w:rFonts w:ascii="Arial" w:hAnsi="Arial" w:cs="Arial"/>
        </w:rPr>
        <w:t>sont subdivisées</w:t>
      </w:r>
      <w:r w:rsidRPr="00A17E25">
        <w:rPr>
          <w:rFonts w:ascii="Arial" w:hAnsi="Arial" w:cs="Arial"/>
        </w:rPr>
        <w:t xml:space="preserve"> </w:t>
      </w:r>
      <w:r>
        <w:rPr>
          <w:rFonts w:ascii="Arial" w:hAnsi="Arial" w:cs="Arial"/>
        </w:rPr>
        <w:t>en</w:t>
      </w:r>
      <w:r w:rsidRPr="00A17E25">
        <w:rPr>
          <w:rFonts w:ascii="Arial" w:hAnsi="Arial" w:cs="Arial"/>
        </w:rPr>
        <w:t xml:space="preserve"> arrondissements, dépourvus de la personnalité juridique, mais jouissant d'une autonomie administrative et financière et dotés de conseils d'arrondissements. </w:t>
      </w:r>
    </w:p>
    <w:p w:rsidR="00C24A07" w:rsidRPr="00A17E25" w:rsidRDefault="00C24A07" w:rsidP="00C24A07">
      <w:pPr>
        <w:jc w:val="both"/>
        <w:rPr>
          <w:rFonts w:ascii="Arial" w:hAnsi="Arial" w:cs="Arial"/>
        </w:rPr>
      </w:pPr>
      <w:r w:rsidRPr="00A17E25">
        <w:rPr>
          <w:rFonts w:ascii="Arial" w:hAnsi="Arial" w:cs="Arial"/>
        </w:rPr>
        <w:t>Chaque conseil d'arrondissement est composé de deux catégories de membres :</w:t>
      </w:r>
    </w:p>
    <w:p w:rsidR="00C24A07" w:rsidRPr="00A17E25" w:rsidRDefault="00C24A07" w:rsidP="00C24A07">
      <w:pPr>
        <w:numPr>
          <w:ilvl w:val="0"/>
          <w:numId w:val="70"/>
        </w:numPr>
        <w:tabs>
          <w:tab w:val="clear" w:pos="720"/>
        </w:tabs>
        <w:jc w:val="both"/>
        <w:rPr>
          <w:rFonts w:ascii="Arial" w:hAnsi="Arial" w:cs="Arial"/>
        </w:rPr>
      </w:pPr>
      <w:r w:rsidRPr="00A17E25">
        <w:rPr>
          <w:rFonts w:ascii="Arial" w:hAnsi="Arial" w:cs="Arial"/>
        </w:rPr>
        <w:t>Les membres du conseil communal élus dans l'arrondissement,</w:t>
      </w:r>
    </w:p>
    <w:p w:rsidR="00C24A07" w:rsidRPr="00322821" w:rsidRDefault="00C24A07" w:rsidP="00C24A07">
      <w:pPr>
        <w:pStyle w:val="ListParagraph"/>
        <w:numPr>
          <w:ilvl w:val="0"/>
          <w:numId w:val="70"/>
        </w:numPr>
        <w:tabs>
          <w:tab w:val="clear" w:pos="720"/>
        </w:tabs>
        <w:jc w:val="both"/>
        <w:rPr>
          <w:rFonts w:ascii="Arial" w:hAnsi="Arial" w:cs="Arial"/>
        </w:rPr>
      </w:pPr>
      <w:r w:rsidRPr="00322821">
        <w:rPr>
          <w:rFonts w:ascii="Arial" w:hAnsi="Arial" w:cs="Arial"/>
        </w:rPr>
        <w:t>Les conseillers d'arrondissement</w:t>
      </w:r>
      <w:r>
        <w:rPr>
          <w:rFonts w:ascii="Arial" w:hAnsi="Arial" w:cs="Arial"/>
        </w:rPr>
        <w:t xml:space="preserve"> </w:t>
      </w:r>
      <w:r w:rsidRPr="00322821">
        <w:rPr>
          <w:rFonts w:ascii="Arial" w:hAnsi="Arial" w:cs="Arial"/>
        </w:rPr>
        <w:t>élus dans les conditions et formes prévues par la loi formant code électoral,</w:t>
      </w:r>
    </w:p>
    <w:p w:rsidR="00C24A07" w:rsidRPr="00A17E25" w:rsidRDefault="00C24A07" w:rsidP="00C24A07">
      <w:pPr>
        <w:jc w:val="both"/>
        <w:rPr>
          <w:rFonts w:ascii="Arial" w:hAnsi="Arial" w:cs="Arial"/>
        </w:rPr>
      </w:pPr>
      <w:r w:rsidRPr="00A17E25">
        <w:rPr>
          <w:rFonts w:ascii="Arial" w:hAnsi="Arial" w:cs="Arial"/>
        </w:rPr>
        <w:t xml:space="preserve"> </w:t>
      </w:r>
    </w:p>
    <w:p w:rsidR="00C24A07" w:rsidRDefault="00C24A07" w:rsidP="00C24A07">
      <w:pPr>
        <w:autoSpaceDE w:val="0"/>
        <w:autoSpaceDN w:val="0"/>
        <w:adjustRightInd w:val="0"/>
        <w:jc w:val="both"/>
        <w:rPr>
          <w:rFonts w:ascii="Arial" w:hAnsi="Arial" w:cs="Arial"/>
        </w:rPr>
      </w:pPr>
      <w:r w:rsidRPr="00322821">
        <w:rPr>
          <w:rFonts w:ascii="Arial" w:hAnsi="Arial" w:cs="Arial"/>
        </w:rPr>
        <w:t>Le conseil de chaque arrondissement se réunit au moins trois fois par an de manière obligatoire au cours des mois de janvier, juin et septembre. Ses délibérations sont adressées au président du conseil communal.</w:t>
      </w:r>
      <w:r>
        <w:rPr>
          <w:rFonts w:ascii="Arial" w:hAnsi="Arial" w:cs="Arial"/>
        </w:rPr>
        <w:t xml:space="preserve"> </w:t>
      </w:r>
      <w:r w:rsidRPr="00322821">
        <w:rPr>
          <w:rFonts w:ascii="Arial" w:hAnsi="Arial" w:cs="Arial"/>
        </w:rPr>
        <w:t>Les activités du conseil d'arrondissement sont exercées pour le compte et sous la responsabilité et le contrôle du conseil communal.</w:t>
      </w:r>
    </w:p>
    <w:p w:rsidR="00C24A07" w:rsidRDefault="00C24A07" w:rsidP="00C24A07">
      <w:pPr>
        <w:autoSpaceDE w:val="0"/>
        <w:autoSpaceDN w:val="0"/>
        <w:adjustRightInd w:val="0"/>
        <w:jc w:val="both"/>
        <w:rPr>
          <w:rFonts w:ascii="Arial" w:hAnsi="Arial" w:cs="Arial"/>
        </w:rPr>
      </w:pPr>
    </w:p>
    <w:p w:rsidR="00C24A07" w:rsidRDefault="00C24A07" w:rsidP="00C24A07">
      <w:pPr>
        <w:autoSpaceDE w:val="0"/>
        <w:autoSpaceDN w:val="0"/>
        <w:adjustRightInd w:val="0"/>
        <w:jc w:val="both"/>
        <w:rPr>
          <w:rFonts w:ascii="Arial" w:hAnsi="Arial" w:cs="Arial"/>
        </w:rPr>
      </w:pPr>
      <w:r w:rsidRPr="005F222B">
        <w:rPr>
          <w:rFonts w:ascii="Arial" w:hAnsi="Arial" w:cs="Arial"/>
        </w:rPr>
        <w:t>Les régions, dirigées chacune par un gouverneur (wali) nommé, ont des responsabilités dans les domaines du développement économique, de la planification régionale et de l’aide sociale. Le nouveau découpage régional mis en place après les élections du 4 septembre 2015 a réduit le nombre de régions à 12.</w:t>
      </w:r>
    </w:p>
    <w:p w:rsidR="00C24A07" w:rsidRDefault="00C24A07" w:rsidP="00C24A07">
      <w:pPr>
        <w:autoSpaceDE w:val="0"/>
        <w:autoSpaceDN w:val="0"/>
        <w:adjustRightInd w:val="0"/>
        <w:jc w:val="both"/>
        <w:rPr>
          <w:rFonts w:ascii="Arial" w:hAnsi="Arial" w:cs="Arial"/>
        </w:rPr>
      </w:pPr>
    </w:p>
    <w:p w:rsidR="00C24A07" w:rsidRPr="00A17E25" w:rsidRDefault="00C24A07" w:rsidP="00C24A07">
      <w:pPr>
        <w:autoSpaceDE w:val="0"/>
        <w:autoSpaceDN w:val="0"/>
        <w:adjustRightInd w:val="0"/>
        <w:jc w:val="both"/>
        <w:rPr>
          <w:rFonts w:ascii="Arial" w:hAnsi="Arial" w:cs="Arial"/>
        </w:rPr>
      </w:pPr>
      <w:r w:rsidRPr="005F222B">
        <w:rPr>
          <w:rFonts w:ascii="Arial" w:hAnsi="Arial" w:cs="Arial"/>
        </w:rPr>
        <w:t>Les provinces et préfectures sont des entités administratives déconcentrées du Ministère de l’Intérieur qui sont dirigées par un gouverneur nommé et une assemblée locale élue par les membres des conseils municipaux concernés.</w:t>
      </w:r>
    </w:p>
    <w:p w:rsidR="00C24A07" w:rsidRPr="00A17E25" w:rsidRDefault="00C24A07" w:rsidP="00C24A07">
      <w:pPr>
        <w:rPr>
          <w:rFonts w:ascii="Arial" w:hAnsi="Arial"/>
          <w:b/>
          <w:i/>
        </w:rPr>
      </w:pPr>
    </w:p>
    <w:p w:rsidR="00C24A07" w:rsidRPr="00A17E25" w:rsidRDefault="00C24A07" w:rsidP="00C24A07">
      <w:pPr>
        <w:rPr>
          <w:rFonts w:ascii="Arial" w:hAnsi="Arial"/>
          <w:i/>
        </w:rPr>
      </w:pPr>
      <w:r>
        <w:rPr>
          <w:rFonts w:ascii="Arial" w:hAnsi="Arial"/>
          <w:b/>
          <w:i/>
        </w:rPr>
        <w:t>Cadre institutionnel de la gestion des finances locales</w:t>
      </w:r>
    </w:p>
    <w:p w:rsidR="00C24A07" w:rsidRDefault="00C24A07" w:rsidP="00C24A07">
      <w:pPr>
        <w:jc w:val="both"/>
        <w:rPr>
          <w:rFonts w:ascii="Arial" w:hAnsi="Arial" w:cs="Arial"/>
        </w:rPr>
      </w:pPr>
    </w:p>
    <w:p w:rsidR="00C24A07" w:rsidRDefault="00C24A07" w:rsidP="00C24A07">
      <w:pPr>
        <w:jc w:val="both"/>
        <w:rPr>
          <w:rFonts w:ascii="Arial" w:hAnsi="Arial" w:cs="Arial"/>
        </w:rPr>
      </w:pPr>
      <w:r>
        <w:rPr>
          <w:rFonts w:ascii="Arial" w:hAnsi="Arial" w:cs="Arial"/>
        </w:rPr>
        <w:t>La gestion des finances locales de la commune fait intervenir les organes et services de la commune, les services du ministère en charge des finances et du ministère en charge de l’intérieur, et des organes de contrôle de l’Etat.</w:t>
      </w:r>
    </w:p>
    <w:p w:rsidR="00C24A07" w:rsidRDefault="00C24A07" w:rsidP="00C24A07">
      <w:pPr>
        <w:jc w:val="both"/>
        <w:rPr>
          <w:rFonts w:ascii="Arial" w:hAnsi="Arial" w:cs="Arial"/>
        </w:rPr>
      </w:pPr>
    </w:p>
    <w:p w:rsidR="00C24A07" w:rsidRPr="00A17E25" w:rsidRDefault="00C24A07" w:rsidP="00C24A07">
      <w:pPr>
        <w:jc w:val="both"/>
        <w:rPr>
          <w:rFonts w:ascii="Arial" w:hAnsi="Arial" w:cs="Arial"/>
        </w:rPr>
      </w:pPr>
      <w:r w:rsidRPr="00A17E25">
        <w:rPr>
          <w:rFonts w:ascii="Arial" w:hAnsi="Arial" w:cs="Arial"/>
        </w:rPr>
        <w:t xml:space="preserve">Le </w:t>
      </w:r>
      <w:r w:rsidRPr="00A17E25">
        <w:rPr>
          <w:rFonts w:ascii="Arial" w:hAnsi="Arial" w:cs="Arial"/>
          <w:u w:val="single"/>
        </w:rPr>
        <w:t>Président</w:t>
      </w:r>
      <w:r w:rsidRPr="00A17E25">
        <w:rPr>
          <w:rFonts w:ascii="Arial" w:hAnsi="Arial" w:cs="Arial"/>
        </w:rPr>
        <w:t xml:space="preserve"> du conseil communal est l'autorité exécutive de la commune. </w:t>
      </w:r>
      <w:r>
        <w:rPr>
          <w:rFonts w:ascii="Arial" w:hAnsi="Arial" w:cs="Arial"/>
        </w:rPr>
        <w:t>En matière de finances publiques, il :</w:t>
      </w:r>
    </w:p>
    <w:p w:rsidR="00C24A07" w:rsidRPr="00A17E25" w:rsidRDefault="00C24A07" w:rsidP="00C24A07">
      <w:pPr>
        <w:pStyle w:val="ListParagraph"/>
        <w:numPr>
          <w:ilvl w:val="0"/>
          <w:numId w:val="61"/>
        </w:numPr>
        <w:contextualSpacing/>
        <w:jc w:val="both"/>
        <w:rPr>
          <w:rFonts w:ascii="Arial" w:hAnsi="Arial" w:cs="Arial"/>
        </w:rPr>
      </w:pPr>
      <w:r>
        <w:rPr>
          <w:rFonts w:ascii="Arial" w:hAnsi="Arial" w:cs="Arial"/>
        </w:rPr>
        <w:t>Prépare et e</w:t>
      </w:r>
      <w:r w:rsidRPr="00A17E25">
        <w:rPr>
          <w:rFonts w:ascii="Arial" w:hAnsi="Arial" w:cs="Arial"/>
        </w:rPr>
        <w:t>xécute le budget</w:t>
      </w:r>
      <w:r>
        <w:rPr>
          <w:rFonts w:ascii="Arial" w:hAnsi="Arial" w:cs="Arial"/>
        </w:rPr>
        <w:t>,</w:t>
      </w:r>
      <w:r w:rsidRPr="00A17E25">
        <w:rPr>
          <w:rFonts w:ascii="Arial" w:hAnsi="Arial" w:cs="Arial"/>
        </w:rPr>
        <w:t xml:space="preserve"> et établit le compte administratif ;</w:t>
      </w:r>
    </w:p>
    <w:p w:rsidR="00C24A07" w:rsidRPr="00A17E25" w:rsidRDefault="00C24A07" w:rsidP="00C24A07">
      <w:pPr>
        <w:pStyle w:val="ListParagraph"/>
        <w:numPr>
          <w:ilvl w:val="0"/>
          <w:numId w:val="61"/>
        </w:numPr>
        <w:contextualSpacing/>
        <w:jc w:val="both"/>
        <w:rPr>
          <w:rFonts w:ascii="Arial" w:hAnsi="Arial" w:cs="Arial"/>
        </w:rPr>
      </w:pPr>
      <w:r w:rsidRPr="00A17E25">
        <w:rPr>
          <w:rFonts w:ascii="Arial" w:hAnsi="Arial" w:cs="Arial"/>
        </w:rPr>
        <w:t>Prend les arrêtés fixant les taux des taxes, les tarifs des redevances et droits divers ;</w:t>
      </w:r>
    </w:p>
    <w:p w:rsidR="00C24A07" w:rsidRPr="00A17E25" w:rsidRDefault="00C24A07" w:rsidP="00C24A07">
      <w:pPr>
        <w:pStyle w:val="ListParagraph"/>
        <w:numPr>
          <w:ilvl w:val="0"/>
          <w:numId w:val="61"/>
        </w:numPr>
        <w:contextualSpacing/>
        <w:jc w:val="both"/>
        <w:rPr>
          <w:rFonts w:ascii="Arial" w:hAnsi="Arial" w:cs="Arial"/>
        </w:rPr>
      </w:pPr>
      <w:r w:rsidRPr="00A17E25">
        <w:rPr>
          <w:rFonts w:ascii="Arial" w:hAnsi="Arial" w:cs="Arial"/>
        </w:rPr>
        <w:t>Procède à la conclusion et l'exécution des contrats d'emprunt ;</w:t>
      </w:r>
    </w:p>
    <w:p w:rsidR="00C24A07" w:rsidRPr="0050542D" w:rsidRDefault="00C24A07" w:rsidP="00C24A07">
      <w:pPr>
        <w:pStyle w:val="ListParagraph"/>
        <w:numPr>
          <w:ilvl w:val="0"/>
          <w:numId w:val="61"/>
        </w:numPr>
        <w:jc w:val="both"/>
        <w:rPr>
          <w:rFonts w:ascii="Arial" w:hAnsi="Arial" w:cs="Arial"/>
        </w:rPr>
      </w:pPr>
      <w:r w:rsidRPr="0050542D">
        <w:rPr>
          <w:rFonts w:ascii="Arial" w:hAnsi="Arial" w:cs="Arial"/>
        </w:rPr>
        <w:t>Conclut les marchés de travaux,</w:t>
      </w:r>
      <w:r>
        <w:rPr>
          <w:rFonts w:ascii="Arial" w:hAnsi="Arial" w:cs="Arial"/>
        </w:rPr>
        <w:t xml:space="preserve"> de fournitures ou de services.</w:t>
      </w:r>
    </w:p>
    <w:p w:rsidR="00C24A07" w:rsidRDefault="00C24A07" w:rsidP="00C24A07">
      <w:pPr>
        <w:jc w:val="both"/>
        <w:rPr>
          <w:rFonts w:ascii="Arial" w:hAnsi="Arial" w:cs="Arial"/>
        </w:rPr>
      </w:pPr>
    </w:p>
    <w:p w:rsidR="00C24A07" w:rsidRDefault="00C24A07" w:rsidP="00C24A07">
      <w:pPr>
        <w:jc w:val="both"/>
        <w:rPr>
          <w:rFonts w:ascii="Arial" w:hAnsi="Arial" w:cs="Arial"/>
        </w:rPr>
      </w:pPr>
      <w:r>
        <w:rPr>
          <w:rFonts w:ascii="Arial" w:hAnsi="Arial" w:cs="Arial"/>
        </w:rPr>
        <w:t xml:space="preserve">En matière d’exécution du budget, il est l’ordonnateur. Il est donc chargé de l’exécution de la phase administrative des opérations de recette et de dépense.. </w:t>
      </w:r>
    </w:p>
    <w:p w:rsidR="00C24A07" w:rsidRDefault="00C24A07" w:rsidP="00C24A07">
      <w:pPr>
        <w:jc w:val="both"/>
        <w:rPr>
          <w:rFonts w:ascii="Arial" w:hAnsi="Arial" w:cs="Arial"/>
        </w:rPr>
      </w:pPr>
      <w:r w:rsidRPr="00A17E25">
        <w:rPr>
          <w:rFonts w:ascii="Arial" w:hAnsi="Arial" w:cs="Arial"/>
        </w:rPr>
        <w:t xml:space="preserve">Le règlement de la comptabilité publique des collectivités locales et de leurs groupements consacre en son article 4 la séparation des fonctions d’ordonnateur et de comptable. En effet, cet article dispose que « </w:t>
      </w:r>
      <w:r w:rsidRPr="00A17E25">
        <w:rPr>
          <w:rFonts w:ascii="Arial" w:hAnsi="Arial" w:cs="Arial"/>
          <w:i/>
        </w:rPr>
        <w:t xml:space="preserve">Sauf dispositions contraires, la fonction d’ordonnateur d’une collectivité locale ou d’un groupement est incompatible avec celle de comptable public ». </w:t>
      </w:r>
    </w:p>
    <w:p w:rsidR="00C24A07" w:rsidRDefault="00C24A07" w:rsidP="00C24A07">
      <w:pPr>
        <w:jc w:val="both"/>
        <w:rPr>
          <w:rFonts w:ascii="Arial" w:hAnsi="Arial" w:cs="Arial"/>
        </w:rPr>
      </w:pPr>
    </w:p>
    <w:p w:rsidR="00C24A07" w:rsidRPr="00A17E25" w:rsidRDefault="00C24A07" w:rsidP="00C24A07">
      <w:pPr>
        <w:pStyle w:val="Default"/>
        <w:jc w:val="both"/>
        <w:rPr>
          <w:rFonts w:ascii="Arial" w:hAnsi="Arial" w:cs="Arial"/>
          <w:lang w:val="fr-FR"/>
        </w:rPr>
      </w:pPr>
      <w:r>
        <w:rPr>
          <w:rFonts w:ascii="Arial" w:hAnsi="Arial" w:cs="Arial"/>
          <w:lang w:val="fr-FR"/>
        </w:rPr>
        <w:t xml:space="preserve">Le </w:t>
      </w:r>
      <w:r w:rsidRPr="00440DB4">
        <w:rPr>
          <w:rFonts w:ascii="Arial" w:hAnsi="Arial" w:cs="Arial"/>
          <w:u w:val="single"/>
          <w:lang w:val="fr-FR"/>
        </w:rPr>
        <w:t>Trésorier</w:t>
      </w:r>
      <w:r>
        <w:rPr>
          <w:rFonts w:ascii="Arial" w:hAnsi="Arial" w:cs="Arial"/>
          <w:lang w:val="fr-FR"/>
        </w:rPr>
        <w:t xml:space="preserve"> qui relève du ministère des finances, assure l’exécution des opérations de la phase comptable de l’exécution du budget. En sa qualité de comptable public, il est notamment chargé de :</w:t>
      </w:r>
    </w:p>
    <w:p w:rsidR="00C24A07" w:rsidRDefault="00C24A07" w:rsidP="00C24A07">
      <w:pPr>
        <w:pStyle w:val="Default"/>
        <w:numPr>
          <w:ilvl w:val="0"/>
          <w:numId w:val="109"/>
        </w:numPr>
        <w:jc w:val="both"/>
        <w:rPr>
          <w:rFonts w:ascii="Arial" w:hAnsi="Arial" w:cs="Arial"/>
          <w:lang w:val="fr-FR"/>
        </w:rPr>
      </w:pPr>
      <w:r>
        <w:rPr>
          <w:rFonts w:ascii="Arial" w:hAnsi="Arial" w:cs="Arial"/>
          <w:lang w:val="fr-FR"/>
        </w:rPr>
        <w:t>La prise en charge et du paiement des dépenses ordonnancées par l’ordonnateur ;</w:t>
      </w:r>
    </w:p>
    <w:p w:rsidR="00C24A07" w:rsidRPr="00A17E25" w:rsidRDefault="00C24A07" w:rsidP="00C24A07">
      <w:pPr>
        <w:pStyle w:val="Default"/>
        <w:numPr>
          <w:ilvl w:val="0"/>
          <w:numId w:val="109"/>
        </w:numPr>
        <w:jc w:val="both"/>
        <w:rPr>
          <w:rFonts w:ascii="Arial" w:hAnsi="Arial" w:cs="Arial"/>
          <w:lang w:val="fr-FR"/>
        </w:rPr>
      </w:pPr>
      <w:r w:rsidRPr="00A17E25">
        <w:rPr>
          <w:rFonts w:ascii="Arial" w:hAnsi="Arial" w:cs="Arial"/>
          <w:lang w:val="fr-FR"/>
        </w:rPr>
        <w:t>L'encaissement des droits au comptant et des taxes déclaratives;</w:t>
      </w:r>
    </w:p>
    <w:p w:rsidR="00C24A07" w:rsidRPr="00A17E25" w:rsidRDefault="00C24A07" w:rsidP="00C24A07">
      <w:pPr>
        <w:pStyle w:val="Default"/>
        <w:numPr>
          <w:ilvl w:val="0"/>
          <w:numId w:val="109"/>
        </w:numPr>
        <w:jc w:val="both"/>
        <w:rPr>
          <w:rFonts w:ascii="Arial" w:hAnsi="Arial" w:cs="Arial"/>
          <w:lang w:val="fr-FR"/>
        </w:rPr>
      </w:pPr>
      <w:r w:rsidRPr="00A17E25">
        <w:rPr>
          <w:rFonts w:ascii="Arial" w:hAnsi="Arial" w:cs="Arial"/>
          <w:lang w:val="fr-FR"/>
        </w:rPr>
        <w:t xml:space="preserve">La prise en charge et </w:t>
      </w:r>
      <w:r>
        <w:rPr>
          <w:rFonts w:ascii="Arial" w:hAnsi="Arial" w:cs="Arial"/>
          <w:lang w:val="fr-FR"/>
        </w:rPr>
        <w:t>le</w:t>
      </w:r>
      <w:r w:rsidRPr="00A17E25">
        <w:rPr>
          <w:rFonts w:ascii="Arial" w:hAnsi="Arial" w:cs="Arial"/>
          <w:lang w:val="fr-FR"/>
        </w:rPr>
        <w:t xml:space="preserve"> recouvrement des ordres de recettes  émis par les ordonnateurs</w:t>
      </w:r>
      <w:r>
        <w:rPr>
          <w:rFonts w:ascii="Arial" w:hAnsi="Arial" w:cs="Arial"/>
          <w:lang w:val="fr-FR"/>
        </w:rPr>
        <w:t> ;</w:t>
      </w:r>
    </w:p>
    <w:p w:rsidR="00C24A07" w:rsidRPr="00A17E25" w:rsidRDefault="00C24A07" w:rsidP="00C24A07">
      <w:pPr>
        <w:pStyle w:val="Pa65"/>
        <w:numPr>
          <w:ilvl w:val="0"/>
          <w:numId w:val="109"/>
        </w:numPr>
        <w:spacing w:line="240" w:lineRule="auto"/>
        <w:jc w:val="both"/>
      </w:pPr>
      <w:r w:rsidRPr="00A17E25">
        <w:t>La conservation des fonds et valeurs;</w:t>
      </w:r>
    </w:p>
    <w:p w:rsidR="00C24A07" w:rsidRPr="00A17E25" w:rsidRDefault="00C24A07" w:rsidP="00C24A07">
      <w:pPr>
        <w:pStyle w:val="Pa65"/>
        <w:numPr>
          <w:ilvl w:val="0"/>
          <w:numId w:val="109"/>
        </w:numPr>
        <w:spacing w:line="240" w:lineRule="auto"/>
        <w:jc w:val="both"/>
      </w:pPr>
      <w:r w:rsidRPr="00A17E25">
        <w:t>Le maniement des fonds et des mouvements de comptes de disponibilités;</w:t>
      </w:r>
    </w:p>
    <w:p w:rsidR="00C24A07" w:rsidRPr="00B57404" w:rsidRDefault="00C24A07" w:rsidP="00C24A07">
      <w:pPr>
        <w:pStyle w:val="Pa65"/>
        <w:numPr>
          <w:ilvl w:val="0"/>
          <w:numId w:val="109"/>
        </w:numPr>
        <w:spacing w:line="240" w:lineRule="auto"/>
        <w:jc w:val="both"/>
      </w:pPr>
      <w:r w:rsidRPr="00A17E25">
        <w:t xml:space="preserve">La tenue de la comptabilité et la </w:t>
      </w:r>
      <w:r>
        <w:t>production du compte de gestion.</w:t>
      </w:r>
    </w:p>
    <w:p w:rsidR="00C24A07" w:rsidRPr="008E0F52" w:rsidRDefault="00C24A07" w:rsidP="00C24A07">
      <w:pPr>
        <w:pStyle w:val="Default"/>
        <w:rPr>
          <w:lang w:val="fr-FR"/>
        </w:rPr>
      </w:pPr>
    </w:p>
    <w:p w:rsidR="00C24A07" w:rsidRPr="00440DB4" w:rsidRDefault="00C24A07" w:rsidP="00C24A07">
      <w:pPr>
        <w:jc w:val="both"/>
        <w:rPr>
          <w:rFonts w:ascii="Arial" w:hAnsi="Arial" w:cs="Arial"/>
        </w:rPr>
      </w:pPr>
      <w:r>
        <w:rPr>
          <w:rFonts w:ascii="Arial" w:hAnsi="Arial" w:cs="Arial"/>
        </w:rPr>
        <w:t>En outre, le Trésorier assure aussi l</w:t>
      </w:r>
      <w:r w:rsidRPr="00440DB4">
        <w:rPr>
          <w:rFonts w:ascii="Arial" w:hAnsi="Arial" w:cs="Arial"/>
        </w:rPr>
        <w:t xml:space="preserve">e contrôle budgétaire </w:t>
      </w:r>
      <w:r>
        <w:rPr>
          <w:rFonts w:ascii="Arial" w:hAnsi="Arial" w:cs="Arial"/>
        </w:rPr>
        <w:t xml:space="preserve">a priori </w:t>
      </w:r>
      <w:r w:rsidRPr="00440DB4">
        <w:rPr>
          <w:rFonts w:ascii="Arial" w:hAnsi="Arial" w:cs="Arial"/>
        </w:rPr>
        <w:t xml:space="preserve">des opérations de dépenses </w:t>
      </w:r>
      <w:r>
        <w:rPr>
          <w:rFonts w:ascii="Arial" w:hAnsi="Arial" w:cs="Arial"/>
        </w:rPr>
        <w:t>car il</w:t>
      </w:r>
      <w:r w:rsidRPr="00440DB4">
        <w:rPr>
          <w:rFonts w:ascii="Arial" w:hAnsi="Arial" w:cs="Arial"/>
        </w:rPr>
        <w:t xml:space="preserve"> n’existe pas au niveau local un service distinct en charge du contrôle des dépenses engagées</w:t>
      </w:r>
      <w:r>
        <w:rPr>
          <w:rFonts w:ascii="Arial" w:hAnsi="Arial" w:cs="Arial"/>
        </w:rPr>
        <w:t xml:space="preserve"> et ordonnancées</w:t>
      </w:r>
      <w:r w:rsidRPr="00440DB4">
        <w:rPr>
          <w:rFonts w:ascii="Arial" w:hAnsi="Arial" w:cs="Arial"/>
        </w:rPr>
        <w:t>.</w:t>
      </w:r>
    </w:p>
    <w:p w:rsidR="00C24A07" w:rsidRDefault="00C24A07" w:rsidP="00C24A07">
      <w:pPr>
        <w:jc w:val="both"/>
        <w:rPr>
          <w:rFonts w:ascii="Arial" w:hAnsi="Arial" w:cs="Arial"/>
        </w:rPr>
      </w:pPr>
    </w:p>
    <w:p w:rsidR="00C24A07" w:rsidRPr="00322821" w:rsidRDefault="00C24A07" w:rsidP="00C24A07">
      <w:pPr>
        <w:jc w:val="both"/>
        <w:rPr>
          <w:rFonts w:ascii="Arial" w:hAnsi="Arial" w:cs="Arial"/>
        </w:rPr>
      </w:pPr>
    </w:p>
    <w:p w:rsidR="00C24A07" w:rsidRPr="00A17E25" w:rsidRDefault="00C24A07" w:rsidP="00C24A07">
      <w:pPr>
        <w:jc w:val="both"/>
        <w:rPr>
          <w:rFonts w:ascii="Arial" w:hAnsi="Arial" w:cs="Arial"/>
        </w:rPr>
      </w:pPr>
      <w:r>
        <w:rPr>
          <w:rFonts w:ascii="Arial" w:hAnsi="Arial" w:cs="Arial"/>
        </w:rPr>
        <w:t>Le</w:t>
      </w:r>
      <w:r w:rsidRPr="00A17E25">
        <w:rPr>
          <w:rFonts w:ascii="Arial" w:hAnsi="Arial" w:cs="Arial"/>
        </w:rPr>
        <w:t xml:space="preserve"> </w:t>
      </w:r>
      <w:r w:rsidRPr="00A17E25">
        <w:rPr>
          <w:rFonts w:ascii="Arial" w:hAnsi="Arial" w:cs="Arial"/>
          <w:u w:val="single"/>
        </w:rPr>
        <w:t>Conseil Communal</w:t>
      </w:r>
      <w:r w:rsidRPr="00A17E25">
        <w:rPr>
          <w:rFonts w:ascii="Arial" w:hAnsi="Arial" w:cs="Arial"/>
        </w:rPr>
        <w:t xml:space="preserve"> </w:t>
      </w:r>
      <w:r>
        <w:rPr>
          <w:rFonts w:ascii="Arial" w:hAnsi="Arial" w:cs="Arial"/>
        </w:rPr>
        <w:t xml:space="preserve">est l’organe délibérant de la commune. A ce titre dans le </w:t>
      </w:r>
      <w:r w:rsidRPr="00A17E25">
        <w:rPr>
          <w:rFonts w:ascii="Arial" w:hAnsi="Arial" w:cs="Arial"/>
        </w:rPr>
        <w:t xml:space="preserve"> domaine des finances </w:t>
      </w:r>
      <w:r>
        <w:rPr>
          <w:rFonts w:ascii="Arial" w:hAnsi="Arial" w:cs="Arial"/>
        </w:rPr>
        <w:t>il est compétent pour</w:t>
      </w:r>
      <w:r w:rsidRPr="00A17E25">
        <w:rPr>
          <w:rFonts w:ascii="Arial" w:hAnsi="Arial" w:cs="Arial"/>
        </w:rPr>
        <w:t xml:space="preserve">: </w:t>
      </w:r>
    </w:p>
    <w:p w:rsidR="00C24A07" w:rsidRPr="00A17E25" w:rsidRDefault="00C24A07" w:rsidP="00C24A07">
      <w:pPr>
        <w:pStyle w:val="ListParagraph"/>
        <w:numPr>
          <w:ilvl w:val="0"/>
          <w:numId w:val="60"/>
        </w:numPr>
        <w:contextualSpacing/>
        <w:jc w:val="both"/>
        <w:rPr>
          <w:rFonts w:ascii="Arial" w:hAnsi="Arial" w:cs="Arial"/>
        </w:rPr>
      </w:pPr>
      <w:r w:rsidRPr="00A17E25">
        <w:rPr>
          <w:rFonts w:ascii="Arial" w:hAnsi="Arial" w:cs="Arial"/>
        </w:rPr>
        <w:t>L’examen et vote le budget et les comptes administratifs,</w:t>
      </w:r>
    </w:p>
    <w:p w:rsidR="00C24A07" w:rsidRPr="00A17E25" w:rsidRDefault="00C24A07" w:rsidP="00C24A07">
      <w:pPr>
        <w:pStyle w:val="ListParagraph"/>
        <w:numPr>
          <w:ilvl w:val="0"/>
          <w:numId w:val="60"/>
        </w:numPr>
        <w:contextualSpacing/>
        <w:jc w:val="both"/>
        <w:rPr>
          <w:rFonts w:ascii="Arial" w:hAnsi="Arial" w:cs="Arial"/>
        </w:rPr>
      </w:pPr>
      <w:r w:rsidRPr="00A17E25">
        <w:rPr>
          <w:rFonts w:ascii="Arial" w:hAnsi="Arial" w:cs="Arial"/>
        </w:rPr>
        <w:t>Les décisions d'ouverture des comptes d'affectation spéciale, de nouveaux crédits, du relèvement des crédits et des virements d'article à article.</w:t>
      </w:r>
    </w:p>
    <w:p w:rsidR="00C24A07" w:rsidRPr="00A17E25" w:rsidRDefault="00C24A07" w:rsidP="00C24A07">
      <w:pPr>
        <w:pStyle w:val="ListParagraph"/>
        <w:numPr>
          <w:ilvl w:val="0"/>
          <w:numId w:val="60"/>
        </w:numPr>
        <w:contextualSpacing/>
        <w:jc w:val="both"/>
        <w:rPr>
          <w:rFonts w:ascii="Arial" w:hAnsi="Arial" w:cs="Arial"/>
        </w:rPr>
      </w:pPr>
      <w:r w:rsidRPr="00A17E25">
        <w:rPr>
          <w:rFonts w:ascii="Arial" w:hAnsi="Arial" w:cs="Arial"/>
        </w:rPr>
        <w:t>La fixation, dans le cadre des lois et règlements en vigueur, les taux des taxes, les tarifs des redevances et des droits divers perçus au profit de la commune.</w:t>
      </w:r>
    </w:p>
    <w:p w:rsidR="00C24A07" w:rsidRPr="003F7702" w:rsidRDefault="00C24A07" w:rsidP="00C24A07">
      <w:pPr>
        <w:pStyle w:val="ListParagraph"/>
        <w:numPr>
          <w:ilvl w:val="0"/>
          <w:numId w:val="60"/>
        </w:numPr>
        <w:contextualSpacing/>
        <w:jc w:val="both"/>
        <w:rPr>
          <w:rFonts w:ascii="Arial" w:hAnsi="Arial" w:cs="Arial"/>
        </w:rPr>
      </w:pPr>
      <w:r w:rsidRPr="00A17E25">
        <w:rPr>
          <w:rFonts w:ascii="Arial" w:hAnsi="Arial" w:cs="Arial"/>
        </w:rPr>
        <w:t>Les décisions des emprunts à contract</w:t>
      </w:r>
      <w:r>
        <w:rPr>
          <w:rFonts w:ascii="Arial" w:hAnsi="Arial" w:cs="Arial"/>
        </w:rPr>
        <w:t>er et des garanties à consentir.</w:t>
      </w:r>
      <w:r w:rsidRPr="003F7702">
        <w:rPr>
          <w:rFonts w:ascii="Arial" w:hAnsi="Arial" w:cs="Arial"/>
        </w:rPr>
        <w:t xml:space="preserve"> </w:t>
      </w:r>
    </w:p>
    <w:p w:rsidR="00C24A07" w:rsidRPr="00A17E25" w:rsidRDefault="00C24A07" w:rsidP="00C24A07">
      <w:pPr>
        <w:jc w:val="both"/>
        <w:rPr>
          <w:rFonts w:ascii="Arial" w:hAnsi="Arial" w:cs="Arial"/>
        </w:rPr>
      </w:pPr>
    </w:p>
    <w:p w:rsidR="00C24A07" w:rsidRPr="00A17E25" w:rsidRDefault="00C24A07" w:rsidP="00C24A07">
      <w:pPr>
        <w:jc w:val="both"/>
        <w:rPr>
          <w:rFonts w:ascii="Arial" w:hAnsi="Arial" w:cs="Arial"/>
        </w:rPr>
      </w:pPr>
      <w:r w:rsidRPr="00A17E25">
        <w:rPr>
          <w:rFonts w:ascii="Arial" w:hAnsi="Arial" w:cs="Arial"/>
        </w:rPr>
        <w:t>Le Conseil communal a constitué six commissions présidées par des élus :</w:t>
      </w:r>
    </w:p>
    <w:p w:rsidR="00C24A07" w:rsidRPr="00A17E25" w:rsidRDefault="00C24A07" w:rsidP="00C24A07">
      <w:pPr>
        <w:jc w:val="both"/>
        <w:rPr>
          <w:rFonts w:ascii="Arial" w:hAnsi="Arial" w:cs="Arial"/>
        </w:rPr>
      </w:pP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de la planification des affaires économiques du budget et des finances.</w:t>
      </w: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du développement humain, des affaires sociales, culturelles et sportives.</w:t>
      </w: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de l’urbanisme, de l’Aménagement du territoire et de l’Environnement.</w:t>
      </w: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des services publics.</w:t>
      </w: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de la mise à niveau du patrimoine communal et l’Etude du contentieux.</w:t>
      </w:r>
    </w:p>
    <w:p w:rsidR="00C24A07" w:rsidRPr="00A17E25" w:rsidRDefault="00C24A07" w:rsidP="00C24A07">
      <w:pPr>
        <w:pStyle w:val="ListParagraph"/>
        <w:numPr>
          <w:ilvl w:val="0"/>
          <w:numId w:val="72"/>
        </w:numPr>
        <w:jc w:val="both"/>
        <w:rPr>
          <w:rFonts w:ascii="Arial" w:hAnsi="Arial" w:cs="Arial"/>
        </w:rPr>
      </w:pPr>
      <w:r w:rsidRPr="00A17E25">
        <w:rPr>
          <w:rFonts w:ascii="Arial" w:hAnsi="Arial" w:cs="Arial"/>
        </w:rPr>
        <w:t>Commission chargée de l’Elaboration du plan de Communication et Coopération.</w:t>
      </w:r>
    </w:p>
    <w:p w:rsidR="00C24A07" w:rsidRPr="00A17E25" w:rsidRDefault="00C24A07" w:rsidP="00C24A07">
      <w:pPr>
        <w:jc w:val="both"/>
        <w:rPr>
          <w:rFonts w:ascii="Arial" w:hAnsi="Arial" w:cs="Arial"/>
        </w:rPr>
      </w:pPr>
    </w:p>
    <w:p w:rsidR="00C24A07" w:rsidRDefault="00C24A07" w:rsidP="00C24A07">
      <w:pPr>
        <w:jc w:val="both"/>
        <w:rPr>
          <w:rFonts w:ascii="Arial" w:hAnsi="Arial" w:cs="Arial"/>
        </w:rPr>
      </w:pPr>
      <w:r w:rsidRPr="00123E42">
        <w:rPr>
          <w:rFonts w:ascii="Arial" w:hAnsi="Arial" w:cs="Arial"/>
          <w:u w:val="single"/>
        </w:rPr>
        <w:t>Le c</w:t>
      </w:r>
      <w:r w:rsidRPr="00A17E25">
        <w:rPr>
          <w:rFonts w:ascii="Arial" w:hAnsi="Arial" w:cs="Arial"/>
          <w:u w:val="single"/>
        </w:rPr>
        <w:t>onseil d'arrondissement</w:t>
      </w:r>
      <w:r w:rsidRPr="00A17E25">
        <w:rPr>
          <w:rFonts w:ascii="Arial" w:hAnsi="Arial" w:cs="Arial"/>
        </w:rPr>
        <w:t xml:space="preserve"> </w:t>
      </w:r>
      <w:r>
        <w:rPr>
          <w:rFonts w:ascii="Arial" w:hAnsi="Arial" w:cs="Arial"/>
        </w:rPr>
        <w:t>est l’organe délibérant des arrondissements. A ce titre, il examine et vote les comptes des dépenses sur dotation (CDD) des arrondissements ainsi que le compte administratif.</w:t>
      </w:r>
    </w:p>
    <w:p w:rsidR="00C24A07" w:rsidRPr="00A17E25" w:rsidRDefault="00C24A07" w:rsidP="00C24A07">
      <w:pPr>
        <w:jc w:val="both"/>
        <w:rPr>
          <w:rFonts w:ascii="Arial" w:hAnsi="Arial" w:cs="Arial"/>
        </w:rPr>
      </w:pPr>
    </w:p>
    <w:p w:rsidR="00C24A07" w:rsidRPr="00A17E25" w:rsidRDefault="00C24A07" w:rsidP="00C24A07">
      <w:pPr>
        <w:jc w:val="both"/>
        <w:rPr>
          <w:rFonts w:ascii="Arial" w:hAnsi="Arial" w:cs="Arial"/>
        </w:rPr>
      </w:pPr>
      <w:r w:rsidRPr="00A17E25">
        <w:rPr>
          <w:rFonts w:ascii="Arial" w:hAnsi="Arial" w:cs="Arial"/>
        </w:rPr>
        <w:t xml:space="preserve">Au moins deux commissions sont constituées dans chaque conseil d’arrondissement, l'une chargée de l'étude des questions financières, économiques et sociales et l'autre chargée de l'urbanisme et l'environnement. </w:t>
      </w:r>
    </w:p>
    <w:p w:rsidR="00C24A07" w:rsidRPr="00A17E25" w:rsidRDefault="00C24A07" w:rsidP="00C24A07">
      <w:pPr>
        <w:autoSpaceDE w:val="0"/>
        <w:autoSpaceDN w:val="0"/>
        <w:adjustRightInd w:val="0"/>
        <w:jc w:val="both"/>
        <w:rPr>
          <w:rFonts w:ascii="Arial" w:hAnsi="Arial" w:cs="Arial"/>
          <w:color w:val="141414"/>
        </w:rPr>
      </w:pPr>
    </w:p>
    <w:p w:rsidR="00C24A07" w:rsidRDefault="00C24A07" w:rsidP="00C24A07">
      <w:pPr>
        <w:autoSpaceDE w:val="0"/>
        <w:autoSpaceDN w:val="0"/>
        <w:adjustRightInd w:val="0"/>
        <w:jc w:val="both"/>
        <w:rPr>
          <w:rFonts w:ascii="Arial" w:hAnsi="Arial" w:cs="Arial"/>
          <w:color w:val="141414"/>
        </w:rPr>
      </w:pPr>
      <w:r>
        <w:rPr>
          <w:rFonts w:ascii="Arial" w:hAnsi="Arial" w:cs="Arial"/>
          <w:color w:val="141414"/>
        </w:rPr>
        <w:t>Par ailleurs</w:t>
      </w:r>
      <w:r w:rsidRPr="00A17E25">
        <w:rPr>
          <w:rFonts w:ascii="Arial" w:hAnsi="Arial" w:cs="Arial"/>
          <w:color w:val="141414"/>
        </w:rPr>
        <w:t>, les finances des collectivités territoriales sont</w:t>
      </w:r>
      <w:r>
        <w:rPr>
          <w:rFonts w:ascii="Arial" w:hAnsi="Arial" w:cs="Arial"/>
          <w:color w:val="141414"/>
        </w:rPr>
        <w:t xml:space="preserve"> soumises à :</w:t>
      </w:r>
    </w:p>
    <w:p w:rsidR="00C24A07" w:rsidRPr="00A17E25" w:rsidRDefault="00C24A07" w:rsidP="00C24A07">
      <w:pPr>
        <w:autoSpaceDE w:val="0"/>
        <w:autoSpaceDN w:val="0"/>
        <w:adjustRightInd w:val="0"/>
        <w:jc w:val="both"/>
        <w:rPr>
          <w:rFonts w:ascii="Arial" w:hAnsi="Arial" w:cs="Arial"/>
          <w:color w:val="141414"/>
        </w:rPr>
      </w:pPr>
    </w:p>
    <w:p w:rsidR="00C24A07" w:rsidRPr="00A17E25" w:rsidRDefault="00C24A07" w:rsidP="00C24A07">
      <w:pPr>
        <w:pStyle w:val="ListParagraph"/>
        <w:numPr>
          <w:ilvl w:val="0"/>
          <w:numId w:val="75"/>
        </w:numPr>
        <w:autoSpaceDE w:val="0"/>
        <w:autoSpaceDN w:val="0"/>
        <w:adjustRightInd w:val="0"/>
        <w:contextualSpacing/>
        <w:jc w:val="both"/>
        <w:rPr>
          <w:rFonts w:ascii="Arial" w:hAnsi="Arial" w:cs="Arial"/>
          <w:color w:val="141414"/>
        </w:rPr>
      </w:pPr>
      <w:r w:rsidRPr="00A17E25">
        <w:rPr>
          <w:rFonts w:ascii="Arial" w:hAnsi="Arial" w:cs="Arial"/>
          <w:color w:val="141414"/>
        </w:rPr>
        <w:t>un contrôle administratif et financier effectué par les inspections générales des ministères de l’Intérieur et des Finances ;</w:t>
      </w:r>
    </w:p>
    <w:p w:rsidR="00C24A07" w:rsidRPr="00A17E25" w:rsidRDefault="00C24A07" w:rsidP="00C24A07">
      <w:pPr>
        <w:pStyle w:val="ListParagraph"/>
        <w:numPr>
          <w:ilvl w:val="0"/>
          <w:numId w:val="75"/>
        </w:numPr>
        <w:autoSpaceDE w:val="0"/>
        <w:autoSpaceDN w:val="0"/>
        <w:adjustRightInd w:val="0"/>
        <w:contextualSpacing/>
        <w:jc w:val="both"/>
        <w:rPr>
          <w:rFonts w:ascii="Arial" w:hAnsi="Arial" w:cs="Arial"/>
          <w:color w:val="141414"/>
        </w:rPr>
      </w:pPr>
      <w:r w:rsidRPr="00A17E25">
        <w:rPr>
          <w:rFonts w:ascii="Arial" w:hAnsi="Arial" w:cs="Arial"/>
          <w:color w:val="141414"/>
        </w:rPr>
        <w:t>un contrôle juridictionnel a posteriori qui est du ressort des Cours régionales des comptes.</w:t>
      </w:r>
    </w:p>
    <w:p w:rsidR="00C24A07" w:rsidRDefault="00C24A07" w:rsidP="00C24A07">
      <w:pPr>
        <w:jc w:val="both"/>
        <w:rPr>
          <w:rFonts w:ascii="Arial" w:hAnsi="Arial" w:cs="Arial"/>
        </w:rPr>
      </w:pPr>
    </w:p>
    <w:p w:rsidR="00C24A07" w:rsidRPr="00A17E25" w:rsidRDefault="00C24A07" w:rsidP="00C24A07">
      <w:pPr>
        <w:jc w:val="both"/>
        <w:rPr>
          <w:rFonts w:ascii="Arial" w:hAnsi="Arial" w:cs="Arial"/>
        </w:rPr>
      </w:pPr>
      <w:r>
        <w:rPr>
          <w:rFonts w:ascii="Arial" w:hAnsi="Arial" w:cs="Arial"/>
        </w:rPr>
        <w:t>En outre, deux catégories d’agents assurent le recouvrement des droits et taxes de la Commune : les percepteurs et les régisseurs.</w:t>
      </w:r>
    </w:p>
    <w:p w:rsidR="00C24A07" w:rsidRPr="00A17E25" w:rsidRDefault="00C24A07" w:rsidP="00C24A07">
      <w:pPr>
        <w:jc w:val="both"/>
        <w:rPr>
          <w:rFonts w:ascii="Arial" w:hAnsi="Arial" w:cs="Arial"/>
        </w:rPr>
      </w:pPr>
    </w:p>
    <w:p w:rsidR="00C24A07" w:rsidRPr="00A17E25" w:rsidRDefault="00C24A07" w:rsidP="00C24A07">
      <w:pPr>
        <w:pStyle w:val="ListParagraph"/>
        <w:numPr>
          <w:ilvl w:val="0"/>
          <w:numId w:val="6"/>
        </w:numPr>
        <w:autoSpaceDE w:val="0"/>
        <w:autoSpaceDN w:val="0"/>
        <w:adjustRightInd w:val="0"/>
        <w:contextualSpacing/>
        <w:jc w:val="both"/>
        <w:rPr>
          <w:rFonts w:ascii="Arial" w:hAnsi="Arial" w:cs="Arial"/>
        </w:rPr>
      </w:pPr>
      <w:r w:rsidRPr="00A17E25">
        <w:rPr>
          <w:rFonts w:ascii="Arial" w:hAnsi="Arial" w:cs="Arial"/>
        </w:rPr>
        <w:t xml:space="preserve">Les percepteurs qui </w:t>
      </w:r>
      <w:r>
        <w:rPr>
          <w:rFonts w:ascii="Arial" w:hAnsi="Arial" w:cs="Arial"/>
        </w:rPr>
        <w:t>ont</w:t>
      </w:r>
      <w:r w:rsidRPr="00A17E25">
        <w:rPr>
          <w:rFonts w:ascii="Arial" w:hAnsi="Arial" w:cs="Arial"/>
        </w:rPr>
        <w:t xml:space="preserve"> qualité de comptable</w:t>
      </w:r>
      <w:r>
        <w:rPr>
          <w:rFonts w:ascii="Arial" w:hAnsi="Arial" w:cs="Arial"/>
        </w:rPr>
        <w:t xml:space="preserve">s publics </w:t>
      </w:r>
      <w:r w:rsidRPr="00A17E25">
        <w:rPr>
          <w:rFonts w:ascii="Arial" w:hAnsi="Arial" w:cs="Arial"/>
        </w:rPr>
        <w:t>sont chargés d'assurer le recouvrement des droits, taxes et redevances prélevés par les collectivités locales</w:t>
      </w:r>
      <w:r>
        <w:rPr>
          <w:rFonts w:ascii="Arial" w:hAnsi="Arial" w:cs="Arial"/>
        </w:rPr>
        <w:t xml:space="preserve"> et de les reverser à leur Trésorier de rattachement ;</w:t>
      </w:r>
    </w:p>
    <w:p w:rsidR="00C24A07" w:rsidRPr="00A17E25" w:rsidRDefault="00C24A07" w:rsidP="00C24A07">
      <w:pPr>
        <w:pStyle w:val="Pa55"/>
        <w:numPr>
          <w:ilvl w:val="0"/>
          <w:numId w:val="6"/>
        </w:numPr>
        <w:spacing w:line="240" w:lineRule="auto"/>
        <w:jc w:val="both"/>
      </w:pPr>
      <w:r w:rsidRPr="00A17E25">
        <w:t>Les régisseurs</w:t>
      </w:r>
      <w:r>
        <w:t>, rattachés à l’Administration fiscale communale,</w:t>
      </w:r>
      <w:r w:rsidRPr="00A17E25">
        <w:t xml:space="preserve"> sont chargés d'opérations d'encaissements</w:t>
      </w:r>
      <w:r>
        <w:t>.</w:t>
      </w:r>
    </w:p>
    <w:p w:rsidR="00C24A07" w:rsidRPr="00A17E25" w:rsidRDefault="00C24A07" w:rsidP="00C24A07">
      <w:pPr>
        <w:jc w:val="both"/>
        <w:rPr>
          <w:rFonts w:ascii="Arial" w:hAnsi="Arial" w:cs="Arial"/>
        </w:rPr>
      </w:pPr>
    </w:p>
    <w:p w:rsidR="00C24A07" w:rsidRDefault="00C24A07" w:rsidP="00C24A07">
      <w:pPr>
        <w:jc w:val="both"/>
        <w:rPr>
          <w:rFonts w:ascii="Arial" w:hAnsi="Arial" w:cs="Arial"/>
        </w:rPr>
      </w:pPr>
      <w:r w:rsidRPr="00A17E25">
        <w:rPr>
          <w:rFonts w:ascii="Arial" w:hAnsi="Arial" w:cs="Arial"/>
        </w:rPr>
        <w:t>Les responsabilités des principaux acteurs de l’exécution des dépenses sont fixées par la loi n° 61-99 relative à la responsabilité des ordonnateurs, des contrôleurs et des comptables publics de l’Etat, des collectivités locales et de leurs groupements, ainsi que ceux de leurs établissements publics et des entreprises publiques soumises au contrôle financier de l’Etat.</w:t>
      </w:r>
    </w:p>
    <w:p w:rsidR="00C24A07" w:rsidRDefault="00C24A07" w:rsidP="00C24A07">
      <w:pPr>
        <w:jc w:val="both"/>
        <w:rPr>
          <w:rFonts w:ascii="Arial" w:hAnsi="Arial" w:cs="Arial"/>
        </w:rPr>
      </w:pPr>
    </w:p>
    <w:p w:rsidR="00C24A07" w:rsidRPr="00370022" w:rsidRDefault="00C24A07" w:rsidP="00C24A07">
      <w:pPr>
        <w:jc w:val="both"/>
        <w:rPr>
          <w:rFonts w:ascii="Arial" w:hAnsi="Arial" w:cs="Arial"/>
          <w:color w:val="141414"/>
        </w:rPr>
      </w:pPr>
      <w:r w:rsidRPr="00A17E25">
        <w:rPr>
          <w:rFonts w:ascii="Arial" w:hAnsi="Arial" w:cs="Arial"/>
          <w:u w:val="single"/>
        </w:rPr>
        <w:t>L’autorité de tutelle :</w:t>
      </w:r>
      <w:r w:rsidRPr="00A17E25">
        <w:rPr>
          <w:rFonts w:ascii="Arial" w:hAnsi="Arial" w:cs="Arial"/>
        </w:rPr>
        <w:t xml:space="preserve"> Pour être exécutoires, les arrêtés à caractère réglementaire pris par le président du conseil communal </w:t>
      </w:r>
      <w:r>
        <w:rPr>
          <w:rFonts w:ascii="Arial" w:hAnsi="Arial" w:cs="Arial"/>
        </w:rPr>
        <w:t>doivent être</w:t>
      </w:r>
      <w:r w:rsidRPr="00A17E25">
        <w:rPr>
          <w:rFonts w:ascii="Arial" w:hAnsi="Arial" w:cs="Arial"/>
        </w:rPr>
        <w:t xml:space="preserve"> revêtus du visa du</w:t>
      </w:r>
      <w:r>
        <w:rPr>
          <w:rFonts w:ascii="Arial" w:hAnsi="Arial" w:cs="Arial"/>
        </w:rPr>
        <w:t xml:space="preserve"> ministre de l'intérieur ou son délégué</w:t>
      </w:r>
      <w:r w:rsidRPr="00A17E25">
        <w:rPr>
          <w:rFonts w:ascii="Arial" w:hAnsi="Arial" w:cs="Arial"/>
        </w:rPr>
        <w:t>. Ne sont également exécutoires qu'après approbation par l'autorité de tutelle, les délibérations du conseil communal portant notamment sur les questions financières, fiscales et budgétaires.</w:t>
      </w:r>
      <w:r>
        <w:rPr>
          <w:rFonts w:ascii="Arial" w:hAnsi="Arial" w:cs="Arial"/>
        </w:rPr>
        <w:t xml:space="preserve"> Ainsi, les délibérations du conseil communal portant sur </w:t>
      </w:r>
      <w:r>
        <w:rPr>
          <w:rFonts w:ascii="Arial" w:hAnsi="Arial" w:cs="Arial"/>
          <w:color w:val="141414"/>
        </w:rPr>
        <w:t xml:space="preserve">le </w:t>
      </w:r>
      <w:r w:rsidRPr="00A17E25">
        <w:rPr>
          <w:rFonts w:ascii="Arial" w:hAnsi="Arial" w:cs="Arial"/>
          <w:color w:val="141414"/>
        </w:rPr>
        <w:t xml:space="preserve">budget </w:t>
      </w:r>
      <w:r>
        <w:rPr>
          <w:rFonts w:ascii="Arial" w:hAnsi="Arial" w:cs="Arial"/>
          <w:color w:val="141414"/>
        </w:rPr>
        <w:t>primitif ou remanié</w:t>
      </w:r>
      <w:r w:rsidRPr="00A17E25">
        <w:rPr>
          <w:rFonts w:ascii="Arial" w:hAnsi="Arial" w:cs="Arial"/>
          <w:color w:val="141414"/>
        </w:rPr>
        <w:t xml:space="preserve">, </w:t>
      </w:r>
      <w:r>
        <w:rPr>
          <w:rFonts w:ascii="Arial" w:hAnsi="Arial" w:cs="Arial"/>
          <w:color w:val="141414"/>
        </w:rPr>
        <w:t xml:space="preserve">les </w:t>
      </w:r>
      <w:r w:rsidRPr="00A17E25">
        <w:rPr>
          <w:rFonts w:ascii="Arial" w:hAnsi="Arial" w:cs="Arial"/>
          <w:color w:val="141414"/>
        </w:rPr>
        <w:t xml:space="preserve">budgets annexes, </w:t>
      </w:r>
      <w:r>
        <w:rPr>
          <w:rFonts w:ascii="Arial" w:hAnsi="Arial" w:cs="Arial"/>
          <w:color w:val="141414"/>
        </w:rPr>
        <w:t xml:space="preserve">les </w:t>
      </w:r>
      <w:r w:rsidRPr="00A17E25">
        <w:rPr>
          <w:rFonts w:ascii="Arial" w:hAnsi="Arial" w:cs="Arial"/>
          <w:color w:val="141414"/>
        </w:rPr>
        <w:t xml:space="preserve">comptes spéciaux, </w:t>
      </w:r>
      <w:r>
        <w:rPr>
          <w:rFonts w:ascii="Arial" w:hAnsi="Arial" w:cs="Arial"/>
          <w:color w:val="141414"/>
        </w:rPr>
        <w:t>les autorisations de programme</w:t>
      </w:r>
      <w:r w:rsidRPr="00A17E25">
        <w:rPr>
          <w:rFonts w:ascii="Arial" w:hAnsi="Arial" w:cs="Arial"/>
          <w:color w:val="141414"/>
        </w:rPr>
        <w:t xml:space="preserve"> </w:t>
      </w:r>
      <w:r>
        <w:rPr>
          <w:rFonts w:ascii="Arial" w:hAnsi="Arial" w:cs="Arial"/>
          <w:color w:val="141414"/>
        </w:rPr>
        <w:t>et les emprunts</w:t>
      </w:r>
      <w:r w:rsidRPr="00A17E25">
        <w:rPr>
          <w:rFonts w:ascii="Arial" w:hAnsi="Arial" w:cs="Arial"/>
          <w:color w:val="141414"/>
        </w:rPr>
        <w:t xml:space="preserve"> sont soumises à </w:t>
      </w:r>
      <w:r>
        <w:rPr>
          <w:rFonts w:ascii="Arial" w:hAnsi="Arial" w:cs="Arial"/>
          <w:color w:val="141414"/>
        </w:rPr>
        <w:t>approbation</w:t>
      </w:r>
      <w:r w:rsidRPr="00A17E25">
        <w:rPr>
          <w:rFonts w:ascii="Arial" w:hAnsi="Arial" w:cs="Arial"/>
          <w:color w:val="141414"/>
        </w:rPr>
        <w:t xml:space="preserve"> préalable des autorités de tutelle.</w:t>
      </w:r>
    </w:p>
    <w:p w:rsidR="00C24A07" w:rsidRPr="00A17E25" w:rsidRDefault="00C24A07" w:rsidP="00C24A07">
      <w:pPr>
        <w:jc w:val="both"/>
        <w:rPr>
          <w:rFonts w:ascii="Arial" w:hAnsi="Arial" w:cs="Arial"/>
        </w:rPr>
      </w:pPr>
    </w:p>
    <w:p w:rsidR="00C24A07" w:rsidRPr="00405288" w:rsidRDefault="00C24A07" w:rsidP="00C24A07">
      <w:pPr>
        <w:rPr>
          <w:rFonts w:ascii="Arial" w:hAnsi="Arial" w:cs="Arial"/>
          <w:b/>
          <w:i/>
        </w:rPr>
      </w:pPr>
      <w:r>
        <w:rPr>
          <w:rFonts w:ascii="Arial" w:hAnsi="Arial" w:cs="Arial"/>
          <w:b/>
          <w:i/>
        </w:rPr>
        <w:t>Organisation administrative de la Commune de Casablanca</w:t>
      </w:r>
    </w:p>
    <w:p w:rsidR="00C24A07" w:rsidRDefault="00C24A07" w:rsidP="00C24A07">
      <w:pPr>
        <w:rPr>
          <w:rFonts w:ascii="Arial" w:hAnsi="Arial" w:cs="Arial"/>
        </w:rPr>
      </w:pPr>
    </w:p>
    <w:p w:rsidR="00C24A07" w:rsidRDefault="00C24A07" w:rsidP="00C24A07">
      <w:pPr>
        <w:jc w:val="both"/>
        <w:rPr>
          <w:rFonts w:ascii="Arial" w:hAnsi="Arial" w:cs="Arial"/>
        </w:rPr>
      </w:pPr>
      <w:r>
        <w:rPr>
          <w:rFonts w:ascii="Arial" w:hAnsi="Arial" w:cs="Arial"/>
        </w:rPr>
        <w:t>Le secrétariat général assure la responsabilité administrative et opérationnelle de l’ensemble des programmes, des services et des activités de la Commune. Il assiste le président dans l’exercice de ses fonctions et assure la liaison entre les élus et les différents services administratifs.</w:t>
      </w:r>
    </w:p>
    <w:p w:rsidR="00C24A07" w:rsidRDefault="00C24A07" w:rsidP="00C24A07">
      <w:pPr>
        <w:jc w:val="both"/>
        <w:rPr>
          <w:rFonts w:ascii="Arial" w:hAnsi="Arial" w:cs="Arial"/>
        </w:rPr>
      </w:pPr>
    </w:p>
    <w:p w:rsidR="00C24A07" w:rsidRDefault="00C24A07" w:rsidP="00C24A07">
      <w:pPr>
        <w:jc w:val="both"/>
        <w:rPr>
          <w:rFonts w:ascii="Arial" w:hAnsi="Arial" w:cs="Arial"/>
        </w:rPr>
      </w:pPr>
      <w:r>
        <w:rPr>
          <w:rFonts w:ascii="Arial" w:hAnsi="Arial" w:cs="Arial"/>
        </w:rPr>
        <w:t>La Commune de Casablanca est organisée en divisions, et les divisions en services. L’organigramme de la CC est présenté ci-dessous.</w:t>
      </w:r>
    </w:p>
    <w:p w:rsidR="00C24A07" w:rsidRDefault="00C24A07" w:rsidP="00C24A07">
      <w:pPr>
        <w:rPr>
          <w:rFonts w:ascii="Arial" w:hAnsi="Arial" w:cs="Arial"/>
          <w:color w:val="000000"/>
        </w:rPr>
      </w:pPr>
    </w:p>
    <w:p w:rsidR="00DD6228" w:rsidRPr="00A17E25" w:rsidRDefault="00C24A07" w:rsidP="00DD6228">
      <w:pPr>
        <w:rPr>
          <w:rFonts w:ascii="Arial" w:hAnsi="Arial" w:cs="Arial"/>
        </w:rPr>
      </w:pPr>
      <w:r w:rsidRPr="00A17E25">
        <w:rPr>
          <w:rFonts w:ascii="Arial" w:hAnsi="Arial" w:cs="Arial"/>
        </w:rPr>
        <w:t xml:space="preserve">Le personnel de la </w:t>
      </w:r>
      <w:r>
        <w:rPr>
          <w:rFonts w:ascii="Arial" w:hAnsi="Arial" w:cs="Arial"/>
        </w:rPr>
        <w:t>CC</w:t>
      </w:r>
      <w:r w:rsidRPr="00A17E25">
        <w:rPr>
          <w:rFonts w:ascii="Arial" w:hAnsi="Arial" w:cs="Arial"/>
        </w:rPr>
        <w:t xml:space="preserve"> comporte 14.916 personnes avec un taux d’encadrement de l’ordre de 13% et une moyenne d’âge de 48 ans.</w:t>
      </w:r>
    </w:p>
    <w:p w:rsidR="00DD6228" w:rsidRPr="00A17E25" w:rsidRDefault="00DD6228" w:rsidP="0070479E">
      <w:pPr>
        <w:jc w:val="both"/>
        <w:rPr>
          <w:rFonts w:ascii="Arial" w:hAnsi="Arial" w:cs="Arial"/>
        </w:rPr>
        <w:sectPr w:rsidR="00DD6228" w:rsidRPr="00A17E25" w:rsidSect="00CA09F7">
          <w:headerReference w:type="default" r:id="rId17"/>
          <w:footerReference w:type="even" r:id="rId18"/>
          <w:footerReference w:type="default" r:id="rId19"/>
          <w:pgSz w:w="11906" w:h="16838"/>
          <w:pgMar w:top="1417" w:right="1417" w:bottom="1417" w:left="1417" w:header="708" w:footer="708" w:gutter="0"/>
          <w:cols w:space="708"/>
          <w:docGrid w:linePitch="360"/>
        </w:sectPr>
      </w:pPr>
    </w:p>
    <w:p w:rsidR="0070479E" w:rsidRPr="00A17E25" w:rsidRDefault="0070479E" w:rsidP="0070479E">
      <w:pPr>
        <w:jc w:val="both"/>
        <w:rPr>
          <w:rFonts w:ascii="Arial" w:hAnsi="Arial" w:cs="Arial"/>
        </w:rPr>
      </w:pPr>
      <w:r w:rsidRPr="00A17E25">
        <w:rPr>
          <w:rFonts w:ascii="Arial" w:hAnsi="Arial" w:cs="Arial"/>
          <w:b/>
          <w:i/>
          <w:noProof/>
          <w:lang w:val="en-US"/>
        </w:rPr>
        <w:drawing>
          <wp:anchor distT="0" distB="0" distL="114300" distR="114300" simplePos="0" relativeHeight="251659776" behindDoc="1" locked="0" layoutInCell="1" allowOverlap="1">
            <wp:simplePos x="0" y="0"/>
            <wp:positionH relativeFrom="margin">
              <wp:align>center</wp:align>
            </wp:positionH>
            <wp:positionV relativeFrom="paragraph">
              <wp:posOffset>204470</wp:posOffset>
            </wp:positionV>
            <wp:extent cx="9829800" cy="4600575"/>
            <wp:effectExtent l="0" t="0" r="0" b="9525"/>
            <wp:wrapTight wrapText="bothSides">
              <wp:wrapPolygon edited="0">
                <wp:start x="0" y="0"/>
                <wp:lineTo x="0" y="21555"/>
                <wp:lineTo x="21558" y="21555"/>
                <wp:lineTo x="21558" y="0"/>
                <wp:lineTo x="0" y="0"/>
              </wp:wrapPolygon>
            </wp:wrapTight>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a:stretch>
                      <a:fillRect/>
                    </a:stretch>
                  </pic:blipFill>
                  <pic:spPr>
                    <a:xfrm>
                      <a:off x="0" y="0"/>
                      <a:ext cx="9829800" cy="4600575"/>
                    </a:xfrm>
                    <a:prstGeom prst="rect">
                      <a:avLst/>
                    </a:prstGeom>
                  </pic:spPr>
                </pic:pic>
              </a:graphicData>
            </a:graphic>
          </wp:anchor>
        </w:drawing>
      </w:r>
      <w:r w:rsidRPr="00A17E25">
        <w:rPr>
          <w:rFonts w:ascii="Arial" w:hAnsi="Arial" w:cs="Arial"/>
          <w:b/>
          <w:i/>
        </w:rPr>
        <w:t xml:space="preserve">L’organigramme de la </w:t>
      </w:r>
      <w:r w:rsidR="00F86504">
        <w:rPr>
          <w:rFonts w:ascii="Arial" w:hAnsi="Arial" w:cs="Arial"/>
          <w:b/>
          <w:i/>
        </w:rPr>
        <w:t>CC</w:t>
      </w:r>
      <w:r w:rsidRPr="00A17E25">
        <w:rPr>
          <w:rFonts w:ascii="Arial" w:hAnsi="Arial" w:cs="Arial"/>
          <w:b/>
          <w:i/>
        </w:rPr>
        <w:t xml:space="preserve"> </w:t>
      </w:r>
      <w:r w:rsidRPr="00A17E25">
        <w:rPr>
          <w:rStyle w:val="FootnoteReference"/>
          <w:rFonts w:ascii="Arial" w:hAnsi="Arial" w:cs="Arial"/>
          <w:b/>
          <w:i/>
        </w:rPr>
        <w:footnoteReference w:id="15"/>
      </w:r>
    </w:p>
    <w:p w:rsidR="0070479E" w:rsidRPr="00A17E25" w:rsidRDefault="0070479E" w:rsidP="0070479E">
      <w:pPr>
        <w:rPr>
          <w:rFonts w:ascii="Arial" w:hAnsi="Arial" w:cs="Arial"/>
        </w:rPr>
        <w:sectPr w:rsidR="0070479E" w:rsidRPr="00A17E25" w:rsidSect="00CA09F7">
          <w:pgSz w:w="16838" w:h="11906" w:orient="landscape"/>
          <w:pgMar w:top="1418" w:right="1418" w:bottom="1418" w:left="1418" w:header="708" w:footer="708" w:gutter="0"/>
          <w:cols w:space="708"/>
          <w:docGrid w:linePitch="360"/>
        </w:sectPr>
      </w:pPr>
    </w:p>
    <w:p w:rsidR="0070479E" w:rsidRPr="00CA09F7" w:rsidRDefault="0070479E" w:rsidP="00CC3ED7">
      <w:pPr>
        <w:pStyle w:val="Heading2"/>
        <w:rPr>
          <w:i w:val="0"/>
          <w:color w:val="0070C0"/>
        </w:rPr>
      </w:pPr>
      <w:bookmarkStart w:id="88" w:name="_Toc434916102"/>
      <w:bookmarkStart w:id="89" w:name="_Toc434918316"/>
      <w:r w:rsidRPr="00CA09F7">
        <w:rPr>
          <w:i w:val="0"/>
          <w:color w:val="0070C0"/>
        </w:rPr>
        <w:t>2.5 Description du cadre de contrôle interne</w:t>
      </w:r>
      <w:bookmarkEnd w:id="88"/>
      <w:bookmarkEnd w:id="89"/>
    </w:p>
    <w:p w:rsidR="0070479E" w:rsidRPr="00CA09F7" w:rsidRDefault="0070479E" w:rsidP="0070479E">
      <w:pPr>
        <w:jc w:val="both"/>
        <w:rPr>
          <w:rFonts w:ascii="Arial" w:hAnsi="Arial" w:cs="Arial"/>
          <w:b/>
          <w:color w:val="0070C0"/>
        </w:rPr>
      </w:pPr>
    </w:p>
    <w:p w:rsidR="0070479E" w:rsidRPr="00A17E25" w:rsidRDefault="0070479E" w:rsidP="0070479E">
      <w:pPr>
        <w:jc w:val="both"/>
        <w:rPr>
          <w:rFonts w:ascii="Arial" w:hAnsi="Arial" w:cs="Arial"/>
        </w:rPr>
      </w:pPr>
      <w:r w:rsidRPr="00A17E25">
        <w:rPr>
          <w:rFonts w:ascii="Arial" w:hAnsi="Arial" w:cs="Arial"/>
        </w:rPr>
        <w:t>Le Maroc est doté d’un dispositif légal exhaustif et spécifique aux collectivités territoriales pour régir leur fonctionnement. Les compétences des collectivités locales sont clairement définies et les attributions des organes de gestion sont également précises.</w:t>
      </w:r>
    </w:p>
    <w:p w:rsidR="0070479E" w:rsidRPr="00A17E25" w:rsidRDefault="0070479E" w:rsidP="0070479E">
      <w:pPr>
        <w:jc w:val="both"/>
        <w:rPr>
          <w:rFonts w:ascii="Arial" w:hAnsi="Arial" w:cs="Arial"/>
          <w:b/>
        </w:rPr>
      </w:pPr>
    </w:p>
    <w:p w:rsidR="0070479E" w:rsidRPr="00A17E25" w:rsidRDefault="0070479E" w:rsidP="0070479E">
      <w:pPr>
        <w:shd w:val="clear" w:color="auto" w:fill="FFFFFF"/>
        <w:jc w:val="both"/>
        <w:rPr>
          <w:rFonts w:ascii="Arial" w:hAnsi="Arial" w:cs="Arial"/>
          <w:color w:val="000000"/>
        </w:rPr>
      </w:pPr>
      <w:r w:rsidRPr="00A17E25">
        <w:rPr>
          <w:rFonts w:ascii="Arial" w:hAnsi="Arial" w:cs="Arial"/>
          <w:color w:val="000000"/>
        </w:rPr>
        <w:t xml:space="preserve">La Loi sur l’organisation des finances locales </w:t>
      </w:r>
      <w:r w:rsidR="00C24A07">
        <w:rPr>
          <w:rFonts w:ascii="Arial" w:hAnsi="Arial" w:cs="Arial"/>
          <w:color w:val="000000"/>
        </w:rPr>
        <w:t>de</w:t>
      </w:r>
      <w:r w:rsidRPr="00A17E25">
        <w:rPr>
          <w:rFonts w:ascii="Arial" w:hAnsi="Arial" w:cs="Arial"/>
          <w:color w:val="000000"/>
        </w:rPr>
        <w:t xml:space="preserve"> 2009 (Loi 45-08) a apporté des changements allant dans le sens de :</w:t>
      </w:r>
    </w:p>
    <w:p w:rsidR="0070479E" w:rsidRPr="00A17E25" w:rsidRDefault="0070479E" w:rsidP="0070479E">
      <w:pPr>
        <w:shd w:val="clear" w:color="auto" w:fill="FFFFFF"/>
        <w:jc w:val="both"/>
        <w:rPr>
          <w:rFonts w:ascii="Arial" w:hAnsi="Arial" w:cs="Arial"/>
          <w:color w:val="000000"/>
        </w:rPr>
      </w:pPr>
    </w:p>
    <w:p w:rsidR="0070479E" w:rsidRPr="00A17E25" w:rsidRDefault="0070479E" w:rsidP="00151AD3">
      <w:pPr>
        <w:pStyle w:val="ListParagraph"/>
        <w:numPr>
          <w:ilvl w:val="0"/>
          <w:numId w:val="56"/>
        </w:numPr>
        <w:shd w:val="clear" w:color="auto" w:fill="FFFFFF"/>
        <w:jc w:val="both"/>
        <w:textAlignment w:val="baseline"/>
        <w:rPr>
          <w:rFonts w:ascii="Arial" w:hAnsi="Arial" w:cs="Arial"/>
          <w:color w:val="000000"/>
        </w:rPr>
      </w:pPr>
      <w:r w:rsidRPr="00A17E25">
        <w:rPr>
          <w:rFonts w:ascii="Arial" w:hAnsi="Arial" w:cs="Arial"/>
          <w:color w:val="000000"/>
        </w:rPr>
        <w:t>L'allègement de la tutelle par la limitation des actes soumis à l’approbation préalable, la précision de ses domaines et de son objet et par la suppression de la tutelle à priori exercée par le ministère des finances;</w:t>
      </w:r>
    </w:p>
    <w:p w:rsidR="0070479E" w:rsidRPr="00A17E25" w:rsidRDefault="0070479E" w:rsidP="00151AD3">
      <w:pPr>
        <w:pStyle w:val="ListParagraph"/>
        <w:numPr>
          <w:ilvl w:val="0"/>
          <w:numId w:val="56"/>
        </w:numPr>
        <w:shd w:val="clear" w:color="auto" w:fill="FFFFFF"/>
        <w:jc w:val="both"/>
        <w:textAlignment w:val="baseline"/>
        <w:rPr>
          <w:rFonts w:ascii="Arial" w:hAnsi="Arial" w:cs="Arial"/>
          <w:color w:val="000000"/>
        </w:rPr>
      </w:pPr>
      <w:r w:rsidRPr="00A17E25">
        <w:rPr>
          <w:rFonts w:ascii="Arial" w:hAnsi="Arial" w:cs="Arial"/>
          <w:color w:val="000000"/>
        </w:rPr>
        <w:t>L’assouplissement des règles et des procédures afférentes au cadre budgétaire pour consacrer l’autonomie des conseils et la responsabilité des ordonnateurs et permettre l’adaptation du budget en cours d’année;</w:t>
      </w:r>
    </w:p>
    <w:p w:rsidR="0070479E" w:rsidRPr="00A17E25" w:rsidRDefault="0070479E" w:rsidP="0070479E">
      <w:pPr>
        <w:pStyle w:val="ListParagraph"/>
        <w:shd w:val="clear" w:color="auto" w:fill="FFFFFF"/>
        <w:ind w:left="360"/>
        <w:jc w:val="both"/>
        <w:textAlignment w:val="baseline"/>
        <w:rPr>
          <w:rFonts w:ascii="Arial" w:hAnsi="Arial" w:cs="Arial"/>
          <w:color w:val="000000"/>
        </w:rPr>
      </w:pPr>
    </w:p>
    <w:p w:rsidR="0070479E" w:rsidRPr="00A17E25" w:rsidRDefault="0070479E" w:rsidP="00151AD3">
      <w:pPr>
        <w:pStyle w:val="ListParagraph"/>
        <w:numPr>
          <w:ilvl w:val="0"/>
          <w:numId w:val="56"/>
        </w:numPr>
        <w:shd w:val="clear" w:color="auto" w:fill="FFFFFF"/>
        <w:jc w:val="both"/>
        <w:textAlignment w:val="baseline"/>
        <w:rPr>
          <w:rFonts w:ascii="Arial" w:hAnsi="Arial" w:cs="Arial"/>
          <w:color w:val="000000"/>
        </w:rPr>
      </w:pPr>
      <w:r w:rsidRPr="00A17E25">
        <w:rPr>
          <w:rFonts w:ascii="Arial" w:hAnsi="Arial" w:cs="Arial"/>
          <w:color w:val="000000"/>
        </w:rPr>
        <w:t> La rationalisation de la gestion des finances locales par :</w:t>
      </w:r>
    </w:p>
    <w:p w:rsidR="0070479E" w:rsidRPr="00A17E25" w:rsidRDefault="0070479E" w:rsidP="00151AD3">
      <w:pPr>
        <w:pStyle w:val="ListParagraph"/>
        <w:numPr>
          <w:ilvl w:val="0"/>
          <w:numId w:val="57"/>
        </w:numPr>
        <w:shd w:val="clear" w:color="auto" w:fill="FFFFFF"/>
        <w:ind w:left="1418" w:hanging="284"/>
        <w:jc w:val="both"/>
        <w:textAlignment w:val="baseline"/>
        <w:rPr>
          <w:rFonts w:ascii="Arial" w:hAnsi="Arial" w:cs="Arial"/>
          <w:color w:val="000000"/>
        </w:rPr>
      </w:pPr>
      <w:r w:rsidRPr="00A17E25">
        <w:rPr>
          <w:rFonts w:ascii="Arial" w:hAnsi="Arial" w:cs="Arial"/>
          <w:color w:val="000000"/>
        </w:rPr>
        <w:t>L’encouragement à la réalisation de programmes pluriannuels inscrits dans le cadre du plan de développement communal ;</w:t>
      </w:r>
    </w:p>
    <w:p w:rsidR="0070479E" w:rsidRPr="00A17E25" w:rsidRDefault="0070479E" w:rsidP="00151AD3">
      <w:pPr>
        <w:pStyle w:val="ListParagraph"/>
        <w:numPr>
          <w:ilvl w:val="0"/>
          <w:numId w:val="57"/>
        </w:numPr>
        <w:shd w:val="clear" w:color="auto" w:fill="FFFFFF"/>
        <w:ind w:left="1418" w:hanging="284"/>
        <w:jc w:val="both"/>
        <w:textAlignment w:val="baseline"/>
        <w:rPr>
          <w:rFonts w:ascii="Arial" w:hAnsi="Arial" w:cs="Arial"/>
          <w:color w:val="000000"/>
        </w:rPr>
      </w:pPr>
      <w:r w:rsidRPr="00A17E25">
        <w:rPr>
          <w:rFonts w:ascii="Arial" w:hAnsi="Arial" w:cs="Arial"/>
          <w:color w:val="000000"/>
        </w:rPr>
        <w:t>L'instauration de procédures et de mécanismes de règlement des situations de blocage résultant de la non- adoption du budget ou du refus de vote du compte administratif ;</w:t>
      </w:r>
    </w:p>
    <w:p w:rsidR="0070479E" w:rsidRDefault="0070479E" w:rsidP="00151AD3">
      <w:pPr>
        <w:pStyle w:val="ListParagraph"/>
        <w:numPr>
          <w:ilvl w:val="0"/>
          <w:numId w:val="57"/>
        </w:numPr>
        <w:shd w:val="clear" w:color="auto" w:fill="FFFFFF"/>
        <w:ind w:left="1418" w:hanging="284"/>
        <w:jc w:val="both"/>
        <w:textAlignment w:val="baseline"/>
        <w:rPr>
          <w:rFonts w:ascii="Arial" w:hAnsi="Arial" w:cs="Arial"/>
          <w:color w:val="000000"/>
        </w:rPr>
      </w:pPr>
      <w:r w:rsidRPr="00A17E25">
        <w:rPr>
          <w:rFonts w:ascii="Arial" w:hAnsi="Arial" w:cs="Arial"/>
          <w:color w:val="000000"/>
        </w:rPr>
        <w:t>L’inscription, dans un calendrier précis, des opérations de préparation, de vote et d’adoption du budget de  manière à garantir son exécution au début de l’exercice budgétaire.</w:t>
      </w:r>
    </w:p>
    <w:p w:rsidR="002D5EF8" w:rsidRPr="00A17E25" w:rsidRDefault="002D5EF8" w:rsidP="002D5EF8">
      <w:pPr>
        <w:pStyle w:val="ListParagraph"/>
        <w:shd w:val="clear" w:color="auto" w:fill="FFFFFF"/>
        <w:ind w:left="1418"/>
        <w:jc w:val="both"/>
        <w:textAlignment w:val="baseline"/>
        <w:rPr>
          <w:rFonts w:ascii="Arial" w:hAnsi="Arial" w:cs="Arial"/>
          <w:color w:val="000000"/>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Les collectivités territoriales sont soumises, comme l’Etat, à des règles budgétaires communes obéissant à quatre principes :</w:t>
      </w:r>
    </w:p>
    <w:p w:rsidR="0070479E" w:rsidRPr="00A17E25" w:rsidRDefault="0070479E" w:rsidP="00151AD3">
      <w:pPr>
        <w:pStyle w:val="ListParagraph"/>
        <w:numPr>
          <w:ilvl w:val="0"/>
          <w:numId w:val="74"/>
        </w:numPr>
        <w:autoSpaceDE w:val="0"/>
        <w:autoSpaceDN w:val="0"/>
        <w:adjustRightInd w:val="0"/>
        <w:contextualSpacing/>
        <w:jc w:val="both"/>
        <w:rPr>
          <w:rFonts w:ascii="Arial" w:hAnsi="Arial" w:cs="Arial"/>
          <w:color w:val="141414"/>
        </w:rPr>
      </w:pPr>
      <w:r w:rsidRPr="00A17E25">
        <w:rPr>
          <w:rFonts w:ascii="Arial" w:hAnsi="Arial" w:cs="Arial"/>
          <w:color w:val="141414"/>
        </w:rPr>
        <w:t xml:space="preserve">Le principe d’annualité, </w:t>
      </w:r>
    </w:p>
    <w:p w:rsidR="0070479E" w:rsidRPr="00A17E25" w:rsidRDefault="0070479E" w:rsidP="00151AD3">
      <w:pPr>
        <w:pStyle w:val="ListParagraph"/>
        <w:numPr>
          <w:ilvl w:val="0"/>
          <w:numId w:val="74"/>
        </w:numPr>
        <w:autoSpaceDE w:val="0"/>
        <w:autoSpaceDN w:val="0"/>
        <w:adjustRightInd w:val="0"/>
        <w:contextualSpacing/>
        <w:jc w:val="both"/>
        <w:rPr>
          <w:rFonts w:ascii="Arial" w:hAnsi="Arial" w:cs="Arial"/>
          <w:color w:val="141414"/>
        </w:rPr>
      </w:pPr>
      <w:r w:rsidRPr="00A17E25">
        <w:rPr>
          <w:rFonts w:ascii="Arial" w:hAnsi="Arial" w:cs="Arial"/>
          <w:color w:val="141414"/>
        </w:rPr>
        <w:t xml:space="preserve">le principe d’universalité qui interdit l’affectation de ressources à des dépenses déterminées et implique les règles de non-compensation. </w:t>
      </w:r>
    </w:p>
    <w:p w:rsidR="0070479E" w:rsidRPr="00A17E25" w:rsidRDefault="0070479E" w:rsidP="00151AD3">
      <w:pPr>
        <w:pStyle w:val="ListParagraph"/>
        <w:numPr>
          <w:ilvl w:val="0"/>
          <w:numId w:val="74"/>
        </w:numPr>
        <w:autoSpaceDE w:val="0"/>
        <w:autoSpaceDN w:val="0"/>
        <w:adjustRightInd w:val="0"/>
        <w:contextualSpacing/>
        <w:jc w:val="both"/>
        <w:rPr>
          <w:rFonts w:ascii="Arial" w:hAnsi="Arial" w:cs="Arial"/>
          <w:color w:val="141414"/>
        </w:rPr>
      </w:pPr>
      <w:r w:rsidRPr="00A17E25">
        <w:rPr>
          <w:rFonts w:ascii="Arial" w:hAnsi="Arial" w:cs="Arial"/>
          <w:color w:val="141414"/>
        </w:rPr>
        <w:t xml:space="preserve">le principe d’unité impose de retracer dans le budget l’ensemble des charges et ressources. </w:t>
      </w:r>
    </w:p>
    <w:p w:rsidR="0070479E" w:rsidRPr="00A17E25" w:rsidRDefault="0070479E" w:rsidP="00151AD3">
      <w:pPr>
        <w:pStyle w:val="ListParagraph"/>
        <w:numPr>
          <w:ilvl w:val="0"/>
          <w:numId w:val="74"/>
        </w:numPr>
        <w:autoSpaceDE w:val="0"/>
        <w:autoSpaceDN w:val="0"/>
        <w:adjustRightInd w:val="0"/>
        <w:contextualSpacing/>
        <w:jc w:val="both"/>
        <w:rPr>
          <w:rFonts w:ascii="Arial" w:hAnsi="Arial" w:cs="Arial"/>
          <w:color w:val="141414"/>
        </w:rPr>
      </w:pPr>
      <w:r w:rsidRPr="00A17E25">
        <w:rPr>
          <w:rFonts w:ascii="Arial" w:hAnsi="Arial" w:cs="Arial"/>
          <w:color w:val="141414"/>
        </w:rPr>
        <w:t>Le dernier principe requiert l’équilibre entre les recettes et les dépenses budgétaires.</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En plus, les collectivités territoriales sont soumises à trois règles prudentielles en matière de dettes financières, à savoir l’obtention de l’accord préalable de l’autorité de tutelle, l’interdiction de recourir à de nouveaux emprunts pour rembourser les échéances passées et le mandatement d’office du service de la dette qui est considéré comme dépense obligatoire.</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Pendant la période couverte par le présent rapport (2012-2015), les actes des collectivités territoriales sont soumis au contrôle a priori de l’Etat. Toutes les décisions à caractère budgétaire et financier (budget principal, budgets annexes, comptes spéciaux, autorisations de programme, emprunts) sont soumises à autorisation préalable des autorités de tutelle.</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En outre, les finances des collectivités territoriales sont soumises à des mécanismes de contrôle :</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151AD3">
      <w:pPr>
        <w:pStyle w:val="ListParagraph"/>
        <w:numPr>
          <w:ilvl w:val="0"/>
          <w:numId w:val="75"/>
        </w:numPr>
        <w:autoSpaceDE w:val="0"/>
        <w:autoSpaceDN w:val="0"/>
        <w:adjustRightInd w:val="0"/>
        <w:contextualSpacing/>
        <w:jc w:val="both"/>
        <w:rPr>
          <w:rFonts w:ascii="Arial" w:hAnsi="Arial" w:cs="Arial"/>
          <w:color w:val="141414"/>
        </w:rPr>
      </w:pPr>
      <w:r w:rsidRPr="00A17E25">
        <w:rPr>
          <w:rFonts w:ascii="Arial" w:hAnsi="Arial" w:cs="Arial"/>
          <w:color w:val="141414"/>
        </w:rPr>
        <w:t>un contrôle financier a priori exercé par les comptables en vertu du principe de séparation des fonctions d’ordonnateur exercées par l'exécutif de la CT qui engage les dépenses et celles de comptable qui effectue les paiements ;</w:t>
      </w:r>
    </w:p>
    <w:p w:rsidR="0070479E" w:rsidRPr="00A17E25" w:rsidRDefault="0070479E" w:rsidP="00151AD3">
      <w:pPr>
        <w:pStyle w:val="ListParagraph"/>
        <w:numPr>
          <w:ilvl w:val="0"/>
          <w:numId w:val="75"/>
        </w:numPr>
        <w:autoSpaceDE w:val="0"/>
        <w:autoSpaceDN w:val="0"/>
        <w:adjustRightInd w:val="0"/>
        <w:contextualSpacing/>
        <w:jc w:val="both"/>
        <w:rPr>
          <w:rFonts w:ascii="Arial" w:hAnsi="Arial" w:cs="Arial"/>
          <w:color w:val="141414"/>
        </w:rPr>
      </w:pPr>
      <w:r w:rsidRPr="00A17E25">
        <w:rPr>
          <w:rFonts w:ascii="Arial" w:hAnsi="Arial" w:cs="Arial"/>
          <w:color w:val="141414"/>
        </w:rPr>
        <w:t>un contrôle administratif et financier effectué par les inspections générales des ministères de l’Intérieur et des Finances ;</w:t>
      </w:r>
    </w:p>
    <w:p w:rsidR="0070479E" w:rsidRPr="00A17E25" w:rsidRDefault="0070479E" w:rsidP="00151AD3">
      <w:pPr>
        <w:pStyle w:val="ListParagraph"/>
        <w:numPr>
          <w:ilvl w:val="0"/>
          <w:numId w:val="75"/>
        </w:numPr>
        <w:autoSpaceDE w:val="0"/>
        <w:autoSpaceDN w:val="0"/>
        <w:adjustRightInd w:val="0"/>
        <w:contextualSpacing/>
        <w:jc w:val="both"/>
        <w:rPr>
          <w:rFonts w:ascii="Arial" w:hAnsi="Arial" w:cs="Arial"/>
          <w:color w:val="141414"/>
        </w:rPr>
      </w:pPr>
      <w:r w:rsidRPr="00A17E25">
        <w:rPr>
          <w:rFonts w:ascii="Arial" w:hAnsi="Arial" w:cs="Arial"/>
          <w:color w:val="141414"/>
        </w:rPr>
        <w:t>un contrôle juridictionnel a posteriori qui est du ressort des Cours régionales des comptes.</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Cependant, l’Administration locale connaît une gestion qui manque d’efficience notamment :</w:t>
      </w:r>
    </w:p>
    <w:p w:rsidR="0070479E" w:rsidRPr="00A17E25" w:rsidRDefault="0070479E" w:rsidP="00151AD3">
      <w:pPr>
        <w:pStyle w:val="ListParagraph"/>
        <w:numPr>
          <w:ilvl w:val="0"/>
          <w:numId w:val="73"/>
        </w:numPr>
        <w:autoSpaceDE w:val="0"/>
        <w:autoSpaceDN w:val="0"/>
        <w:adjustRightInd w:val="0"/>
        <w:contextualSpacing/>
        <w:jc w:val="both"/>
        <w:rPr>
          <w:rFonts w:ascii="Arial" w:hAnsi="Arial" w:cs="Arial"/>
          <w:color w:val="141414"/>
        </w:rPr>
      </w:pPr>
      <w:r w:rsidRPr="00A17E25">
        <w:rPr>
          <w:rFonts w:ascii="Arial" w:hAnsi="Arial" w:cs="Arial"/>
          <w:color w:val="141414"/>
        </w:rPr>
        <w:t>un sureffectif entraînant un gonflement démesuré des charges salariales;</w:t>
      </w:r>
    </w:p>
    <w:p w:rsidR="0070479E" w:rsidRPr="00A17E25" w:rsidRDefault="0070479E" w:rsidP="00151AD3">
      <w:pPr>
        <w:pStyle w:val="ListParagraph"/>
        <w:numPr>
          <w:ilvl w:val="0"/>
          <w:numId w:val="73"/>
        </w:numPr>
        <w:autoSpaceDE w:val="0"/>
        <w:autoSpaceDN w:val="0"/>
        <w:adjustRightInd w:val="0"/>
        <w:contextualSpacing/>
        <w:jc w:val="both"/>
        <w:rPr>
          <w:rFonts w:ascii="Arial" w:hAnsi="Arial" w:cs="Arial"/>
          <w:color w:val="141414"/>
        </w:rPr>
      </w:pPr>
      <w:r w:rsidRPr="00A17E25">
        <w:rPr>
          <w:rFonts w:ascii="Arial" w:hAnsi="Arial" w:cs="Arial"/>
          <w:color w:val="141414"/>
        </w:rPr>
        <w:t>des taux d’encadrement très faibles ;</w:t>
      </w:r>
    </w:p>
    <w:p w:rsidR="0070479E" w:rsidRPr="00A17E25" w:rsidRDefault="0070479E" w:rsidP="00151AD3">
      <w:pPr>
        <w:pStyle w:val="ListParagraph"/>
        <w:numPr>
          <w:ilvl w:val="0"/>
          <w:numId w:val="73"/>
        </w:numPr>
        <w:autoSpaceDE w:val="0"/>
        <w:autoSpaceDN w:val="0"/>
        <w:adjustRightInd w:val="0"/>
        <w:contextualSpacing/>
        <w:jc w:val="both"/>
        <w:rPr>
          <w:rFonts w:ascii="Arial" w:hAnsi="Arial" w:cs="Arial"/>
          <w:color w:val="141414"/>
        </w:rPr>
      </w:pPr>
      <w:r w:rsidRPr="00A17E25">
        <w:rPr>
          <w:rFonts w:ascii="Arial" w:hAnsi="Arial" w:cs="Arial"/>
          <w:color w:val="141414"/>
        </w:rPr>
        <w:t>l’inadaptation des profils aux emplois pourvus ;</w:t>
      </w:r>
    </w:p>
    <w:p w:rsidR="0070479E" w:rsidRPr="00A17E25" w:rsidRDefault="0070479E" w:rsidP="00151AD3">
      <w:pPr>
        <w:pStyle w:val="ListParagraph"/>
        <w:numPr>
          <w:ilvl w:val="0"/>
          <w:numId w:val="73"/>
        </w:numPr>
        <w:autoSpaceDE w:val="0"/>
        <w:autoSpaceDN w:val="0"/>
        <w:adjustRightInd w:val="0"/>
        <w:contextualSpacing/>
        <w:jc w:val="both"/>
        <w:rPr>
          <w:rFonts w:ascii="Arial" w:hAnsi="Arial" w:cs="Arial"/>
          <w:color w:val="141414"/>
        </w:rPr>
      </w:pPr>
      <w:r w:rsidRPr="00A17E25">
        <w:rPr>
          <w:rFonts w:ascii="Arial" w:hAnsi="Arial" w:cs="Arial"/>
          <w:color w:val="141414"/>
        </w:rPr>
        <w:t>un déficit d’organisation liée à l’absence d’organigrammes donnant une description précise des missions et attributions de chaque unité administrative et des tâches et responsabilités des personnes chargées de leur direction ;</w:t>
      </w:r>
    </w:p>
    <w:p w:rsidR="0070479E" w:rsidRPr="00A17E25" w:rsidRDefault="0070479E" w:rsidP="00151AD3">
      <w:pPr>
        <w:pStyle w:val="ListParagraph"/>
        <w:numPr>
          <w:ilvl w:val="0"/>
          <w:numId w:val="73"/>
        </w:numPr>
        <w:autoSpaceDE w:val="0"/>
        <w:autoSpaceDN w:val="0"/>
        <w:adjustRightInd w:val="0"/>
        <w:contextualSpacing/>
        <w:jc w:val="both"/>
        <w:rPr>
          <w:rFonts w:ascii="Arial" w:hAnsi="Arial" w:cs="Arial"/>
          <w:color w:val="141414"/>
        </w:rPr>
      </w:pPr>
      <w:r w:rsidRPr="00A17E25">
        <w:rPr>
          <w:rFonts w:ascii="Arial" w:hAnsi="Arial" w:cs="Arial"/>
          <w:color w:val="141414"/>
        </w:rPr>
        <w:t xml:space="preserve">un système d’information </w:t>
      </w:r>
      <w:r w:rsidR="00CA3D61">
        <w:rPr>
          <w:rFonts w:ascii="Arial" w:hAnsi="Arial" w:cs="Arial"/>
          <w:color w:val="141414"/>
        </w:rPr>
        <w:t>non adapté</w:t>
      </w:r>
      <w:r w:rsidRPr="00A17E25">
        <w:rPr>
          <w:rFonts w:ascii="Arial" w:hAnsi="Arial" w:cs="Arial"/>
          <w:color w:val="141414"/>
        </w:rPr>
        <w:t xml:space="preserve"> (hormis la récente mis en place de GID)   </w:t>
      </w:r>
    </w:p>
    <w:p w:rsidR="0070479E" w:rsidRPr="00A17E25" w:rsidRDefault="0070479E" w:rsidP="0070479E">
      <w:pPr>
        <w:autoSpaceDE w:val="0"/>
        <w:autoSpaceDN w:val="0"/>
        <w:adjustRightInd w:val="0"/>
        <w:jc w:val="both"/>
        <w:rPr>
          <w:rFonts w:ascii="Arial" w:hAnsi="Arial" w:cs="Arial"/>
          <w:color w:val="141414"/>
        </w:rPr>
      </w:pPr>
    </w:p>
    <w:p w:rsidR="0070479E" w:rsidRPr="00A17E25" w:rsidRDefault="0070479E" w:rsidP="0070479E">
      <w:pPr>
        <w:autoSpaceDE w:val="0"/>
        <w:autoSpaceDN w:val="0"/>
        <w:adjustRightInd w:val="0"/>
        <w:jc w:val="both"/>
        <w:rPr>
          <w:rFonts w:ascii="Arial" w:hAnsi="Arial" w:cs="Arial"/>
          <w:color w:val="141414"/>
        </w:rPr>
      </w:pPr>
      <w:r w:rsidRPr="00A17E25">
        <w:rPr>
          <w:rFonts w:ascii="Arial" w:hAnsi="Arial" w:cs="Arial"/>
          <w:color w:val="141414"/>
        </w:rPr>
        <w:t>Par ailleurs, la présentation des informations budgétaires et financières des collectivités territoriale ne permet pas de rendre compte du patrimoine et des véritables performances économiques et financières de ces entités. A ce jour, le plan comptable des collectivités territoriales n’a pas encore été adopté et les états financiers et situations de gestion susmentionnés ne peuvent, par conséquent, être produits.</w:t>
      </w:r>
    </w:p>
    <w:p w:rsidR="00544726" w:rsidRDefault="0070479E" w:rsidP="00463AB9">
      <w:pPr>
        <w:autoSpaceDE w:val="0"/>
        <w:autoSpaceDN w:val="0"/>
        <w:adjustRightInd w:val="0"/>
        <w:jc w:val="both"/>
        <w:rPr>
          <w:rFonts w:ascii="Arial" w:hAnsi="Arial" w:cs="Arial"/>
          <w:b/>
          <w:i/>
        </w:rPr>
      </w:pPr>
      <w:r w:rsidRPr="00A17E25">
        <w:rPr>
          <w:rFonts w:ascii="Arial" w:hAnsi="Arial" w:cs="Arial"/>
          <w:color w:val="141414"/>
        </w:rPr>
        <w:t>De même, il est temps d’engager une opération de préparation des comptes consolidés du secteur des collectivités territoriales en y intégrant toutes les entités contrôlées par ces collectivités (établissements publics locaux et participations financières directes et indirectes).</w:t>
      </w:r>
      <w:bookmarkStart w:id="90" w:name="_Toc434916103"/>
      <w:bookmarkStart w:id="91" w:name="_Toc434918317"/>
    </w:p>
    <w:p w:rsidR="00544726" w:rsidRPr="00544726" w:rsidRDefault="00544726" w:rsidP="004F0354">
      <w:pPr>
        <w:autoSpaceDE w:val="0"/>
        <w:autoSpaceDN w:val="0"/>
        <w:adjustRightInd w:val="0"/>
        <w:rPr>
          <w:rFonts w:ascii="Arial" w:hAnsi="Arial" w:cs="Arial"/>
          <w:b/>
          <w:i/>
          <w:sz w:val="32"/>
          <w:szCs w:val="32"/>
        </w:rPr>
      </w:pPr>
    </w:p>
    <w:p w:rsidR="003A596A" w:rsidRPr="00544726" w:rsidRDefault="00544726" w:rsidP="004F0354">
      <w:pPr>
        <w:autoSpaceDE w:val="0"/>
        <w:autoSpaceDN w:val="0"/>
        <w:adjustRightInd w:val="0"/>
        <w:jc w:val="both"/>
        <w:rPr>
          <w:rFonts w:ascii="Arial" w:hAnsi="Arial" w:cs="Arial"/>
          <w:b/>
          <w:color w:val="141414"/>
          <w:sz w:val="32"/>
          <w:szCs w:val="32"/>
        </w:rPr>
      </w:pPr>
      <w:r>
        <w:rPr>
          <w:rFonts w:ascii="Arial" w:hAnsi="Arial" w:cs="Arial"/>
          <w:b/>
          <w:color w:val="0070C0"/>
          <w:sz w:val="32"/>
          <w:szCs w:val="32"/>
        </w:rPr>
        <w:t>3.</w:t>
      </w:r>
      <w:r w:rsidR="004F0354">
        <w:rPr>
          <w:rFonts w:ascii="Arial" w:hAnsi="Arial" w:cs="Arial"/>
          <w:b/>
          <w:color w:val="0070C0"/>
          <w:sz w:val="32"/>
          <w:szCs w:val="32"/>
        </w:rPr>
        <w:t xml:space="preserve"> </w:t>
      </w:r>
      <w:r w:rsidR="00603A02" w:rsidRPr="00544726">
        <w:rPr>
          <w:rFonts w:ascii="Arial" w:hAnsi="Arial" w:cs="Arial"/>
          <w:b/>
          <w:color w:val="0070C0"/>
          <w:sz w:val="32"/>
          <w:szCs w:val="32"/>
        </w:rPr>
        <w:t>Evaluation</w:t>
      </w:r>
      <w:r w:rsidR="003A596A" w:rsidRPr="00544726">
        <w:rPr>
          <w:rFonts w:ascii="Arial" w:hAnsi="Arial" w:cs="Arial"/>
          <w:b/>
          <w:color w:val="0070C0"/>
          <w:sz w:val="32"/>
          <w:szCs w:val="32"/>
        </w:rPr>
        <w:t xml:space="preserve"> des</w:t>
      </w:r>
      <w:r w:rsidR="00873D1C">
        <w:rPr>
          <w:rFonts w:ascii="Arial" w:hAnsi="Arial" w:cs="Arial"/>
          <w:b/>
          <w:color w:val="0070C0"/>
          <w:sz w:val="32"/>
          <w:szCs w:val="32"/>
        </w:rPr>
        <w:t xml:space="preserve"> systèmes, </w:t>
      </w:r>
      <w:r w:rsidR="004F0354">
        <w:rPr>
          <w:rFonts w:ascii="Arial" w:hAnsi="Arial" w:cs="Arial"/>
          <w:b/>
          <w:color w:val="0070C0"/>
          <w:sz w:val="32"/>
          <w:szCs w:val="32"/>
        </w:rPr>
        <w:t xml:space="preserve">des processus et des </w:t>
      </w:r>
      <w:r w:rsidR="003A596A" w:rsidRPr="00544726">
        <w:rPr>
          <w:rFonts w:ascii="Arial" w:hAnsi="Arial" w:cs="Arial"/>
          <w:b/>
          <w:color w:val="0070C0"/>
          <w:sz w:val="32"/>
          <w:szCs w:val="32"/>
        </w:rPr>
        <w:t>institutions de gestion des finances publiques</w:t>
      </w:r>
      <w:bookmarkEnd w:id="90"/>
      <w:bookmarkEnd w:id="91"/>
    </w:p>
    <w:p w:rsidR="003A596A" w:rsidRPr="00CA09F7" w:rsidRDefault="003A596A" w:rsidP="003A596A">
      <w:pPr>
        <w:rPr>
          <w:b/>
          <w:color w:val="0070C0"/>
        </w:rPr>
      </w:pPr>
      <w:bookmarkStart w:id="92" w:name="_Toc260257261"/>
    </w:p>
    <w:p w:rsidR="003A596A" w:rsidRPr="00A17E25" w:rsidRDefault="003A596A" w:rsidP="003A596A">
      <w:pPr>
        <w:rPr>
          <w:rFonts w:ascii="Arial" w:hAnsi="Arial"/>
          <w:b/>
        </w:rPr>
      </w:pPr>
      <w:r w:rsidRPr="00A17E25">
        <w:rPr>
          <w:rFonts w:ascii="Arial" w:hAnsi="Arial"/>
          <w:b/>
        </w:rPr>
        <w:t>HLG1 : Prévisibilité des transferts du Gouvernement central</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L’évaluation de cet indicateur couvre la période 2012 à 2014 pour les trois composantes (i), (ii) et (iii).</w:t>
      </w:r>
    </w:p>
    <w:p w:rsidR="003A596A" w:rsidRPr="00A17E25" w:rsidRDefault="003A596A" w:rsidP="003A596A">
      <w:pPr>
        <w:contextualSpacing/>
        <w:jc w:val="both"/>
        <w:rPr>
          <w:rFonts w:ascii="Arial" w:hAnsi="Arial"/>
        </w:rPr>
      </w:pPr>
    </w:p>
    <w:p w:rsidR="003A596A" w:rsidRPr="00A17E25" w:rsidRDefault="003A596A" w:rsidP="003A596A">
      <w:pPr>
        <w:contextualSpacing/>
        <w:jc w:val="both"/>
        <w:rPr>
          <w:rFonts w:ascii="Arial" w:hAnsi="Arial"/>
        </w:rPr>
      </w:pPr>
      <w:r w:rsidRPr="00A17E25">
        <w:rPr>
          <w:rFonts w:ascii="Arial" w:hAnsi="Arial"/>
        </w:rPr>
        <w:t xml:space="preserve">Le Gouvernement central transfère aux communes marocaines globalement 30% du produit de la taxe sur la valeur ajoutée sous forme de deux dotations : (i) une dotation dont l’utilisation n’est soumise à aucune condition qui est inscrite à la première partie du budget (fonctionnement) au chapitre 10 article 50 paragraphe 10 et intitulée « Part dans le produit de la TVA » et (ii) une dotation spéciale d’investissement TVA inscrite à la deuxième partie du budget (équipement) au chapitre 50 article 20 paragraphe 10 et destinée au financement des dépenses d’équipement. </w:t>
      </w:r>
    </w:p>
    <w:p w:rsidR="003A596A" w:rsidRPr="00A17E25" w:rsidRDefault="003A596A" w:rsidP="003A596A">
      <w:pPr>
        <w:contextualSpacing/>
        <w:jc w:val="both"/>
        <w:rPr>
          <w:rFonts w:ascii="Arial" w:hAnsi="Arial"/>
        </w:rPr>
      </w:pPr>
    </w:p>
    <w:p w:rsidR="003A596A" w:rsidRPr="00A17E25" w:rsidRDefault="003A596A" w:rsidP="003A596A">
      <w:pPr>
        <w:contextualSpacing/>
        <w:jc w:val="both"/>
        <w:rPr>
          <w:rFonts w:ascii="Arial" w:hAnsi="Arial"/>
        </w:rPr>
      </w:pPr>
      <w:r w:rsidRPr="00A17E25">
        <w:rPr>
          <w:rFonts w:ascii="Arial" w:hAnsi="Arial"/>
        </w:rPr>
        <w:t>Dans le budget de la Commune  de Casablanca, seule la première dotation non affectée est prévue au budget initialement approuvé au cours de la session d’octobre du Conseil communal. Son montant est communiqué annuellement par le Ministre de l’intérieur</w:t>
      </w:r>
      <w:r w:rsidR="00B148E5">
        <w:rPr>
          <w:rFonts w:ascii="Arial" w:hAnsi="Arial"/>
        </w:rPr>
        <w:t xml:space="preserve"> généralement en octobre, ce qui ne laisse pas suffisamment de temps au service financier pour la finalisation du budget de la </w:t>
      </w:r>
      <w:r w:rsidR="00F86504">
        <w:rPr>
          <w:rFonts w:ascii="Arial" w:hAnsi="Arial"/>
        </w:rPr>
        <w:t>CC</w:t>
      </w:r>
      <w:r w:rsidRPr="00A17E25">
        <w:rPr>
          <w:rFonts w:ascii="Arial" w:hAnsi="Arial"/>
        </w:rPr>
        <w:t xml:space="preserve">. Quant à la dotation destinée au financement des dépenses d’équipement, son montant n’est pas communiqué à la </w:t>
      </w:r>
      <w:r w:rsidR="00F86504">
        <w:rPr>
          <w:rFonts w:ascii="Arial" w:hAnsi="Arial"/>
        </w:rPr>
        <w:t>CC</w:t>
      </w:r>
      <w:r w:rsidRPr="00A17E25">
        <w:rPr>
          <w:rFonts w:ascii="Arial" w:hAnsi="Arial"/>
        </w:rPr>
        <w:t xml:space="preserve"> </w:t>
      </w:r>
      <w:r w:rsidR="00B148E5">
        <w:rPr>
          <w:rFonts w:ascii="Arial" w:hAnsi="Arial"/>
        </w:rPr>
        <w:t>au</w:t>
      </w:r>
      <w:r w:rsidRPr="00A17E25">
        <w:rPr>
          <w:rFonts w:ascii="Arial" w:hAnsi="Arial"/>
        </w:rPr>
        <w:t xml:space="preserve"> moment de la préparation du budget, et elle n’est pas prévue au budget </w:t>
      </w:r>
      <w:r w:rsidR="00D8102C">
        <w:rPr>
          <w:rFonts w:ascii="Arial" w:hAnsi="Arial"/>
        </w:rPr>
        <w:t>initial</w:t>
      </w:r>
      <w:r w:rsidRPr="00A17E25">
        <w:rPr>
          <w:rFonts w:ascii="Arial" w:hAnsi="Arial"/>
        </w:rPr>
        <w:t xml:space="preserve">. Elle est mobilisée au fur et à mesure de l’exécution des dépenses d’équipement auxquelles elle </w:t>
      </w:r>
      <w:r w:rsidR="003F2125">
        <w:rPr>
          <w:rFonts w:ascii="Arial" w:hAnsi="Arial"/>
        </w:rPr>
        <w:t>est</w:t>
      </w:r>
      <w:r w:rsidRPr="00A17E25">
        <w:rPr>
          <w:rFonts w:ascii="Arial" w:hAnsi="Arial"/>
        </w:rPr>
        <w:t xml:space="preserve"> affectée et donne lieu à une inscription budgétaire concomitante dans la deuxième partie du budget en cours d’année au moyen de la procédure d’autorisation spéciale. En outre, le Gouvernement central peut également allouer aux collectivités locales des subventions exceptionnelles.  </w:t>
      </w:r>
    </w:p>
    <w:p w:rsidR="003A596A" w:rsidRPr="00A17E25" w:rsidRDefault="003A596A"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 xml:space="preserve">Le tableau ci-dessous présente l’évolution des prévisions et des réalisations de ces différents concours financiers de l’Etat à la </w:t>
      </w:r>
      <w:r w:rsidR="00F86504">
        <w:rPr>
          <w:rFonts w:ascii="Arial" w:hAnsi="Arial"/>
        </w:rPr>
        <w:t>CC</w:t>
      </w:r>
      <w:r w:rsidRPr="00A17E25">
        <w:rPr>
          <w:rFonts w:ascii="Arial" w:hAnsi="Arial"/>
        </w:rPr>
        <w:t xml:space="preserve"> de 2012 à 2014.</w:t>
      </w:r>
    </w:p>
    <w:p w:rsidR="003A596A" w:rsidRPr="00A17E25" w:rsidRDefault="003A596A" w:rsidP="003A596A">
      <w:pPr>
        <w:jc w:val="center"/>
        <w:rPr>
          <w:rFonts w:ascii="Arial" w:hAnsi="Arial"/>
          <w:color w:val="FFFFFF"/>
        </w:rPr>
      </w:pPr>
    </w:p>
    <w:p w:rsidR="003A596A" w:rsidRPr="00A17E25" w:rsidRDefault="003A596A" w:rsidP="003A596A">
      <w:pPr>
        <w:rPr>
          <w:rFonts w:ascii="Arial" w:hAnsi="Arial"/>
          <w:iCs/>
          <w:color w:val="0000FF"/>
          <w:sz w:val="20"/>
          <w:szCs w:val="20"/>
        </w:rPr>
      </w:pPr>
    </w:p>
    <w:p w:rsidR="003A596A" w:rsidRPr="00592ACC" w:rsidRDefault="00592ACC" w:rsidP="003A596A">
      <w:pPr>
        <w:jc w:val="center"/>
        <w:rPr>
          <w:rFonts w:ascii="Arial Narrow" w:hAnsi="Arial Narrow"/>
          <w:iCs/>
          <w:sz w:val="20"/>
          <w:szCs w:val="20"/>
        </w:rPr>
      </w:pPr>
      <w:r>
        <w:rPr>
          <w:rFonts w:ascii="Arial Narrow" w:hAnsi="Arial Narrow"/>
          <w:b/>
          <w:iCs/>
          <w:sz w:val="20"/>
          <w:szCs w:val="20"/>
          <w:u w:val="single"/>
        </w:rPr>
        <w:t>TABLEAU</w:t>
      </w:r>
      <w:r>
        <w:rPr>
          <w:rFonts w:ascii="Arial Narrow" w:hAnsi="Arial Narrow"/>
          <w:b/>
          <w:iCs/>
          <w:sz w:val="20"/>
          <w:szCs w:val="20"/>
        </w:rPr>
        <w:t xml:space="preserve"> 3.1 :</w:t>
      </w:r>
      <w:r w:rsidR="003A596A" w:rsidRPr="00592ACC">
        <w:rPr>
          <w:rFonts w:ascii="Arial Narrow" w:hAnsi="Arial Narrow"/>
          <w:b/>
          <w:iCs/>
          <w:sz w:val="20"/>
          <w:szCs w:val="20"/>
        </w:rPr>
        <w:t xml:space="preserve"> Prévisions et réalisations des transferts du gouvernement central à la Commune  de  Casablanca de 2012 à 2014 </w:t>
      </w:r>
      <w:r w:rsidR="003A596A" w:rsidRPr="00592ACC">
        <w:rPr>
          <w:rFonts w:ascii="Arial Narrow" w:hAnsi="Arial Narrow"/>
          <w:iCs/>
          <w:sz w:val="20"/>
          <w:szCs w:val="20"/>
        </w:rPr>
        <w:t>(en millions de dirhams)</w:t>
      </w:r>
    </w:p>
    <w:p w:rsidR="003A596A" w:rsidRPr="00A17E25" w:rsidRDefault="003A596A" w:rsidP="003A596A">
      <w:pPr>
        <w:rPr>
          <w:rFonts w:ascii="Arial" w:hAnsi="Arial"/>
          <w:iCs/>
          <w:color w:val="0000FF"/>
          <w:sz w:val="20"/>
          <w:szCs w:val="20"/>
        </w:rPr>
      </w:pPr>
    </w:p>
    <w:tbl>
      <w:tblPr>
        <w:tblStyle w:val="TableGrid"/>
        <w:tblW w:w="5000" w:type="pct"/>
        <w:tblLook w:val="04A0" w:firstRow="1" w:lastRow="0" w:firstColumn="1" w:lastColumn="0" w:noHBand="0" w:noVBand="1"/>
      </w:tblPr>
      <w:tblGrid>
        <w:gridCol w:w="2138"/>
        <w:gridCol w:w="1127"/>
        <w:gridCol w:w="1277"/>
        <w:gridCol w:w="1127"/>
        <w:gridCol w:w="1277"/>
        <w:gridCol w:w="1127"/>
        <w:gridCol w:w="1277"/>
      </w:tblGrid>
      <w:tr w:rsidR="003A596A" w:rsidRPr="00B84D19" w:rsidTr="00B84D19">
        <w:tc>
          <w:tcPr>
            <w:tcW w:w="1392" w:type="pct"/>
            <w:vMerge w:val="restart"/>
            <w:shd w:val="clear" w:color="auto" w:fill="0070C0"/>
          </w:tcPr>
          <w:p w:rsidR="003A596A" w:rsidRPr="004F0354" w:rsidRDefault="003A596A" w:rsidP="003A596A">
            <w:pPr>
              <w:jc w:val="center"/>
              <w:rPr>
                <w:rFonts w:ascii="Arial" w:hAnsi="Arial"/>
                <w:b/>
                <w:iCs/>
                <w:color w:val="FFFFFF" w:themeColor="background1"/>
                <w:sz w:val="18"/>
                <w:szCs w:val="18"/>
              </w:rPr>
            </w:pPr>
            <w:r w:rsidRPr="004F0354">
              <w:rPr>
                <w:rFonts w:ascii="Arial" w:hAnsi="Arial"/>
                <w:b/>
                <w:iCs/>
                <w:color w:val="FFFFFF" w:themeColor="background1"/>
                <w:sz w:val="18"/>
                <w:szCs w:val="18"/>
              </w:rPr>
              <w:t>Type de transfert</w:t>
            </w:r>
          </w:p>
        </w:tc>
        <w:tc>
          <w:tcPr>
            <w:tcW w:w="1196" w:type="pct"/>
            <w:gridSpan w:val="2"/>
            <w:shd w:val="clear" w:color="auto" w:fill="0070C0"/>
          </w:tcPr>
          <w:p w:rsidR="003A596A" w:rsidRPr="004F0354" w:rsidRDefault="003A596A" w:rsidP="003A596A">
            <w:pPr>
              <w:jc w:val="center"/>
              <w:rPr>
                <w:rFonts w:ascii="Arial" w:hAnsi="Arial"/>
                <w:b/>
                <w:iCs/>
                <w:color w:val="FFFFFF" w:themeColor="background1"/>
                <w:sz w:val="18"/>
                <w:szCs w:val="18"/>
              </w:rPr>
            </w:pPr>
            <w:r w:rsidRPr="004F0354">
              <w:rPr>
                <w:rFonts w:ascii="Arial" w:hAnsi="Arial"/>
                <w:b/>
                <w:iCs/>
                <w:color w:val="FFFFFF" w:themeColor="background1"/>
                <w:sz w:val="18"/>
                <w:szCs w:val="18"/>
              </w:rPr>
              <w:t>2012</w:t>
            </w:r>
          </w:p>
        </w:tc>
        <w:tc>
          <w:tcPr>
            <w:tcW w:w="1196" w:type="pct"/>
            <w:gridSpan w:val="2"/>
            <w:shd w:val="clear" w:color="auto" w:fill="0070C0"/>
          </w:tcPr>
          <w:p w:rsidR="003A596A" w:rsidRPr="004F0354" w:rsidRDefault="003A596A" w:rsidP="003A596A">
            <w:pPr>
              <w:jc w:val="center"/>
              <w:rPr>
                <w:rFonts w:ascii="Arial" w:hAnsi="Arial"/>
                <w:b/>
                <w:iCs/>
                <w:color w:val="FFFFFF" w:themeColor="background1"/>
                <w:sz w:val="18"/>
                <w:szCs w:val="18"/>
              </w:rPr>
            </w:pPr>
            <w:r w:rsidRPr="004F0354">
              <w:rPr>
                <w:rFonts w:ascii="Arial" w:hAnsi="Arial"/>
                <w:b/>
                <w:iCs/>
                <w:color w:val="FFFFFF" w:themeColor="background1"/>
                <w:sz w:val="18"/>
                <w:szCs w:val="18"/>
              </w:rPr>
              <w:t>2013</w:t>
            </w:r>
          </w:p>
        </w:tc>
        <w:tc>
          <w:tcPr>
            <w:tcW w:w="1217" w:type="pct"/>
            <w:gridSpan w:val="2"/>
            <w:shd w:val="clear" w:color="auto" w:fill="0070C0"/>
          </w:tcPr>
          <w:p w:rsidR="003A596A" w:rsidRPr="004F0354" w:rsidRDefault="003A596A" w:rsidP="003A596A">
            <w:pPr>
              <w:jc w:val="center"/>
              <w:rPr>
                <w:rFonts w:ascii="Arial" w:hAnsi="Arial"/>
                <w:b/>
                <w:iCs/>
                <w:color w:val="FFFFFF" w:themeColor="background1"/>
                <w:sz w:val="18"/>
                <w:szCs w:val="18"/>
              </w:rPr>
            </w:pPr>
            <w:r w:rsidRPr="004F0354">
              <w:rPr>
                <w:rFonts w:ascii="Arial" w:hAnsi="Arial"/>
                <w:b/>
                <w:iCs/>
                <w:color w:val="FFFFFF" w:themeColor="background1"/>
                <w:sz w:val="18"/>
                <w:szCs w:val="18"/>
              </w:rPr>
              <w:t>2014</w:t>
            </w:r>
          </w:p>
        </w:tc>
      </w:tr>
      <w:tr w:rsidR="003A596A" w:rsidRPr="00B84D19" w:rsidTr="00370022">
        <w:trPr>
          <w:trHeight w:val="85"/>
        </w:trPr>
        <w:tc>
          <w:tcPr>
            <w:tcW w:w="1392" w:type="pct"/>
            <w:vMerge/>
          </w:tcPr>
          <w:p w:rsidR="003A596A" w:rsidRPr="004F0354" w:rsidRDefault="003A596A" w:rsidP="003A596A">
            <w:pPr>
              <w:rPr>
                <w:rFonts w:ascii="Arial" w:hAnsi="Arial"/>
                <w:iCs/>
                <w:sz w:val="18"/>
                <w:szCs w:val="18"/>
              </w:rPr>
            </w:pPr>
          </w:p>
        </w:tc>
        <w:tc>
          <w:tcPr>
            <w:tcW w:w="561"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Prévisions</w:t>
            </w:r>
          </w:p>
        </w:tc>
        <w:tc>
          <w:tcPr>
            <w:tcW w:w="635"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Réalisations</w:t>
            </w:r>
          </w:p>
        </w:tc>
        <w:tc>
          <w:tcPr>
            <w:tcW w:w="561"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Prévisions</w:t>
            </w:r>
          </w:p>
        </w:tc>
        <w:tc>
          <w:tcPr>
            <w:tcW w:w="635"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Réalisations</w:t>
            </w:r>
          </w:p>
        </w:tc>
        <w:tc>
          <w:tcPr>
            <w:tcW w:w="561"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Prévisions</w:t>
            </w:r>
          </w:p>
        </w:tc>
        <w:tc>
          <w:tcPr>
            <w:tcW w:w="656" w:type="pct"/>
          </w:tcPr>
          <w:p w:rsidR="003A596A" w:rsidRPr="004F0354" w:rsidRDefault="003A596A" w:rsidP="003A596A">
            <w:pPr>
              <w:jc w:val="center"/>
              <w:rPr>
                <w:rFonts w:ascii="Arial" w:hAnsi="Arial"/>
                <w:b/>
                <w:bCs/>
                <w:iCs/>
                <w:sz w:val="18"/>
                <w:szCs w:val="18"/>
              </w:rPr>
            </w:pPr>
            <w:r w:rsidRPr="004F0354">
              <w:rPr>
                <w:rFonts w:ascii="Arial" w:hAnsi="Arial"/>
                <w:b/>
                <w:bCs/>
                <w:iCs/>
                <w:sz w:val="18"/>
                <w:szCs w:val="18"/>
              </w:rPr>
              <w:t>Réalisations</w:t>
            </w:r>
          </w:p>
        </w:tc>
      </w:tr>
      <w:tr w:rsidR="003A596A" w:rsidRPr="00B84D19" w:rsidTr="00B84D19">
        <w:tc>
          <w:tcPr>
            <w:tcW w:w="1392" w:type="pct"/>
          </w:tcPr>
          <w:p w:rsidR="003A596A" w:rsidRPr="004F0354" w:rsidRDefault="003A596A" w:rsidP="003A596A">
            <w:pPr>
              <w:rPr>
                <w:rFonts w:ascii="Arial" w:hAnsi="Arial"/>
                <w:iCs/>
                <w:sz w:val="18"/>
                <w:szCs w:val="18"/>
              </w:rPr>
            </w:pPr>
            <w:r w:rsidRPr="004F0354">
              <w:rPr>
                <w:rFonts w:ascii="Arial" w:hAnsi="Arial"/>
                <w:iCs/>
                <w:sz w:val="18"/>
                <w:szCs w:val="18"/>
              </w:rPr>
              <w:t>Part dans le produit de la TVA (Fonctionnement)</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351,0</w:t>
            </w:r>
          </w:p>
        </w:tc>
        <w:tc>
          <w:tcPr>
            <w:tcW w:w="635"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351,0</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373,5</w:t>
            </w:r>
          </w:p>
        </w:tc>
        <w:tc>
          <w:tcPr>
            <w:tcW w:w="635"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373,5</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381,9</w:t>
            </w:r>
          </w:p>
        </w:tc>
        <w:tc>
          <w:tcPr>
            <w:tcW w:w="656"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533,9</w:t>
            </w:r>
          </w:p>
        </w:tc>
      </w:tr>
      <w:tr w:rsidR="003A596A" w:rsidRPr="00B84D19" w:rsidTr="00B84D19">
        <w:tc>
          <w:tcPr>
            <w:tcW w:w="1392" w:type="pct"/>
          </w:tcPr>
          <w:p w:rsidR="003A596A" w:rsidRPr="004F0354" w:rsidRDefault="003A596A" w:rsidP="003A596A">
            <w:pPr>
              <w:rPr>
                <w:rFonts w:ascii="Arial" w:hAnsi="Arial"/>
                <w:iCs/>
                <w:sz w:val="18"/>
                <w:szCs w:val="18"/>
              </w:rPr>
            </w:pPr>
            <w:r w:rsidRPr="004F0354">
              <w:rPr>
                <w:rFonts w:ascii="Arial" w:hAnsi="Arial"/>
                <w:iCs/>
                <w:sz w:val="18"/>
                <w:szCs w:val="18"/>
              </w:rPr>
              <w:t>Part dans le produit de la TVA (Dotation spéciale équipement)</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0</w:t>
            </w:r>
          </w:p>
        </w:tc>
        <w:tc>
          <w:tcPr>
            <w:tcW w:w="635"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685,6</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0</w:t>
            </w:r>
          </w:p>
        </w:tc>
        <w:tc>
          <w:tcPr>
            <w:tcW w:w="635"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314,2</w:t>
            </w:r>
          </w:p>
        </w:tc>
        <w:tc>
          <w:tcPr>
            <w:tcW w:w="561"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0</w:t>
            </w:r>
          </w:p>
        </w:tc>
        <w:tc>
          <w:tcPr>
            <w:tcW w:w="656" w:type="pct"/>
            <w:vAlign w:val="center"/>
          </w:tcPr>
          <w:p w:rsidR="003A596A" w:rsidRPr="004F0354" w:rsidRDefault="003A596A" w:rsidP="003A596A">
            <w:pPr>
              <w:jc w:val="right"/>
              <w:rPr>
                <w:rFonts w:ascii="Arial" w:hAnsi="Arial"/>
                <w:iCs/>
                <w:sz w:val="18"/>
                <w:szCs w:val="18"/>
              </w:rPr>
            </w:pPr>
            <w:r w:rsidRPr="004F0354">
              <w:rPr>
                <w:rFonts w:ascii="Arial" w:hAnsi="Arial"/>
                <w:iCs/>
                <w:sz w:val="18"/>
                <w:szCs w:val="18"/>
              </w:rPr>
              <w:t>109,4</w:t>
            </w:r>
          </w:p>
        </w:tc>
      </w:tr>
      <w:tr w:rsidR="003A596A" w:rsidRPr="00B84D19" w:rsidTr="00B84D19">
        <w:tc>
          <w:tcPr>
            <w:tcW w:w="1392" w:type="pct"/>
          </w:tcPr>
          <w:p w:rsidR="003A596A" w:rsidRPr="004F0354" w:rsidRDefault="003A596A" w:rsidP="003A596A">
            <w:pPr>
              <w:rPr>
                <w:rFonts w:ascii="Arial" w:hAnsi="Arial"/>
                <w:b/>
                <w:iCs/>
                <w:sz w:val="18"/>
                <w:szCs w:val="18"/>
              </w:rPr>
            </w:pPr>
          </w:p>
          <w:p w:rsidR="003A596A" w:rsidRPr="004F0354" w:rsidRDefault="003A596A" w:rsidP="003A596A">
            <w:pPr>
              <w:rPr>
                <w:rFonts w:ascii="Arial" w:hAnsi="Arial"/>
                <w:b/>
                <w:iCs/>
                <w:sz w:val="18"/>
                <w:szCs w:val="18"/>
              </w:rPr>
            </w:pPr>
            <w:r w:rsidRPr="004F0354">
              <w:rPr>
                <w:rFonts w:ascii="Arial" w:hAnsi="Arial"/>
                <w:b/>
                <w:iCs/>
                <w:sz w:val="18"/>
                <w:szCs w:val="18"/>
              </w:rPr>
              <w:t>TOTAL</w:t>
            </w:r>
          </w:p>
        </w:tc>
        <w:tc>
          <w:tcPr>
            <w:tcW w:w="561"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351,0</w:t>
            </w:r>
          </w:p>
        </w:tc>
        <w:tc>
          <w:tcPr>
            <w:tcW w:w="635"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1 036,6</w:t>
            </w:r>
          </w:p>
        </w:tc>
        <w:tc>
          <w:tcPr>
            <w:tcW w:w="561"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373,5</w:t>
            </w:r>
          </w:p>
        </w:tc>
        <w:tc>
          <w:tcPr>
            <w:tcW w:w="635"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687,7</w:t>
            </w:r>
          </w:p>
        </w:tc>
        <w:tc>
          <w:tcPr>
            <w:tcW w:w="561"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381,9</w:t>
            </w:r>
          </w:p>
        </w:tc>
        <w:tc>
          <w:tcPr>
            <w:tcW w:w="656" w:type="pct"/>
            <w:vAlign w:val="center"/>
          </w:tcPr>
          <w:p w:rsidR="003A596A" w:rsidRPr="004F0354" w:rsidRDefault="003A596A" w:rsidP="003A596A">
            <w:pPr>
              <w:jc w:val="right"/>
              <w:rPr>
                <w:rFonts w:ascii="Arial" w:hAnsi="Arial"/>
                <w:color w:val="000000"/>
                <w:sz w:val="18"/>
                <w:szCs w:val="18"/>
              </w:rPr>
            </w:pPr>
            <w:r w:rsidRPr="004F0354">
              <w:rPr>
                <w:rFonts w:ascii="Arial" w:hAnsi="Arial"/>
                <w:color w:val="000000"/>
                <w:sz w:val="18"/>
                <w:szCs w:val="18"/>
              </w:rPr>
              <w:t>643,3</w:t>
            </w:r>
          </w:p>
        </w:tc>
      </w:tr>
    </w:tbl>
    <w:p w:rsidR="003A596A" w:rsidRPr="00A17E25" w:rsidRDefault="003A596A" w:rsidP="003A596A">
      <w:pPr>
        <w:jc w:val="center"/>
        <w:rPr>
          <w:rFonts w:ascii="Arial" w:hAnsi="Arial"/>
          <w:iCs/>
          <w:sz w:val="20"/>
          <w:szCs w:val="20"/>
        </w:rPr>
      </w:pPr>
      <w:r w:rsidRPr="00A17E25">
        <w:rPr>
          <w:rFonts w:ascii="Arial" w:hAnsi="Arial"/>
          <w:iCs/>
          <w:sz w:val="20"/>
          <w:szCs w:val="20"/>
          <w:u w:val="single"/>
        </w:rPr>
        <w:t>Sources </w:t>
      </w:r>
      <w:r w:rsidRPr="00A17E25">
        <w:rPr>
          <w:rFonts w:ascii="Arial" w:hAnsi="Arial"/>
          <w:iCs/>
          <w:sz w:val="20"/>
          <w:szCs w:val="20"/>
        </w:rPr>
        <w:t xml:space="preserve">: Comptes administratifs des exercices 2012, 2013 et 2014 </w:t>
      </w:r>
    </w:p>
    <w:p w:rsidR="003A596A" w:rsidRPr="00A17E25" w:rsidRDefault="003A596A" w:rsidP="003A596A">
      <w:pPr>
        <w:rPr>
          <w:rFonts w:ascii="Arial" w:hAnsi="Arial"/>
          <w:b/>
        </w:rPr>
      </w:pPr>
    </w:p>
    <w:p w:rsidR="003A596A" w:rsidRDefault="003A596A" w:rsidP="00873D1C">
      <w:pPr>
        <w:pStyle w:val="ListParagraph"/>
        <w:numPr>
          <w:ilvl w:val="0"/>
          <w:numId w:val="110"/>
        </w:numPr>
        <w:rPr>
          <w:rFonts w:ascii="Arial" w:hAnsi="Arial"/>
          <w:i/>
          <w:iCs/>
          <w:color w:val="0070C0"/>
        </w:rPr>
      </w:pPr>
      <w:r w:rsidRPr="00370022">
        <w:rPr>
          <w:rFonts w:ascii="Arial" w:hAnsi="Arial"/>
          <w:i/>
          <w:iCs/>
          <w:color w:val="0070C0"/>
        </w:rPr>
        <w:t>Variation annuelle entre le total des transferts réels du Gouvernement Central et le montant des estimations totales des transferts communiqué à la Commune pour l’élaboration de son budget</w:t>
      </w:r>
    </w:p>
    <w:p w:rsidR="00873D1C" w:rsidRPr="00873D1C" w:rsidRDefault="00873D1C" w:rsidP="00873D1C">
      <w:pPr>
        <w:rPr>
          <w:rFonts w:ascii="Arial" w:hAnsi="Arial"/>
          <w:i/>
          <w:iCs/>
          <w:color w:val="0070C0"/>
        </w:rPr>
      </w:pPr>
    </w:p>
    <w:p w:rsidR="003A596A" w:rsidRDefault="003A596A" w:rsidP="003A596A">
      <w:pPr>
        <w:jc w:val="both"/>
        <w:rPr>
          <w:rFonts w:ascii="Arial" w:hAnsi="Arial"/>
        </w:rPr>
      </w:pPr>
      <w:r w:rsidRPr="00A17E25">
        <w:rPr>
          <w:rFonts w:ascii="Arial" w:hAnsi="Arial"/>
        </w:rPr>
        <w:t>Le tableau ci-dessous compare les réalisations aux prévisions totales des transferts alloués par l’Etat à la Commune  de Casablanca de 2012 à 2014, et dégage les taux d’exécution ainsi que les écarts.</w:t>
      </w:r>
    </w:p>
    <w:p w:rsidR="00463AB9" w:rsidRDefault="00463AB9" w:rsidP="003A596A">
      <w:pPr>
        <w:jc w:val="center"/>
        <w:rPr>
          <w:rFonts w:ascii="Arial" w:hAnsi="Arial"/>
        </w:rPr>
      </w:pPr>
    </w:p>
    <w:p w:rsidR="00463AB9" w:rsidRDefault="00463AB9" w:rsidP="003A596A">
      <w:pPr>
        <w:jc w:val="center"/>
        <w:rPr>
          <w:rFonts w:ascii="Arial" w:hAnsi="Arial"/>
        </w:rPr>
      </w:pPr>
    </w:p>
    <w:p w:rsidR="00463AB9" w:rsidRDefault="00463AB9" w:rsidP="003A596A">
      <w:pPr>
        <w:jc w:val="center"/>
        <w:rPr>
          <w:rFonts w:ascii="Arial" w:hAnsi="Arial"/>
        </w:rPr>
      </w:pPr>
    </w:p>
    <w:p w:rsidR="00463AB9" w:rsidRDefault="00463AB9" w:rsidP="003A596A">
      <w:pPr>
        <w:jc w:val="center"/>
        <w:rPr>
          <w:rFonts w:ascii="Arial" w:hAnsi="Arial"/>
        </w:rPr>
      </w:pPr>
    </w:p>
    <w:p w:rsidR="00746B2D" w:rsidRDefault="00746B2D">
      <w:pPr>
        <w:rPr>
          <w:rFonts w:ascii="Arial" w:hAnsi="Arial"/>
        </w:rPr>
      </w:pPr>
      <w:r>
        <w:rPr>
          <w:rFonts w:ascii="Arial" w:hAnsi="Arial"/>
        </w:rPr>
        <w:br w:type="page"/>
      </w:r>
    </w:p>
    <w:p w:rsidR="003A596A" w:rsidRPr="00592ACC" w:rsidRDefault="00592ACC" w:rsidP="003A596A">
      <w:pPr>
        <w:jc w:val="center"/>
        <w:rPr>
          <w:rFonts w:ascii="Arial Narrow" w:hAnsi="Arial Narrow"/>
          <w:b/>
          <w:sz w:val="20"/>
          <w:szCs w:val="20"/>
        </w:rPr>
      </w:pPr>
      <w:r w:rsidRPr="00592ACC">
        <w:rPr>
          <w:rFonts w:ascii="Arial Narrow" w:hAnsi="Arial Narrow"/>
          <w:b/>
          <w:sz w:val="20"/>
          <w:szCs w:val="20"/>
          <w:u w:val="single"/>
        </w:rPr>
        <w:t>TABLEAU</w:t>
      </w:r>
      <w:r>
        <w:rPr>
          <w:rFonts w:ascii="Arial Narrow" w:hAnsi="Arial Narrow"/>
          <w:b/>
          <w:sz w:val="20"/>
          <w:szCs w:val="20"/>
          <w:u w:val="single"/>
        </w:rPr>
        <w:t xml:space="preserve"> 3.2</w:t>
      </w:r>
      <w:r w:rsidR="003A596A" w:rsidRPr="00592ACC">
        <w:rPr>
          <w:rFonts w:ascii="Arial Narrow" w:hAnsi="Arial Narrow"/>
          <w:b/>
          <w:sz w:val="20"/>
          <w:szCs w:val="20"/>
        </w:rPr>
        <w:t>: Taux d’exécution globale et de variation des transferts de 2012 à 2014</w:t>
      </w:r>
    </w:p>
    <w:p w:rsidR="003A596A" w:rsidRPr="004F0354" w:rsidRDefault="003A596A" w:rsidP="003A596A">
      <w:pPr>
        <w:rPr>
          <w:rFonts w:ascii="Arial" w:hAnsi="Arial"/>
          <w:sz w:val="18"/>
          <w:szCs w:val="20"/>
        </w:rPr>
      </w:pPr>
    </w:p>
    <w:tbl>
      <w:tblPr>
        <w:tblStyle w:val="TableGrid"/>
        <w:tblW w:w="5000" w:type="pct"/>
        <w:tblLook w:val="04A0" w:firstRow="1" w:lastRow="0" w:firstColumn="1" w:lastColumn="0" w:noHBand="0" w:noVBand="1"/>
      </w:tblPr>
      <w:tblGrid>
        <w:gridCol w:w="1194"/>
        <w:gridCol w:w="2468"/>
        <w:gridCol w:w="2302"/>
        <w:gridCol w:w="2141"/>
        <w:gridCol w:w="1245"/>
      </w:tblGrid>
      <w:tr w:rsidR="003A596A" w:rsidRPr="004F0354" w:rsidTr="00370022">
        <w:trPr>
          <w:trHeight w:val="576"/>
        </w:trPr>
        <w:tc>
          <w:tcPr>
            <w:tcW w:w="638" w:type="pct"/>
            <w:shd w:val="clear" w:color="auto" w:fill="0070C0"/>
          </w:tcPr>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Exercices</w:t>
            </w:r>
          </w:p>
        </w:tc>
        <w:tc>
          <w:tcPr>
            <w:tcW w:w="1320" w:type="pct"/>
            <w:shd w:val="clear" w:color="auto" w:fill="0070C0"/>
          </w:tcPr>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Prévisions globale</w:t>
            </w:r>
          </w:p>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(en millions de dirhams)</w:t>
            </w:r>
          </w:p>
        </w:tc>
        <w:tc>
          <w:tcPr>
            <w:tcW w:w="1231" w:type="pct"/>
            <w:shd w:val="clear" w:color="auto" w:fill="0070C0"/>
          </w:tcPr>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Réalisations totales</w:t>
            </w:r>
          </w:p>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(en millions de dirhams)</w:t>
            </w:r>
          </w:p>
        </w:tc>
        <w:tc>
          <w:tcPr>
            <w:tcW w:w="1145" w:type="pct"/>
            <w:shd w:val="clear" w:color="auto" w:fill="0070C0"/>
          </w:tcPr>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Taux d’exécution globale des transferts</w:t>
            </w:r>
          </w:p>
        </w:tc>
        <w:tc>
          <w:tcPr>
            <w:tcW w:w="666" w:type="pct"/>
            <w:shd w:val="clear" w:color="auto" w:fill="0070C0"/>
          </w:tcPr>
          <w:p w:rsidR="003A596A" w:rsidRPr="004F0354" w:rsidRDefault="003A596A" w:rsidP="003A596A">
            <w:pPr>
              <w:jc w:val="center"/>
              <w:rPr>
                <w:rFonts w:ascii="Arial" w:hAnsi="Arial"/>
                <w:b/>
                <w:color w:val="FFFFFF" w:themeColor="background1"/>
                <w:sz w:val="18"/>
                <w:szCs w:val="20"/>
              </w:rPr>
            </w:pPr>
            <w:r w:rsidRPr="004F0354">
              <w:rPr>
                <w:rFonts w:ascii="Arial" w:hAnsi="Arial"/>
                <w:b/>
                <w:color w:val="FFFFFF" w:themeColor="background1"/>
                <w:sz w:val="18"/>
                <w:szCs w:val="20"/>
              </w:rPr>
              <w:t>Ecarts</w:t>
            </w:r>
          </w:p>
        </w:tc>
      </w:tr>
      <w:tr w:rsidR="003A596A" w:rsidRPr="004F0354" w:rsidTr="00370022">
        <w:trPr>
          <w:trHeight w:val="728"/>
        </w:trPr>
        <w:tc>
          <w:tcPr>
            <w:tcW w:w="638" w:type="pct"/>
          </w:tcPr>
          <w:p w:rsidR="003A596A" w:rsidRPr="004F0354" w:rsidRDefault="003A596A" w:rsidP="00370022">
            <w:pPr>
              <w:jc w:val="center"/>
              <w:rPr>
                <w:rFonts w:ascii="Arial" w:hAnsi="Arial"/>
                <w:sz w:val="18"/>
                <w:szCs w:val="20"/>
              </w:rPr>
            </w:pPr>
            <w:r w:rsidRPr="004F0354">
              <w:rPr>
                <w:rFonts w:ascii="Arial" w:hAnsi="Arial"/>
                <w:sz w:val="18"/>
                <w:szCs w:val="20"/>
              </w:rPr>
              <w:t>2012</w:t>
            </w:r>
          </w:p>
          <w:p w:rsidR="003A596A" w:rsidRPr="004F0354" w:rsidRDefault="003A596A" w:rsidP="00370022">
            <w:pPr>
              <w:jc w:val="center"/>
              <w:rPr>
                <w:rFonts w:ascii="Arial" w:hAnsi="Arial"/>
                <w:sz w:val="18"/>
                <w:szCs w:val="20"/>
              </w:rPr>
            </w:pPr>
            <w:r w:rsidRPr="004F0354">
              <w:rPr>
                <w:rFonts w:ascii="Arial" w:hAnsi="Arial"/>
                <w:sz w:val="18"/>
                <w:szCs w:val="20"/>
              </w:rPr>
              <w:t>2013</w:t>
            </w:r>
          </w:p>
          <w:p w:rsidR="003A596A" w:rsidRPr="004F0354" w:rsidRDefault="003A596A" w:rsidP="00370022">
            <w:pPr>
              <w:jc w:val="center"/>
              <w:rPr>
                <w:rFonts w:ascii="Arial" w:hAnsi="Arial"/>
                <w:sz w:val="18"/>
                <w:szCs w:val="20"/>
              </w:rPr>
            </w:pPr>
            <w:r w:rsidRPr="004F0354">
              <w:rPr>
                <w:rFonts w:ascii="Arial" w:hAnsi="Arial"/>
                <w:sz w:val="18"/>
                <w:szCs w:val="20"/>
              </w:rPr>
              <w:t>2014</w:t>
            </w:r>
          </w:p>
        </w:tc>
        <w:tc>
          <w:tcPr>
            <w:tcW w:w="1320" w:type="pct"/>
          </w:tcPr>
          <w:p w:rsidR="003A596A" w:rsidRPr="004F0354" w:rsidRDefault="003A596A" w:rsidP="00370022">
            <w:pPr>
              <w:jc w:val="center"/>
              <w:rPr>
                <w:rFonts w:ascii="Arial" w:hAnsi="Arial"/>
                <w:sz w:val="18"/>
                <w:szCs w:val="20"/>
              </w:rPr>
            </w:pPr>
            <w:r w:rsidRPr="004F0354">
              <w:rPr>
                <w:rFonts w:ascii="Arial" w:hAnsi="Arial"/>
                <w:sz w:val="18"/>
                <w:szCs w:val="20"/>
              </w:rPr>
              <w:t>351,0</w:t>
            </w:r>
          </w:p>
          <w:p w:rsidR="003A596A" w:rsidRPr="004F0354" w:rsidRDefault="003A596A" w:rsidP="00370022">
            <w:pPr>
              <w:jc w:val="center"/>
              <w:rPr>
                <w:rFonts w:ascii="Arial" w:hAnsi="Arial"/>
                <w:sz w:val="18"/>
                <w:szCs w:val="20"/>
              </w:rPr>
            </w:pPr>
            <w:r w:rsidRPr="004F0354">
              <w:rPr>
                <w:rFonts w:ascii="Arial" w:hAnsi="Arial"/>
                <w:sz w:val="18"/>
                <w:szCs w:val="20"/>
              </w:rPr>
              <w:t>373,5</w:t>
            </w:r>
          </w:p>
          <w:p w:rsidR="003A596A" w:rsidRPr="004F0354" w:rsidRDefault="003A596A" w:rsidP="00370022">
            <w:pPr>
              <w:jc w:val="center"/>
              <w:rPr>
                <w:rFonts w:ascii="Arial" w:hAnsi="Arial"/>
                <w:sz w:val="18"/>
                <w:szCs w:val="20"/>
              </w:rPr>
            </w:pPr>
            <w:r w:rsidRPr="004F0354">
              <w:rPr>
                <w:rFonts w:ascii="Arial" w:hAnsi="Arial"/>
                <w:sz w:val="18"/>
                <w:szCs w:val="20"/>
              </w:rPr>
              <w:t>381,9</w:t>
            </w:r>
          </w:p>
        </w:tc>
        <w:tc>
          <w:tcPr>
            <w:tcW w:w="1231" w:type="pct"/>
          </w:tcPr>
          <w:p w:rsidR="003A596A" w:rsidRPr="004F0354" w:rsidRDefault="003A596A" w:rsidP="00370022">
            <w:pPr>
              <w:jc w:val="center"/>
              <w:rPr>
                <w:rFonts w:ascii="Arial" w:hAnsi="Arial"/>
                <w:sz w:val="18"/>
                <w:szCs w:val="20"/>
              </w:rPr>
            </w:pPr>
            <w:r w:rsidRPr="004F0354">
              <w:rPr>
                <w:rFonts w:ascii="Arial" w:hAnsi="Arial"/>
                <w:sz w:val="18"/>
                <w:szCs w:val="20"/>
              </w:rPr>
              <w:t>1036,6</w:t>
            </w:r>
          </w:p>
          <w:p w:rsidR="003A596A" w:rsidRPr="004F0354" w:rsidRDefault="003A596A" w:rsidP="00370022">
            <w:pPr>
              <w:jc w:val="center"/>
              <w:rPr>
                <w:rFonts w:ascii="Arial" w:hAnsi="Arial"/>
                <w:sz w:val="18"/>
                <w:szCs w:val="20"/>
              </w:rPr>
            </w:pPr>
            <w:r w:rsidRPr="004F0354">
              <w:rPr>
                <w:rFonts w:ascii="Arial" w:hAnsi="Arial"/>
                <w:sz w:val="18"/>
                <w:szCs w:val="20"/>
              </w:rPr>
              <w:t>687,7</w:t>
            </w:r>
          </w:p>
          <w:p w:rsidR="003A596A" w:rsidRPr="004F0354" w:rsidRDefault="003A596A" w:rsidP="00370022">
            <w:pPr>
              <w:jc w:val="center"/>
              <w:rPr>
                <w:rFonts w:ascii="Arial" w:hAnsi="Arial"/>
                <w:sz w:val="18"/>
                <w:szCs w:val="20"/>
              </w:rPr>
            </w:pPr>
            <w:r w:rsidRPr="004F0354">
              <w:rPr>
                <w:rFonts w:ascii="Arial" w:hAnsi="Arial"/>
                <w:sz w:val="18"/>
                <w:szCs w:val="20"/>
              </w:rPr>
              <w:t>643,3</w:t>
            </w:r>
          </w:p>
        </w:tc>
        <w:tc>
          <w:tcPr>
            <w:tcW w:w="1145" w:type="pct"/>
          </w:tcPr>
          <w:p w:rsidR="003A596A" w:rsidRPr="004F0354" w:rsidRDefault="003A596A" w:rsidP="00370022">
            <w:pPr>
              <w:jc w:val="center"/>
              <w:rPr>
                <w:rFonts w:ascii="Arial" w:hAnsi="Arial"/>
                <w:sz w:val="18"/>
                <w:szCs w:val="20"/>
              </w:rPr>
            </w:pPr>
            <w:r w:rsidRPr="004F0354">
              <w:rPr>
                <w:rFonts w:ascii="Arial" w:hAnsi="Arial"/>
                <w:sz w:val="18"/>
                <w:szCs w:val="20"/>
              </w:rPr>
              <w:t>295,32%</w:t>
            </w:r>
          </w:p>
          <w:p w:rsidR="003A596A" w:rsidRPr="004F0354" w:rsidRDefault="003A596A" w:rsidP="00370022">
            <w:pPr>
              <w:jc w:val="center"/>
              <w:rPr>
                <w:rFonts w:ascii="Arial" w:hAnsi="Arial"/>
                <w:sz w:val="18"/>
                <w:szCs w:val="20"/>
              </w:rPr>
            </w:pPr>
            <w:r w:rsidRPr="004F0354">
              <w:rPr>
                <w:rFonts w:ascii="Arial" w:hAnsi="Arial"/>
                <w:sz w:val="18"/>
                <w:szCs w:val="20"/>
              </w:rPr>
              <w:t>184,12%</w:t>
            </w:r>
          </w:p>
          <w:p w:rsidR="003A596A" w:rsidRPr="004F0354" w:rsidRDefault="003A596A" w:rsidP="00370022">
            <w:pPr>
              <w:jc w:val="center"/>
              <w:rPr>
                <w:rFonts w:ascii="Arial" w:hAnsi="Arial"/>
                <w:sz w:val="18"/>
                <w:szCs w:val="20"/>
              </w:rPr>
            </w:pPr>
            <w:r w:rsidRPr="004F0354">
              <w:rPr>
                <w:rFonts w:ascii="Arial" w:hAnsi="Arial"/>
                <w:sz w:val="18"/>
                <w:szCs w:val="20"/>
              </w:rPr>
              <w:t>168,44%</w:t>
            </w:r>
          </w:p>
        </w:tc>
        <w:tc>
          <w:tcPr>
            <w:tcW w:w="666" w:type="pct"/>
          </w:tcPr>
          <w:p w:rsidR="003A596A" w:rsidRPr="004F0354" w:rsidRDefault="003A596A" w:rsidP="00370022">
            <w:pPr>
              <w:jc w:val="center"/>
              <w:rPr>
                <w:rFonts w:ascii="Arial" w:hAnsi="Arial"/>
                <w:sz w:val="18"/>
                <w:szCs w:val="20"/>
              </w:rPr>
            </w:pPr>
            <w:r w:rsidRPr="004F0354">
              <w:rPr>
                <w:rFonts w:ascii="Arial" w:hAnsi="Arial"/>
                <w:sz w:val="18"/>
                <w:szCs w:val="20"/>
              </w:rPr>
              <w:t>+195,32%</w:t>
            </w:r>
          </w:p>
          <w:p w:rsidR="003A596A" w:rsidRPr="004F0354" w:rsidRDefault="003A596A" w:rsidP="00370022">
            <w:pPr>
              <w:jc w:val="center"/>
              <w:rPr>
                <w:rFonts w:ascii="Arial" w:hAnsi="Arial"/>
                <w:sz w:val="18"/>
                <w:szCs w:val="20"/>
              </w:rPr>
            </w:pPr>
            <w:r w:rsidRPr="004F0354">
              <w:rPr>
                <w:rFonts w:ascii="Arial" w:hAnsi="Arial"/>
                <w:sz w:val="18"/>
                <w:szCs w:val="20"/>
              </w:rPr>
              <w:t>+84,12%</w:t>
            </w:r>
          </w:p>
          <w:p w:rsidR="003A596A" w:rsidRPr="004F0354" w:rsidRDefault="003A596A" w:rsidP="00370022">
            <w:pPr>
              <w:jc w:val="center"/>
              <w:rPr>
                <w:rFonts w:ascii="Arial" w:hAnsi="Arial"/>
                <w:sz w:val="18"/>
                <w:szCs w:val="20"/>
              </w:rPr>
            </w:pPr>
            <w:r w:rsidRPr="004F0354">
              <w:rPr>
                <w:rFonts w:ascii="Arial" w:hAnsi="Arial"/>
                <w:sz w:val="18"/>
                <w:szCs w:val="20"/>
              </w:rPr>
              <w:t>+68,44%</w:t>
            </w:r>
          </w:p>
        </w:tc>
      </w:tr>
    </w:tbl>
    <w:p w:rsidR="003A596A" w:rsidRPr="00A17E25" w:rsidRDefault="003A596A" w:rsidP="003A596A">
      <w:pPr>
        <w:jc w:val="center"/>
        <w:rPr>
          <w:rFonts w:ascii="Arial" w:hAnsi="Arial"/>
          <w:iCs/>
          <w:sz w:val="20"/>
          <w:szCs w:val="20"/>
        </w:rPr>
      </w:pPr>
      <w:r w:rsidRPr="00A17E25">
        <w:rPr>
          <w:rFonts w:ascii="Arial" w:hAnsi="Arial"/>
          <w:iCs/>
          <w:sz w:val="20"/>
          <w:szCs w:val="20"/>
          <w:u w:val="single"/>
        </w:rPr>
        <w:t>Source :</w:t>
      </w:r>
      <w:r w:rsidRPr="00A17E25">
        <w:rPr>
          <w:rFonts w:ascii="Arial" w:hAnsi="Arial"/>
          <w:iCs/>
          <w:sz w:val="20"/>
          <w:szCs w:val="20"/>
        </w:rPr>
        <w:t xml:space="preserve"> Taux calculés par la mission </w:t>
      </w:r>
    </w:p>
    <w:p w:rsidR="003A596A" w:rsidRPr="00A17E25" w:rsidRDefault="003A596A" w:rsidP="003A596A">
      <w:pPr>
        <w:rPr>
          <w:rFonts w:ascii="Arial" w:hAnsi="Arial"/>
          <w:iCs/>
        </w:rPr>
      </w:pPr>
    </w:p>
    <w:p w:rsidR="003A596A" w:rsidRPr="00A17E25" w:rsidRDefault="003A596A" w:rsidP="003A596A">
      <w:pPr>
        <w:jc w:val="both"/>
        <w:rPr>
          <w:rFonts w:ascii="Arial" w:hAnsi="Arial"/>
          <w:iCs/>
        </w:rPr>
      </w:pPr>
      <w:r w:rsidRPr="00A17E25">
        <w:rPr>
          <w:rFonts w:ascii="Arial" w:hAnsi="Arial"/>
          <w:iCs/>
        </w:rPr>
        <w:t xml:space="preserve">De ce tableau, il ressort que les transferts alloués par le Gouvernement central à la Commune  de Casablanca  au titre de la part de la TVA qui lui revient ont été globalement exécutés à 295,32% en 2012, 184,12% en 2013 et 168,44% en 2014, dégageant ainsi de 2012 à 2014 des écarts positifs respectifs de 195,32%, 84,12% et 68,44%. Ces forts taux de réalisation de ces transferts sont dus au fait que la dotation spéciale destinée au financement des dépenses d’équipement ne fait pas l’objet de prévision dans le budget initialement approuvé, mais est prise en compte en cours d’année au fur et à mesure de l’exécution de ces dépenses. En outre, il importe de faire remarquer que la part de la dotation TVA inscrite à la première partie du budget (Fonctionnement) a été mobilisée à 100% en 2012 et en 2013, et à 139,80% en 2014. La mobilisation de cette dotation non affectée </w:t>
      </w:r>
      <w:r w:rsidR="00A71697" w:rsidRPr="00A17E25">
        <w:rPr>
          <w:rFonts w:ascii="Arial" w:hAnsi="Arial"/>
          <w:iCs/>
        </w:rPr>
        <w:t>au-delà</w:t>
      </w:r>
      <w:r w:rsidRPr="00A17E25">
        <w:rPr>
          <w:rFonts w:ascii="Arial" w:hAnsi="Arial"/>
          <w:iCs/>
        </w:rPr>
        <w:t xml:space="preserve"> des prévisions initiales (140% environ) en 2014 est due principalement à l’allocation en cours d’année à titre exceptionnel des subventions suivantes : </w:t>
      </w:r>
    </w:p>
    <w:p w:rsidR="003A596A" w:rsidRPr="00A17E25" w:rsidRDefault="003A596A" w:rsidP="00151AD3">
      <w:pPr>
        <w:pStyle w:val="ListParagraph"/>
        <w:numPr>
          <w:ilvl w:val="0"/>
          <w:numId w:val="10"/>
        </w:numPr>
        <w:jc w:val="both"/>
        <w:rPr>
          <w:rFonts w:ascii="Arial" w:hAnsi="Arial"/>
          <w:iCs/>
        </w:rPr>
      </w:pPr>
      <w:r w:rsidRPr="00A17E25">
        <w:rPr>
          <w:rFonts w:ascii="Arial" w:hAnsi="Arial"/>
          <w:iCs/>
        </w:rPr>
        <w:t>30 millions de dirhams pour la gestion de la mosquée Hassan II ;</w:t>
      </w:r>
    </w:p>
    <w:p w:rsidR="003A596A" w:rsidRPr="00A17E25" w:rsidRDefault="003A596A" w:rsidP="00151AD3">
      <w:pPr>
        <w:pStyle w:val="ListParagraph"/>
        <w:numPr>
          <w:ilvl w:val="0"/>
          <w:numId w:val="10"/>
        </w:numPr>
        <w:jc w:val="both"/>
        <w:rPr>
          <w:rFonts w:ascii="Arial" w:hAnsi="Arial"/>
          <w:iCs/>
        </w:rPr>
      </w:pPr>
      <w:r w:rsidRPr="00A17E25">
        <w:rPr>
          <w:rFonts w:ascii="Arial" w:hAnsi="Arial"/>
          <w:iCs/>
        </w:rPr>
        <w:t>10 millions de dirhams pour faire face à la faillite du concessionnaire des abattoirs ;</w:t>
      </w:r>
    </w:p>
    <w:p w:rsidR="003A596A" w:rsidRPr="00A17E25" w:rsidRDefault="003A596A" w:rsidP="00151AD3">
      <w:pPr>
        <w:pStyle w:val="ListParagraph"/>
        <w:numPr>
          <w:ilvl w:val="0"/>
          <w:numId w:val="10"/>
        </w:numPr>
        <w:jc w:val="both"/>
        <w:rPr>
          <w:rFonts w:ascii="Arial" w:hAnsi="Arial"/>
          <w:iCs/>
        </w:rPr>
      </w:pPr>
      <w:r w:rsidRPr="00A17E25">
        <w:rPr>
          <w:rFonts w:ascii="Arial" w:hAnsi="Arial"/>
          <w:iCs/>
        </w:rPr>
        <w:t>112 millions de dirhams de dotation complémentaire aux arrondissements pour la couverture de travaux d’entretien et de voirie.</w:t>
      </w:r>
    </w:p>
    <w:p w:rsidR="003A596A" w:rsidRPr="00A17E25" w:rsidRDefault="003A596A" w:rsidP="003A596A">
      <w:pPr>
        <w:jc w:val="both"/>
        <w:rPr>
          <w:rFonts w:ascii="Arial" w:hAnsi="Arial"/>
          <w:iCs/>
        </w:rPr>
      </w:pPr>
    </w:p>
    <w:p w:rsidR="003A596A" w:rsidRPr="00A17E25" w:rsidRDefault="003A596A" w:rsidP="003A596A">
      <w:pPr>
        <w:jc w:val="both"/>
        <w:rPr>
          <w:rFonts w:ascii="Arial" w:hAnsi="Arial"/>
          <w:iCs/>
        </w:rPr>
      </w:pPr>
      <w:r w:rsidRPr="00A17E25">
        <w:rPr>
          <w:rFonts w:ascii="Arial" w:hAnsi="Arial"/>
          <w:iCs/>
        </w:rPr>
        <w:t xml:space="preserve">En conclusion, de 2012 à 2014, les transferts effectifs de l’Etat au profit de la Commune  de Casablanca  ont été largement supérieurs aux prévisions initiales du fait de la non inscription au budget initial des dotations spéciales destinées au financement des dépenses d’équipement. En ce qui concerne les transferts non affectés qui font l’objet de prévisions au budget </w:t>
      </w:r>
      <w:r w:rsidR="00D8102C">
        <w:rPr>
          <w:rFonts w:ascii="Arial" w:hAnsi="Arial"/>
          <w:iCs/>
        </w:rPr>
        <w:t>initial</w:t>
      </w:r>
      <w:r w:rsidRPr="00A17E25">
        <w:rPr>
          <w:rFonts w:ascii="Arial" w:hAnsi="Arial"/>
          <w:iCs/>
        </w:rPr>
        <w:t>, ils ont été mobilisés à 100% en 2012 et 2013, et à quasiment 140% en 2014.</w:t>
      </w:r>
    </w:p>
    <w:p w:rsidR="003A596A" w:rsidRPr="00A17E25" w:rsidRDefault="003A596A" w:rsidP="003A596A">
      <w:pPr>
        <w:rPr>
          <w:rFonts w:ascii="Arial" w:hAnsi="Arial"/>
          <w:iCs/>
        </w:rPr>
      </w:pPr>
    </w:p>
    <w:p w:rsidR="003A596A" w:rsidRDefault="003A596A" w:rsidP="003A596A">
      <w:pPr>
        <w:pStyle w:val="Heading1"/>
        <w:spacing w:before="0"/>
        <w:ind w:left="288" w:hanging="288"/>
        <w:rPr>
          <w:b w:val="0"/>
          <w:bCs w:val="0"/>
          <w:i/>
          <w:iCs/>
          <w:color w:val="0070C0"/>
          <w:sz w:val="24"/>
          <w:szCs w:val="24"/>
        </w:rPr>
      </w:pPr>
      <w:r w:rsidRPr="004B57C3">
        <w:rPr>
          <w:b w:val="0"/>
          <w:bCs w:val="0"/>
          <w:i/>
          <w:iCs/>
          <w:color w:val="0070C0"/>
          <w:sz w:val="24"/>
          <w:szCs w:val="24"/>
        </w:rPr>
        <w:t>ii)</w:t>
      </w:r>
      <w:r w:rsidR="00592ACC" w:rsidRPr="004B57C3">
        <w:rPr>
          <w:b w:val="0"/>
          <w:bCs w:val="0"/>
          <w:i/>
          <w:iCs/>
          <w:color w:val="0070C0"/>
          <w:sz w:val="24"/>
          <w:szCs w:val="24"/>
        </w:rPr>
        <w:t xml:space="preserve"> </w:t>
      </w:r>
      <w:bookmarkStart w:id="93" w:name="_Toc409814992"/>
      <w:bookmarkStart w:id="94" w:name="_Toc409961581"/>
      <w:bookmarkStart w:id="95" w:name="_Toc434916104"/>
      <w:bookmarkStart w:id="96" w:name="_Toc434918318"/>
      <w:r w:rsidRPr="004B57C3">
        <w:rPr>
          <w:b w:val="0"/>
          <w:bCs w:val="0"/>
          <w:iCs/>
          <w:color w:val="0070C0"/>
          <w:sz w:val="24"/>
          <w:szCs w:val="24"/>
        </w:rPr>
        <w:t>Variation</w:t>
      </w:r>
      <w:r w:rsidRPr="004B57C3">
        <w:rPr>
          <w:b w:val="0"/>
          <w:bCs w:val="0"/>
          <w:i/>
          <w:iCs/>
          <w:color w:val="0070C0"/>
          <w:sz w:val="24"/>
          <w:szCs w:val="24"/>
        </w:rPr>
        <w:t xml:space="preserve"> annuelle entre les estimations de transferts de dons et les transferts réels de dons</w:t>
      </w:r>
      <w:bookmarkStart w:id="97" w:name="_Toc409814993"/>
      <w:bookmarkStart w:id="98" w:name="_Toc409961582"/>
      <w:bookmarkEnd w:id="93"/>
      <w:bookmarkEnd w:id="94"/>
      <w:bookmarkEnd w:id="95"/>
      <w:bookmarkEnd w:id="96"/>
    </w:p>
    <w:p w:rsidR="001F3A83" w:rsidRPr="001F3A83" w:rsidRDefault="001F3A83" w:rsidP="001F3A83"/>
    <w:p w:rsidR="003A596A" w:rsidRPr="00A17E25" w:rsidRDefault="003A596A" w:rsidP="004F0354">
      <w:pPr>
        <w:pStyle w:val="Heading1"/>
        <w:spacing w:before="0"/>
        <w:jc w:val="both"/>
        <w:rPr>
          <w:b w:val="0"/>
          <w:bCs w:val="0"/>
          <w:iCs/>
          <w:sz w:val="24"/>
          <w:szCs w:val="24"/>
        </w:rPr>
      </w:pPr>
      <w:bookmarkStart w:id="99" w:name="_Toc434916105"/>
      <w:bookmarkStart w:id="100" w:name="_Toc434918319"/>
      <w:r w:rsidRPr="00A17E25">
        <w:rPr>
          <w:b w:val="0"/>
          <w:bCs w:val="0"/>
          <w:iCs/>
          <w:sz w:val="24"/>
          <w:szCs w:val="24"/>
        </w:rPr>
        <w:t>La variation annuelle des estimations de transfert et des transferts réels a été calculée en utilisant la feuille de calcul du PI-2 et sur la ba</w:t>
      </w:r>
      <w:r w:rsidR="004F0354">
        <w:rPr>
          <w:b w:val="0"/>
          <w:bCs w:val="0"/>
          <w:iCs/>
          <w:sz w:val="24"/>
          <w:szCs w:val="24"/>
        </w:rPr>
        <w:t>se des considérations suivantes</w:t>
      </w:r>
      <w:r w:rsidRPr="00A17E25">
        <w:rPr>
          <w:b w:val="0"/>
          <w:bCs w:val="0"/>
          <w:iCs/>
          <w:sz w:val="24"/>
          <w:szCs w:val="24"/>
        </w:rPr>
        <w:t>:</w:t>
      </w:r>
      <w:bookmarkEnd w:id="99"/>
      <w:bookmarkEnd w:id="100"/>
      <w:r w:rsidRPr="00A17E25">
        <w:rPr>
          <w:b w:val="0"/>
          <w:bCs w:val="0"/>
          <w:iCs/>
          <w:sz w:val="24"/>
          <w:szCs w:val="24"/>
        </w:rPr>
        <w:t xml:space="preserve"> </w:t>
      </w:r>
    </w:p>
    <w:p w:rsidR="003A596A" w:rsidRPr="00A17E25" w:rsidRDefault="003A596A" w:rsidP="00151AD3">
      <w:pPr>
        <w:pStyle w:val="ListParagraph"/>
        <w:numPr>
          <w:ilvl w:val="0"/>
          <w:numId w:val="11"/>
        </w:numPr>
        <w:jc w:val="both"/>
        <w:rPr>
          <w:rFonts w:ascii="Arial" w:hAnsi="Arial"/>
        </w:rPr>
      </w:pPr>
      <w:r w:rsidRPr="00A17E25">
        <w:rPr>
          <w:rFonts w:ascii="Arial" w:hAnsi="Arial"/>
        </w:rPr>
        <w:t>La dotation globale TVA fonctionnement non affectée a été considérée comme une composante d’affectation ;</w:t>
      </w:r>
    </w:p>
    <w:p w:rsidR="003A596A" w:rsidRPr="00A17E25" w:rsidRDefault="003A596A" w:rsidP="00151AD3">
      <w:pPr>
        <w:pStyle w:val="ListParagraph"/>
        <w:numPr>
          <w:ilvl w:val="0"/>
          <w:numId w:val="11"/>
        </w:numPr>
        <w:jc w:val="both"/>
        <w:rPr>
          <w:rFonts w:ascii="Arial" w:hAnsi="Arial"/>
        </w:rPr>
      </w:pPr>
      <w:r w:rsidRPr="00A17E25">
        <w:rPr>
          <w:rFonts w:ascii="Arial" w:hAnsi="Arial"/>
        </w:rPr>
        <w:t>La dotation spéciale destinée à l’équipement a été ventilée par domaine d’intervention.</w:t>
      </w:r>
    </w:p>
    <w:p w:rsidR="003A596A" w:rsidRPr="00A17E25" w:rsidRDefault="003A596A"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Le tableau ci-dessous présente la variation des prévisions de transferts prévus et des transferts effectivement reçus de 2012 à 2014 telle qu’elle ressort de la feuille de calcul qui est annexée au présent rapport.</w:t>
      </w:r>
    </w:p>
    <w:p w:rsidR="003A596A" w:rsidRPr="00592ACC" w:rsidRDefault="00592ACC" w:rsidP="003A596A">
      <w:pPr>
        <w:pStyle w:val="Heading1"/>
        <w:ind w:left="284" w:hanging="284"/>
        <w:jc w:val="center"/>
        <w:rPr>
          <w:rFonts w:ascii="Arial Narrow" w:hAnsi="Arial Narrow"/>
          <w:bCs w:val="0"/>
          <w:iCs/>
          <w:sz w:val="20"/>
          <w:szCs w:val="20"/>
        </w:rPr>
      </w:pPr>
      <w:bookmarkStart w:id="101" w:name="_Toc434916106"/>
      <w:bookmarkStart w:id="102" w:name="_Toc434918320"/>
      <w:r w:rsidRPr="00592ACC">
        <w:rPr>
          <w:rFonts w:ascii="Arial Narrow" w:hAnsi="Arial Narrow"/>
          <w:bCs w:val="0"/>
          <w:iCs/>
          <w:sz w:val="20"/>
          <w:szCs w:val="20"/>
          <w:u w:val="single"/>
        </w:rPr>
        <w:t>TABLEAU</w:t>
      </w:r>
      <w:r w:rsidRPr="00592ACC">
        <w:rPr>
          <w:rFonts w:ascii="Arial Narrow" w:hAnsi="Arial Narrow"/>
          <w:bCs w:val="0"/>
          <w:iCs/>
          <w:sz w:val="20"/>
          <w:szCs w:val="20"/>
        </w:rPr>
        <w:t xml:space="preserve"> 3.3</w:t>
      </w:r>
      <w:r w:rsidR="003A596A" w:rsidRPr="00592ACC">
        <w:rPr>
          <w:rFonts w:ascii="Arial Narrow" w:hAnsi="Arial Narrow"/>
          <w:bCs w:val="0"/>
          <w:iCs/>
          <w:sz w:val="20"/>
          <w:szCs w:val="20"/>
        </w:rPr>
        <w:t>: Variation annuelle des prévisions de transfert et des transferts réels</w:t>
      </w:r>
      <w:bookmarkEnd w:id="101"/>
      <w:bookmarkEnd w:id="102"/>
    </w:p>
    <w:p w:rsidR="003A596A" w:rsidRPr="00A17E25" w:rsidRDefault="003A596A" w:rsidP="003A596A">
      <w:pPr>
        <w:rPr>
          <w:rFonts w:ascii="Arial" w:hAnsi="Arial"/>
          <w:sz w:val="20"/>
          <w:szCs w:val="20"/>
        </w:rPr>
      </w:pPr>
    </w:p>
    <w:tbl>
      <w:tblPr>
        <w:tblStyle w:val="TableGrid"/>
        <w:tblW w:w="5000" w:type="pct"/>
        <w:tblLook w:val="04A0" w:firstRow="1" w:lastRow="0" w:firstColumn="1" w:lastColumn="0" w:noHBand="0" w:noVBand="1"/>
      </w:tblPr>
      <w:tblGrid>
        <w:gridCol w:w="3183"/>
        <w:gridCol w:w="6167"/>
      </w:tblGrid>
      <w:tr w:rsidR="003A596A" w:rsidRPr="00A17E25" w:rsidTr="003A596A">
        <w:tc>
          <w:tcPr>
            <w:tcW w:w="1702"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Exercices</w:t>
            </w:r>
          </w:p>
        </w:tc>
        <w:tc>
          <w:tcPr>
            <w:tcW w:w="3298"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Décomposition de la variation</w:t>
            </w:r>
          </w:p>
        </w:tc>
      </w:tr>
      <w:tr w:rsidR="003A596A" w:rsidRPr="00A17E25" w:rsidTr="00370022">
        <w:trPr>
          <w:trHeight w:val="1471"/>
        </w:trPr>
        <w:tc>
          <w:tcPr>
            <w:tcW w:w="1702"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2012</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2013</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2014</w:t>
            </w:r>
          </w:p>
        </w:tc>
        <w:tc>
          <w:tcPr>
            <w:tcW w:w="3298"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132,3%</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91,4%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34,0%</w:t>
            </w:r>
          </w:p>
          <w:p w:rsidR="003A596A" w:rsidRPr="00A17E25" w:rsidRDefault="003A596A" w:rsidP="003A596A">
            <w:pPr>
              <w:rPr>
                <w:rFonts w:ascii="Arial" w:hAnsi="Arial"/>
                <w:sz w:val="20"/>
                <w:szCs w:val="20"/>
              </w:rPr>
            </w:pPr>
          </w:p>
        </w:tc>
      </w:tr>
    </w:tbl>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Pour les trois exercices couverts par l’évaluation, la variation annuelle des estimations de transfert par rapport aux transferts réels s’est établie à plus de 15% : 132,3% en 2012, 91,4% en 2013), et à 34,0% en 2014.</w:t>
      </w:r>
    </w:p>
    <w:p w:rsidR="003A596A" w:rsidRPr="00370022" w:rsidRDefault="003A596A" w:rsidP="003A596A">
      <w:pPr>
        <w:pStyle w:val="Heading1"/>
        <w:ind w:left="284" w:hanging="284"/>
        <w:rPr>
          <w:b w:val="0"/>
          <w:bCs w:val="0"/>
          <w:i/>
          <w:iCs/>
          <w:color w:val="0070C0"/>
          <w:sz w:val="24"/>
          <w:szCs w:val="24"/>
        </w:rPr>
      </w:pPr>
      <w:bookmarkStart w:id="103" w:name="_Toc434916107"/>
      <w:bookmarkStart w:id="104" w:name="_Toc434918321"/>
      <w:bookmarkEnd w:id="97"/>
      <w:bookmarkEnd w:id="98"/>
      <w:r w:rsidRPr="00370022">
        <w:rPr>
          <w:b w:val="0"/>
          <w:bCs w:val="0"/>
          <w:i/>
          <w:iCs/>
          <w:color w:val="0070C0"/>
          <w:sz w:val="24"/>
          <w:szCs w:val="24"/>
        </w:rPr>
        <w:t>iii) Ponctualité des transferts en provenance du Gouvernement Central (conformité avec le calendrier annuel de distribution des déboursements établi un mois au plus tard après le début de l’année fiscale de la Commune)</w:t>
      </w:r>
      <w:bookmarkEnd w:id="103"/>
      <w:bookmarkEnd w:id="104"/>
      <w:r w:rsidRPr="00370022">
        <w:rPr>
          <w:b w:val="0"/>
          <w:bCs w:val="0"/>
          <w:i/>
          <w:iCs/>
          <w:color w:val="0070C0"/>
          <w:sz w:val="24"/>
          <w:szCs w:val="24"/>
        </w:rPr>
        <w:t xml:space="preserve"> </w:t>
      </w:r>
    </w:p>
    <w:p w:rsidR="000F43FB" w:rsidRDefault="000F43FB"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 xml:space="preserve">Le calendrier de versement des dotations globales </w:t>
      </w:r>
      <w:r w:rsidR="00BF3460">
        <w:rPr>
          <w:rFonts w:ascii="Arial" w:hAnsi="Arial"/>
        </w:rPr>
        <w:t xml:space="preserve">de </w:t>
      </w:r>
      <w:r w:rsidRPr="00A17E25">
        <w:rPr>
          <w:rFonts w:ascii="Arial" w:hAnsi="Arial"/>
        </w:rPr>
        <w:t>TVA non conditionnelles au profit des collectivités locales est fixé par la note conjointe n° 16/DCPC/DER du 1</w:t>
      </w:r>
      <w:r w:rsidRPr="00A17E25">
        <w:rPr>
          <w:rFonts w:ascii="Arial" w:hAnsi="Arial"/>
          <w:vertAlign w:val="superscript"/>
        </w:rPr>
        <w:t>er</w:t>
      </w:r>
      <w:r w:rsidRPr="00A17E25">
        <w:rPr>
          <w:rFonts w:ascii="Arial" w:hAnsi="Arial"/>
        </w:rPr>
        <w:t xml:space="preserve"> avril 2008 de la Direction générale des collectivités locales et la Trésorerie générale du Royaume relative à la procédure de versement de la part de la TVA revenant aux collectivités locales. Suivant cette note, la dotation globale de la TVA doit être versée en quatre tranches trimestrielles égales le 15 janvier, le 30 mars, le 30 juin et le 30 août. En outre, la note conjointe n° 16/DCPC/DER fixe également la procédure de décaissement de la part TVA revenant aux collectivités locales. Suivant les informations obtenues de la TGR, les déblocages effectifs interviennent généralement avec quelques jours de retard, mais toujours dans le trimestre concerné. Cependant, la TGR n’a pu fournir à la mission que les informations relatives aux décaissements de l’exercice 2014 qui </w:t>
      </w:r>
      <w:r w:rsidR="00BF3460">
        <w:rPr>
          <w:rFonts w:ascii="Arial" w:hAnsi="Arial"/>
        </w:rPr>
        <w:t xml:space="preserve">sont </w:t>
      </w:r>
      <w:r w:rsidRPr="00A17E25">
        <w:rPr>
          <w:rFonts w:ascii="Arial" w:hAnsi="Arial"/>
        </w:rPr>
        <w:t>présentées dans le tableau ci-dessous.</w:t>
      </w:r>
    </w:p>
    <w:p w:rsidR="003A596A" w:rsidRPr="00A17E25" w:rsidRDefault="003A596A" w:rsidP="003A596A">
      <w:pPr>
        <w:rPr>
          <w:rFonts w:ascii="Arial" w:hAnsi="Arial"/>
        </w:rPr>
      </w:pPr>
    </w:p>
    <w:p w:rsidR="003821F1" w:rsidRDefault="003821F1">
      <w:pPr>
        <w:rPr>
          <w:rFonts w:ascii="Arial Narrow" w:hAnsi="Arial Narrow"/>
          <w:b/>
          <w:iCs/>
          <w:kern w:val="32"/>
          <w:sz w:val="20"/>
          <w:szCs w:val="20"/>
          <w:u w:val="single"/>
        </w:rPr>
      </w:pPr>
      <w:bookmarkStart w:id="105" w:name="_Toc434916108"/>
      <w:bookmarkStart w:id="106" w:name="_Toc434918322"/>
      <w:r>
        <w:rPr>
          <w:rFonts w:ascii="Arial Narrow" w:hAnsi="Arial Narrow"/>
          <w:bCs/>
          <w:iCs/>
          <w:sz w:val="20"/>
          <w:szCs w:val="20"/>
          <w:u w:val="single"/>
        </w:rPr>
        <w:br w:type="page"/>
      </w:r>
    </w:p>
    <w:p w:rsidR="003A596A" w:rsidRPr="00592ACC" w:rsidRDefault="00592ACC" w:rsidP="003A596A">
      <w:pPr>
        <w:pStyle w:val="Heading1"/>
        <w:ind w:left="284" w:hanging="284"/>
        <w:jc w:val="center"/>
        <w:rPr>
          <w:rFonts w:ascii="Arial Narrow" w:hAnsi="Arial Narrow"/>
          <w:sz w:val="20"/>
          <w:szCs w:val="20"/>
        </w:rPr>
      </w:pPr>
      <w:r w:rsidRPr="00592ACC">
        <w:rPr>
          <w:rFonts w:ascii="Arial Narrow" w:hAnsi="Arial Narrow"/>
          <w:bCs w:val="0"/>
          <w:iCs/>
          <w:sz w:val="20"/>
          <w:szCs w:val="20"/>
          <w:u w:val="single"/>
        </w:rPr>
        <w:t>TABLEAU</w:t>
      </w:r>
      <w:r>
        <w:rPr>
          <w:rFonts w:ascii="Arial Narrow" w:hAnsi="Arial Narrow"/>
          <w:bCs w:val="0"/>
          <w:iCs/>
          <w:sz w:val="20"/>
          <w:szCs w:val="20"/>
        </w:rPr>
        <w:t xml:space="preserve"> 3.4</w:t>
      </w:r>
      <w:r w:rsidR="003A596A" w:rsidRPr="00592ACC">
        <w:rPr>
          <w:rFonts w:ascii="Arial Narrow" w:hAnsi="Arial Narrow"/>
          <w:bCs w:val="0"/>
          <w:iCs/>
          <w:sz w:val="20"/>
          <w:szCs w:val="20"/>
        </w:rPr>
        <w:t> : Montants et date de versement de la dotation globale TVA de 2014</w:t>
      </w:r>
      <w:bookmarkEnd w:id="105"/>
      <w:bookmarkEnd w:id="106"/>
      <w:r w:rsidR="003A596A" w:rsidRPr="00592ACC">
        <w:rPr>
          <w:rFonts w:ascii="Arial Narrow" w:hAnsi="Arial Narrow"/>
          <w:bCs w:val="0"/>
          <w:iCs/>
          <w:sz w:val="20"/>
          <w:szCs w:val="20"/>
        </w:rPr>
        <w:t xml:space="preserve"> </w:t>
      </w:r>
    </w:p>
    <w:tbl>
      <w:tblPr>
        <w:tblStyle w:val="TableGrid"/>
        <w:tblW w:w="5000" w:type="pct"/>
        <w:tblLook w:val="04A0" w:firstRow="1" w:lastRow="0" w:firstColumn="1" w:lastColumn="0" w:noHBand="0" w:noVBand="1"/>
      </w:tblPr>
      <w:tblGrid>
        <w:gridCol w:w="1106"/>
        <w:gridCol w:w="1469"/>
        <w:gridCol w:w="1511"/>
        <w:gridCol w:w="1795"/>
        <w:gridCol w:w="1223"/>
        <w:gridCol w:w="2246"/>
      </w:tblGrid>
      <w:tr w:rsidR="003A596A" w:rsidRPr="00A17E25" w:rsidTr="003A596A">
        <w:tc>
          <w:tcPr>
            <w:tcW w:w="511"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Tranches</w:t>
            </w:r>
          </w:p>
        </w:tc>
        <w:tc>
          <w:tcPr>
            <w:tcW w:w="853"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Montants</w:t>
            </w:r>
          </w:p>
        </w:tc>
        <w:tc>
          <w:tcPr>
            <w:tcW w:w="875"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Dates de versement prévues</w:t>
            </w:r>
          </w:p>
        </w:tc>
        <w:tc>
          <w:tcPr>
            <w:tcW w:w="1027"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Dates de versement</w:t>
            </w:r>
          </w:p>
        </w:tc>
        <w:tc>
          <w:tcPr>
            <w:tcW w:w="721"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 xml:space="preserve">Retard </w:t>
            </w:r>
          </w:p>
        </w:tc>
        <w:tc>
          <w:tcPr>
            <w:tcW w:w="1013"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Retard pondéré</w:t>
            </w:r>
          </w:p>
        </w:tc>
      </w:tr>
      <w:tr w:rsidR="003A596A" w:rsidRPr="00A17E25" w:rsidTr="003A596A">
        <w:tc>
          <w:tcPr>
            <w:tcW w:w="511"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w:t>
            </w:r>
            <w:r w:rsidRPr="00A17E25">
              <w:rPr>
                <w:rFonts w:ascii="Arial" w:hAnsi="Arial"/>
                <w:sz w:val="20"/>
                <w:szCs w:val="20"/>
                <w:vertAlign w:val="superscript"/>
              </w:rPr>
              <w:t>ère</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w:t>
            </w:r>
            <w:r w:rsidRPr="00A17E25">
              <w:rPr>
                <w:rFonts w:ascii="Arial" w:hAnsi="Arial"/>
                <w:sz w:val="20"/>
                <w:szCs w:val="20"/>
                <w:vertAlign w:val="superscript"/>
              </w:rPr>
              <w:t>ième</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w:t>
            </w:r>
            <w:r w:rsidRPr="00A17E25">
              <w:rPr>
                <w:rFonts w:ascii="Arial" w:hAnsi="Arial"/>
                <w:sz w:val="20"/>
                <w:szCs w:val="20"/>
                <w:vertAlign w:val="superscript"/>
              </w:rPr>
              <w:t>ième</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4</w:t>
            </w:r>
            <w:r w:rsidRPr="00A17E25">
              <w:rPr>
                <w:rFonts w:ascii="Arial" w:hAnsi="Arial"/>
                <w:sz w:val="20"/>
                <w:szCs w:val="20"/>
                <w:vertAlign w:val="superscript"/>
              </w:rPr>
              <w:t>ième</w:t>
            </w:r>
          </w:p>
        </w:tc>
        <w:tc>
          <w:tcPr>
            <w:tcW w:w="853"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95 452 500 000</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95 452 500 000</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95 452 500 000</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95 452 500 000</w:t>
            </w:r>
          </w:p>
          <w:p w:rsidR="003A596A" w:rsidRPr="00A17E25" w:rsidRDefault="003A596A" w:rsidP="003A596A">
            <w:pPr>
              <w:jc w:val="center"/>
              <w:rPr>
                <w:rFonts w:ascii="Arial" w:hAnsi="Arial"/>
                <w:sz w:val="20"/>
                <w:szCs w:val="20"/>
              </w:rPr>
            </w:pPr>
          </w:p>
        </w:tc>
        <w:tc>
          <w:tcPr>
            <w:tcW w:w="875"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15 janvier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30 mars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30 juin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30 août 2014</w:t>
            </w:r>
          </w:p>
        </w:tc>
        <w:tc>
          <w:tcPr>
            <w:tcW w:w="1027"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12 février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24 avril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03 juillet 2014</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10 septembre 2014</w:t>
            </w:r>
          </w:p>
        </w:tc>
        <w:tc>
          <w:tcPr>
            <w:tcW w:w="721"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28 jours</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24 jours</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03 jours</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10 jours</w:t>
            </w:r>
          </w:p>
        </w:tc>
        <w:tc>
          <w:tcPr>
            <w:tcW w:w="1013"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(28/91,25)x100=30,7%</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(24/91,25)x100=26,3%</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(3/91,25)x100=3,3%</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 xml:space="preserve">(10/91,25)x100=10,9% </w:t>
            </w:r>
          </w:p>
          <w:p w:rsidR="003A596A" w:rsidRPr="00A17E25" w:rsidRDefault="003A596A" w:rsidP="003A596A">
            <w:pPr>
              <w:jc w:val="center"/>
              <w:rPr>
                <w:rFonts w:ascii="Arial" w:hAnsi="Arial"/>
                <w:sz w:val="20"/>
                <w:szCs w:val="20"/>
              </w:rPr>
            </w:pPr>
          </w:p>
        </w:tc>
      </w:tr>
      <w:tr w:rsidR="003A596A" w:rsidRPr="00A17E25" w:rsidTr="003A596A">
        <w:tc>
          <w:tcPr>
            <w:tcW w:w="3987" w:type="pct"/>
            <w:gridSpan w:val="5"/>
          </w:tcPr>
          <w:p w:rsidR="003A596A" w:rsidRPr="00A17E25" w:rsidRDefault="003A596A" w:rsidP="003A596A">
            <w:pPr>
              <w:jc w:val="center"/>
              <w:rPr>
                <w:rFonts w:ascii="Arial" w:hAnsi="Arial"/>
                <w:b/>
                <w:sz w:val="20"/>
                <w:szCs w:val="20"/>
              </w:rPr>
            </w:pPr>
            <w:r w:rsidRPr="00A17E25">
              <w:rPr>
                <w:rFonts w:ascii="Arial" w:hAnsi="Arial"/>
                <w:b/>
                <w:sz w:val="20"/>
                <w:szCs w:val="20"/>
              </w:rPr>
              <w:t>Moyenne pondérée</w:t>
            </w:r>
          </w:p>
        </w:tc>
        <w:tc>
          <w:tcPr>
            <w:tcW w:w="1013" w:type="pct"/>
          </w:tcPr>
          <w:p w:rsidR="003A596A" w:rsidRPr="00A17E25" w:rsidRDefault="003A596A" w:rsidP="003A596A">
            <w:pPr>
              <w:jc w:val="center"/>
              <w:rPr>
                <w:rFonts w:ascii="Arial" w:hAnsi="Arial"/>
                <w:b/>
                <w:sz w:val="20"/>
                <w:szCs w:val="20"/>
              </w:rPr>
            </w:pPr>
            <w:r w:rsidRPr="00A17E25">
              <w:rPr>
                <w:rFonts w:ascii="Arial" w:hAnsi="Arial"/>
                <w:b/>
                <w:sz w:val="20"/>
                <w:szCs w:val="20"/>
              </w:rPr>
              <w:t>17,8%</w:t>
            </w:r>
          </w:p>
        </w:tc>
      </w:tr>
    </w:tbl>
    <w:p w:rsidR="003A596A" w:rsidRPr="00A17E25" w:rsidRDefault="003A596A" w:rsidP="003A596A">
      <w:pPr>
        <w:jc w:val="center"/>
        <w:rPr>
          <w:rFonts w:ascii="Arial" w:hAnsi="Arial"/>
          <w:sz w:val="20"/>
          <w:szCs w:val="20"/>
        </w:rPr>
      </w:pPr>
      <w:r w:rsidRPr="00A17E25">
        <w:rPr>
          <w:rFonts w:ascii="Arial" w:hAnsi="Arial"/>
          <w:sz w:val="20"/>
          <w:szCs w:val="20"/>
          <w:u w:val="single"/>
        </w:rPr>
        <w:t>Source </w:t>
      </w:r>
      <w:r w:rsidRPr="00A17E25">
        <w:rPr>
          <w:rFonts w:ascii="Arial" w:hAnsi="Arial"/>
          <w:sz w:val="20"/>
          <w:szCs w:val="20"/>
        </w:rPr>
        <w:t>: Trésorerie générale</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La moyenne des retards pondérés des décaissements de la part TVA fonctionnement pour l’exercice 2014 est donc de 17,8%. L’indisponibilité des données n’a pas permis de calculer ce retard pour les exercices 2012 et 2013.</w:t>
      </w:r>
    </w:p>
    <w:p w:rsidR="003A596A" w:rsidRPr="00A17E25" w:rsidRDefault="003A596A"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 xml:space="preserve">S’agissant de la dotation spéciale affectée aux dépenses d’équipement, elle n’est pas prévue au budget </w:t>
      </w:r>
      <w:r w:rsidR="00D8102C">
        <w:rPr>
          <w:rFonts w:ascii="Arial" w:hAnsi="Arial"/>
        </w:rPr>
        <w:t>initial</w:t>
      </w:r>
      <w:r w:rsidRPr="00A17E25">
        <w:rPr>
          <w:rFonts w:ascii="Arial" w:hAnsi="Arial"/>
        </w:rPr>
        <w:t xml:space="preserve"> de la </w:t>
      </w:r>
      <w:r w:rsidR="00F86504">
        <w:rPr>
          <w:rFonts w:ascii="Arial" w:hAnsi="Arial"/>
        </w:rPr>
        <w:t>CC</w:t>
      </w:r>
      <w:r w:rsidRPr="00A17E25">
        <w:rPr>
          <w:rFonts w:ascii="Arial" w:hAnsi="Arial"/>
        </w:rPr>
        <w:t xml:space="preserve"> et il n’existe pas un calendrier fixe pour sa mobilisation. Ces versements se font au fur et à mesure de l’exécution des travaux qu’elle est destinée à financer. Elle n’est donc pas prise en compte pour la notation de cette composante.</w:t>
      </w:r>
    </w:p>
    <w:p w:rsidR="003A596A" w:rsidRPr="00A17E25" w:rsidRDefault="003A596A" w:rsidP="003A596A">
      <w:pPr>
        <w:rPr>
          <w:rFonts w:ascii="Arial" w:hAnsi="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960"/>
        <w:gridCol w:w="4316"/>
      </w:tblGrid>
      <w:tr w:rsidR="003A596A" w:rsidRPr="00A17E25" w:rsidTr="003A596A">
        <w:tc>
          <w:tcPr>
            <w:tcW w:w="408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Indicateur</w:t>
            </w:r>
          </w:p>
        </w:tc>
        <w:tc>
          <w:tcPr>
            <w:tcW w:w="96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316"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p w:rsidR="003A596A" w:rsidRPr="00A17E25" w:rsidRDefault="003A596A" w:rsidP="003A596A">
            <w:pPr>
              <w:jc w:val="center"/>
              <w:rPr>
                <w:rFonts w:ascii="Arial" w:hAnsi="Arial"/>
                <w:b/>
                <w:bCs/>
                <w:color w:val="FFFFFF"/>
                <w:sz w:val="20"/>
                <w:szCs w:val="20"/>
              </w:rPr>
            </w:pPr>
          </w:p>
        </w:tc>
      </w:tr>
      <w:tr w:rsidR="003A596A" w:rsidRPr="00A17E25" w:rsidTr="003A596A">
        <w:tc>
          <w:tcPr>
            <w:tcW w:w="4080" w:type="dxa"/>
          </w:tcPr>
          <w:p w:rsidR="003A596A" w:rsidRPr="00A17E25" w:rsidRDefault="003A596A" w:rsidP="003A596A">
            <w:pPr>
              <w:pStyle w:val="Heading1"/>
              <w:rPr>
                <w:sz w:val="20"/>
                <w:szCs w:val="20"/>
              </w:rPr>
            </w:pPr>
            <w:bookmarkStart w:id="107" w:name="_Toc409814994"/>
            <w:bookmarkStart w:id="108" w:name="_Toc409961583"/>
            <w:bookmarkStart w:id="109" w:name="_Toc434916109"/>
            <w:bookmarkStart w:id="110" w:name="_Toc434918323"/>
            <w:r w:rsidRPr="00A17E25">
              <w:rPr>
                <w:sz w:val="20"/>
                <w:szCs w:val="20"/>
              </w:rPr>
              <w:t>HLG-1 Prévisibilité des transferts du Gouvernement Central</w:t>
            </w:r>
            <w:bookmarkEnd w:id="107"/>
            <w:bookmarkEnd w:id="108"/>
            <w:bookmarkEnd w:id="109"/>
            <w:bookmarkEnd w:id="110"/>
          </w:p>
          <w:p w:rsidR="003A596A" w:rsidRPr="00A17E25" w:rsidRDefault="003A596A" w:rsidP="003A596A">
            <w:pPr>
              <w:rPr>
                <w:rFonts w:ascii="Arial" w:hAnsi="Arial"/>
                <w:sz w:val="20"/>
                <w:szCs w:val="20"/>
              </w:rPr>
            </w:pPr>
          </w:p>
        </w:tc>
        <w:tc>
          <w:tcPr>
            <w:tcW w:w="960" w:type="dxa"/>
            <w:vAlign w:val="center"/>
          </w:tcPr>
          <w:p w:rsidR="003A596A" w:rsidRPr="00A17E25" w:rsidRDefault="003A596A" w:rsidP="003A596A">
            <w:pPr>
              <w:jc w:val="center"/>
              <w:rPr>
                <w:rFonts w:ascii="Arial" w:hAnsi="Arial"/>
                <w:b/>
                <w:bCs/>
                <w:sz w:val="20"/>
                <w:szCs w:val="20"/>
              </w:rPr>
            </w:pPr>
            <w:r w:rsidRPr="00A17E25">
              <w:rPr>
                <w:rFonts w:ascii="Arial" w:hAnsi="Arial"/>
                <w:b/>
                <w:bCs/>
                <w:sz w:val="20"/>
                <w:szCs w:val="20"/>
              </w:rPr>
              <w:t>D</w:t>
            </w:r>
          </w:p>
          <w:p w:rsidR="003A596A" w:rsidRPr="00A17E25" w:rsidRDefault="003A596A" w:rsidP="003A596A">
            <w:pPr>
              <w:jc w:val="center"/>
              <w:rPr>
                <w:rFonts w:ascii="Arial" w:hAnsi="Arial"/>
                <w:b/>
                <w:bCs/>
                <w:sz w:val="20"/>
                <w:szCs w:val="20"/>
              </w:rPr>
            </w:pPr>
          </w:p>
        </w:tc>
        <w:tc>
          <w:tcPr>
            <w:tcW w:w="4316" w:type="dxa"/>
          </w:tcPr>
          <w:p w:rsidR="003A596A" w:rsidRPr="00A17E25" w:rsidRDefault="003A596A" w:rsidP="003A596A">
            <w:pP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c>
          <w:tcPr>
            <w:tcW w:w="4080" w:type="dxa"/>
          </w:tcPr>
          <w:p w:rsidR="003A596A" w:rsidRPr="00A17E25" w:rsidRDefault="003A596A" w:rsidP="003A596A">
            <w:pPr>
              <w:rPr>
                <w:rFonts w:ascii="Arial" w:hAnsi="Arial"/>
                <w:iCs/>
                <w:sz w:val="20"/>
                <w:szCs w:val="20"/>
              </w:rPr>
            </w:pPr>
            <w:r w:rsidRPr="00A17E25">
              <w:rPr>
                <w:rFonts w:ascii="Arial" w:hAnsi="Arial"/>
                <w:sz w:val="20"/>
                <w:szCs w:val="20"/>
              </w:rPr>
              <w:t xml:space="preserve">i) Déviation annuelle entre le total des transferts réels du Gouvernement Central et le montant des estimations totales des transferts communiqués à la Commune pour l’élaboration de son budget  </w:t>
            </w:r>
          </w:p>
        </w:tc>
        <w:tc>
          <w:tcPr>
            <w:tcW w:w="960" w:type="dxa"/>
            <w:vAlign w:val="center"/>
          </w:tcPr>
          <w:p w:rsidR="003A596A" w:rsidRPr="00A17E25" w:rsidRDefault="00CA3D61" w:rsidP="003A596A">
            <w:pPr>
              <w:jc w:val="center"/>
              <w:rPr>
                <w:rFonts w:ascii="Arial" w:hAnsi="Arial"/>
                <w:sz w:val="20"/>
                <w:szCs w:val="20"/>
              </w:rPr>
            </w:pPr>
            <w:r>
              <w:rPr>
                <w:rFonts w:ascii="Arial" w:hAnsi="Arial"/>
                <w:sz w:val="20"/>
                <w:szCs w:val="20"/>
              </w:rPr>
              <w:t>D</w:t>
            </w:r>
          </w:p>
        </w:tc>
        <w:tc>
          <w:tcPr>
            <w:tcW w:w="4316" w:type="dxa"/>
            <w:vAlign w:val="center"/>
          </w:tcPr>
          <w:p w:rsidR="003A596A" w:rsidRPr="00A17E25" w:rsidRDefault="003A596A" w:rsidP="00F15BB7">
            <w:pPr>
              <w:rPr>
                <w:rFonts w:ascii="Arial" w:hAnsi="Arial"/>
                <w:iCs/>
                <w:sz w:val="20"/>
                <w:szCs w:val="20"/>
              </w:rPr>
            </w:pPr>
            <w:r w:rsidRPr="00A17E25">
              <w:rPr>
                <w:rFonts w:ascii="Arial" w:hAnsi="Arial"/>
                <w:iCs/>
                <w:sz w:val="20"/>
                <w:szCs w:val="20"/>
              </w:rPr>
              <w:t>De 2012 à 2014, les transferts effectifs de l’Etat au profit de la Commune  de Casablanca  ont été largement supérieurs aux prévisions initiales</w:t>
            </w:r>
            <w:r w:rsidR="00F15BB7">
              <w:rPr>
                <w:rFonts w:ascii="Arial" w:hAnsi="Arial"/>
                <w:iCs/>
                <w:sz w:val="20"/>
                <w:szCs w:val="20"/>
              </w:rPr>
              <w:t xml:space="preserve"> de plus de 15% : 195,32% en 2012, 84,12% en 2013 et 68,44% en 2014.</w:t>
            </w:r>
            <w:r w:rsidRPr="00A17E25">
              <w:rPr>
                <w:rFonts w:ascii="Arial" w:hAnsi="Arial"/>
                <w:iCs/>
                <w:sz w:val="20"/>
                <w:szCs w:val="20"/>
              </w:rPr>
              <w:t xml:space="preserve"> </w:t>
            </w:r>
          </w:p>
        </w:tc>
      </w:tr>
      <w:tr w:rsidR="003A596A" w:rsidRPr="00A17E25" w:rsidTr="003A596A">
        <w:tc>
          <w:tcPr>
            <w:tcW w:w="4080" w:type="dxa"/>
          </w:tcPr>
          <w:p w:rsidR="003A596A" w:rsidRPr="00A17E25" w:rsidRDefault="003A596A" w:rsidP="003A596A">
            <w:pPr>
              <w:rPr>
                <w:rFonts w:ascii="Arial" w:hAnsi="Arial"/>
                <w:sz w:val="20"/>
                <w:szCs w:val="20"/>
              </w:rPr>
            </w:pPr>
          </w:p>
          <w:p w:rsidR="003A596A" w:rsidRPr="00A17E25" w:rsidRDefault="003A596A" w:rsidP="003A596A">
            <w:pPr>
              <w:rPr>
                <w:rFonts w:ascii="Arial" w:hAnsi="Arial"/>
                <w:iCs/>
                <w:sz w:val="20"/>
                <w:szCs w:val="20"/>
              </w:rPr>
            </w:pPr>
            <w:r w:rsidRPr="00A17E25">
              <w:rPr>
                <w:rFonts w:ascii="Arial" w:hAnsi="Arial"/>
                <w:sz w:val="20"/>
                <w:szCs w:val="20"/>
              </w:rPr>
              <w:t>ii) Variation annuelle entre les estimations de transferts de dons et les transferts réels de dons</w:t>
            </w:r>
          </w:p>
        </w:tc>
        <w:tc>
          <w:tcPr>
            <w:tcW w:w="960" w:type="dxa"/>
            <w:vAlign w:val="center"/>
          </w:tcPr>
          <w:p w:rsidR="003A596A" w:rsidRPr="00A17E25" w:rsidRDefault="003A596A" w:rsidP="003A596A">
            <w:pPr>
              <w:jc w:val="center"/>
              <w:rPr>
                <w:rFonts w:ascii="Arial" w:hAnsi="Arial"/>
                <w:sz w:val="20"/>
                <w:szCs w:val="20"/>
              </w:rPr>
            </w:pPr>
            <w:r w:rsidRPr="00A17E25">
              <w:rPr>
                <w:rFonts w:ascii="Arial" w:hAnsi="Arial"/>
                <w:sz w:val="20"/>
                <w:szCs w:val="20"/>
              </w:rPr>
              <w:t>D</w:t>
            </w:r>
          </w:p>
        </w:tc>
        <w:tc>
          <w:tcPr>
            <w:tcW w:w="4316" w:type="dxa"/>
            <w:vAlign w:val="center"/>
          </w:tcPr>
          <w:p w:rsidR="003A596A" w:rsidRPr="00A17E25" w:rsidRDefault="003A596A" w:rsidP="003A596A">
            <w:pPr>
              <w:rPr>
                <w:rFonts w:ascii="Arial" w:hAnsi="Arial"/>
                <w:sz w:val="20"/>
                <w:szCs w:val="20"/>
              </w:rPr>
            </w:pPr>
            <w:r w:rsidRPr="00A17E25">
              <w:rPr>
                <w:rFonts w:ascii="Arial" w:hAnsi="Arial"/>
                <w:sz w:val="20"/>
                <w:szCs w:val="20"/>
              </w:rPr>
              <w:t xml:space="preserve">La variation annuelle des estimations de transferts et les transferts effectifs a été supérieure à 10% au cours des exercices 2012 à 2014 : 132,3% en 2012, 91,4% en 2013 et 34% en 2014. </w:t>
            </w:r>
          </w:p>
        </w:tc>
      </w:tr>
      <w:tr w:rsidR="003A596A" w:rsidRPr="00A17E25" w:rsidTr="003A596A">
        <w:tc>
          <w:tcPr>
            <w:tcW w:w="4080" w:type="dxa"/>
          </w:tcPr>
          <w:p w:rsidR="003A596A" w:rsidRPr="00A17E25" w:rsidRDefault="003A596A" w:rsidP="003A596A">
            <w:pPr>
              <w:rPr>
                <w:rFonts w:ascii="Arial" w:hAnsi="Arial"/>
                <w:sz w:val="20"/>
                <w:szCs w:val="20"/>
              </w:rPr>
            </w:pPr>
          </w:p>
          <w:p w:rsidR="003A596A" w:rsidRPr="00A17E25" w:rsidRDefault="003A596A" w:rsidP="003A596A">
            <w:pPr>
              <w:rPr>
                <w:rFonts w:ascii="Arial" w:hAnsi="Arial"/>
                <w:iCs/>
                <w:sz w:val="20"/>
                <w:szCs w:val="20"/>
              </w:rPr>
            </w:pPr>
            <w:r w:rsidRPr="00A17E25">
              <w:rPr>
                <w:rFonts w:ascii="Arial" w:hAnsi="Arial"/>
                <w:sz w:val="20"/>
                <w:szCs w:val="20"/>
              </w:rPr>
              <w:t xml:space="preserve">iii) Opportunité des transferts en provenance du Gouvernement Central (conformité avec le calendrier annuel de distribution des déboursements établi un mois au plus tard après le début de l’année fiscale de la Commune) </w:t>
            </w:r>
          </w:p>
        </w:tc>
        <w:tc>
          <w:tcPr>
            <w:tcW w:w="960" w:type="dxa"/>
            <w:vAlign w:val="center"/>
          </w:tcPr>
          <w:p w:rsidR="003A596A" w:rsidRPr="00A17E25" w:rsidRDefault="003A596A" w:rsidP="003A596A">
            <w:pPr>
              <w:jc w:val="center"/>
              <w:rPr>
                <w:rFonts w:ascii="Arial" w:hAnsi="Arial"/>
                <w:sz w:val="20"/>
                <w:szCs w:val="20"/>
              </w:rPr>
            </w:pPr>
            <w:r w:rsidRPr="00A17E25">
              <w:rPr>
                <w:rFonts w:ascii="Arial" w:hAnsi="Arial"/>
                <w:sz w:val="20"/>
                <w:szCs w:val="20"/>
              </w:rPr>
              <w:t>D</w:t>
            </w:r>
          </w:p>
        </w:tc>
        <w:tc>
          <w:tcPr>
            <w:tcW w:w="4316" w:type="dxa"/>
            <w:vAlign w:val="center"/>
          </w:tcPr>
          <w:p w:rsidR="003A596A" w:rsidRPr="00A17E25" w:rsidRDefault="003A596A" w:rsidP="003A596A">
            <w:pPr>
              <w:rPr>
                <w:rFonts w:ascii="Arial" w:hAnsi="Arial"/>
                <w:sz w:val="20"/>
                <w:szCs w:val="20"/>
              </w:rPr>
            </w:pPr>
            <w:r w:rsidRPr="00A17E25">
              <w:rPr>
                <w:rFonts w:ascii="Arial" w:hAnsi="Arial"/>
                <w:sz w:val="20"/>
                <w:szCs w:val="20"/>
              </w:rPr>
              <w:t>Le calendrier de versement des dotations globales TVA non conditionnelles au profit des collectivités locales est fixé par la note conjointe n° 16/DCPC/DER du 1</w:t>
            </w:r>
            <w:r w:rsidRPr="00A17E25">
              <w:rPr>
                <w:rFonts w:ascii="Arial" w:hAnsi="Arial"/>
                <w:sz w:val="20"/>
                <w:szCs w:val="20"/>
                <w:vertAlign w:val="superscript"/>
              </w:rPr>
              <w:t>er</w:t>
            </w:r>
            <w:r w:rsidRPr="00A17E25">
              <w:rPr>
                <w:rFonts w:ascii="Arial" w:hAnsi="Arial"/>
                <w:sz w:val="20"/>
                <w:szCs w:val="20"/>
              </w:rPr>
              <w:t xml:space="preserve"> avril 2008 de la Direction générale des collectivités locales et la Trésorerie générale du Royaume. Les données disponibles sont insuffisantes pour calculer les retards pondérés des décaissements au titre des trois derniers exercices</w:t>
            </w:r>
            <w:r w:rsidR="00A07D79" w:rsidRPr="00A17E25">
              <w:rPr>
                <w:rFonts w:ascii="Arial" w:hAnsi="Arial"/>
                <w:sz w:val="20"/>
                <w:szCs w:val="20"/>
              </w:rPr>
              <w:t>.</w:t>
            </w:r>
          </w:p>
        </w:tc>
      </w:tr>
    </w:tbl>
    <w:p w:rsidR="004F0354" w:rsidRDefault="004F0354" w:rsidP="00CC3ED7">
      <w:pPr>
        <w:pStyle w:val="Heading2"/>
        <w:rPr>
          <w:i w:val="0"/>
          <w:color w:val="0070C0"/>
        </w:rPr>
      </w:pPr>
      <w:bookmarkStart w:id="111" w:name="_Toc434916110"/>
      <w:bookmarkStart w:id="112" w:name="_Toc434918324"/>
    </w:p>
    <w:p w:rsidR="003A596A" w:rsidRPr="00370022" w:rsidRDefault="003A596A" w:rsidP="00CC3ED7">
      <w:pPr>
        <w:pStyle w:val="Heading2"/>
        <w:rPr>
          <w:i w:val="0"/>
          <w:color w:val="0070C0"/>
        </w:rPr>
      </w:pPr>
      <w:r w:rsidRPr="00370022">
        <w:rPr>
          <w:i w:val="0"/>
          <w:color w:val="0070C0"/>
        </w:rPr>
        <w:t>3.1 Crédibilité de la stratégie de finances publiques et du budget</w:t>
      </w:r>
      <w:bookmarkStart w:id="113" w:name="_Toc412839435"/>
      <w:bookmarkEnd w:id="111"/>
      <w:bookmarkEnd w:id="112"/>
    </w:p>
    <w:p w:rsidR="004F0354" w:rsidRDefault="004F0354" w:rsidP="003A596A">
      <w:pPr>
        <w:jc w:val="both"/>
      </w:pPr>
    </w:p>
    <w:p w:rsidR="003A596A" w:rsidRPr="00A17E25" w:rsidRDefault="003A596A" w:rsidP="003A596A">
      <w:pPr>
        <w:jc w:val="both"/>
        <w:rPr>
          <w:rFonts w:ascii="Arial" w:hAnsi="Arial"/>
        </w:rPr>
      </w:pPr>
      <w:r w:rsidRPr="00A17E25">
        <w:rPr>
          <w:rFonts w:ascii="Arial" w:hAnsi="Arial"/>
        </w:rPr>
        <w:t>Conformément aux dispositions de la loi n° 45-08 relative à l’organisation des finances des collectivités locales et de leurs groupements, le budget de la Commune  de Casablanca comprend :</w:t>
      </w:r>
    </w:p>
    <w:p w:rsidR="003A596A" w:rsidRPr="00A17E25" w:rsidRDefault="003A596A" w:rsidP="00151AD3">
      <w:pPr>
        <w:pStyle w:val="ListParagraph"/>
        <w:numPr>
          <w:ilvl w:val="0"/>
          <w:numId w:val="14"/>
        </w:numPr>
        <w:jc w:val="both"/>
        <w:rPr>
          <w:rFonts w:ascii="Arial" w:hAnsi="Arial"/>
        </w:rPr>
      </w:pPr>
      <w:r w:rsidRPr="00A17E25">
        <w:rPr>
          <w:rFonts w:ascii="Arial" w:hAnsi="Arial"/>
        </w:rPr>
        <w:t>Une première partie qui décrit les opérations de recettes et de dépenses de fonctionnement ;</w:t>
      </w:r>
    </w:p>
    <w:p w:rsidR="003A596A" w:rsidRPr="00A17E25" w:rsidRDefault="003A596A" w:rsidP="00151AD3">
      <w:pPr>
        <w:pStyle w:val="ListParagraph"/>
        <w:numPr>
          <w:ilvl w:val="0"/>
          <w:numId w:val="14"/>
        </w:numPr>
        <w:jc w:val="both"/>
        <w:rPr>
          <w:rFonts w:ascii="Arial" w:hAnsi="Arial"/>
        </w:rPr>
      </w:pPr>
      <w:r w:rsidRPr="00A17E25">
        <w:rPr>
          <w:rFonts w:ascii="Arial" w:hAnsi="Arial"/>
        </w:rPr>
        <w:t>Une deuxième partie qui retrace les opérations de recettes et de dépenses d’équipement ;</w:t>
      </w:r>
    </w:p>
    <w:p w:rsidR="003A596A" w:rsidRPr="00A17E25" w:rsidRDefault="003A596A" w:rsidP="00151AD3">
      <w:pPr>
        <w:pStyle w:val="ListParagraph"/>
        <w:numPr>
          <w:ilvl w:val="0"/>
          <w:numId w:val="14"/>
        </w:numPr>
        <w:jc w:val="both"/>
        <w:rPr>
          <w:rFonts w:ascii="Arial" w:hAnsi="Arial"/>
        </w:rPr>
      </w:pPr>
      <w:r w:rsidRPr="00A17E25">
        <w:rPr>
          <w:rFonts w:ascii="Arial" w:hAnsi="Arial"/>
        </w:rPr>
        <w:t>Les comptes spéciaux qui sont composés des comptes d’affectation spéciale (CAS) et les comptes de dépenses sur dotations (CDD).</w:t>
      </w:r>
    </w:p>
    <w:p w:rsidR="003A596A" w:rsidRPr="00A17E25" w:rsidRDefault="003A596A" w:rsidP="003A596A">
      <w:pPr>
        <w:jc w:val="both"/>
        <w:rPr>
          <w:rFonts w:ascii="Arial" w:hAnsi="Arial"/>
        </w:rPr>
      </w:pPr>
    </w:p>
    <w:p w:rsidR="003A596A" w:rsidRPr="00A17E25" w:rsidRDefault="003A596A" w:rsidP="003A596A">
      <w:pPr>
        <w:jc w:val="both"/>
        <w:rPr>
          <w:rFonts w:ascii="Arial" w:hAnsi="Arial"/>
          <w:i/>
        </w:rPr>
      </w:pPr>
      <w:r w:rsidRPr="00A17E25">
        <w:rPr>
          <w:rFonts w:ascii="Arial" w:hAnsi="Arial"/>
        </w:rPr>
        <w:t>Les comptes d’affectation spéciale retracent la prise en recettes de ressources affectées au financement prévisionnel d’une catégorie déterminée de dépenses et l’emploi donné à ces ressources (</w:t>
      </w:r>
      <w:r w:rsidRPr="00A17E25">
        <w:rPr>
          <w:rFonts w:ascii="Arial" w:hAnsi="Arial"/>
          <w:i/>
        </w:rPr>
        <w:t>Article 12 de la loi n° 45-08).</w:t>
      </w:r>
    </w:p>
    <w:p w:rsidR="003A596A" w:rsidRPr="00A17E25" w:rsidRDefault="003A596A" w:rsidP="003A596A">
      <w:pPr>
        <w:jc w:val="both"/>
        <w:rPr>
          <w:rFonts w:ascii="Arial" w:hAnsi="Arial"/>
          <w:i/>
        </w:rPr>
      </w:pPr>
    </w:p>
    <w:p w:rsidR="003A596A" w:rsidRPr="00A17E25" w:rsidRDefault="003A596A" w:rsidP="003A596A">
      <w:pPr>
        <w:jc w:val="both"/>
        <w:rPr>
          <w:rFonts w:ascii="Arial" w:hAnsi="Arial"/>
        </w:rPr>
      </w:pPr>
      <w:r w:rsidRPr="00A17E25">
        <w:rPr>
          <w:rFonts w:ascii="Arial" w:hAnsi="Arial"/>
        </w:rPr>
        <w:t xml:space="preserve">Les comptes de dépenses sur dotations retracent les opérations dont le financement est assuré par des ressources préalablement déterminées </w:t>
      </w:r>
      <w:r w:rsidRPr="00A17E25">
        <w:rPr>
          <w:rFonts w:ascii="Arial" w:hAnsi="Arial"/>
          <w:i/>
        </w:rPr>
        <w:t xml:space="preserve">(Article 13 de la loi n° 45-08). </w:t>
      </w:r>
      <w:r w:rsidRPr="00A17E25">
        <w:rPr>
          <w:rFonts w:ascii="Arial" w:hAnsi="Arial"/>
        </w:rPr>
        <w:t>Tous les arrondissements de la Commune de Casablanca sont dotés de CDD alimentés par des dotations budgétaires inscrites au budget de la ville.</w:t>
      </w:r>
    </w:p>
    <w:p w:rsidR="003A596A" w:rsidRPr="00A17E25" w:rsidRDefault="003A596A" w:rsidP="003A596A">
      <w:pPr>
        <w:jc w:val="both"/>
        <w:rPr>
          <w:rFonts w:ascii="Arial" w:hAnsi="Arial"/>
        </w:rPr>
      </w:pPr>
    </w:p>
    <w:p w:rsidR="003A596A" w:rsidRDefault="003A596A" w:rsidP="003A596A">
      <w:pPr>
        <w:jc w:val="both"/>
        <w:rPr>
          <w:rFonts w:ascii="Arial" w:hAnsi="Arial"/>
        </w:rPr>
      </w:pPr>
      <w:r w:rsidRPr="00A17E25">
        <w:rPr>
          <w:rFonts w:ascii="Arial" w:hAnsi="Arial"/>
        </w:rPr>
        <w:t xml:space="preserve">Il importe de faire remarquer que la deuxième partie des budgets </w:t>
      </w:r>
      <w:r w:rsidR="00D8102C">
        <w:rPr>
          <w:rFonts w:ascii="Arial" w:hAnsi="Arial"/>
        </w:rPr>
        <w:t>initiaux</w:t>
      </w:r>
      <w:r w:rsidR="00D8102C" w:rsidRPr="00A17E25">
        <w:rPr>
          <w:rFonts w:ascii="Arial" w:hAnsi="Arial"/>
        </w:rPr>
        <w:t xml:space="preserve"> </w:t>
      </w:r>
      <w:r w:rsidRPr="00A17E25">
        <w:rPr>
          <w:rFonts w:ascii="Arial" w:hAnsi="Arial"/>
        </w:rPr>
        <w:t>de la Commune  de Casablanca adoptés en octobre par son organe délibérant au titre des trois exercices couverts par l’évaluation ne retracent en ressources que le versement de l’excédent prévisionnel de la première partie à la deuxième partie, et en emploi, que le remboursement du capital des emprunts contractés par la Ville. Les autres recettes devant alimenter la deuxième partie du budget telle que la dotation spéciale d’investissement allouée par l’Etat, et les dépenses d’équipement proprement dites ne sont intégrées au budget qu’en cours d’exercice au moyen des autorisations spéciales dont l’adoption suit la même procédure que celle du budget initial.</w:t>
      </w:r>
    </w:p>
    <w:p w:rsidR="00843481" w:rsidRDefault="00843481" w:rsidP="003A596A">
      <w:pPr>
        <w:jc w:val="both"/>
        <w:rPr>
          <w:rFonts w:ascii="Arial" w:hAnsi="Arial"/>
        </w:rPr>
      </w:pPr>
    </w:p>
    <w:p w:rsidR="00843481" w:rsidRPr="00A17E25" w:rsidRDefault="00843481" w:rsidP="003A596A">
      <w:pPr>
        <w:jc w:val="both"/>
        <w:rPr>
          <w:rFonts w:ascii="Arial" w:hAnsi="Arial"/>
        </w:rPr>
      </w:pPr>
      <w:r>
        <w:rPr>
          <w:rFonts w:ascii="Arial" w:hAnsi="Arial"/>
        </w:rPr>
        <w:t xml:space="preserve">Par ailleurs, le mécanisme de report de crédit, tel qu’il est </w:t>
      </w:r>
      <w:r w:rsidR="005409DB">
        <w:rPr>
          <w:rFonts w:ascii="Arial" w:hAnsi="Arial"/>
        </w:rPr>
        <w:t xml:space="preserve">prévu par la réglementation et </w:t>
      </w:r>
      <w:r w:rsidR="00E609A7">
        <w:rPr>
          <w:rFonts w:ascii="Arial" w:hAnsi="Arial"/>
        </w:rPr>
        <w:t xml:space="preserve">mis en </w:t>
      </w:r>
      <w:r w:rsidR="00DC21B8">
        <w:rPr>
          <w:rFonts w:ascii="Arial" w:hAnsi="Arial"/>
        </w:rPr>
        <w:t>œuvre</w:t>
      </w:r>
      <w:r>
        <w:rPr>
          <w:rFonts w:ascii="Arial" w:hAnsi="Arial"/>
        </w:rPr>
        <w:t xml:space="preserve">, consiste à reporter au budget de l’exercice en cours les engagements de dépenses </w:t>
      </w:r>
      <w:r w:rsidR="00E609A7">
        <w:rPr>
          <w:rFonts w:ascii="Arial" w:hAnsi="Arial"/>
        </w:rPr>
        <w:t xml:space="preserve">non ordonnancées </w:t>
      </w:r>
      <w:r>
        <w:rPr>
          <w:rFonts w:ascii="Arial" w:hAnsi="Arial"/>
        </w:rPr>
        <w:t xml:space="preserve">à la clôture de l’exercice. Cette pratique qui consiste à reporter les engagements </w:t>
      </w:r>
      <w:r w:rsidR="00E609A7">
        <w:rPr>
          <w:rFonts w:ascii="Arial" w:hAnsi="Arial"/>
        </w:rPr>
        <w:t>non ordonnancés sans distinguer ceux qui ont donné lieu ou non à réalisation de prestation, se traduit par une importante augmentation en cours d’année des dotations budgétaires et des résultats de l’exécution budgétaire.</w:t>
      </w:r>
    </w:p>
    <w:p w:rsidR="003A596A" w:rsidRPr="00A17E25" w:rsidRDefault="003A596A"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 xml:space="preserve">L’évaluation des indicateurs PI-1, PI-2 et PI-3 couvre la période 2012 à 2014. Les données prises en compte au titre des prévisions initiales sont celles des budgets </w:t>
      </w:r>
      <w:r w:rsidR="00D8102C">
        <w:rPr>
          <w:rFonts w:ascii="Arial" w:hAnsi="Arial"/>
        </w:rPr>
        <w:t>initiaux</w:t>
      </w:r>
      <w:r w:rsidRPr="00A17E25">
        <w:rPr>
          <w:rFonts w:ascii="Arial" w:hAnsi="Arial"/>
        </w:rPr>
        <w:t xml:space="preserve"> adoptés par le Conseil communal en octobre de l’année précédent l’exercice budgétaire concerné, et les résultats de l’exécution considérés sont ceux qui ressortent des comptes administratifs des trois exercices couverts par le pilier I.</w:t>
      </w:r>
    </w:p>
    <w:p w:rsidR="003A596A" w:rsidRPr="00A17E25" w:rsidRDefault="003A596A" w:rsidP="003A596A">
      <w:pPr>
        <w:rPr>
          <w:rFonts w:ascii="Arial" w:hAnsi="Arial"/>
          <w:b/>
        </w:rPr>
      </w:pPr>
    </w:p>
    <w:p w:rsidR="003A596A" w:rsidRPr="00A17E25" w:rsidRDefault="003A596A" w:rsidP="003A596A">
      <w:pPr>
        <w:rPr>
          <w:rFonts w:ascii="Arial" w:hAnsi="Arial"/>
          <w:b/>
        </w:rPr>
      </w:pPr>
      <w:r w:rsidRPr="00A17E25">
        <w:rPr>
          <w:rFonts w:ascii="Arial" w:hAnsi="Arial"/>
          <w:b/>
        </w:rPr>
        <w:t>PI-1 : Dépenses effectives totales par rapport au budget initialement approuvé</w:t>
      </w:r>
    </w:p>
    <w:p w:rsidR="003A596A" w:rsidRPr="00370022" w:rsidRDefault="003A596A" w:rsidP="003A596A">
      <w:pPr>
        <w:rPr>
          <w:rFonts w:ascii="Arial" w:hAnsi="Arial"/>
          <w:b/>
          <w:color w:val="0070C0"/>
        </w:rPr>
      </w:pPr>
    </w:p>
    <w:p w:rsidR="003A596A" w:rsidRPr="00370022" w:rsidRDefault="003A596A" w:rsidP="003A596A">
      <w:pPr>
        <w:rPr>
          <w:rFonts w:ascii="Arial" w:hAnsi="Arial"/>
          <w:i/>
          <w:color w:val="0070C0"/>
        </w:rPr>
      </w:pPr>
      <w:r w:rsidRPr="00370022">
        <w:rPr>
          <w:rFonts w:ascii="Arial" w:hAnsi="Arial"/>
          <w:i/>
          <w:color w:val="0070C0"/>
        </w:rPr>
        <w:t>i) Ecart entre les dépenses effectives et les dépenses inscrites initialement au budget</w:t>
      </w:r>
    </w:p>
    <w:p w:rsidR="000F43FB" w:rsidRDefault="000F43FB"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Les exercices pris en compte pour l’évaluation de cet indicateur sont les trois exercices clôturés c’est-à-dire 2012, 2013 et 2014. Les dépenses considérées sont :</w:t>
      </w:r>
    </w:p>
    <w:p w:rsidR="003A596A" w:rsidRPr="00A17E25" w:rsidRDefault="003A596A" w:rsidP="00151AD3">
      <w:pPr>
        <w:pStyle w:val="ListParagraph"/>
        <w:numPr>
          <w:ilvl w:val="0"/>
          <w:numId w:val="15"/>
        </w:numPr>
        <w:jc w:val="both"/>
        <w:rPr>
          <w:rFonts w:ascii="Arial" w:hAnsi="Arial"/>
        </w:rPr>
      </w:pPr>
      <w:r w:rsidRPr="00A17E25">
        <w:rPr>
          <w:rFonts w:ascii="Arial" w:hAnsi="Arial"/>
        </w:rPr>
        <w:t>Toutes les dépenses de fonctionnement (première partie du budget) compte non tenu de la ligne de dépense relative au versement de l’excédent de la première partie à la seconde partie qui est un transfert entre comptes du budget ;</w:t>
      </w:r>
    </w:p>
    <w:p w:rsidR="003A596A" w:rsidRPr="00A17E25" w:rsidRDefault="003A596A" w:rsidP="00151AD3">
      <w:pPr>
        <w:pStyle w:val="ListParagraph"/>
        <w:numPr>
          <w:ilvl w:val="0"/>
          <w:numId w:val="15"/>
        </w:numPr>
        <w:jc w:val="both"/>
        <w:rPr>
          <w:rFonts w:ascii="Arial" w:hAnsi="Arial"/>
        </w:rPr>
      </w:pPr>
      <w:r w:rsidRPr="00A17E25">
        <w:rPr>
          <w:rFonts w:ascii="Arial" w:hAnsi="Arial"/>
        </w:rPr>
        <w:t>Les dépenses d’équipement à l’exclusion du remboursement du capital des emprunts contractés par la Commune qui n’est pas une dépense au sens du Manuel des statistiques des finances publiques (MSFP) ;</w:t>
      </w:r>
    </w:p>
    <w:p w:rsidR="003A596A" w:rsidRPr="00A17E25" w:rsidRDefault="003A596A" w:rsidP="00151AD3">
      <w:pPr>
        <w:pStyle w:val="ListParagraph"/>
        <w:numPr>
          <w:ilvl w:val="0"/>
          <w:numId w:val="15"/>
        </w:numPr>
        <w:jc w:val="both"/>
        <w:rPr>
          <w:rFonts w:ascii="Arial" w:hAnsi="Arial"/>
        </w:rPr>
      </w:pPr>
      <w:r w:rsidRPr="00A17E25">
        <w:rPr>
          <w:rFonts w:ascii="Arial" w:hAnsi="Arial"/>
        </w:rPr>
        <w:t>Les dépenses des comptes d’affectation spéciale.</w:t>
      </w:r>
    </w:p>
    <w:p w:rsidR="003A596A" w:rsidRPr="00A17E25" w:rsidRDefault="003A596A" w:rsidP="003A596A">
      <w:pPr>
        <w:jc w:val="both"/>
        <w:rPr>
          <w:rFonts w:ascii="Arial" w:hAnsi="Arial"/>
        </w:rPr>
      </w:pPr>
    </w:p>
    <w:p w:rsidR="003A596A" w:rsidRPr="00A17E25" w:rsidRDefault="003A596A" w:rsidP="003A596A">
      <w:pPr>
        <w:jc w:val="both"/>
        <w:rPr>
          <w:rFonts w:ascii="Arial" w:hAnsi="Arial"/>
          <w:b/>
          <w:sz w:val="20"/>
          <w:szCs w:val="20"/>
        </w:rPr>
      </w:pPr>
      <w:r w:rsidRPr="00A17E25">
        <w:rPr>
          <w:rFonts w:ascii="Arial" w:hAnsi="Arial"/>
        </w:rPr>
        <w:t xml:space="preserve">L’exécution globale des prévisions de ces dépenses au titre des exercices 2012, 2013 et 2014 telle qu’elle ressort des comptes administratifs est présentée dans le tableau ci-dessous. </w:t>
      </w:r>
    </w:p>
    <w:p w:rsidR="003A596A" w:rsidRPr="00A17E25" w:rsidRDefault="003A596A" w:rsidP="003A596A">
      <w:pPr>
        <w:jc w:val="center"/>
        <w:rPr>
          <w:rFonts w:ascii="Arial" w:hAnsi="Arial"/>
          <w:b/>
          <w:sz w:val="20"/>
          <w:szCs w:val="20"/>
        </w:rPr>
      </w:pPr>
    </w:p>
    <w:p w:rsidR="003A596A" w:rsidRPr="00592ACC" w:rsidRDefault="00592ACC" w:rsidP="003A596A">
      <w:pPr>
        <w:jc w:val="center"/>
        <w:rPr>
          <w:rFonts w:ascii="Arial Narrow" w:hAnsi="Arial Narrow"/>
          <w:b/>
          <w:sz w:val="20"/>
          <w:szCs w:val="20"/>
        </w:rPr>
      </w:pPr>
      <w:r w:rsidRPr="00592ACC">
        <w:rPr>
          <w:rFonts w:ascii="Arial Narrow" w:hAnsi="Arial Narrow"/>
          <w:b/>
          <w:sz w:val="20"/>
          <w:szCs w:val="20"/>
          <w:u w:val="single"/>
        </w:rPr>
        <w:t>TABLEAU</w:t>
      </w:r>
      <w:r>
        <w:rPr>
          <w:rFonts w:ascii="Arial Narrow" w:hAnsi="Arial Narrow"/>
          <w:b/>
          <w:sz w:val="20"/>
          <w:szCs w:val="20"/>
        </w:rPr>
        <w:t xml:space="preserve"> 3.5</w:t>
      </w:r>
      <w:r w:rsidR="003A596A" w:rsidRPr="00592ACC">
        <w:rPr>
          <w:rFonts w:ascii="Arial Narrow" w:hAnsi="Arial Narrow"/>
          <w:b/>
          <w:sz w:val="20"/>
          <w:szCs w:val="20"/>
        </w:rPr>
        <w:t xml:space="preserve"> : Exécution des dépenses de la </w:t>
      </w:r>
      <w:r w:rsidR="00F86504">
        <w:rPr>
          <w:rFonts w:ascii="Arial Narrow" w:hAnsi="Arial Narrow"/>
          <w:b/>
          <w:sz w:val="20"/>
          <w:szCs w:val="20"/>
        </w:rPr>
        <w:t>CC</w:t>
      </w:r>
      <w:r w:rsidR="003A596A" w:rsidRPr="00592ACC">
        <w:rPr>
          <w:rFonts w:ascii="Arial Narrow" w:hAnsi="Arial Narrow"/>
          <w:b/>
          <w:sz w:val="20"/>
          <w:szCs w:val="20"/>
        </w:rPr>
        <w:t xml:space="preserve"> de 2012 à 2014</w:t>
      </w:r>
    </w:p>
    <w:p w:rsidR="003A596A" w:rsidRPr="00592ACC" w:rsidRDefault="003A596A" w:rsidP="003A596A">
      <w:pPr>
        <w:jc w:val="center"/>
        <w:rPr>
          <w:rFonts w:ascii="Arial Narrow" w:hAnsi="Arial Narrow"/>
          <w:sz w:val="20"/>
          <w:szCs w:val="20"/>
        </w:rPr>
      </w:pPr>
      <w:r w:rsidRPr="00592ACC">
        <w:rPr>
          <w:rFonts w:ascii="Arial Narrow" w:hAnsi="Arial Narrow"/>
          <w:sz w:val="20"/>
          <w:szCs w:val="20"/>
        </w:rPr>
        <w:t xml:space="preserve">(En millions de </w:t>
      </w:r>
      <w:r w:rsidR="00A07D79" w:rsidRPr="00592ACC">
        <w:rPr>
          <w:rFonts w:ascii="Arial Narrow" w:hAnsi="Arial Narrow"/>
          <w:sz w:val="20"/>
          <w:szCs w:val="20"/>
        </w:rPr>
        <w:t>dirhams)</w:t>
      </w:r>
    </w:p>
    <w:p w:rsidR="003A596A" w:rsidRPr="00A17E25" w:rsidRDefault="003A596A" w:rsidP="003A596A">
      <w:pPr>
        <w:jc w:val="center"/>
        <w:rPr>
          <w:rFonts w:ascii="Arial" w:hAnsi="Arial"/>
          <w:color w:val="FFFFFF" w:themeColor="background1"/>
          <w:sz w:val="20"/>
          <w:szCs w:val="20"/>
        </w:rPr>
      </w:pPr>
    </w:p>
    <w:tbl>
      <w:tblPr>
        <w:tblStyle w:val="TableGrid"/>
        <w:tblW w:w="5000" w:type="pct"/>
        <w:tblLook w:val="04A0" w:firstRow="1" w:lastRow="0" w:firstColumn="1" w:lastColumn="0" w:noHBand="0" w:noVBand="1"/>
      </w:tblPr>
      <w:tblGrid>
        <w:gridCol w:w="980"/>
        <w:gridCol w:w="2440"/>
        <w:gridCol w:w="1455"/>
        <w:gridCol w:w="2859"/>
        <w:gridCol w:w="1616"/>
      </w:tblGrid>
      <w:tr w:rsidR="003A596A" w:rsidRPr="00A17E25" w:rsidTr="004B57C3">
        <w:tc>
          <w:tcPr>
            <w:tcW w:w="524"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Année</w:t>
            </w:r>
          </w:p>
        </w:tc>
        <w:tc>
          <w:tcPr>
            <w:tcW w:w="1305"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Prévisions initiales</w:t>
            </w:r>
          </w:p>
        </w:tc>
        <w:tc>
          <w:tcPr>
            <w:tcW w:w="778"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Paiements</w:t>
            </w:r>
          </w:p>
        </w:tc>
        <w:tc>
          <w:tcPr>
            <w:tcW w:w="1529"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Taux d’exécution en %</w:t>
            </w:r>
          </w:p>
        </w:tc>
        <w:tc>
          <w:tcPr>
            <w:tcW w:w="864"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Ecarts en %</w:t>
            </w:r>
          </w:p>
          <w:p w:rsidR="003A596A" w:rsidRPr="00A17E25" w:rsidRDefault="003A596A" w:rsidP="003A596A">
            <w:pPr>
              <w:jc w:val="center"/>
              <w:rPr>
                <w:rFonts w:ascii="Arial" w:hAnsi="Arial"/>
                <w:b/>
                <w:color w:val="FFFFFF" w:themeColor="background1"/>
                <w:sz w:val="20"/>
                <w:szCs w:val="20"/>
              </w:rPr>
            </w:pPr>
          </w:p>
        </w:tc>
      </w:tr>
      <w:tr w:rsidR="003A596A" w:rsidRPr="00A17E25" w:rsidTr="003A596A">
        <w:trPr>
          <w:trHeight w:val="50"/>
        </w:trPr>
        <w:tc>
          <w:tcPr>
            <w:tcW w:w="524" w:type="pct"/>
          </w:tcPr>
          <w:p w:rsidR="003A596A" w:rsidRPr="00A17E25" w:rsidRDefault="003A596A" w:rsidP="003A596A">
            <w:pPr>
              <w:keepNext/>
              <w:keepLines/>
              <w:spacing w:before="200"/>
              <w:outlineLvl w:val="3"/>
              <w:rPr>
                <w:rFonts w:ascii="Arial" w:hAnsi="Arial"/>
                <w:sz w:val="20"/>
                <w:szCs w:val="20"/>
              </w:rPr>
            </w:pPr>
            <w:r w:rsidRPr="00A17E25">
              <w:rPr>
                <w:rFonts w:ascii="Arial" w:hAnsi="Arial"/>
                <w:sz w:val="20"/>
                <w:szCs w:val="20"/>
              </w:rPr>
              <w:t>2012</w:t>
            </w:r>
          </w:p>
        </w:tc>
        <w:tc>
          <w:tcPr>
            <w:tcW w:w="1305"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4 024,73</w:t>
            </w:r>
          </w:p>
        </w:tc>
        <w:tc>
          <w:tcPr>
            <w:tcW w:w="778"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3 887,15</w:t>
            </w:r>
          </w:p>
        </w:tc>
        <w:tc>
          <w:tcPr>
            <w:tcW w:w="152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96,6%</w:t>
            </w:r>
          </w:p>
        </w:tc>
        <w:tc>
          <w:tcPr>
            <w:tcW w:w="864" w:type="pct"/>
            <w:vAlign w:val="bottom"/>
          </w:tcPr>
          <w:p w:rsidR="003A596A" w:rsidRPr="00A17E25" w:rsidRDefault="003A596A" w:rsidP="003A596A">
            <w:pPr>
              <w:jc w:val="center"/>
              <w:rPr>
                <w:rFonts w:ascii="Arial" w:hAnsi="Arial"/>
                <w:sz w:val="20"/>
                <w:szCs w:val="20"/>
              </w:rPr>
            </w:pPr>
            <w:r w:rsidRPr="00A17E25">
              <w:rPr>
                <w:rFonts w:ascii="Arial" w:hAnsi="Arial"/>
                <w:sz w:val="20"/>
                <w:szCs w:val="20"/>
              </w:rPr>
              <w:t>3,4%</w:t>
            </w:r>
          </w:p>
          <w:p w:rsidR="003A596A" w:rsidRPr="00A17E25" w:rsidRDefault="003A596A" w:rsidP="003A596A">
            <w:pPr>
              <w:jc w:val="center"/>
              <w:rPr>
                <w:rFonts w:ascii="Arial" w:hAnsi="Arial"/>
                <w:sz w:val="20"/>
                <w:szCs w:val="20"/>
              </w:rPr>
            </w:pPr>
          </w:p>
        </w:tc>
      </w:tr>
      <w:tr w:rsidR="003A596A" w:rsidRPr="00A17E25" w:rsidTr="003A596A">
        <w:tc>
          <w:tcPr>
            <w:tcW w:w="524" w:type="pct"/>
          </w:tcPr>
          <w:p w:rsidR="003A596A" w:rsidRPr="00A17E25" w:rsidRDefault="003A596A" w:rsidP="003A596A">
            <w:pPr>
              <w:keepNext/>
              <w:keepLines/>
              <w:spacing w:before="200"/>
              <w:outlineLvl w:val="2"/>
              <w:rPr>
                <w:rFonts w:ascii="Arial" w:hAnsi="Arial"/>
                <w:sz w:val="20"/>
                <w:szCs w:val="20"/>
              </w:rPr>
            </w:pPr>
            <w:bookmarkStart w:id="114" w:name="_Toc425240169"/>
            <w:bookmarkStart w:id="115" w:name="_Toc434916111"/>
            <w:bookmarkStart w:id="116" w:name="_Toc434918325"/>
            <w:r w:rsidRPr="00A17E25">
              <w:rPr>
                <w:rFonts w:ascii="Arial" w:hAnsi="Arial"/>
                <w:sz w:val="20"/>
                <w:szCs w:val="20"/>
              </w:rPr>
              <w:t>201</w:t>
            </w:r>
            <w:bookmarkEnd w:id="114"/>
            <w:r w:rsidRPr="00A17E25">
              <w:rPr>
                <w:rFonts w:ascii="Arial" w:hAnsi="Arial"/>
                <w:sz w:val="20"/>
                <w:szCs w:val="20"/>
              </w:rPr>
              <w:t>3</w:t>
            </w:r>
            <w:bookmarkEnd w:id="115"/>
            <w:bookmarkEnd w:id="116"/>
          </w:p>
        </w:tc>
        <w:tc>
          <w:tcPr>
            <w:tcW w:w="1305"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4 254,13</w:t>
            </w:r>
          </w:p>
        </w:tc>
        <w:tc>
          <w:tcPr>
            <w:tcW w:w="778"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3 591,66</w:t>
            </w:r>
          </w:p>
        </w:tc>
        <w:tc>
          <w:tcPr>
            <w:tcW w:w="152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84,4%</w:t>
            </w:r>
          </w:p>
        </w:tc>
        <w:tc>
          <w:tcPr>
            <w:tcW w:w="864" w:type="pct"/>
          </w:tcPr>
          <w:p w:rsidR="003A596A" w:rsidRPr="00A17E25" w:rsidRDefault="003A596A" w:rsidP="003A596A">
            <w:pPr>
              <w:jc w:val="center"/>
              <w:rPr>
                <w:rFonts w:ascii="Arial" w:hAnsi="Arial"/>
                <w:sz w:val="20"/>
                <w:szCs w:val="20"/>
              </w:rPr>
            </w:pPr>
            <w:r w:rsidRPr="00A17E25">
              <w:rPr>
                <w:rFonts w:ascii="Arial" w:hAnsi="Arial"/>
                <w:sz w:val="20"/>
                <w:szCs w:val="20"/>
              </w:rPr>
              <w:t>15,6%</w:t>
            </w:r>
          </w:p>
          <w:p w:rsidR="003A596A" w:rsidRPr="00A17E25" w:rsidRDefault="003A596A" w:rsidP="003A596A">
            <w:pPr>
              <w:jc w:val="center"/>
              <w:rPr>
                <w:rFonts w:ascii="Arial" w:hAnsi="Arial"/>
                <w:sz w:val="20"/>
                <w:szCs w:val="20"/>
              </w:rPr>
            </w:pPr>
          </w:p>
        </w:tc>
      </w:tr>
      <w:tr w:rsidR="003A596A" w:rsidRPr="00A17E25" w:rsidTr="003A596A">
        <w:tc>
          <w:tcPr>
            <w:tcW w:w="524" w:type="pct"/>
          </w:tcPr>
          <w:p w:rsidR="003A596A" w:rsidRPr="00A17E25" w:rsidRDefault="003A596A" w:rsidP="003A596A">
            <w:pPr>
              <w:keepNext/>
              <w:keepLines/>
              <w:spacing w:before="200"/>
              <w:outlineLvl w:val="3"/>
              <w:rPr>
                <w:rFonts w:ascii="Arial" w:hAnsi="Arial"/>
                <w:sz w:val="20"/>
                <w:szCs w:val="20"/>
              </w:rPr>
            </w:pPr>
            <w:r w:rsidRPr="00A17E25">
              <w:rPr>
                <w:rFonts w:ascii="Arial" w:hAnsi="Arial"/>
                <w:sz w:val="20"/>
                <w:szCs w:val="20"/>
              </w:rPr>
              <w:t>2014</w:t>
            </w:r>
          </w:p>
        </w:tc>
        <w:tc>
          <w:tcPr>
            <w:tcW w:w="1305"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4 316,72</w:t>
            </w:r>
          </w:p>
        </w:tc>
        <w:tc>
          <w:tcPr>
            <w:tcW w:w="778" w:type="pct"/>
          </w:tcPr>
          <w:p w:rsidR="003A596A" w:rsidRPr="00A17E25" w:rsidRDefault="003A596A" w:rsidP="003A596A">
            <w:pPr>
              <w:keepNext/>
              <w:keepLines/>
              <w:spacing w:before="200"/>
              <w:jc w:val="right"/>
              <w:outlineLvl w:val="3"/>
              <w:rPr>
                <w:rFonts w:ascii="Arial" w:hAnsi="Arial"/>
                <w:sz w:val="20"/>
                <w:szCs w:val="20"/>
              </w:rPr>
            </w:pPr>
            <w:r w:rsidRPr="00A17E25">
              <w:rPr>
                <w:rFonts w:ascii="Arial" w:hAnsi="Arial"/>
                <w:sz w:val="20"/>
                <w:szCs w:val="20"/>
              </w:rPr>
              <w:t>3 263,90</w:t>
            </w:r>
          </w:p>
        </w:tc>
        <w:tc>
          <w:tcPr>
            <w:tcW w:w="152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75,6%</w:t>
            </w:r>
          </w:p>
        </w:tc>
        <w:tc>
          <w:tcPr>
            <w:tcW w:w="864" w:type="pct"/>
          </w:tcPr>
          <w:p w:rsidR="003A596A" w:rsidRPr="00A17E25" w:rsidRDefault="003A596A" w:rsidP="003A596A">
            <w:pPr>
              <w:jc w:val="center"/>
              <w:rPr>
                <w:rFonts w:ascii="Arial" w:hAnsi="Arial"/>
                <w:sz w:val="20"/>
                <w:szCs w:val="20"/>
              </w:rPr>
            </w:pPr>
            <w:r w:rsidRPr="00A17E25">
              <w:rPr>
                <w:rFonts w:ascii="Arial" w:hAnsi="Arial"/>
                <w:sz w:val="20"/>
                <w:szCs w:val="20"/>
              </w:rPr>
              <w:t>24,4%</w:t>
            </w:r>
          </w:p>
          <w:p w:rsidR="003A596A" w:rsidRPr="00A17E25" w:rsidRDefault="003A596A" w:rsidP="003A596A">
            <w:pPr>
              <w:jc w:val="center"/>
              <w:rPr>
                <w:rFonts w:ascii="Arial" w:hAnsi="Arial"/>
                <w:sz w:val="20"/>
                <w:szCs w:val="20"/>
              </w:rPr>
            </w:pPr>
          </w:p>
        </w:tc>
      </w:tr>
    </w:tbl>
    <w:p w:rsidR="003A596A" w:rsidRPr="00A17E25" w:rsidRDefault="003A596A" w:rsidP="003A596A">
      <w:pPr>
        <w:jc w:val="center"/>
        <w:rPr>
          <w:rFonts w:ascii="Arial" w:hAnsi="Arial"/>
          <w:sz w:val="20"/>
          <w:szCs w:val="20"/>
        </w:rPr>
      </w:pPr>
      <w:r w:rsidRPr="00A17E25">
        <w:rPr>
          <w:rFonts w:ascii="Arial" w:hAnsi="Arial"/>
          <w:sz w:val="20"/>
          <w:szCs w:val="20"/>
          <w:u w:val="single"/>
        </w:rPr>
        <w:t>Sources </w:t>
      </w:r>
      <w:r w:rsidRPr="00A17E25">
        <w:rPr>
          <w:rFonts w:ascii="Arial" w:hAnsi="Arial"/>
          <w:sz w:val="20"/>
          <w:szCs w:val="20"/>
        </w:rPr>
        <w:t>: Comptes administratifs des exercices 2012, 2013 et 2014</w:t>
      </w:r>
    </w:p>
    <w:p w:rsidR="003A596A" w:rsidRPr="00A17E25" w:rsidRDefault="003A596A" w:rsidP="000F43FB">
      <w:pPr>
        <w:spacing w:before="120" w:after="120"/>
        <w:rPr>
          <w:rFonts w:ascii="Arial" w:hAnsi="Arial"/>
        </w:rPr>
      </w:pPr>
    </w:p>
    <w:p w:rsidR="003A596A" w:rsidRPr="00A17E25" w:rsidRDefault="003A596A" w:rsidP="000F43FB">
      <w:pPr>
        <w:spacing w:before="120" w:after="120"/>
        <w:jc w:val="both"/>
        <w:rPr>
          <w:rFonts w:ascii="Arial" w:hAnsi="Arial"/>
        </w:rPr>
      </w:pPr>
      <w:r w:rsidRPr="00A17E25">
        <w:rPr>
          <w:rFonts w:ascii="Arial" w:hAnsi="Arial"/>
        </w:rPr>
        <w:t>Il ressort de ce tableau que les dépenses effectives ont représenté 96,6% des prévisions budgétaires initiales en 2012, 84,4% en 2013 et 75,6% en 2014. Cependant, il importe de signaler que ces résultats ont été fortement influencés par :</w:t>
      </w:r>
    </w:p>
    <w:p w:rsidR="003A596A" w:rsidRPr="00A17E25" w:rsidRDefault="003A596A" w:rsidP="000F43FB">
      <w:pPr>
        <w:pStyle w:val="ListParagraph"/>
        <w:numPr>
          <w:ilvl w:val="0"/>
          <w:numId w:val="16"/>
        </w:numPr>
        <w:spacing w:before="120" w:after="120"/>
        <w:jc w:val="both"/>
        <w:rPr>
          <w:rFonts w:ascii="Arial" w:hAnsi="Arial"/>
        </w:rPr>
      </w:pPr>
      <w:r w:rsidRPr="00A17E25">
        <w:rPr>
          <w:rFonts w:ascii="Arial" w:hAnsi="Arial"/>
        </w:rPr>
        <w:t xml:space="preserve">La pratique à la Commune  de Casablanca qui consiste à ne pas inscrire aux budgets </w:t>
      </w:r>
      <w:r w:rsidR="00D8102C">
        <w:rPr>
          <w:rFonts w:ascii="Arial" w:hAnsi="Arial"/>
        </w:rPr>
        <w:t>initiaux</w:t>
      </w:r>
      <w:r w:rsidR="00D8102C" w:rsidRPr="00A17E25">
        <w:rPr>
          <w:rFonts w:ascii="Arial" w:hAnsi="Arial"/>
        </w:rPr>
        <w:t xml:space="preserve"> </w:t>
      </w:r>
      <w:r w:rsidRPr="00A17E25">
        <w:rPr>
          <w:rFonts w:ascii="Arial" w:hAnsi="Arial"/>
        </w:rPr>
        <w:t>les prévisions au titre des dépenses d’équipement. Ces dépenses qui ont été exécutées sans avoir été prévues au budget initial se sont élevées à 1394,85 millions de dirhams en 2012, 821,53 millions de dirhams en 2013 et 515,03 millions de dirhams en 2014 ;</w:t>
      </w:r>
    </w:p>
    <w:p w:rsidR="003A596A" w:rsidRPr="00A17E25" w:rsidRDefault="003A596A" w:rsidP="000F43FB">
      <w:pPr>
        <w:pStyle w:val="ListParagraph"/>
        <w:numPr>
          <w:ilvl w:val="0"/>
          <w:numId w:val="16"/>
        </w:numPr>
        <w:spacing w:before="120" w:after="120"/>
        <w:jc w:val="both"/>
        <w:rPr>
          <w:rFonts w:ascii="Arial" w:hAnsi="Arial"/>
        </w:rPr>
      </w:pPr>
      <w:r w:rsidRPr="00A17E25">
        <w:rPr>
          <w:rFonts w:ascii="Arial" w:hAnsi="Arial"/>
        </w:rPr>
        <w:t>La faiblesse des taux d’exécution des opérations de dépenses des comptes d’affectation spéciale. En effet, sur les trois exercices pris en compte pour l’évaluation de cet indicateur, les dépenses des CAS ont été exécutées à moins de 1% (0,08% en 2012, 0,54% en 2013 et 0,32% en 2014). Cette situation s’explique par le fait que les CAS ne sont pas périodiquement apurés conformément à la loi n° 45-08 qui dispose en son article 12 que « </w:t>
      </w:r>
      <w:r w:rsidRPr="00A17E25">
        <w:rPr>
          <w:rFonts w:ascii="Arial" w:hAnsi="Arial"/>
          <w:i/>
        </w:rPr>
        <w:t>Tout compte d’affectation qui n’a pas donné lieu à dépenses pendant trois années consécutives peut être soldé au terme de la troisième année et le solde pris en recette à la deuxième partie du budget</w:t>
      </w:r>
      <w:r w:rsidRPr="00A17E25">
        <w:rPr>
          <w:rFonts w:ascii="Arial" w:hAnsi="Arial"/>
        </w:rPr>
        <w:t> ».</w:t>
      </w:r>
    </w:p>
    <w:p w:rsidR="003A596A" w:rsidRPr="00A17E25" w:rsidRDefault="003A596A" w:rsidP="003A596A">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989"/>
        <w:gridCol w:w="4785"/>
      </w:tblGrid>
      <w:tr w:rsidR="003A596A" w:rsidRPr="00A17E25" w:rsidTr="004B57C3">
        <w:trPr>
          <w:jc w:val="center"/>
        </w:trPr>
        <w:tc>
          <w:tcPr>
            <w:tcW w:w="1912"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Indicateur</w:t>
            </w:r>
          </w:p>
          <w:p w:rsidR="003A596A" w:rsidRPr="00A17E25" w:rsidRDefault="003A596A" w:rsidP="003A596A">
            <w:pPr>
              <w:jc w:val="center"/>
              <w:rPr>
                <w:rFonts w:ascii="Arial" w:hAnsi="Arial"/>
                <w:b/>
                <w:color w:val="FFFFFF" w:themeColor="background1"/>
                <w:sz w:val="20"/>
                <w:szCs w:val="20"/>
              </w:rPr>
            </w:pPr>
          </w:p>
        </w:tc>
        <w:tc>
          <w:tcPr>
            <w:tcW w:w="529" w:type="pct"/>
            <w:shd w:val="clear" w:color="auto" w:fill="0070C0"/>
            <w:vAlign w:val="center"/>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Notes</w:t>
            </w:r>
          </w:p>
        </w:tc>
        <w:tc>
          <w:tcPr>
            <w:tcW w:w="2559"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Explication</w:t>
            </w:r>
          </w:p>
        </w:tc>
      </w:tr>
      <w:tr w:rsidR="003A596A" w:rsidRPr="00A17E25" w:rsidTr="003A596A">
        <w:trPr>
          <w:jc w:val="center"/>
        </w:trPr>
        <w:tc>
          <w:tcPr>
            <w:tcW w:w="1912" w:type="pct"/>
          </w:tcPr>
          <w:p w:rsidR="003A596A" w:rsidRPr="00A17E25" w:rsidRDefault="003A596A" w:rsidP="003A596A">
            <w:pPr>
              <w:rPr>
                <w:rFonts w:ascii="Arial" w:hAnsi="Arial"/>
                <w:b/>
                <w:sz w:val="20"/>
                <w:szCs w:val="20"/>
              </w:rPr>
            </w:pPr>
          </w:p>
          <w:p w:rsidR="003A596A" w:rsidRPr="00A17E25" w:rsidRDefault="003A596A" w:rsidP="003A596A">
            <w:pPr>
              <w:rPr>
                <w:rFonts w:ascii="Arial" w:hAnsi="Arial"/>
                <w:b/>
                <w:sz w:val="20"/>
                <w:szCs w:val="20"/>
              </w:rPr>
            </w:pPr>
            <w:r w:rsidRPr="00A17E25">
              <w:rPr>
                <w:rFonts w:ascii="Arial" w:hAnsi="Arial"/>
                <w:b/>
                <w:sz w:val="20"/>
                <w:szCs w:val="20"/>
              </w:rPr>
              <w:t>PI-1. Dépenses effectives totales par rapport au budget initialement approuvé</w:t>
            </w:r>
          </w:p>
        </w:tc>
        <w:tc>
          <w:tcPr>
            <w:tcW w:w="529" w:type="pct"/>
            <w:vAlign w:val="center"/>
          </w:tcPr>
          <w:p w:rsidR="003A596A" w:rsidRPr="00A17E25" w:rsidRDefault="00CA3D61" w:rsidP="003A596A">
            <w:pPr>
              <w:jc w:val="center"/>
              <w:rPr>
                <w:rFonts w:ascii="Arial" w:hAnsi="Arial"/>
                <w:b/>
                <w:sz w:val="20"/>
                <w:szCs w:val="20"/>
              </w:rPr>
            </w:pPr>
            <w:r>
              <w:rPr>
                <w:rFonts w:ascii="Arial" w:hAnsi="Arial"/>
                <w:b/>
                <w:sz w:val="20"/>
                <w:szCs w:val="20"/>
              </w:rPr>
              <w:t>D</w:t>
            </w:r>
          </w:p>
        </w:tc>
        <w:tc>
          <w:tcPr>
            <w:tcW w:w="2559" w:type="pct"/>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rPr>
          <w:jc w:val="center"/>
        </w:trPr>
        <w:tc>
          <w:tcPr>
            <w:tcW w:w="1912" w:type="pct"/>
          </w:tcPr>
          <w:p w:rsidR="003A596A" w:rsidRPr="00A17E25" w:rsidRDefault="003A596A" w:rsidP="003A596A">
            <w:pPr>
              <w:rPr>
                <w:rFonts w:ascii="Arial" w:hAnsi="Arial"/>
                <w:sz w:val="20"/>
                <w:szCs w:val="20"/>
              </w:rPr>
            </w:pPr>
            <w:r w:rsidRPr="00A17E25">
              <w:rPr>
                <w:rFonts w:ascii="Arial" w:hAnsi="Arial"/>
                <w:sz w:val="20"/>
                <w:szCs w:val="20"/>
              </w:rPr>
              <w:t xml:space="preserve"> (i) </w:t>
            </w:r>
            <w:r w:rsidRPr="00A17E25">
              <w:rPr>
                <w:rFonts w:ascii="Arial" w:hAnsi="Arial"/>
                <w:iCs/>
                <w:sz w:val="20"/>
                <w:szCs w:val="20"/>
              </w:rPr>
              <w:t>Ecart entre les dépenses effectives et les dépenses initialement inscrites au budget</w:t>
            </w:r>
          </w:p>
        </w:tc>
        <w:tc>
          <w:tcPr>
            <w:tcW w:w="529" w:type="pct"/>
            <w:vAlign w:val="center"/>
          </w:tcPr>
          <w:p w:rsidR="003A596A" w:rsidRPr="00A17E25" w:rsidRDefault="00CA3D61" w:rsidP="003A596A">
            <w:pPr>
              <w:jc w:val="center"/>
              <w:rPr>
                <w:rFonts w:ascii="Arial" w:hAnsi="Arial"/>
                <w:b/>
                <w:sz w:val="20"/>
                <w:szCs w:val="20"/>
              </w:rPr>
            </w:pPr>
            <w:r>
              <w:rPr>
                <w:rFonts w:ascii="Arial" w:hAnsi="Arial"/>
                <w:b/>
                <w:sz w:val="20"/>
                <w:szCs w:val="20"/>
              </w:rPr>
              <w:t>D</w:t>
            </w:r>
          </w:p>
        </w:tc>
        <w:tc>
          <w:tcPr>
            <w:tcW w:w="2559" w:type="pct"/>
          </w:tcPr>
          <w:p w:rsidR="003A596A" w:rsidRPr="00A17E25" w:rsidRDefault="003A596A" w:rsidP="008D5791">
            <w:pPr>
              <w:jc w:val="both"/>
              <w:rPr>
                <w:rFonts w:ascii="Arial" w:hAnsi="Arial"/>
                <w:sz w:val="20"/>
                <w:szCs w:val="20"/>
              </w:rPr>
            </w:pPr>
            <w:r w:rsidRPr="00A17E25">
              <w:rPr>
                <w:rFonts w:ascii="Arial" w:hAnsi="Arial"/>
                <w:sz w:val="20"/>
                <w:szCs w:val="20"/>
              </w:rPr>
              <w:t xml:space="preserve">Les dépenses effectives </w:t>
            </w:r>
            <w:r w:rsidR="00CA3D61">
              <w:rPr>
                <w:rFonts w:ascii="Arial" w:hAnsi="Arial"/>
                <w:sz w:val="20"/>
                <w:szCs w:val="20"/>
              </w:rPr>
              <w:t>n’</w:t>
            </w:r>
            <w:r w:rsidRPr="00A17E25">
              <w:rPr>
                <w:rFonts w:ascii="Arial" w:hAnsi="Arial"/>
                <w:sz w:val="20"/>
                <w:szCs w:val="20"/>
              </w:rPr>
              <w:t xml:space="preserve">ont représenté entre 85% et 115% du montant total des dépenses approuvées inscrites initialement au budget </w:t>
            </w:r>
            <w:r w:rsidR="008D5791">
              <w:rPr>
                <w:rFonts w:ascii="Arial" w:hAnsi="Arial"/>
                <w:sz w:val="20"/>
                <w:szCs w:val="20"/>
              </w:rPr>
              <w:t>qu’une</w:t>
            </w:r>
            <w:r w:rsidRPr="00A17E25">
              <w:rPr>
                <w:rFonts w:ascii="Arial" w:hAnsi="Arial"/>
                <w:sz w:val="20"/>
                <w:szCs w:val="20"/>
              </w:rPr>
              <w:t xml:space="preserve"> année sur les trois années couvertes par l’évaluation. Les taux d’exécution se sont établis à 96,6% en 2012</w:t>
            </w:r>
            <w:r w:rsidR="00CA3D61">
              <w:rPr>
                <w:rFonts w:ascii="Arial" w:hAnsi="Arial"/>
                <w:sz w:val="20"/>
                <w:szCs w:val="20"/>
              </w:rPr>
              <w:t>,</w:t>
            </w:r>
            <w:r w:rsidRPr="00A17E25">
              <w:rPr>
                <w:rFonts w:ascii="Arial" w:hAnsi="Arial"/>
                <w:sz w:val="20"/>
                <w:szCs w:val="20"/>
              </w:rPr>
              <w:t xml:space="preserve"> à 84,4% en 2013</w:t>
            </w:r>
            <w:r w:rsidR="00CA3D61">
              <w:rPr>
                <w:rFonts w:ascii="Arial" w:hAnsi="Arial"/>
                <w:sz w:val="20"/>
                <w:szCs w:val="20"/>
              </w:rPr>
              <w:t xml:space="preserve"> et 75,6% en 2014</w:t>
            </w:r>
            <w:r w:rsidRPr="00A17E25">
              <w:rPr>
                <w:rFonts w:ascii="Arial" w:hAnsi="Arial"/>
                <w:sz w:val="20"/>
                <w:szCs w:val="20"/>
              </w:rPr>
              <w:t xml:space="preserve">. </w:t>
            </w:r>
          </w:p>
        </w:tc>
      </w:tr>
    </w:tbl>
    <w:p w:rsidR="003A596A" w:rsidRPr="00A17E25" w:rsidRDefault="003A596A" w:rsidP="003A596A">
      <w:pPr>
        <w:rPr>
          <w:rFonts w:ascii="Arial" w:hAnsi="Arial"/>
          <w:b/>
        </w:rPr>
      </w:pPr>
    </w:p>
    <w:p w:rsidR="003A596A" w:rsidRPr="00A17E25" w:rsidRDefault="003A596A" w:rsidP="003A596A">
      <w:pPr>
        <w:rPr>
          <w:rFonts w:ascii="Arial" w:hAnsi="Arial"/>
          <w:b/>
        </w:rPr>
      </w:pPr>
    </w:p>
    <w:p w:rsidR="003A596A" w:rsidRPr="00A17E25" w:rsidRDefault="003A596A" w:rsidP="003A596A">
      <w:pPr>
        <w:rPr>
          <w:rFonts w:ascii="Arial" w:hAnsi="Arial"/>
          <w:b/>
        </w:rPr>
      </w:pPr>
      <w:r w:rsidRPr="00A17E25">
        <w:rPr>
          <w:rFonts w:ascii="Arial" w:hAnsi="Arial"/>
          <w:b/>
        </w:rPr>
        <w:t>PI-2 : Composition des dépenses effectives par rapport au budget initialement approuvé</w:t>
      </w:r>
    </w:p>
    <w:p w:rsidR="003A596A" w:rsidRPr="00A17E25" w:rsidRDefault="003A596A" w:rsidP="003A596A">
      <w:pPr>
        <w:rPr>
          <w:rFonts w:ascii="Arial" w:hAnsi="Arial"/>
          <w:b/>
        </w:rPr>
      </w:pPr>
    </w:p>
    <w:p w:rsidR="003A596A" w:rsidRPr="00A17E25" w:rsidRDefault="003A596A" w:rsidP="003A596A">
      <w:pPr>
        <w:jc w:val="both"/>
        <w:rPr>
          <w:rFonts w:ascii="Arial" w:hAnsi="Arial"/>
        </w:rPr>
      </w:pPr>
      <w:r w:rsidRPr="00A17E25">
        <w:rPr>
          <w:rFonts w:ascii="Arial" w:hAnsi="Arial"/>
        </w:rPr>
        <w:t xml:space="preserve">L’évaluation de cet indicateur est basée sur la structure budgétaire actuelle de la Commune  de Casablanca. Les dépenses budgétaires sont regroupées en chapitres, articles et paragraphes. Les chapitres correspondent aux principaux domaines d’intervention de la Ville : administration générale, affaires sociales, affaires techniques, affaires économiques </w:t>
      </w:r>
      <w:r w:rsidR="001B4824">
        <w:rPr>
          <w:rFonts w:ascii="Arial" w:hAnsi="Arial"/>
        </w:rPr>
        <w:t xml:space="preserve">et </w:t>
      </w:r>
      <w:r w:rsidRPr="00A17E25">
        <w:rPr>
          <w:rFonts w:ascii="Arial" w:hAnsi="Arial"/>
        </w:rPr>
        <w:t xml:space="preserve">soutien. Les articles correspondent à des sous-domaines d’intervention. La classification économique prévue par la nomenclature budgétaire n’est pas utilisée </w:t>
      </w:r>
      <w:r w:rsidR="005409DB">
        <w:rPr>
          <w:rFonts w:ascii="Arial" w:hAnsi="Arial"/>
        </w:rPr>
        <w:t xml:space="preserve">(comme pour les autres communes du Maroc) </w:t>
      </w:r>
      <w:r w:rsidRPr="00A17E25">
        <w:rPr>
          <w:rFonts w:ascii="Arial" w:hAnsi="Arial"/>
        </w:rPr>
        <w:t>pour la présentation, l’exécution et le rapportage budgétaires. Aux termes des dispositions de l’article 17 de la loi n° 45-08 relative à l’organisation des finances des collectivités locales, l’unité de vote du budget des collectivités locales est le chapitre, donc les grands domaines d’intervention.</w:t>
      </w:r>
    </w:p>
    <w:p w:rsidR="003A596A" w:rsidRPr="00A17E25" w:rsidRDefault="003A596A" w:rsidP="003A596A">
      <w:pPr>
        <w:rPr>
          <w:rFonts w:ascii="Arial" w:hAnsi="Arial"/>
          <w:sz w:val="20"/>
          <w:szCs w:val="20"/>
        </w:rPr>
      </w:pPr>
    </w:p>
    <w:p w:rsidR="003A596A" w:rsidRPr="0044265E" w:rsidRDefault="003A596A" w:rsidP="00151AD3">
      <w:pPr>
        <w:pStyle w:val="ListParagraph"/>
        <w:numPr>
          <w:ilvl w:val="0"/>
          <w:numId w:val="12"/>
        </w:numPr>
        <w:contextualSpacing/>
        <w:jc w:val="both"/>
        <w:rPr>
          <w:rFonts w:ascii="Arial" w:hAnsi="Arial"/>
          <w:i/>
          <w:color w:val="0070C0"/>
        </w:rPr>
      </w:pPr>
      <w:r w:rsidRPr="0044265E">
        <w:rPr>
          <w:rFonts w:ascii="Arial" w:hAnsi="Arial"/>
          <w:i/>
          <w:color w:val="0070C0"/>
        </w:rPr>
        <w:t>Ampleur des écarts dans la composition des dépenses au cours des trois derniers exercices non compris les crédits provisionnels et les intérêts au titre de la dette</w:t>
      </w:r>
    </w:p>
    <w:p w:rsidR="000F43FB" w:rsidRDefault="000F43FB"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La variation de la composition des dépenses est analysée par rapport aux principaux domaines d’intervention sur la base desquels le budget est structuré et qui correspondent aux chapitres budgétaires. Les dépenses des comptes d’affectation spéciale n’étant pas présentées par domaine d’intervention, elles ont été considérées comme une composante d’affectation.</w:t>
      </w:r>
    </w:p>
    <w:p w:rsidR="003A596A" w:rsidRPr="00A17E25" w:rsidRDefault="003A596A" w:rsidP="003A596A">
      <w:pPr>
        <w:jc w:val="both"/>
        <w:rPr>
          <w:rFonts w:ascii="Arial" w:hAnsi="Arial"/>
        </w:rPr>
      </w:pPr>
    </w:p>
    <w:p w:rsidR="00EC565D" w:rsidRPr="00A17E25" w:rsidRDefault="003A596A" w:rsidP="003A596A">
      <w:pPr>
        <w:jc w:val="both"/>
        <w:rPr>
          <w:rFonts w:ascii="Arial" w:hAnsi="Arial"/>
        </w:rPr>
      </w:pPr>
      <w:r w:rsidRPr="00A17E25">
        <w:rPr>
          <w:rFonts w:ascii="Arial" w:hAnsi="Arial"/>
        </w:rPr>
        <w:t xml:space="preserve">Sur la base de la classification par domaine d’intervention, les écarts dans la composition des dépenses tels qu’ils ressortent des feuilles de calcul annexées au présent rapport sont présentés dans le tableau ci-dessous. </w:t>
      </w:r>
    </w:p>
    <w:p w:rsidR="003821F1" w:rsidRDefault="003821F1">
      <w:pPr>
        <w:rPr>
          <w:rFonts w:ascii="Arial Narrow" w:hAnsi="Arial Narrow"/>
          <w:b/>
          <w:sz w:val="20"/>
          <w:szCs w:val="20"/>
          <w:u w:val="single"/>
        </w:rPr>
      </w:pPr>
    </w:p>
    <w:p w:rsidR="003A596A" w:rsidRPr="00592ACC" w:rsidRDefault="00592ACC" w:rsidP="003A596A">
      <w:pPr>
        <w:jc w:val="center"/>
        <w:rPr>
          <w:rFonts w:ascii="Arial Narrow" w:hAnsi="Arial Narrow"/>
          <w:b/>
          <w:sz w:val="20"/>
          <w:szCs w:val="20"/>
        </w:rPr>
      </w:pPr>
      <w:r w:rsidRPr="00592ACC">
        <w:rPr>
          <w:rFonts w:ascii="Arial Narrow" w:hAnsi="Arial Narrow"/>
          <w:b/>
          <w:sz w:val="20"/>
          <w:szCs w:val="20"/>
          <w:u w:val="single"/>
        </w:rPr>
        <w:t>TABLEAU</w:t>
      </w:r>
      <w:r>
        <w:rPr>
          <w:rFonts w:ascii="Arial Narrow" w:hAnsi="Arial Narrow"/>
          <w:b/>
          <w:sz w:val="20"/>
          <w:szCs w:val="20"/>
        </w:rPr>
        <w:t xml:space="preserve"> </w:t>
      </w:r>
      <w:r w:rsidR="003821F1">
        <w:rPr>
          <w:rFonts w:ascii="Arial Narrow" w:hAnsi="Arial Narrow"/>
          <w:b/>
          <w:sz w:val="20"/>
          <w:szCs w:val="20"/>
        </w:rPr>
        <w:t>3.6</w:t>
      </w:r>
      <w:r w:rsidR="003821F1" w:rsidRPr="00592ACC">
        <w:rPr>
          <w:rFonts w:ascii="Arial Narrow" w:hAnsi="Arial Narrow"/>
          <w:b/>
          <w:sz w:val="20"/>
          <w:szCs w:val="20"/>
        </w:rPr>
        <w:t xml:space="preserve"> :</w:t>
      </w:r>
      <w:r w:rsidR="003A596A" w:rsidRPr="00592ACC">
        <w:rPr>
          <w:rFonts w:ascii="Arial Narrow" w:hAnsi="Arial Narrow"/>
          <w:b/>
          <w:sz w:val="20"/>
          <w:szCs w:val="20"/>
        </w:rPr>
        <w:t xml:space="preserve"> Variation de la composition des dépenses de la </w:t>
      </w:r>
      <w:r w:rsidR="00F86504">
        <w:rPr>
          <w:rFonts w:ascii="Arial Narrow" w:hAnsi="Arial Narrow"/>
          <w:b/>
          <w:sz w:val="20"/>
          <w:szCs w:val="20"/>
        </w:rPr>
        <w:t>CC</w:t>
      </w:r>
      <w:r w:rsidR="003A596A" w:rsidRPr="00592ACC">
        <w:rPr>
          <w:rFonts w:ascii="Arial Narrow" w:hAnsi="Arial Narrow"/>
          <w:b/>
          <w:sz w:val="20"/>
          <w:szCs w:val="20"/>
        </w:rPr>
        <w:t xml:space="preserve"> par domaine de 2012 à 2014</w:t>
      </w:r>
    </w:p>
    <w:p w:rsidR="003A596A" w:rsidRPr="00A17E25" w:rsidRDefault="003A596A" w:rsidP="003A596A">
      <w:pPr>
        <w:rPr>
          <w:rFonts w:ascii="Arial" w:hAnsi="Arial"/>
          <w:sz w:val="20"/>
          <w:szCs w:val="20"/>
        </w:rPr>
      </w:pPr>
    </w:p>
    <w:tbl>
      <w:tblPr>
        <w:tblStyle w:val="TableGrid"/>
        <w:tblW w:w="5000" w:type="pct"/>
        <w:tblLook w:val="04A0" w:firstRow="1" w:lastRow="0" w:firstColumn="1" w:lastColumn="0" w:noHBand="0" w:noVBand="1"/>
      </w:tblPr>
      <w:tblGrid>
        <w:gridCol w:w="1077"/>
        <w:gridCol w:w="3645"/>
        <w:gridCol w:w="4628"/>
      </w:tblGrid>
      <w:tr w:rsidR="003A596A" w:rsidRPr="00A17E25" w:rsidTr="004B57C3">
        <w:tc>
          <w:tcPr>
            <w:tcW w:w="576"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Années</w:t>
            </w:r>
          </w:p>
        </w:tc>
        <w:tc>
          <w:tcPr>
            <w:tcW w:w="1949"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Décomposition de la variation</w:t>
            </w:r>
          </w:p>
        </w:tc>
        <w:tc>
          <w:tcPr>
            <w:tcW w:w="2476"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Utilisation de la réserve provisionnelle</w:t>
            </w:r>
          </w:p>
          <w:p w:rsidR="003A596A" w:rsidRPr="00A17E25" w:rsidRDefault="003A596A" w:rsidP="003A596A">
            <w:pPr>
              <w:jc w:val="center"/>
              <w:rPr>
                <w:rFonts w:ascii="Arial" w:hAnsi="Arial"/>
                <w:b/>
                <w:color w:val="FFFFFF" w:themeColor="background1"/>
                <w:sz w:val="20"/>
                <w:szCs w:val="20"/>
              </w:rPr>
            </w:pPr>
          </w:p>
        </w:tc>
      </w:tr>
      <w:tr w:rsidR="003A596A" w:rsidRPr="00A17E25" w:rsidTr="003A596A">
        <w:tc>
          <w:tcPr>
            <w:tcW w:w="576" w:type="pct"/>
          </w:tcPr>
          <w:p w:rsidR="003A596A" w:rsidRPr="00A17E25" w:rsidRDefault="003A596A" w:rsidP="003A596A">
            <w:pPr>
              <w:keepNext/>
              <w:keepLines/>
              <w:spacing w:before="200"/>
              <w:outlineLvl w:val="3"/>
              <w:rPr>
                <w:rFonts w:ascii="Arial" w:hAnsi="Arial"/>
                <w:sz w:val="20"/>
                <w:szCs w:val="20"/>
              </w:rPr>
            </w:pPr>
            <w:r w:rsidRPr="00A17E25">
              <w:rPr>
                <w:rFonts w:ascii="Arial" w:hAnsi="Arial"/>
                <w:sz w:val="20"/>
                <w:szCs w:val="20"/>
              </w:rPr>
              <w:t>2012</w:t>
            </w:r>
          </w:p>
        </w:tc>
        <w:tc>
          <w:tcPr>
            <w:tcW w:w="194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70,0%</w:t>
            </w:r>
          </w:p>
        </w:tc>
        <w:tc>
          <w:tcPr>
            <w:tcW w:w="2476" w:type="pct"/>
          </w:tcPr>
          <w:p w:rsidR="003A596A" w:rsidRPr="00A17E25" w:rsidRDefault="003A596A" w:rsidP="003A596A">
            <w:pPr>
              <w:jc w:val="center"/>
              <w:rPr>
                <w:rFonts w:ascii="Arial" w:hAnsi="Arial"/>
                <w:sz w:val="20"/>
                <w:szCs w:val="20"/>
              </w:rPr>
            </w:pPr>
            <w:r w:rsidRPr="00A17E25">
              <w:rPr>
                <w:rFonts w:ascii="Arial" w:hAnsi="Arial"/>
                <w:sz w:val="20"/>
                <w:szCs w:val="20"/>
              </w:rPr>
              <w:t>0%</w:t>
            </w:r>
          </w:p>
          <w:p w:rsidR="003A596A" w:rsidRPr="00A17E25" w:rsidRDefault="003A596A" w:rsidP="003A596A">
            <w:pPr>
              <w:jc w:val="center"/>
              <w:rPr>
                <w:rFonts w:ascii="Arial" w:hAnsi="Arial"/>
                <w:sz w:val="20"/>
                <w:szCs w:val="20"/>
              </w:rPr>
            </w:pPr>
          </w:p>
        </w:tc>
      </w:tr>
      <w:tr w:rsidR="003A596A" w:rsidRPr="00A17E25" w:rsidTr="003A596A">
        <w:tc>
          <w:tcPr>
            <w:tcW w:w="576" w:type="pct"/>
          </w:tcPr>
          <w:p w:rsidR="003A596A" w:rsidRPr="00A17E25" w:rsidRDefault="003A596A" w:rsidP="003A596A">
            <w:pPr>
              <w:keepNext/>
              <w:keepLines/>
              <w:spacing w:before="200"/>
              <w:outlineLvl w:val="3"/>
              <w:rPr>
                <w:rFonts w:ascii="Arial" w:hAnsi="Arial"/>
                <w:sz w:val="20"/>
                <w:szCs w:val="20"/>
              </w:rPr>
            </w:pPr>
            <w:r w:rsidRPr="00A17E25">
              <w:rPr>
                <w:rFonts w:ascii="Arial" w:hAnsi="Arial"/>
                <w:sz w:val="20"/>
                <w:szCs w:val="20"/>
              </w:rPr>
              <w:t>2013</w:t>
            </w:r>
          </w:p>
        </w:tc>
        <w:tc>
          <w:tcPr>
            <w:tcW w:w="194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65,9%</w:t>
            </w:r>
          </w:p>
        </w:tc>
        <w:tc>
          <w:tcPr>
            <w:tcW w:w="2476" w:type="pct"/>
          </w:tcPr>
          <w:p w:rsidR="003A596A" w:rsidRPr="00A17E25" w:rsidRDefault="003A596A" w:rsidP="003A596A">
            <w:pPr>
              <w:jc w:val="center"/>
              <w:rPr>
                <w:rFonts w:ascii="Arial" w:hAnsi="Arial"/>
                <w:sz w:val="20"/>
                <w:szCs w:val="20"/>
              </w:rPr>
            </w:pPr>
            <w:r w:rsidRPr="00A17E25">
              <w:rPr>
                <w:rFonts w:ascii="Arial" w:hAnsi="Arial"/>
                <w:sz w:val="20"/>
                <w:szCs w:val="20"/>
              </w:rPr>
              <w:t>0%</w:t>
            </w:r>
          </w:p>
          <w:p w:rsidR="003A596A" w:rsidRPr="00A17E25" w:rsidRDefault="003A596A" w:rsidP="003A596A">
            <w:pPr>
              <w:jc w:val="center"/>
              <w:rPr>
                <w:rFonts w:ascii="Arial" w:hAnsi="Arial"/>
                <w:sz w:val="20"/>
                <w:szCs w:val="20"/>
              </w:rPr>
            </w:pPr>
          </w:p>
        </w:tc>
      </w:tr>
      <w:tr w:rsidR="003A596A" w:rsidRPr="00A17E25" w:rsidTr="003A596A">
        <w:tc>
          <w:tcPr>
            <w:tcW w:w="576" w:type="pct"/>
          </w:tcPr>
          <w:p w:rsidR="003A596A" w:rsidRPr="00A17E25" w:rsidRDefault="003A596A" w:rsidP="003A596A">
            <w:pPr>
              <w:keepNext/>
              <w:keepLines/>
              <w:spacing w:before="200"/>
              <w:outlineLvl w:val="3"/>
              <w:rPr>
                <w:rFonts w:ascii="Arial" w:hAnsi="Arial"/>
                <w:sz w:val="20"/>
                <w:szCs w:val="20"/>
              </w:rPr>
            </w:pPr>
            <w:r w:rsidRPr="00A17E25">
              <w:rPr>
                <w:rFonts w:ascii="Arial" w:hAnsi="Arial"/>
                <w:sz w:val="20"/>
                <w:szCs w:val="20"/>
              </w:rPr>
              <w:t>2014</w:t>
            </w:r>
          </w:p>
        </w:tc>
        <w:tc>
          <w:tcPr>
            <w:tcW w:w="1949"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65,6%</w:t>
            </w:r>
          </w:p>
        </w:tc>
        <w:tc>
          <w:tcPr>
            <w:tcW w:w="2476" w:type="pct"/>
          </w:tcPr>
          <w:p w:rsidR="003A596A" w:rsidRPr="00A17E25" w:rsidRDefault="003A596A" w:rsidP="003A596A">
            <w:pPr>
              <w:jc w:val="center"/>
              <w:rPr>
                <w:rFonts w:ascii="Arial" w:hAnsi="Arial"/>
                <w:sz w:val="20"/>
                <w:szCs w:val="20"/>
              </w:rPr>
            </w:pPr>
            <w:r w:rsidRPr="00A17E25">
              <w:rPr>
                <w:rFonts w:ascii="Arial" w:hAnsi="Arial"/>
                <w:sz w:val="20"/>
                <w:szCs w:val="20"/>
              </w:rPr>
              <w:t>0%</w:t>
            </w:r>
          </w:p>
          <w:p w:rsidR="003A596A" w:rsidRPr="00A17E25" w:rsidRDefault="003A596A" w:rsidP="003A596A">
            <w:pPr>
              <w:jc w:val="center"/>
              <w:rPr>
                <w:rFonts w:ascii="Arial" w:hAnsi="Arial"/>
                <w:sz w:val="20"/>
                <w:szCs w:val="20"/>
              </w:rPr>
            </w:pPr>
          </w:p>
        </w:tc>
      </w:tr>
    </w:tbl>
    <w:p w:rsidR="003A596A" w:rsidRPr="00A17E25" w:rsidRDefault="003A596A" w:rsidP="003A596A">
      <w:pPr>
        <w:jc w:val="center"/>
        <w:rPr>
          <w:rFonts w:ascii="Arial" w:hAnsi="Arial"/>
          <w:sz w:val="20"/>
          <w:szCs w:val="20"/>
        </w:rPr>
      </w:pPr>
      <w:r w:rsidRPr="00A17E25">
        <w:rPr>
          <w:rFonts w:ascii="Arial" w:hAnsi="Arial"/>
          <w:sz w:val="20"/>
          <w:szCs w:val="20"/>
          <w:u w:val="single"/>
        </w:rPr>
        <w:t>Sources </w:t>
      </w:r>
      <w:r w:rsidRPr="00A17E25">
        <w:rPr>
          <w:rFonts w:ascii="Arial" w:hAnsi="Arial"/>
          <w:sz w:val="20"/>
          <w:szCs w:val="20"/>
        </w:rPr>
        <w:t>: Comptes administratifs des exercices 2012 à 2014</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Il ressort de ce tableau que durant les trois exercices pris en compte pour l’évaluation de cet indicateur que la variation de la composition des dépenses par rapport aux dépenses inscrites aux budgets initialement approuvés a été très forte : 70% en 2012, 65,9% en 2013 et 65,6% en 2014. Elle a donc été de plus de 15% durant les trois exercices. Cette situation s’explique principalement par les problèmes liés à la présentation du budget de la Commune de Casablanca soulevés plus haut.</w:t>
      </w:r>
    </w:p>
    <w:p w:rsidR="003A596A" w:rsidRPr="00A17E25" w:rsidRDefault="003A596A" w:rsidP="003A596A">
      <w:pPr>
        <w:rPr>
          <w:rFonts w:ascii="Arial" w:hAnsi="Arial"/>
        </w:rPr>
      </w:pPr>
    </w:p>
    <w:p w:rsidR="003A596A" w:rsidRPr="004B57C3" w:rsidRDefault="003A596A" w:rsidP="00151AD3">
      <w:pPr>
        <w:pStyle w:val="ListParagraph"/>
        <w:numPr>
          <w:ilvl w:val="0"/>
          <w:numId w:val="12"/>
        </w:numPr>
        <w:contextualSpacing/>
        <w:jc w:val="both"/>
        <w:rPr>
          <w:rFonts w:ascii="Arial" w:hAnsi="Arial"/>
          <w:i/>
          <w:color w:val="0070C0"/>
        </w:rPr>
      </w:pPr>
      <w:r w:rsidRPr="004B57C3">
        <w:rPr>
          <w:rFonts w:ascii="Arial" w:hAnsi="Arial"/>
          <w:i/>
          <w:color w:val="0070C0"/>
        </w:rPr>
        <w:t xml:space="preserve">Ampleur des écarts dans la composition des dépenses dans la classification économique au cours des trois derniers exercices y compris les intérêts au titre de la dette mais à l’exclusion des postes pour imprévus </w:t>
      </w:r>
    </w:p>
    <w:p w:rsidR="000F43FB" w:rsidRDefault="000F43FB"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 xml:space="preserve">La classification économique fixée par la nomenclature budgétaire n’est pas utilisée pour la présentation, l’exécution et le rapportage budgétaires. En vue de noter cette composante, la mission a procédé au regroupement des dépenses budgétaires de la </w:t>
      </w:r>
      <w:r w:rsidR="00F86504">
        <w:rPr>
          <w:rFonts w:ascii="Arial" w:hAnsi="Arial"/>
        </w:rPr>
        <w:t>CC</w:t>
      </w:r>
      <w:r w:rsidRPr="00A17E25">
        <w:rPr>
          <w:rFonts w:ascii="Arial" w:hAnsi="Arial"/>
        </w:rPr>
        <w:t xml:space="preserve"> en quatre grandes natures : (i) dépenses de personnel, (ii) intérêts des emprunts contractés, (iii) autres dépenses de fonctionnement et, (iv) dépenses d’équipement. Les dépenses des caisses d’affectation spéciale qui, d’une manière générale e rapportent à des projets spécifiques, ont été intégrées aux dépenses d’équipement.</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La variation de la composition des dépenses suivant cette classification par rapport aux prévisions du budget initial est présentée dans le tableau ci-dessous.</w:t>
      </w:r>
    </w:p>
    <w:p w:rsidR="003A596A" w:rsidRPr="00A17E25" w:rsidRDefault="003A596A" w:rsidP="003A596A">
      <w:pPr>
        <w:rPr>
          <w:rFonts w:ascii="Arial" w:hAnsi="Arial"/>
        </w:rPr>
      </w:pPr>
    </w:p>
    <w:p w:rsidR="003A596A" w:rsidRPr="00592ACC" w:rsidRDefault="00592ACC" w:rsidP="003A596A">
      <w:pPr>
        <w:jc w:val="center"/>
        <w:rPr>
          <w:rFonts w:ascii="Arial Narrow" w:hAnsi="Arial Narrow"/>
          <w:b/>
          <w:sz w:val="20"/>
          <w:szCs w:val="20"/>
        </w:rPr>
      </w:pPr>
      <w:r w:rsidRPr="00592ACC">
        <w:rPr>
          <w:rFonts w:ascii="Arial Narrow" w:hAnsi="Arial Narrow"/>
          <w:b/>
          <w:sz w:val="20"/>
          <w:szCs w:val="20"/>
          <w:u w:val="single"/>
        </w:rPr>
        <w:t>TABLEAU</w:t>
      </w:r>
      <w:r>
        <w:rPr>
          <w:rFonts w:ascii="Arial Narrow" w:hAnsi="Arial Narrow"/>
          <w:b/>
          <w:sz w:val="20"/>
          <w:szCs w:val="20"/>
          <w:u w:val="single"/>
        </w:rPr>
        <w:t xml:space="preserve"> </w:t>
      </w:r>
      <w:r>
        <w:rPr>
          <w:rFonts w:ascii="Arial Narrow" w:hAnsi="Arial Narrow"/>
          <w:b/>
          <w:sz w:val="20"/>
          <w:szCs w:val="20"/>
        </w:rPr>
        <w:t>3.7 :</w:t>
      </w:r>
      <w:r w:rsidR="003A596A" w:rsidRPr="00592ACC">
        <w:rPr>
          <w:rFonts w:ascii="Arial Narrow" w:hAnsi="Arial Narrow"/>
          <w:b/>
          <w:sz w:val="20"/>
          <w:szCs w:val="20"/>
        </w:rPr>
        <w:t xml:space="preserve"> Variation de la composition des dépenses de la </w:t>
      </w:r>
      <w:r w:rsidR="00F86504">
        <w:rPr>
          <w:rFonts w:ascii="Arial Narrow" w:hAnsi="Arial Narrow"/>
          <w:b/>
          <w:sz w:val="20"/>
          <w:szCs w:val="20"/>
        </w:rPr>
        <w:t>CC</w:t>
      </w:r>
      <w:r w:rsidR="003A596A" w:rsidRPr="00592ACC">
        <w:rPr>
          <w:rFonts w:ascii="Arial Narrow" w:hAnsi="Arial Narrow"/>
          <w:b/>
          <w:sz w:val="20"/>
          <w:szCs w:val="20"/>
        </w:rPr>
        <w:t xml:space="preserve"> par grande nature de 2012 à 2014</w:t>
      </w:r>
    </w:p>
    <w:p w:rsidR="003A596A" w:rsidRPr="00A17E25" w:rsidRDefault="003A596A" w:rsidP="003A596A">
      <w:pPr>
        <w:rPr>
          <w:rFonts w:ascii="Arial" w:hAnsi="Arial"/>
          <w:sz w:val="20"/>
          <w:szCs w:val="20"/>
        </w:rPr>
      </w:pPr>
    </w:p>
    <w:tbl>
      <w:tblPr>
        <w:tblStyle w:val="TableGrid"/>
        <w:tblW w:w="5000" w:type="pct"/>
        <w:tblLook w:val="04A0" w:firstRow="1" w:lastRow="0" w:firstColumn="1" w:lastColumn="0" w:noHBand="0" w:noVBand="1"/>
      </w:tblPr>
      <w:tblGrid>
        <w:gridCol w:w="2132"/>
        <w:gridCol w:w="7218"/>
      </w:tblGrid>
      <w:tr w:rsidR="003A596A" w:rsidRPr="00A17E25" w:rsidTr="004B57C3">
        <w:tc>
          <w:tcPr>
            <w:tcW w:w="1140"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Années</w:t>
            </w:r>
          </w:p>
        </w:tc>
        <w:tc>
          <w:tcPr>
            <w:tcW w:w="3860"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 xml:space="preserve">Variation de la composition </w:t>
            </w:r>
          </w:p>
        </w:tc>
      </w:tr>
      <w:tr w:rsidR="003A596A" w:rsidRPr="00A17E25" w:rsidTr="003A596A">
        <w:tc>
          <w:tcPr>
            <w:tcW w:w="114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2012</w:t>
            </w:r>
          </w:p>
        </w:tc>
        <w:tc>
          <w:tcPr>
            <w:tcW w:w="386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5,3%</w:t>
            </w:r>
          </w:p>
        </w:tc>
      </w:tr>
      <w:tr w:rsidR="003A596A" w:rsidRPr="00A17E25" w:rsidTr="003A596A">
        <w:tc>
          <w:tcPr>
            <w:tcW w:w="114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2013</w:t>
            </w:r>
          </w:p>
        </w:tc>
        <w:tc>
          <w:tcPr>
            <w:tcW w:w="386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18,7%</w:t>
            </w:r>
          </w:p>
        </w:tc>
      </w:tr>
      <w:tr w:rsidR="003A596A" w:rsidRPr="00A17E25" w:rsidTr="003A596A">
        <w:tc>
          <w:tcPr>
            <w:tcW w:w="114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2014</w:t>
            </w:r>
          </w:p>
        </w:tc>
        <w:tc>
          <w:tcPr>
            <w:tcW w:w="3860" w:type="pct"/>
          </w:tcPr>
          <w:p w:rsidR="003A596A" w:rsidRPr="00A17E25" w:rsidRDefault="003A596A" w:rsidP="003A596A">
            <w:pPr>
              <w:keepNext/>
              <w:keepLines/>
              <w:spacing w:before="200"/>
              <w:jc w:val="center"/>
              <w:outlineLvl w:val="3"/>
              <w:rPr>
                <w:rFonts w:ascii="Arial" w:hAnsi="Arial"/>
                <w:sz w:val="20"/>
                <w:szCs w:val="20"/>
              </w:rPr>
            </w:pPr>
            <w:r w:rsidRPr="00A17E25">
              <w:rPr>
                <w:rFonts w:ascii="Arial" w:hAnsi="Arial"/>
                <w:sz w:val="20"/>
                <w:szCs w:val="20"/>
              </w:rPr>
              <w:t>32,1%</w:t>
            </w:r>
          </w:p>
        </w:tc>
      </w:tr>
    </w:tbl>
    <w:p w:rsidR="003A596A" w:rsidRPr="00A17E25" w:rsidRDefault="003A596A" w:rsidP="003A596A">
      <w:pPr>
        <w:jc w:val="center"/>
        <w:rPr>
          <w:rFonts w:ascii="Arial" w:hAnsi="Arial"/>
        </w:rPr>
      </w:pPr>
      <w:r w:rsidRPr="00A17E25">
        <w:rPr>
          <w:rFonts w:ascii="Arial" w:hAnsi="Arial"/>
          <w:sz w:val="20"/>
          <w:szCs w:val="20"/>
          <w:u w:val="single"/>
        </w:rPr>
        <w:t>Sources </w:t>
      </w:r>
      <w:r w:rsidRPr="00A17E25">
        <w:rPr>
          <w:rFonts w:ascii="Arial" w:hAnsi="Arial"/>
          <w:sz w:val="20"/>
          <w:szCs w:val="20"/>
        </w:rPr>
        <w:t>: Comptes administratifs des exercices 2012 à 2014</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 xml:space="preserve">La variation de la composition des dépenses budgétaires de la </w:t>
      </w:r>
      <w:r w:rsidR="00F86504">
        <w:rPr>
          <w:rFonts w:ascii="Arial" w:hAnsi="Arial"/>
        </w:rPr>
        <w:t>CC</w:t>
      </w:r>
      <w:r w:rsidRPr="00A17E25">
        <w:rPr>
          <w:rFonts w:ascii="Arial" w:hAnsi="Arial"/>
        </w:rPr>
        <w:t xml:space="preserve"> suivant les grandes natures a été particulièrement forte en 2013 et 2014. Au cours de ces deux années, elle a été supérieure à 15% (18,7%en 2013 et 32,1% en 2014). Ces valeurs ont été  influencées par (i) les dépenses d’équipement qui n’ont pas l’objet de prévisions aux budgets </w:t>
      </w:r>
      <w:r w:rsidR="00D8102C">
        <w:rPr>
          <w:rFonts w:ascii="Arial" w:hAnsi="Arial"/>
        </w:rPr>
        <w:t>initiaux</w:t>
      </w:r>
      <w:r w:rsidRPr="00A17E25">
        <w:rPr>
          <w:rFonts w:ascii="Arial" w:hAnsi="Arial"/>
        </w:rPr>
        <w:t xml:space="preserve"> sur les trois exercices et (ii) par la prise en compte des dépenses des comptes d’affectation spéciale qui sont prévues initialement à 1380,16 millions de dirhams, mais qui n’ont été réalisées qu’à moins de 1% sur les trois exercices. Si les dépenses des CAS n’avaient pas été prises en compte, la variation sur les trois exercices aurait été de 71,8% en 2012, 45,8% en 2013 et 31,6% en é014.</w:t>
      </w:r>
    </w:p>
    <w:p w:rsidR="003A596A" w:rsidRPr="004B57C3" w:rsidRDefault="003A596A" w:rsidP="003A596A">
      <w:pPr>
        <w:rPr>
          <w:rFonts w:ascii="Arial" w:hAnsi="Arial"/>
          <w:color w:val="0070C0"/>
        </w:rPr>
      </w:pPr>
    </w:p>
    <w:p w:rsidR="003A596A" w:rsidRDefault="003A596A" w:rsidP="00151AD3">
      <w:pPr>
        <w:pStyle w:val="ListParagraph"/>
        <w:numPr>
          <w:ilvl w:val="0"/>
          <w:numId w:val="12"/>
        </w:numPr>
        <w:contextualSpacing/>
        <w:jc w:val="both"/>
        <w:rPr>
          <w:rFonts w:ascii="Arial" w:hAnsi="Arial"/>
          <w:i/>
          <w:color w:val="0070C0"/>
        </w:rPr>
      </w:pPr>
      <w:r w:rsidRPr="004B57C3">
        <w:rPr>
          <w:rFonts w:ascii="Arial" w:hAnsi="Arial"/>
          <w:i/>
          <w:color w:val="0070C0"/>
        </w:rPr>
        <w:t>Montant moyen des dépenses actuellement imputées à un crédit provisionnel au cours des trois derniers exercices</w:t>
      </w:r>
    </w:p>
    <w:p w:rsidR="004B57C3" w:rsidRPr="004B57C3" w:rsidRDefault="004B57C3" w:rsidP="004B57C3">
      <w:pPr>
        <w:pStyle w:val="ListParagraph"/>
        <w:ind w:left="1080"/>
        <w:contextualSpacing/>
        <w:jc w:val="both"/>
        <w:rPr>
          <w:rFonts w:ascii="Arial" w:hAnsi="Arial"/>
          <w:i/>
          <w:color w:val="0070C0"/>
        </w:rPr>
      </w:pPr>
    </w:p>
    <w:p w:rsidR="003A596A" w:rsidRPr="00A17E25" w:rsidRDefault="003A596A" w:rsidP="003A596A">
      <w:pPr>
        <w:jc w:val="both"/>
        <w:rPr>
          <w:rFonts w:ascii="Arial" w:hAnsi="Arial"/>
        </w:rPr>
      </w:pPr>
      <w:r w:rsidRPr="00A17E25">
        <w:rPr>
          <w:rFonts w:ascii="Arial" w:hAnsi="Arial"/>
        </w:rPr>
        <w:t>Au cours des trois derniers exercices clôturés, les montants inscrits au budget pour faire face aux dépenses imprévues ont été insignifiants (1000000 de dirhams en 2012, 20000 dirhams en 2013 et 1000000 de dirhams en 2014) et ces provisions n’ont pas été utilisées.</w:t>
      </w:r>
    </w:p>
    <w:p w:rsidR="003A596A" w:rsidRPr="00A17E25" w:rsidRDefault="003A596A" w:rsidP="003A596A">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948"/>
        <w:gridCol w:w="3714"/>
      </w:tblGrid>
      <w:tr w:rsidR="003A596A" w:rsidRPr="00A17E25" w:rsidTr="004B57C3">
        <w:trPr>
          <w:jc w:val="center"/>
        </w:trPr>
        <w:tc>
          <w:tcPr>
            <w:tcW w:w="2507"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Indicateur</w:t>
            </w:r>
          </w:p>
        </w:tc>
        <w:tc>
          <w:tcPr>
            <w:tcW w:w="507" w:type="pct"/>
            <w:shd w:val="clear" w:color="auto" w:fill="0070C0"/>
            <w:vAlign w:val="center"/>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Notes</w:t>
            </w:r>
          </w:p>
        </w:tc>
        <w:tc>
          <w:tcPr>
            <w:tcW w:w="1986" w:type="pct"/>
            <w:shd w:val="clear" w:color="auto" w:fill="0070C0"/>
            <w:vAlign w:val="center"/>
          </w:tcPr>
          <w:p w:rsidR="003A596A" w:rsidRPr="00A17E25" w:rsidRDefault="003A596A" w:rsidP="003A596A">
            <w:pPr>
              <w:jc w:val="center"/>
              <w:rPr>
                <w:rFonts w:ascii="Arial" w:hAnsi="Arial"/>
                <w:b/>
                <w:bCs/>
                <w:color w:val="FFFFFF" w:themeColor="background1"/>
                <w:sz w:val="20"/>
                <w:szCs w:val="20"/>
              </w:rPr>
            </w:pPr>
            <w:r w:rsidRPr="00A17E25">
              <w:rPr>
                <w:rFonts w:ascii="Arial" w:hAnsi="Arial"/>
                <w:b/>
                <w:bCs/>
                <w:color w:val="FFFFFF" w:themeColor="background1"/>
                <w:sz w:val="20"/>
                <w:szCs w:val="20"/>
              </w:rPr>
              <w:t>Explication</w:t>
            </w:r>
          </w:p>
        </w:tc>
      </w:tr>
      <w:tr w:rsidR="003A596A" w:rsidRPr="00A17E25" w:rsidTr="003A596A">
        <w:trPr>
          <w:jc w:val="center"/>
        </w:trPr>
        <w:tc>
          <w:tcPr>
            <w:tcW w:w="2507" w:type="pct"/>
          </w:tcPr>
          <w:p w:rsidR="003A596A" w:rsidRPr="00A17E25" w:rsidRDefault="003A596A" w:rsidP="003A596A">
            <w:pPr>
              <w:rPr>
                <w:rFonts w:ascii="Arial" w:hAnsi="Arial"/>
                <w:b/>
                <w:sz w:val="20"/>
                <w:szCs w:val="20"/>
              </w:rPr>
            </w:pPr>
          </w:p>
          <w:p w:rsidR="003A596A" w:rsidRPr="00A17E25" w:rsidRDefault="003A596A" w:rsidP="003A596A">
            <w:pPr>
              <w:rPr>
                <w:rFonts w:ascii="Arial" w:hAnsi="Arial"/>
                <w:b/>
                <w:sz w:val="20"/>
                <w:szCs w:val="20"/>
              </w:rPr>
            </w:pPr>
            <w:r w:rsidRPr="00A17E25">
              <w:rPr>
                <w:rFonts w:ascii="Arial" w:hAnsi="Arial"/>
                <w:b/>
                <w:sz w:val="20"/>
                <w:szCs w:val="20"/>
              </w:rPr>
              <w:t>PI-2. Composition des dépenses effectives par rapport au budget initialement approuvé</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D+</w:t>
            </w:r>
          </w:p>
        </w:tc>
        <w:tc>
          <w:tcPr>
            <w:tcW w:w="1986" w:type="pct"/>
            <w:vAlign w:val="center"/>
          </w:tcPr>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rPr>
          <w:jc w:val="center"/>
        </w:trPr>
        <w:tc>
          <w:tcPr>
            <w:tcW w:w="2507" w:type="pct"/>
          </w:tcPr>
          <w:p w:rsidR="003A596A" w:rsidRPr="00A17E25" w:rsidRDefault="003A596A" w:rsidP="003A596A">
            <w:pPr>
              <w:rPr>
                <w:rFonts w:ascii="Arial" w:hAnsi="Arial"/>
                <w:sz w:val="20"/>
                <w:szCs w:val="20"/>
              </w:rPr>
            </w:pPr>
          </w:p>
          <w:p w:rsidR="003A596A" w:rsidRPr="00A17E25" w:rsidRDefault="003A596A" w:rsidP="003A596A">
            <w:pPr>
              <w:rPr>
                <w:rFonts w:ascii="Arial" w:hAnsi="Arial"/>
                <w:sz w:val="20"/>
                <w:szCs w:val="20"/>
              </w:rPr>
            </w:pPr>
            <w:r w:rsidRPr="00A17E25">
              <w:rPr>
                <w:rFonts w:ascii="Arial" w:hAnsi="Arial"/>
                <w:sz w:val="20"/>
                <w:szCs w:val="20"/>
              </w:rPr>
              <w:t xml:space="preserve">(i) </w:t>
            </w:r>
            <w:r w:rsidRPr="00A17E25">
              <w:rPr>
                <w:rFonts w:ascii="Arial" w:hAnsi="Arial"/>
                <w:iCs/>
                <w:sz w:val="20"/>
                <w:szCs w:val="20"/>
              </w:rPr>
              <w:t>Ampleur des écarts dans la composition des dépenses au cours des trois derniers exercices, non compris les crédits provisionnels et les intérêts au titre de la dette.</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D</w:t>
            </w:r>
          </w:p>
        </w:tc>
        <w:tc>
          <w:tcPr>
            <w:tcW w:w="1986" w:type="pct"/>
          </w:tcPr>
          <w:p w:rsidR="003A596A" w:rsidRPr="00A17E25" w:rsidRDefault="003A596A" w:rsidP="003A596A">
            <w:pPr>
              <w:jc w:val="both"/>
              <w:rPr>
                <w:rFonts w:ascii="Arial" w:hAnsi="Arial"/>
                <w:sz w:val="20"/>
                <w:szCs w:val="20"/>
              </w:rPr>
            </w:pPr>
            <w:r w:rsidRPr="00A17E25">
              <w:rPr>
                <w:rFonts w:ascii="Arial" w:hAnsi="Arial"/>
                <w:sz w:val="20"/>
                <w:szCs w:val="20"/>
              </w:rPr>
              <w:t xml:space="preserve">La variation de la composition des dépenses par domaine par rapport aux dépenses inscrites aux budgets initialement approuvés a été de plus de 15% au cours des trois exercices : 70% en 2012, 65,9% en 2013 et 65,6% en 2014. </w:t>
            </w:r>
          </w:p>
        </w:tc>
      </w:tr>
      <w:tr w:rsidR="003A596A" w:rsidRPr="00A17E25" w:rsidTr="003A596A">
        <w:trPr>
          <w:jc w:val="center"/>
        </w:trPr>
        <w:tc>
          <w:tcPr>
            <w:tcW w:w="2507" w:type="pct"/>
          </w:tcPr>
          <w:p w:rsidR="003A596A" w:rsidRPr="00A17E25" w:rsidRDefault="003A596A" w:rsidP="003A596A">
            <w:pPr>
              <w:rPr>
                <w:rFonts w:ascii="Arial" w:hAnsi="Arial"/>
                <w:sz w:val="20"/>
                <w:szCs w:val="20"/>
              </w:rPr>
            </w:pPr>
            <w:r w:rsidRPr="00A17E25">
              <w:rPr>
                <w:rFonts w:ascii="Arial" w:hAnsi="Arial"/>
                <w:sz w:val="20"/>
                <w:szCs w:val="20"/>
              </w:rPr>
              <w:t xml:space="preserve">(ii) </w:t>
            </w:r>
            <w:r w:rsidRPr="00A17E25">
              <w:rPr>
                <w:rFonts w:ascii="Arial" w:hAnsi="Arial"/>
                <w:iCs/>
                <w:sz w:val="20"/>
                <w:szCs w:val="20"/>
              </w:rPr>
              <w:t>Ampleur des écarts dans la composition des dépenses dans la classification économique au cours des trois derniers exercices, y compris les intérêts au titre de la dette mais à l’exclusion des postes pour imprévus.</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D</w:t>
            </w:r>
          </w:p>
        </w:tc>
        <w:tc>
          <w:tcPr>
            <w:tcW w:w="1986" w:type="pct"/>
          </w:tcPr>
          <w:p w:rsidR="003A596A" w:rsidRPr="00A17E25" w:rsidRDefault="003A596A" w:rsidP="003A596A">
            <w:pPr>
              <w:jc w:val="both"/>
              <w:rPr>
                <w:rFonts w:ascii="Arial" w:hAnsi="Arial"/>
                <w:sz w:val="20"/>
                <w:szCs w:val="20"/>
              </w:rPr>
            </w:pPr>
            <w:r w:rsidRPr="00A17E25">
              <w:rPr>
                <w:rFonts w:ascii="Arial" w:hAnsi="Arial"/>
                <w:sz w:val="20"/>
                <w:szCs w:val="20"/>
              </w:rPr>
              <w:t>La variation de la composition des dépenses suivant les grandes natures par rapport aux dépenses inscrites aux budgets initialement approuvés a été de plus de 15% au cours de deux des trois exercices : 18,7% en 2013 et 32,1%% en 2014.</w:t>
            </w:r>
          </w:p>
        </w:tc>
      </w:tr>
      <w:tr w:rsidR="003A596A" w:rsidRPr="00A17E25" w:rsidTr="003A596A">
        <w:trPr>
          <w:jc w:val="center"/>
        </w:trPr>
        <w:tc>
          <w:tcPr>
            <w:tcW w:w="2507" w:type="pct"/>
          </w:tcPr>
          <w:p w:rsidR="003A596A" w:rsidRPr="00A17E25" w:rsidRDefault="003A596A" w:rsidP="003A596A">
            <w:pPr>
              <w:rPr>
                <w:rFonts w:ascii="Arial" w:hAnsi="Arial"/>
                <w:sz w:val="20"/>
                <w:szCs w:val="20"/>
              </w:rPr>
            </w:pPr>
          </w:p>
          <w:p w:rsidR="003A596A" w:rsidRPr="00A17E25" w:rsidRDefault="003A596A" w:rsidP="003A596A">
            <w:pPr>
              <w:rPr>
                <w:rFonts w:ascii="Arial" w:hAnsi="Arial"/>
                <w:sz w:val="20"/>
                <w:szCs w:val="20"/>
              </w:rPr>
            </w:pPr>
            <w:r w:rsidRPr="00A17E25">
              <w:rPr>
                <w:rFonts w:ascii="Arial" w:hAnsi="Arial"/>
                <w:sz w:val="20"/>
                <w:szCs w:val="20"/>
              </w:rPr>
              <w:t>(iii) Montant moyen des dépenses actuellement imputées à un crédit provisionnel au cours des trois derniers exercices</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A</w:t>
            </w:r>
          </w:p>
        </w:tc>
        <w:tc>
          <w:tcPr>
            <w:tcW w:w="1986" w:type="pct"/>
          </w:tcPr>
          <w:p w:rsidR="003A596A" w:rsidRPr="00A17E25" w:rsidRDefault="003A596A" w:rsidP="003A596A">
            <w:pPr>
              <w:jc w:val="both"/>
              <w:rPr>
                <w:rFonts w:ascii="Arial" w:hAnsi="Arial"/>
                <w:sz w:val="20"/>
                <w:szCs w:val="20"/>
              </w:rPr>
            </w:pPr>
            <w:r w:rsidRPr="00A17E25">
              <w:rPr>
                <w:rFonts w:ascii="Arial" w:hAnsi="Arial"/>
                <w:sz w:val="20"/>
                <w:szCs w:val="20"/>
              </w:rPr>
              <w:t xml:space="preserve">Aucune dépense n’a été effectuée sur les crédits ouverts au titre des dépenses imprévues au cours des exercices 2012 à 2013. </w:t>
            </w:r>
          </w:p>
        </w:tc>
      </w:tr>
    </w:tbl>
    <w:p w:rsidR="003A596A" w:rsidRPr="00A17E25" w:rsidRDefault="003A596A" w:rsidP="003A596A">
      <w:pPr>
        <w:rPr>
          <w:rFonts w:ascii="Arial" w:hAnsi="Arial"/>
        </w:rPr>
      </w:pPr>
    </w:p>
    <w:p w:rsidR="003A596A" w:rsidRPr="00A17E25" w:rsidRDefault="003A596A" w:rsidP="003A596A">
      <w:pPr>
        <w:rPr>
          <w:rFonts w:ascii="Arial" w:hAnsi="Arial"/>
          <w:b/>
        </w:rPr>
      </w:pPr>
      <w:r w:rsidRPr="00A17E25">
        <w:rPr>
          <w:rFonts w:ascii="Arial" w:hAnsi="Arial"/>
          <w:b/>
        </w:rPr>
        <w:t>PI-3 : Recettes effectives totales par rapport au budget initialement approuvé</w:t>
      </w:r>
    </w:p>
    <w:p w:rsidR="003A596A" w:rsidRPr="00A17E25" w:rsidRDefault="003A596A" w:rsidP="003A596A">
      <w:pPr>
        <w:rPr>
          <w:rFonts w:ascii="Arial" w:hAnsi="Arial"/>
          <w:b/>
        </w:rPr>
      </w:pPr>
    </w:p>
    <w:p w:rsidR="003A596A" w:rsidRPr="00370022" w:rsidRDefault="003A596A" w:rsidP="00151AD3">
      <w:pPr>
        <w:pStyle w:val="ListParagraph"/>
        <w:numPr>
          <w:ilvl w:val="0"/>
          <w:numId w:val="13"/>
        </w:numPr>
        <w:contextualSpacing/>
        <w:jc w:val="both"/>
        <w:rPr>
          <w:rFonts w:ascii="Arial" w:hAnsi="Arial"/>
          <w:i/>
          <w:color w:val="0070C0"/>
        </w:rPr>
      </w:pPr>
      <w:r w:rsidRPr="00370022">
        <w:rPr>
          <w:rFonts w:ascii="Arial" w:hAnsi="Arial"/>
          <w:i/>
          <w:color w:val="0070C0"/>
        </w:rPr>
        <w:t>Recettes effectives par rapport aux recettes inscrites dans le budget initialement approuvé</w:t>
      </w:r>
    </w:p>
    <w:p w:rsidR="00095A66" w:rsidRDefault="00095A66"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Les données prises en compte pour la notation de cet indicateur sont celles des comptes administratifs des exercices 2012, 2013 et 2014. Toutes les recettes y compris les transferts alloués par l’Etat ont été prises en compte. Toutefois, les ressources provenant des emprunts  qui sont intégrées aux budgets de la Commune  de Casablanca en sont exclues, car au sens du MSFP ne sont pas des recettes.</w:t>
      </w:r>
    </w:p>
    <w:p w:rsidR="003A596A" w:rsidRPr="00A17E25" w:rsidRDefault="003A596A" w:rsidP="003A596A">
      <w:pPr>
        <w:rPr>
          <w:rFonts w:ascii="Arial" w:hAnsi="Arial"/>
        </w:rPr>
      </w:pPr>
    </w:p>
    <w:p w:rsidR="003A596A" w:rsidRPr="00A17E25" w:rsidRDefault="003A596A" w:rsidP="003A596A">
      <w:pPr>
        <w:jc w:val="both"/>
        <w:rPr>
          <w:rFonts w:ascii="Arial" w:hAnsi="Arial"/>
        </w:rPr>
      </w:pPr>
      <w:r w:rsidRPr="00A17E25">
        <w:rPr>
          <w:rFonts w:ascii="Arial" w:hAnsi="Arial"/>
        </w:rPr>
        <w:t>Les prévisions de recettes ne concernent que la première partie du budget (opérations de fonctionnement) et sont établies chaque année par</w:t>
      </w:r>
      <w:r w:rsidR="005409DB">
        <w:rPr>
          <w:rFonts w:ascii="Arial" w:hAnsi="Arial"/>
        </w:rPr>
        <w:t xml:space="preserve"> l’</w:t>
      </w:r>
      <w:r w:rsidR="003E3215">
        <w:rPr>
          <w:rFonts w:ascii="Arial" w:hAnsi="Arial"/>
        </w:rPr>
        <w:t>Administration fiscale communale (</w:t>
      </w:r>
      <w:r w:rsidR="005409DB">
        <w:rPr>
          <w:rFonts w:ascii="Arial" w:hAnsi="Arial"/>
        </w:rPr>
        <w:t>AFC</w:t>
      </w:r>
      <w:r w:rsidR="003E3215">
        <w:rPr>
          <w:rFonts w:ascii="Arial" w:hAnsi="Arial"/>
        </w:rPr>
        <w:t>)</w:t>
      </w:r>
      <w:r w:rsidRPr="00A17E25">
        <w:rPr>
          <w:rFonts w:ascii="Arial" w:hAnsi="Arial"/>
        </w:rPr>
        <w:t xml:space="preserve"> sur la base des réalisations des deux derniers exercices et de celles des neuf premiers mois de l’année courante.</w:t>
      </w:r>
    </w:p>
    <w:p w:rsidR="003A596A" w:rsidRPr="00A17E25" w:rsidRDefault="003A596A" w:rsidP="003A596A">
      <w:pPr>
        <w:rPr>
          <w:rFonts w:ascii="Arial" w:hAnsi="Arial"/>
        </w:rPr>
      </w:pPr>
    </w:p>
    <w:p w:rsidR="003A596A" w:rsidRPr="00E67B20" w:rsidRDefault="00E67B20" w:rsidP="003A596A">
      <w:pPr>
        <w:jc w:val="center"/>
        <w:rPr>
          <w:rFonts w:ascii="Arial Narrow" w:hAnsi="Arial Narrow"/>
          <w:b/>
          <w:sz w:val="20"/>
          <w:szCs w:val="20"/>
        </w:rPr>
      </w:pPr>
      <w:r w:rsidRPr="00E67B20">
        <w:rPr>
          <w:rFonts w:ascii="Arial Narrow" w:hAnsi="Arial Narrow"/>
          <w:b/>
          <w:sz w:val="20"/>
          <w:szCs w:val="20"/>
          <w:u w:val="single"/>
        </w:rPr>
        <w:t>TABLEAU</w:t>
      </w:r>
      <w:r>
        <w:rPr>
          <w:rFonts w:ascii="Arial Narrow" w:hAnsi="Arial Narrow"/>
          <w:b/>
          <w:sz w:val="20"/>
          <w:szCs w:val="20"/>
        </w:rPr>
        <w:t xml:space="preserve"> 3.8</w:t>
      </w:r>
      <w:r w:rsidR="003A596A" w:rsidRPr="00E67B20">
        <w:rPr>
          <w:rFonts w:ascii="Arial Narrow" w:hAnsi="Arial Narrow"/>
          <w:b/>
          <w:sz w:val="20"/>
          <w:szCs w:val="20"/>
        </w:rPr>
        <w:t xml:space="preserve"> : Exécution des recettes de la Commune  de Casablanca des exercices 2012, 2013 et 2014 </w:t>
      </w:r>
    </w:p>
    <w:p w:rsidR="003A596A" w:rsidRPr="00E67B20" w:rsidRDefault="003A596A" w:rsidP="003A596A">
      <w:pPr>
        <w:jc w:val="center"/>
        <w:rPr>
          <w:rFonts w:ascii="Arial Narrow" w:hAnsi="Arial Narrow"/>
          <w:b/>
          <w:sz w:val="20"/>
          <w:szCs w:val="20"/>
        </w:rPr>
      </w:pPr>
      <w:r w:rsidRPr="00E67B20">
        <w:rPr>
          <w:rFonts w:ascii="Arial Narrow" w:hAnsi="Arial Narrow"/>
          <w:sz w:val="20"/>
          <w:szCs w:val="20"/>
        </w:rPr>
        <w:t>(</w:t>
      </w:r>
      <w:r w:rsidR="00A07D79" w:rsidRPr="00E67B20">
        <w:rPr>
          <w:rFonts w:ascii="Arial Narrow" w:hAnsi="Arial Narrow"/>
          <w:sz w:val="20"/>
          <w:szCs w:val="20"/>
        </w:rPr>
        <w:t>En</w:t>
      </w:r>
      <w:r w:rsidRPr="00E67B20">
        <w:rPr>
          <w:rFonts w:ascii="Arial Narrow" w:hAnsi="Arial Narrow"/>
          <w:sz w:val="20"/>
          <w:szCs w:val="20"/>
        </w:rPr>
        <w:t xml:space="preserve"> millions de dirhams)</w:t>
      </w:r>
    </w:p>
    <w:p w:rsidR="003A596A" w:rsidRPr="00A17E25" w:rsidRDefault="003A596A" w:rsidP="003A596A">
      <w:pPr>
        <w:rPr>
          <w:rFonts w:ascii="Arial" w:hAnsi="Arial"/>
        </w:rPr>
      </w:pPr>
    </w:p>
    <w:tbl>
      <w:tblPr>
        <w:tblStyle w:val="TableGrid"/>
        <w:tblW w:w="5000" w:type="pct"/>
        <w:tblLook w:val="04A0" w:firstRow="1" w:lastRow="0" w:firstColumn="1" w:lastColumn="0" w:noHBand="0" w:noVBand="1"/>
      </w:tblPr>
      <w:tblGrid>
        <w:gridCol w:w="1066"/>
        <w:gridCol w:w="3813"/>
        <w:gridCol w:w="1799"/>
        <w:gridCol w:w="2672"/>
      </w:tblGrid>
      <w:tr w:rsidR="003A596A" w:rsidRPr="00A17E25" w:rsidTr="00370022">
        <w:trPr>
          <w:trHeight w:val="289"/>
        </w:trPr>
        <w:tc>
          <w:tcPr>
            <w:tcW w:w="570"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Année</w:t>
            </w:r>
          </w:p>
        </w:tc>
        <w:tc>
          <w:tcPr>
            <w:tcW w:w="2039"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 xml:space="preserve">Prévisions budgets </w:t>
            </w:r>
            <w:r w:rsidR="00D8102C">
              <w:rPr>
                <w:rFonts w:ascii="Arial" w:hAnsi="Arial"/>
                <w:b/>
                <w:color w:val="FFFFFF" w:themeColor="background1"/>
                <w:sz w:val="20"/>
                <w:szCs w:val="20"/>
              </w:rPr>
              <w:t>initiaux</w:t>
            </w:r>
          </w:p>
        </w:tc>
        <w:tc>
          <w:tcPr>
            <w:tcW w:w="962"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Réalisations</w:t>
            </w:r>
          </w:p>
        </w:tc>
        <w:tc>
          <w:tcPr>
            <w:tcW w:w="1429" w:type="pct"/>
            <w:shd w:val="clear" w:color="auto" w:fill="0070C0"/>
          </w:tcPr>
          <w:p w:rsidR="003A596A" w:rsidRPr="00A17E25" w:rsidRDefault="003A596A" w:rsidP="003A596A">
            <w:pPr>
              <w:jc w:val="center"/>
              <w:rPr>
                <w:rFonts w:ascii="Arial" w:hAnsi="Arial"/>
                <w:b/>
                <w:color w:val="FFFFFF" w:themeColor="background1"/>
                <w:sz w:val="20"/>
                <w:szCs w:val="20"/>
              </w:rPr>
            </w:pPr>
            <w:r w:rsidRPr="00A17E25">
              <w:rPr>
                <w:rFonts w:ascii="Arial" w:hAnsi="Arial"/>
                <w:b/>
                <w:color w:val="FFFFFF" w:themeColor="background1"/>
                <w:sz w:val="20"/>
                <w:szCs w:val="20"/>
              </w:rPr>
              <w:t>Taux de réalisation</w:t>
            </w:r>
          </w:p>
          <w:p w:rsidR="003A596A" w:rsidRPr="00A17E25" w:rsidRDefault="003A596A" w:rsidP="003A596A">
            <w:pPr>
              <w:jc w:val="center"/>
              <w:rPr>
                <w:rFonts w:ascii="Arial" w:hAnsi="Arial"/>
                <w:b/>
                <w:color w:val="FFFFFF" w:themeColor="background1"/>
                <w:sz w:val="20"/>
                <w:szCs w:val="20"/>
              </w:rPr>
            </w:pPr>
          </w:p>
        </w:tc>
      </w:tr>
      <w:tr w:rsidR="003A596A" w:rsidRPr="00A17E25" w:rsidTr="003A596A">
        <w:tc>
          <w:tcPr>
            <w:tcW w:w="570" w:type="pct"/>
          </w:tcPr>
          <w:p w:rsidR="003A596A" w:rsidRPr="00A17E25" w:rsidRDefault="003A596A" w:rsidP="003A596A">
            <w:pPr>
              <w:jc w:val="center"/>
              <w:rPr>
                <w:rFonts w:ascii="Arial" w:hAnsi="Arial"/>
                <w:sz w:val="20"/>
                <w:szCs w:val="20"/>
              </w:rPr>
            </w:pPr>
            <w:r w:rsidRPr="00A17E25">
              <w:rPr>
                <w:rFonts w:ascii="Arial" w:hAnsi="Arial"/>
                <w:sz w:val="20"/>
                <w:szCs w:val="20"/>
              </w:rPr>
              <w:t>2012</w:t>
            </w:r>
          </w:p>
        </w:tc>
        <w:tc>
          <w:tcPr>
            <w:tcW w:w="2039" w:type="pct"/>
          </w:tcPr>
          <w:p w:rsidR="003A596A" w:rsidRPr="00A17E25" w:rsidRDefault="003A596A" w:rsidP="003A596A">
            <w:pPr>
              <w:jc w:val="center"/>
              <w:rPr>
                <w:rFonts w:ascii="Arial" w:hAnsi="Arial"/>
                <w:sz w:val="20"/>
                <w:szCs w:val="20"/>
              </w:rPr>
            </w:pPr>
            <w:r w:rsidRPr="00A17E25">
              <w:rPr>
                <w:rFonts w:ascii="Arial" w:hAnsi="Arial"/>
                <w:sz w:val="20"/>
                <w:szCs w:val="20"/>
              </w:rPr>
              <w:t>4 106,93</w:t>
            </w:r>
          </w:p>
        </w:tc>
        <w:tc>
          <w:tcPr>
            <w:tcW w:w="962" w:type="pct"/>
          </w:tcPr>
          <w:p w:rsidR="003A596A" w:rsidRPr="00A17E25" w:rsidRDefault="003A596A" w:rsidP="003A596A">
            <w:pPr>
              <w:jc w:val="center"/>
              <w:rPr>
                <w:rFonts w:ascii="Arial" w:hAnsi="Arial"/>
                <w:sz w:val="20"/>
                <w:szCs w:val="20"/>
              </w:rPr>
            </w:pPr>
            <w:r w:rsidRPr="00A17E25">
              <w:rPr>
                <w:rFonts w:ascii="Arial" w:hAnsi="Arial"/>
                <w:sz w:val="20"/>
                <w:szCs w:val="20"/>
              </w:rPr>
              <w:t>3 342,89</w:t>
            </w:r>
          </w:p>
        </w:tc>
        <w:tc>
          <w:tcPr>
            <w:tcW w:w="1429" w:type="pct"/>
          </w:tcPr>
          <w:p w:rsidR="003A596A" w:rsidRPr="00A17E25" w:rsidRDefault="003A596A" w:rsidP="003A596A">
            <w:pPr>
              <w:jc w:val="center"/>
              <w:rPr>
                <w:rFonts w:ascii="Arial" w:hAnsi="Arial"/>
                <w:sz w:val="20"/>
                <w:szCs w:val="20"/>
              </w:rPr>
            </w:pPr>
            <w:r w:rsidRPr="00A17E25">
              <w:rPr>
                <w:rFonts w:ascii="Arial" w:hAnsi="Arial"/>
                <w:sz w:val="20"/>
                <w:szCs w:val="20"/>
              </w:rPr>
              <w:t>81,4%</w:t>
            </w:r>
          </w:p>
          <w:p w:rsidR="003A596A" w:rsidRPr="00A17E25" w:rsidRDefault="003A596A" w:rsidP="003A596A">
            <w:pPr>
              <w:jc w:val="center"/>
              <w:rPr>
                <w:rFonts w:ascii="Arial" w:hAnsi="Arial"/>
                <w:sz w:val="20"/>
                <w:szCs w:val="20"/>
              </w:rPr>
            </w:pPr>
          </w:p>
        </w:tc>
      </w:tr>
      <w:tr w:rsidR="003A596A" w:rsidRPr="00A17E25" w:rsidTr="003A596A">
        <w:tc>
          <w:tcPr>
            <w:tcW w:w="570" w:type="pct"/>
          </w:tcPr>
          <w:p w:rsidR="003A596A" w:rsidRPr="00A17E25" w:rsidRDefault="003A596A" w:rsidP="003A596A">
            <w:pPr>
              <w:jc w:val="center"/>
              <w:rPr>
                <w:rFonts w:ascii="Arial" w:hAnsi="Arial"/>
                <w:sz w:val="20"/>
                <w:szCs w:val="20"/>
              </w:rPr>
            </w:pPr>
            <w:r w:rsidRPr="00A17E25">
              <w:rPr>
                <w:rFonts w:ascii="Arial" w:hAnsi="Arial"/>
                <w:sz w:val="20"/>
                <w:szCs w:val="20"/>
              </w:rPr>
              <w:t>2013</w:t>
            </w:r>
          </w:p>
        </w:tc>
        <w:tc>
          <w:tcPr>
            <w:tcW w:w="2039" w:type="pct"/>
          </w:tcPr>
          <w:p w:rsidR="003A596A" w:rsidRPr="00A17E25" w:rsidRDefault="003A596A" w:rsidP="003A596A">
            <w:pPr>
              <w:jc w:val="center"/>
              <w:rPr>
                <w:rFonts w:ascii="Arial" w:hAnsi="Arial"/>
                <w:sz w:val="20"/>
                <w:szCs w:val="20"/>
              </w:rPr>
            </w:pPr>
            <w:r w:rsidRPr="00A17E25">
              <w:rPr>
                <w:rFonts w:ascii="Arial" w:hAnsi="Arial"/>
                <w:sz w:val="20"/>
                <w:szCs w:val="20"/>
              </w:rPr>
              <w:t>4 357,58</w:t>
            </w:r>
          </w:p>
        </w:tc>
        <w:tc>
          <w:tcPr>
            <w:tcW w:w="962" w:type="pct"/>
          </w:tcPr>
          <w:p w:rsidR="003A596A" w:rsidRPr="00A17E25" w:rsidRDefault="003A596A" w:rsidP="003A596A">
            <w:pPr>
              <w:jc w:val="center"/>
              <w:rPr>
                <w:rFonts w:ascii="Arial" w:hAnsi="Arial"/>
                <w:sz w:val="20"/>
                <w:szCs w:val="20"/>
              </w:rPr>
            </w:pPr>
            <w:r w:rsidRPr="00A17E25">
              <w:rPr>
                <w:rFonts w:ascii="Arial" w:hAnsi="Arial"/>
                <w:sz w:val="20"/>
                <w:szCs w:val="20"/>
              </w:rPr>
              <w:t>3 350,84</w:t>
            </w:r>
          </w:p>
        </w:tc>
        <w:tc>
          <w:tcPr>
            <w:tcW w:w="1429" w:type="pct"/>
          </w:tcPr>
          <w:p w:rsidR="003A596A" w:rsidRPr="00A17E25" w:rsidRDefault="003A596A" w:rsidP="003A596A">
            <w:pPr>
              <w:jc w:val="center"/>
              <w:rPr>
                <w:rFonts w:ascii="Arial" w:hAnsi="Arial"/>
                <w:sz w:val="20"/>
                <w:szCs w:val="20"/>
              </w:rPr>
            </w:pPr>
            <w:r w:rsidRPr="00A17E25">
              <w:rPr>
                <w:rFonts w:ascii="Arial" w:hAnsi="Arial"/>
                <w:sz w:val="20"/>
                <w:szCs w:val="20"/>
              </w:rPr>
              <w:t>76,9%</w:t>
            </w:r>
          </w:p>
          <w:p w:rsidR="003A596A" w:rsidRPr="00A17E25" w:rsidRDefault="003A596A" w:rsidP="003A596A">
            <w:pPr>
              <w:jc w:val="center"/>
              <w:rPr>
                <w:rFonts w:ascii="Arial" w:hAnsi="Arial"/>
                <w:sz w:val="20"/>
                <w:szCs w:val="20"/>
              </w:rPr>
            </w:pPr>
          </w:p>
        </w:tc>
      </w:tr>
      <w:tr w:rsidR="003A596A" w:rsidRPr="00A17E25" w:rsidTr="003A596A">
        <w:tc>
          <w:tcPr>
            <w:tcW w:w="570" w:type="pct"/>
          </w:tcPr>
          <w:p w:rsidR="003A596A" w:rsidRPr="00A17E25" w:rsidRDefault="003A596A" w:rsidP="003A596A">
            <w:pPr>
              <w:jc w:val="center"/>
              <w:rPr>
                <w:rFonts w:ascii="Arial" w:hAnsi="Arial"/>
                <w:sz w:val="20"/>
                <w:szCs w:val="20"/>
              </w:rPr>
            </w:pPr>
            <w:r w:rsidRPr="00A17E25">
              <w:rPr>
                <w:rFonts w:ascii="Arial" w:hAnsi="Arial"/>
                <w:sz w:val="20"/>
                <w:szCs w:val="20"/>
              </w:rPr>
              <w:t>2014</w:t>
            </w:r>
          </w:p>
        </w:tc>
        <w:tc>
          <w:tcPr>
            <w:tcW w:w="2039" w:type="pct"/>
          </w:tcPr>
          <w:p w:rsidR="003A596A" w:rsidRPr="00A17E25" w:rsidRDefault="003A596A" w:rsidP="003A596A">
            <w:pPr>
              <w:jc w:val="center"/>
              <w:rPr>
                <w:rFonts w:ascii="Arial" w:hAnsi="Arial"/>
                <w:sz w:val="20"/>
                <w:szCs w:val="20"/>
              </w:rPr>
            </w:pPr>
            <w:r w:rsidRPr="00A17E25">
              <w:rPr>
                <w:rFonts w:ascii="Arial" w:hAnsi="Arial"/>
                <w:sz w:val="20"/>
                <w:szCs w:val="20"/>
              </w:rPr>
              <w:t>4 433,04</w:t>
            </w:r>
          </w:p>
        </w:tc>
        <w:tc>
          <w:tcPr>
            <w:tcW w:w="962" w:type="pct"/>
          </w:tcPr>
          <w:p w:rsidR="003A596A" w:rsidRPr="00A17E25" w:rsidRDefault="003A596A" w:rsidP="003A596A">
            <w:pPr>
              <w:jc w:val="center"/>
              <w:rPr>
                <w:rFonts w:ascii="Arial" w:hAnsi="Arial"/>
                <w:sz w:val="20"/>
                <w:szCs w:val="20"/>
              </w:rPr>
            </w:pPr>
            <w:r w:rsidRPr="00A17E25">
              <w:rPr>
                <w:rFonts w:ascii="Arial" w:hAnsi="Arial"/>
                <w:sz w:val="20"/>
                <w:szCs w:val="20"/>
              </w:rPr>
              <w:t>3 108,38</w:t>
            </w:r>
          </w:p>
        </w:tc>
        <w:tc>
          <w:tcPr>
            <w:tcW w:w="1429" w:type="pct"/>
          </w:tcPr>
          <w:p w:rsidR="003A596A" w:rsidRPr="00A17E25" w:rsidRDefault="003A596A" w:rsidP="003A596A">
            <w:pPr>
              <w:jc w:val="center"/>
              <w:rPr>
                <w:rFonts w:ascii="Arial" w:hAnsi="Arial"/>
                <w:sz w:val="20"/>
                <w:szCs w:val="20"/>
              </w:rPr>
            </w:pPr>
            <w:r w:rsidRPr="00A17E25">
              <w:rPr>
                <w:rFonts w:ascii="Arial" w:hAnsi="Arial"/>
                <w:sz w:val="20"/>
                <w:szCs w:val="20"/>
              </w:rPr>
              <w:t>70,1%</w:t>
            </w:r>
          </w:p>
          <w:p w:rsidR="003A596A" w:rsidRPr="00A17E25" w:rsidRDefault="003A596A" w:rsidP="003A596A">
            <w:pPr>
              <w:jc w:val="center"/>
              <w:rPr>
                <w:rFonts w:ascii="Arial" w:hAnsi="Arial"/>
                <w:sz w:val="20"/>
                <w:szCs w:val="20"/>
              </w:rPr>
            </w:pPr>
          </w:p>
        </w:tc>
      </w:tr>
    </w:tbl>
    <w:p w:rsidR="003A596A" w:rsidRPr="00A17E25" w:rsidRDefault="003A596A" w:rsidP="003A596A">
      <w:pPr>
        <w:jc w:val="center"/>
        <w:rPr>
          <w:rFonts w:ascii="Arial" w:hAnsi="Arial"/>
          <w:sz w:val="20"/>
          <w:szCs w:val="20"/>
        </w:rPr>
      </w:pPr>
      <w:r w:rsidRPr="00A17E25">
        <w:rPr>
          <w:rFonts w:ascii="Arial" w:hAnsi="Arial"/>
          <w:sz w:val="20"/>
          <w:szCs w:val="20"/>
          <w:u w:val="single"/>
        </w:rPr>
        <w:t>Sources </w:t>
      </w:r>
      <w:r w:rsidRPr="00A17E25">
        <w:rPr>
          <w:rFonts w:ascii="Arial" w:hAnsi="Arial"/>
          <w:sz w:val="20"/>
          <w:szCs w:val="20"/>
        </w:rPr>
        <w:t>: Comptes administratifs des exercices 2012, 2013 et 2014</w:t>
      </w:r>
    </w:p>
    <w:p w:rsidR="003A596A" w:rsidRPr="00A17E25" w:rsidRDefault="003A596A" w:rsidP="003A596A">
      <w:pPr>
        <w:rPr>
          <w:rFonts w:ascii="Arial" w:hAnsi="Arial"/>
          <w:sz w:val="20"/>
          <w:szCs w:val="20"/>
        </w:rPr>
      </w:pPr>
    </w:p>
    <w:p w:rsidR="004F0354" w:rsidRDefault="004F0354" w:rsidP="003A596A">
      <w:pPr>
        <w:jc w:val="both"/>
        <w:rPr>
          <w:rFonts w:ascii="Arial" w:hAnsi="Arial"/>
        </w:rPr>
      </w:pPr>
    </w:p>
    <w:p w:rsidR="004F0354" w:rsidRPr="00A17E25" w:rsidRDefault="003A596A" w:rsidP="003A596A">
      <w:pPr>
        <w:jc w:val="both"/>
        <w:rPr>
          <w:rFonts w:ascii="Arial" w:hAnsi="Arial"/>
        </w:rPr>
      </w:pPr>
      <w:r w:rsidRPr="00A17E25">
        <w:rPr>
          <w:rFonts w:ascii="Arial" w:hAnsi="Arial"/>
        </w:rPr>
        <w:t xml:space="preserve">Il ressort de ce tableau que les recettes réelles totales ont été inférieures à 92% des prévisions budgétaires initiales durant les trois exercices pris en compte pour l’évaluation de cet indicateur. Leurs taux de réalisation se sont établis </w:t>
      </w:r>
      <w:r w:rsidR="00A07D79">
        <w:rPr>
          <w:rFonts w:ascii="Arial" w:hAnsi="Arial"/>
        </w:rPr>
        <w:t xml:space="preserve">à </w:t>
      </w:r>
      <w:r w:rsidRPr="00A17E25">
        <w:rPr>
          <w:rFonts w:ascii="Arial" w:hAnsi="Arial"/>
        </w:rPr>
        <w:t>81,4% en 2012, 76,9% en 2013 et 70,1% en 2014. La faiblesse des taux de réalisation est principalement due aux très bas taux d’exécution des recettes prévues au titre des comptes d’affectation spéciale qui ont été de moins de 1% sur la période. Les taux de réalisation des seules recettes de fonctionnement se sont établis entre 97% et 102% sur les trois exercices considérés.</w:t>
      </w:r>
    </w:p>
    <w:p w:rsidR="003A596A" w:rsidRPr="00A17E25" w:rsidRDefault="003A596A" w:rsidP="003A596A">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948"/>
        <w:gridCol w:w="4305"/>
      </w:tblGrid>
      <w:tr w:rsidR="003A596A" w:rsidRPr="00A17E25" w:rsidTr="004B57C3">
        <w:trPr>
          <w:jc w:val="center"/>
        </w:trPr>
        <w:tc>
          <w:tcPr>
            <w:tcW w:w="2191" w:type="pct"/>
            <w:shd w:val="clear" w:color="auto" w:fill="0070C0"/>
          </w:tcPr>
          <w:p w:rsidR="003A596A" w:rsidRPr="00A17E25" w:rsidRDefault="003A596A" w:rsidP="003A596A">
            <w:pPr>
              <w:jc w:val="center"/>
              <w:rPr>
                <w:rFonts w:ascii="Arial" w:hAnsi="Arial"/>
                <w:b/>
                <w:color w:val="FFFFFF"/>
                <w:sz w:val="20"/>
                <w:szCs w:val="20"/>
              </w:rPr>
            </w:pPr>
            <w:r w:rsidRPr="00A17E25">
              <w:rPr>
                <w:rFonts w:ascii="Arial" w:hAnsi="Arial"/>
                <w:b/>
                <w:color w:val="FFFFFF"/>
                <w:sz w:val="20"/>
                <w:szCs w:val="20"/>
              </w:rPr>
              <w:t>Indicateur</w:t>
            </w:r>
          </w:p>
        </w:tc>
        <w:tc>
          <w:tcPr>
            <w:tcW w:w="507" w:type="pct"/>
            <w:shd w:val="clear" w:color="auto" w:fill="0070C0"/>
          </w:tcPr>
          <w:p w:rsidR="003A596A" w:rsidRPr="00A17E25" w:rsidRDefault="003A596A" w:rsidP="003A596A">
            <w:pPr>
              <w:jc w:val="center"/>
              <w:rPr>
                <w:rFonts w:ascii="Arial" w:hAnsi="Arial"/>
                <w:b/>
                <w:color w:val="FFFFFF"/>
                <w:sz w:val="20"/>
                <w:szCs w:val="20"/>
              </w:rPr>
            </w:pPr>
            <w:r w:rsidRPr="00A17E25">
              <w:rPr>
                <w:rFonts w:ascii="Arial" w:hAnsi="Arial"/>
                <w:b/>
                <w:color w:val="FFFFFF"/>
                <w:sz w:val="20"/>
                <w:szCs w:val="20"/>
              </w:rPr>
              <w:t xml:space="preserve">Note </w:t>
            </w:r>
          </w:p>
        </w:tc>
        <w:tc>
          <w:tcPr>
            <w:tcW w:w="2302" w:type="pct"/>
            <w:shd w:val="clear" w:color="auto" w:fill="0070C0"/>
          </w:tcPr>
          <w:p w:rsidR="003A596A" w:rsidRPr="00A17E25" w:rsidRDefault="003A596A" w:rsidP="003A596A">
            <w:pPr>
              <w:jc w:val="center"/>
              <w:rPr>
                <w:rFonts w:ascii="Arial" w:hAnsi="Arial"/>
                <w:b/>
                <w:color w:val="FFFFFF"/>
                <w:sz w:val="20"/>
                <w:szCs w:val="20"/>
              </w:rPr>
            </w:pPr>
            <w:r w:rsidRPr="00A17E25">
              <w:rPr>
                <w:rFonts w:ascii="Arial" w:hAnsi="Arial"/>
                <w:b/>
                <w:color w:val="FFFFFF"/>
                <w:sz w:val="20"/>
                <w:szCs w:val="20"/>
              </w:rPr>
              <w:t>Explication</w:t>
            </w:r>
          </w:p>
        </w:tc>
      </w:tr>
      <w:tr w:rsidR="003A596A" w:rsidRPr="00A17E25" w:rsidTr="003A596A">
        <w:trPr>
          <w:trHeight w:val="708"/>
          <w:jc w:val="center"/>
        </w:trPr>
        <w:tc>
          <w:tcPr>
            <w:tcW w:w="2191" w:type="pct"/>
            <w:vAlign w:val="center"/>
          </w:tcPr>
          <w:p w:rsidR="003A596A" w:rsidRPr="00A17E25" w:rsidRDefault="003A596A" w:rsidP="003A596A">
            <w:pPr>
              <w:rPr>
                <w:rFonts w:ascii="Arial" w:hAnsi="Arial"/>
                <w:b/>
                <w:sz w:val="20"/>
                <w:szCs w:val="20"/>
              </w:rPr>
            </w:pPr>
            <w:r w:rsidRPr="00A17E25">
              <w:rPr>
                <w:rFonts w:ascii="Arial" w:hAnsi="Arial"/>
                <w:b/>
                <w:sz w:val="20"/>
                <w:szCs w:val="20"/>
              </w:rPr>
              <w:t>PI-3. Recettes effectives totales par rapport au budget initialement approuvé</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D</w:t>
            </w:r>
          </w:p>
        </w:tc>
        <w:tc>
          <w:tcPr>
            <w:tcW w:w="2302" w:type="pct"/>
            <w:vAlign w:val="center"/>
          </w:tcPr>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rPr>
          <w:jc w:val="center"/>
        </w:trPr>
        <w:tc>
          <w:tcPr>
            <w:tcW w:w="2191" w:type="pct"/>
            <w:vAlign w:val="center"/>
          </w:tcPr>
          <w:p w:rsidR="003A596A" w:rsidRPr="00A17E25" w:rsidRDefault="003A596A" w:rsidP="003A596A">
            <w:pPr>
              <w:jc w:val="both"/>
              <w:rPr>
                <w:rFonts w:ascii="Arial" w:hAnsi="Arial"/>
                <w:sz w:val="20"/>
                <w:szCs w:val="20"/>
              </w:rPr>
            </w:pPr>
            <w:r w:rsidRPr="00A17E25">
              <w:rPr>
                <w:rFonts w:ascii="Arial" w:hAnsi="Arial"/>
                <w:sz w:val="20"/>
                <w:szCs w:val="20"/>
              </w:rPr>
              <w:t>(i) Recettes effectives par rapport aux recettes inscrites dans le budget  initialement approuvé</w:t>
            </w:r>
          </w:p>
        </w:tc>
        <w:tc>
          <w:tcPr>
            <w:tcW w:w="507" w:type="pct"/>
            <w:vAlign w:val="center"/>
          </w:tcPr>
          <w:p w:rsidR="003A596A" w:rsidRPr="00A17E25" w:rsidRDefault="003A596A" w:rsidP="003A596A">
            <w:pPr>
              <w:jc w:val="center"/>
              <w:rPr>
                <w:rFonts w:ascii="Arial" w:hAnsi="Arial"/>
                <w:b/>
                <w:sz w:val="20"/>
                <w:szCs w:val="20"/>
              </w:rPr>
            </w:pPr>
            <w:r w:rsidRPr="00A17E25">
              <w:rPr>
                <w:rFonts w:ascii="Arial" w:hAnsi="Arial"/>
                <w:b/>
                <w:sz w:val="20"/>
                <w:szCs w:val="20"/>
              </w:rPr>
              <w:t>D</w:t>
            </w:r>
          </w:p>
        </w:tc>
        <w:tc>
          <w:tcPr>
            <w:tcW w:w="2302" w:type="pct"/>
            <w:vAlign w:val="center"/>
          </w:tcPr>
          <w:p w:rsidR="003A596A" w:rsidRPr="00A17E25" w:rsidRDefault="003A596A" w:rsidP="003A596A">
            <w:pPr>
              <w:jc w:val="both"/>
              <w:rPr>
                <w:rFonts w:ascii="Arial" w:hAnsi="Arial"/>
                <w:sz w:val="20"/>
                <w:szCs w:val="20"/>
              </w:rPr>
            </w:pPr>
            <w:r w:rsidRPr="00A17E25">
              <w:rPr>
                <w:rFonts w:ascii="Arial" w:hAnsi="Arial"/>
                <w:sz w:val="20"/>
                <w:szCs w:val="20"/>
              </w:rPr>
              <w:t>Au cours des exercices 2012, 2013 et 2014, les recettes effectives totales ont été réalisées respectivement à 81,4%, 76,9% et 70,1%, soit à moins de 92% des prévisions budgétaires initiales</w:t>
            </w:r>
          </w:p>
          <w:p w:rsidR="003A596A" w:rsidRPr="00A17E25" w:rsidRDefault="003A596A" w:rsidP="003A596A">
            <w:pPr>
              <w:ind w:left="720"/>
              <w:rPr>
                <w:rFonts w:ascii="Arial" w:hAnsi="Arial"/>
                <w:sz w:val="20"/>
                <w:szCs w:val="20"/>
              </w:rPr>
            </w:pPr>
          </w:p>
        </w:tc>
      </w:tr>
    </w:tbl>
    <w:p w:rsidR="003A596A" w:rsidRPr="00913D5F" w:rsidRDefault="003A596A" w:rsidP="00CC3ED7">
      <w:pPr>
        <w:pStyle w:val="Heading2"/>
        <w:rPr>
          <w:i w:val="0"/>
          <w:color w:val="00B0F0"/>
        </w:rPr>
      </w:pPr>
      <w:bookmarkStart w:id="117" w:name="_Toc221350226"/>
      <w:bookmarkStart w:id="118" w:name="_Toc260257267"/>
      <w:bookmarkStart w:id="119" w:name="_Toc412839436"/>
      <w:bookmarkEnd w:id="92"/>
      <w:bookmarkEnd w:id="113"/>
      <w:r w:rsidRPr="00A17E25">
        <w:rPr>
          <w:color w:val="00B0F0"/>
        </w:rPr>
        <w:br w:type="page"/>
      </w:r>
      <w:bookmarkStart w:id="120" w:name="_Toc434916112"/>
      <w:bookmarkStart w:id="121" w:name="_Toc434918326"/>
      <w:r w:rsidRPr="004B57C3">
        <w:rPr>
          <w:i w:val="0"/>
          <w:color w:val="0070C0"/>
        </w:rPr>
        <w:t>3.2 Exhaustivité et transparence</w:t>
      </w:r>
      <w:bookmarkEnd w:id="117"/>
      <w:bookmarkEnd w:id="118"/>
      <w:bookmarkEnd w:id="119"/>
      <w:bookmarkEnd w:id="120"/>
      <w:bookmarkEnd w:id="121"/>
    </w:p>
    <w:p w:rsidR="003A596A" w:rsidRPr="00A17E25" w:rsidRDefault="003A596A" w:rsidP="003A596A">
      <w:pPr>
        <w:pStyle w:val="Heading1"/>
        <w:jc w:val="both"/>
        <w:rPr>
          <w:rFonts w:cs="Arial"/>
          <w:sz w:val="24"/>
          <w:szCs w:val="24"/>
        </w:rPr>
      </w:pPr>
      <w:bookmarkStart w:id="122" w:name="_Toc428200795"/>
      <w:bookmarkStart w:id="123" w:name="_Toc434916113"/>
      <w:bookmarkStart w:id="124" w:name="_Toc434918327"/>
      <w:bookmarkStart w:id="125" w:name="_Toc221350230"/>
      <w:bookmarkStart w:id="126" w:name="_Toc216878486"/>
      <w:bookmarkStart w:id="127" w:name="_Toc217142313"/>
      <w:bookmarkStart w:id="128" w:name="_Toc217142695"/>
      <w:bookmarkStart w:id="129" w:name="_Toc217146120"/>
      <w:bookmarkStart w:id="130" w:name="_Toc221276217"/>
      <w:bookmarkStart w:id="131" w:name="_Toc221350227"/>
      <w:bookmarkStart w:id="132" w:name="_Toc255740428"/>
      <w:bookmarkStart w:id="133" w:name="_Toc260257268"/>
      <w:bookmarkStart w:id="134" w:name="_Toc260257975"/>
      <w:bookmarkStart w:id="135" w:name="_Toc260258468"/>
      <w:bookmarkStart w:id="136" w:name="_Toc311908571"/>
      <w:bookmarkStart w:id="137" w:name="_Toc316150418"/>
      <w:bookmarkStart w:id="138" w:name="_Toc409814997"/>
      <w:r w:rsidRPr="00A17E25">
        <w:rPr>
          <w:rFonts w:cs="Arial"/>
          <w:sz w:val="24"/>
          <w:szCs w:val="24"/>
        </w:rPr>
        <w:t>PI-4: Classification du budget</w:t>
      </w:r>
      <w:bookmarkEnd w:id="122"/>
      <w:bookmarkEnd w:id="123"/>
      <w:bookmarkEnd w:id="124"/>
    </w:p>
    <w:p w:rsidR="003A596A" w:rsidRPr="004B57C3" w:rsidRDefault="003A596A" w:rsidP="003A596A">
      <w:pPr>
        <w:rPr>
          <w:color w:val="0070C0"/>
        </w:rPr>
      </w:pPr>
    </w:p>
    <w:p w:rsidR="003A596A" w:rsidRPr="004B57C3" w:rsidRDefault="003A596A" w:rsidP="003A596A">
      <w:pPr>
        <w:pStyle w:val="BodyText"/>
        <w:ind w:left="360" w:hanging="360"/>
        <w:rPr>
          <w:rFonts w:ascii="Arial" w:hAnsi="Arial" w:cs="Arial"/>
          <w:i/>
          <w:iCs/>
          <w:color w:val="0070C0"/>
        </w:rPr>
      </w:pPr>
      <w:r w:rsidRPr="004B57C3">
        <w:rPr>
          <w:rFonts w:ascii="Arial" w:hAnsi="Arial" w:cs="Arial"/>
          <w:i/>
          <w:iCs/>
          <w:color w:val="0070C0"/>
        </w:rPr>
        <w:t>i)   Mesure dans laquelle le système de classification utilisé pour formuler et exécuter le budget de la Commune et établir les rapports correspondants est conforme aux normes internationales (dernière année fiscale complétée)</w:t>
      </w:r>
    </w:p>
    <w:p w:rsidR="003A596A" w:rsidRDefault="003A596A" w:rsidP="003A596A">
      <w:pPr>
        <w:pStyle w:val="champ"/>
        <w:rPr>
          <w:rFonts w:ascii="Arial" w:hAnsi="Arial" w:cs="Arial"/>
          <w:b w:val="0"/>
          <w:i w:val="0"/>
          <w:sz w:val="24"/>
          <w:szCs w:val="24"/>
        </w:rPr>
      </w:pPr>
    </w:p>
    <w:p w:rsidR="004731CE" w:rsidRPr="004731CE" w:rsidRDefault="004731CE" w:rsidP="003A596A">
      <w:pPr>
        <w:pStyle w:val="champ"/>
        <w:rPr>
          <w:rFonts w:ascii="Arial" w:hAnsi="Arial" w:cs="Arial"/>
          <w:b w:val="0"/>
          <w:i w:val="0"/>
          <w:sz w:val="24"/>
          <w:szCs w:val="24"/>
        </w:rPr>
      </w:pPr>
      <w:r>
        <w:rPr>
          <w:rFonts w:ascii="Arial" w:hAnsi="Arial" w:cs="Arial"/>
          <w:b w:val="0"/>
          <w:i w:val="0"/>
          <w:sz w:val="24"/>
          <w:szCs w:val="24"/>
        </w:rPr>
        <w:t xml:space="preserve">Les informations prises en compte pour l’évaluation de cet indicateur sont celles du budget de la </w:t>
      </w:r>
      <w:r w:rsidR="00F86504">
        <w:rPr>
          <w:rFonts w:ascii="Arial" w:hAnsi="Arial" w:cs="Arial"/>
          <w:b w:val="0"/>
          <w:i w:val="0"/>
          <w:sz w:val="24"/>
          <w:szCs w:val="24"/>
        </w:rPr>
        <w:t>CC</w:t>
      </w:r>
      <w:r>
        <w:rPr>
          <w:rFonts w:ascii="Arial" w:hAnsi="Arial" w:cs="Arial"/>
          <w:b w:val="0"/>
          <w:i w:val="0"/>
          <w:sz w:val="24"/>
          <w:szCs w:val="24"/>
        </w:rPr>
        <w:t xml:space="preserve"> au titre de l’exercice 2014 qui est le dernier exercice clôturé.</w:t>
      </w:r>
    </w:p>
    <w:p w:rsidR="003A596A" w:rsidRDefault="003A596A" w:rsidP="003A596A">
      <w:pPr>
        <w:autoSpaceDE w:val="0"/>
        <w:autoSpaceDN w:val="0"/>
        <w:adjustRightInd w:val="0"/>
        <w:jc w:val="both"/>
        <w:rPr>
          <w:rFonts w:ascii="Arial" w:hAnsi="Arial" w:cs="Arial"/>
        </w:rPr>
      </w:pPr>
      <w:r w:rsidRPr="00A17E25">
        <w:rPr>
          <w:rFonts w:ascii="Arial" w:hAnsi="Arial" w:cs="Arial"/>
        </w:rPr>
        <w:t>La nomenclature budgétaire des Collectivités Locales et de leurs groupements est définie par la règlementation en vigueur</w:t>
      </w:r>
      <w:r w:rsidRPr="00A17E25">
        <w:rPr>
          <w:rStyle w:val="FootnoteReference"/>
          <w:rFonts w:cs="Arial"/>
        </w:rPr>
        <w:footnoteReference w:id="16"/>
      </w:r>
      <w:r w:rsidRPr="00A17E25">
        <w:rPr>
          <w:rFonts w:ascii="Arial" w:hAnsi="Arial" w:cs="Arial"/>
        </w:rPr>
        <w:t>. Cette nomenclature est similaire à celle utilisée dans le budget de l’Etat qui est conforme aux dispositions de la législation</w:t>
      </w:r>
      <w:r w:rsidRPr="00A17E25">
        <w:rPr>
          <w:rStyle w:val="FootnoteReference"/>
          <w:rFonts w:cs="Arial"/>
        </w:rPr>
        <w:footnoteReference w:id="17"/>
      </w:r>
      <w:r w:rsidRPr="00A17E25">
        <w:rPr>
          <w:rFonts w:ascii="Arial" w:hAnsi="Arial" w:cs="Arial"/>
        </w:rPr>
        <w:t>. Elle comprend</w:t>
      </w:r>
      <w:r w:rsidR="004731CE">
        <w:rPr>
          <w:rFonts w:ascii="Arial" w:hAnsi="Arial" w:cs="Arial"/>
        </w:rPr>
        <w:t xml:space="preserve"> une classification administrative, une classification fonctionnelle et une classification économique.</w:t>
      </w:r>
    </w:p>
    <w:p w:rsidR="004731CE" w:rsidRPr="00A17E25" w:rsidRDefault="004731CE" w:rsidP="003A596A">
      <w:pPr>
        <w:autoSpaceDE w:val="0"/>
        <w:autoSpaceDN w:val="0"/>
        <w:adjustRightInd w:val="0"/>
        <w:jc w:val="both"/>
        <w:rPr>
          <w:rFonts w:ascii="Arial" w:hAnsi="Arial" w:cs="Arial"/>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b/>
          <w:bCs/>
          <w:iCs/>
        </w:rPr>
        <w:t>La classification administrative</w:t>
      </w:r>
      <w:r w:rsidRPr="00A17E25">
        <w:rPr>
          <w:rFonts w:ascii="Arial" w:hAnsi="Arial" w:cs="Arial"/>
          <w:bCs/>
          <w:iCs/>
        </w:rPr>
        <w:t xml:space="preserve"> qui définit le cadre juridique de présentation des recettes et des dépenses et </w:t>
      </w:r>
      <w:r w:rsidRPr="00A17E25">
        <w:rPr>
          <w:rFonts w:ascii="Arial" w:hAnsi="Arial" w:cs="Arial"/>
        </w:rPr>
        <w:t xml:space="preserve">représente la forme dans laquelle le budget est présenté aux instances chargées de son approbation et du contrôle de son exécution. A l’intérieur, les dépenses sont présentées par chapitres, subdivisés en articles, paragraphes et lignes selon leur destination, leur objet ou leur nature, en distinguant les dépenses de personnel, de matériel et dépenses diverses et d’investissement.  </w:t>
      </w:r>
    </w:p>
    <w:p w:rsidR="003A596A" w:rsidRPr="00A17E25" w:rsidRDefault="004731CE" w:rsidP="003A596A">
      <w:pPr>
        <w:jc w:val="both"/>
        <w:rPr>
          <w:rFonts w:ascii="Arial" w:hAnsi="Arial" w:cs="Arial"/>
        </w:rPr>
      </w:pPr>
      <w:bookmarkStart w:id="139" w:name="_Toc142707452"/>
      <w:r>
        <w:rPr>
          <w:rFonts w:ascii="Arial" w:hAnsi="Arial" w:cs="Arial"/>
        </w:rPr>
        <w:t>L’information fournie</w:t>
      </w:r>
      <w:r w:rsidR="003A596A" w:rsidRPr="00A17E25">
        <w:rPr>
          <w:rFonts w:ascii="Arial" w:hAnsi="Arial" w:cs="Arial"/>
        </w:rPr>
        <w:t xml:space="preserve"> par la classification administrative demeure orientée vers les besoins de contrôle de la régularité de la dépense et axée sur l’autorisation budgétaire</w:t>
      </w:r>
      <w:r>
        <w:rPr>
          <w:rFonts w:ascii="Arial" w:hAnsi="Arial" w:cs="Arial"/>
        </w:rPr>
        <w:t>,</w:t>
      </w:r>
      <w:r w:rsidR="003A596A" w:rsidRPr="00A17E25">
        <w:rPr>
          <w:rFonts w:ascii="Arial" w:hAnsi="Arial" w:cs="Arial"/>
        </w:rPr>
        <w:t xml:space="preserve"> privilégiant ainsi les aspects normatifs de la dépense et procurant une visibilité limitée sur les orientations et les choix des politiques publiques.</w:t>
      </w:r>
    </w:p>
    <w:p w:rsidR="004731CE" w:rsidRDefault="003A596A" w:rsidP="003A596A">
      <w:pPr>
        <w:autoSpaceDE w:val="0"/>
        <w:autoSpaceDN w:val="0"/>
        <w:adjustRightInd w:val="0"/>
        <w:spacing w:before="120"/>
        <w:jc w:val="both"/>
        <w:rPr>
          <w:rFonts w:ascii="Arial" w:hAnsi="Arial" w:cs="Arial"/>
        </w:rPr>
      </w:pPr>
      <w:r w:rsidRPr="00A17E25">
        <w:rPr>
          <w:rFonts w:ascii="Arial" w:hAnsi="Arial" w:cs="Arial"/>
          <w:b/>
          <w:bCs/>
          <w:iCs/>
        </w:rPr>
        <w:t>La classification fonctionnelle</w:t>
      </w:r>
      <w:r w:rsidRPr="00A17E25">
        <w:rPr>
          <w:rFonts w:ascii="Arial" w:hAnsi="Arial" w:cs="Arial"/>
          <w:bCs/>
          <w:iCs/>
        </w:rPr>
        <w:t xml:space="preserve"> qui permet une classification des dépenses selon les domaines d’intervention de la </w:t>
      </w:r>
      <w:bookmarkEnd w:id="139"/>
      <w:r w:rsidR="00F86504">
        <w:rPr>
          <w:rFonts w:ascii="Arial" w:hAnsi="Arial" w:cs="Arial"/>
          <w:bCs/>
          <w:iCs/>
        </w:rPr>
        <w:t>CC</w:t>
      </w:r>
      <w:r w:rsidRPr="00A17E25">
        <w:rPr>
          <w:rFonts w:ascii="Arial" w:hAnsi="Arial" w:cs="Arial"/>
          <w:bCs/>
          <w:iCs/>
        </w:rPr>
        <w:t xml:space="preserve"> et</w:t>
      </w:r>
      <w:r w:rsidRPr="00A17E25">
        <w:rPr>
          <w:rFonts w:ascii="Arial" w:hAnsi="Arial" w:cs="Arial"/>
        </w:rPr>
        <w:t xml:space="preserve"> indique les grandes fonctions assumées par la commune</w:t>
      </w:r>
      <w:r w:rsidR="004731CE">
        <w:rPr>
          <w:rFonts w:ascii="Arial" w:hAnsi="Arial" w:cs="Arial"/>
        </w:rPr>
        <w:t>.</w:t>
      </w:r>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color w:val="000000"/>
        </w:rPr>
        <w:t xml:space="preserve">La classification fonctionnelle prévue groupe les dépenses selon les domaines d’intervention des collectivités locales et indique les grandes fonctions assumées par ces entités, </w:t>
      </w:r>
      <w:r w:rsidR="004731CE">
        <w:rPr>
          <w:rFonts w:ascii="Arial" w:hAnsi="Arial" w:cs="Arial"/>
          <w:color w:val="000000"/>
        </w:rPr>
        <w:t>ce qui devrait permettre</w:t>
      </w:r>
      <w:r w:rsidRPr="00A17E25">
        <w:rPr>
          <w:rFonts w:ascii="Arial" w:hAnsi="Arial" w:cs="Arial"/>
          <w:color w:val="000000"/>
        </w:rPr>
        <w:t xml:space="preserve"> en particulier, de suivre l’évolution des dépenses qui leur sont consacrées.</w:t>
      </w:r>
    </w:p>
    <w:p w:rsidR="003A596A" w:rsidRPr="00A17E25" w:rsidRDefault="003A596A" w:rsidP="003A596A">
      <w:pPr>
        <w:spacing w:before="120"/>
        <w:jc w:val="both"/>
        <w:rPr>
          <w:rFonts w:ascii="Arial" w:hAnsi="Arial" w:cs="Arial"/>
        </w:rPr>
      </w:pPr>
      <w:r w:rsidRPr="00A17E25">
        <w:rPr>
          <w:rFonts w:ascii="Arial" w:hAnsi="Arial" w:cs="Arial"/>
        </w:rPr>
        <w:t>Il est à noter que les recettes ne font pas l’objet de ce type de classification, et ce en respect du principe</w:t>
      </w:r>
      <w:r w:rsidR="00151AD3">
        <w:rPr>
          <w:rFonts w:ascii="Arial" w:hAnsi="Arial" w:cs="Arial"/>
        </w:rPr>
        <w:t xml:space="preserve"> d’universalité qui dispose qu’</w:t>
      </w:r>
      <w:r w:rsidRPr="00A17E25">
        <w:rPr>
          <w:rFonts w:ascii="Arial" w:hAnsi="Arial" w:cs="Arial"/>
        </w:rPr>
        <w:t>il est fait recette du montant intégral des produits, sans contraction entre les recettes et les dépenses, l’ensemble des recettes assurant l’exécution de l’ensemble des dépenses.</w:t>
      </w:r>
    </w:p>
    <w:p w:rsidR="00A71697" w:rsidRPr="00EC565D" w:rsidRDefault="003A596A" w:rsidP="00EC565D">
      <w:pPr>
        <w:autoSpaceDE w:val="0"/>
        <w:autoSpaceDN w:val="0"/>
        <w:adjustRightInd w:val="0"/>
        <w:spacing w:before="120"/>
        <w:jc w:val="both"/>
        <w:rPr>
          <w:rFonts w:ascii="Arial" w:hAnsi="Arial" w:cs="Arial"/>
          <w:bCs/>
          <w:iCs/>
        </w:rPr>
      </w:pPr>
      <w:bookmarkStart w:id="140" w:name="_Toc142707453"/>
      <w:r w:rsidRPr="00A17E25">
        <w:rPr>
          <w:rFonts w:ascii="Arial" w:hAnsi="Arial" w:cs="Arial"/>
          <w:b/>
          <w:bCs/>
          <w:iCs/>
        </w:rPr>
        <w:t>La classification économique</w:t>
      </w:r>
      <w:r w:rsidRPr="00A17E25">
        <w:rPr>
          <w:rFonts w:ascii="Arial" w:hAnsi="Arial" w:cs="Arial"/>
          <w:bCs/>
          <w:iCs/>
        </w:rPr>
        <w:t xml:space="preserve"> qui permet l’analyse économique des recettes et des dépenses</w:t>
      </w:r>
      <w:bookmarkEnd w:id="140"/>
      <w:r w:rsidRPr="00A17E25">
        <w:rPr>
          <w:rFonts w:ascii="Arial" w:hAnsi="Arial" w:cs="Arial"/>
          <w:bCs/>
          <w:iCs/>
        </w:rPr>
        <w:t xml:space="preserve"> et</w:t>
      </w:r>
      <w:r w:rsidRPr="00A17E25">
        <w:rPr>
          <w:rFonts w:ascii="Arial" w:hAnsi="Arial" w:cs="Arial"/>
        </w:rPr>
        <w:t xml:space="preserve"> </w:t>
      </w:r>
      <w:r w:rsidR="00151AD3">
        <w:rPr>
          <w:rFonts w:ascii="Arial" w:hAnsi="Arial" w:cs="Arial"/>
        </w:rPr>
        <w:t xml:space="preserve">de </w:t>
      </w:r>
      <w:r w:rsidRPr="00A17E25">
        <w:rPr>
          <w:rFonts w:ascii="Arial" w:hAnsi="Arial" w:cs="Arial"/>
        </w:rPr>
        <w:t>créer des passerelles entre le budget de l’Etat et des collectivités territoriales et la comptabilité nationale.</w:t>
      </w:r>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color w:val="000000"/>
        </w:rPr>
        <w:t>La classification économique vise un meilleur repérage économique de la dépense et de la recette. Elle devait permettre un meilleur suivi de l’évolution des budgets des collectivités locales et faciliter les études comparatives portant sur ces budgets.</w:t>
      </w:r>
    </w:p>
    <w:p w:rsidR="00151AD3" w:rsidRDefault="00151AD3" w:rsidP="003A596A">
      <w:pPr>
        <w:autoSpaceDE w:val="0"/>
        <w:autoSpaceDN w:val="0"/>
        <w:adjustRightInd w:val="0"/>
        <w:jc w:val="both"/>
        <w:rPr>
          <w:rFonts w:ascii="Arial" w:hAnsi="Arial" w:cs="Arial"/>
        </w:rPr>
      </w:pPr>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rPr>
        <w:t xml:space="preserve">Ainsi </w:t>
      </w:r>
      <w:r w:rsidRPr="00A17E25">
        <w:rPr>
          <w:rFonts w:ascii="Arial" w:hAnsi="Arial" w:cs="Arial"/>
          <w:color w:val="000000"/>
        </w:rPr>
        <w:t xml:space="preserve">la nomenclature budgétaire </w:t>
      </w:r>
      <w:r w:rsidR="00151AD3">
        <w:rPr>
          <w:rFonts w:ascii="Arial" w:hAnsi="Arial" w:cs="Arial"/>
          <w:color w:val="000000"/>
        </w:rPr>
        <w:t xml:space="preserve">telle qu’elle est structurée </w:t>
      </w:r>
      <w:r w:rsidRPr="00A17E25">
        <w:rPr>
          <w:rFonts w:ascii="Arial" w:hAnsi="Arial" w:cs="Arial"/>
          <w:color w:val="000000"/>
        </w:rPr>
        <w:t>est sensée viser en particulier :</w:t>
      </w:r>
    </w:p>
    <w:p w:rsidR="003A596A" w:rsidRPr="00A17E25" w:rsidRDefault="003A596A" w:rsidP="00151AD3">
      <w:pPr>
        <w:pStyle w:val="ListParagraph"/>
        <w:numPr>
          <w:ilvl w:val="0"/>
          <w:numId w:val="1"/>
        </w:numPr>
        <w:autoSpaceDE w:val="0"/>
        <w:autoSpaceDN w:val="0"/>
        <w:adjustRightInd w:val="0"/>
        <w:contextualSpacing/>
        <w:jc w:val="both"/>
        <w:rPr>
          <w:rFonts w:ascii="Arial" w:hAnsi="Arial" w:cs="Arial"/>
          <w:color w:val="000000"/>
        </w:rPr>
      </w:pPr>
      <w:r w:rsidRPr="00A17E25">
        <w:rPr>
          <w:rFonts w:ascii="Arial" w:hAnsi="Arial" w:cs="Arial"/>
          <w:color w:val="000000"/>
        </w:rPr>
        <w:t>L’uniformisation et l’harmonisation des budgets des collectivités locales avec le budget de l’Etat;</w:t>
      </w:r>
    </w:p>
    <w:p w:rsidR="003A596A" w:rsidRPr="00A17E25" w:rsidRDefault="003A596A" w:rsidP="00151AD3">
      <w:pPr>
        <w:pStyle w:val="ListParagraph"/>
        <w:numPr>
          <w:ilvl w:val="0"/>
          <w:numId w:val="1"/>
        </w:numPr>
        <w:autoSpaceDE w:val="0"/>
        <w:autoSpaceDN w:val="0"/>
        <w:adjustRightInd w:val="0"/>
        <w:contextualSpacing/>
        <w:jc w:val="both"/>
        <w:rPr>
          <w:rFonts w:ascii="Arial" w:hAnsi="Arial" w:cs="Arial"/>
          <w:color w:val="000000"/>
        </w:rPr>
      </w:pPr>
      <w:r w:rsidRPr="00A17E25">
        <w:rPr>
          <w:rFonts w:ascii="Arial" w:hAnsi="Arial" w:cs="Arial"/>
          <w:color w:val="000000"/>
        </w:rPr>
        <w:t>L'amélioration de la transparence des opérations budgétaires en recettes et en dépenses;</w:t>
      </w:r>
    </w:p>
    <w:p w:rsidR="003A596A" w:rsidRPr="00A17E25" w:rsidRDefault="003A596A" w:rsidP="00151AD3">
      <w:pPr>
        <w:pStyle w:val="ListParagraph"/>
        <w:numPr>
          <w:ilvl w:val="0"/>
          <w:numId w:val="1"/>
        </w:numPr>
        <w:autoSpaceDE w:val="0"/>
        <w:autoSpaceDN w:val="0"/>
        <w:adjustRightInd w:val="0"/>
        <w:contextualSpacing/>
        <w:jc w:val="both"/>
        <w:rPr>
          <w:rFonts w:ascii="Arial" w:hAnsi="Arial" w:cs="Arial"/>
          <w:color w:val="000000"/>
        </w:rPr>
      </w:pPr>
      <w:r w:rsidRPr="00A17E25">
        <w:rPr>
          <w:rFonts w:ascii="Arial" w:hAnsi="Arial" w:cs="Arial"/>
          <w:color w:val="000000"/>
        </w:rPr>
        <w:t>La prise en compte des opérations budgétaires des collectivités locales dans la comptabilité nationale;</w:t>
      </w:r>
    </w:p>
    <w:p w:rsidR="003A596A" w:rsidRPr="00A17E25" w:rsidRDefault="003A596A" w:rsidP="00151AD3">
      <w:pPr>
        <w:pStyle w:val="ListParagraph"/>
        <w:numPr>
          <w:ilvl w:val="0"/>
          <w:numId w:val="1"/>
        </w:numPr>
        <w:autoSpaceDE w:val="0"/>
        <w:autoSpaceDN w:val="0"/>
        <w:adjustRightInd w:val="0"/>
        <w:contextualSpacing/>
        <w:jc w:val="both"/>
        <w:rPr>
          <w:rFonts w:ascii="Arial" w:hAnsi="Arial" w:cs="Arial"/>
          <w:color w:val="000000"/>
        </w:rPr>
      </w:pPr>
      <w:r w:rsidRPr="00A17E25">
        <w:rPr>
          <w:rFonts w:ascii="Arial" w:hAnsi="Arial" w:cs="Arial"/>
          <w:color w:val="000000"/>
        </w:rPr>
        <w:t>L’amélioration des procédés de prévision, d’exécution, de suivi et de contrôle des budgets des collectivités locales ;</w:t>
      </w:r>
    </w:p>
    <w:p w:rsidR="003A596A" w:rsidRPr="00A17E25" w:rsidRDefault="003A596A" w:rsidP="00151AD3">
      <w:pPr>
        <w:pStyle w:val="ListParagraph"/>
        <w:numPr>
          <w:ilvl w:val="0"/>
          <w:numId w:val="1"/>
        </w:numPr>
        <w:autoSpaceDE w:val="0"/>
        <w:autoSpaceDN w:val="0"/>
        <w:adjustRightInd w:val="0"/>
        <w:contextualSpacing/>
        <w:jc w:val="both"/>
        <w:rPr>
          <w:rFonts w:ascii="Arial" w:hAnsi="Arial" w:cs="Arial"/>
          <w:color w:val="000000"/>
        </w:rPr>
      </w:pPr>
      <w:r w:rsidRPr="00A17E25">
        <w:rPr>
          <w:rFonts w:ascii="Arial" w:hAnsi="Arial" w:cs="Arial"/>
          <w:color w:val="000000"/>
        </w:rPr>
        <w:t>Une meilleure exploitation économique des données budgétaires pour l'appréciation des performances.</w:t>
      </w:r>
    </w:p>
    <w:p w:rsidR="003A596A" w:rsidRPr="00A17E25" w:rsidRDefault="003A596A" w:rsidP="003A596A">
      <w:pPr>
        <w:autoSpaceDE w:val="0"/>
        <w:autoSpaceDN w:val="0"/>
        <w:adjustRightInd w:val="0"/>
        <w:jc w:val="both"/>
        <w:rPr>
          <w:rFonts w:ascii="Arial" w:hAnsi="Arial" w:cs="Arial"/>
          <w:color w:val="000000"/>
        </w:rPr>
      </w:pPr>
    </w:p>
    <w:p w:rsidR="003A596A" w:rsidRDefault="003A596A" w:rsidP="003A596A">
      <w:pPr>
        <w:autoSpaceDE w:val="0"/>
        <w:autoSpaceDN w:val="0"/>
        <w:adjustRightInd w:val="0"/>
        <w:jc w:val="both"/>
        <w:rPr>
          <w:rFonts w:ascii="Arial" w:hAnsi="Arial" w:cs="Arial"/>
          <w:color w:val="000000"/>
        </w:rPr>
      </w:pPr>
      <w:r w:rsidRPr="00A17E25">
        <w:rPr>
          <w:rFonts w:ascii="Arial" w:hAnsi="Arial" w:cs="Arial"/>
          <w:color w:val="000000"/>
        </w:rPr>
        <w:t xml:space="preserve">Cependant ce système de classification est utilisé uniquement par la </w:t>
      </w:r>
      <w:r w:rsidR="00F86504">
        <w:rPr>
          <w:rFonts w:ascii="Arial" w:hAnsi="Arial" w:cs="Arial"/>
          <w:color w:val="000000"/>
        </w:rPr>
        <w:t>CC</w:t>
      </w:r>
      <w:r w:rsidRPr="00A17E25">
        <w:rPr>
          <w:rFonts w:ascii="Arial" w:hAnsi="Arial" w:cs="Arial"/>
          <w:color w:val="000000"/>
        </w:rPr>
        <w:t xml:space="preserve"> lors de la préparation des budgets communiqués à la Tutelle pour approbation. Les documents budgétaires utilisés par Conseil dans les phases de préparation, exécution et établissement des rapports budgétaires se basent sur la classification par chapitres, paragraphes et articles.</w:t>
      </w:r>
    </w:p>
    <w:p w:rsidR="00151AD3" w:rsidRPr="00A17E25" w:rsidRDefault="00151AD3" w:rsidP="003A596A">
      <w:pPr>
        <w:autoSpaceDE w:val="0"/>
        <w:autoSpaceDN w:val="0"/>
        <w:adjustRightInd w:val="0"/>
        <w:jc w:val="both"/>
        <w:rPr>
          <w:rFonts w:ascii="Arial" w:hAnsi="Arial" w:cs="Arial"/>
          <w:color w:val="000000"/>
        </w:rPr>
      </w:pPr>
    </w:p>
    <w:p w:rsidR="003A596A" w:rsidRDefault="003A596A" w:rsidP="003A596A">
      <w:pPr>
        <w:jc w:val="both"/>
        <w:rPr>
          <w:rFonts w:ascii="Arial" w:hAnsi="Arial" w:cs="Arial"/>
        </w:rPr>
      </w:pPr>
      <w:r w:rsidRPr="00A17E25">
        <w:rPr>
          <w:rFonts w:ascii="Arial" w:hAnsi="Arial" w:cs="Arial"/>
        </w:rPr>
        <w:t>Sur un autre plan, la mission a noté qu’une réforme de la nomenclature a été introduite d’une part par la nouvelle loi organique des finances et la nouvelle loi sur les communes</w:t>
      </w:r>
      <w:r w:rsidRPr="00A17E25">
        <w:rPr>
          <w:rStyle w:val="FootnoteReference"/>
          <w:rFonts w:cs="Arial"/>
        </w:rPr>
        <w:footnoteReference w:id="18"/>
      </w:r>
      <w:r w:rsidRPr="00A17E25">
        <w:rPr>
          <w:rFonts w:ascii="Arial" w:hAnsi="Arial" w:cs="Arial"/>
        </w:rPr>
        <w:t>. Cette évolution ambitionne d’enrichir la classification du budget à travers la mise en exergue des dimensions « information » et « performance » et l’introduction de la classification « programmatique » au niveau des communes.</w:t>
      </w:r>
    </w:p>
    <w:p w:rsidR="00151AD3" w:rsidRPr="00A17E25" w:rsidRDefault="00151AD3" w:rsidP="003A596A">
      <w:pPr>
        <w:jc w:val="both"/>
        <w:rPr>
          <w:rFonts w:ascii="Arial" w:hAnsi="Arial" w:cs="Arial"/>
        </w:rPr>
      </w:pPr>
    </w:p>
    <w:p w:rsidR="00151AD3" w:rsidRDefault="003A596A" w:rsidP="003A596A">
      <w:pPr>
        <w:pStyle w:val="BodyText"/>
        <w:rPr>
          <w:rFonts w:ascii="Arial" w:hAnsi="Arial" w:cs="Arial"/>
          <w:color w:val="000000"/>
          <w:lang w:eastAsia="en-US"/>
        </w:rPr>
      </w:pPr>
      <w:r w:rsidRPr="00A17E25">
        <w:rPr>
          <w:rFonts w:ascii="Arial" w:hAnsi="Arial" w:cs="Arial"/>
          <w:color w:val="000000"/>
          <w:lang w:eastAsia="en-US"/>
        </w:rPr>
        <w:t xml:space="preserve">La préparation et l’exécution du budget de la Commune  de Casablanca ne se base ni sur une classification économique conforme aux normes SFP ni sur classification fonctionnelle conforme au COFOG. </w:t>
      </w:r>
    </w:p>
    <w:p w:rsidR="00151AD3" w:rsidRDefault="00151AD3" w:rsidP="003A596A">
      <w:pPr>
        <w:pStyle w:val="BodyText"/>
        <w:rPr>
          <w:rFonts w:ascii="Arial" w:hAnsi="Arial" w:cs="Arial"/>
          <w:color w:val="000000"/>
          <w:lang w:eastAsia="en-US"/>
        </w:rPr>
      </w:pPr>
    </w:p>
    <w:p w:rsidR="003A596A" w:rsidRPr="00A17E25" w:rsidRDefault="003A596A" w:rsidP="003A596A">
      <w:pPr>
        <w:pStyle w:val="BodyText"/>
        <w:rPr>
          <w:rFonts w:ascii="Arial" w:hAnsi="Arial" w:cs="Arial"/>
          <w:color w:val="000000"/>
          <w:lang w:eastAsia="en-US"/>
        </w:rPr>
      </w:pPr>
      <w:r w:rsidRPr="00A17E25">
        <w:rPr>
          <w:rFonts w:ascii="Arial" w:hAnsi="Arial" w:cs="Arial"/>
          <w:color w:val="000000"/>
          <w:lang w:eastAsia="en-US"/>
        </w:rPr>
        <w:t>En</w:t>
      </w:r>
      <w:r w:rsidR="00151AD3">
        <w:rPr>
          <w:rFonts w:ascii="Arial" w:hAnsi="Arial" w:cs="Arial"/>
          <w:color w:val="000000"/>
          <w:lang w:eastAsia="en-US"/>
        </w:rPr>
        <w:t>fin, il importe de signaler qu’en</w:t>
      </w:r>
      <w:r w:rsidRPr="00A17E25">
        <w:rPr>
          <w:rFonts w:ascii="Arial" w:hAnsi="Arial" w:cs="Arial"/>
          <w:color w:val="000000"/>
          <w:lang w:eastAsia="en-US"/>
        </w:rPr>
        <w:t xml:space="preserve"> matière de classification, la </w:t>
      </w:r>
      <w:r w:rsidR="00F86504">
        <w:rPr>
          <w:rFonts w:ascii="Arial" w:hAnsi="Arial" w:cs="Arial"/>
          <w:color w:val="000000"/>
          <w:lang w:eastAsia="en-US"/>
        </w:rPr>
        <w:t>CC</w:t>
      </w:r>
      <w:r w:rsidRPr="00A17E25">
        <w:rPr>
          <w:rFonts w:ascii="Arial" w:hAnsi="Arial" w:cs="Arial"/>
          <w:color w:val="000000"/>
          <w:lang w:eastAsia="en-US"/>
        </w:rPr>
        <w:t xml:space="preserve"> n’a aucune autonomie. Elle doit impérativement se soumettre à la législation </w:t>
      </w:r>
      <w:r w:rsidR="00151AD3">
        <w:rPr>
          <w:rFonts w:ascii="Arial" w:hAnsi="Arial" w:cs="Arial"/>
          <w:color w:val="000000"/>
          <w:lang w:eastAsia="en-US"/>
        </w:rPr>
        <w:t xml:space="preserve">ou à la réglementation nationale </w:t>
      </w:r>
      <w:r w:rsidRPr="00A17E25">
        <w:rPr>
          <w:rFonts w:ascii="Arial" w:hAnsi="Arial" w:cs="Arial"/>
          <w:color w:val="000000"/>
          <w:lang w:eastAsia="en-US"/>
        </w:rPr>
        <w:t>en vigueur dans la matière.</w:t>
      </w:r>
    </w:p>
    <w:p w:rsidR="003A596A" w:rsidRPr="00A17E25" w:rsidRDefault="003A596A" w:rsidP="003A596A">
      <w:pPr>
        <w:pStyle w:val="BodyText"/>
        <w:rPr>
          <w:rFonts w:ascii="Arial" w:hAnsi="Arial" w:cs="Aria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960"/>
        <w:gridCol w:w="4098"/>
      </w:tblGrid>
      <w:tr w:rsidR="003A596A" w:rsidRPr="00A17E25" w:rsidTr="003A596A">
        <w:trPr>
          <w:jc w:val="center"/>
        </w:trPr>
        <w:tc>
          <w:tcPr>
            <w:tcW w:w="4146"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Indicateur</w:t>
            </w:r>
          </w:p>
        </w:tc>
        <w:tc>
          <w:tcPr>
            <w:tcW w:w="960"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Note</w:t>
            </w:r>
          </w:p>
        </w:tc>
        <w:tc>
          <w:tcPr>
            <w:tcW w:w="4098"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Explication</w:t>
            </w:r>
          </w:p>
        </w:tc>
      </w:tr>
      <w:tr w:rsidR="003A596A" w:rsidRPr="00A17E25" w:rsidTr="003A596A">
        <w:trPr>
          <w:jc w:val="center"/>
        </w:trPr>
        <w:tc>
          <w:tcPr>
            <w:tcW w:w="4146" w:type="dxa"/>
          </w:tcPr>
          <w:p w:rsidR="003A596A" w:rsidRPr="00A17E25" w:rsidRDefault="003A596A" w:rsidP="003A596A">
            <w:pPr>
              <w:jc w:val="both"/>
              <w:rPr>
                <w:rFonts w:ascii="Arial" w:hAnsi="Arial" w:cs="Arial"/>
                <w:b/>
                <w:sz w:val="20"/>
                <w:szCs w:val="20"/>
              </w:rPr>
            </w:pPr>
          </w:p>
          <w:p w:rsidR="003A596A" w:rsidRPr="00A17E25" w:rsidRDefault="003A596A" w:rsidP="003A596A">
            <w:pPr>
              <w:jc w:val="both"/>
              <w:rPr>
                <w:rFonts w:ascii="Arial" w:hAnsi="Arial" w:cs="Arial"/>
                <w:b/>
                <w:sz w:val="20"/>
                <w:szCs w:val="20"/>
              </w:rPr>
            </w:pPr>
            <w:r w:rsidRPr="00A17E25">
              <w:rPr>
                <w:rFonts w:ascii="Arial" w:hAnsi="Arial" w:cs="Arial"/>
                <w:b/>
                <w:sz w:val="20"/>
                <w:szCs w:val="20"/>
              </w:rPr>
              <w:t xml:space="preserve">PI-4. </w:t>
            </w:r>
            <w:r w:rsidRPr="00A17E25">
              <w:rPr>
                <w:rFonts w:ascii="Arial" w:hAnsi="Arial" w:cs="Arial"/>
                <w:b/>
                <w:bCs/>
                <w:sz w:val="20"/>
                <w:szCs w:val="20"/>
              </w:rPr>
              <w:t>Classification du budget</w:t>
            </w:r>
          </w:p>
        </w:tc>
        <w:tc>
          <w:tcPr>
            <w:tcW w:w="960" w:type="dxa"/>
          </w:tcPr>
          <w:p w:rsidR="003A596A" w:rsidRPr="00A17E25" w:rsidRDefault="003A596A" w:rsidP="003A596A">
            <w:pPr>
              <w:jc w:val="both"/>
              <w:rPr>
                <w:rFonts w:ascii="Arial" w:hAnsi="Arial" w:cs="Arial"/>
                <w:b/>
                <w:sz w:val="20"/>
                <w:szCs w:val="20"/>
              </w:rPr>
            </w:pPr>
          </w:p>
          <w:p w:rsidR="003A596A" w:rsidRPr="00A17E25" w:rsidRDefault="003A596A" w:rsidP="003A596A">
            <w:pPr>
              <w:jc w:val="center"/>
              <w:rPr>
                <w:rFonts w:ascii="Arial" w:hAnsi="Arial" w:cs="Arial"/>
                <w:b/>
                <w:sz w:val="20"/>
                <w:szCs w:val="20"/>
              </w:rPr>
            </w:pPr>
            <w:r w:rsidRPr="00A17E25">
              <w:rPr>
                <w:rFonts w:ascii="Arial" w:hAnsi="Arial" w:cs="Arial"/>
                <w:b/>
                <w:sz w:val="20"/>
                <w:szCs w:val="20"/>
              </w:rPr>
              <w:t>D</w:t>
            </w:r>
          </w:p>
        </w:tc>
        <w:tc>
          <w:tcPr>
            <w:tcW w:w="4098" w:type="dxa"/>
          </w:tcPr>
          <w:p w:rsidR="003A596A" w:rsidRPr="00A17E25" w:rsidRDefault="003A596A" w:rsidP="003A596A">
            <w:pPr>
              <w:jc w:val="both"/>
              <w:rPr>
                <w:rFonts w:ascii="Arial" w:hAnsi="Arial" w:cs="Arial"/>
                <w:sz w:val="20"/>
                <w:szCs w:val="20"/>
              </w:rPr>
            </w:pPr>
          </w:p>
          <w:p w:rsidR="003A596A" w:rsidRPr="00A17E25" w:rsidRDefault="003A596A" w:rsidP="003A596A">
            <w:pPr>
              <w:jc w:val="both"/>
              <w:rPr>
                <w:rFonts w:ascii="Arial" w:hAnsi="Arial" w:cs="Arial"/>
                <w:b/>
                <w:bCs/>
                <w:sz w:val="20"/>
                <w:szCs w:val="20"/>
              </w:rPr>
            </w:pPr>
            <w:r w:rsidRPr="00A17E25">
              <w:rPr>
                <w:rFonts w:ascii="Arial" w:hAnsi="Arial" w:cs="Arial"/>
                <w:b/>
                <w:bCs/>
                <w:sz w:val="20"/>
                <w:szCs w:val="20"/>
              </w:rPr>
              <w:t>Méthode de notation M1</w:t>
            </w:r>
          </w:p>
        </w:tc>
      </w:tr>
      <w:tr w:rsidR="003A596A" w:rsidRPr="00A17E25" w:rsidTr="003A596A">
        <w:trPr>
          <w:jc w:val="center"/>
        </w:trPr>
        <w:tc>
          <w:tcPr>
            <w:tcW w:w="414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(i) Le système de classification utilisé pour l’établissement, l’exécution et l’établissement de rapport sur le budget de la Commune.</w:t>
            </w:r>
          </w:p>
        </w:tc>
        <w:tc>
          <w:tcPr>
            <w:tcW w:w="960" w:type="dxa"/>
          </w:tcPr>
          <w:p w:rsidR="003A596A" w:rsidRPr="00A17E25" w:rsidRDefault="003A596A" w:rsidP="003A596A">
            <w:pPr>
              <w:jc w:val="center"/>
              <w:rPr>
                <w:rFonts w:ascii="Arial" w:hAnsi="Arial" w:cs="Arial"/>
                <w:sz w:val="20"/>
                <w:szCs w:val="20"/>
              </w:rPr>
            </w:pPr>
          </w:p>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098"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La préparation et l’exécution du budget reposent sur une classification différente des normes SFP et COFOG</w:t>
            </w:r>
          </w:p>
        </w:tc>
      </w:tr>
    </w:tbl>
    <w:p w:rsidR="003A596A" w:rsidRPr="00A17E25" w:rsidRDefault="003A596A" w:rsidP="003A596A">
      <w:bookmarkStart w:id="141" w:name="_Toc428200797"/>
      <w:bookmarkStart w:id="142" w:name="_Toc412839440"/>
    </w:p>
    <w:p w:rsidR="003A596A" w:rsidRPr="00A17E25" w:rsidRDefault="003A596A" w:rsidP="003A596A">
      <w:pPr>
        <w:pStyle w:val="Heading1"/>
        <w:jc w:val="both"/>
        <w:rPr>
          <w:rFonts w:cs="Arial"/>
          <w:sz w:val="24"/>
          <w:szCs w:val="24"/>
        </w:rPr>
      </w:pPr>
      <w:bookmarkStart w:id="143" w:name="_Toc434916114"/>
      <w:bookmarkStart w:id="144" w:name="_Toc434918328"/>
      <w:r w:rsidRPr="00A17E25">
        <w:rPr>
          <w:rFonts w:cs="Arial"/>
          <w:sz w:val="24"/>
          <w:szCs w:val="24"/>
        </w:rPr>
        <w:t>PI-5 : Exhaustivité des informations contenues dans la documentation budgétaire</w:t>
      </w:r>
      <w:bookmarkEnd w:id="141"/>
      <w:bookmarkEnd w:id="143"/>
      <w:bookmarkEnd w:id="144"/>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cadre PEFA évalue l’exhaustivité des informations contenues dans la documentation budgétaire sur la base de quatre éléments de base et 8 critères supplémentaire pour le dernier budget présenté au Conseil (budget de 2015).</w:t>
      </w:r>
    </w:p>
    <w:p w:rsidR="00384C41" w:rsidRDefault="00384C41"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législation en vigueur </w:t>
      </w:r>
      <w:r w:rsidR="00384C41">
        <w:rPr>
          <w:rFonts w:ascii="Arial" w:hAnsi="Arial" w:cs="Arial"/>
        </w:rPr>
        <w:t>dispose</w:t>
      </w:r>
      <w:r w:rsidRPr="00A17E25">
        <w:rPr>
          <w:rFonts w:ascii="Arial" w:hAnsi="Arial" w:cs="Arial"/>
        </w:rPr>
        <w:t xml:space="preserve"> que : « </w:t>
      </w:r>
      <w:r w:rsidRPr="00A17E25">
        <w:rPr>
          <w:rFonts w:ascii="Arial" w:hAnsi="Arial" w:cs="Arial"/>
          <w:i/>
          <w:iCs/>
        </w:rPr>
        <w:t>Le budget est présenté avec les documents nécessaires à son examen, à la commission compétente dans un délai n’excédant pas de 10 jours avant l’ouverture de la session relative à l’adoption du budget par le conseil. Les documents indiqués ci-dessus sont fixés par arrêté du ministre de l’intérieur</w:t>
      </w:r>
      <w:r w:rsidRPr="00A17E25">
        <w:rPr>
          <w:rFonts w:ascii="Arial" w:hAnsi="Arial" w:cs="Arial"/>
        </w:rPr>
        <w:t> </w:t>
      </w:r>
      <w:r w:rsidRPr="00A17E25">
        <w:rPr>
          <w:rStyle w:val="FootnoteReference"/>
          <w:rFonts w:cs="Arial"/>
        </w:rPr>
        <w:footnoteReference w:id="19"/>
      </w:r>
      <w:r w:rsidRPr="00A17E25">
        <w:rPr>
          <w:rFonts w:ascii="Arial" w:hAnsi="Arial" w:cs="Arial"/>
        </w:rPr>
        <w:t>». Mais cet arrêté prévu par ladite loi n’est pas encore pris depuis 2009.</w:t>
      </w:r>
    </w:p>
    <w:p w:rsidR="00384C41" w:rsidRDefault="00384C41"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Une circulaire annuelle</w:t>
      </w:r>
      <w:r w:rsidRPr="00A17E25">
        <w:rPr>
          <w:rStyle w:val="FootnoteReference"/>
          <w:rFonts w:cs="Arial"/>
        </w:rPr>
        <w:footnoteReference w:id="20"/>
      </w:r>
      <w:r w:rsidRPr="00A17E25">
        <w:rPr>
          <w:rFonts w:ascii="Arial" w:hAnsi="Arial" w:cs="Arial"/>
        </w:rPr>
        <w:t xml:space="preserve"> établie par le Ministère de l’Intérieur rappelant les règles et modalités de préparation des budgets des collectivités territoriales mentionne les documents devant accompagner les budgets annuels. </w:t>
      </w:r>
    </w:p>
    <w:p w:rsidR="00384C41" w:rsidRDefault="00384C41" w:rsidP="003A596A">
      <w:pPr>
        <w:jc w:val="both"/>
        <w:rPr>
          <w:rFonts w:ascii="Arial" w:hAnsi="Arial" w:cs="Arial"/>
        </w:rPr>
      </w:pPr>
    </w:p>
    <w:p w:rsidR="003A596A" w:rsidRPr="00A17E25" w:rsidRDefault="00384C41" w:rsidP="003A596A">
      <w:pPr>
        <w:jc w:val="both"/>
        <w:rPr>
          <w:rFonts w:ascii="Arial" w:hAnsi="Arial" w:cs="Arial"/>
        </w:rPr>
      </w:pPr>
      <w:r>
        <w:rPr>
          <w:rFonts w:ascii="Arial" w:hAnsi="Arial" w:cs="Arial"/>
        </w:rPr>
        <w:t>La</w:t>
      </w:r>
      <w:r w:rsidR="003A596A" w:rsidRPr="00A17E25">
        <w:rPr>
          <w:rFonts w:ascii="Arial" w:hAnsi="Arial" w:cs="Arial"/>
        </w:rPr>
        <w:t xml:space="preserve"> </w:t>
      </w:r>
      <w:r w:rsidR="00F86504">
        <w:rPr>
          <w:rFonts w:ascii="Arial" w:hAnsi="Arial" w:cs="Arial"/>
        </w:rPr>
        <w:t>CC</w:t>
      </w:r>
      <w:r w:rsidR="003A596A" w:rsidRPr="00A17E25">
        <w:rPr>
          <w:rFonts w:ascii="Arial" w:hAnsi="Arial" w:cs="Arial"/>
        </w:rPr>
        <w:t xml:space="preserve"> </w:t>
      </w:r>
      <w:r>
        <w:rPr>
          <w:rFonts w:ascii="Arial" w:hAnsi="Arial" w:cs="Arial"/>
        </w:rPr>
        <w:t xml:space="preserve">a </w:t>
      </w:r>
      <w:r w:rsidR="003A596A" w:rsidRPr="00A17E25">
        <w:rPr>
          <w:rFonts w:ascii="Arial" w:hAnsi="Arial" w:cs="Arial"/>
        </w:rPr>
        <w:t xml:space="preserve">fait accompagner son projet de budget annuel transmis à la tutelle pour approbation par : </w:t>
      </w:r>
    </w:p>
    <w:p w:rsidR="003A596A" w:rsidRPr="00A17E25" w:rsidRDefault="003A596A" w:rsidP="00151AD3">
      <w:pPr>
        <w:numPr>
          <w:ilvl w:val="0"/>
          <w:numId w:val="2"/>
        </w:numPr>
        <w:jc w:val="both"/>
        <w:rPr>
          <w:rFonts w:ascii="Arial" w:hAnsi="Arial" w:cs="Arial"/>
        </w:rPr>
      </w:pPr>
      <w:r w:rsidRPr="00A17E25">
        <w:rPr>
          <w:rFonts w:ascii="Arial" w:hAnsi="Arial" w:cs="Arial"/>
        </w:rPr>
        <w:t>Les situations des dépenses et recettes au 30 septembre de l’année en cours,</w:t>
      </w:r>
    </w:p>
    <w:p w:rsidR="003A596A" w:rsidRPr="00A17E25" w:rsidRDefault="003A596A" w:rsidP="00151AD3">
      <w:pPr>
        <w:numPr>
          <w:ilvl w:val="0"/>
          <w:numId w:val="2"/>
        </w:numPr>
        <w:jc w:val="both"/>
        <w:rPr>
          <w:rFonts w:ascii="Arial" w:hAnsi="Arial" w:cs="Arial"/>
        </w:rPr>
      </w:pPr>
      <w:r w:rsidRPr="00A17E25">
        <w:rPr>
          <w:rFonts w:ascii="Arial" w:hAnsi="Arial" w:cs="Arial"/>
        </w:rPr>
        <w:t>L’état des échéances de dettes à payer au FEC au cours de l’année N+1,</w:t>
      </w:r>
    </w:p>
    <w:p w:rsidR="003A596A" w:rsidRPr="00A17E25" w:rsidRDefault="003A596A" w:rsidP="00151AD3">
      <w:pPr>
        <w:numPr>
          <w:ilvl w:val="0"/>
          <w:numId w:val="2"/>
        </w:numPr>
        <w:jc w:val="both"/>
        <w:rPr>
          <w:rFonts w:ascii="Arial" w:hAnsi="Arial" w:cs="Arial"/>
        </w:rPr>
      </w:pPr>
      <w:r w:rsidRPr="00A17E25">
        <w:rPr>
          <w:rFonts w:ascii="Arial" w:hAnsi="Arial" w:cs="Arial"/>
        </w:rPr>
        <w:t>un état des dépenses permanentes de personnel prévues au titre de l’année N+1,</w:t>
      </w:r>
    </w:p>
    <w:p w:rsidR="003A596A" w:rsidRPr="00A17E25" w:rsidRDefault="00384C41" w:rsidP="00151AD3">
      <w:pPr>
        <w:numPr>
          <w:ilvl w:val="0"/>
          <w:numId w:val="2"/>
        </w:numPr>
        <w:jc w:val="both"/>
        <w:rPr>
          <w:rFonts w:ascii="Arial" w:hAnsi="Arial" w:cs="Arial"/>
        </w:rPr>
      </w:pPr>
      <w:r>
        <w:rPr>
          <w:rFonts w:ascii="Arial" w:hAnsi="Arial" w:cs="Arial"/>
        </w:rPr>
        <w:t>Une c</w:t>
      </w:r>
      <w:r w:rsidR="003A596A" w:rsidRPr="00A17E25">
        <w:rPr>
          <w:rFonts w:ascii="Arial" w:hAnsi="Arial" w:cs="Arial"/>
        </w:rPr>
        <w:t>opie des échéanciers d’emprunt,</w:t>
      </w:r>
    </w:p>
    <w:p w:rsidR="003A596A" w:rsidRPr="00A17E25" w:rsidRDefault="00384C41" w:rsidP="00151AD3">
      <w:pPr>
        <w:numPr>
          <w:ilvl w:val="0"/>
          <w:numId w:val="2"/>
        </w:numPr>
        <w:jc w:val="both"/>
        <w:rPr>
          <w:rFonts w:ascii="Arial" w:hAnsi="Arial" w:cs="Arial"/>
        </w:rPr>
      </w:pPr>
      <w:r>
        <w:rPr>
          <w:rFonts w:ascii="Arial" w:hAnsi="Arial" w:cs="Arial"/>
        </w:rPr>
        <w:t>Un état des p</w:t>
      </w:r>
      <w:r w:rsidR="003A596A" w:rsidRPr="00A17E25">
        <w:rPr>
          <w:rFonts w:ascii="Arial" w:hAnsi="Arial" w:cs="Arial"/>
        </w:rPr>
        <w:t>révisions de consommation de l’eau et de l’électricité,</w:t>
      </w:r>
    </w:p>
    <w:p w:rsidR="003A596A" w:rsidRPr="00A17E25" w:rsidRDefault="00384C41" w:rsidP="00151AD3">
      <w:pPr>
        <w:numPr>
          <w:ilvl w:val="0"/>
          <w:numId w:val="2"/>
        </w:numPr>
        <w:jc w:val="both"/>
        <w:rPr>
          <w:rFonts w:ascii="Arial" w:hAnsi="Arial" w:cs="Arial"/>
        </w:rPr>
      </w:pPr>
      <w:r>
        <w:rPr>
          <w:rFonts w:ascii="Arial" w:hAnsi="Arial" w:cs="Arial"/>
        </w:rPr>
        <w:t>La s</w:t>
      </w:r>
      <w:r w:rsidR="003A596A" w:rsidRPr="00A17E25">
        <w:rPr>
          <w:rFonts w:ascii="Arial" w:hAnsi="Arial" w:cs="Arial"/>
        </w:rPr>
        <w:t>ituation des recettes au 30 septembre de l’année délivrée par le Trésorier Communal,</w:t>
      </w:r>
    </w:p>
    <w:p w:rsidR="003A596A" w:rsidRPr="00A17E25" w:rsidRDefault="00384C41" w:rsidP="00151AD3">
      <w:pPr>
        <w:numPr>
          <w:ilvl w:val="0"/>
          <w:numId w:val="2"/>
        </w:numPr>
        <w:jc w:val="both"/>
        <w:rPr>
          <w:rFonts w:ascii="Arial" w:hAnsi="Arial" w:cs="Arial"/>
        </w:rPr>
      </w:pPr>
      <w:r>
        <w:rPr>
          <w:rFonts w:ascii="Arial" w:hAnsi="Arial" w:cs="Arial"/>
        </w:rPr>
        <w:t>Une c</w:t>
      </w:r>
      <w:r w:rsidR="003A596A" w:rsidRPr="00A17E25">
        <w:rPr>
          <w:rFonts w:ascii="Arial" w:hAnsi="Arial" w:cs="Arial"/>
        </w:rPr>
        <w:t>opie de la lettre de notification de la dotation au titre de la TVA,</w:t>
      </w:r>
    </w:p>
    <w:p w:rsidR="003A596A" w:rsidRPr="00A17E25" w:rsidRDefault="00384C41" w:rsidP="00151AD3">
      <w:pPr>
        <w:numPr>
          <w:ilvl w:val="0"/>
          <w:numId w:val="2"/>
        </w:numPr>
        <w:jc w:val="both"/>
        <w:rPr>
          <w:rFonts w:ascii="Arial" w:hAnsi="Arial" w:cs="Arial"/>
        </w:rPr>
      </w:pPr>
      <w:r>
        <w:rPr>
          <w:rFonts w:ascii="Arial" w:hAnsi="Arial" w:cs="Arial"/>
        </w:rPr>
        <w:t>Le procès-verbal</w:t>
      </w:r>
      <w:r w:rsidR="003A596A" w:rsidRPr="00A17E25">
        <w:rPr>
          <w:rFonts w:ascii="Arial" w:hAnsi="Arial" w:cs="Arial"/>
        </w:rPr>
        <w:t xml:space="preserve"> de la délibération du Conseil de la </w:t>
      </w:r>
      <w:r w:rsidR="00F86504">
        <w:rPr>
          <w:rFonts w:ascii="Arial" w:hAnsi="Arial" w:cs="Arial"/>
        </w:rPr>
        <w:t>CC</w:t>
      </w:r>
      <w:r w:rsidR="003A596A" w:rsidRPr="00A17E25">
        <w:rPr>
          <w:rFonts w:ascii="Arial" w:hAnsi="Arial" w:cs="Arial"/>
        </w:rPr>
        <w:t xml:space="preserve"> pour l’adoption du projet du budget.</w:t>
      </w:r>
    </w:p>
    <w:p w:rsidR="003A596A" w:rsidRPr="00A17E25" w:rsidRDefault="003A596A" w:rsidP="003A596A">
      <w:pPr>
        <w:jc w:val="both"/>
        <w:rPr>
          <w:rFonts w:ascii="Arial" w:hAnsi="Arial" w:cs="Arial"/>
        </w:rPr>
      </w:pPr>
    </w:p>
    <w:p w:rsidR="003A596A" w:rsidRPr="00A17E25" w:rsidRDefault="00384C41" w:rsidP="003A596A">
      <w:pPr>
        <w:jc w:val="both"/>
        <w:rPr>
          <w:rFonts w:ascii="Arial" w:hAnsi="Arial" w:cs="Arial"/>
        </w:rPr>
      </w:pPr>
      <w:r>
        <w:rPr>
          <w:rFonts w:ascii="Arial" w:hAnsi="Arial" w:cs="Arial"/>
        </w:rPr>
        <w:t>Mais le Wali a signalé à la</w:t>
      </w:r>
      <w:r w:rsidR="003A596A" w:rsidRPr="00A17E25">
        <w:rPr>
          <w:rFonts w:ascii="Arial" w:hAnsi="Arial" w:cs="Arial"/>
        </w:rPr>
        <w:t xml:space="preserve"> </w:t>
      </w:r>
      <w:r w:rsidR="002D5EF8">
        <w:rPr>
          <w:rFonts w:ascii="Arial" w:hAnsi="Arial" w:cs="Arial"/>
        </w:rPr>
        <w:t>CC</w:t>
      </w:r>
      <w:r w:rsidR="003A596A" w:rsidRPr="00A17E25">
        <w:rPr>
          <w:rFonts w:ascii="Arial" w:hAnsi="Arial" w:cs="Arial"/>
        </w:rPr>
        <w:t xml:space="preserve"> </w:t>
      </w:r>
      <w:r>
        <w:rPr>
          <w:rFonts w:ascii="Arial" w:hAnsi="Arial" w:cs="Arial"/>
        </w:rPr>
        <w:t>par</w:t>
      </w:r>
      <w:r w:rsidR="003A596A" w:rsidRPr="00A17E25">
        <w:rPr>
          <w:rFonts w:ascii="Arial" w:hAnsi="Arial" w:cs="Arial"/>
        </w:rPr>
        <w:t xml:space="preserve"> courrier de réponse</w:t>
      </w:r>
      <w:r w:rsidR="003A596A" w:rsidRPr="00A17E25">
        <w:rPr>
          <w:rStyle w:val="FootnoteReference"/>
          <w:rFonts w:cs="Arial"/>
        </w:rPr>
        <w:footnoteReference w:id="21"/>
      </w:r>
      <w:r w:rsidR="003A596A" w:rsidRPr="00A17E25">
        <w:rPr>
          <w:rFonts w:ascii="Arial" w:hAnsi="Arial" w:cs="Arial"/>
        </w:rPr>
        <w:t xml:space="preserve"> qu’</w:t>
      </w:r>
      <w:r w:rsidR="00051C46">
        <w:rPr>
          <w:rFonts w:ascii="Arial" w:hAnsi="Arial" w:cs="Arial"/>
        </w:rPr>
        <w:t>il manque un</w:t>
      </w:r>
      <w:r w:rsidR="003A596A" w:rsidRPr="00A17E25">
        <w:rPr>
          <w:rFonts w:ascii="Arial" w:hAnsi="Arial" w:cs="Arial"/>
        </w:rPr>
        <w:t xml:space="preserve"> certain nombre de documents à savoir :</w:t>
      </w:r>
    </w:p>
    <w:p w:rsidR="003A596A" w:rsidRPr="00A17E25" w:rsidRDefault="003A596A" w:rsidP="00151AD3">
      <w:pPr>
        <w:pStyle w:val="ListParagraph"/>
        <w:numPr>
          <w:ilvl w:val="0"/>
          <w:numId w:val="2"/>
        </w:numPr>
        <w:spacing w:after="200" w:line="276" w:lineRule="auto"/>
        <w:contextualSpacing/>
        <w:jc w:val="both"/>
        <w:rPr>
          <w:rFonts w:ascii="Arial" w:hAnsi="Arial" w:cs="Arial"/>
        </w:rPr>
      </w:pPr>
      <w:r w:rsidRPr="00A17E25">
        <w:rPr>
          <w:rFonts w:ascii="Arial" w:hAnsi="Arial" w:cs="Arial"/>
        </w:rPr>
        <w:t xml:space="preserve">La liste du personnel et les postes budgétaires vacants, </w:t>
      </w:r>
    </w:p>
    <w:p w:rsidR="003A596A" w:rsidRPr="00A17E25" w:rsidRDefault="00384C41" w:rsidP="00151AD3">
      <w:pPr>
        <w:pStyle w:val="ListParagraph"/>
        <w:numPr>
          <w:ilvl w:val="0"/>
          <w:numId w:val="2"/>
        </w:numPr>
        <w:spacing w:after="200" w:line="276" w:lineRule="auto"/>
        <w:contextualSpacing/>
        <w:jc w:val="both"/>
        <w:rPr>
          <w:rFonts w:ascii="Arial" w:hAnsi="Arial" w:cs="Arial"/>
        </w:rPr>
      </w:pPr>
      <w:r>
        <w:rPr>
          <w:rFonts w:ascii="Arial" w:hAnsi="Arial" w:cs="Arial"/>
        </w:rPr>
        <w:t>L’é</w:t>
      </w:r>
      <w:r w:rsidR="003A596A" w:rsidRPr="00A17E25">
        <w:rPr>
          <w:rFonts w:ascii="Arial" w:hAnsi="Arial" w:cs="Arial"/>
        </w:rPr>
        <w:t>tat des engagements et arriérés au titre des contrats et convention des gestions déléguées,</w:t>
      </w:r>
    </w:p>
    <w:p w:rsidR="003A596A" w:rsidRPr="00A17E25" w:rsidRDefault="00384C41" w:rsidP="00151AD3">
      <w:pPr>
        <w:pStyle w:val="ListParagraph"/>
        <w:numPr>
          <w:ilvl w:val="0"/>
          <w:numId w:val="2"/>
        </w:numPr>
        <w:spacing w:after="200" w:line="276" w:lineRule="auto"/>
        <w:contextualSpacing/>
        <w:jc w:val="both"/>
        <w:rPr>
          <w:rFonts w:ascii="Arial" w:hAnsi="Arial" w:cs="Arial"/>
        </w:rPr>
      </w:pPr>
      <w:r>
        <w:rPr>
          <w:rFonts w:ascii="Arial" w:hAnsi="Arial" w:cs="Arial"/>
        </w:rPr>
        <w:t>L’é</w:t>
      </w:r>
      <w:r w:rsidR="003A596A" w:rsidRPr="00A17E25">
        <w:rPr>
          <w:rFonts w:ascii="Arial" w:hAnsi="Arial" w:cs="Arial"/>
        </w:rPr>
        <w:t xml:space="preserve">tat des jugements prononcés contre la </w:t>
      </w:r>
      <w:r w:rsidR="002D5EF8">
        <w:rPr>
          <w:rFonts w:ascii="Arial" w:hAnsi="Arial" w:cs="Arial"/>
        </w:rPr>
        <w:t>CC</w:t>
      </w:r>
      <w:r w:rsidR="003A596A" w:rsidRPr="00A17E25">
        <w:rPr>
          <w:rFonts w:ascii="Arial" w:hAnsi="Arial" w:cs="Arial"/>
        </w:rPr>
        <w:t>.</w:t>
      </w:r>
    </w:p>
    <w:p w:rsidR="003A596A" w:rsidRPr="00A17E25" w:rsidRDefault="00384C41" w:rsidP="00151AD3">
      <w:pPr>
        <w:pStyle w:val="ListParagraph"/>
        <w:numPr>
          <w:ilvl w:val="0"/>
          <w:numId w:val="2"/>
        </w:numPr>
        <w:spacing w:after="200" w:line="276" w:lineRule="auto"/>
        <w:contextualSpacing/>
        <w:jc w:val="both"/>
        <w:rPr>
          <w:rFonts w:ascii="Arial" w:hAnsi="Arial" w:cs="Arial"/>
        </w:rPr>
      </w:pPr>
      <w:r>
        <w:rPr>
          <w:rFonts w:ascii="Arial" w:hAnsi="Arial" w:cs="Arial"/>
        </w:rPr>
        <w:t>L’é</w:t>
      </w:r>
      <w:r w:rsidR="003A596A" w:rsidRPr="00A17E25">
        <w:rPr>
          <w:rFonts w:ascii="Arial" w:hAnsi="Arial" w:cs="Arial"/>
        </w:rPr>
        <w:t>tat détaillé des comptes spéciaux,</w:t>
      </w:r>
    </w:p>
    <w:p w:rsidR="003A596A" w:rsidRPr="00A17E25" w:rsidRDefault="00384C41" w:rsidP="00151AD3">
      <w:pPr>
        <w:pStyle w:val="ListParagraph"/>
        <w:numPr>
          <w:ilvl w:val="0"/>
          <w:numId w:val="2"/>
        </w:numPr>
        <w:spacing w:after="200" w:line="276" w:lineRule="auto"/>
        <w:contextualSpacing/>
        <w:jc w:val="both"/>
        <w:rPr>
          <w:rFonts w:ascii="Arial" w:hAnsi="Arial" w:cs="Arial"/>
        </w:rPr>
      </w:pPr>
      <w:r>
        <w:rPr>
          <w:rFonts w:ascii="Arial" w:hAnsi="Arial" w:cs="Arial"/>
        </w:rPr>
        <w:t>Les é</w:t>
      </w:r>
      <w:r w:rsidR="003A596A" w:rsidRPr="00A17E25">
        <w:rPr>
          <w:rFonts w:ascii="Arial" w:hAnsi="Arial" w:cs="Arial"/>
        </w:rPr>
        <w:t>tats financiers annuels des Sociétés de Développement Local,</w:t>
      </w:r>
    </w:p>
    <w:p w:rsidR="003A596A" w:rsidRPr="00A17E25" w:rsidRDefault="00384C41" w:rsidP="00151AD3">
      <w:pPr>
        <w:pStyle w:val="ListParagraph"/>
        <w:numPr>
          <w:ilvl w:val="0"/>
          <w:numId w:val="2"/>
        </w:numPr>
        <w:spacing w:after="200" w:line="276" w:lineRule="auto"/>
        <w:contextualSpacing/>
        <w:jc w:val="both"/>
        <w:rPr>
          <w:rFonts w:ascii="Arial" w:hAnsi="Arial" w:cs="Arial"/>
        </w:rPr>
      </w:pPr>
      <w:r>
        <w:rPr>
          <w:rFonts w:ascii="Arial" w:hAnsi="Arial" w:cs="Arial"/>
        </w:rPr>
        <w:t>L’é</w:t>
      </w:r>
      <w:r w:rsidR="003A596A" w:rsidRPr="00A17E25">
        <w:rPr>
          <w:rFonts w:ascii="Arial" w:hAnsi="Arial" w:cs="Arial"/>
        </w:rPr>
        <w:t xml:space="preserve">tat des engagements sur les contrats et conventions de la </w:t>
      </w:r>
      <w:r w:rsidR="002D5EF8">
        <w:rPr>
          <w:rFonts w:ascii="Arial" w:hAnsi="Arial" w:cs="Arial"/>
        </w:rPr>
        <w:t>CC</w:t>
      </w:r>
    </w:p>
    <w:p w:rsidR="00051C46" w:rsidRDefault="003A596A" w:rsidP="00F53182">
      <w:pPr>
        <w:rPr>
          <w:rFonts w:ascii="Arial" w:hAnsi="Arial" w:cs="Arial"/>
        </w:rPr>
      </w:pPr>
      <w:r w:rsidRPr="00A17E25">
        <w:rPr>
          <w:rFonts w:ascii="Arial" w:hAnsi="Arial" w:cs="Arial"/>
        </w:rPr>
        <w:t xml:space="preserve">Par ailleurs, la mission note </w:t>
      </w:r>
      <w:r w:rsidR="00051C46">
        <w:rPr>
          <w:rFonts w:ascii="Arial" w:hAnsi="Arial" w:cs="Arial"/>
        </w:rPr>
        <w:t>que les documents cités ci-dess</w:t>
      </w:r>
      <w:r w:rsidRPr="00A17E25">
        <w:rPr>
          <w:rFonts w:ascii="Arial" w:hAnsi="Arial" w:cs="Arial"/>
        </w:rPr>
        <w:t xml:space="preserve">us ne comprennent ni des fiches de présentation des projets de la </w:t>
      </w:r>
      <w:r w:rsidR="002D5EF8">
        <w:rPr>
          <w:rFonts w:ascii="Arial" w:hAnsi="Arial" w:cs="Arial"/>
        </w:rPr>
        <w:t>CC</w:t>
      </w:r>
      <w:r w:rsidRPr="00A17E25">
        <w:rPr>
          <w:rFonts w:ascii="Arial" w:hAnsi="Arial" w:cs="Arial"/>
        </w:rPr>
        <w:t xml:space="preserve"> ni une référence à une programmation pluriannuelle glissante.</w:t>
      </w:r>
    </w:p>
    <w:p w:rsidR="003A596A" w:rsidRPr="00A17E25" w:rsidRDefault="003A596A" w:rsidP="003A596A">
      <w:pPr>
        <w:jc w:val="both"/>
        <w:rPr>
          <w:rFonts w:ascii="Arial" w:hAnsi="Arial" w:cs="Arial"/>
        </w:rPr>
      </w:pPr>
      <w:r w:rsidRPr="00A17E25">
        <w:rPr>
          <w:rFonts w:ascii="Arial" w:hAnsi="Arial" w:cs="Arial"/>
        </w:rPr>
        <w:t>Enfin, les documents communiqués à la tutelle ne sont pas présentés de manière exhaustive au conseil communal lors de la séance de vote du budget.</w:t>
      </w:r>
    </w:p>
    <w:p w:rsidR="003A596A" w:rsidRPr="004B57C3" w:rsidRDefault="003A596A" w:rsidP="00151AD3">
      <w:pPr>
        <w:pStyle w:val="Comp"/>
        <w:numPr>
          <w:ilvl w:val="0"/>
          <w:numId w:val="20"/>
        </w:numPr>
        <w:rPr>
          <w:rFonts w:ascii="Arial" w:hAnsi="Arial" w:cs="Arial"/>
          <w:b w:val="0"/>
          <w:color w:val="0070C0"/>
          <w:sz w:val="24"/>
          <w:szCs w:val="24"/>
        </w:rPr>
      </w:pPr>
      <w:bookmarkStart w:id="145" w:name="_Toc428200798"/>
      <w:bookmarkStart w:id="146" w:name="_Toc434916115"/>
      <w:bookmarkStart w:id="147" w:name="_Toc434918329"/>
      <w:r w:rsidRPr="004B57C3">
        <w:rPr>
          <w:rFonts w:ascii="Arial" w:hAnsi="Arial" w:cs="Arial"/>
          <w:b w:val="0"/>
          <w:color w:val="0070C0"/>
          <w:sz w:val="24"/>
          <w:szCs w:val="24"/>
        </w:rPr>
        <w:t>Proportion des informations citées ci-dessous dans les documents du budget qui ont été publiés le plus récemment par l’administration centrale (toutes les informations énoncées à titre de référence pour les différents éléments doivent être intégralement présentées pour que les informations puissent être prises en compte dans l’évaluation).</w:t>
      </w:r>
      <w:bookmarkEnd w:id="145"/>
      <w:bookmarkEnd w:id="146"/>
      <w:bookmarkEnd w:id="147"/>
    </w:p>
    <w:p w:rsidR="00051C46" w:rsidRPr="00051C46" w:rsidRDefault="00051C46" w:rsidP="003A596A">
      <w:pPr>
        <w:jc w:val="both"/>
        <w:rPr>
          <w:rFonts w:ascii="Arial" w:hAnsi="Arial" w:cs="Arial"/>
        </w:rPr>
      </w:pPr>
      <w:r>
        <w:rPr>
          <w:rFonts w:ascii="Arial" w:hAnsi="Arial" w:cs="Arial"/>
        </w:rPr>
        <w:t xml:space="preserve">Le budget considéré pour l’évaluation de cette composante est celui de 2015, dernier budget de la </w:t>
      </w:r>
      <w:r w:rsidR="002D5EF8">
        <w:rPr>
          <w:rFonts w:ascii="Arial" w:hAnsi="Arial" w:cs="Arial"/>
        </w:rPr>
        <w:t>CC</w:t>
      </w:r>
      <w:r>
        <w:rPr>
          <w:rFonts w:ascii="Arial" w:hAnsi="Arial" w:cs="Arial"/>
        </w:rPr>
        <w:t xml:space="preserve"> présenté au conseil communal.</w:t>
      </w:r>
    </w:p>
    <w:p w:rsidR="003A596A" w:rsidRPr="00A17E25" w:rsidRDefault="003A596A" w:rsidP="003A596A">
      <w:pPr>
        <w:pStyle w:val="Default"/>
        <w:jc w:val="both"/>
        <w:rPr>
          <w:rFonts w:ascii="Arial" w:hAnsi="Arial" w:cs="Arial"/>
          <w:lang w:val="fr-FR"/>
        </w:rPr>
      </w:pPr>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rPr>
        <w:t xml:space="preserve">La documentation budgétaire soumise au Conseil doit être exhaustive. Ceci implique un examen des critères des deux tableaux suivants. </w:t>
      </w:r>
      <w:r w:rsidRPr="00A17E25">
        <w:rPr>
          <w:rFonts w:ascii="Arial" w:hAnsi="Arial" w:cs="Arial"/>
          <w:color w:val="000000"/>
        </w:rPr>
        <w:t>La mission a intégré les informations sur le dernier budget présenté au Conseil pour évaluer cet indicateur.</w:t>
      </w:r>
    </w:p>
    <w:p w:rsidR="003A596A" w:rsidRDefault="003A596A" w:rsidP="003A596A">
      <w:pPr>
        <w:pStyle w:val="Default"/>
        <w:jc w:val="both"/>
        <w:rPr>
          <w:rFonts w:ascii="Arial" w:hAnsi="Arial" w:cs="Arial"/>
          <w:lang w:val="fr-FR"/>
        </w:rPr>
      </w:pPr>
    </w:p>
    <w:p w:rsidR="00051C46" w:rsidRDefault="00051C46" w:rsidP="00051C46">
      <w:pPr>
        <w:pStyle w:val="Default"/>
        <w:jc w:val="center"/>
        <w:rPr>
          <w:rFonts w:ascii="Arial Narrow" w:hAnsi="Arial Narrow" w:cs="Arial"/>
          <w:b/>
          <w:sz w:val="20"/>
          <w:szCs w:val="20"/>
          <w:lang w:val="fr-FR"/>
        </w:rPr>
      </w:pPr>
      <w:r w:rsidRPr="00E67B20">
        <w:rPr>
          <w:rFonts w:ascii="Arial Narrow" w:hAnsi="Arial Narrow" w:cs="Arial"/>
          <w:b/>
          <w:sz w:val="20"/>
          <w:szCs w:val="20"/>
          <w:u w:val="single"/>
          <w:lang w:val="fr-FR"/>
        </w:rPr>
        <w:t>TABLEAU </w:t>
      </w:r>
      <w:r w:rsidR="00E67B20">
        <w:rPr>
          <w:rFonts w:ascii="Arial Narrow" w:hAnsi="Arial Narrow" w:cs="Arial"/>
          <w:b/>
          <w:sz w:val="20"/>
          <w:szCs w:val="20"/>
          <w:lang w:val="fr-FR"/>
        </w:rPr>
        <w:t>3.9</w:t>
      </w:r>
      <w:r>
        <w:rPr>
          <w:rFonts w:ascii="Arial Narrow" w:hAnsi="Arial Narrow" w:cs="Arial"/>
          <w:b/>
          <w:sz w:val="20"/>
          <w:szCs w:val="20"/>
          <w:lang w:val="fr-FR"/>
        </w:rPr>
        <w:t>: Satisfaction des éléments d’information de base</w:t>
      </w:r>
    </w:p>
    <w:p w:rsidR="00E67B20" w:rsidRPr="00051C46" w:rsidRDefault="00E67B20" w:rsidP="00051C46">
      <w:pPr>
        <w:pStyle w:val="Default"/>
        <w:jc w:val="center"/>
        <w:rPr>
          <w:rFonts w:ascii="Arial Narrow" w:hAnsi="Arial Narrow" w:cs="Arial"/>
          <w:b/>
          <w:sz w:val="20"/>
          <w:szCs w:val="20"/>
          <w:lang w:val="fr-FR"/>
        </w:rPr>
      </w:pPr>
    </w:p>
    <w:tbl>
      <w:tblPr>
        <w:tblStyle w:val="TableGrid"/>
        <w:tblW w:w="0" w:type="auto"/>
        <w:tblInd w:w="-113" w:type="dxa"/>
        <w:tblLook w:val="04A0" w:firstRow="1" w:lastRow="0" w:firstColumn="1" w:lastColumn="0" w:noHBand="0" w:noVBand="1"/>
      </w:tblPr>
      <w:tblGrid>
        <w:gridCol w:w="4332"/>
        <w:gridCol w:w="3544"/>
        <w:gridCol w:w="1525"/>
      </w:tblGrid>
      <w:tr w:rsidR="003A596A" w:rsidRPr="004F0354" w:rsidTr="004B57C3">
        <w:tc>
          <w:tcPr>
            <w:tcW w:w="4332" w:type="dxa"/>
            <w:shd w:val="clear" w:color="auto" w:fill="0070C0"/>
          </w:tcPr>
          <w:p w:rsidR="003A596A" w:rsidRPr="004F0354" w:rsidRDefault="003A596A" w:rsidP="00051C46">
            <w:pPr>
              <w:pStyle w:val="Default"/>
              <w:jc w:val="center"/>
              <w:rPr>
                <w:rFonts w:ascii="Arial" w:hAnsi="Arial" w:cs="Arial"/>
                <w:color w:val="FFFFFF" w:themeColor="background1"/>
                <w:sz w:val="20"/>
                <w:szCs w:val="20"/>
                <w:lang w:val="fr-FR"/>
              </w:rPr>
            </w:pPr>
            <w:r w:rsidRPr="004F0354">
              <w:rPr>
                <w:rFonts w:ascii="Arial" w:hAnsi="Arial" w:cs="Arial"/>
                <w:b/>
                <w:bCs/>
                <w:color w:val="FFFFFF" w:themeColor="background1"/>
                <w:sz w:val="20"/>
                <w:szCs w:val="20"/>
                <w:lang w:val="fr-FR"/>
              </w:rPr>
              <w:t>Éléments de base</w:t>
            </w:r>
          </w:p>
        </w:tc>
        <w:tc>
          <w:tcPr>
            <w:tcW w:w="3544" w:type="dxa"/>
            <w:shd w:val="clear" w:color="auto" w:fill="0070C0"/>
          </w:tcPr>
          <w:p w:rsidR="003A596A" w:rsidRPr="004F0354" w:rsidRDefault="003A596A" w:rsidP="00051C46">
            <w:pPr>
              <w:pStyle w:val="Default"/>
              <w:jc w:val="center"/>
              <w:rPr>
                <w:rFonts w:ascii="Arial" w:hAnsi="Arial" w:cs="Arial"/>
                <w:b/>
                <w:bCs/>
                <w:color w:val="FFFFFF" w:themeColor="background1"/>
                <w:sz w:val="20"/>
                <w:szCs w:val="20"/>
                <w:lang w:val="fr-FR"/>
              </w:rPr>
            </w:pPr>
            <w:r w:rsidRPr="004F0354">
              <w:rPr>
                <w:rFonts w:ascii="Arial" w:hAnsi="Arial" w:cs="Arial"/>
                <w:b/>
                <w:bCs/>
                <w:color w:val="FFFFFF" w:themeColor="background1"/>
                <w:sz w:val="20"/>
                <w:szCs w:val="20"/>
                <w:lang w:val="fr-FR"/>
              </w:rPr>
              <w:t>Vérifications</w:t>
            </w:r>
          </w:p>
        </w:tc>
        <w:tc>
          <w:tcPr>
            <w:tcW w:w="1525" w:type="dxa"/>
            <w:shd w:val="clear" w:color="auto" w:fill="0070C0"/>
          </w:tcPr>
          <w:p w:rsidR="003A596A" w:rsidRPr="004F0354" w:rsidRDefault="003A596A" w:rsidP="00051C46">
            <w:pPr>
              <w:pStyle w:val="Default"/>
              <w:jc w:val="center"/>
              <w:rPr>
                <w:rFonts w:ascii="Arial" w:hAnsi="Arial" w:cs="Arial"/>
                <w:b/>
                <w:bCs/>
                <w:color w:val="FFFFFF" w:themeColor="background1"/>
                <w:sz w:val="20"/>
                <w:szCs w:val="20"/>
                <w:lang w:val="fr-FR"/>
              </w:rPr>
            </w:pPr>
            <w:r w:rsidRPr="004F0354">
              <w:rPr>
                <w:rFonts w:ascii="Arial" w:hAnsi="Arial" w:cs="Arial"/>
                <w:b/>
                <w:bCs/>
                <w:color w:val="FFFFFF" w:themeColor="background1"/>
                <w:sz w:val="20"/>
                <w:szCs w:val="20"/>
                <w:lang w:val="fr-FR"/>
              </w:rPr>
              <w:t>Satisfaction</w:t>
            </w:r>
          </w:p>
        </w:tc>
      </w:tr>
      <w:tr w:rsidR="003A596A" w:rsidRPr="004F0354" w:rsidTr="003A596A">
        <w:trPr>
          <w:trHeight w:val="989"/>
        </w:trPr>
        <w:tc>
          <w:tcPr>
            <w:tcW w:w="4332" w:type="dxa"/>
          </w:tcPr>
          <w:p w:rsidR="003A596A" w:rsidRPr="004F0354" w:rsidRDefault="003A596A" w:rsidP="00151AD3">
            <w:pPr>
              <w:pStyle w:val="Default"/>
              <w:numPr>
                <w:ilvl w:val="0"/>
                <w:numId w:val="18"/>
              </w:numPr>
              <w:jc w:val="both"/>
              <w:rPr>
                <w:rFonts w:ascii="Arial" w:hAnsi="Arial" w:cs="Arial"/>
                <w:sz w:val="20"/>
                <w:szCs w:val="20"/>
                <w:lang w:val="fr-FR"/>
              </w:rPr>
            </w:pPr>
            <w:r w:rsidRPr="004F0354">
              <w:rPr>
                <w:rFonts w:ascii="Arial" w:hAnsi="Arial" w:cs="Arial"/>
                <w:sz w:val="20"/>
                <w:szCs w:val="20"/>
                <w:lang w:val="fr-FR"/>
              </w:rPr>
              <w:t xml:space="preserve">Les prévisions du déficit ou de l’excédent budgétaire (ou des résultats d’exploitation de l’exercice). </w:t>
            </w:r>
          </w:p>
          <w:p w:rsidR="003A596A" w:rsidRPr="004F0354" w:rsidRDefault="003A596A" w:rsidP="003A596A">
            <w:pPr>
              <w:pStyle w:val="Default"/>
              <w:ind w:left="720"/>
              <w:jc w:val="both"/>
              <w:rPr>
                <w:rFonts w:ascii="Arial" w:hAnsi="Arial" w:cs="Arial"/>
                <w:sz w:val="20"/>
                <w:szCs w:val="20"/>
                <w:lang w:val="fr-FR"/>
              </w:rPr>
            </w:pPr>
          </w:p>
        </w:tc>
        <w:tc>
          <w:tcPr>
            <w:tcW w:w="3544" w:type="dxa"/>
          </w:tcPr>
          <w:p w:rsidR="003A596A" w:rsidRPr="004F0354" w:rsidRDefault="003A596A" w:rsidP="003A596A">
            <w:pPr>
              <w:pStyle w:val="Default"/>
              <w:jc w:val="both"/>
              <w:rPr>
                <w:rFonts w:ascii="Arial" w:hAnsi="Arial" w:cs="Arial"/>
                <w:sz w:val="20"/>
                <w:szCs w:val="20"/>
                <w:lang w:val="fr-FR"/>
              </w:rPr>
            </w:pPr>
            <w:r w:rsidRPr="004F0354">
              <w:rPr>
                <w:rFonts w:ascii="Arial" w:hAnsi="Arial" w:cs="Arial"/>
                <w:sz w:val="20"/>
                <w:szCs w:val="20"/>
                <w:lang w:val="fr-FR"/>
              </w:rPr>
              <w:t>Le déficit budgétaire ne s’applique pas aux communes, la législation en vigueur</w:t>
            </w:r>
            <w:r w:rsidRPr="004F0354">
              <w:rPr>
                <w:rStyle w:val="FootnoteReference"/>
                <w:rFonts w:ascii="Arial" w:hAnsi="Arial" w:cs="Arial"/>
                <w:sz w:val="20"/>
                <w:szCs w:val="20"/>
                <w:lang w:val="fr-FR"/>
              </w:rPr>
              <w:footnoteReference w:id="22"/>
            </w:r>
            <w:r w:rsidRPr="004F0354">
              <w:rPr>
                <w:rFonts w:ascii="Arial" w:hAnsi="Arial" w:cs="Arial"/>
                <w:sz w:val="20"/>
                <w:szCs w:val="20"/>
                <w:lang w:val="fr-FR"/>
              </w:rPr>
              <w:t>stipule que « </w:t>
            </w:r>
            <w:r w:rsidRPr="004F0354">
              <w:rPr>
                <w:rFonts w:ascii="Arial" w:hAnsi="Arial" w:cs="Arial"/>
                <w:i/>
                <w:iCs/>
                <w:sz w:val="20"/>
                <w:szCs w:val="20"/>
                <w:lang w:val="fr-FR"/>
              </w:rPr>
              <w:t>Le budget doit être équilibré dans chacune de ses parties</w:t>
            </w:r>
            <w:r w:rsidRPr="004F0354">
              <w:rPr>
                <w:rFonts w:ascii="Arial" w:hAnsi="Arial" w:cs="Arial"/>
                <w:sz w:val="20"/>
                <w:szCs w:val="20"/>
                <w:lang w:val="fr-FR"/>
              </w:rPr>
              <w:t> ».</w:t>
            </w:r>
          </w:p>
        </w:tc>
        <w:tc>
          <w:tcPr>
            <w:tcW w:w="1525" w:type="dxa"/>
          </w:tcPr>
          <w:p w:rsidR="003A596A" w:rsidRPr="004F0354" w:rsidRDefault="003A596A" w:rsidP="003A596A">
            <w:pPr>
              <w:pStyle w:val="Default"/>
              <w:jc w:val="both"/>
              <w:rPr>
                <w:rFonts w:ascii="Arial" w:hAnsi="Arial" w:cs="Arial"/>
                <w:sz w:val="20"/>
                <w:szCs w:val="20"/>
                <w:lang w:val="fr-FR"/>
              </w:rPr>
            </w:pPr>
            <w:r w:rsidRPr="004F0354">
              <w:rPr>
                <w:rFonts w:ascii="Arial" w:hAnsi="Arial" w:cs="Arial"/>
                <w:sz w:val="20"/>
                <w:szCs w:val="20"/>
                <w:lang w:val="fr-FR"/>
              </w:rPr>
              <w:t>Non applicable</w:t>
            </w:r>
          </w:p>
        </w:tc>
      </w:tr>
      <w:tr w:rsidR="003A596A" w:rsidRPr="004F0354" w:rsidTr="003A596A">
        <w:trPr>
          <w:trHeight w:val="1102"/>
        </w:trPr>
        <w:tc>
          <w:tcPr>
            <w:tcW w:w="4332" w:type="dxa"/>
          </w:tcPr>
          <w:p w:rsidR="003A596A" w:rsidRPr="004F0354" w:rsidRDefault="003A596A" w:rsidP="00151AD3">
            <w:pPr>
              <w:pStyle w:val="Default"/>
              <w:numPr>
                <w:ilvl w:val="0"/>
                <w:numId w:val="18"/>
              </w:numPr>
              <w:jc w:val="both"/>
              <w:rPr>
                <w:rFonts w:ascii="Arial" w:hAnsi="Arial" w:cs="Arial"/>
                <w:sz w:val="20"/>
                <w:szCs w:val="20"/>
                <w:lang w:val="fr-FR"/>
              </w:rPr>
            </w:pPr>
            <w:r w:rsidRPr="004F0354">
              <w:rPr>
                <w:rFonts w:ascii="Arial" w:hAnsi="Arial" w:cs="Arial"/>
                <w:sz w:val="20"/>
                <w:szCs w:val="20"/>
                <w:lang w:val="fr-FR"/>
              </w:rPr>
              <w:t xml:space="preserve">Les résultats budgétaires de l’exercice précédent, présentés selon le même format que le projet de budget. </w:t>
            </w:r>
          </w:p>
        </w:tc>
        <w:tc>
          <w:tcPr>
            <w:tcW w:w="3544" w:type="dxa"/>
          </w:tcPr>
          <w:p w:rsidR="003A596A" w:rsidRPr="004F0354" w:rsidRDefault="003A596A" w:rsidP="003A596A">
            <w:pPr>
              <w:jc w:val="both"/>
              <w:rPr>
                <w:rFonts w:ascii="Arial" w:hAnsi="Arial" w:cs="Arial"/>
                <w:color w:val="000000"/>
                <w:sz w:val="20"/>
                <w:szCs w:val="20"/>
                <w:lang w:bidi="ml-IN"/>
              </w:rPr>
            </w:pPr>
            <w:r w:rsidRPr="004F0354">
              <w:rPr>
                <w:rFonts w:ascii="Arial" w:hAnsi="Arial" w:cs="Arial"/>
                <w:color w:val="000000"/>
                <w:sz w:val="20"/>
                <w:szCs w:val="20"/>
                <w:lang w:bidi="ml-IN"/>
              </w:rPr>
              <w:t>L’état d’exécution du budget est utilisé pendant la préparation budgétaire et cette information est fournie au conseil communal lors de l’examen du budget.</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Oui</w:t>
            </w:r>
          </w:p>
        </w:tc>
      </w:tr>
      <w:tr w:rsidR="003A596A" w:rsidRPr="004F0354" w:rsidTr="003A596A">
        <w:trPr>
          <w:trHeight w:val="976"/>
        </w:trPr>
        <w:tc>
          <w:tcPr>
            <w:tcW w:w="4332" w:type="dxa"/>
          </w:tcPr>
          <w:p w:rsidR="003A596A" w:rsidRPr="004F0354" w:rsidRDefault="003A596A" w:rsidP="00151AD3">
            <w:pPr>
              <w:pStyle w:val="Default"/>
              <w:numPr>
                <w:ilvl w:val="0"/>
                <w:numId w:val="18"/>
              </w:numPr>
              <w:jc w:val="both"/>
              <w:rPr>
                <w:rFonts w:ascii="Arial" w:hAnsi="Arial" w:cs="Arial"/>
                <w:sz w:val="20"/>
                <w:szCs w:val="20"/>
                <w:lang w:val="fr-FR"/>
              </w:rPr>
            </w:pPr>
            <w:r w:rsidRPr="004F0354">
              <w:rPr>
                <w:rFonts w:ascii="Arial" w:hAnsi="Arial" w:cs="Arial"/>
                <w:sz w:val="20"/>
                <w:szCs w:val="20"/>
                <w:lang w:val="fr-FR"/>
              </w:rPr>
              <w:t>Le budget de l’exercice en cours (le budget révisé ou les résultats prévus), présenté selon le même format que la proposition de budget.</w:t>
            </w:r>
          </w:p>
        </w:tc>
        <w:tc>
          <w:tcPr>
            <w:tcW w:w="3544" w:type="dxa"/>
          </w:tcPr>
          <w:p w:rsidR="003A596A" w:rsidRPr="004F0354" w:rsidRDefault="003A596A" w:rsidP="003A596A">
            <w:pPr>
              <w:jc w:val="both"/>
              <w:rPr>
                <w:rFonts w:ascii="Arial" w:hAnsi="Arial" w:cs="Arial"/>
                <w:color w:val="000000"/>
                <w:sz w:val="20"/>
                <w:szCs w:val="20"/>
                <w:lang w:bidi="ml-IN"/>
              </w:rPr>
            </w:pPr>
            <w:r w:rsidRPr="004F0354">
              <w:rPr>
                <w:rFonts w:ascii="Arial" w:hAnsi="Arial" w:cs="Arial"/>
                <w:color w:val="000000"/>
                <w:sz w:val="20"/>
                <w:szCs w:val="20"/>
                <w:lang w:bidi="ml-IN"/>
              </w:rPr>
              <w:t>Information fournie dans la documentation budgétaire</w:t>
            </w:r>
          </w:p>
          <w:p w:rsidR="003A596A" w:rsidRPr="004F0354" w:rsidRDefault="003A596A" w:rsidP="003A596A">
            <w:pPr>
              <w:pStyle w:val="Default"/>
              <w:jc w:val="both"/>
              <w:rPr>
                <w:rFonts w:ascii="Arial" w:hAnsi="Arial" w:cs="Arial"/>
                <w:sz w:val="20"/>
                <w:szCs w:val="20"/>
                <w:lang w:val="fr-FR"/>
              </w:rPr>
            </w:pPr>
          </w:p>
        </w:tc>
        <w:tc>
          <w:tcPr>
            <w:tcW w:w="1525" w:type="dxa"/>
          </w:tcPr>
          <w:p w:rsidR="003A596A" w:rsidRPr="004F0354" w:rsidRDefault="003A596A" w:rsidP="003A596A">
            <w:pPr>
              <w:jc w:val="both"/>
              <w:rPr>
                <w:rFonts w:ascii="Arial" w:hAnsi="Arial" w:cs="Arial"/>
                <w:sz w:val="20"/>
                <w:szCs w:val="20"/>
                <w:lang w:eastAsia="fr-FR"/>
              </w:rPr>
            </w:pPr>
            <w:r w:rsidRPr="004F0354">
              <w:rPr>
                <w:rFonts w:ascii="Arial" w:hAnsi="Arial" w:cs="Arial"/>
                <w:sz w:val="20"/>
                <w:szCs w:val="20"/>
                <w:lang w:eastAsia="fr-FR"/>
              </w:rPr>
              <w:t>Oui</w:t>
            </w:r>
          </w:p>
        </w:tc>
      </w:tr>
      <w:tr w:rsidR="003A596A" w:rsidRPr="004F0354" w:rsidTr="003A596A">
        <w:trPr>
          <w:trHeight w:val="2266"/>
        </w:trPr>
        <w:tc>
          <w:tcPr>
            <w:tcW w:w="4332" w:type="dxa"/>
          </w:tcPr>
          <w:p w:rsidR="003A596A" w:rsidRPr="004F0354" w:rsidRDefault="003A596A" w:rsidP="00151AD3">
            <w:pPr>
              <w:pStyle w:val="Default"/>
              <w:numPr>
                <w:ilvl w:val="0"/>
                <w:numId w:val="18"/>
              </w:numPr>
              <w:jc w:val="both"/>
              <w:rPr>
                <w:rFonts w:ascii="Arial" w:hAnsi="Arial" w:cs="Arial"/>
                <w:sz w:val="20"/>
                <w:szCs w:val="20"/>
                <w:lang w:val="fr-FR"/>
              </w:rPr>
            </w:pPr>
            <w:r w:rsidRPr="004F0354">
              <w:rPr>
                <w:rFonts w:ascii="Arial" w:hAnsi="Arial" w:cs="Arial"/>
                <w:sz w:val="20"/>
                <w:szCs w:val="20"/>
                <w:lang w:val="fr-FR"/>
              </w:rPr>
              <w:t xml:space="preserve">Les données résumées sur le budget, côté recettes et côté dépenses pour les principales lignes des classifications utilisées (voir PI-4), notamment pour l’exercice en cours et pour l’exercice précédent, en plus d’une ventilation détaillée des estimations des recettes et des dépenses. </w:t>
            </w:r>
          </w:p>
        </w:tc>
        <w:tc>
          <w:tcPr>
            <w:tcW w:w="3544" w:type="dxa"/>
          </w:tcPr>
          <w:p w:rsidR="003A596A" w:rsidRPr="004F0354" w:rsidRDefault="003A596A" w:rsidP="003A596A">
            <w:pPr>
              <w:pStyle w:val="Default"/>
              <w:jc w:val="both"/>
              <w:rPr>
                <w:rFonts w:ascii="Arial" w:hAnsi="Arial" w:cs="Arial"/>
                <w:sz w:val="20"/>
                <w:szCs w:val="20"/>
                <w:lang w:val="fr-FR"/>
              </w:rPr>
            </w:pPr>
            <w:r w:rsidRPr="004F0354">
              <w:rPr>
                <w:rFonts w:ascii="Arial" w:hAnsi="Arial" w:cs="Arial"/>
                <w:sz w:val="20"/>
                <w:szCs w:val="20"/>
                <w:lang w:val="fr-FR" w:eastAsia="fr-FR"/>
              </w:rPr>
              <w:t>Les rubriques budgétaires existent dans la documentation budgétaire et permettent de comparer le budget N  et  N-1.</w:t>
            </w:r>
          </w:p>
        </w:tc>
        <w:tc>
          <w:tcPr>
            <w:tcW w:w="1525" w:type="dxa"/>
          </w:tcPr>
          <w:p w:rsidR="003A596A" w:rsidRPr="004F0354" w:rsidRDefault="003A596A" w:rsidP="003A596A">
            <w:pPr>
              <w:pStyle w:val="Default"/>
              <w:jc w:val="both"/>
              <w:rPr>
                <w:rFonts w:ascii="Arial" w:hAnsi="Arial" w:cs="Arial"/>
                <w:sz w:val="20"/>
                <w:szCs w:val="20"/>
                <w:lang w:val="fr-FR"/>
              </w:rPr>
            </w:pPr>
            <w:r w:rsidRPr="004F0354">
              <w:rPr>
                <w:rFonts w:ascii="Arial" w:hAnsi="Arial" w:cs="Arial"/>
                <w:sz w:val="20"/>
                <w:szCs w:val="20"/>
                <w:lang w:val="fr-FR"/>
              </w:rPr>
              <w:t>Oui</w:t>
            </w:r>
          </w:p>
        </w:tc>
      </w:tr>
    </w:tbl>
    <w:p w:rsidR="00EC565D" w:rsidRDefault="00EC565D" w:rsidP="000172C5">
      <w:pPr>
        <w:pStyle w:val="Default"/>
        <w:jc w:val="center"/>
        <w:rPr>
          <w:rFonts w:ascii="Arial" w:hAnsi="Arial" w:cs="Arial"/>
          <w:b/>
          <w:sz w:val="20"/>
          <w:szCs w:val="20"/>
          <w:lang w:val="fr-FR"/>
        </w:rPr>
      </w:pPr>
    </w:p>
    <w:p w:rsidR="00EC565D" w:rsidRDefault="00EC565D" w:rsidP="000172C5">
      <w:pPr>
        <w:pStyle w:val="Default"/>
        <w:jc w:val="center"/>
        <w:rPr>
          <w:rFonts w:ascii="Arial" w:hAnsi="Arial" w:cs="Arial"/>
          <w:b/>
          <w:sz w:val="20"/>
          <w:szCs w:val="20"/>
          <w:lang w:val="fr-FR"/>
        </w:rPr>
      </w:pPr>
    </w:p>
    <w:p w:rsidR="00EC565D" w:rsidRDefault="00EC565D" w:rsidP="000172C5">
      <w:pPr>
        <w:pStyle w:val="Default"/>
        <w:jc w:val="center"/>
        <w:rPr>
          <w:rFonts w:ascii="Arial" w:hAnsi="Arial" w:cs="Arial"/>
          <w:b/>
          <w:sz w:val="20"/>
          <w:szCs w:val="20"/>
          <w:lang w:val="fr-FR"/>
        </w:rPr>
      </w:pPr>
    </w:p>
    <w:p w:rsidR="003A596A" w:rsidRPr="00EC565D" w:rsidRDefault="000172C5" w:rsidP="000172C5">
      <w:pPr>
        <w:pStyle w:val="Default"/>
        <w:jc w:val="center"/>
        <w:rPr>
          <w:rFonts w:ascii="Arial Narrow" w:hAnsi="Arial Narrow" w:cs="Arial"/>
          <w:b/>
          <w:sz w:val="20"/>
          <w:szCs w:val="20"/>
          <w:lang w:val="fr-FR"/>
        </w:rPr>
      </w:pPr>
      <w:r w:rsidRPr="00EC565D">
        <w:rPr>
          <w:rFonts w:ascii="Arial Narrow" w:hAnsi="Arial Narrow" w:cs="Arial"/>
          <w:b/>
          <w:sz w:val="20"/>
          <w:szCs w:val="20"/>
          <w:lang w:val="fr-FR"/>
        </w:rPr>
        <w:t>TABLEAU </w:t>
      </w:r>
      <w:r w:rsidR="00E67B20" w:rsidRPr="00EC565D">
        <w:rPr>
          <w:rFonts w:ascii="Arial Narrow" w:hAnsi="Arial Narrow" w:cs="Arial"/>
          <w:b/>
          <w:sz w:val="20"/>
          <w:szCs w:val="20"/>
          <w:lang w:val="fr-FR"/>
        </w:rPr>
        <w:t>3.10</w:t>
      </w:r>
      <w:r w:rsidRPr="00EC565D">
        <w:rPr>
          <w:rFonts w:ascii="Arial Narrow" w:hAnsi="Arial Narrow" w:cs="Arial"/>
          <w:b/>
          <w:sz w:val="20"/>
          <w:szCs w:val="20"/>
          <w:lang w:val="fr-FR"/>
        </w:rPr>
        <w:t>: Satisfaction des éléments d’information supplémentaires</w:t>
      </w:r>
    </w:p>
    <w:p w:rsidR="00EC565D" w:rsidRPr="004F0354" w:rsidRDefault="00EC565D" w:rsidP="000172C5">
      <w:pPr>
        <w:pStyle w:val="Default"/>
        <w:jc w:val="center"/>
        <w:rPr>
          <w:rFonts w:ascii="Arial" w:hAnsi="Arial" w:cs="Arial"/>
          <w:b/>
          <w:sz w:val="20"/>
          <w:szCs w:val="20"/>
          <w:lang w:val="fr-FR"/>
        </w:rPr>
      </w:pPr>
    </w:p>
    <w:tbl>
      <w:tblPr>
        <w:tblStyle w:val="TableGrid"/>
        <w:tblW w:w="0" w:type="auto"/>
        <w:tblInd w:w="-176" w:type="dxa"/>
        <w:tblLook w:val="04A0" w:firstRow="1" w:lastRow="0" w:firstColumn="1" w:lastColumn="0" w:noHBand="0" w:noVBand="1"/>
      </w:tblPr>
      <w:tblGrid>
        <w:gridCol w:w="4395"/>
        <w:gridCol w:w="3544"/>
        <w:gridCol w:w="1525"/>
      </w:tblGrid>
      <w:tr w:rsidR="003A596A" w:rsidRPr="004F0354" w:rsidTr="000114CE">
        <w:tc>
          <w:tcPr>
            <w:tcW w:w="4395" w:type="dxa"/>
            <w:shd w:val="clear" w:color="auto" w:fill="0070C0"/>
          </w:tcPr>
          <w:p w:rsidR="003A596A" w:rsidRPr="004F0354" w:rsidRDefault="003A596A" w:rsidP="000172C5">
            <w:pPr>
              <w:pStyle w:val="Default"/>
              <w:jc w:val="center"/>
              <w:rPr>
                <w:rFonts w:ascii="Arial" w:hAnsi="Arial" w:cs="Arial"/>
                <w:color w:val="FFFFFF" w:themeColor="background1"/>
                <w:sz w:val="20"/>
                <w:szCs w:val="20"/>
                <w:lang w:val="fr-FR"/>
              </w:rPr>
            </w:pPr>
            <w:r w:rsidRPr="004F0354">
              <w:rPr>
                <w:rFonts w:ascii="Arial" w:hAnsi="Arial" w:cs="Arial"/>
                <w:b/>
                <w:bCs/>
                <w:color w:val="FFFFFF" w:themeColor="background1"/>
                <w:sz w:val="20"/>
                <w:szCs w:val="20"/>
                <w:lang w:val="fr-FR"/>
              </w:rPr>
              <w:t>Éléments supplémentaires</w:t>
            </w:r>
          </w:p>
        </w:tc>
        <w:tc>
          <w:tcPr>
            <w:tcW w:w="3544" w:type="dxa"/>
            <w:shd w:val="clear" w:color="auto" w:fill="0070C0"/>
          </w:tcPr>
          <w:p w:rsidR="003A596A" w:rsidRPr="004F0354" w:rsidRDefault="003A596A" w:rsidP="000172C5">
            <w:pPr>
              <w:jc w:val="center"/>
              <w:rPr>
                <w:rFonts w:ascii="Arial" w:hAnsi="Arial" w:cs="Arial"/>
                <w:b/>
                <w:bCs/>
                <w:color w:val="FFFFFF" w:themeColor="background1"/>
                <w:sz w:val="20"/>
                <w:szCs w:val="20"/>
              </w:rPr>
            </w:pPr>
            <w:r w:rsidRPr="004F0354">
              <w:rPr>
                <w:rFonts w:ascii="Arial" w:hAnsi="Arial" w:cs="Arial"/>
                <w:b/>
                <w:bCs/>
                <w:color w:val="FFFFFF" w:themeColor="background1"/>
                <w:sz w:val="20"/>
                <w:szCs w:val="20"/>
              </w:rPr>
              <w:t>Vérifications</w:t>
            </w:r>
          </w:p>
        </w:tc>
        <w:tc>
          <w:tcPr>
            <w:tcW w:w="1525" w:type="dxa"/>
            <w:shd w:val="clear" w:color="auto" w:fill="0070C0"/>
          </w:tcPr>
          <w:p w:rsidR="003A596A" w:rsidRPr="004F0354" w:rsidRDefault="003A596A" w:rsidP="000172C5">
            <w:pPr>
              <w:jc w:val="center"/>
              <w:rPr>
                <w:rFonts w:ascii="Arial" w:hAnsi="Arial" w:cs="Arial"/>
                <w:b/>
                <w:bCs/>
                <w:color w:val="FFFFFF" w:themeColor="background1"/>
                <w:sz w:val="20"/>
                <w:szCs w:val="20"/>
              </w:rPr>
            </w:pPr>
            <w:r w:rsidRPr="004F0354">
              <w:rPr>
                <w:rFonts w:ascii="Arial" w:hAnsi="Arial" w:cs="Arial"/>
                <w:b/>
                <w:bCs/>
                <w:color w:val="FFFFFF" w:themeColor="background1"/>
                <w:sz w:val="20"/>
                <w:szCs w:val="20"/>
              </w:rPr>
              <w:t>Satisfaction</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Le financement du déficit, avec une description de la composition prévue. </w:t>
            </w:r>
          </w:p>
        </w:tc>
        <w:tc>
          <w:tcPr>
            <w:tcW w:w="3544"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Le financement du déficit ne s’applique pas aux communes.</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 applicable</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Les hypothèses macroéconomiques, y compris, au minimum, des estimations du taux de croissance du PIB, du taux d’inflation, du taux d’intérêt et du taux de change. </w:t>
            </w:r>
          </w:p>
          <w:p w:rsidR="003A596A" w:rsidRPr="004F0354" w:rsidRDefault="003A596A" w:rsidP="003A596A">
            <w:pPr>
              <w:pStyle w:val="Default"/>
              <w:ind w:left="360"/>
              <w:jc w:val="both"/>
              <w:rPr>
                <w:rFonts w:ascii="Arial" w:hAnsi="Arial" w:cs="Arial"/>
                <w:sz w:val="20"/>
                <w:szCs w:val="20"/>
                <w:lang w:val="fr-FR"/>
              </w:rPr>
            </w:pPr>
          </w:p>
        </w:tc>
        <w:tc>
          <w:tcPr>
            <w:tcW w:w="3544"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 xml:space="preserve"> Les hypothèses macro-économiques comprenant au moins les estimations de croissance, et les taux d’inflations et de change ne s’appliquent pas aux communes.</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 applicable</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Le stock de la dette, y compris des renseignements au moins pour le début de l’exercice en cours (présentés conformément aux normes des SFP ou toute autre norme reconnue au plan international). </w:t>
            </w:r>
          </w:p>
        </w:tc>
        <w:tc>
          <w:tcPr>
            <w:tcW w:w="3544" w:type="dxa"/>
          </w:tcPr>
          <w:p w:rsidR="003A596A" w:rsidRPr="004F0354" w:rsidRDefault="00675236" w:rsidP="00675236">
            <w:pPr>
              <w:jc w:val="both"/>
              <w:rPr>
                <w:rFonts w:ascii="Arial" w:hAnsi="Arial" w:cs="Arial"/>
                <w:sz w:val="20"/>
                <w:szCs w:val="20"/>
              </w:rPr>
            </w:pPr>
            <w:r w:rsidRPr="004F0354">
              <w:rPr>
                <w:rFonts w:ascii="Arial" w:hAnsi="Arial" w:cs="Arial"/>
                <w:sz w:val="20"/>
                <w:szCs w:val="20"/>
              </w:rPr>
              <w:t xml:space="preserve">Dans la documentation budgétaire, des </w:t>
            </w:r>
            <w:r w:rsidR="003A596A" w:rsidRPr="004F0354">
              <w:rPr>
                <w:rFonts w:ascii="Arial" w:hAnsi="Arial" w:cs="Arial"/>
                <w:sz w:val="20"/>
                <w:szCs w:val="20"/>
              </w:rPr>
              <w:t xml:space="preserve">informations </w:t>
            </w:r>
            <w:r w:rsidR="00A4778F" w:rsidRPr="004F0354">
              <w:rPr>
                <w:rFonts w:ascii="Arial" w:hAnsi="Arial" w:cs="Arial"/>
                <w:sz w:val="20"/>
                <w:szCs w:val="20"/>
              </w:rPr>
              <w:t xml:space="preserve"> </w:t>
            </w:r>
            <w:r w:rsidR="003A596A" w:rsidRPr="004F0354">
              <w:rPr>
                <w:rFonts w:ascii="Arial" w:hAnsi="Arial" w:cs="Arial"/>
                <w:sz w:val="20"/>
                <w:szCs w:val="20"/>
              </w:rPr>
              <w:t>existent seulement sur l’annuité de l’année N+1</w:t>
            </w:r>
            <w:r w:rsidRPr="004F0354">
              <w:rPr>
                <w:rFonts w:ascii="Arial" w:hAnsi="Arial" w:cs="Arial"/>
                <w:sz w:val="20"/>
                <w:szCs w:val="20"/>
              </w:rPr>
              <w:t> ;</w:t>
            </w:r>
            <w:r w:rsidR="003A596A" w:rsidRPr="004F0354">
              <w:rPr>
                <w:rFonts w:ascii="Arial" w:hAnsi="Arial" w:cs="Arial"/>
                <w:sz w:val="20"/>
                <w:szCs w:val="20"/>
              </w:rPr>
              <w:t xml:space="preserve"> l’état de tout le stock </w:t>
            </w:r>
            <w:r w:rsidRPr="004F0354">
              <w:rPr>
                <w:rFonts w:ascii="Arial" w:hAnsi="Arial" w:cs="Arial"/>
                <w:sz w:val="20"/>
                <w:szCs w:val="20"/>
              </w:rPr>
              <w:t xml:space="preserve">de la </w:t>
            </w:r>
            <w:r w:rsidR="003A596A" w:rsidRPr="004F0354">
              <w:rPr>
                <w:rFonts w:ascii="Arial" w:hAnsi="Arial" w:cs="Arial"/>
                <w:sz w:val="20"/>
                <w:szCs w:val="20"/>
              </w:rPr>
              <w:t>dette selon les années n’est pas disponible.</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Les actifs financiers, y compris des détails pour au moins le début de l’exercice en cours (présentés conformément aux normes des SFP ou à une autre norme reconnue au plan international). </w:t>
            </w:r>
          </w:p>
          <w:p w:rsidR="003A596A" w:rsidRPr="004F0354" w:rsidRDefault="003A596A" w:rsidP="003A596A">
            <w:pPr>
              <w:pStyle w:val="Default"/>
              <w:ind w:left="720"/>
              <w:jc w:val="both"/>
              <w:rPr>
                <w:rFonts w:ascii="Arial" w:hAnsi="Arial" w:cs="Arial"/>
                <w:sz w:val="20"/>
                <w:szCs w:val="20"/>
                <w:lang w:val="fr-FR"/>
              </w:rPr>
            </w:pPr>
          </w:p>
        </w:tc>
        <w:tc>
          <w:tcPr>
            <w:tcW w:w="3544" w:type="dxa"/>
          </w:tcPr>
          <w:p w:rsidR="003A596A" w:rsidRPr="004F0354" w:rsidRDefault="003A596A" w:rsidP="003A596A">
            <w:pPr>
              <w:autoSpaceDE w:val="0"/>
              <w:autoSpaceDN w:val="0"/>
              <w:adjustRightInd w:val="0"/>
              <w:jc w:val="both"/>
              <w:rPr>
                <w:rFonts w:ascii="Arial" w:hAnsi="Arial" w:cs="Arial"/>
                <w:sz w:val="20"/>
                <w:szCs w:val="20"/>
              </w:rPr>
            </w:pPr>
            <w:r w:rsidRPr="004F0354">
              <w:rPr>
                <w:rFonts w:ascii="Arial" w:hAnsi="Arial" w:cs="Arial"/>
                <w:sz w:val="20"/>
                <w:szCs w:val="20"/>
              </w:rPr>
              <w:t>Les avoirs financiers, dans l’état du système et des règles de comptabilisation en vigueur, ne sont pas appréhendés et suivis. Ils ne figurent donc pas dans la documentation budgétaire.</w:t>
            </w:r>
          </w:p>
        </w:tc>
        <w:tc>
          <w:tcPr>
            <w:tcW w:w="1525" w:type="dxa"/>
          </w:tcPr>
          <w:p w:rsidR="003A596A" w:rsidRPr="004F0354" w:rsidRDefault="003A596A" w:rsidP="003A596A">
            <w:pPr>
              <w:autoSpaceDE w:val="0"/>
              <w:autoSpaceDN w:val="0"/>
              <w:adjustRightInd w:val="0"/>
              <w:jc w:val="both"/>
              <w:rPr>
                <w:rFonts w:ascii="Arial" w:hAnsi="Arial" w:cs="Arial"/>
                <w:sz w:val="20"/>
                <w:szCs w:val="20"/>
              </w:rPr>
            </w:pPr>
            <w:r w:rsidRPr="004F0354">
              <w:rPr>
                <w:rFonts w:ascii="Arial" w:hAnsi="Arial" w:cs="Arial"/>
                <w:sz w:val="20"/>
                <w:szCs w:val="20"/>
              </w:rPr>
              <w:t>Non</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Des données récapitulatives sur les risques budgétaires (y compris les engagements conditionnels tels que les garanties, et les obligations intégrées dans les contrats de PPP, etc.). </w:t>
            </w:r>
          </w:p>
        </w:tc>
        <w:tc>
          <w:tcPr>
            <w:tcW w:w="3544"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 xml:space="preserve">L’évaluation des risques budgétaires </w:t>
            </w:r>
            <w:r w:rsidR="00A07D79" w:rsidRPr="004F0354">
              <w:rPr>
                <w:rFonts w:ascii="Arial" w:hAnsi="Arial" w:cs="Arial"/>
                <w:sz w:val="20"/>
                <w:szCs w:val="20"/>
              </w:rPr>
              <w:t>liés</w:t>
            </w:r>
            <w:r w:rsidRPr="004F0354">
              <w:rPr>
                <w:rFonts w:ascii="Arial" w:hAnsi="Arial" w:cs="Arial"/>
                <w:sz w:val="20"/>
                <w:szCs w:val="20"/>
              </w:rPr>
              <w:t xml:space="preserve"> aux sociétés de développement local et aux contrats de gestion déléguée n’est pas disponible.</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 xml:space="preserve">Non </w:t>
            </w:r>
          </w:p>
        </w:tc>
      </w:tr>
      <w:tr w:rsidR="003A596A" w:rsidRPr="004F0354" w:rsidTr="000114CE">
        <w:tc>
          <w:tcPr>
            <w:tcW w:w="4395" w:type="dxa"/>
          </w:tcPr>
          <w:p w:rsidR="003A596A" w:rsidRPr="004F0354" w:rsidRDefault="003A596A" w:rsidP="003A596A">
            <w:pPr>
              <w:pStyle w:val="Default"/>
              <w:jc w:val="both"/>
              <w:rPr>
                <w:rFonts w:ascii="Arial" w:hAnsi="Arial" w:cs="Arial"/>
                <w:sz w:val="20"/>
                <w:szCs w:val="20"/>
                <w:lang w:val="fr-FR"/>
              </w:rPr>
            </w:pPr>
          </w:p>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Des explications des répercussions budgétaires des nouvelles initiatives et d’importants nouveaux investissements publics, et des estimations de l’impact budgétaire de toutes les modifications importantes apportées aux mesures concernant les recettes et/ou aux programmes de dépenses. </w:t>
            </w:r>
          </w:p>
        </w:tc>
        <w:tc>
          <w:tcPr>
            <w:tcW w:w="3544" w:type="dxa"/>
          </w:tcPr>
          <w:p w:rsidR="003A596A" w:rsidRPr="004F0354" w:rsidRDefault="003A596A" w:rsidP="003A596A">
            <w:pPr>
              <w:jc w:val="both"/>
              <w:rPr>
                <w:rFonts w:ascii="Arial" w:hAnsi="Arial" w:cs="Arial"/>
                <w:sz w:val="20"/>
                <w:szCs w:val="20"/>
              </w:rPr>
            </w:pPr>
          </w:p>
          <w:p w:rsidR="003A596A" w:rsidRPr="004F0354" w:rsidRDefault="003A596A" w:rsidP="003A596A">
            <w:pPr>
              <w:jc w:val="both"/>
              <w:rPr>
                <w:rFonts w:ascii="Arial" w:hAnsi="Arial" w:cs="Arial"/>
                <w:sz w:val="20"/>
                <w:szCs w:val="20"/>
              </w:rPr>
            </w:pPr>
            <w:r w:rsidRPr="004F0354">
              <w:rPr>
                <w:rFonts w:ascii="Arial" w:hAnsi="Arial" w:cs="Arial"/>
                <w:sz w:val="20"/>
                <w:szCs w:val="20"/>
              </w:rPr>
              <w:t>Les informations ne sont pas données sur les efforts en termes de politique fiscale et des mesures de politique prises.</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w:t>
            </w:r>
          </w:p>
        </w:tc>
      </w:tr>
      <w:tr w:rsidR="003A596A" w:rsidRPr="004F0354" w:rsidTr="000114CE">
        <w:tc>
          <w:tcPr>
            <w:tcW w:w="4395" w:type="dxa"/>
          </w:tcPr>
          <w:p w:rsidR="003A596A" w:rsidRPr="004F0354" w:rsidRDefault="003A596A" w:rsidP="00151AD3">
            <w:pPr>
              <w:pStyle w:val="Default"/>
              <w:numPr>
                <w:ilvl w:val="0"/>
                <w:numId w:val="19"/>
              </w:numPr>
              <w:jc w:val="both"/>
              <w:rPr>
                <w:rFonts w:ascii="Arial" w:hAnsi="Arial" w:cs="Arial"/>
                <w:sz w:val="20"/>
                <w:szCs w:val="20"/>
                <w:lang w:val="fr-FR"/>
              </w:rPr>
            </w:pPr>
            <w:r w:rsidRPr="004F0354">
              <w:rPr>
                <w:rFonts w:ascii="Arial" w:hAnsi="Arial" w:cs="Arial"/>
                <w:sz w:val="20"/>
                <w:szCs w:val="20"/>
                <w:lang w:val="fr-FR"/>
              </w:rPr>
              <w:t xml:space="preserve">Les documents relatifs au cadre à moyen terme. </w:t>
            </w:r>
          </w:p>
        </w:tc>
        <w:tc>
          <w:tcPr>
            <w:tcW w:w="3544"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 disponible</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Non</w:t>
            </w:r>
          </w:p>
        </w:tc>
      </w:tr>
      <w:tr w:rsidR="003A596A" w:rsidRPr="004F0354" w:rsidTr="000114CE">
        <w:tc>
          <w:tcPr>
            <w:tcW w:w="4395" w:type="dxa"/>
          </w:tcPr>
          <w:p w:rsidR="003A596A" w:rsidRPr="004F0354" w:rsidRDefault="003A596A" w:rsidP="00151AD3">
            <w:pPr>
              <w:pStyle w:val="ListParagraph"/>
              <w:numPr>
                <w:ilvl w:val="0"/>
                <w:numId w:val="19"/>
              </w:numPr>
              <w:contextualSpacing/>
              <w:jc w:val="both"/>
              <w:rPr>
                <w:rFonts w:ascii="Arial" w:hAnsi="Arial" w:cs="Arial"/>
                <w:sz w:val="20"/>
                <w:szCs w:val="20"/>
              </w:rPr>
            </w:pPr>
            <w:r w:rsidRPr="004F0354">
              <w:rPr>
                <w:rFonts w:ascii="Arial" w:hAnsi="Arial" w:cs="Arial"/>
                <w:sz w:val="20"/>
                <w:szCs w:val="20"/>
              </w:rPr>
              <w:t>Une quantification des dépenses fiscales.</w:t>
            </w:r>
          </w:p>
        </w:tc>
        <w:tc>
          <w:tcPr>
            <w:tcW w:w="3544"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 xml:space="preserve"> Non disponible</w:t>
            </w:r>
          </w:p>
        </w:tc>
        <w:tc>
          <w:tcPr>
            <w:tcW w:w="1525"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 xml:space="preserve">Non </w:t>
            </w:r>
          </w:p>
        </w:tc>
      </w:tr>
    </w:tbl>
    <w:p w:rsidR="003A596A" w:rsidRPr="004F0354" w:rsidRDefault="003A596A" w:rsidP="003A596A">
      <w:pPr>
        <w:spacing w:after="200" w:line="276" w:lineRule="auto"/>
        <w:rPr>
          <w:rFonts w:ascii="Arial" w:hAnsi="Arial" w:cs="Arial"/>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851"/>
        <w:gridCol w:w="4252"/>
      </w:tblGrid>
      <w:tr w:rsidR="003A596A" w:rsidRPr="004F0354" w:rsidTr="000114CE">
        <w:trPr>
          <w:trHeight w:val="276"/>
        </w:trPr>
        <w:tc>
          <w:tcPr>
            <w:tcW w:w="4395" w:type="dxa"/>
            <w:shd w:val="clear" w:color="auto" w:fill="0070C0"/>
          </w:tcPr>
          <w:p w:rsidR="003A596A" w:rsidRPr="004F0354" w:rsidRDefault="003A596A" w:rsidP="003A596A">
            <w:pPr>
              <w:jc w:val="center"/>
              <w:rPr>
                <w:rFonts w:ascii="Arial" w:hAnsi="Arial" w:cs="Arial"/>
                <w:b/>
                <w:color w:val="FFFFFF"/>
                <w:sz w:val="20"/>
                <w:szCs w:val="20"/>
              </w:rPr>
            </w:pPr>
            <w:r w:rsidRPr="004F0354">
              <w:rPr>
                <w:rFonts w:ascii="Arial" w:hAnsi="Arial" w:cs="Arial"/>
                <w:b/>
                <w:color w:val="FFFFFF"/>
                <w:sz w:val="20"/>
                <w:szCs w:val="20"/>
              </w:rPr>
              <w:t>Indicateur</w:t>
            </w:r>
          </w:p>
        </w:tc>
        <w:tc>
          <w:tcPr>
            <w:tcW w:w="851" w:type="dxa"/>
            <w:shd w:val="clear" w:color="auto" w:fill="0070C0"/>
          </w:tcPr>
          <w:p w:rsidR="003A596A" w:rsidRPr="004F0354" w:rsidRDefault="003A596A" w:rsidP="003A596A">
            <w:pPr>
              <w:jc w:val="center"/>
              <w:rPr>
                <w:rFonts w:ascii="Arial" w:hAnsi="Arial" w:cs="Arial"/>
                <w:b/>
                <w:color w:val="FFFFFF"/>
                <w:sz w:val="20"/>
                <w:szCs w:val="20"/>
              </w:rPr>
            </w:pPr>
            <w:r w:rsidRPr="004F0354">
              <w:rPr>
                <w:rFonts w:ascii="Arial" w:hAnsi="Arial" w:cs="Arial"/>
                <w:b/>
                <w:color w:val="FFFFFF"/>
                <w:sz w:val="20"/>
                <w:szCs w:val="20"/>
              </w:rPr>
              <w:t>Note</w:t>
            </w:r>
          </w:p>
        </w:tc>
        <w:tc>
          <w:tcPr>
            <w:tcW w:w="4252" w:type="dxa"/>
            <w:shd w:val="clear" w:color="auto" w:fill="0070C0"/>
          </w:tcPr>
          <w:p w:rsidR="003A596A" w:rsidRPr="004F0354" w:rsidRDefault="003A596A" w:rsidP="003A596A">
            <w:pPr>
              <w:jc w:val="center"/>
              <w:rPr>
                <w:rFonts w:ascii="Arial" w:hAnsi="Arial" w:cs="Arial"/>
                <w:b/>
                <w:color w:val="FFFFFF"/>
                <w:sz w:val="20"/>
                <w:szCs w:val="20"/>
              </w:rPr>
            </w:pPr>
            <w:r w:rsidRPr="004F0354">
              <w:rPr>
                <w:rFonts w:ascii="Arial" w:hAnsi="Arial" w:cs="Arial"/>
                <w:b/>
                <w:color w:val="FFFFFF"/>
                <w:sz w:val="20"/>
                <w:szCs w:val="20"/>
              </w:rPr>
              <w:t>Explication</w:t>
            </w:r>
          </w:p>
        </w:tc>
      </w:tr>
      <w:tr w:rsidR="003A596A" w:rsidRPr="004F0354" w:rsidTr="000114CE">
        <w:trPr>
          <w:trHeight w:val="642"/>
        </w:trPr>
        <w:tc>
          <w:tcPr>
            <w:tcW w:w="4395" w:type="dxa"/>
          </w:tcPr>
          <w:p w:rsidR="003A596A" w:rsidRPr="004F0354" w:rsidRDefault="003A596A" w:rsidP="003A596A">
            <w:pPr>
              <w:jc w:val="both"/>
              <w:rPr>
                <w:rFonts w:ascii="Arial" w:hAnsi="Arial" w:cs="Arial"/>
                <w:b/>
                <w:sz w:val="20"/>
                <w:szCs w:val="20"/>
              </w:rPr>
            </w:pPr>
            <w:r w:rsidRPr="004F0354">
              <w:rPr>
                <w:rFonts w:ascii="Arial" w:hAnsi="Arial" w:cs="Arial"/>
                <w:b/>
                <w:sz w:val="20"/>
                <w:szCs w:val="20"/>
              </w:rPr>
              <w:t xml:space="preserve">PI-5. </w:t>
            </w:r>
            <w:r w:rsidRPr="004F0354">
              <w:rPr>
                <w:rFonts w:ascii="Arial" w:hAnsi="Arial" w:cs="Arial"/>
                <w:sz w:val="20"/>
                <w:szCs w:val="20"/>
              </w:rPr>
              <w:t>Exhaustivité des informations contenues dans la documentation budgétaire</w:t>
            </w:r>
          </w:p>
        </w:tc>
        <w:tc>
          <w:tcPr>
            <w:tcW w:w="851" w:type="dxa"/>
          </w:tcPr>
          <w:p w:rsidR="003A596A" w:rsidRPr="004F0354" w:rsidRDefault="003A596A" w:rsidP="003A596A">
            <w:pPr>
              <w:jc w:val="both"/>
              <w:rPr>
                <w:rFonts w:ascii="Arial" w:hAnsi="Arial" w:cs="Arial"/>
                <w:b/>
                <w:sz w:val="20"/>
                <w:szCs w:val="20"/>
              </w:rPr>
            </w:pPr>
            <w:r w:rsidRPr="004F0354">
              <w:rPr>
                <w:rFonts w:ascii="Arial" w:hAnsi="Arial" w:cs="Arial"/>
                <w:b/>
                <w:sz w:val="20"/>
                <w:szCs w:val="20"/>
              </w:rPr>
              <w:t xml:space="preserve"> C</w:t>
            </w:r>
          </w:p>
        </w:tc>
        <w:tc>
          <w:tcPr>
            <w:tcW w:w="4252" w:type="dxa"/>
          </w:tcPr>
          <w:p w:rsidR="003A596A" w:rsidRPr="004F0354" w:rsidRDefault="003A596A" w:rsidP="003A596A">
            <w:pPr>
              <w:jc w:val="both"/>
              <w:rPr>
                <w:rFonts w:ascii="Arial" w:hAnsi="Arial" w:cs="Arial"/>
                <w:b/>
                <w:bCs/>
                <w:sz w:val="20"/>
                <w:szCs w:val="20"/>
              </w:rPr>
            </w:pPr>
            <w:r w:rsidRPr="004F0354">
              <w:rPr>
                <w:rFonts w:ascii="Arial" w:hAnsi="Arial" w:cs="Arial"/>
                <w:b/>
                <w:bCs/>
                <w:sz w:val="20"/>
                <w:szCs w:val="20"/>
              </w:rPr>
              <w:t>Méthode de notation M1</w:t>
            </w:r>
          </w:p>
        </w:tc>
      </w:tr>
      <w:tr w:rsidR="003A596A" w:rsidRPr="004F0354" w:rsidTr="000114CE">
        <w:trPr>
          <w:trHeight w:val="1165"/>
        </w:trPr>
        <w:tc>
          <w:tcPr>
            <w:tcW w:w="4395" w:type="dxa"/>
          </w:tcPr>
          <w:p w:rsidR="003A596A" w:rsidRPr="00EC565D" w:rsidRDefault="003A596A" w:rsidP="00EC565D">
            <w:pPr>
              <w:pStyle w:val="Default"/>
              <w:jc w:val="both"/>
              <w:rPr>
                <w:rFonts w:ascii="Arial" w:hAnsi="Arial" w:cs="Arial"/>
                <w:sz w:val="20"/>
                <w:szCs w:val="20"/>
                <w:lang w:val="fr-FR"/>
              </w:rPr>
            </w:pPr>
            <w:r w:rsidRPr="004F0354">
              <w:rPr>
                <w:rFonts w:ascii="Arial" w:hAnsi="Arial" w:cs="Arial"/>
                <w:sz w:val="20"/>
                <w:szCs w:val="20"/>
                <w:lang w:val="fr-FR"/>
              </w:rPr>
              <w:t xml:space="preserve">(i)   Proportion des informations citées ci-dessus dans les documents du budget qui ont été publiées le plus récemment par l’administration centrale </w:t>
            </w:r>
          </w:p>
        </w:tc>
        <w:tc>
          <w:tcPr>
            <w:tcW w:w="851"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C</w:t>
            </w:r>
          </w:p>
        </w:tc>
        <w:tc>
          <w:tcPr>
            <w:tcW w:w="4252" w:type="dxa"/>
          </w:tcPr>
          <w:p w:rsidR="003A596A" w:rsidRPr="004F0354" w:rsidRDefault="003A596A" w:rsidP="003A596A">
            <w:pPr>
              <w:jc w:val="both"/>
              <w:rPr>
                <w:rFonts w:ascii="Arial" w:hAnsi="Arial" w:cs="Arial"/>
                <w:sz w:val="20"/>
                <w:szCs w:val="20"/>
              </w:rPr>
            </w:pPr>
            <w:r w:rsidRPr="004F0354">
              <w:rPr>
                <w:rFonts w:ascii="Arial" w:hAnsi="Arial" w:cs="Arial"/>
                <w:sz w:val="20"/>
                <w:szCs w:val="20"/>
              </w:rPr>
              <w:t>Les documents du budget comprennent tous les éléments de base (1à4).</w:t>
            </w:r>
          </w:p>
        </w:tc>
      </w:tr>
    </w:tbl>
    <w:p w:rsidR="003A596A" w:rsidRPr="00A17E25" w:rsidRDefault="003A596A" w:rsidP="003A596A">
      <w:pPr>
        <w:pStyle w:val="Heading1"/>
        <w:rPr>
          <w:rFonts w:cs="Arial"/>
          <w:sz w:val="24"/>
          <w:szCs w:val="24"/>
        </w:rPr>
      </w:pPr>
      <w:bookmarkStart w:id="148" w:name="_Toc428200799"/>
      <w:bookmarkStart w:id="149" w:name="_Toc434916116"/>
      <w:bookmarkStart w:id="150" w:name="_Toc434918330"/>
      <w:r w:rsidRPr="00A17E25">
        <w:rPr>
          <w:rFonts w:cs="Arial"/>
          <w:sz w:val="24"/>
          <w:szCs w:val="24"/>
        </w:rPr>
        <w:t>PI-6 : Importance des opérations extrabudgétaires rapportées (OEB)</w:t>
      </w:r>
      <w:bookmarkEnd w:id="148"/>
      <w:bookmarkEnd w:id="149"/>
      <w:bookmarkEnd w:id="150"/>
    </w:p>
    <w:p w:rsidR="003A596A" w:rsidRPr="00A17E25" w:rsidRDefault="003A596A" w:rsidP="003A596A">
      <w:pPr>
        <w:pStyle w:val="Default"/>
        <w:jc w:val="both"/>
        <w:rPr>
          <w:rFonts w:ascii="Arial" w:hAnsi="Arial" w:cs="Arial"/>
          <w:sz w:val="22"/>
          <w:szCs w:val="22"/>
          <w:lang w:val="fr-FR"/>
        </w:rPr>
      </w:pPr>
    </w:p>
    <w:p w:rsidR="003A596A" w:rsidRPr="00A17E25" w:rsidRDefault="003A596A" w:rsidP="003A596A">
      <w:p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Les dispositions législatives régissant l’organisation financière des collectivités locales et de leur groupements</w:t>
      </w:r>
      <w:r w:rsidRPr="00A17E25">
        <w:rPr>
          <w:rStyle w:val="FootnoteReference"/>
          <w:rFonts w:ascii="Arial" w:hAnsi="Arial" w:cs="Arial"/>
          <w:color w:val="141414"/>
          <w:lang w:eastAsia="fr-FR"/>
        </w:rPr>
        <w:footnoteReference w:id="23"/>
      </w:r>
      <w:r w:rsidRPr="00A17E25">
        <w:rPr>
          <w:rFonts w:ascii="Arial" w:hAnsi="Arial" w:cs="Arial"/>
          <w:color w:val="141414"/>
          <w:lang w:eastAsia="fr-FR"/>
        </w:rPr>
        <w:t xml:space="preserve"> énoncent que le budget comprend deux parties :</w:t>
      </w:r>
    </w:p>
    <w:p w:rsidR="003A596A" w:rsidRPr="00A17E25" w:rsidRDefault="003A596A" w:rsidP="00151AD3">
      <w:pPr>
        <w:numPr>
          <w:ilvl w:val="0"/>
          <w:numId w:val="1"/>
        </w:num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La première partie décrit les opérations de fonctionnement tant en recettes qu’en dépenses ;</w:t>
      </w:r>
    </w:p>
    <w:p w:rsidR="003A596A" w:rsidRPr="00A17E25" w:rsidRDefault="003A596A" w:rsidP="00151AD3">
      <w:pPr>
        <w:numPr>
          <w:ilvl w:val="0"/>
          <w:numId w:val="1"/>
        </w:num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La deuxième partie est relative aux opérations d’équipement; elle présente l’ensemble des ressources affectées à l’équipement et l’emploi qui en est fait.</w:t>
      </w:r>
    </w:p>
    <w:p w:rsidR="003A596A" w:rsidRPr="00A17E25" w:rsidRDefault="003A596A" w:rsidP="00151AD3">
      <w:pPr>
        <w:numPr>
          <w:ilvl w:val="0"/>
          <w:numId w:val="1"/>
        </w:num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Le budget peut comprendre, en outre, des budgets annexes et des comptes spéciaux.</w:t>
      </w:r>
    </w:p>
    <w:p w:rsidR="003A596A" w:rsidRPr="00A17E25" w:rsidRDefault="003A596A" w:rsidP="003A596A">
      <w:pPr>
        <w:autoSpaceDE w:val="0"/>
        <w:autoSpaceDN w:val="0"/>
        <w:adjustRightInd w:val="0"/>
        <w:ind w:left="720"/>
        <w:jc w:val="both"/>
        <w:rPr>
          <w:rFonts w:ascii="Arial" w:hAnsi="Arial" w:cs="Arial"/>
          <w:color w:val="141414"/>
          <w:lang w:eastAsia="fr-FR"/>
        </w:rPr>
      </w:pPr>
    </w:p>
    <w:p w:rsidR="00D538E2" w:rsidRDefault="003A596A" w:rsidP="003A596A">
      <w:p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 xml:space="preserve">Les comptes spéciaux </w:t>
      </w:r>
      <w:r w:rsidR="00D538E2">
        <w:rPr>
          <w:rFonts w:ascii="Arial" w:hAnsi="Arial" w:cs="Arial"/>
          <w:color w:val="141414"/>
          <w:lang w:eastAsia="fr-FR"/>
        </w:rPr>
        <w:t>sont de deux catégories :</w:t>
      </w:r>
    </w:p>
    <w:p w:rsidR="003A596A" w:rsidRDefault="00952C93" w:rsidP="00F53182">
      <w:pPr>
        <w:pStyle w:val="ListParagraph"/>
        <w:numPr>
          <w:ilvl w:val="0"/>
          <w:numId w:val="2"/>
        </w:numPr>
        <w:autoSpaceDE w:val="0"/>
        <w:autoSpaceDN w:val="0"/>
        <w:adjustRightInd w:val="0"/>
        <w:jc w:val="both"/>
        <w:rPr>
          <w:rFonts w:ascii="Arial" w:hAnsi="Arial" w:cs="Arial"/>
          <w:color w:val="141414"/>
          <w:lang w:eastAsia="fr-FR"/>
        </w:rPr>
      </w:pPr>
      <w:r>
        <w:rPr>
          <w:rFonts w:ascii="Arial" w:hAnsi="Arial" w:cs="Arial"/>
          <w:color w:val="141414"/>
          <w:lang w:eastAsia="fr-FR"/>
        </w:rPr>
        <w:t>Les comptes d’affection spécia</w:t>
      </w:r>
      <w:r w:rsidR="00D538E2">
        <w:rPr>
          <w:rFonts w:ascii="Arial" w:hAnsi="Arial" w:cs="Arial"/>
          <w:color w:val="141414"/>
          <w:lang w:eastAsia="fr-FR"/>
        </w:rPr>
        <w:t xml:space="preserve">le </w:t>
      </w:r>
      <w:r w:rsidR="00675236">
        <w:rPr>
          <w:rFonts w:ascii="Arial" w:hAnsi="Arial" w:cs="Arial"/>
          <w:color w:val="141414"/>
          <w:lang w:eastAsia="fr-FR"/>
        </w:rPr>
        <w:t xml:space="preserve">(CAS) </w:t>
      </w:r>
      <w:r w:rsidR="00D538E2">
        <w:rPr>
          <w:rFonts w:ascii="Arial" w:hAnsi="Arial" w:cs="Arial"/>
          <w:color w:val="141414"/>
          <w:lang w:eastAsia="fr-FR"/>
        </w:rPr>
        <w:t xml:space="preserve">qui </w:t>
      </w:r>
      <w:r w:rsidR="003A596A" w:rsidRPr="00F53182">
        <w:rPr>
          <w:rFonts w:ascii="Arial" w:hAnsi="Arial" w:cs="Arial"/>
          <w:color w:val="141414"/>
          <w:lang w:eastAsia="fr-FR"/>
        </w:rPr>
        <w:t>retracent la prise en recettes des sommes affectées au financement prévisionnel d’une catégorie déterminée de dépenses et l’emploi donné à ces sommes.</w:t>
      </w:r>
    </w:p>
    <w:p w:rsidR="00D538E2" w:rsidRPr="00F53182" w:rsidRDefault="00D538E2" w:rsidP="00F53182">
      <w:pPr>
        <w:pStyle w:val="ListParagraph"/>
        <w:numPr>
          <w:ilvl w:val="0"/>
          <w:numId w:val="2"/>
        </w:numPr>
        <w:autoSpaceDE w:val="0"/>
        <w:autoSpaceDN w:val="0"/>
        <w:adjustRightInd w:val="0"/>
        <w:jc w:val="both"/>
        <w:rPr>
          <w:rFonts w:ascii="Arial" w:hAnsi="Arial" w:cs="Arial"/>
          <w:color w:val="141414"/>
          <w:lang w:eastAsia="fr-FR"/>
        </w:rPr>
      </w:pPr>
      <w:r>
        <w:rPr>
          <w:rFonts w:ascii="Arial" w:hAnsi="Arial" w:cs="Arial"/>
          <w:color w:val="141414"/>
          <w:lang w:eastAsia="fr-FR"/>
        </w:rPr>
        <w:t xml:space="preserve">Les comptes de dépenses sur dotation </w:t>
      </w:r>
      <w:r w:rsidR="00675236">
        <w:rPr>
          <w:rFonts w:ascii="Arial" w:hAnsi="Arial" w:cs="Arial"/>
          <w:color w:val="141414"/>
          <w:lang w:eastAsia="fr-FR"/>
        </w:rPr>
        <w:t xml:space="preserve">(CDD) </w:t>
      </w:r>
      <w:r>
        <w:rPr>
          <w:rFonts w:ascii="Arial" w:hAnsi="Arial" w:cs="Arial"/>
          <w:color w:val="141414"/>
          <w:lang w:eastAsia="fr-FR"/>
        </w:rPr>
        <w:t>dont les recettes sont préalablement déterminées.</w:t>
      </w:r>
    </w:p>
    <w:p w:rsidR="0067199E" w:rsidRDefault="0067199E" w:rsidP="003A596A">
      <w:pPr>
        <w:autoSpaceDE w:val="0"/>
        <w:autoSpaceDN w:val="0"/>
        <w:adjustRightInd w:val="0"/>
        <w:jc w:val="both"/>
        <w:rPr>
          <w:rFonts w:ascii="Arial" w:hAnsi="Arial" w:cs="Arial"/>
          <w:color w:val="141414"/>
          <w:lang w:eastAsia="fr-FR"/>
        </w:rPr>
      </w:pPr>
    </w:p>
    <w:p w:rsidR="003A596A" w:rsidRPr="00A17E25" w:rsidRDefault="003A596A" w:rsidP="003A596A">
      <w:p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 xml:space="preserve">La mission n’a pas identifié de budgets annexes au sein de la </w:t>
      </w:r>
      <w:r w:rsidR="002D5EF8">
        <w:rPr>
          <w:rFonts w:ascii="Arial" w:hAnsi="Arial" w:cs="Arial"/>
          <w:color w:val="141414"/>
          <w:lang w:eastAsia="fr-FR"/>
        </w:rPr>
        <w:t>CC</w:t>
      </w:r>
      <w:r w:rsidRPr="00A17E25">
        <w:rPr>
          <w:rFonts w:ascii="Arial" w:hAnsi="Arial" w:cs="Arial"/>
          <w:color w:val="141414"/>
          <w:lang w:eastAsia="fr-FR"/>
        </w:rPr>
        <w:t>.</w:t>
      </w:r>
    </w:p>
    <w:p w:rsidR="00952C93" w:rsidRDefault="00952C93" w:rsidP="003A596A">
      <w:pPr>
        <w:rPr>
          <w:rFonts w:ascii="Arial" w:hAnsi="Arial" w:cs="Arial"/>
          <w:color w:val="141414"/>
          <w:lang w:eastAsia="fr-FR"/>
        </w:rPr>
      </w:pPr>
    </w:p>
    <w:p w:rsidR="004F0354" w:rsidRDefault="003A596A" w:rsidP="003A596A">
      <w:pPr>
        <w:rPr>
          <w:rFonts w:ascii="Arial" w:hAnsi="Arial" w:cs="Arial"/>
          <w:color w:val="141414"/>
          <w:lang w:eastAsia="fr-FR"/>
        </w:rPr>
      </w:pPr>
      <w:r w:rsidRPr="00A17E25">
        <w:rPr>
          <w:rFonts w:ascii="Arial" w:hAnsi="Arial" w:cs="Arial"/>
          <w:color w:val="141414"/>
          <w:lang w:eastAsia="fr-FR"/>
        </w:rPr>
        <w:t xml:space="preserve">En ce qui concerne les comptes spéciaux de la </w:t>
      </w:r>
      <w:r w:rsidR="002D5EF8">
        <w:rPr>
          <w:rFonts w:ascii="Arial" w:hAnsi="Arial" w:cs="Arial"/>
          <w:color w:val="141414"/>
          <w:lang w:eastAsia="fr-FR"/>
        </w:rPr>
        <w:t>CC</w:t>
      </w:r>
      <w:r w:rsidRPr="00A17E25">
        <w:rPr>
          <w:rFonts w:ascii="Arial" w:hAnsi="Arial" w:cs="Arial"/>
          <w:color w:val="141414"/>
          <w:lang w:eastAsia="fr-FR"/>
        </w:rPr>
        <w:t>, ils sont détaillés comme suit :</w:t>
      </w:r>
    </w:p>
    <w:p w:rsidR="003821F1" w:rsidRDefault="003821F1">
      <w:pPr>
        <w:rPr>
          <w:rFonts w:ascii="Arial Narrow" w:hAnsi="Arial Narrow" w:cs="Arial"/>
          <w:b/>
          <w:color w:val="141414"/>
          <w:sz w:val="20"/>
          <w:szCs w:val="20"/>
          <w:lang w:eastAsia="fr-FR"/>
        </w:rPr>
      </w:pPr>
    </w:p>
    <w:p w:rsidR="00E67B20" w:rsidRDefault="00417ADA" w:rsidP="004F0354">
      <w:pPr>
        <w:autoSpaceDE w:val="0"/>
        <w:autoSpaceDN w:val="0"/>
        <w:adjustRightInd w:val="0"/>
        <w:jc w:val="center"/>
        <w:rPr>
          <w:rFonts w:ascii="Arial Narrow" w:hAnsi="Arial Narrow" w:cs="Arial"/>
          <w:b/>
          <w:color w:val="141414"/>
          <w:sz w:val="20"/>
          <w:szCs w:val="20"/>
          <w:lang w:eastAsia="fr-FR"/>
        </w:rPr>
      </w:pPr>
      <w:r w:rsidRPr="00E67B20">
        <w:rPr>
          <w:rFonts w:ascii="Arial Narrow" w:hAnsi="Arial Narrow" w:cs="Arial"/>
          <w:b/>
          <w:color w:val="141414"/>
          <w:sz w:val="20"/>
          <w:szCs w:val="20"/>
          <w:lang w:eastAsia="fr-FR"/>
        </w:rPr>
        <w:t>TABLEAU </w:t>
      </w:r>
      <w:r w:rsidR="00E67B20" w:rsidRPr="00E67B20">
        <w:rPr>
          <w:rFonts w:ascii="Arial Narrow" w:hAnsi="Arial Narrow" w:cs="Arial"/>
          <w:b/>
          <w:color w:val="141414"/>
          <w:sz w:val="20"/>
          <w:szCs w:val="20"/>
          <w:lang w:eastAsia="fr-FR"/>
        </w:rPr>
        <w:t>3.11</w:t>
      </w:r>
      <w:r w:rsidRPr="00E67B20">
        <w:rPr>
          <w:rFonts w:ascii="Arial Narrow" w:hAnsi="Arial Narrow" w:cs="Arial"/>
          <w:b/>
          <w:color w:val="141414"/>
          <w:sz w:val="20"/>
          <w:szCs w:val="20"/>
          <w:lang w:eastAsia="fr-FR"/>
        </w:rPr>
        <w:t xml:space="preserve">: Comptes spéciaux de la </w:t>
      </w:r>
      <w:r w:rsidR="002D5EF8">
        <w:rPr>
          <w:rFonts w:ascii="Arial Narrow" w:hAnsi="Arial Narrow" w:cs="Arial"/>
          <w:b/>
          <w:color w:val="141414"/>
          <w:sz w:val="20"/>
          <w:szCs w:val="20"/>
          <w:lang w:eastAsia="fr-FR"/>
        </w:rPr>
        <w:t>CC</w:t>
      </w:r>
      <w:r w:rsidRPr="00E67B20">
        <w:rPr>
          <w:rFonts w:ascii="Arial Narrow" w:hAnsi="Arial Narrow" w:cs="Arial"/>
          <w:b/>
          <w:color w:val="141414"/>
          <w:sz w:val="20"/>
          <w:szCs w:val="20"/>
          <w:lang w:eastAsia="fr-FR"/>
        </w:rPr>
        <w:t xml:space="preserve"> en 2014</w:t>
      </w:r>
    </w:p>
    <w:p w:rsidR="004F0354" w:rsidRPr="004F0354" w:rsidRDefault="004F0354" w:rsidP="004F0354">
      <w:pPr>
        <w:autoSpaceDE w:val="0"/>
        <w:autoSpaceDN w:val="0"/>
        <w:adjustRightInd w:val="0"/>
        <w:jc w:val="center"/>
        <w:rPr>
          <w:rFonts w:ascii="Arial Narrow" w:hAnsi="Arial Narrow" w:cs="Arial"/>
          <w:b/>
          <w:color w:val="141414"/>
          <w:sz w:val="20"/>
          <w:szCs w:val="20"/>
          <w:lang w:eastAsia="fr-FR"/>
        </w:rPr>
      </w:pPr>
    </w:p>
    <w:tbl>
      <w:tblPr>
        <w:tblW w:w="5000" w:type="pct"/>
        <w:jc w:val="center"/>
        <w:tblCellMar>
          <w:left w:w="70" w:type="dxa"/>
          <w:right w:w="70" w:type="dxa"/>
        </w:tblCellMar>
        <w:tblLook w:val="04A0" w:firstRow="1" w:lastRow="0" w:firstColumn="1" w:lastColumn="0" w:noHBand="0" w:noVBand="1"/>
      </w:tblPr>
      <w:tblGrid>
        <w:gridCol w:w="5488"/>
        <w:gridCol w:w="1926"/>
        <w:gridCol w:w="1926"/>
      </w:tblGrid>
      <w:tr w:rsidR="00D538E2" w:rsidRPr="00A71697" w:rsidTr="00F53182">
        <w:trPr>
          <w:trHeight w:val="390"/>
          <w:jc w:val="center"/>
        </w:trPr>
        <w:tc>
          <w:tcPr>
            <w:tcW w:w="2938" w:type="pct"/>
            <w:tcBorders>
              <w:top w:val="single" w:sz="8" w:space="0" w:color="auto"/>
              <w:left w:val="single" w:sz="8" w:space="0" w:color="auto"/>
              <w:bottom w:val="nil"/>
              <w:right w:val="single" w:sz="8" w:space="0" w:color="auto"/>
            </w:tcBorders>
            <w:shd w:val="clear" w:color="auto" w:fill="0070C0"/>
            <w:noWrap/>
            <w:vAlign w:val="center"/>
            <w:hideMark/>
          </w:tcPr>
          <w:p w:rsidR="00D538E2" w:rsidRPr="00A71697" w:rsidRDefault="00D538E2" w:rsidP="003A596A">
            <w:pPr>
              <w:jc w:val="center"/>
              <w:rPr>
                <w:rFonts w:ascii="Arial" w:hAnsi="Arial" w:cs="Arial"/>
                <w:b/>
                <w:bCs/>
                <w:color w:val="FFFFFF" w:themeColor="background1"/>
                <w:sz w:val="20"/>
                <w:szCs w:val="20"/>
                <w:lang w:eastAsia="fr-FR"/>
              </w:rPr>
            </w:pPr>
            <w:r w:rsidRPr="00A71697">
              <w:rPr>
                <w:rFonts w:ascii="Arial" w:hAnsi="Arial" w:cs="Arial"/>
                <w:b/>
                <w:bCs/>
                <w:color w:val="FFFFFF" w:themeColor="background1"/>
                <w:sz w:val="20"/>
                <w:szCs w:val="20"/>
                <w:lang w:eastAsia="fr-FR"/>
              </w:rPr>
              <w:t>Comptes spéciaux CC</w:t>
            </w:r>
          </w:p>
        </w:tc>
        <w:tc>
          <w:tcPr>
            <w:tcW w:w="1031" w:type="pct"/>
            <w:tcBorders>
              <w:top w:val="single" w:sz="8" w:space="0" w:color="auto"/>
              <w:left w:val="nil"/>
              <w:bottom w:val="nil"/>
              <w:right w:val="single" w:sz="8" w:space="0" w:color="auto"/>
            </w:tcBorders>
            <w:shd w:val="clear" w:color="auto" w:fill="0070C0"/>
            <w:noWrap/>
            <w:vAlign w:val="center"/>
            <w:hideMark/>
          </w:tcPr>
          <w:p w:rsidR="00D538E2" w:rsidRPr="00A71697" w:rsidRDefault="00D538E2" w:rsidP="003A596A">
            <w:pPr>
              <w:jc w:val="center"/>
              <w:rPr>
                <w:rFonts w:ascii="Arial" w:hAnsi="Arial" w:cs="Arial"/>
                <w:b/>
                <w:bCs/>
                <w:color w:val="FFFFFF" w:themeColor="background1"/>
                <w:sz w:val="20"/>
                <w:szCs w:val="20"/>
                <w:lang w:eastAsia="fr-FR"/>
              </w:rPr>
            </w:pPr>
            <w:r w:rsidRPr="00A71697">
              <w:rPr>
                <w:rFonts w:ascii="Arial" w:hAnsi="Arial" w:cs="Arial"/>
                <w:b/>
                <w:bCs/>
                <w:color w:val="FFFFFF" w:themeColor="background1"/>
                <w:sz w:val="20"/>
                <w:szCs w:val="20"/>
                <w:lang w:eastAsia="fr-FR"/>
              </w:rPr>
              <w:t>Prévisions</w:t>
            </w:r>
          </w:p>
          <w:p w:rsidR="00D538E2" w:rsidRPr="00A71697" w:rsidRDefault="00D538E2" w:rsidP="003A596A">
            <w:pPr>
              <w:jc w:val="center"/>
              <w:rPr>
                <w:rFonts w:ascii="Arial" w:hAnsi="Arial" w:cs="Arial"/>
                <w:b/>
                <w:bCs/>
                <w:color w:val="FFFFFF" w:themeColor="background1"/>
                <w:sz w:val="20"/>
                <w:szCs w:val="20"/>
                <w:lang w:eastAsia="fr-FR"/>
              </w:rPr>
            </w:pPr>
            <w:r w:rsidRPr="00A71697">
              <w:rPr>
                <w:rFonts w:ascii="Arial" w:hAnsi="Arial" w:cs="Arial"/>
                <w:b/>
                <w:bCs/>
                <w:color w:val="FFFFFF" w:themeColor="background1"/>
                <w:sz w:val="20"/>
                <w:szCs w:val="20"/>
                <w:lang w:eastAsia="fr-FR"/>
              </w:rPr>
              <w:t>Budgétaires</w:t>
            </w:r>
          </w:p>
        </w:tc>
        <w:tc>
          <w:tcPr>
            <w:tcW w:w="1031" w:type="pct"/>
            <w:tcBorders>
              <w:top w:val="single" w:sz="8" w:space="0" w:color="auto"/>
              <w:left w:val="nil"/>
              <w:bottom w:val="nil"/>
              <w:right w:val="single" w:sz="8" w:space="0" w:color="auto"/>
            </w:tcBorders>
            <w:shd w:val="clear" w:color="auto" w:fill="0070C0"/>
          </w:tcPr>
          <w:p w:rsidR="00D538E2" w:rsidRDefault="00D538E2" w:rsidP="003A596A">
            <w:pPr>
              <w:jc w:val="center"/>
              <w:rPr>
                <w:rFonts w:ascii="Arial" w:hAnsi="Arial" w:cs="Arial"/>
                <w:b/>
                <w:bCs/>
                <w:color w:val="FFFFFF" w:themeColor="background1"/>
                <w:sz w:val="20"/>
                <w:szCs w:val="20"/>
                <w:lang w:eastAsia="fr-FR"/>
              </w:rPr>
            </w:pPr>
            <w:r>
              <w:rPr>
                <w:rFonts w:ascii="Arial" w:hAnsi="Arial" w:cs="Arial"/>
                <w:b/>
                <w:bCs/>
                <w:color w:val="FFFFFF" w:themeColor="background1"/>
                <w:sz w:val="20"/>
                <w:szCs w:val="20"/>
                <w:lang w:eastAsia="fr-FR"/>
              </w:rPr>
              <w:t>Réalisations</w:t>
            </w:r>
          </w:p>
          <w:p w:rsidR="00D538E2" w:rsidRPr="00A71697" w:rsidRDefault="00D538E2" w:rsidP="003A596A">
            <w:pPr>
              <w:jc w:val="center"/>
              <w:rPr>
                <w:rFonts w:ascii="Arial" w:hAnsi="Arial" w:cs="Arial"/>
                <w:b/>
                <w:bCs/>
                <w:color w:val="FFFFFF" w:themeColor="background1"/>
                <w:sz w:val="20"/>
                <w:szCs w:val="20"/>
                <w:lang w:eastAsia="fr-FR"/>
              </w:rPr>
            </w:pPr>
            <w:r>
              <w:rPr>
                <w:rFonts w:ascii="Arial" w:hAnsi="Arial" w:cs="Arial"/>
                <w:b/>
                <w:bCs/>
                <w:color w:val="FFFFFF" w:themeColor="background1"/>
                <w:sz w:val="20"/>
                <w:szCs w:val="20"/>
                <w:lang w:eastAsia="fr-FR"/>
              </w:rPr>
              <w:t>2014</w:t>
            </w:r>
          </w:p>
        </w:tc>
      </w:tr>
      <w:tr w:rsidR="00D538E2" w:rsidRPr="00A71697" w:rsidTr="00F53182">
        <w:trPr>
          <w:trHeight w:val="270"/>
          <w:jc w:val="center"/>
        </w:trPr>
        <w:tc>
          <w:tcPr>
            <w:tcW w:w="2938" w:type="pct"/>
            <w:tcBorders>
              <w:top w:val="nil"/>
              <w:left w:val="single" w:sz="8" w:space="0" w:color="auto"/>
              <w:bottom w:val="single" w:sz="8" w:space="0" w:color="auto"/>
              <w:right w:val="single" w:sz="8" w:space="0" w:color="auto"/>
            </w:tcBorders>
            <w:shd w:val="clear" w:color="auto" w:fill="0070C0"/>
            <w:noWrap/>
            <w:vAlign w:val="center"/>
            <w:hideMark/>
          </w:tcPr>
          <w:p w:rsidR="00D538E2" w:rsidRPr="00A71697" w:rsidRDefault="00D538E2" w:rsidP="003A596A">
            <w:pPr>
              <w:jc w:val="center"/>
              <w:rPr>
                <w:rFonts w:ascii="Arial" w:hAnsi="Arial" w:cs="Arial"/>
                <w:b/>
                <w:bCs/>
                <w:color w:val="FFFFFF" w:themeColor="background1"/>
                <w:sz w:val="20"/>
                <w:szCs w:val="20"/>
                <w:lang w:eastAsia="fr-FR"/>
              </w:rPr>
            </w:pPr>
            <w:r w:rsidRPr="00A71697">
              <w:rPr>
                <w:rFonts w:ascii="Arial" w:hAnsi="Arial" w:cs="Arial"/>
                <w:b/>
                <w:bCs/>
                <w:color w:val="FFFFFF" w:themeColor="background1"/>
                <w:sz w:val="20"/>
                <w:szCs w:val="20"/>
                <w:lang w:eastAsia="fr-FR"/>
              </w:rPr>
              <w:t>En Dirhams</w:t>
            </w:r>
          </w:p>
        </w:tc>
        <w:tc>
          <w:tcPr>
            <w:tcW w:w="1031" w:type="pct"/>
            <w:tcBorders>
              <w:top w:val="nil"/>
              <w:left w:val="nil"/>
              <w:bottom w:val="single" w:sz="8" w:space="0" w:color="auto"/>
              <w:right w:val="single" w:sz="8" w:space="0" w:color="auto"/>
            </w:tcBorders>
            <w:shd w:val="clear" w:color="auto" w:fill="0070C0"/>
            <w:noWrap/>
            <w:vAlign w:val="center"/>
            <w:hideMark/>
          </w:tcPr>
          <w:p w:rsidR="00D538E2" w:rsidRPr="00A71697" w:rsidRDefault="00D538E2" w:rsidP="003A596A">
            <w:pPr>
              <w:jc w:val="center"/>
              <w:rPr>
                <w:rFonts w:ascii="Arial" w:hAnsi="Arial" w:cs="Arial"/>
                <w:b/>
                <w:bCs/>
                <w:color w:val="FFFFFF" w:themeColor="background1"/>
                <w:sz w:val="20"/>
                <w:szCs w:val="20"/>
                <w:lang w:eastAsia="fr-FR"/>
              </w:rPr>
            </w:pPr>
            <w:r w:rsidRPr="00A71697">
              <w:rPr>
                <w:rFonts w:ascii="Arial" w:hAnsi="Arial" w:cs="Arial"/>
                <w:b/>
                <w:bCs/>
                <w:color w:val="FFFFFF" w:themeColor="background1"/>
                <w:sz w:val="20"/>
                <w:szCs w:val="20"/>
                <w:lang w:eastAsia="fr-FR"/>
              </w:rPr>
              <w:t>2014</w:t>
            </w:r>
          </w:p>
        </w:tc>
        <w:tc>
          <w:tcPr>
            <w:tcW w:w="1031" w:type="pct"/>
            <w:tcBorders>
              <w:top w:val="nil"/>
              <w:left w:val="nil"/>
              <w:bottom w:val="single" w:sz="8" w:space="0" w:color="auto"/>
              <w:right w:val="single" w:sz="8" w:space="0" w:color="auto"/>
            </w:tcBorders>
            <w:shd w:val="clear" w:color="auto" w:fill="0070C0"/>
          </w:tcPr>
          <w:p w:rsidR="00D538E2" w:rsidRPr="00A71697" w:rsidRDefault="00D538E2" w:rsidP="003A596A">
            <w:pPr>
              <w:jc w:val="center"/>
              <w:rPr>
                <w:rFonts w:ascii="Arial" w:hAnsi="Arial" w:cs="Arial"/>
                <w:b/>
                <w:bCs/>
                <w:color w:val="FFFFFF" w:themeColor="background1"/>
                <w:sz w:val="20"/>
                <w:szCs w:val="20"/>
                <w:lang w:eastAsia="fr-FR"/>
              </w:rPr>
            </w:pPr>
          </w:p>
        </w:tc>
      </w:tr>
      <w:tr w:rsidR="00D538E2" w:rsidRPr="00A71697" w:rsidTr="00F53182">
        <w:trPr>
          <w:trHeight w:val="493"/>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jc w:val="center"/>
              <w:rPr>
                <w:rFonts w:ascii="Arial" w:hAnsi="Arial" w:cs="Arial"/>
                <w:b/>
                <w:bCs/>
                <w:sz w:val="20"/>
                <w:szCs w:val="20"/>
                <w:u w:val="single"/>
                <w:lang w:eastAsia="fr-FR"/>
              </w:rPr>
            </w:pPr>
            <w:r w:rsidRPr="00A71697">
              <w:rPr>
                <w:rFonts w:ascii="Arial" w:hAnsi="Arial" w:cs="Arial"/>
                <w:b/>
                <w:bCs/>
                <w:sz w:val="20"/>
                <w:szCs w:val="20"/>
                <w:u w:val="single"/>
                <w:lang w:eastAsia="fr-FR"/>
              </w:rPr>
              <w:t>Comptes d'Affectation Spéciale</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b/>
                <w:bCs/>
                <w:sz w:val="20"/>
                <w:szCs w:val="20"/>
                <w:lang w:eastAsia="fr-FR"/>
              </w:rPr>
            </w:pPr>
            <w:r w:rsidRPr="00A71697">
              <w:rPr>
                <w:rFonts w:ascii="Arial" w:hAnsi="Arial" w:cs="Arial"/>
                <w:b/>
                <w:bCs/>
                <w:sz w:val="20"/>
                <w:szCs w:val="20"/>
                <w:lang w:eastAsia="fr-FR"/>
              </w:rPr>
              <w:t>1 380 168 056,00 </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b/>
                <w:bCs/>
                <w:sz w:val="20"/>
                <w:szCs w:val="20"/>
                <w:lang w:eastAsia="fr-FR"/>
              </w:rPr>
            </w:pPr>
            <w:r>
              <w:rPr>
                <w:rFonts w:ascii="Arial" w:hAnsi="Arial" w:cs="Arial"/>
                <w:b/>
                <w:bCs/>
                <w:sz w:val="20"/>
                <w:szCs w:val="20"/>
                <w:lang w:eastAsia="fr-FR"/>
              </w:rPr>
              <w:t>4 471 389</w:t>
            </w:r>
          </w:p>
        </w:tc>
      </w:tr>
      <w:tr w:rsidR="00D538E2" w:rsidRPr="00A71697" w:rsidTr="00F53182">
        <w:trPr>
          <w:trHeight w:val="475"/>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Compte Spécial N°4 B</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560 900 534,00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w:t>
            </w:r>
          </w:p>
        </w:tc>
      </w:tr>
      <w:tr w:rsidR="00D538E2" w:rsidRPr="00A71697" w:rsidTr="00F53182">
        <w:trPr>
          <w:trHeight w:val="43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Compte de l'Initiative .Locale .Développement .Humain.</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 xml:space="preserve"> 225 432 064,00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w:t>
            </w:r>
          </w:p>
        </w:tc>
      </w:tr>
      <w:tr w:rsidR="00D538E2" w:rsidRPr="00A71697" w:rsidTr="00F53182">
        <w:trPr>
          <w:trHeight w:val="52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Projet d’habitation Sociale Essaada El Oulfa</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238 326 004,00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318 795</w:t>
            </w:r>
          </w:p>
        </w:tc>
      </w:tr>
      <w:tr w:rsidR="00D538E2" w:rsidRPr="00A71697" w:rsidTr="00F53182">
        <w:trPr>
          <w:trHeight w:val="43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Autres Comptes d’affectation Spéciales (18 comptes)</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355</w:t>
            </w:r>
            <w:r>
              <w:rPr>
                <w:rFonts w:ascii="Arial" w:hAnsi="Arial" w:cs="Arial"/>
                <w:sz w:val="20"/>
                <w:szCs w:val="20"/>
                <w:lang w:eastAsia="fr-FR"/>
              </w:rPr>
              <w:t xml:space="preserve"> </w:t>
            </w:r>
            <w:r w:rsidRPr="00A71697">
              <w:rPr>
                <w:rFonts w:ascii="Arial" w:hAnsi="Arial" w:cs="Arial"/>
                <w:sz w:val="20"/>
                <w:szCs w:val="20"/>
                <w:lang w:eastAsia="fr-FR"/>
              </w:rPr>
              <w:t>509 455,00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4 152 594</w:t>
            </w:r>
          </w:p>
        </w:tc>
      </w:tr>
      <w:tr w:rsidR="00D538E2" w:rsidRPr="00A71697" w:rsidTr="00F53182">
        <w:trPr>
          <w:trHeight w:val="43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jc w:val="center"/>
              <w:rPr>
                <w:rFonts w:ascii="Arial" w:hAnsi="Arial" w:cs="Arial"/>
                <w:b/>
                <w:bCs/>
                <w:sz w:val="20"/>
                <w:szCs w:val="20"/>
                <w:u w:val="single"/>
                <w:lang w:eastAsia="fr-FR"/>
              </w:rPr>
            </w:pPr>
            <w:r w:rsidRPr="00A71697">
              <w:rPr>
                <w:rFonts w:ascii="Arial" w:hAnsi="Arial" w:cs="Arial"/>
                <w:b/>
                <w:bCs/>
                <w:sz w:val="20"/>
                <w:szCs w:val="20"/>
                <w:u w:val="single"/>
                <w:lang w:eastAsia="fr-FR"/>
              </w:rPr>
              <w:t>Comptes de Dépenses sur Dotation</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b/>
                <w:bCs/>
                <w:sz w:val="20"/>
                <w:szCs w:val="20"/>
                <w:lang w:eastAsia="fr-FR"/>
              </w:rPr>
            </w:pPr>
            <w:r w:rsidRPr="00A71697">
              <w:rPr>
                <w:rFonts w:ascii="Arial" w:hAnsi="Arial" w:cs="Arial"/>
                <w:b/>
                <w:bCs/>
                <w:sz w:val="20"/>
                <w:szCs w:val="20"/>
                <w:lang w:eastAsia="fr-FR"/>
              </w:rPr>
              <w:t>430 620 000,00 </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b/>
                <w:bCs/>
                <w:sz w:val="20"/>
                <w:szCs w:val="20"/>
                <w:lang w:eastAsia="fr-FR"/>
              </w:rPr>
            </w:pPr>
            <w:r>
              <w:rPr>
                <w:rFonts w:ascii="Arial" w:hAnsi="Arial" w:cs="Arial"/>
                <w:b/>
                <w:bCs/>
                <w:sz w:val="20"/>
                <w:szCs w:val="20"/>
                <w:lang w:eastAsia="fr-FR"/>
              </w:rPr>
              <w:t>430 620 000</w:t>
            </w:r>
          </w:p>
        </w:tc>
      </w:tr>
      <w:tr w:rsidR="00D538E2" w:rsidRPr="00A71697" w:rsidTr="00F53182">
        <w:trPr>
          <w:trHeight w:val="43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Compte éclairage public/consommation</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160 000 000,00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160 000 000</w:t>
            </w:r>
          </w:p>
        </w:tc>
      </w:tr>
      <w:tr w:rsidR="00D538E2" w:rsidRPr="00A71697" w:rsidTr="00F53182">
        <w:trPr>
          <w:trHeight w:val="34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Compte points d'eau publics/consommation</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40 000 000,00</w:t>
            </w:r>
          </w:p>
        </w:tc>
        <w:tc>
          <w:tcPr>
            <w:tcW w:w="1031" w:type="pct"/>
            <w:tcBorders>
              <w:top w:val="single" w:sz="8" w:space="0" w:color="auto"/>
              <w:left w:val="nil"/>
              <w:bottom w:val="single" w:sz="8" w:space="0" w:color="auto"/>
              <w:right w:val="single" w:sz="8" w:space="0" w:color="auto"/>
            </w:tcBorders>
          </w:tcPr>
          <w:p w:rsidR="00D538E2" w:rsidRPr="00A71697" w:rsidRDefault="00D538E2" w:rsidP="003A596A">
            <w:pPr>
              <w:jc w:val="right"/>
              <w:rPr>
                <w:rFonts w:ascii="Arial" w:hAnsi="Arial" w:cs="Arial"/>
                <w:sz w:val="20"/>
                <w:szCs w:val="20"/>
                <w:lang w:eastAsia="fr-FR"/>
              </w:rPr>
            </w:pPr>
            <w:r>
              <w:rPr>
                <w:rFonts w:ascii="Arial" w:hAnsi="Arial" w:cs="Arial"/>
                <w:sz w:val="20"/>
                <w:szCs w:val="20"/>
                <w:lang w:eastAsia="fr-FR"/>
              </w:rPr>
              <w:t>40 000 000</w:t>
            </w:r>
          </w:p>
        </w:tc>
      </w:tr>
      <w:tr w:rsidR="00D538E2" w:rsidRPr="00A71697" w:rsidTr="00F53182">
        <w:trPr>
          <w:trHeight w:val="520"/>
          <w:jc w:val="center"/>
        </w:trPr>
        <w:tc>
          <w:tcPr>
            <w:tcW w:w="29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8E2" w:rsidRPr="00A71697" w:rsidRDefault="00D538E2" w:rsidP="003A596A">
            <w:pPr>
              <w:rPr>
                <w:rFonts w:ascii="Arial" w:hAnsi="Arial" w:cs="Arial"/>
                <w:sz w:val="20"/>
                <w:szCs w:val="20"/>
                <w:u w:val="single"/>
                <w:lang w:eastAsia="fr-FR"/>
              </w:rPr>
            </w:pPr>
            <w:r w:rsidRPr="00A71697">
              <w:rPr>
                <w:rFonts w:ascii="Arial" w:hAnsi="Arial" w:cs="Arial"/>
                <w:sz w:val="20"/>
                <w:szCs w:val="20"/>
                <w:u w:val="single"/>
                <w:lang w:eastAsia="fr-FR"/>
              </w:rPr>
              <w:t>Versement aux CDD des Arrondissements</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rsidR="00D538E2" w:rsidRPr="00A71697" w:rsidRDefault="00D538E2" w:rsidP="003A596A">
            <w:pPr>
              <w:jc w:val="right"/>
              <w:rPr>
                <w:rFonts w:ascii="Arial" w:hAnsi="Arial" w:cs="Arial"/>
                <w:sz w:val="20"/>
                <w:szCs w:val="20"/>
                <w:lang w:eastAsia="fr-FR"/>
              </w:rPr>
            </w:pPr>
            <w:r w:rsidRPr="00A71697">
              <w:rPr>
                <w:rFonts w:ascii="Arial" w:hAnsi="Arial" w:cs="Arial"/>
                <w:sz w:val="20"/>
                <w:szCs w:val="20"/>
                <w:lang w:eastAsia="fr-FR"/>
              </w:rPr>
              <w:t>118 620 000,00</w:t>
            </w:r>
          </w:p>
        </w:tc>
        <w:tc>
          <w:tcPr>
            <w:tcW w:w="1031" w:type="pct"/>
            <w:tcBorders>
              <w:top w:val="single" w:sz="8" w:space="0" w:color="auto"/>
              <w:left w:val="nil"/>
              <w:bottom w:val="single" w:sz="8" w:space="0" w:color="auto"/>
              <w:right w:val="single" w:sz="8" w:space="0" w:color="auto"/>
            </w:tcBorders>
          </w:tcPr>
          <w:p w:rsidR="00D538E2" w:rsidRPr="00A71697" w:rsidRDefault="00CE32D0" w:rsidP="003A596A">
            <w:pPr>
              <w:jc w:val="right"/>
              <w:rPr>
                <w:rFonts w:ascii="Arial" w:hAnsi="Arial" w:cs="Arial"/>
                <w:sz w:val="20"/>
                <w:szCs w:val="20"/>
                <w:lang w:eastAsia="fr-FR"/>
              </w:rPr>
            </w:pPr>
            <w:r>
              <w:rPr>
                <w:rFonts w:ascii="Arial" w:hAnsi="Arial" w:cs="Arial"/>
                <w:sz w:val="20"/>
                <w:szCs w:val="20"/>
                <w:lang w:eastAsia="fr-FR"/>
              </w:rPr>
              <w:t>230</w:t>
            </w:r>
            <w:r w:rsidR="00D538E2">
              <w:rPr>
                <w:rFonts w:ascii="Arial" w:hAnsi="Arial" w:cs="Arial"/>
                <w:sz w:val="20"/>
                <w:szCs w:val="20"/>
                <w:lang w:eastAsia="fr-FR"/>
              </w:rPr>
              <w:t> 620 000</w:t>
            </w:r>
          </w:p>
        </w:tc>
      </w:tr>
      <w:tr w:rsidR="00D538E2" w:rsidRPr="00A71697" w:rsidTr="00F53182">
        <w:trPr>
          <w:trHeight w:val="250"/>
          <w:jc w:val="center"/>
        </w:trPr>
        <w:tc>
          <w:tcPr>
            <w:tcW w:w="29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538E2" w:rsidRPr="00A71697" w:rsidRDefault="00D538E2" w:rsidP="003A596A">
            <w:pPr>
              <w:rPr>
                <w:rFonts w:ascii="Arial" w:hAnsi="Arial" w:cs="Arial"/>
                <w:b/>
                <w:bCs/>
                <w:sz w:val="20"/>
                <w:szCs w:val="20"/>
                <w:lang w:eastAsia="fr-FR"/>
              </w:rPr>
            </w:pPr>
            <w:r w:rsidRPr="00A71697">
              <w:rPr>
                <w:rFonts w:ascii="Arial" w:hAnsi="Arial" w:cs="Arial"/>
                <w:b/>
                <w:bCs/>
                <w:sz w:val="20"/>
                <w:szCs w:val="20"/>
                <w:lang w:eastAsia="fr-FR"/>
              </w:rPr>
              <w:t>Total :</w:t>
            </w:r>
          </w:p>
        </w:tc>
        <w:tc>
          <w:tcPr>
            <w:tcW w:w="1031" w:type="pct"/>
            <w:tcBorders>
              <w:top w:val="single" w:sz="8" w:space="0" w:color="auto"/>
              <w:left w:val="nil"/>
              <w:bottom w:val="single" w:sz="8" w:space="0" w:color="auto"/>
              <w:right w:val="single" w:sz="8" w:space="0" w:color="auto"/>
            </w:tcBorders>
            <w:shd w:val="clear" w:color="000000" w:fill="C0C0C0"/>
            <w:noWrap/>
            <w:vAlign w:val="bottom"/>
            <w:hideMark/>
          </w:tcPr>
          <w:p w:rsidR="00D538E2" w:rsidRPr="00A71697" w:rsidRDefault="00D538E2" w:rsidP="003A596A">
            <w:pPr>
              <w:jc w:val="right"/>
              <w:rPr>
                <w:rFonts w:ascii="Arial" w:hAnsi="Arial" w:cs="Arial"/>
                <w:b/>
                <w:bCs/>
                <w:sz w:val="20"/>
                <w:szCs w:val="20"/>
                <w:lang w:eastAsia="fr-FR"/>
              </w:rPr>
            </w:pPr>
            <w:r w:rsidRPr="00A71697">
              <w:rPr>
                <w:rFonts w:ascii="Arial" w:hAnsi="Arial" w:cs="Arial"/>
                <w:b/>
                <w:bCs/>
                <w:sz w:val="20"/>
                <w:szCs w:val="20"/>
                <w:lang w:eastAsia="fr-FR"/>
              </w:rPr>
              <w:t xml:space="preserve"> 1 698 788 056,00</w:t>
            </w:r>
          </w:p>
        </w:tc>
        <w:tc>
          <w:tcPr>
            <w:tcW w:w="1031" w:type="pct"/>
            <w:tcBorders>
              <w:top w:val="single" w:sz="8" w:space="0" w:color="auto"/>
              <w:left w:val="nil"/>
              <w:bottom w:val="single" w:sz="8" w:space="0" w:color="auto"/>
              <w:right w:val="single" w:sz="8" w:space="0" w:color="auto"/>
            </w:tcBorders>
            <w:shd w:val="clear" w:color="000000" w:fill="C0C0C0"/>
          </w:tcPr>
          <w:p w:rsidR="00D538E2" w:rsidRPr="00A71697" w:rsidRDefault="00CE32D0" w:rsidP="003A596A">
            <w:pPr>
              <w:jc w:val="right"/>
              <w:rPr>
                <w:rFonts w:ascii="Arial" w:hAnsi="Arial" w:cs="Arial"/>
                <w:b/>
                <w:bCs/>
                <w:sz w:val="20"/>
                <w:szCs w:val="20"/>
                <w:lang w:eastAsia="fr-FR"/>
              </w:rPr>
            </w:pPr>
            <w:r>
              <w:rPr>
                <w:rFonts w:ascii="Arial" w:hAnsi="Arial" w:cs="Arial"/>
                <w:b/>
                <w:bCs/>
                <w:sz w:val="20"/>
                <w:szCs w:val="20"/>
                <w:lang w:eastAsia="fr-FR"/>
              </w:rPr>
              <w:t>547</w:t>
            </w:r>
            <w:r w:rsidR="00D538E2">
              <w:rPr>
                <w:rFonts w:ascii="Arial" w:hAnsi="Arial" w:cs="Arial"/>
                <w:b/>
                <w:bCs/>
                <w:sz w:val="20"/>
                <w:szCs w:val="20"/>
                <w:lang w:eastAsia="fr-FR"/>
              </w:rPr>
              <w:t xml:space="preserve"> 091 389 </w:t>
            </w:r>
          </w:p>
        </w:tc>
      </w:tr>
    </w:tbl>
    <w:p w:rsidR="00E261C9" w:rsidRPr="00E261C9" w:rsidRDefault="00E261C9" w:rsidP="00E261C9">
      <w:pPr>
        <w:pStyle w:val="Comp"/>
        <w:numPr>
          <w:ilvl w:val="0"/>
          <w:numId w:val="0"/>
        </w:numPr>
        <w:rPr>
          <w:rFonts w:ascii="Arial" w:hAnsi="Arial" w:cs="Arial"/>
          <w:b w:val="0"/>
          <w:i w:val="0"/>
          <w:szCs w:val="24"/>
        </w:rPr>
      </w:pPr>
      <w:bookmarkStart w:id="151" w:name="_Toc434916117"/>
      <w:bookmarkStart w:id="152" w:name="_Toc434918331"/>
      <w:bookmarkStart w:id="153" w:name="_Toc428200800"/>
      <w:r>
        <w:rPr>
          <w:rFonts w:ascii="Arial" w:hAnsi="Arial" w:cs="Arial"/>
          <w:b w:val="0"/>
          <w:i w:val="0"/>
          <w:szCs w:val="24"/>
        </w:rPr>
        <w:t>Les données et informations considérées pour l’évaluation de cet indicateur sont celles du budget 2014 qui est le dernier exercice budgétaire clôturé.</w:t>
      </w:r>
      <w:bookmarkEnd w:id="151"/>
      <w:bookmarkEnd w:id="152"/>
    </w:p>
    <w:p w:rsidR="003A596A" w:rsidRPr="004B57C3" w:rsidRDefault="003A596A" w:rsidP="003A596A">
      <w:pPr>
        <w:pStyle w:val="Comp"/>
        <w:numPr>
          <w:ilvl w:val="0"/>
          <w:numId w:val="95"/>
        </w:numPr>
        <w:rPr>
          <w:rFonts w:ascii="Arial" w:hAnsi="Arial" w:cs="Arial"/>
          <w:b w:val="0"/>
          <w:color w:val="0070C0"/>
        </w:rPr>
      </w:pPr>
      <w:bookmarkStart w:id="154" w:name="_Toc434916118"/>
      <w:bookmarkStart w:id="155" w:name="_Toc434918332"/>
      <w:r w:rsidRPr="004B57C3">
        <w:rPr>
          <w:rFonts w:ascii="Arial" w:hAnsi="Arial" w:cs="Arial"/>
          <w:b w:val="0"/>
          <w:color w:val="0070C0"/>
        </w:rPr>
        <w:t>Niveau des opérations extrabudgétaires (recettes et dépenses) (provenant du tableau 6) qui ne sont pas rapportées, c’est-à-dire qui ne sont pas incluses dans les rapports budgétaires a priori et a posteriori.</w:t>
      </w:r>
      <w:bookmarkEnd w:id="153"/>
      <w:bookmarkEnd w:id="154"/>
      <w:bookmarkEnd w:id="155"/>
    </w:p>
    <w:p w:rsidR="003A596A" w:rsidRDefault="00E261C9" w:rsidP="004F0354">
      <w:pPr>
        <w:jc w:val="center"/>
        <w:rPr>
          <w:rFonts w:ascii="Arial Narrow" w:hAnsi="Arial Narrow" w:cs="Arial"/>
          <w:b/>
          <w:color w:val="000000"/>
          <w:sz w:val="20"/>
          <w:szCs w:val="20"/>
        </w:rPr>
      </w:pPr>
      <w:r w:rsidRPr="00E67B20">
        <w:rPr>
          <w:rFonts w:ascii="Arial Narrow" w:hAnsi="Arial Narrow" w:cs="Arial"/>
          <w:b/>
          <w:color w:val="000000"/>
          <w:sz w:val="20"/>
          <w:szCs w:val="20"/>
        </w:rPr>
        <w:t xml:space="preserve">TABLEAU </w:t>
      </w:r>
      <w:r w:rsidR="00E67B20" w:rsidRPr="00E67B20">
        <w:rPr>
          <w:rFonts w:ascii="Arial Narrow" w:hAnsi="Arial Narrow" w:cs="Arial"/>
          <w:b/>
          <w:color w:val="000000"/>
          <w:sz w:val="20"/>
          <w:szCs w:val="20"/>
        </w:rPr>
        <w:t>3.12</w:t>
      </w:r>
      <w:r w:rsidR="003A596A" w:rsidRPr="00E67B20">
        <w:rPr>
          <w:rFonts w:ascii="Arial Narrow" w:hAnsi="Arial Narrow" w:cs="Arial"/>
          <w:b/>
          <w:color w:val="000000"/>
          <w:sz w:val="20"/>
          <w:szCs w:val="20"/>
        </w:rPr>
        <w:t>: Ventilation des opérations extrabudgétaires recensées</w:t>
      </w:r>
    </w:p>
    <w:p w:rsidR="00A71697" w:rsidRPr="00E67B20" w:rsidRDefault="00A71697" w:rsidP="00A71697">
      <w:pPr>
        <w:rPr>
          <w:rFonts w:ascii="Arial Narrow" w:hAnsi="Arial Narrow" w:cs="Arial"/>
          <w:b/>
          <w:color w:val="000000"/>
          <w:sz w:val="20"/>
          <w:szCs w:val="20"/>
        </w:rPr>
      </w:pPr>
    </w:p>
    <w:tbl>
      <w:tblPr>
        <w:tblW w:w="9060" w:type="dxa"/>
        <w:tblInd w:w="18" w:type="dxa"/>
        <w:tblLayout w:type="fixed"/>
        <w:tblCellMar>
          <w:left w:w="0" w:type="dxa"/>
          <w:right w:w="0" w:type="dxa"/>
        </w:tblCellMar>
        <w:tblLook w:val="04A0" w:firstRow="1" w:lastRow="0" w:firstColumn="1" w:lastColumn="0" w:noHBand="0" w:noVBand="1"/>
      </w:tblPr>
      <w:tblGrid>
        <w:gridCol w:w="307"/>
        <w:gridCol w:w="2201"/>
        <w:gridCol w:w="1796"/>
        <w:gridCol w:w="2524"/>
        <w:gridCol w:w="2232"/>
      </w:tblGrid>
      <w:tr w:rsidR="003A596A" w:rsidRPr="003D3FEA" w:rsidTr="004F0354">
        <w:trPr>
          <w:trHeight w:hRule="exact" w:val="687"/>
        </w:trPr>
        <w:tc>
          <w:tcPr>
            <w:tcW w:w="2508" w:type="dxa"/>
            <w:gridSpan w:val="2"/>
            <w:tcBorders>
              <w:top w:val="single" w:sz="6" w:space="0" w:color="000000"/>
              <w:left w:val="single" w:sz="6" w:space="0" w:color="000000"/>
              <w:bottom w:val="single" w:sz="6" w:space="0" w:color="000000"/>
              <w:right w:val="single" w:sz="6" w:space="0" w:color="000000"/>
            </w:tcBorders>
            <w:shd w:val="clear" w:color="auto" w:fill="0070C0"/>
          </w:tcPr>
          <w:p w:rsidR="003A596A" w:rsidRPr="004F0354" w:rsidRDefault="003A596A" w:rsidP="004F0354">
            <w:pPr>
              <w:tabs>
                <w:tab w:val="right" w:pos="2496"/>
              </w:tabs>
              <w:spacing w:after="914" w:line="230" w:lineRule="exact"/>
              <w:ind w:left="110"/>
              <w:textAlignment w:val="baseline"/>
              <w:rPr>
                <w:rFonts w:ascii="Arial" w:hAnsi="Arial" w:cs="Arial"/>
                <w:b/>
                <w:color w:val="FFFFFF" w:themeColor="background1"/>
                <w:sz w:val="20"/>
                <w:szCs w:val="20"/>
              </w:rPr>
            </w:pPr>
            <w:r w:rsidRPr="004F0354">
              <w:rPr>
                <w:rFonts w:ascii="Arial" w:hAnsi="Arial" w:cs="Arial"/>
                <w:b/>
                <w:color w:val="FFFFFF" w:themeColor="background1"/>
                <w:sz w:val="20"/>
                <w:szCs w:val="20"/>
              </w:rPr>
              <w:t>Nature des OEB</w:t>
            </w:r>
            <w:r w:rsidR="004F0354" w:rsidRPr="004F0354">
              <w:rPr>
                <w:rFonts w:ascii="Arial" w:hAnsi="Arial" w:cs="Arial"/>
                <w:b/>
                <w:color w:val="FFFFFF" w:themeColor="background1"/>
                <w:sz w:val="20"/>
                <w:szCs w:val="20"/>
              </w:rPr>
              <w:tab/>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0070C0"/>
          </w:tcPr>
          <w:p w:rsidR="003A596A" w:rsidRPr="004F0354" w:rsidRDefault="003A596A" w:rsidP="00A71697">
            <w:pPr>
              <w:spacing w:line="230" w:lineRule="exact"/>
              <w:ind w:left="144"/>
              <w:textAlignment w:val="baseline"/>
              <w:rPr>
                <w:rFonts w:ascii="Arial" w:hAnsi="Arial" w:cs="Arial"/>
                <w:b/>
                <w:color w:val="FFFFFF" w:themeColor="background1"/>
                <w:sz w:val="20"/>
                <w:szCs w:val="20"/>
              </w:rPr>
            </w:pPr>
            <w:r w:rsidRPr="004F0354">
              <w:rPr>
                <w:rFonts w:ascii="Arial" w:hAnsi="Arial" w:cs="Arial"/>
                <w:b/>
                <w:color w:val="FFFFFF" w:themeColor="background1"/>
                <w:sz w:val="20"/>
                <w:szCs w:val="20"/>
              </w:rPr>
              <w:t xml:space="preserve">Montant/fourchette estimé des OEB (en </w:t>
            </w:r>
            <w:r w:rsidR="00A71697" w:rsidRPr="004F0354">
              <w:rPr>
                <w:rFonts w:ascii="Arial" w:hAnsi="Arial" w:cs="Arial"/>
                <w:b/>
                <w:color w:val="FFFFFF" w:themeColor="background1"/>
                <w:sz w:val="20"/>
                <w:szCs w:val="20"/>
              </w:rPr>
              <w:t>p</w:t>
            </w:r>
            <w:r w:rsidRPr="004F0354">
              <w:rPr>
                <w:rFonts w:ascii="Arial" w:hAnsi="Arial" w:cs="Arial"/>
                <w:b/>
                <w:color w:val="FFFFFF" w:themeColor="background1"/>
                <w:sz w:val="20"/>
                <w:szCs w:val="20"/>
              </w:rPr>
              <w:t>ourcentage</w:t>
            </w:r>
            <w:r w:rsidR="00A71697" w:rsidRPr="004F0354">
              <w:rPr>
                <w:rFonts w:ascii="Arial" w:hAnsi="Arial" w:cs="Arial"/>
                <w:b/>
                <w:color w:val="FFFFFF" w:themeColor="background1"/>
                <w:sz w:val="20"/>
                <w:szCs w:val="20"/>
              </w:rPr>
              <w:t xml:space="preserve"> des dépenses totales</w:t>
            </w:r>
            <w:r w:rsidRPr="004F0354">
              <w:rPr>
                <w:rFonts w:ascii="Arial" w:hAnsi="Arial" w:cs="Arial"/>
                <w:b/>
                <w:color w:val="FFFFFF" w:themeColor="background1"/>
                <w:sz w:val="20"/>
                <w:szCs w:val="20"/>
              </w:rPr>
              <w:t>)</w:t>
            </w:r>
          </w:p>
        </w:tc>
        <w:tc>
          <w:tcPr>
            <w:tcW w:w="2232" w:type="dxa"/>
            <w:tcBorders>
              <w:top w:val="single" w:sz="6" w:space="0" w:color="000000"/>
              <w:left w:val="single" w:sz="6" w:space="0" w:color="000000"/>
              <w:bottom w:val="single" w:sz="6" w:space="0" w:color="000000"/>
              <w:right w:val="single" w:sz="6" w:space="0" w:color="000000"/>
            </w:tcBorders>
            <w:shd w:val="clear" w:color="auto" w:fill="0070C0"/>
          </w:tcPr>
          <w:p w:rsidR="003A596A" w:rsidRPr="004F0354" w:rsidRDefault="003A596A" w:rsidP="003A596A">
            <w:pPr>
              <w:spacing w:after="683" w:line="230" w:lineRule="exact"/>
              <w:ind w:left="108"/>
              <w:textAlignment w:val="baseline"/>
              <w:rPr>
                <w:rFonts w:ascii="Arial" w:hAnsi="Arial" w:cs="Arial"/>
                <w:b/>
                <w:color w:val="FFFFFF" w:themeColor="background1"/>
                <w:sz w:val="20"/>
                <w:szCs w:val="20"/>
              </w:rPr>
            </w:pPr>
            <w:r w:rsidRPr="004F0354">
              <w:rPr>
                <w:rFonts w:ascii="Arial" w:hAnsi="Arial" w:cs="Arial"/>
                <w:b/>
                <w:color w:val="FFFFFF" w:themeColor="background1"/>
                <w:sz w:val="20"/>
                <w:szCs w:val="20"/>
              </w:rPr>
              <w:t>Prise en compte dans les rapports budgétaires</w:t>
            </w:r>
          </w:p>
        </w:tc>
      </w:tr>
      <w:tr w:rsidR="003A596A" w:rsidRPr="003D3FEA" w:rsidTr="004F0354">
        <w:trPr>
          <w:trHeight w:hRule="exact" w:val="764"/>
        </w:trPr>
        <w:tc>
          <w:tcPr>
            <w:tcW w:w="307" w:type="dxa"/>
            <w:tcBorders>
              <w:top w:val="single" w:sz="6" w:space="0" w:color="000000"/>
              <w:left w:val="single" w:sz="5" w:space="0" w:color="000000"/>
              <w:bottom w:val="single" w:sz="5" w:space="0" w:color="000000"/>
              <w:right w:val="none" w:sz="0" w:space="0" w:color="020000"/>
            </w:tcBorders>
          </w:tcPr>
          <w:p w:rsidR="003A596A" w:rsidRPr="003D3FEA" w:rsidRDefault="003A596A" w:rsidP="003A596A">
            <w:pPr>
              <w:spacing w:before="937" w:after="223" w:line="230" w:lineRule="exact"/>
              <w:ind w:left="144"/>
              <w:jc w:val="both"/>
              <w:textAlignment w:val="baseline"/>
              <w:rPr>
                <w:rFonts w:ascii="Arial" w:eastAsia="Symbol" w:hAnsi="Arial" w:cs="Arial"/>
                <w:color w:val="000000"/>
                <w:sz w:val="20"/>
                <w:szCs w:val="20"/>
              </w:rPr>
            </w:pPr>
          </w:p>
        </w:tc>
        <w:tc>
          <w:tcPr>
            <w:tcW w:w="2201" w:type="dxa"/>
            <w:tcBorders>
              <w:top w:val="single" w:sz="6" w:space="0" w:color="000000"/>
              <w:left w:val="none" w:sz="0" w:space="0" w:color="020000"/>
              <w:bottom w:val="single" w:sz="5" w:space="0" w:color="000000"/>
              <w:right w:val="single" w:sz="5" w:space="0" w:color="000000"/>
            </w:tcBorders>
          </w:tcPr>
          <w:p w:rsidR="003A596A" w:rsidRPr="003D3FEA" w:rsidRDefault="003A596A" w:rsidP="00A71697">
            <w:pPr>
              <w:spacing w:before="15" w:line="226" w:lineRule="exact"/>
              <w:ind w:right="166"/>
              <w:jc w:val="both"/>
              <w:textAlignment w:val="baseline"/>
              <w:rPr>
                <w:rFonts w:ascii="Arial" w:hAnsi="Arial" w:cs="Arial"/>
                <w:color w:val="000000"/>
                <w:sz w:val="20"/>
                <w:szCs w:val="20"/>
              </w:rPr>
            </w:pPr>
            <w:r w:rsidRPr="003D3FEA">
              <w:rPr>
                <w:rFonts w:ascii="Arial" w:hAnsi="Arial" w:cs="Arial"/>
                <w:color w:val="000000"/>
                <w:sz w:val="20"/>
                <w:szCs w:val="20"/>
              </w:rPr>
              <w:t xml:space="preserve">Comptes </w:t>
            </w:r>
            <w:r w:rsidR="00A71697">
              <w:rPr>
                <w:rFonts w:ascii="Arial" w:hAnsi="Arial" w:cs="Arial"/>
                <w:color w:val="000000"/>
                <w:sz w:val="20"/>
                <w:szCs w:val="20"/>
              </w:rPr>
              <w:t>d</w:t>
            </w:r>
            <w:r w:rsidRPr="003D3FEA">
              <w:rPr>
                <w:rFonts w:ascii="Arial" w:hAnsi="Arial" w:cs="Arial"/>
                <w:color w:val="000000"/>
                <w:sz w:val="20"/>
                <w:szCs w:val="20"/>
              </w:rPr>
              <w:t>’affectation spéciale</w:t>
            </w:r>
          </w:p>
        </w:tc>
        <w:tc>
          <w:tcPr>
            <w:tcW w:w="1796" w:type="dxa"/>
            <w:tcBorders>
              <w:top w:val="single" w:sz="6" w:space="0" w:color="000000"/>
              <w:left w:val="single" w:sz="5" w:space="0" w:color="000000"/>
              <w:bottom w:val="single" w:sz="5" w:space="0" w:color="000000"/>
              <w:right w:val="none" w:sz="0" w:space="0" w:color="020000"/>
            </w:tcBorders>
          </w:tcPr>
          <w:p w:rsidR="003A596A" w:rsidRPr="003D3FEA" w:rsidRDefault="003A596A" w:rsidP="003A596A">
            <w:pPr>
              <w:spacing w:after="2090" w:line="230" w:lineRule="exact"/>
              <w:ind w:left="110"/>
              <w:jc w:val="both"/>
              <w:textAlignment w:val="baseline"/>
              <w:rPr>
                <w:rFonts w:ascii="Arial" w:eastAsia="Symbol" w:hAnsi="Arial" w:cs="Arial"/>
                <w:color w:val="000000"/>
                <w:sz w:val="20"/>
                <w:szCs w:val="20"/>
              </w:rPr>
            </w:pPr>
          </w:p>
        </w:tc>
        <w:tc>
          <w:tcPr>
            <w:tcW w:w="2524" w:type="dxa"/>
            <w:tcBorders>
              <w:top w:val="single" w:sz="6" w:space="0" w:color="000000"/>
              <w:left w:val="none" w:sz="0" w:space="0" w:color="020000"/>
              <w:bottom w:val="single" w:sz="5" w:space="0" w:color="000000"/>
              <w:right w:val="single" w:sz="5" w:space="0" w:color="000000"/>
            </w:tcBorders>
          </w:tcPr>
          <w:p w:rsidR="003A596A" w:rsidRPr="003D3FEA" w:rsidRDefault="003A596A" w:rsidP="003A596A">
            <w:pPr>
              <w:spacing w:after="1634" w:line="230" w:lineRule="exact"/>
              <w:ind w:right="135"/>
              <w:jc w:val="both"/>
              <w:textAlignment w:val="baseline"/>
              <w:rPr>
                <w:rFonts w:ascii="Arial" w:hAnsi="Arial" w:cs="Arial"/>
                <w:color w:val="000000"/>
                <w:sz w:val="20"/>
                <w:szCs w:val="20"/>
              </w:rPr>
            </w:pPr>
            <w:r w:rsidRPr="003D3FEA">
              <w:rPr>
                <w:rFonts w:ascii="Arial" w:hAnsi="Arial" w:cs="Arial"/>
                <w:color w:val="000000"/>
                <w:sz w:val="20"/>
                <w:szCs w:val="20"/>
              </w:rPr>
              <w:t xml:space="preserve"> </w:t>
            </w:r>
            <w:r w:rsidR="008345F9">
              <w:rPr>
                <w:rFonts w:ascii="Arial" w:hAnsi="Arial" w:cs="Arial"/>
                <w:color w:val="000000"/>
                <w:sz w:val="20"/>
                <w:szCs w:val="20"/>
              </w:rPr>
              <w:t>0,1</w:t>
            </w:r>
            <w:r w:rsidRPr="003D3FEA">
              <w:rPr>
                <w:rFonts w:ascii="Arial" w:hAnsi="Arial" w:cs="Arial"/>
                <w:color w:val="000000"/>
                <w:sz w:val="20"/>
                <w:szCs w:val="20"/>
              </w:rPr>
              <w:t>%</w:t>
            </w:r>
          </w:p>
        </w:tc>
        <w:tc>
          <w:tcPr>
            <w:tcW w:w="2232" w:type="dxa"/>
            <w:tcBorders>
              <w:top w:val="single" w:sz="6" w:space="0" w:color="000000"/>
              <w:left w:val="single" w:sz="5" w:space="0" w:color="000000"/>
              <w:bottom w:val="single" w:sz="5" w:space="0" w:color="000000"/>
              <w:right w:val="single" w:sz="5" w:space="0" w:color="000000"/>
            </w:tcBorders>
          </w:tcPr>
          <w:p w:rsidR="003A596A" w:rsidRPr="003D3FEA" w:rsidRDefault="003A596A" w:rsidP="003A596A">
            <w:pPr>
              <w:spacing w:before="1" w:after="7" w:line="230" w:lineRule="exact"/>
              <w:ind w:left="149" w:right="460"/>
              <w:jc w:val="both"/>
              <w:textAlignment w:val="baseline"/>
              <w:rPr>
                <w:rFonts w:ascii="Arial" w:hAnsi="Arial" w:cs="Arial"/>
                <w:color w:val="000000"/>
                <w:sz w:val="20"/>
                <w:szCs w:val="20"/>
              </w:rPr>
            </w:pPr>
            <w:r w:rsidRPr="003D3FEA">
              <w:rPr>
                <w:rFonts w:ascii="Arial" w:hAnsi="Arial" w:cs="Arial"/>
                <w:color w:val="000000"/>
                <w:sz w:val="20"/>
                <w:szCs w:val="20"/>
              </w:rPr>
              <w:t xml:space="preserve"> Absence de détail sur les opérations</w:t>
            </w:r>
          </w:p>
        </w:tc>
      </w:tr>
      <w:tr w:rsidR="00D538E2" w:rsidRPr="003D3FEA" w:rsidTr="00F53182">
        <w:trPr>
          <w:trHeight w:hRule="exact" w:val="1070"/>
        </w:trPr>
        <w:tc>
          <w:tcPr>
            <w:tcW w:w="307" w:type="dxa"/>
            <w:tcBorders>
              <w:top w:val="single" w:sz="5" w:space="0" w:color="000000"/>
              <w:left w:val="single" w:sz="5" w:space="0" w:color="000000"/>
              <w:bottom w:val="single" w:sz="5" w:space="0" w:color="000000"/>
              <w:right w:val="none" w:sz="0" w:space="0" w:color="020000"/>
            </w:tcBorders>
          </w:tcPr>
          <w:p w:rsidR="00D538E2" w:rsidRPr="003D3FEA" w:rsidRDefault="00D538E2" w:rsidP="003A596A">
            <w:pPr>
              <w:spacing w:before="937" w:after="223" w:line="230" w:lineRule="exact"/>
              <w:ind w:left="144"/>
              <w:jc w:val="both"/>
              <w:textAlignment w:val="baseline"/>
              <w:rPr>
                <w:rFonts w:ascii="Arial" w:eastAsia="Symbol" w:hAnsi="Arial" w:cs="Arial"/>
                <w:color w:val="000000"/>
                <w:sz w:val="20"/>
                <w:szCs w:val="20"/>
              </w:rPr>
            </w:pPr>
          </w:p>
        </w:tc>
        <w:tc>
          <w:tcPr>
            <w:tcW w:w="2201" w:type="dxa"/>
            <w:tcBorders>
              <w:top w:val="single" w:sz="5" w:space="0" w:color="000000"/>
              <w:left w:val="none" w:sz="0" w:space="0" w:color="020000"/>
              <w:bottom w:val="single" w:sz="5" w:space="0" w:color="000000"/>
              <w:right w:val="single" w:sz="5" w:space="0" w:color="000000"/>
            </w:tcBorders>
          </w:tcPr>
          <w:p w:rsidR="00D538E2" w:rsidRPr="003D3FEA" w:rsidRDefault="008345F9" w:rsidP="00A71697">
            <w:pPr>
              <w:spacing w:before="15" w:line="226" w:lineRule="exact"/>
              <w:ind w:right="166"/>
              <w:jc w:val="both"/>
              <w:textAlignment w:val="baseline"/>
              <w:rPr>
                <w:rFonts w:ascii="Arial" w:hAnsi="Arial" w:cs="Arial"/>
                <w:color w:val="000000"/>
                <w:sz w:val="20"/>
                <w:szCs w:val="20"/>
              </w:rPr>
            </w:pPr>
            <w:r>
              <w:rPr>
                <w:rFonts w:ascii="Arial" w:hAnsi="Arial" w:cs="Arial"/>
                <w:color w:val="000000"/>
                <w:sz w:val="20"/>
                <w:szCs w:val="20"/>
              </w:rPr>
              <w:t>Comptes de dépenses sur dotations pour éclairage et points d’eaupublics</w:t>
            </w:r>
          </w:p>
        </w:tc>
        <w:tc>
          <w:tcPr>
            <w:tcW w:w="1796" w:type="dxa"/>
            <w:tcBorders>
              <w:top w:val="single" w:sz="5" w:space="0" w:color="000000"/>
              <w:left w:val="single" w:sz="5" w:space="0" w:color="000000"/>
              <w:bottom w:val="single" w:sz="5" w:space="0" w:color="000000"/>
              <w:right w:val="none" w:sz="0" w:space="0" w:color="020000"/>
            </w:tcBorders>
          </w:tcPr>
          <w:p w:rsidR="00D538E2" w:rsidRPr="003D3FEA" w:rsidRDefault="00D538E2" w:rsidP="003A596A">
            <w:pPr>
              <w:spacing w:after="2090" w:line="230" w:lineRule="exact"/>
              <w:ind w:left="110"/>
              <w:jc w:val="both"/>
              <w:textAlignment w:val="baseline"/>
              <w:rPr>
                <w:rFonts w:ascii="Arial" w:eastAsia="Symbol" w:hAnsi="Arial" w:cs="Arial"/>
                <w:color w:val="000000"/>
                <w:sz w:val="20"/>
                <w:szCs w:val="20"/>
              </w:rPr>
            </w:pPr>
          </w:p>
        </w:tc>
        <w:tc>
          <w:tcPr>
            <w:tcW w:w="2524" w:type="dxa"/>
            <w:tcBorders>
              <w:top w:val="single" w:sz="5" w:space="0" w:color="000000"/>
              <w:left w:val="none" w:sz="0" w:space="0" w:color="020000"/>
              <w:bottom w:val="single" w:sz="5" w:space="0" w:color="000000"/>
              <w:right w:val="single" w:sz="5" w:space="0" w:color="000000"/>
            </w:tcBorders>
          </w:tcPr>
          <w:p w:rsidR="00D538E2" w:rsidRPr="003D3FEA" w:rsidRDefault="00CE32D0" w:rsidP="003A596A">
            <w:pPr>
              <w:spacing w:after="1634" w:line="230" w:lineRule="exact"/>
              <w:ind w:right="135"/>
              <w:jc w:val="both"/>
              <w:textAlignment w:val="baseline"/>
              <w:rPr>
                <w:rFonts w:ascii="Arial" w:hAnsi="Arial" w:cs="Arial"/>
                <w:color w:val="000000"/>
                <w:sz w:val="20"/>
                <w:szCs w:val="20"/>
              </w:rPr>
            </w:pPr>
            <w:r>
              <w:rPr>
                <w:rFonts w:ascii="Arial" w:hAnsi="Arial" w:cs="Arial"/>
                <w:color w:val="000000"/>
                <w:sz w:val="20"/>
                <w:szCs w:val="20"/>
              </w:rPr>
              <w:t>4,8</w:t>
            </w:r>
            <w:r w:rsidR="008345F9">
              <w:rPr>
                <w:rFonts w:ascii="Arial" w:hAnsi="Arial" w:cs="Arial"/>
                <w:color w:val="000000"/>
                <w:sz w:val="20"/>
                <w:szCs w:val="20"/>
              </w:rPr>
              <w:t>%</w:t>
            </w:r>
          </w:p>
        </w:tc>
        <w:tc>
          <w:tcPr>
            <w:tcW w:w="2232" w:type="dxa"/>
            <w:tcBorders>
              <w:top w:val="single" w:sz="5" w:space="0" w:color="000000"/>
              <w:left w:val="single" w:sz="5" w:space="0" w:color="000000"/>
              <w:bottom w:val="single" w:sz="5" w:space="0" w:color="000000"/>
              <w:right w:val="single" w:sz="5" w:space="0" w:color="000000"/>
            </w:tcBorders>
          </w:tcPr>
          <w:p w:rsidR="00D538E2" w:rsidRPr="003D3FEA" w:rsidRDefault="008345F9" w:rsidP="003A596A">
            <w:pPr>
              <w:spacing w:before="1" w:after="7" w:line="230" w:lineRule="exact"/>
              <w:ind w:left="149" w:right="460"/>
              <w:jc w:val="both"/>
              <w:textAlignment w:val="baseline"/>
              <w:rPr>
                <w:rFonts w:ascii="Arial" w:hAnsi="Arial" w:cs="Arial"/>
                <w:color w:val="000000"/>
                <w:sz w:val="20"/>
                <w:szCs w:val="20"/>
              </w:rPr>
            </w:pPr>
            <w:r>
              <w:rPr>
                <w:rFonts w:ascii="Arial" w:hAnsi="Arial" w:cs="Arial"/>
                <w:color w:val="000000"/>
                <w:sz w:val="20"/>
                <w:szCs w:val="20"/>
              </w:rPr>
              <w:t>Oui</w:t>
            </w:r>
          </w:p>
        </w:tc>
      </w:tr>
      <w:tr w:rsidR="003A596A" w:rsidRPr="003D3FEA" w:rsidTr="00A71697">
        <w:trPr>
          <w:trHeight w:hRule="exact" w:val="714"/>
        </w:trPr>
        <w:tc>
          <w:tcPr>
            <w:tcW w:w="307" w:type="dxa"/>
            <w:tcBorders>
              <w:top w:val="single" w:sz="5" w:space="0" w:color="000000"/>
              <w:left w:val="single" w:sz="5" w:space="0" w:color="000000"/>
              <w:bottom w:val="single" w:sz="5" w:space="0" w:color="000000"/>
              <w:right w:val="none" w:sz="0" w:space="0" w:color="020000"/>
            </w:tcBorders>
          </w:tcPr>
          <w:p w:rsidR="003A596A" w:rsidRPr="003D3FEA" w:rsidRDefault="003A596A" w:rsidP="003A596A">
            <w:pPr>
              <w:spacing w:before="937" w:after="223" w:line="230" w:lineRule="exact"/>
              <w:ind w:left="144"/>
              <w:jc w:val="both"/>
              <w:textAlignment w:val="baseline"/>
              <w:rPr>
                <w:rFonts w:ascii="Arial" w:eastAsia="Symbol" w:hAnsi="Arial" w:cs="Arial"/>
                <w:color w:val="000000"/>
                <w:sz w:val="20"/>
                <w:szCs w:val="20"/>
              </w:rPr>
            </w:pPr>
          </w:p>
        </w:tc>
        <w:tc>
          <w:tcPr>
            <w:tcW w:w="2201" w:type="dxa"/>
            <w:tcBorders>
              <w:top w:val="single" w:sz="5" w:space="0" w:color="000000"/>
              <w:left w:val="none" w:sz="0" w:space="0" w:color="020000"/>
              <w:bottom w:val="single" w:sz="5" w:space="0" w:color="000000"/>
              <w:right w:val="single" w:sz="5" w:space="0" w:color="000000"/>
            </w:tcBorders>
          </w:tcPr>
          <w:p w:rsidR="003A596A" w:rsidRPr="003D3FEA" w:rsidRDefault="003A596A" w:rsidP="00A71697">
            <w:pPr>
              <w:spacing w:before="15" w:line="226" w:lineRule="exact"/>
              <w:ind w:right="166"/>
              <w:textAlignment w:val="baseline"/>
              <w:rPr>
                <w:rFonts w:ascii="Arial" w:hAnsi="Arial" w:cs="Arial"/>
                <w:color w:val="000000"/>
                <w:sz w:val="20"/>
                <w:szCs w:val="20"/>
              </w:rPr>
            </w:pPr>
            <w:r w:rsidRPr="003D3FEA">
              <w:rPr>
                <w:rFonts w:ascii="Arial" w:hAnsi="Arial" w:cs="Arial"/>
                <w:color w:val="000000"/>
                <w:sz w:val="20"/>
                <w:szCs w:val="20"/>
              </w:rPr>
              <w:t xml:space="preserve"> Comptes de </w:t>
            </w:r>
            <w:r w:rsidR="00A71697">
              <w:rPr>
                <w:rFonts w:ascii="Arial" w:hAnsi="Arial" w:cs="Arial"/>
                <w:color w:val="000000"/>
                <w:sz w:val="20"/>
                <w:szCs w:val="20"/>
              </w:rPr>
              <w:t>d</w:t>
            </w:r>
            <w:r w:rsidRPr="003D3FEA">
              <w:rPr>
                <w:rFonts w:ascii="Arial" w:hAnsi="Arial" w:cs="Arial"/>
                <w:color w:val="000000"/>
                <w:sz w:val="20"/>
                <w:szCs w:val="20"/>
              </w:rPr>
              <w:t>épenses sur dotation des arrondissements</w:t>
            </w:r>
          </w:p>
        </w:tc>
        <w:tc>
          <w:tcPr>
            <w:tcW w:w="1796" w:type="dxa"/>
            <w:tcBorders>
              <w:top w:val="single" w:sz="5" w:space="0" w:color="000000"/>
              <w:left w:val="single" w:sz="5" w:space="0" w:color="000000"/>
              <w:bottom w:val="single" w:sz="5" w:space="0" w:color="000000"/>
              <w:right w:val="none" w:sz="0" w:space="0" w:color="020000"/>
            </w:tcBorders>
          </w:tcPr>
          <w:p w:rsidR="003A596A" w:rsidRPr="003D3FEA" w:rsidRDefault="003A596A" w:rsidP="003A596A">
            <w:pPr>
              <w:spacing w:after="2090" w:line="230" w:lineRule="exact"/>
              <w:ind w:left="110"/>
              <w:jc w:val="both"/>
              <w:textAlignment w:val="baseline"/>
              <w:rPr>
                <w:rFonts w:ascii="Arial" w:eastAsia="Symbol" w:hAnsi="Arial" w:cs="Arial"/>
                <w:color w:val="000000"/>
                <w:sz w:val="20"/>
                <w:szCs w:val="20"/>
              </w:rPr>
            </w:pPr>
          </w:p>
        </w:tc>
        <w:tc>
          <w:tcPr>
            <w:tcW w:w="2524" w:type="dxa"/>
            <w:tcBorders>
              <w:top w:val="single" w:sz="5" w:space="0" w:color="000000"/>
              <w:left w:val="none" w:sz="0" w:space="0" w:color="020000"/>
              <w:bottom w:val="single" w:sz="5" w:space="0" w:color="000000"/>
              <w:right w:val="single" w:sz="5" w:space="0" w:color="000000"/>
            </w:tcBorders>
          </w:tcPr>
          <w:p w:rsidR="003A596A" w:rsidRPr="003D3FEA" w:rsidRDefault="003A596A" w:rsidP="003A596A">
            <w:pPr>
              <w:spacing w:after="1634" w:line="230" w:lineRule="exact"/>
              <w:jc w:val="both"/>
              <w:textAlignment w:val="baseline"/>
              <w:rPr>
                <w:rFonts w:ascii="Arial" w:hAnsi="Arial" w:cs="Arial"/>
                <w:color w:val="000000"/>
                <w:sz w:val="20"/>
                <w:szCs w:val="20"/>
              </w:rPr>
            </w:pPr>
            <w:r w:rsidRPr="003D3FEA">
              <w:rPr>
                <w:rFonts w:ascii="Arial" w:hAnsi="Arial" w:cs="Arial"/>
                <w:color w:val="000000"/>
                <w:sz w:val="20"/>
                <w:szCs w:val="20"/>
              </w:rPr>
              <w:t xml:space="preserve"> </w:t>
            </w:r>
            <w:r w:rsidR="00CE32D0">
              <w:rPr>
                <w:rFonts w:ascii="Arial" w:hAnsi="Arial" w:cs="Arial"/>
                <w:color w:val="000000"/>
                <w:sz w:val="20"/>
                <w:szCs w:val="20"/>
              </w:rPr>
              <w:t>5,5</w:t>
            </w:r>
            <w:r w:rsidRPr="003D3FEA">
              <w:rPr>
                <w:rFonts w:ascii="Arial" w:hAnsi="Arial" w:cs="Arial"/>
                <w:color w:val="000000"/>
                <w:sz w:val="20"/>
                <w:szCs w:val="20"/>
              </w:rPr>
              <w:t>%</w:t>
            </w:r>
            <w:r w:rsidRPr="003D3FEA">
              <w:rPr>
                <w:rStyle w:val="FootnoteReference"/>
                <w:rFonts w:ascii="Arial" w:hAnsi="Arial" w:cs="Arial"/>
                <w:color w:val="000000"/>
                <w:sz w:val="20"/>
                <w:szCs w:val="20"/>
              </w:rPr>
              <w:footnoteReference w:id="24"/>
            </w:r>
          </w:p>
        </w:tc>
        <w:tc>
          <w:tcPr>
            <w:tcW w:w="2232" w:type="dxa"/>
            <w:tcBorders>
              <w:top w:val="single" w:sz="5" w:space="0" w:color="000000"/>
              <w:left w:val="single" w:sz="5" w:space="0" w:color="000000"/>
              <w:bottom w:val="single" w:sz="5" w:space="0" w:color="000000"/>
              <w:right w:val="single" w:sz="5" w:space="0" w:color="000000"/>
            </w:tcBorders>
          </w:tcPr>
          <w:p w:rsidR="003A596A" w:rsidRPr="003D3FEA" w:rsidRDefault="003A596A" w:rsidP="003A596A">
            <w:pPr>
              <w:spacing w:before="1" w:after="7" w:line="230" w:lineRule="exact"/>
              <w:ind w:left="149" w:right="460"/>
              <w:jc w:val="both"/>
              <w:textAlignment w:val="baseline"/>
              <w:rPr>
                <w:rFonts w:ascii="Arial" w:hAnsi="Arial" w:cs="Arial"/>
                <w:color w:val="000000"/>
                <w:sz w:val="20"/>
                <w:szCs w:val="20"/>
              </w:rPr>
            </w:pPr>
            <w:r w:rsidRPr="003D3FEA">
              <w:rPr>
                <w:rFonts w:ascii="Arial" w:hAnsi="Arial" w:cs="Arial"/>
                <w:color w:val="000000"/>
                <w:sz w:val="20"/>
                <w:szCs w:val="20"/>
              </w:rPr>
              <w:t xml:space="preserve"> Absence de détail sur les opérations</w:t>
            </w:r>
          </w:p>
        </w:tc>
      </w:tr>
    </w:tbl>
    <w:p w:rsidR="003A596A" w:rsidRDefault="003A596A" w:rsidP="003A596A">
      <w:pPr>
        <w:pStyle w:val="Default"/>
        <w:jc w:val="both"/>
        <w:rPr>
          <w:rFonts w:ascii="Arial" w:hAnsi="Arial" w:cs="Arial"/>
          <w:lang w:val="fr-FR"/>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rPr>
        <w:t>Ces pourcentage</w:t>
      </w:r>
      <w:r w:rsidR="002E3126">
        <w:rPr>
          <w:rFonts w:ascii="Arial" w:hAnsi="Arial" w:cs="Arial"/>
        </w:rPr>
        <w:t>s</w:t>
      </w:r>
      <w:r w:rsidRPr="00A17E25">
        <w:rPr>
          <w:rFonts w:ascii="Arial" w:hAnsi="Arial" w:cs="Arial"/>
        </w:rPr>
        <w:t xml:space="preserve"> ont été estimés sur la base des dépenses totales du budget général admis au titre de l’exercice 2014 soit  </w:t>
      </w:r>
      <w:r w:rsidR="00D538E2">
        <w:rPr>
          <w:rFonts w:ascii="Arial" w:hAnsi="Arial" w:cs="Arial"/>
        </w:rPr>
        <w:t xml:space="preserve">4 190 520 </w:t>
      </w:r>
      <w:r w:rsidRPr="00A17E25">
        <w:rPr>
          <w:rFonts w:ascii="Arial" w:hAnsi="Arial" w:cs="Arial"/>
        </w:rPr>
        <w:t>000 dirhams.</w:t>
      </w:r>
    </w:p>
    <w:p w:rsidR="003A596A" w:rsidRPr="00A17E25" w:rsidRDefault="003A596A" w:rsidP="003A596A">
      <w:pPr>
        <w:jc w:val="both"/>
        <w:rPr>
          <w:rFonts w:ascii="Arial" w:hAnsi="Arial" w:cs="Arial"/>
        </w:rPr>
      </w:pPr>
    </w:p>
    <w:p w:rsidR="003A596A" w:rsidRPr="004B57C3" w:rsidRDefault="003A596A" w:rsidP="003A596A">
      <w:pPr>
        <w:pStyle w:val="Comp"/>
        <w:numPr>
          <w:ilvl w:val="0"/>
          <w:numId w:val="95"/>
        </w:numPr>
        <w:rPr>
          <w:rFonts w:ascii="Arial" w:hAnsi="Arial" w:cs="Arial"/>
          <w:b w:val="0"/>
          <w:color w:val="0070C0"/>
        </w:rPr>
      </w:pPr>
      <w:bookmarkStart w:id="156" w:name="_Toc428200801"/>
      <w:bookmarkStart w:id="157" w:name="_Toc434916119"/>
      <w:bookmarkStart w:id="158" w:name="_Toc434918333"/>
      <w:r w:rsidRPr="004B57C3">
        <w:rPr>
          <w:rFonts w:ascii="Arial" w:hAnsi="Arial" w:cs="Arial"/>
          <w:b w:val="0"/>
          <w:color w:val="0070C0"/>
        </w:rPr>
        <w:t>Informations détaillées sur les recettes, les dépenses et les financements relatifs aux opérations extrabudgétaires rapportées (ne s’applique pas si les EBO représentent moins de 1 % du total des dépenses budgétaires).</w:t>
      </w:r>
      <w:bookmarkEnd w:id="156"/>
      <w:bookmarkEnd w:id="157"/>
      <w:bookmarkEnd w:id="158"/>
    </w:p>
    <w:p w:rsidR="003A596A" w:rsidRPr="00A17E25" w:rsidRDefault="003A596A" w:rsidP="003A596A">
      <w:pPr>
        <w:autoSpaceDE w:val="0"/>
        <w:autoSpaceDN w:val="0"/>
        <w:adjustRightInd w:val="0"/>
        <w:jc w:val="both"/>
        <w:rPr>
          <w:rFonts w:ascii="Arial" w:hAnsi="Arial" w:cs="Arial"/>
          <w:color w:val="141414"/>
          <w:lang w:eastAsia="fr-FR"/>
        </w:rPr>
      </w:pPr>
      <w:r w:rsidRPr="00A17E25">
        <w:rPr>
          <w:rFonts w:ascii="Arial" w:hAnsi="Arial" w:cs="Arial"/>
          <w:color w:val="141414"/>
          <w:lang w:eastAsia="fr-FR"/>
        </w:rPr>
        <w:t>Conformément au cadre PEFA, les opérations non rapportées peuvent être catégorisées comme suit:</w:t>
      </w:r>
    </w:p>
    <w:p w:rsidR="003A596A" w:rsidRPr="00A17E25" w:rsidRDefault="003A596A" w:rsidP="00151AD3">
      <w:pPr>
        <w:pStyle w:val="ListParagraph"/>
        <w:numPr>
          <w:ilvl w:val="0"/>
          <w:numId w:val="21"/>
        </w:numPr>
        <w:autoSpaceDE w:val="0"/>
        <w:autoSpaceDN w:val="0"/>
        <w:adjustRightInd w:val="0"/>
        <w:spacing w:after="200" w:line="276" w:lineRule="auto"/>
        <w:contextualSpacing/>
        <w:jc w:val="both"/>
        <w:rPr>
          <w:rFonts w:ascii="Arial" w:hAnsi="Arial" w:cs="Arial"/>
          <w:color w:val="141414"/>
          <w:lang w:eastAsia="fr-FR"/>
        </w:rPr>
      </w:pPr>
      <w:r w:rsidRPr="00A17E25">
        <w:rPr>
          <w:rFonts w:ascii="Arial" w:hAnsi="Arial" w:cs="Arial"/>
          <w:color w:val="141414"/>
          <w:lang w:eastAsia="fr-FR"/>
        </w:rPr>
        <w:t>Dépenses et recettes connues mais non intégrées dans le budget (opérations extrabudgétaires au sens propre ou opération financées par des bailleurs de fonds mais qui ne sont pas intégrées dans le budget) ;</w:t>
      </w:r>
    </w:p>
    <w:p w:rsidR="003A596A" w:rsidRPr="00A17E25" w:rsidRDefault="003A596A" w:rsidP="00151AD3">
      <w:pPr>
        <w:pStyle w:val="ListParagraph"/>
        <w:numPr>
          <w:ilvl w:val="0"/>
          <w:numId w:val="21"/>
        </w:numPr>
        <w:autoSpaceDE w:val="0"/>
        <w:autoSpaceDN w:val="0"/>
        <w:adjustRightInd w:val="0"/>
        <w:spacing w:after="200" w:line="276" w:lineRule="auto"/>
        <w:contextualSpacing/>
        <w:jc w:val="both"/>
        <w:rPr>
          <w:rFonts w:ascii="Arial" w:hAnsi="Arial" w:cs="Arial"/>
          <w:color w:val="141414"/>
          <w:lang w:eastAsia="fr-FR"/>
        </w:rPr>
      </w:pPr>
      <w:r w:rsidRPr="00A17E25">
        <w:rPr>
          <w:rFonts w:ascii="Arial" w:hAnsi="Arial" w:cs="Arial"/>
          <w:color w:val="141414"/>
          <w:lang w:eastAsia="fr-FR"/>
        </w:rPr>
        <w:t xml:space="preserve">Dépenses qui échapperaient au circuit « normal » de la dépense de la </w:t>
      </w:r>
      <w:r w:rsidR="002D5EF8">
        <w:rPr>
          <w:rFonts w:ascii="Arial" w:hAnsi="Arial" w:cs="Arial"/>
          <w:color w:val="141414"/>
          <w:lang w:eastAsia="fr-FR"/>
        </w:rPr>
        <w:t>CC</w:t>
      </w:r>
      <w:r w:rsidRPr="00A17E25">
        <w:rPr>
          <w:rFonts w:ascii="Arial" w:hAnsi="Arial" w:cs="Arial"/>
          <w:color w:val="141414"/>
          <w:lang w:eastAsia="fr-FR"/>
        </w:rPr>
        <w:t>.</w:t>
      </w:r>
    </w:p>
    <w:p w:rsidR="003A596A" w:rsidRDefault="003A596A" w:rsidP="003A596A">
      <w:pPr>
        <w:autoSpaceDE w:val="0"/>
        <w:autoSpaceDN w:val="0"/>
        <w:adjustRightInd w:val="0"/>
        <w:jc w:val="both"/>
        <w:rPr>
          <w:rFonts w:ascii="Arial" w:hAnsi="Arial" w:cs="Arial"/>
          <w:color w:val="000000"/>
        </w:rPr>
      </w:pPr>
      <w:r w:rsidRPr="00A17E25">
        <w:rPr>
          <w:rFonts w:ascii="Arial" w:hAnsi="Arial" w:cs="Arial"/>
          <w:color w:val="141414"/>
          <w:lang w:eastAsia="fr-FR"/>
        </w:rPr>
        <w:t xml:space="preserve">Même si les comptes spéciaux ne peuvent normalement être considérés comme des opérations non rapportées au budget (parce que préparés, approuvés et exécutés et contrôlés dans les mêmes conditions que celles prévues pour le budget général), ces comptes présentent des spécificités dans le cas de la </w:t>
      </w:r>
      <w:r w:rsidR="002D5EF8">
        <w:rPr>
          <w:rFonts w:ascii="Arial" w:hAnsi="Arial" w:cs="Arial"/>
          <w:color w:val="141414"/>
          <w:lang w:eastAsia="fr-FR"/>
        </w:rPr>
        <w:t>CC</w:t>
      </w:r>
      <w:r w:rsidRPr="00A17E25">
        <w:rPr>
          <w:rFonts w:ascii="Arial" w:hAnsi="Arial" w:cs="Arial"/>
          <w:color w:val="141414"/>
          <w:lang w:eastAsia="fr-FR"/>
        </w:rPr>
        <w:t xml:space="preserve"> qui sont de nature à remettre en cause cette qualification.</w:t>
      </w:r>
      <w:r w:rsidR="002E3126">
        <w:rPr>
          <w:rFonts w:ascii="Arial" w:hAnsi="Arial" w:cs="Arial"/>
          <w:color w:val="141414"/>
          <w:lang w:eastAsia="fr-FR"/>
        </w:rPr>
        <w:t xml:space="preserve"> </w:t>
      </w:r>
      <w:r w:rsidRPr="00A17E25">
        <w:rPr>
          <w:rFonts w:ascii="Arial" w:hAnsi="Arial" w:cs="Arial"/>
          <w:color w:val="000000"/>
        </w:rPr>
        <w:t>En effet, les comptes d’affectation spéciale ne font pas l’objet de rapport détaillé au Conseil illustrant la nature et le détail des opérations effectuées à travers ces comptes et d’autre part la majeure partie de ces comptes mê</w:t>
      </w:r>
      <w:r w:rsidR="002E3126">
        <w:rPr>
          <w:rFonts w:ascii="Arial" w:hAnsi="Arial" w:cs="Arial"/>
          <w:color w:val="000000"/>
        </w:rPr>
        <w:t>me s’ils ne sont pas mouvementé</w:t>
      </w:r>
      <w:r w:rsidRPr="00A17E25">
        <w:rPr>
          <w:rFonts w:ascii="Arial" w:hAnsi="Arial" w:cs="Arial"/>
          <w:color w:val="000000"/>
        </w:rPr>
        <w:t>s depuis plus de 3 années n’ont pas été clôturés conformément à la législation en vigueur</w:t>
      </w:r>
      <w:r w:rsidRPr="00A17E25">
        <w:rPr>
          <w:rStyle w:val="FootnoteReference"/>
          <w:rFonts w:ascii="Arial" w:hAnsi="Arial" w:cs="Arial"/>
          <w:color w:val="000000"/>
        </w:rPr>
        <w:footnoteReference w:id="25"/>
      </w:r>
      <w:r w:rsidRPr="00A17E25">
        <w:rPr>
          <w:rFonts w:ascii="Arial" w:hAnsi="Arial" w:cs="Arial"/>
          <w:color w:val="000000"/>
        </w:rPr>
        <w:t>.</w:t>
      </w:r>
    </w:p>
    <w:p w:rsidR="002E3126" w:rsidRPr="00A17E25" w:rsidRDefault="002E3126" w:rsidP="003A596A">
      <w:pPr>
        <w:autoSpaceDE w:val="0"/>
        <w:autoSpaceDN w:val="0"/>
        <w:adjustRightInd w:val="0"/>
        <w:jc w:val="both"/>
        <w:rPr>
          <w:rFonts w:ascii="Arial" w:hAnsi="Arial" w:cs="Arial"/>
          <w:color w:val="000000"/>
        </w:rPr>
      </w:pPr>
    </w:p>
    <w:p w:rsidR="003A596A" w:rsidRPr="00A17E25" w:rsidRDefault="002E3126" w:rsidP="003A596A">
      <w:pPr>
        <w:autoSpaceDE w:val="0"/>
        <w:autoSpaceDN w:val="0"/>
        <w:adjustRightInd w:val="0"/>
        <w:jc w:val="both"/>
        <w:rPr>
          <w:rFonts w:ascii="Arial" w:hAnsi="Arial" w:cs="Arial"/>
          <w:color w:val="141414"/>
          <w:lang w:eastAsia="fr-FR"/>
        </w:rPr>
      </w:pPr>
      <w:r>
        <w:rPr>
          <w:rFonts w:ascii="Arial" w:hAnsi="Arial" w:cs="Arial"/>
          <w:color w:val="141414"/>
          <w:lang w:eastAsia="fr-FR"/>
        </w:rPr>
        <w:t>S’agissant</w:t>
      </w:r>
      <w:r w:rsidR="003A596A" w:rsidRPr="00A17E25">
        <w:rPr>
          <w:rFonts w:ascii="Arial" w:hAnsi="Arial" w:cs="Arial"/>
          <w:color w:val="141414"/>
          <w:lang w:eastAsia="fr-FR"/>
        </w:rPr>
        <w:t xml:space="preserve"> </w:t>
      </w:r>
      <w:r>
        <w:rPr>
          <w:rFonts w:ascii="Arial" w:hAnsi="Arial" w:cs="Arial"/>
          <w:color w:val="141414"/>
          <w:lang w:eastAsia="fr-FR"/>
        </w:rPr>
        <w:t>des</w:t>
      </w:r>
      <w:r w:rsidR="003A596A" w:rsidRPr="00A17E25">
        <w:rPr>
          <w:rFonts w:ascii="Arial" w:hAnsi="Arial" w:cs="Arial"/>
          <w:color w:val="141414"/>
          <w:lang w:eastAsia="fr-FR"/>
        </w:rPr>
        <w:t xml:space="preserve"> comptes de dépenses sur dotation des arrondissements</w:t>
      </w:r>
      <w:r w:rsidR="003A596A" w:rsidRPr="00A17E25">
        <w:rPr>
          <w:rStyle w:val="FootnoteReference"/>
          <w:rFonts w:ascii="Arial" w:hAnsi="Arial" w:cs="Arial"/>
          <w:color w:val="141414"/>
          <w:lang w:eastAsia="fr-FR"/>
        </w:rPr>
        <w:footnoteReference w:id="26"/>
      </w:r>
      <w:r w:rsidR="003A596A" w:rsidRPr="00A17E25">
        <w:rPr>
          <w:rFonts w:ascii="Arial" w:hAnsi="Arial" w:cs="Arial"/>
          <w:color w:val="141414"/>
          <w:lang w:eastAsia="fr-FR"/>
        </w:rPr>
        <w:t>, ces derniers ne font pas l’objet de suffisamment de contrôle par le Conseil communal puisque ces dotations sont reconduite</w:t>
      </w:r>
      <w:r>
        <w:rPr>
          <w:rFonts w:ascii="Arial" w:hAnsi="Arial" w:cs="Arial"/>
          <w:color w:val="141414"/>
          <w:lang w:eastAsia="fr-FR"/>
        </w:rPr>
        <w:t>s</w:t>
      </w:r>
      <w:r w:rsidR="003A596A" w:rsidRPr="00A17E25">
        <w:rPr>
          <w:rFonts w:ascii="Arial" w:hAnsi="Arial" w:cs="Arial"/>
          <w:color w:val="141414"/>
          <w:lang w:eastAsia="fr-FR"/>
        </w:rPr>
        <w:t xml:space="preserve"> d’année en année sans examen</w:t>
      </w:r>
      <w:r w:rsidR="003A596A" w:rsidRPr="00A17E25">
        <w:rPr>
          <w:rFonts w:ascii="Arial" w:hAnsi="Arial" w:cs="Arial"/>
        </w:rPr>
        <w:t xml:space="preserve"> ni des comptes administratifs desdits arrondissements ni des propositions d'investissement. A ce titre les articles 113 et 114 de la charte communale précisent clairement :</w:t>
      </w:r>
    </w:p>
    <w:p w:rsidR="003A596A" w:rsidRPr="002E3126" w:rsidRDefault="003A596A" w:rsidP="00151AD3">
      <w:pPr>
        <w:pStyle w:val="twunmatched"/>
        <w:numPr>
          <w:ilvl w:val="0"/>
          <w:numId w:val="22"/>
        </w:numPr>
        <w:jc w:val="both"/>
        <w:rPr>
          <w:rFonts w:ascii="Arial" w:hAnsi="Arial" w:cs="Arial"/>
        </w:rPr>
      </w:pPr>
      <w:r w:rsidRPr="002E3126">
        <w:rPr>
          <w:rFonts w:ascii="Arial" w:hAnsi="Arial" w:cs="Arial"/>
        </w:rPr>
        <w:t>Les recettes et les dépenses de fonctionnement de chaque arrondissement sont détaillées dans un document dénommé « compte de dépenses sur dotation » lequel est annexé au budget de la commune (article 113).</w:t>
      </w:r>
    </w:p>
    <w:p w:rsidR="003A596A" w:rsidRPr="002E3126" w:rsidRDefault="003A596A" w:rsidP="00151AD3">
      <w:pPr>
        <w:pStyle w:val="twunmatched"/>
        <w:numPr>
          <w:ilvl w:val="0"/>
          <w:numId w:val="22"/>
        </w:numPr>
        <w:jc w:val="both"/>
        <w:rPr>
          <w:rFonts w:ascii="Arial" w:hAnsi="Arial" w:cs="Arial"/>
        </w:rPr>
      </w:pPr>
      <w:r w:rsidRPr="002E3126">
        <w:rPr>
          <w:rFonts w:ascii="Arial" w:hAnsi="Arial" w:cs="Arial"/>
        </w:rPr>
        <w:t>Le conseil communal examine les propositions d'investissement approuvées par le conseil d'arrondissement et arrête par arrondissement le programme d'investissement et les projets d'équipement (article 114).</w:t>
      </w:r>
    </w:p>
    <w:p w:rsidR="003A596A" w:rsidRDefault="00FC5471" w:rsidP="003A596A">
      <w:pPr>
        <w:rPr>
          <w:rFonts w:ascii="Arial" w:hAnsi="Arial" w:cs="Arial"/>
        </w:rPr>
      </w:pPr>
      <w:r>
        <w:rPr>
          <w:rFonts w:ascii="Arial" w:hAnsi="Arial" w:cs="Arial"/>
        </w:rPr>
        <w:t>S’agissant des comptes de dépenses</w:t>
      </w:r>
      <w:r w:rsidR="003F730B">
        <w:rPr>
          <w:rFonts w:ascii="Arial" w:hAnsi="Arial" w:cs="Arial"/>
        </w:rPr>
        <w:t xml:space="preserve"> sur dotations relatifs à l’éclairage public et aux points d’eau, ces derniers suivent une procédure normale d’exécution puisque payées par vignettes chaque année.</w:t>
      </w:r>
    </w:p>
    <w:p w:rsidR="003F730B" w:rsidRDefault="003F730B" w:rsidP="003A596A">
      <w:pPr>
        <w:rPr>
          <w:rFonts w:ascii="Arial" w:hAnsi="Arial" w:cs="Arial"/>
        </w:rPr>
      </w:pPr>
    </w:p>
    <w:p w:rsidR="003F730B" w:rsidRDefault="003F730B" w:rsidP="003A596A">
      <w:pPr>
        <w:rPr>
          <w:rFonts w:ascii="Arial" w:hAnsi="Arial" w:cs="Arial"/>
        </w:rPr>
      </w:pPr>
      <w:r>
        <w:rPr>
          <w:rFonts w:ascii="Arial" w:hAnsi="Arial" w:cs="Arial"/>
        </w:rPr>
        <w:t>Compte tenu des montants des dépenses C AS et CDD qui ne sont pas significatifs, la mission considère que la CC dispose d’informations sur la majorité des opérations rapportées.</w:t>
      </w:r>
    </w:p>
    <w:p w:rsidR="003F730B" w:rsidRDefault="003F730B" w:rsidP="003A596A">
      <w:pPr>
        <w:rPr>
          <w:rFonts w:ascii="Arial" w:hAnsi="Arial" w:cs="Arial"/>
        </w:rPr>
      </w:pPr>
    </w:p>
    <w:p w:rsidR="003F730B" w:rsidRPr="00A17E25" w:rsidRDefault="003F730B" w:rsidP="003A596A">
      <w:pPr>
        <w:rPr>
          <w:rFonts w:ascii="Arial" w:hAnsi="Arial" w:cs="Aria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960"/>
        <w:gridCol w:w="4098"/>
      </w:tblGrid>
      <w:tr w:rsidR="003A596A" w:rsidRPr="00A17E25" w:rsidTr="003A596A">
        <w:trPr>
          <w:jc w:val="center"/>
        </w:trPr>
        <w:tc>
          <w:tcPr>
            <w:tcW w:w="4146"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Indicateur</w:t>
            </w:r>
          </w:p>
        </w:tc>
        <w:tc>
          <w:tcPr>
            <w:tcW w:w="960"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 xml:space="preserve">Note </w:t>
            </w:r>
          </w:p>
        </w:tc>
        <w:tc>
          <w:tcPr>
            <w:tcW w:w="4098"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Explication</w:t>
            </w:r>
          </w:p>
        </w:tc>
      </w:tr>
      <w:tr w:rsidR="003A596A" w:rsidRPr="00A17E25" w:rsidTr="003A596A">
        <w:trPr>
          <w:jc w:val="center"/>
        </w:trPr>
        <w:tc>
          <w:tcPr>
            <w:tcW w:w="4146" w:type="dxa"/>
          </w:tcPr>
          <w:p w:rsidR="003A596A" w:rsidRPr="00A17E25" w:rsidRDefault="003A596A" w:rsidP="003A596A">
            <w:pPr>
              <w:jc w:val="both"/>
              <w:rPr>
                <w:rFonts w:ascii="Arial" w:hAnsi="Arial" w:cs="Arial"/>
                <w:b/>
                <w:sz w:val="20"/>
                <w:szCs w:val="20"/>
              </w:rPr>
            </w:pPr>
            <w:r w:rsidRPr="00A17E25">
              <w:rPr>
                <w:rFonts w:ascii="Arial" w:hAnsi="Arial" w:cs="Arial"/>
                <w:b/>
                <w:sz w:val="20"/>
                <w:szCs w:val="20"/>
              </w:rPr>
              <w:t xml:space="preserve">PI-6. </w:t>
            </w:r>
            <w:r w:rsidRPr="00A17E25">
              <w:rPr>
                <w:rFonts w:ascii="Arial" w:hAnsi="Arial" w:cs="Arial"/>
                <w:sz w:val="20"/>
                <w:szCs w:val="20"/>
              </w:rPr>
              <w:t xml:space="preserve">Importance des opérations extrabudgétaires rapportées </w:t>
            </w:r>
          </w:p>
        </w:tc>
        <w:tc>
          <w:tcPr>
            <w:tcW w:w="960" w:type="dxa"/>
          </w:tcPr>
          <w:p w:rsidR="003A596A" w:rsidRPr="00A17E25" w:rsidRDefault="003A596A" w:rsidP="003A596A">
            <w:pPr>
              <w:jc w:val="center"/>
              <w:rPr>
                <w:rFonts w:ascii="Arial" w:hAnsi="Arial" w:cs="Arial"/>
                <w:b/>
                <w:sz w:val="20"/>
                <w:szCs w:val="20"/>
              </w:rPr>
            </w:pPr>
            <w:r w:rsidRPr="00A17E25">
              <w:rPr>
                <w:rFonts w:ascii="Arial" w:hAnsi="Arial" w:cs="Arial"/>
                <w:b/>
                <w:sz w:val="20"/>
                <w:szCs w:val="20"/>
              </w:rPr>
              <w:t xml:space="preserve"> </w:t>
            </w:r>
            <w:r w:rsidR="00CE32D0">
              <w:rPr>
                <w:rFonts w:ascii="Arial" w:hAnsi="Arial" w:cs="Arial"/>
                <w:b/>
                <w:sz w:val="20"/>
                <w:szCs w:val="20"/>
              </w:rPr>
              <w:t>B</w:t>
            </w:r>
          </w:p>
        </w:tc>
        <w:tc>
          <w:tcPr>
            <w:tcW w:w="4098" w:type="dxa"/>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rPr>
          <w:jc w:val="center"/>
        </w:trPr>
        <w:tc>
          <w:tcPr>
            <w:tcW w:w="4146"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   Niveau des opérations extrabudgétaires non rapportées </w:t>
            </w:r>
          </w:p>
          <w:p w:rsidR="003A596A" w:rsidRPr="00A17E25" w:rsidRDefault="003A596A" w:rsidP="003A596A">
            <w:pPr>
              <w:jc w:val="both"/>
              <w:rPr>
                <w:rFonts w:ascii="Arial" w:hAnsi="Arial" w:cs="Arial"/>
                <w:sz w:val="20"/>
                <w:szCs w:val="20"/>
              </w:rPr>
            </w:pPr>
          </w:p>
        </w:tc>
        <w:tc>
          <w:tcPr>
            <w:tcW w:w="960" w:type="dxa"/>
          </w:tcPr>
          <w:p w:rsidR="003A596A" w:rsidRPr="00A17E25" w:rsidRDefault="008345F9" w:rsidP="003A596A">
            <w:pPr>
              <w:jc w:val="center"/>
              <w:rPr>
                <w:rFonts w:ascii="Arial" w:hAnsi="Arial" w:cs="Arial"/>
                <w:sz w:val="20"/>
                <w:szCs w:val="20"/>
              </w:rPr>
            </w:pPr>
            <w:r>
              <w:rPr>
                <w:rFonts w:ascii="Arial" w:hAnsi="Arial" w:cs="Arial"/>
                <w:sz w:val="20"/>
                <w:szCs w:val="20"/>
              </w:rPr>
              <w:t>C</w:t>
            </w:r>
          </w:p>
        </w:tc>
        <w:tc>
          <w:tcPr>
            <w:tcW w:w="4098"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Le niveau des dépenses et des recettes extrabudgétaires non rapportées est </w:t>
            </w:r>
            <w:r w:rsidR="00CE32D0">
              <w:rPr>
                <w:rFonts w:ascii="Arial" w:hAnsi="Arial" w:cs="Arial"/>
                <w:sz w:val="20"/>
                <w:szCs w:val="20"/>
              </w:rPr>
              <w:t>compris entre 5% et</w:t>
            </w:r>
            <w:r w:rsidRPr="00A17E25">
              <w:rPr>
                <w:rFonts w:ascii="Arial" w:hAnsi="Arial" w:cs="Arial"/>
                <w:sz w:val="20"/>
                <w:szCs w:val="20"/>
              </w:rPr>
              <w:t xml:space="preserve"> 10% des dépenses totales </w:t>
            </w:r>
          </w:p>
        </w:tc>
      </w:tr>
      <w:tr w:rsidR="003A596A" w:rsidRPr="00A17E25" w:rsidTr="003A596A">
        <w:trPr>
          <w:jc w:val="center"/>
        </w:trPr>
        <w:tc>
          <w:tcPr>
            <w:tcW w:w="4146"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ii) Informations détaillées sur les recettes, les dépenses et les financements relatifs aux opérations extrabudgétaires rapportées </w:t>
            </w:r>
          </w:p>
          <w:p w:rsidR="003A596A" w:rsidRPr="00A17E25" w:rsidRDefault="003A596A" w:rsidP="003A596A">
            <w:pPr>
              <w:pStyle w:val="Default"/>
              <w:jc w:val="both"/>
              <w:rPr>
                <w:rFonts w:ascii="Arial" w:hAnsi="Arial" w:cs="Arial"/>
                <w:sz w:val="20"/>
                <w:szCs w:val="20"/>
                <w:lang w:val="fr-FR"/>
              </w:rPr>
            </w:pPr>
          </w:p>
          <w:p w:rsidR="003A596A" w:rsidRPr="00A17E25" w:rsidRDefault="003A596A" w:rsidP="003A596A">
            <w:pPr>
              <w:pStyle w:val="Default"/>
              <w:jc w:val="both"/>
              <w:rPr>
                <w:rFonts w:ascii="Arial" w:hAnsi="Arial" w:cs="Arial"/>
                <w:sz w:val="20"/>
                <w:szCs w:val="20"/>
                <w:lang w:val="fr-FR"/>
              </w:rPr>
            </w:pPr>
          </w:p>
        </w:tc>
        <w:tc>
          <w:tcPr>
            <w:tcW w:w="960" w:type="dxa"/>
          </w:tcPr>
          <w:p w:rsidR="003A596A" w:rsidRPr="00A17E25" w:rsidRDefault="00CE32D0" w:rsidP="003A596A">
            <w:pPr>
              <w:jc w:val="center"/>
              <w:rPr>
                <w:rFonts w:ascii="Arial" w:hAnsi="Arial" w:cs="Arial"/>
                <w:sz w:val="20"/>
                <w:szCs w:val="20"/>
              </w:rPr>
            </w:pPr>
            <w:r>
              <w:rPr>
                <w:rFonts w:ascii="Arial" w:hAnsi="Arial" w:cs="Arial"/>
                <w:sz w:val="20"/>
                <w:szCs w:val="20"/>
              </w:rPr>
              <w:t>A</w:t>
            </w:r>
          </w:p>
        </w:tc>
        <w:tc>
          <w:tcPr>
            <w:tcW w:w="4098" w:type="dxa"/>
          </w:tcPr>
          <w:p w:rsidR="003A596A" w:rsidRPr="008E0F52" w:rsidRDefault="003A596A" w:rsidP="00F53182">
            <w:pPr>
              <w:pStyle w:val="Default"/>
              <w:jc w:val="both"/>
              <w:rPr>
                <w:rFonts w:ascii="Arial" w:hAnsi="Arial" w:cs="Arial"/>
                <w:b/>
                <w:noProof/>
                <w:sz w:val="20"/>
                <w:szCs w:val="20"/>
                <w:lang w:val="fr-FR"/>
              </w:rPr>
            </w:pPr>
            <w:r w:rsidRPr="00A17E25">
              <w:rPr>
                <w:rFonts w:ascii="Arial" w:hAnsi="Arial" w:cs="Arial"/>
                <w:sz w:val="20"/>
                <w:szCs w:val="20"/>
                <w:lang w:val="fr-FR"/>
              </w:rPr>
              <w:t>Le Conseil communal dispose  d’informations financières détaillées sur la majorité des opérations</w:t>
            </w:r>
            <w:r w:rsidR="00CE32D0">
              <w:rPr>
                <w:rFonts w:ascii="Arial" w:hAnsi="Arial" w:cs="Arial"/>
                <w:sz w:val="20"/>
                <w:szCs w:val="20"/>
                <w:lang w:val="fr-FR"/>
              </w:rPr>
              <w:t>.</w:t>
            </w:r>
            <w:r w:rsidRPr="00A17E25">
              <w:rPr>
                <w:rFonts w:ascii="Arial" w:hAnsi="Arial" w:cs="Arial"/>
                <w:sz w:val="20"/>
                <w:szCs w:val="20"/>
                <w:lang w:val="fr-FR"/>
              </w:rPr>
              <w:t xml:space="preserve"> </w:t>
            </w:r>
          </w:p>
        </w:tc>
      </w:tr>
    </w:tbl>
    <w:p w:rsidR="0034021B" w:rsidRDefault="0034021B" w:rsidP="003A596A">
      <w:pPr>
        <w:pStyle w:val="Heading1"/>
        <w:jc w:val="both"/>
        <w:rPr>
          <w:rFonts w:cs="Arial"/>
          <w:sz w:val="24"/>
          <w:szCs w:val="24"/>
        </w:rPr>
      </w:pPr>
      <w:bookmarkStart w:id="160" w:name="_Toc428200802"/>
      <w:bookmarkStart w:id="161" w:name="_Toc434916120"/>
      <w:bookmarkStart w:id="162" w:name="_Toc434918334"/>
    </w:p>
    <w:p w:rsidR="0034021B" w:rsidRDefault="0034021B">
      <w:pPr>
        <w:rPr>
          <w:rFonts w:ascii="Arial" w:hAnsi="Arial" w:cs="Arial"/>
          <w:b/>
          <w:bCs/>
          <w:kern w:val="32"/>
        </w:rPr>
      </w:pPr>
      <w:r>
        <w:rPr>
          <w:rFonts w:cs="Arial"/>
        </w:rPr>
        <w:br w:type="page"/>
      </w:r>
    </w:p>
    <w:p w:rsidR="003A596A" w:rsidRPr="00A17E25" w:rsidRDefault="00370022" w:rsidP="003A596A">
      <w:pPr>
        <w:pStyle w:val="Heading1"/>
        <w:jc w:val="both"/>
        <w:rPr>
          <w:rFonts w:cs="Arial"/>
          <w:sz w:val="24"/>
          <w:szCs w:val="24"/>
        </w:rPr>
      </w:pPr>
      <w:r>
        <w:rPr>
          <w:rFonts w:cs="Arial"/>
          <w:sz w:val="24"/>
          <w:szCs w:val="24"/>
        </w:rPr>
        <w:t xml:space="preserve">PI-7: </w:t>
      </w:r>
      <w:r w:rsidR="003A596A" w:rsidRPr="00A17E25">
        <w:rPr>
          <w:rFonts w:cs="Arial"/>
          <w:sz w:val="24"/>
          <w:szCs w:val="24"/>
        </w:rPr>
        <w:t>Transparence des relations budgétaires entre différents niveaux d’administration</w:t>
      </w:r>
      <w:bookmarkEnd w:id="160"/>
      <w:bookmarkEnd w:id="161"/>
      <w:bookmarkEnd w:id="162"/>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La ville de Casablanca est gérée depuis 2003</w:t>
      </w:r>
      <w:r w:rsidRPr="00A17E25">
        <w:rPr>
          <w:rStyle w:val="FootnoteReference"/>
          <w:rFonts w:cs="Arial"/>
        </w:rPr>
        <w:footnoteReference w:id="27"/>
      </w:r>
      <w:r w:rsidRPr="00A17E25">
        <w:rPr>
          <w:rFonts w:ascii="Arial" w:hAnsi="Arial" w:cs="Arial"/>
        </w:rPr>
        <w:t xml:space="preserve"> par un conseil communal (</w:t>
      </w:r>
      <w:r w:rsidR="002D5EF8">
        <w:rPr>
          <w:rFonts w:ascii="Arial" w:hAnsi="Arial" w:cs="Arial"/>
        </w:rPr>
        <w:t>CC</w:t>
      </w:r>
      <w:r w:rsidRPr="00A17E25">
        <w:rPr>
          <w:rFonts w:ascii="Arial" w:hAnsi="Arial" w:cs="Arial"/>
        </w:rPr>
        <w:t xml:space="preserve">) et </w:t>
      </w:r>
      <w:r w:rsidR="002E3126">
        <w:rPr>
          <w:rFonts w:ascii="Arial" w:hAnsi="Arial" w:cs="Arial"/>
        </w:rPr>
        <w:t>comprend 16 arrondissements</w:t>
      </w:r>
      <w:r w:rsidRPr="00A17E25">
        <w:rPr>
          <w:rFonts w:ascii="Arial" w:hAnsi="Arial" w:cs="Arial"/>
        </w:rPr>
        <w:t xml:space="preserve"> dépourvus de la personnalité juridique, mais jouissant d'une autonomie administrative et financière et dot</w:t>
      </w:r>
      <w:r w:rsidR="002E3126">
        <w:rPr>
          <w:rFonts w:ascii="Arial" w:hAnsi="Arial" w:cs="Arial"/>
        </w:rPr>
        <w:t>és de conseils d'arrondissement</w:t>
      </w:r>
      <w:r w:rsidRPr="00A17E25">
        <w:rPr>
          <w:rFonts w:ascii="Arial" w:hAnsi="Arial" w:cs="Arial"/>
        </w:rPr>
        <w:t xml:space="preserve">. </w:t>
      </w:r>
    </w:p>
    <w:p w:rsidR="003A596A" w:rsidRPr="00A17E25" w:rsidRDefault="003A596A" w:rsidP="003A596A">
      <w:pPr>
        <w:autoSpaceDE w:val="0"/>
        <w:autoSpaceDN w:val="0"/>
        <w:adjustRightInd w:val="0"/>
        <w:jc w:val="both"/>
        <w:rPr>
          <w:rFonts w:ascii="Arial" w:hAnsi="Arial" w:cs="Arial"/>
        </w:rPr>
      </w:pPr>
      <w:r w:rsidRPr="00A17E25">
        <w:rPr>
          <w:rFonts w:ascii="Arial" w:hAnsi="Arial" w:cs="Arial"/>
        </w:rPr>
        <w:t xml:space="preserve">Le conseil de chaque arrondissement se réunit au moins trois fois par an de manière obligatoire au cours des mois </w:t>
      </w:r>
      <w:r w:rsidR="002E3126">
        <w:rPr>
          <w:rFonts w:ascii="Arial" w:hAnsi="Arial" w:cs="Arial"/>
        </w:rPr>
        <w:t>de janvier, juin et septembre. S</w:t>
      </w:r>
      <w:r w:rsidRPr="00A17E25">
        <w:rPr>
          <w:rFonts w:ascii="Arial" w:hAnsi="Arial" w:cs="Arial"/>
        </w:rPr>
        <w:t>es délibérations sont adressées au président du conseil communal.</w:t>
      </w:r>
    </w:p>
    <w:p w:rsidR="003A596A" w:rsidRPr="00A17E25" w:rsidRDefault="003A596A" w:rsidP="003A596A">
      <w:pPr>
        <w:pStyle w:val="twunmatched"/>
        <w:ind w:left="75"/>
        <w:jc w:val="both"/>
        <w:rPr>
          <w:rFonts w:ascii="Arial" w:hAnsi="Arial" w:cs="Arial"/>
        </w:rPr>
      </w:pPr>
      <w:r w:rsidRPr="00A17E25">
        <w:rPr>
          <w:rFonts w:ascii="Arial" w:hAnsi="Arial" w:cs="Arial"/>
        </w:rPr>
        <w:t>Les activités du conseil d'arrondissement sont exercées pour le compte et sous la responsabilité et le contrôle du conseil communal. Il s’agit notamment de :</w:t>
      </w:r>
    </w:p>
    <w:p w:rsidR="003A596A" w:rsidRPr="00A17E25" w:rsidRDefault="003A596A" w:rsidP="00151AD3">
      <w:pPr>
        <w:pStyle w:val="twunmatched"/>
        <w:numPr>
          <w:ilvl w:val="0"/>
          <w:numId w:val="23"/>
        </w:numPr>
        <w:jc w:val="both"/>
        <w:rPr>
          <w:rFonts w:ascii="Arial" w:hAnsi="Arial" w:cs="Arial"/>
        </w:rPr>
      </w:pPr>
      <w:r w:rsidRPr="00A17E25">
        <w:rPr>
          <w:rFonts w:ascii="Arial" w:hAnsi="Arial" w:cs="Arial"/>
        </w:rPr>
        <w:t>l'examen et le vote des dépenses sur dotation et le compte administratif de l'arrondissement, les propositions d'investissement à soumettre à la décision du conseil communal.</w:t>
      </w:r>
    </w:p>
    <w:p w:rsidR="003A596A" w:rsidRPr="00A17E25" w:rsidRDefault="003A596A" w:rsidP="00151AD3">
      <w:pPr>
        <w:pStyle w:val="twunmatched"/>
        <w:numPr>
          <w:ilvl w:val="0"/>
          <w:numId w:val="23"/>
        </w:numPr>
        <w:jc w:val="both"/>
        <w:rPr>
          <w:rFonts w:ascii="Arial" w:hAnsi="Arial" w:cs="Arial"/>
        </w:rPr>
      </w:pPr>
      <w:r w:rsidRPr="00A17E25">
        <w:rPr>
          <w:rFonts w:ascii="Arial" w:hAnsi="Arial" w:cs="Arial"/>
        </w:rPr>
        <w:t>la gestion, la conservation et l'entretien des biens rattachés à l'exercice de ses compétences.</w:t>
      </w:r>
    </w:p>
    <w:p w:rsidR="003A596A" w:rsidRPr="00A17E25" w:rsidRDefault="003A596A" w:rsidP="003A596A">
      <w:pPr>
        <w:pStyle w:val="twunmatched"/>
        <w:ind w:left="75"/>
        <w:jc w:val="both"/>
        <w:rPr>
          <w:rFonts w:ascii="Arial" w:hAnsi="Arial" w:cs="Arial"/>
        </w:rPr>
      </w:pPr>
      <w:r w:rsidRPr="00A17E25">
        <w:rPr>
          <w:rFonts w:ascii="Arial" w:hAnsi="Arial" w:cs="Arial"/>
        </w:rPr>
        <w:t xml:space="preserve">Les recettes de fonctionnement </w:t>
      </w:r>
      <w:r w:rsidR="002E3126">
        <w:rPr>
          <w:rFonts w:ascii="Arial" w:hAnsi="Arial" w:cs="Arial"/>
        </w:rPr>
        <w:t>des arrondissements</w:t>
      </w:r>
      <w:r w:rsidRPr="00A17E25">
        <w:rPr>
          <w:rFonts w:ascii="Arial" w:hAnsi="Arial" w:cs="Arial"/>
        </w:rPr>
        <w:t xml:space="preserve"> sont constituées à titre exclusif, d'une dotation globale attribuée par le conseil communal. Cette dotation globale constitue une dépense obligatoire pour la commune et son montant, toujours fixé par le conseil communal, comprend en principe deux parties :</w:t>
      </w:r>
    </w:p>
    <w:p w:rsidR="003A596A" w:rsidRPr="00A17E25" w:rsidRDefault="003A596A" w:rsidP="00AA6D00">
      <w:pPr>
        <w:pStyle w:val="twunmatched"/>
        <w:numPr>
          <w:ilvl w:val="0"/>
          <w:numId w:val="24"/>
        </w:numPr>
        <w:spacing w:before="120" w:beforeAutospacing="0"/>
        <w:ind w:left="432"/>
        <w:jc w:val="both"/>
        <w:rPr>
          <w:rFonts w:ascii="Arial" w:hAnsi="Arial" w:cs="Arial"/>
        </w:rPr>
      </w:pPr>
      <w:r w:rsidRPr="00A17E25">
        <w:rPr>
          <w:rFonts w:ascii="Arial" w:hAnsi="Arial" w:cs="Arial"/>
        </w:rPr>
        <w:t>la première est forfaitaire, qui ne peut être inférieure à 40 % du montant de la dotation globale affectée aux arrondissements. Cette partie est déterminée proportionnellement au nombre d'habitants de l'arrondissement.</w:t>
      </w:r>
    </w:p>
    <w:p w:rsidR="003A596A" w:rsidRPr="00A17E25" w:rsidRDefault="003A596A" w:rsidP="00AA6D00">
      <w:pPr>
        <w:pStyle w:val="twunmatched"/>
        <w:numPr>
          <w:ilvl w:val="0"/>
          <w:numId w:val="24"/>
        </w:numPr>
        <w:spacing w:before="120" w:beforeAutospacing="0"/>
        <w:ind w:left="432"/>
        <w:jc w:val="both"/>
        <w:rPr>
          <w:rFonts w:ascii="Arial" w:hAnsi="Arial" w:cs="Arial"/>
        </w:rPr>
      </w:pPr>
      <w:r w:rsidRPr="00A17E25">
        <w:rPr>
          <w:rFonts w:ascii="Arial" w:hAnsi="Arial" w:cs="Arial"/>
        </w:rPr>
        <w:t>la seconde part est fixée en fonction de l'importance relative des dépenses de fonctionnement, à l'exclusion de dépenses du personnel et des frais financiers qui sont à la charge du budget de la commune.</w:t>
      </w:r>
    </w:p>
    <w:p w:rsidR="003A596A" w:rsidRDefault="003A596A" w:rsidP="003A596A">
      <w:pPr>
        <w:pStyle w:val="twunmatched"/>
        <w:ind w:left="75"/>
        <w:jc w:val="both"/>
        <w:rPr>
          <w:rFonts w:ascii="Arial" w:hAnsi="Arial" w:cs="Arial"/>
        </w:rPr>
      </w:pPr>
      <w:r w:rsidRPr="00A17E25">
        <w:rPr>
          <w:rFonts w:ascii="Arial" w:hAnsi="Arial" w:cs="Arial"/>
        </w:rPr>
        <w:t xml:space="preserve">Dans les faits, </w:t>
      </w:r>
      <w:r w:rsidR="00A24ED5">
        <w:rPr>
          <w:rFonts w:ascii="Arial" w:hAnsi="Arial" w:cs="Arial"/>
        </w:rPr>
        <w:t>la</w:t>
      </w:r>
      <w:r w:rsidRPr="00A17E25">
        <w:rPr>
          <w:rFonts w:ascii="Arial" w:hAnsi="Arial" w:cs="Arial"/>
        </w:rPr>
        <w:t xml:space="preserve"> répartition </w:t>
      </w:r>
      <w:r w:rsidR="00A24ED5">
        <w:rPr>
          <w:rFonts w:ascii="Arial" w:hAnsi="Arial" w:cs="Arial"/>
        </w:rPr>
        <w:t xml:space="preserve">de la dotation globale </w:t>
      </w:r>
      <w:r w:rsidRPr="00A17E25">
        <w:rPr>
          <w:rFonts w:ascii="Arial" w:hAnsi="Arial" w:cs="Arial"/>
        </w:rPr>
        <w:t>entre les 16 arrondissements de la ville est régie par une circulaire ancienne qui date de 2004 définissant les critères de répartition des transferts entre les arrondissements.</w:t>
      </w:r>
    </w:p>
    <w:p w:rsidR="00A24ED5" w:rsidRDefault="00A24ED5" w:rsidP="003A596A">
      <w:pPr>
        <w:pStyle w:val="twunmatched"/>
        <w:ind w:left="75"/>
        <w:jc w:val="both"/>
        <w:rPr>
          <w:rFonts w:ascii="Arial" w:hAnsi="Arial" w:cs="Arial"/>
        </w:rPr>
      </w:pPr>
      <w:r>
        <w:rPr>
          <w:rFonts w:ascii="Arial" w:hAnsi="Arial" w:cs="Arial"/>
        </w:rPr>
        <w:t>Pour la notation des trois composantes de cet indicateur, les données prises en compte sont celles du budget 2014 qui est le dernier exercice budgétaire clôturé.</w:t>
      </w:r>
    </w:p>
    <w:p w:rsidR="003A596A" w:rsidRPr="004B57C3" w:rsidRDefault="003A596A" w:rsidP="00151AD3">
      <w:pPr>
        <w:pStyle w:val="Comp"/>
        <w:numPr>
          <w:ilvl w:val="0"/>
          <w:numId w:val="76"/>
        </w:numPr>
        <w:rPr>
          <w:rFonts w:ascii="Arial" w:hAnsi="Arial" w:cs="Arial"/>
          <w:b w:val="0"/>
          <w:color w:val="0070C0"/>
          <w:sz w:val="24"/>
          <w:szCs w:val="24"/>
        </w:rPr>
      </w:pPr>
      <w:bookmarkStart w:id="163" w:name="_Toc428200803"/>
      <w:bookmarkStart w:id="164" w:name="_Toc434916121"/>
      <w:bookmarkStart w:id="165" w:name="_Toc434918335"/>
      <w:r w:rsidRPr="004B57C3">
        <w:rPr>
          <w:rFonts w:ascii="Arial" w:hAnsi="Arial" w:cs="Arial"/>
          <w:b w:val="0"/>
          <w:color w:val="0070C0"/>
          <w:sz w:val="24"/>
          <w:szCs w:val="24"/>
        </w:rPr>
        <w:t>Systèmes transparents et basés sur des règles pour l’affectation horizontale entre les administrations infranationales des transferts inconditionnels et conditionnels en provenance de l’administration centrale (affectation prévue dans le budget et affectation réelle).</w:t>
      </w:r>
      <w:bookmarkEnd w:id="163"/>
      <w:bookmarkEnd w:id="164"/>
      <w:bookmarkEnd w:id="165"/>
    </w:p>
    <w:p w:rsidR="00C86231" w:rsidRPr="00C86231" w:rsidRDefault="00C86231" w:rsidP="00C86231">
      <w:pPr>
        <w:pStyle w:val="twunmatched"/>
        <w:jc w:val="both"/>
        <w:rPr>
          <w:rFonts w:ascii="Arial" w:hAnsi="Arial" w:cs="Arial"/>
        </w:rPr>
      </w:pPr>
      <w:r w:rsidRPr="00C86231">
        <w:rPr>
          <w:rFonts w:ascii="Arial" w:hAnsi="Arial" w:cs="Arial"/>
        </w:rPr>
        <w:t xml:space="preserve">Les informations recueillies ne permettent pas de conclure que les arrondissements répondent aux critères qui définissent une entité locale au sens de PEFA. En effet, les arrondissements n’ont pas le droit de posséder des actifs et de se procurer des ressources financières. </w:t>
      </w:r>
    </w:p>
    <w:p w:rsidR="003A596A" w:rsidRPr="004B57C3" w:rsidRDefault="003A596A" w:rsidP="00151AD3">
      <w:pPr>
        <w:pStyle w:val="Comp"/>
        <w:numPr>
          <w:ilvl w:val="0"/>
          <w:numId w:val="20"/>
        </w:numPr>
        <w:rPr>
          <w:rFonts w:ascii="Arial" w:hAnsi="Arial" w:cs="Arial"/>
          <w:b w:val="0"/>
          <w:color w:val="0070C0"/>
          <w:sz w:val="24"/>
          <w:szCs w:val="24"/>
        </w:rPr>
      </w:pPr>
      <w:bookmarkStart w:id="166" w:name="_Toc428200804"/>
      <w:bookmarkStart w:id="167" w:name="_Toc434916122"/>
      <w:bookmarkStart w:id="168" w:name="_Toc434918336"/>
      <w:r w:rsidRPr="004B57C3">
        <w:rPr>
          <w:rFonts w:ascii="Arial" w:hAnsi="Arial" w:cs="Arial"/>
          <w:b w:val="0"/>
          <w:color w:val="0070C0"/>
          <w:sz w:val="24"/>
          <w:szCs w:val="24"/>
        </w:rPr>
        <w:t>Communication en temps voulu d’informations fiables à des fins de planification budgétaire aux administrations infranationales sur les affectations budgétaires de l’administration centrale pour le prochain exercice.</w:t>
      </w:r>
      <w:bookmarkEnd w:id="166"/>
      <w:bookmarkEnd w:id="167"/>
      <w:bookmarkEnd w:id="168"/>
    </w:p>
    <w:p w:rsidR="003A596A" w:rsidRPr="00B44011" w:rsidRDefault="00C86231" w:rsidP="00B44011">
      <w:pPr>
        <w:pStyle w:val="twunmatched"/>
        <w:jc w:val="both"/>
        <w:rPr>
          <w:rFonts w:ascii="Arial" w:hAnsi="Arial" w:cs="Arial"/>
        </w:rPr>
      </w:pPr>
      <w:r w:rsidRPr="00C86231">
        <w:rPr>
          <w:rFonts w:ascii="Arial" w:hAnsi="Arial" w:cs="Arial"/>
        </w:rPr>
        <w:t xml:space="preserve">Les informations recueillies ne permettent pas de conclure que les arrondissements répondent aux critères qui définissent une entité locale au sens de PEFA. En effet, les arrondissements n’ont pas le droit de posséder des actifs et de se procurer des ressources financières. </w:t>
      </w:r>
    </w:p>
    <w:p w:rsidR="003A596A" w:rsidRPr="004B57C3" w:rsidRDefault="003A596A" w:rsidP="003A596A">
      <w:pPr>
        <w:pStyle w:val="Comp"/>
        <w:numPr>
          <w:ilvl w:val="0"/>
          <w:numId w:val="20"/>
        </w:numPr>
        <w:rPr>
          <w:rFonts w:ascii="Arial" w:hAnsi="Arial" w:cs="Arial"/>
          <w:color w:val="0070C0"/>
          <w:sz w:val="24"/>
          <w:szCs w:val="24"/>
        </w:rPr>
      </w:pPr>
      <w:bookmarkStart w:id="169" w:name="_Toc428200805"/>
      <w:bookmarkStart w:id="170" w:name="_Toc434916123"/>
      <w:bookmarkStart w:id="171" w:name="_Toc434918337"/>
      <w:r w:rsidRPr="004B57C3">
        <w:rPr>
          <w:rFonts w:ascii="Arial" w:hAnsi="Arial" w:cs="Arial"/>
          <w:b w:val="0"/>
          <w:color w:val="0070C0"/>
          <w:sz w:val="24"/>
          <w:szCs w:val="24"/>
        </w:rPr>
        <w:t>Mesure dans laquelle les données budgétaires consolidées (au moins sur les recettes et les dépenses) sont collectées et présentées pour les administrations publiques</w:t>
      </w:r>
      <w:r w:rsidRPr="004B57C3">
        <w:rPr>
          <w:rFonts w:ascii="Arial" w:hAnsi="Arial" w:cs="Arial"/>
          <w:color w:val="0070C0"/>
          <w:sz w:val="24"/>
          <w:szCs w:val="24"/>
        </w:rPr>
        <w:t>.</w:t>
      </w:r>
      <w:bookmarkEnd w:id="169"/>
      <w:bookmarkEnd w:id="170"/>
      <w:bookmarkEnd w:id="171"/>
    </w:p>
    <w:p w:rsidR="00482393" w:rsidRPr="00370022" w:rsidRDefault="00C86231" w:rsidP="00370022">
      <w:pPr>
        <w:pStyle w:val="twunmatched"/>
        <w:jc w:val="both"/>
        <w:rPr>
          <w:rFonts w:ascii="Arial" w:hAnsi="Arial" w:cs="Arial"/>
        </w:rPr>
      </w:pPr>
      <w:r w:rsidRPr="00C86231">
        <w:rPr>
          <w:rFonts w:ascii="Arial" w:hAnsi="Arial" w:cs="Arial"/>
        </w:rPr>
        <w:t xml:space="preserve">Les informations recueillies ne permettent pas de conclure que les arrondissements répondent aux critères qui définissent une entité locale au sens de PEFA. En effet, les arrondissements n’ont pas le droit de posséder des actifs et de se procurer des ressources financières. </w:t>
      </w:r>
    </w:p>
    <w:tbl>
      <w:tblPr>
        <w:tblpPr w:leftFromText="141" w:rightFromText="141" w:vertAnchor="text" w:horzAnchor="margin" w:tblpY="28"/>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960"/>
        <w:gridCol w:w="4098"/>
      </w:tblGrid>
      <w:tr w:rsidR="003A596A" w:rsidRPr="00A17E25" w:rsidTr="003A596A">
        <w:tc>
          <w:tcPr>
            <w:tcW w:w="4146"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Indicateur</w:t>
            </w:r>
          </w:p>
        </w:tc>
        <w:tc>
          <w:tcPr>
            <w:tcW w:w="960"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Note</w:t>
            </w:r>
          </w:p>
        </w:tc>
        <w:tc>
          <w:tcPr>
            <w:tcW w:w="4098" w:type="dxa"/>
            <w:shd w:val="clear" w:color="auto" w:fill="0070C0"/>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Explication</w:t>
            </w:r>
          </w:p>
        </w:tc>
      </w:tr>
      <w:tr w:rsidR="003A596A" w:rsidRPr="00A17E25" w:rsidTr="003A596A">
        <w:tc>
          <w:tcPr>
            <w:tcW w:w="4146" w:type="dxa"/>
          </w:tcPr>
          <w:p w:rsidR="003A596A" w:rsidRDefault="003A596A" w:rsidP="003A596A">
            <w:pPr>
              <w:jc w:val="both"/>
              <w:rPr>
                <w:rFonts w:ascii="Arial" w:hAnsi="Arial" w:cs="Arial"/>
                <w:b/>
                <w:bCs/>
                <w:sz w:val="20"/>
                <w:szCs w:val="20"/>
              </w:rPr>
            </w:pPr>
            <w:r w:rsidRPr="00A17E25">
              <w:rPr>
                <w:rFonts w:ascii="Arial" w:hAnsi="Arial" w:cs="Arial"/>
                <w:b/>
                <w:sz w:val="20"/>
                <w:szCs w:val="20"/>
              </w:rPr>
              <w:t xml:space="preserve">PI-7. </w:t>
            </w:r>
            <w:r w:rsidRPr="00A17E25">
              <w:rPr>
                <w:rFonts w:ascii="Arial" w:hAnsi="Arial" w:cs="Arial"/>
                <w:b/>
                <w:bCs/>
                <w:sz w:val="20"/>
                <w:szCs w:val="20"/>
              </w:rPr>
              <w:t>Transparence des relations budgétaires entre différents niveaux d’administration</w:t>
            </w:r>
          </w:p>
          <w:p w:rsidR="00AA6D00" w:rsidRPr="00A17E25" w:rsidRDefault="00AA6D00" w:rsidP="003A596A">
            <w:pPr>
              <w:jc w:val="both"/>
              <w:rPr>
                <w:rFonts w:ascii="Arial" w:hAnsi="Arial" w:cs="Arial"/>
                <w:b/>
                <w:sz w:val="20"/>
                <w:szCs w:val="20"/>
              </w:rPr>
            </w:pPr>
          </w:p>
        </w:tc>
        <w:tc>
          <w:tcPr>
            <w:tcW w:w="960" w:type="dxa"/>
          </w:tcPr>
          <w:p w:rsidR="003A596A" w:rsidRPr="00A17E25" w:rsidRDefault="00C86231" w:rsidP="003A596A">
            <w:pPr>
              <w:jc w:val="center"/>
              <w:rPr>
                <w:rFonts w:ascii="Arial" w:hAnsi="Arial" w:cs="Arial"/>
                <w:b/>
                <w:sz w:val="20"/>
                <w:szCs w:val="20"/>
              </w:rPr>
            </w:pPr>
            <w:r>
              <w:rPr>
                <w:rFonts w:ascii="Arial" w:hAnsi="Arial" w:cs="Arial"/>
                <w:b/>
                <w:sz w:val="20"/>
                <w:szCs w:val="20"/>
              </w:rPr>
              <w:t>N/A</w:t>
            </w:r>
          </w:p>
        </w:tc>
        <w:tc>
          <w:tcPr>
            <w:tcW w:w="4098" w:type="dxa"/>
          </w:tcPr>
          <w:p w:rsidR="003A596A" w:rsidRPr="00A17E25" w:rsidRDefault="003A596A" w:rsidP="003A596A">
            <w:pPr>
              <w:jc w:val="both"/>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4146"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(i)     Systèmes transparents et basés sur des règles pour l’affectation horizontale entre administrations infranationales des transferts inconditionnels et conditionnels en provenance de l’administration centrale.</w:t>
            </w:r>
          </w:p>
        </w:tc>
        <w:tc>
          <w:tcPr>
            <w:tcW w:w="960" w:type="dxa"/>
          </w:tcPr>
          <w:p w:rsidR="003A596A" w:rsidRPr="00A17E25" w:rsidRDefault="00C86231" w:rsidP="003A596A">
            <w:pPr>
              <w:jc w:val="center"/>
              <w:rPr>
                <w:rFonts w:ascii="Arial" w:hAnsi="Arial" w:cs="Arial"/>
                <w:sz w:val="20"/>
                <w:szCs w:val="20"/>
              </w:rPr>
            </w:pPr>
            <w:r>
              <w:rPr>
                <w:rFonts w:ascii="Arial" w:hAnsi="Arial" w:cs="Arial"/>
                <w:sz w:val="20"/>
                <w:szCs w:val="20"/>
              </w:rPr>
              <w:t>N/A</w:t>
            </w:r>
          </w:p>
        </w:tc>
        <w:tc>
          <w:tcPr>
            <w:tcW w:w="4098" w:type="dxa"/>
          </w:tcPr>
          <w:p w:rsidR="003A596A" w:rsidRDefault="00C86231" w:rsidP="002F190C">
            <w:pPr>
              <w:jc w:val="both"/>
              <w:rPr>
                <w:rFonts w:ascii="Arial" w:hAnsi="Arial" w:cs="Arial"/>
                <w:sz w:val="20"/>
                <w:szCs w:val="20"/>
              </w:rPr>
            </w:pPr>
            <w:r>
              <w:rPr>
                <w:rFonts w:ascii="Arial" w:hAnsi="Arial" w:cs="Arial"/>
                <w:sz w:val="20"/>
                <w:szCs w:val="20"/>
              </w:rPr>
              <w:t>L</w:t>
            </w:r>
            <w:r w:rsidRPr="00C86231">
              <w:rPr>
                <w:rFonts w:ascii="Arial" w:hAnsi="Arial" w:cs="Arial"/>
                <w:sz w:val="20"/>
                <w:szCs w:val="20"/>
              </w:rPr>
              <w:t>es arrondissements ne répondent pas  aux critères qui définissent une entité locale au sens de PEFA</w:t>
            </w:r>
            <w:r w:rsidRPr="00A17E25" w:rsidDel="00C86231">
              <w:rPr>
                <w:rFonts w:ascii="Arial" w:hAnsi="Arial" w:cs="Arial"/>
                <w:sz w:val="20"/>
                <w:szCs w:val="20"/>
              </w:rPr>
              <w:t xml:space="preserve"> </w:t>
            </w:r>
          </w:p>
          <w:p w:rsidR="00AA6D00" w:rsidRPr="00A17E25" w:rsidRDefault="00AA6D00" w:rsidP="002F190C">
            <w:pPr>
              <w:jc w:val="both"/>
              <w:rPr>
                <w:rFonts w:ascii="Arial" w:hAnsi="Arial" w:cs="Arial"/>
                <w:sz w:val="20"/>
                <w:szCs w:val="20"/>
              </w:rPr>
            </w:pPr>
          </w:p>
        </w:tc>
      </w:tr>
      <w:tr w:rsidR="003A596A" w:rsidRPr="00A17E25" w:rsidTr="003A596A">
        <w:tc>
          <w:tcPr>
            <w:tcW w:w="4146"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ii)  Communication en temps voulu d’informations fiables à des fins de planification budgétaires aux administrations infranationales sur les affectations budgétaires de l’administration centrale pour le prochain exercice. </w:t>
            </w:r>
          </w:p>
        </w:tc>
        <w:tc>
          <w:tcPr>
            <w:tcW w:w="960" w:type="dxa"/>
          </w:tcPr>
          <w:p w:rsidR="003A596A" w:rsidRPr="00A17E25" w:rsidRDefault="00C86231" w:rsidP="003A596A">
            <w:pPr>
              <w:jc w:val="center"/>
              <w:rPr>
                <w:rFonts w:ascii="Arial" w:hAnsi="Arial" w:cs="Arial"/>
                <w:sz w:val="20"/>
                <w:szCs w:val="20"/>
              </w:rPr>
            </w:pPr>
            <w:r>
              <w:rPr>
                <w:rFonts w:ascii="Arial" w:hAnsi="Arial" w:cs="Arial"/>
                <w:sz w:val="20"/>
                <w:szCs w:val="20"/>
              </w:rPr>
              <w:t>N/A</w:t>
            </w:r>
          </w:p>
        </w:tc>
        <w:tc>
          <w:tcPr>
            <w:tcW w:w="4098" w:type="dxa"/>
          </w:tcPr>
          <w:p w:rsidR="003A596A" w:rsidRDefault="00C86231" w:rsidP="003A596A">
            <w:pPr>
              <w:pStyle w:val="Default"/>
              <w:jc w:val="both"/>
              <w:rPr>
                <w:rFonts w:ascii="Arial" w:hAnsi="Arial" w:cs="Arial"/>
                <w:sz w:val="20"/>
                <w:szCs w:val="20"/>
                <w:lang w:val="fr-FR"/>
              </w:rPr>
            </w:pPr>
            <w:r>
              <w:rPr>
                <w:rFonts w:ascii="Arial" w:hAnsi="Arial" w:cs="Arial"/>
                <w:sz w:val="20"/>
                <w:szCs w:val="20"/>
                <w:lang w:val="fr-FR"/>
              </w:rPr>
              <w:t>L</w:t>
            </w:r>
            <w:r w:rsidRPr="00C86231">
              <w:rPr>
                <w:rFonts w:ascii="Arial" w:hAnsi="Arial" w:cs="Arial"/>
                <w:sz w:val="20"/>
                <w:szCs w:val="20"/>
                <w:lang w:val="fr-FR"/>
              </w:rPr>
              <w:t>es arrondissements ne répondent pas  aux critères qui définissent une entité locale au sens de PEFA</w:t>
            </w:r>
            <w:r w:rsidRPr="00C86231" w:rsidDel="00C86231">
              <w:rPr>
                <w:rFonts w:ascii="Arial" w:hAnsi="Arial" w:cs="Arial"/>
                <w:sz w:val="20"/>
                <w:szCs w:val="20"/>
                <w:lang w:val="fr-FR"/>
              </w:rPr>
              <w:t xml:space="preserve"> </w:t>
            </w:r>
          </w:p>
          <w:p w:rsidR="00AA6D00" w:rsidRPr="00A17E25" w:rsidRDefault="00AA6D00" w:rsidP="003A596A">
            <w:pPr>
              <w:pStyle w:val="Default"/>
              <w:jc w:val="both"/>
              <w:rPr>
                <w:rFonts w:ascii="Arial" w:hAnsi="Arial" w:cs="Arial"/>
                <w:color w:val="auto"/>
                <w:sz w:val="20"/>
                <w:szCs w:val="20"/>
                <w:lang w:val="fr-FR"/>
              </w:rPr>
            </w:pPr>
          </w:p>
        </w:tc>
      </w:tr>
      <w:tr w:rsidR="003A596A" w:rsidRPr="00A17E25" w:rsidTr="003A596A">
        <w:tc>
          <w:tcPr>
            <w:tcW w:w="4146"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Iii) Mesure dans laquelle les données budgétaires rapprochées sont collectées et présentées pour les administrations publiques. </w:t>
            </w:r>
          </w:p>
        </w:tc>
        <w:tc>
          <w:tcPr>
            <w:tcW w:w="960" w:type="dxa"/>
          </w:tcPr>
          <w:p w:rsidR="003A596A" w:rsidRPr="00A17E25" w:rsidRDefault="00C86231" w:rsidP="003A596A">
            <w:pPr>
              <w:jc w:val="center"/>
              <w:rPr>
                <w:rFonts w:ascii="Arial" w:hAnsi="Arial" w:cs="Arial"/>
                <w:sz w:val="20"/>
                <w:szCs w:val="20"/>
              </w:rPr>
            </w:pPr>
            <w:r>
              <w:rPr>
                <w:rFonts w:ascii="Arial" w:hAnsi="Arial" w:cs="Arial"/>
                <w:sz w:val="20"/>
                <w:szCs w:val="20"/>
              </w:rPr>
              <w:t>N/A</w:t>
            </w:r>
          </w:p>
        </w:tc>
        <w:tc>
          <w:tcPr>
            <w:tcW w:w="4098" w:type="dxa"/>
          </w:tcPr>
          <w:p w:rsidR="003A596A" w:rsidRPr="00A17E25" w:rsidRDefault="00C86231" w:rsidP="003A596A">
            <w:pPr>
              <w:pStyle w:val="Default"/>
              <w:jc w:val="both"/>
              <w:rPr>
                <w:rFonts w:ascii="Arial" w:hAnsi="Arial" w:cs="Arial"/>
                <w:sz w:val="20"/>
                <w:szCs w:val="20"/>
                <w:lang w:val="fr-FR"/>
              </w:rPr>
            </w:pPr>
            <w:r>
              <w:rPr>
                <w:rFonts w:ascii="Arial" w:hAnsi="Arial" w:cs="Arial"/>
                <w:sz w:val="20"/>
                <w:szCs w:val="20"/>
                <w:lang w:val="fr-FR"/>
              </w:rPr>
              <w:t>L</w:t>
            </w:r>
            <w:r w:rsidRPr="00C86231">
              <w:rPr>
                <w:rFonts w:ascii="Arial" w:hAnsi="Arial" w:cs="Arial"/>
                <w:sz w:val="20"/>
                <w:szCs w:val="20"/>
                <w:lang w:val="fr-FR"/>
              </w:rPr>
              <w:t>es arrondissements ne répondent pas  aux critères qui définissent une entité locale au sens de PEFA</w:t>
            </w:r>
            <w:r w:rsidRPr="00C86231" w:rsidDel="00C86231">
              <w:rPr>
                <w:rFonts w:ascii="Arial" w:hAnsi="Arial" w:cs="Arial"/>
                <w:sz w:val="20"/>
                <w:szCs w:val="20"/>
                <w:lang w:val="fr-FR"/>
              </w:rPr>
              <w:t xml:space="preserve"> </w:t>
            </w:r>
          </w:p>
        </w:tc>
      </w:tr>
    </w:tbl>
    <w:p w:rsidR="003A596A" w:rsidRPr="00A17E25" w:rsidRDefault="003A596A" w:rsidP="003A596A">
      <w:pPr>
        <w:rPr>
          <w:rFonts w:ascii="Arial" w:hAnsi="Arial" w:cs="Arial"/>
          <w:b/>
        </w:rPr>
      </w:pPr>
      <w:r w:rsidRPr="00A17E25">
        <w:rPr>
          <w:rFonts w:ascii="Arial" w:hAnsi="Arial" w:cs="Arial"/>
          <w:b/>
        </w:rPr>
        <w:t>PI-8 : Utilisation des informations sur la performance pour assurer une prestation de service efficace</w:t>
      </w:r>
    </w:p>
    <w:p w:rsidR="003A596A" w:rsidRPr="00A17E25" w:rsidRDefault="003A596A" w:rsidP="003A596A">
      <w:pPr>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des trois premières composantes de cet indicateur (i, ii &amp; iii) les données utilisées sont celles de l’exercice 2014 (dernier exercice clôturé) et pour la composante iv, celles des 3 derniers exercices budgétaires avant l’évaluation (2012-2014).</w:t>
      </w:r>
    </w:p>
    <w:p w:rsidR="003A596A" w:rsidRPr="00A17E25" w:rsidRDefault="003A596A" w:rsidP="003A596A">
      <w:pPr>
        <w:jc w:val="both"/>
        <w:rPr>
          <w:rFonts w:ascii="Arial" w:hAnsi="Arial" w:cs="Arial"/>
        </w:rPr>
      </w:pPr>
    </w:p>
    <w:p w:rsidR="009C247D" w:rsidRPr="00A17E25" w:rsidRDefault="009C247D" w:rsidP="009C247D">
      <w:pPr>
        <w:jc w:val="both"/>
        <w:rPr>
          <w:rFonts w:ascii="Arial" w:hAnsi="Arial" w:cs="Arial"/>
        </w:rPr>
      </w:pPr>
      <w:r w:rsidRPr="00A17E25">
        <w:rPr>
          <w:rFonts w:ascii="Arial" w:hAnsi="Arial" w:cs="Arial"/>
        </w:rPr>
        <w:t xml:space="preserve">Les principales prestations de service assurées par la Commune urbaine de Casablanca se rapportent aux domaines suivants : voirie, espaces verts, hygiène, affaires sociales, culture et sport, transport, eau-électricité-assainissement liquide-éclairage public, collecte et traitement des ordures ménagères. </w:t>
      </w:r>
    </w:p>
    <w:p w:rsidR="009C247D" w:rsidRPr="00A17E25" w:rsidRDefault="009C247D" w:rsidP="009C247D">
      <w:pPr>
        <w:jc w:val="both"/>
        <w:rPr>
          <w:rFonts w:ascii="Arial" w:hAnsi="Arial" w:cs="Arial"/>
        </w:rPr>
      </w:pPr>
    </w:p>
    <w:p w:rsidR="002C66B7" w:rsidRDefault="009C247D" w:rsidP="002C66B7">
      <w:pPr>
        <w:jc w:val="both"/>
        <w:rPr>
          <w:rFonts w:ascii="Arial Narrow" w:hAnsi="Arial Narrow" w:cs="Arial"/>
          <w:b/>
          <w:sz w:val="20"/>
          <w:szCs w:val="20"/>
          <w:u w:val="single"/>
        </w:rPr>
      </w:pPr>
      <w:r w:rsidRPr="00A17E25">
        <w:rPr>
          <w:rFonts w:ascii="Arial" w:hAnsi="Arial" w:cs="Arial"/>
        </w:rPr>
        <w:t>Pour l’exercice 2014, les dépenses effectives effectuées au titre de ces différentes prestations de service sont présen</w:t>
      </w:r>
      <w:r w:rsidR="002C66B7">
        <w:rPr>
          <w:rFonts w:ascii="Arial" w:hAnsi="Arial" w:cs="Arial"/>
        </w:rPr>
        <w:t>tées dans le tableau ci-dessous</w:t>
      </w:r>
      <w:r w:rsidRPr="00A17E25">
        <w:rPr>
          <w:rFonts w:ascii="Arial" w:hAnsi="Arial" w:cs="Arial"/>
        </w:rPr>
        <w:t>:</w:t>
      </w:r>
    </w:p>
    <w:p w:rsidR="002C66B7" w:rsidRDefault="002C66B7" w:rsidP="002C66B7">
      <w:pPr>
        <w:jc w:val="both"/>
        <w:rPr>
          <w:rFonts w:ascii="Arial Narrow" w:hAnsi="Arial Narrow" w:cs="Arial"/>
          <w:b/>
          <w:sz w:val="20"/>
          <w:szCs w:val="20"/>
          <w:u w:val="single"/>
        </w:rPr>
      </w:pPr>
    </w:p>
    <w:p w:rsidR="002C66B7" w:rsidRDefault="002C66B7" w:rsidP="002C66B7">
      <w:pPr>
        <w:jc w:val="center"/>
        <w:rPr>
          <w:rFonts w:ascii="Arial Narrow" w:hAnsi="Arial Narrow" w:cs="Arial"/>
          <w:b/>
          <w:sz w:val="20"/>
          <w:szCs w:val="20"/>
          <w:u w:val="single"/>
        </w:rPr>
      </w:pPr>
    </w:p>
    <w:p w:rsidR="009C247D" w:rsidRPr="002C66B7" w:rsidRDefault="009C247D" w:rsidP="002C66B7">
      <w:pPr>
        <w:jc w:val="center"/>
        <w:rPr>
          <w:rFonts w:ascii="Arial" w:hAnsi="Arial" w:cs="Arial"/>
        </w:rPr>
      </w:pPr>
      <w:r w:rsidRPr="00E67B20">
        <w:rPr>
          <w:rFonts w:ascii="Arial Narrow" w:hAnsi="Arial Narrow" w:cs="Arial"/>
          <w:b/>
          <w:sz w:val="20"/>
          <w:szCs w:val="20"/>
          <w:u w:val="single"/>
        </w:rPr>
        <w:t>TABLEAU</w:t>
      </w:r>
      <w:r w:rsidRPr="00E67B20">
        <w:rPr>
          <w:rFonts w:ascii="Arial Narrow" w:hAnsi="Arial Narrow" w:cs="Arial"/>
          <w:b/>
          <w:sz w:val="20"/>
          <w:szCs w:val="20"/>
        </w:rPr>
        <w:t xml:space="preserve"> 3.15 : Dépenses exécutées en 2014 au titre des principales fonctions de prestation de service de la </w:t>
      </w:r>
      <w:r w:rsidR="00262F9D">
        <w:rPr>
          <w:rFonts w:ascii="Arial Narrow" w:hAnsi="Arial Narrow" w:cs="Arial"/>
          <w:b/>
          <w:sz w:val="20"/>
          <w:szCs w:val="20"/>
        </w:rPr>
        <w:t>CC</w:t>
      </w:r>
    </w:p>
    <w:p w:rsidR="009C247D" w:rsidRDefault="009C247D" w:rsidP="002C66B7">
      <w:pPr>
        <w:jc w:val="center"/>
        <w:rPr>
          <w:rFonts w:ascii="Arial Narrow" w:hAnsi="Arial Narrow" w:cs="Arial"/>
          <w:sz w:val="20"/>
          <w:szCs w:val="20"/>
        </w:rPr>
      </w:pPr>
      <w:r w:rsidRPr="00E67B20">
        <w:rPr>
          <w:rFonts w:ascii="Arial Narrow" w:hAnsi="Arial Narrow" w:cs="Arial"/>
          <w:sz w:val="20"/>
          <w:szCs w:val="20"/>
        </w:rPr>
        <w:t>(En dirhams)</w:t>
      </w:r>
    </w:p>
    <w:p w:rsidR="009C247D" w:rsidRPr="00E67B20" w:rsidRDefault="009C247D" w:rsidP="009C247D">
      <w:pPr>
        <w:jc w:val="cente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857"/>
        <w:gridCol w:w="2528"/>
      </w:tblGrid>
      <w:tr w:rsidR="009C247D" w:rsidRPr="00A17E25" w:rsidTr="004B57C3">
        <w:trPr>
          <w:tblHeader/>
        </w:trPr>
        <w:tc>
          <w:tcPr>
            <w:tcW w:w="2655"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Domaines</w:t>
            </w:r>
          </w:p>
        </w:tc>
        <w:tc>
          <w:tcPr>
            <w:tcW w:w="993"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Montants</w:t>
            </w:r>
          </w:p>
        </w:tc>
        <w:tc>
          <w:tcPr>
            <w:tcW w:w="1352"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Poids/dépenses totales</w:t>
            </w:r>
          </w:p>
        </w:tc>
      </w:tr>
      <w:tr w:rsidR="009C247D" w:rsidRPr="00A17E25" w:rsidTr="00304EB4">
        <w:tc>
          <w:tcPr>
            <w:tcW w:w="2655" w:type="pct"/>
          </w:tcPr>
          <w:p w:rsidR="009C247D" w:rsidRPr="00A17E25" w:rsidRDefault="009C247D" w:rsidP="00304EB4">
            <w:pPr>
              <w:rPr>
                <w:rFonts w:ascii="Arial" w:hAnsi="Arial" w:cs="Arial"/>
                <w:sz w:val="20"/>
                <w:szCs w:val="20"/>
              </w:rPr>
            </w:pPr>
            <w:r w:rsidRPr="00A17E25">
              <w:rPr>
                <w:rFonts w:ascii="Arial" w:hAnsi="Arial" w:cs="Arial"/>
                <w:sz w:val="20"/>
                <w:szCs w:val="20"/>
              </w:rPr>
              <w:t>Voirie</w:t>
            </w:r>
          </w:p>
        </w:tc>
        <w:tc>
          <w:tcPr>
            <w:tcW w:w="993" w:type="pct"/>
            <w:vAlign w:val="center"/>
          </w:tcPr>
          <w:p w:rsidR="009C247D" w:rsidRPr="00A17E25" w:rsidRDefault="009C247D" w:rsidP="00304EB4">
            <w:pPr>
              <w:jc w:val="right"/>
              <w:rPr>
                <w:rFonts w:ascii="Arial" w:hAnsi="Arial" w:cs="Arial"/>
                <w:bCs/>
                <w:sz w:val="20"/>
                <w:szCs w:val="20"/>
              </w:rPr>
            </w:pPr>
            <w:r w:rsidRPr="00A17E25">
              <w:rPr>
                <w:rFonts w:ascii="Arial" w:hAnsi="Arial" w:cs="Arial"/>
                <w:bCs/>
                <w:sz w:val="20"/>
                <w:szCs w:val="20"/>
              </w:rPr>
              <w:t>388 407 011</w:t>
            </w:r>
          </w:p>
        </w:tc>
        <w:tc>
          <w:tcPr>
            <w:tcW w:w="1352" w:type="pct"/>
            <w:vAlign w:val="center"/>
          </w:tcPr>
          <w:p w:rsidR="009C247D" w:rsidRPr="00A17E25" w:rsidRDefault="009C247D" w:rsidP="00304EB4">
            <w:pPr>
              <w:jc w:val="center"/>
              <w:rPr>
                <w:rFonts w:ascii="Arial" w:hAnsi="Arial" w:cs="Arial"/>
                <w:bCs/>
                <w:sz w:val="20"/>
                <w:szCs w:val="20"/>
              </w:rPr>
            </w:pPr>
            <w:r w:rsidRPr="00A17E25">
              <w:rPr>
                <w:rFonts w:ascii="Arial" w:hAnsi="Arial" w:cs="Arial"/>
                <w:bCs/>
                <w:sz w:val="20"/>
                <w:szCs w:val="20"/>
              </w:rPr>
              <w:t>11,90%</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Espaces verts</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64 051 582</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1,96%</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Hygiène</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12 817 085</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0,39%</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 xml:space="preserve"> Affaires sociales</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89 655 613</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2,74%</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Culture et sport</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132 864 569</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4,07%</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Transport</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2 000 000</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0,06%</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Eau, électricité, assainissement et éclairage public</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302 000 000</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9,25%</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Collecte et traitement ordures ménagères</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540 226 437</w:t>
            </w:r>
          </w:p>
        </w:tc>
        <w:tc>
          <w:tcPr>
            <w:tcW w:w="1352" w:type="pct"/>
          </w:tcPr>
          <w:p w:rsidR="009C247D" w:rsidRPr="00A17E25" w:rsidRDefault="009C247D" w:rsidP="00304EB4">
            <w:pPr>
              <w:jc w:val="center"/>
              <w:rPr>
                <w:rFonts w:ascii="Arial" w:hAnsi="Arial" w:cs="Arial"/>
                <w:sz w:val="20"/>
                <w:szCs w:val="20"/>
              </w:rPr>
            </w:pPr>
            <w:r w:rsidRPr="00A17E25">
              <w:rPr>
                <w:rFonts w:ascii="Arial" w:hAnsi="Arial" w:cs="Arial"/>
                <w:sz w:val="20"/>
                <w:szCs w:val="20"/>
              </w:rPr>
              <w:t>16,55%</w:t>
            </w:r>
          </w:p>
        </w:tc>
      </w:tr>
      <w:tr w:rsidR="009C247D" w:rsidRPr="00A17E25" w:rsidTr="00304EB4">
        <w:tc>
          <w:tcPr>
            <w:tcW w:w="2655" w:type="pct"/>
            <w:vAlign w:val="center"/>
          </w:tcPr>
          <w:p w:rsidR="009C247D" w:rsidRPr="00A17E25" w:rsidRDefault="009C247D" w:rsidP="00304EB4">
            <w:pPr>
              <w:rPr>
                <w:rFonts w:ascii="Arial" w:hAnsi="Arial" w:cs="Arial"/>
                <w:sz w:val="20"/>
                <w:szCs w:val="20"/>
              </w:rPr>
            </w:pPr>
            <w:r w:rsidRPr="00A17E25">
              <w:rPr>
                <w:rFonts w:ascii="Arial" w:hAnsi="Arial" w:cs="Arial"/>
                <w:sz w:val="20"/>
                <w:szCs w:val="20"/>
              </w:rPr>
              <w:t>PM : Dépenses budgétaires totales</w:t>
            </w:r>
          </w:p>
        </w:tc>
        <w:tc>
          <w:tcPr>
            <w:tcW w:w="993" w:type="pct"/>
            <w:vAlign w:val="center"/>
          </w:tcPr>
          <w:p w:rsidR="009C247D" w:rsidRPr="00A17E25" w:rsidRDefault="009C247D" w:rsidP="00304EB4">
            <w:pPr>
              <w:jc w:val="right"/>
              <w:rPr>
                <w:rFonts w:ascii="Arial" w:hAnsi="Arial" w:cs="Arial"/>
                <w:sz w:val="20"/>
                <w:szCs w:val="20"/>
              </w:rPr>
            </w:pPr>
            <w:r w:rsidRPr="00A17E25">
              <w:rPr>
                <w:rFonts w:ascii="Arial" w:hAnsi="Arial" w:cs="Arial"/>
                <w:sz w:val="20"/>
                <w:szCs w:val="20"/>
              </w:rPr>
              <w:t>3 263 900 000</w:t>
            </w:r>
          </w:p>
        </w:tc>
        <w:tc>
          <w:tcPr>
            <w:tcW w:w="1352" w:type="pct"/>
          </w:tcPr>
          <w:p w:rsidR="009C247D" w:rsidRPr="00A17E25" w:rsidRDefault="009C247D" w:rsidP="00304EB4">
            <w:pPr>
              <w:jc w:val="center"/>
              <w:rPr>
                <w:rFonts w:ascii="Arial" w:hAnsi="Arial" w:cs="Arial"/>
                <w:sz w:val="20"/>
                <w:szCs w:val="20"/>
              </w:rPr>
            </w:pPr>
          </w:p>
        </w:tc>
      </w:tr>
    </w:tbl>
    <w:p w:rsidR="009C247D" w:rsidRPr="00A17E25" w:rsidRDefault="009C247D" w:rsidP="009C247D">
      <w:pPr>
        <w:jc w:val="center"/>
        <w:rPr>
          <w:rFonts w:ascii="Arial" w:hAnsi="Arial" w:cs="Arial"/>
          <w:sz w:val="20"/>
          <w:szCs w:val="20"/>
        </w:rPr>
      </w:pPr>
      <w:r w:rsidRPr="00A17E25">
        <w:rPr>
          <w:rFonts w:ascii="Arial" w:hAnsi="Arial" w:cs="Arial"/>
          <w:sz w:val="20"/>
          <w:szCs w:val="20"/>
          <w:u w:val="single"/>
        </w:rPr>
        <w:t>Source </w:t>
      </w:r>
      <w:r w:rsidRPr="00A17E25">
        <w:rPr>
          <w:rFonts w:ascii="Arial" w:hAnsi="Arial" w:cs="Arial"/>
          <w:sz w:val="20"/>
          <w:szCs w:val="20"/>
        </w:rPr>
        <w:t>: Division gestion budgétaire/</w:t>
      </w:r>
      <w:r w:rsidR="00262F9D">
        <w:rPr>
          <w:rFonts w:ascii="Arial" w:hAnsi="Arial" w:cs="Arial"/>
          <w:sz w:val="20"/>
          <w:szCs w:val="20"/>
        </w:rPr>
        <w:t>CC</w:t>
      </w:r>
    </w:p>
    <w:p w:rsidR="009C247D" w:rsidRPr="00A17E25" w:rsidRDefault="009C247D" w:rsidP="009C247D">
      <w:pPr>
        <w:jc w:val="center"/>
        <w:rPr>
          <w:rFonts w:ascii="Arial" w:hAnsi="Arial" w:cs="Arial"/>
        </w:rPr>
      </w:pPr>
    </w:p>
    <w:p w:rsidR="002C66B7" w:rsidRDefault="002C66B7" w:rsidP="009C247D">
      <w:pPr>
        <w:jc w:val="both"/>
        <w:rPr>
          <w:rFonts w:ascii="Arial" w:hAnsi="Arial" w:cs="Arial"/>
        </w:rPr>
      </w:pPr>
    </w:p>
    <w:p w:rsidR="009C247D" w:rsidRPr="00A17E25" w:rsidRDefault="009C247D" w:rsidP="009C247D">
      <w:pPr>
        <w:jc w:val="both"/>
        <w:rPr>
          <w:rFonts w:ascii="Arial" w:hAnsi="Arial" w:cs="Arial"/>
        </w:rPr>
      </w:pPr>
      <w:r w:rsidRPr="00A17E25">
        <w:rPr>
          <w:rFonts w:ascii="Arial" w:hAnsi="Arial" w:cs="Arial"/>
        </w:rPr>
        <w:t xml:space="preserve">Le budget de la </w:t>
      </w:r>
      <w:r w:rsidR="00262F9D">
        <w:rPr>
          <w:rFonts w:ascii="Arial" w:hAnsi="Arial" w:cs="Arial"/>
        </w:rPr>
        <w:t>CC</w:t>
      </w:r>
      <w:r w:rsidRPr="00A17E25">
        <w:rPr>
          <w:rFonts w:ascii="Arial" w:hAnsi="Arial" w:cs="Arial"/>
        </w:rPr>
        <w:t xml:space="preserve"> reste à ce jour un budget de moyen. Il n’est pas élaboré suivant une approche programmatique ou une approche basée sur les résultats. Aussi, pour chacune de ces fonctions de prestation de service, des cibles ne sont pas fixées, communiquées au conseil communal pour justifier les allocations budgétaires sollicitées. La mission a noté toutefois que des indicateurs de performance sont fixés dans le cadre de l’exécution des différents contrats de gestion déléguée conclus avec les prestataires de service en vue d’évaluer l’exécution de leurs obligations contractuelles. Ces indicateurs spécifiques à l’objet de chaque contrat ne sont pas destinés à mesurer la performance budgétaire de la </w:t>
      </w:r>
      <w:r w:rsidR="00262F9D">
        <w:rPr>
          <w:rFonts w:ascii="Arial" w:hAnsi="Arial" w:cs="Arial"/>
        </w:rPr>
        <w:t>CC</w:t>
      </w:r>
      <w:r w:rsidRPr="00A17E25">
        <w:rPr>
          <w:rFonts w:ascii="Arial" w:hAnsi="Arial" w:cs="Arial"/>
        </w:rPr>
        <w:t xml:space="preserve"> et ne sont pas utilisés comme outils de négociation budgétaire.</w:t>
      </w:r>
    </w:p>
    <w:p w:rsidR="009C247D" w:rsidRPr="004B57C3" w:rsidRDefault="009C247D" w:rsidP="009C247D">
      <w:pPr>
        <w:jc w:val="both"/>
        <w:rPr>
          <w:rFonts w:ascii="Arial" w:hAnsi="Arial" w:cs="Arial"/>
          <w:color w:val="0070C0"/>
        </w:rPr>
      </w:pPr>
    </w:p>
    <w:p w:rsidR="009C247D" w:rsidRPr="004B57C3" w:rsidRDefault="009C247D" w:rsidP="009C247D">
      <w:pPr>
        <w:pStyle w:val="ListParagraph"/>
        <w:numPr>
          <w:ilvl w:val="0"/>
          <w:numId w:val="25"/>
        </w:numPr>
        <w:contextualSpacing/>
        <w:jc w:val="both"/>
        <w:rPr>
          <w:rFonts w:ascii="Arial" w:hAnsi="Arial" w:cs="Arial"/>
          <w:i/>
          <w:color w:val="0070C0"/>
        </w:rPr>
      </w:pPr>
      <w:r w:rsidRPr="004B57C3">
        <w:rPr>
          <w:rFonts w:ascii="Arial" w:hAnsi="Arial" w:cs="Arial"/>
          <w:i/>
          <w:color w:val="0070C0"/>
        </w:rPr>
        <w:t>Divulgation des cibles de performance annuelles pour la prestation de service</w:t>
      </w:r>
    </w:p>
    <w:p w:rsidR="004B57C3" w:rsidRPr="00E67B20" w:rsidRDefault="004B57C3" w:rsidP="004B57C3">
      <w:pPr>
        <w:pStyle w:val="ListParagraph"/>
        <w:ind w:left="1080"/>
        <w:contextualSpacing/>
        <w:jc w:val="both"/>
        <w:rPr>
          <w:rFonts w:ascii="Arial" w:hAnsi="Arial" w:cs="Arial"/>
          <w:i/>
          <w:color w:val="3366FF"/>
        </w:rPr>
      </w:pPr>
    </w:p>
    <w:p w:rsidR="009C247D" w:rsidRPr="00A17E25" w:rsidRDefault="009C247D" w:rsidP="009C247D">
      <w:pPr>
        <w:jc w:val="both"/>
        <w:rPr>
          <w:rFonts w:ascii="Arial" w:hAnsi="Arial" w:cs="Arial"/>
        </w:rPr>
      </w:pPr>
      <w:r w:rsidRPr="00A17E25">
        <w:rPr>
          <w:rFonts w:ascii="Arial" w:hAnsi="Arial" w:cs="Arial"/>
        </w:rPr>
        <w:t xml:space="preserve">Des cibles de performance annuelles ne sont pas fixées pour les principales fonctions de prestation de service assurées par la </w:t>
      </w:r>
      <w:r w:rsidR="00262F9D">
        <w:rPr>
          <w:rFonts w:ascii="Arial" w:hAnsi="Arial" w:cs="Arial"/>
        </w:rPr>
        <w:t>CC</w:t>
      </w:r>
      <w:r w:rsidRPr="00A17E25">
        <w:rPr>
          <w:rFonts w:ascii="Arial" w:hAnsi="Arial" w:cs="Arial"/>
        </w:rPr>
        <w:t>.</w:t>
      </w:r>
    </w:p>
    <w:p w:rsidR="009C247D" w:rsidRPr="00A17E25" w:rsidRDefault="009C247D" w:rsidP="009C247D">
      <w:pPr>
        <w:jc w:val="both"/>
        <w:rPr>
          <w:rFonts w:ascii="Arial" w:hAnsi="Arial" w:cs="Arial"/>
        </w:rPr>
      </w:pPr>
    </w:p>
    <w:p w:rsidR="009C247D" w:rsidRDefault="009C247D" w:rsidP="009C247D">
      <w:pPr>
        <w:pStyle w:val="ListParagraph"/>
        <w:numPr>
          <w:ilvl w:val="0"/>
          <w:numId w:val="25"/>
        </w:numPr>
        <w:contextualSpacing/>
        <w:jc w:val="both"/>
        <w:rPr>
          <w:rFonts w:ascii="Arial" w:hAnsi="Arial" w:cs="Arial"/>
          <w:i/>
          <w:color w:val="0070C0"/>
        </w:rPr>
      </w:pPr>
      <w:r w:rsidRPr="004B57C3">
        <w:rPr>
          <w:rFonts w:ascii="Arial" w:hAnsi="Arial" w:cs="Arial"/>
          <w:i/>
          <w:color w:val="0070C0"/>
        </w:rPr>
        <w:t>Divulgation des données sur les résultats en matière de performance par service</w:t>
      </w:r>
    </w:p>
    <w:p w:rsidR="004B57C3" w:rsidRPr="004B57C3" w:rsidRDefault="004B57C3" w:rsidP="004B57C3">
      <w:pPr>
        <w:pStyle w:val="ListParagraph"/>
        <w:ind w:left="1080"/>
        <w:contextualSpacing/>
        <w:jc w:val="both"/>
        <w:rPr>
          <w:rFonts w:ascii="Arial" w:hAnsi="Arial" w:cs="Arial"/>
          <w:i/>
          <w:color w:val="0070C0"/>
        </w:rPr>
      </w:pPr>
    </w:p>
    <w:p w:rsidR="009C247D" w:rsidRPr="00A17E25" w:rsidRDefault="009C247D" w:rsidP="009C247D">
      <w:pPr>
        <w:jc w:val="both"/>
        <w:rPr>
          <w:rFonts w:ascii="Arial" w:hAnsi="Arial" w:cs="Arial"/>
        </w:rPr>
      </w:pPr>
      <w:r w:rsidRPr="00A17E25">
        <w:rPr>
          <w:rFonts w:ascii="Arial" w:hAnsi="Arial" w:cs="Arial"/>
        </w:rPr>
        <w:t xml:space="preserve">Des cibles de performance annuelles n’étant pas fixées pour les principales fonctions de prestation de service assurées par la </w:t>
      </w:r>
      <w:r w:rsidR="00262F9D">
        <w:rPr>
          <w:rFonts w:ascii="Arial" w:hAnsi="Arial" w:cs="Arial"/>
        </w:rPr>
        <w:t>CC</w:t>
      </w:r>
      <w:r w:rsidRPr="00A17E25">
        <w:rPr>
          <w:rFonts w:ascii="Arial" w:hAnsi="Arial" w:cs="Arial"/>
        </w:rPr>
        <w:t>, la performance atteinte ne peut être mesurée.</w:t>
      </w:r>
    </w:p>
    <w:p w:rsidR="009C247D" w:rsidRPr="004B57C3" w:rsidRDefault="009C247D" w:rsidP="009C247D">
      <w:pPr>
        <w:jc w:val="both"/>
        <w:rPr>
          <w:rFonts w:ascii="Arial" w:hAnsi="Arial" w:cs="Arial"/>
          <w:color w:val="0070C0"/>
        </w:rPr>
      </w:pPr>
    </w:p>
    <w:p w:rsidR="009C247D" w:rsidRDefault="009C247D" w:rsidP="009C247D">
      <w:pPr>
        <w:pStyle w:val="ListParagraph"/>
        <w:numPr>
          <w:ilvl w:val="0"/>
          <w:numId w:val="25"/>
        </w:numPr>
        <w:contextualSpacing/>
        <w:jc w:val="both"/>
        <w:rPr>
          <w:rFonts w:ascii="Arial" w:hAnsi="Arial" w:cs="Arial"/>
          <w:i/>
          <w:color w:val="0070C0"/>
        </w:rPr>
      </w:pPr>
      <w:r w:rsidRPr="004B57C3">
        <w:rPr>
          <w:rFonts w:ascii="Arial" w:hAnsi="Arial" w:cs="Arial"/>
          <w:i/>
          <w:color w:val="0070C0"/>
        </w:rPr>
        <w:t>Suivi des ressources reçues par unité de prestations de services</w:t>
      </w:r>
    </w:p>
    <w:p w:rsidR="004B57C3" w:rsidRPr="004B57C3" w:rsidRDefault="004B57C3" w:rsidP="004B57C3">
      <w:pPr>
        <w:pStyle w:val="ListParagraph"/>
        <w:ind w:left="1080"/>
        <w:contextualSpacing/>
        <w:jc w:val="both"/>
        <w:rPr>
          <w:rFonts w:ascii="Arial" w:hAnsi="Arial" w:cs="Arial"/>
          <w:i/>
          <w:color w:val="0070C0"/>
        </w:rPr>
      </w:pPr>
    </w:p>
    <w:p w:rsidR="009C247D" w:rsidRPr="00A17E25" w:rsidRDefault="009C247D" w:rsidP="009C247D">
      <w:pPr>
        <w:jc w:val="both"/>
        <w:rPr>
          <w:rFonts w:ascii="Arial" w:hAnsi="Arial" w:cs="Arial"/>
        </w:rPr>
      </w:pPr>
      <w:r w:rsidRPr="00A17E25">
        <w:rPr>
          <w:rFonts w:ascii="Arial" w:hAnsi="Arial" w:cs="Arial"/>
        </w:rPr>
        <w:t xml:space="preserve">Les ressources prévues au budget de la </w:t>
      </w:r>
      <w:r w:rsidR="00262F9D">
        <w:rPr>
          <w:rFonts w:ascii="Arial" w:hAnsi="Arial" w:cs="Arial"/>
        </w:rPr>
        <w:t>CC</w:t>
      </w:r>
      <w:r w:rsidRPr="00A17E25">
        <w:rPr>
          <w:rFonts w:ascii="Arial" w:hAnsi="Arial" w:cs="Arial"/>
        </w:rPr>
        <w:t xml:space="preserve"> pour le compte des différentes fonctions de prestation de service sont mises à la disposition des centres de prestation de service par les divisions de la </w:t>
      </w:r>
      <w:r w:rsidR="00262F9D">
        <w:rPr>
          <w:rFonts w:ascii="Arial" w:hAnsi="Arial" w:cs="Arial"/>
        </w:rPr>
        <w:t>CC</w:t>
      </w:r>
      <w:r w:rsidRPr="00A17E25">
        <w:rPr>
          <w:rFonts w:ascii="Arial" w:hAnsi="Arial" w:cs="Arial"/>
        </w:rPr>
        <w:t xml:space="preserve"> en charge de chaque fonction. Les chefs de ces divisions qui sont les gestionnaires des crédits ouverts au budget de la </w:t>
      </w:r>
      <w:r w:rsidR="00262F9D">
        <w:rPr>
          <w:rFonts w:ascii="Arial" w:hAnsi="Arial" w:cs="Arial"/>
        </w:rPr>
        <w:t>CC</w:t>
      </w:r>
      <w:r w:rsidRPr="00A17E25">
        <w:rPr>
          <w:rFonts w:ascii="Arial" w:hAnsi="Arial" w:cs="Arial"/>
        </w:rPr>
        <w:t xml:space="preserve"> pour leurs domaines de compétence respectifs acquièrent et mettent à la disposition des unités de prestation de service qui relèvent d’eux les biens prévus à leur profit. Les ressources mises à la disposition des centres de prestation de service sont donc des ressources matérielles. Toutefois, </w:t>
      </w:r>
      <w:r>
        <w:rPr>
          <w:rFonts w:ascii="Arial" w:hAnsi="Arial" w:cs="Arial"/>
        </w:rPr>
        <w:t>aucun</w:t>
      </w:r>
      <w:r w:rsidRPr="00A17E25">
        <w:rPr>
          <w:rFonts w:ascii="Arial" w:hAnsi="Arial" w:cs="Arial"/>
        </w:rPr>
        <w:t xml:space="preserve"> système de suivi n’est pas mis en place pour s’assurer que les ressources prévues au profit de ces unités sont effectivement mises à leur disposition.</w:t>
      </w:r>
    </w:p>
    <w:p w:rsidR="009C247D" w:rsidRPr="00A17E25" w:rsidRDefault="009C247D" w:rsidP="009C247D">
      <w:pPr>
        <w:jc w:val="both"/>
        <w:rPr>
          <w:rFonts w:ascii="Arial" w:hAnsi="Arial" w:cs="Arial"/>
        </w:rPr>
      </w:pPr>
    </w:p>
    <w:p w:rsidR="009C247D" w:rsidRDefault="009C247D" w:rsidP="009C247D">
      <w:pPr>
        <w:pStyle w:val="ListParagraph"/>
        <w:numPr>
          <w:ilvl w:val="0"/>
          <w:numId w:val="25"/>
        </w:numPr>
        <w:contextualSpacing/>
        <w:jc w:val="both"/>
        <w:rPr>
          <w:rFonts w:ascii="Arial" w:hAnsi="Arial" w:cs="Arial"/>
          <w:i/>
          <w:color w:val="0070C0"/>
        </w:rPr>
      </w:pPr>
      <w:r w:rsidRPr="004B57C3">
        <w:rPr>
          <w:rFonts w:ascii="Arial" w:hAnsi="Arial" w:cs="Arial"/>
          <w:i/>
          <w:color w:val="0070C0"/>
        </w:rPr>
        <w:t>Contenu et champ d’application des évaluations indépendantes de la performance</w:t>
      </w:r>
    </w:p>
    <w:p w:rsidR="004B57C3" w:rsidRPr="004B57C3" w:rsidRDefault="004B57C3" w:rsidP="004B57C3">
      <w:pPr>
        <w:pStyle w:val="ListParagraph"/>
        <w:ind w:left="1080"/>
        <w:contextualSpacing/>
        <w:jc w:val="both"/>
        <w:rPr>
          <w:rFonts w:ascii="Arial" w:hAnsi="Arial" w:cs="Arial"/>
          <w:i/>
          <w:color w:val="0070C0"/>
        </w:rPr>
      </w:pPr>
    </w:p>
    <w:p w:rsidR="009C247D" w:rsidRPr="00A17E25" w:rsidRDefault="009C247D" w:rsidP="009C247D">
      <w:pPr>
        <w:jc w:val="both"/>
        <w:rPr>
          <w:rFonts w:ascii="Arial" w:hAnsi="Arial" w:cs="Arial"/>
        </w:rPr>
      </w:pPr>
      <w:r w:rsidRPr="00A17E25">
        <w:rPr>
          <w:rFonts w:ascii="Arial" w:hAnsi="Arial" w:cs="Arial"/>
        </w:rPr>
        <w:t xml:space="preserve">Des cibles de performance annuelles ne sont pas fixées pour les principales fonctions de prestation de service assurées par la </w:t>
      </w:r>
      <w:r w:rsidR="00262F9D">
        <w:rPr>
          <w:rFonts w:ascii="Arial" w:hAnsi="Arial" w:cs="Arial"/>
        </w:rPr>
        <w:t>CC</w:t>
      </w:r>
      <w:r w:rsidRPr="00A17E25">
        <w:rPr>
          <w:rFonts w:ascii="Arial" w:hAnsi="Arial" w:cs="Arial"/>
        </w:rPr>
        <w:t>. Des rapports de performance ne sont pas établis à la clôture de chaque exercice et soumis au conseil communal en même temps que les comptes administratifs ou à d’autres structures telle que la Cour régionale des comptes qui devrait assurer en cette matière une évaluation indépendante.</w:t>
      </w:r>
    </w:p>
    <w:p w:rsidR="009C247D" w:rsidRPr="00A17E25" w:rsidRDefault="009C247D" w:rsidP="009C247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89"/>
        <w:gridCol w:w="4316"/>
      </w:tblGrid>
      <w:tr w:rsidR="009C247D" w:rsidRPr="00A17E25" w:rsidTr="004B57C3">
        <w:trPr>
          <w:tblHeader/>
        </w:trPr>
        <w:tc>
          <w:tcPr>
            <w:tcW w:w="1896"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796"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2308" w:type="pct"/>
            <w:shd w:val="clear" w:color="auto" w:fill="0070C0"/>
          </w:tcPr>
          <w:p w:rsidR="009C247D" w:rsidRPr="00A17E25" w:rsidRDefault="009C247D" w:rsidP="00304EB4">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9C247D" w:rsidRPr="00A17E25" w:rsidTr="00304EB4">
        <w:tc>
          <w:tcPr>
            <w:tcW w:w="1896" w:type="pct"/>
          </w:tcPr>
          <w:p w:rsidR="009C247D" w:rsidRPr="00A17E25" w:rsidRDefault="009C247D" w:rsidP="00304EB4">
            <w:pPr>
              <w:rPr>
                <w:rFonts w:ascii="Arial" w:hAnsi="Arial" w:cs="Arial"/>
                <w:b/>
                <w:bCs/>
                <w:sz w:val="20"/>
                <w:szCs w:val="20"/>
              </w:rPr>
            </w:pPr>
          </w:p>
          <w:p w:rsidR="009C247D" w:rsidRPr="00A17E25" w:rsidRDefault="009C247D" w:rsidP="00304EB4">
            <w:pPr>
              <w:rPr>
                <w:rFonts w:ascii="Arial" w:hAnsi="Arial" w:cs="Arial"/>
                <w:sz w:val="20"/>
                <w:szCs w:val="20"/>
              </w:rPr>
            </w:pPr>
            <w:r w:rsidRPr="00A17E25">
              <w:rPr>
                <w:rFonts w:ascii="Arial" w:hAnsi="Arial" w:cs="Arial"/>
                <w:b/>
                <w:bCs/>
                <w:sz w:val="20"/>
                <w:szCs w:val="20"/>
              </w:rPr>
              <w:t>PI-8 Utilisation des informations sur la performance pour assurer une prestation de service efficace</w:t>
            </w:r>
          </w:p>
        </w:tc>
        <w:tc>
          <w:tcPr>
            <w:tcW w:w="796" w:type="pct"/>
            <w:vAlign w:val="center"/>
          </w:tcPr>
          <w:p w:rsidR="009C247D" w:rsidRPr="00A17E25" w:rsidRDefault="009C247D" w:rsidP="00304EB4">
            <w:pPr>
              <w:jc w:val="center"/>
              <w:rPr>
                <w:rFonts w:ascii="Arial" w:hAnsi="Arial" w:cs="Arial"/>
                <w:b/>
                <w:bCs/>
                <w:sz w:val="20"/>
                <w:szCs w:val="20"/>
              </w:rPr>
            </w:pPr>
            <w:r w:rsidRPr="00A17E25">
              <w:rPr>
                <w:rFonts w:ascii="Arial" w:hAnsi="Arial" w:cs="Arial"/>
                <w:b/>
                <w:bCs/>
                <w:sz w:val="20"/>
                <w:szCs w:val="20"/>
              </w:rPr>
              <w:t>D</w:t>
            </w:r>
          </w:p>
        </w:tc>
        <w:tc>
          <w:tcPr>
            <w:tcW w:w="2308" w:type="pct"/>
            <w:vAlign w:val="center"/>
          </w:tcPr>
          <w:p w:rsidR="009C247D" w:rsidRPr="00A17E25" w:rsidRDefault="009C247D" w:rsidP="00304EB4">
            <w:pPr>
              <w:jc w:val="center"/>
              <w:rPr>
                <w:rFonts w:ascii="Arial" w:hAnsi="Arial" w:cs="Arial"/>
                <w:b/>
                <w:bCs/>
                <w:sz w:val="20"/>
                <w:szCs w:val="20"/>
              </w:rPr>
            </w:pPr>
            <w:r w:rsidRPr="00A17E25">
              <w:rPr>
                <w:rFonts w:ascii="Arial" w:hAnsi="Arial" w:cs="Arial"/>
                <w:b/>
                <w:bCs/>
                <w:sz w:val="20"/>
                <w:szCs w:val="20"/>
              </w:rPr>
              <w:t>Méthode de Notation M2</w:t>
            </w:r>
          </w:p>
        </w:tc>
      </w:tr>
      <w:tr w:rsidR="009C247D" w:rsidRPr="00A17E25" w:rsidTr="00304EB4">
        <w:tc>
          <w:tcPr>
            <w:tcW w:w="1896" w:type="pct"/>
            <w:vAlign w:val="center"/>
          </w:tcPr>
          <w:p w:rsidR="009C247D" w:rsidRPr="00A17E25" w:rsidRDefault="009C247D" w:rsidP="00304EB4">
            <w:pPr>
              <w:jc w:val="both"/>
              <w:rPr>
                <w:rFonts w:ascii="Arial" w:hAnsi="Arial" w:cs="Arial"/>
                <w:sz w:val="20"/>
                <w:szCs w:val="20"/>
              </w:rPr>
            </w:pPr>
            <w:r w:rsidRPr="00A17E25">
              <w:rPr>
                <w:rFonts w:ascii="Arial" w:hAnsi="Arial" w:cs="Arial"/>
                <w:sz w:val="20"/>
                <w:szCs w:val="20"/>
              </w:rPr>
              <w:t>i) Divulgation des cibles de performance annuelles pour la prestation de service</w:t>
            </w:r>
          </w:p>
        </w:tc>
        <w:tc>
          <w:tcPr>
            <w:tcW w:w="796" w:type="pct"/>
            <w:vAlign w:val="center"/>
          </w:tcPr>
          <w:p w:rsidR="009C247D" w:rsidRPr="00A17E25" w:rsidRDefault="009C247D" w:rsidP="00304EB4">
            <w:pPr>
              <w:jc w:val="center"/>
              <w:rPr>
                <w:rFonts w:ascii="Arial" w:hAnsi="Arial" w:cs="Arial"/>
                <w:sz w:val="20"/>
                <w:szCs w:val="20"/>
              </w:rPr>
            </w:pPr>
            <w:r w:rsidRPr="00A17E25">
              <w:rPr>
                <w:rFonts w:ascii="Arial" w:hAnsi="Arial" w:cs="Arial"/>
                <w:sz w:val="20"/>
                <w:szCs w:val="20"/>
              </w:rPr>
              <w:t>D</w:t>
            </w:r>
          </w:p>
        </w:tc>
        <w:tc>
          <w:tcPr>
            <w:tcW w:w="2308" w:type="pct"/>
          </w:tcPr>
          <w:p w:rsidR="009C247D" w:rsidRPr="00A17E25" w:rsidRDefault="009C247D" w:rsidP="00304EB4">
            <w:pPr>
              <w:jc w:val="both"/>
              <w:rPr>
                <w:rFonts w:ascii="Arial" w:hAnsi="Arial" w:cs="Arial"/>
                <w:sz w:val="20"/>
                <w:szCs w:val="20"/>
              </w:rPr>
            </w:pPr>
            <w:r w:rsidRPr="00A17E25">
              <w:rPr>
                <w:rFonts w:ascii="Arial" w:hAnsi="Arial" w:cs="Arial"/>
                <w:sz w:val="20"/>
                <w:szCs w:val="20"/>
              </w:rPr>
              <w:t xml:space="preserve">Des cibles de performance annuelles ne sont pas fixées pour les fonctions de prestation de service assurées par la </w:t>
            </w:r>
            <w:r w:rsidR="00262F9D">
              <w:rPr>
                <w:rFonts w:ascii="Arial" w:hAnsi="Arial" w:cs="Arial"/>
                <w:sz w:val="20"/>
                <w:szCs w:val="20"/>
              </w:rPr>
              <w:t>CC</w:t>
            </w:r>
            <w:r w:rsidRPr="00A17E25">
              <w:rPr>
                <w:rFonts w:ascii="Arial" w:hAnsi="Arial" w:cs="Arial"/>
                <w:sz w:val="20"/>
                <w:szCs w:val="20"/>
              </w:rPr>
              <w:t>.</w:t>
            </w:r>
          </w:p>
        </w:tc>
      </w:tr>
      <w:tr w:rsidR="009C247D" w:rsidRPr="00A17E25" w:rsidTr="00304EB4">
        <w:tc>
          <w:tcPr>
            <w:tcW w:w="1896" w:type="pct"/>
            <w:vAlign w:val="center"/>
          </w:tcPr>
          <w:p w:rsidR="009C247D" w:rsidRPr="00A17E25" w:rsidRDefault="009C247D" w:rsidP="00304EB4">
            <w:pPr>
              <w:jc w:val="both"/>
              <w:rPr>
                <w:rFonts w:ascii="Arial" w:hAnsi="Arial" w:cs="Arial"/>
                <w:sz w:val="20"/>
                <w:szCs w:val="20"/>
              </w:rPr>
            </w:pPr>
            <w:r w:rsidRPr="00A17E25">
              <w:rPr>
                <w:rFonts w:ascii="Arial" w:hAnsi="Arial" w:cs="Arial"/>
                <w:sz w:val="20"/>
                <w:szCs w:val="20"/>
              </w:rPr>
              <w:t>ii) Divulgation des données sur les résultats en matière de performance par service</w:t>
            </w:r>
          </w:p>
        </w:tc>
        <w:tc>
          <w:tcPr>
            <w:tcW w:w="796" w:type="pct"/>
            <w:vAlign w:val="center"/>
          </w:tcPr>
          <w:p w:rsidR="009C247D" w:rsidRPr="00A17E25" w:rsidRDefault="009C247D" w:rsidP="00304EB4">
            <w:pPr>
              <w:jc w:val="center"/>
              <w:rPr>
                <w:rFonts w:ascii="Arial" w:hAnsi="Arial" w:cs="Arial"/>
                <w:sz w:val="20"/>
                <w:szCs w:val="20"/>
              </w:rPr>
            </w:pPr>
            <w:r w:rsidRPr="00A17E25">
              <w:rPr>
                <w:rFonts w:ascii="Arial" w:hAnsi="Arial" w:cs="Arial"/>
                <w:sz w:val="20"/>
                <w:szCs w:val="20"/>
              </w:rPr>
              <w:t>D</w:t>
            </w:r>
          </w:p>
        </w:tc>
        <w:tc>
          <w:tcPr>
            <w:tcW w:w="2308" w:type="pct"/>
          </w:tcPr>
          <w:p w:rsidR="009C247D" w:rsidRPr="00A17E25" w:rsidRDefault="009C247D" w:rsidP="00304EB4">
            <w:pPr>
              <w:jc w:val="both"/>
              <w:rPr>
                <w:rFonts w:ascii="Arial" w:hAnsi="Arial" w:cs="Arial"/>
                <w:sz w:val="20"/>
                <w:szCs w:val="20"/>
              </w:rPr>
            </w:pPr>
            <w:r w:rsidRPr="00A17E25">
              <w:rPr>
                <w:rFonts w:ascii="Arial" w:hAnsi="Arial" w:cs="Arial"/>
                <w:sz w:val="20"/>
                <w:szCs w:val="20"/>
              </w:rPr>
              <w:t xml:space="preserve">Les cibles de performance n’étant pas fixées pour les fonctions de prestation de service assurées par la </w:t>
            </w:r>
            <w:r w:rsidR="00262F9D">
              <w:rPr>
                <w:rFonts w:ascii="Arial" w:hAnsi="Arial" w:cs="Arial"/>
                <w:sz w:val="20"/>
                <w:szCs w:val="20"/>
              </w:rPr>
              <w:t>CC</w:t>
            </w:r>
            <w:r w:rsidRPr="00A17E25">
              <w:rPr>
                <w:rFonts w:ascii="Arial" w:hAnsi="Arial" w:cs="Arial"/>
                <w:sz w:val="20"/>
                <w:szCs w:val="20"/>
              </w:rPr>
              <w:t>, les résultats atteints ne peuvent pas être mesurés.</w:t>
            </w:r>
          </w:p>
        </w:tc>
      </w:tr>
      <w:tr w:rsidR="009C247D" w:rsidRPr="00A17E25" w:rsidTr="00304EB4">
        <w:tc>
          <w:tcPr>
            <w:tcW w:w="1896" w:type="pct"/>
            <w:vAlign w:val="center"/>
          </w:tcPr>
          <w:p w:rsidR="009C247D" w:rsidRPr="00A17E25" w:rsidRDefault="009C247D" w:rsidP="00304EB4">
            <w:pPr>
              <w:jc w:val="both"/>
              <w:rPr>
                <w:rFonts w:ascii="Arial" w:hAnsi="Arial" w:cs="Arial"/>
                <w:sz w:val="20"/>
                <w:szCs w:val="20"/>
              </w:rPr>
            </w:pPr>
            <w:r w:rsidRPr="00A17E25">
              <w:rPr>
                <w:rFonts w:ascii="Arial" w:hAnsi="Arial" w:cs="Arial"/>
                <w:sz w:val="20"/>
                <w:szCs w:val="20"/>
              </w:rPr>
              <w:t xml:space="preserve">iii) Suivi des ressources reçues par unité de prestation de services  </w:t>
            </w:r>
          </w:p>
        </w:tc>
        <w:tc>
          <w:tcPr>
            <w:tcW w:w="796" w:type="pct"/>
            <w:vAlign w:val="center"/>
          </w:tcPr>
          <w:p w:rsidR="009C247D" w:rsidRPr="00A17E25" w:rsidRDefault="009C247D" w:rsidP="00304EB4">
            <w:pPr>
              <w:jc w:val="center"/>
              <w:rPr>
                <w:rFonts w:ascii="Arial" w:hAnsi="Arial" w:cs="Arial"/>
                <w:sz w:val="20"/>
                <w:szCs w:val="20"/>
              </w:rPr>
            </w:pPr>
            <w:r w:rsidRPr="00A17E25">
              <w:rPr>
                <w:rFonts w:ascii="Arial" w:hAnsi="Arial" w:cs="Arial"/>
                <w:sz w:val="20"/>
                <w:szCs w:val="20"/>
              </w:rPr>
              <w:t>D</w:t>
            </w:r>
          </w:p>
        </w:tc>
        <w:tc>
          <w:tcPr>
            <w:tcW w:w="2308" w:type="pct"/>
          </w:tcPr>
          <w:p w:rsidR="009C247D" w:rsidRPr="00A17E25" w:rsidRDefault="009C247D" w:rsidP="00304EB4">
            <w:pPr>
              <w:jc w:val="both"/>
              <w:rPr>
                <w:rFonts w:ascii="Arial" w:hAnsi="Arial" w:cs="Arial"/>
                <w:sz w:val="20"/>
                <w:szCs w:val="20"/>
              </w:rPr>
            </w:pPr>
            <w:r w:rsidRPr="00A17E25">
              <w:rPr>
                <w:rFonts w:ascii="Arial" w:hAnsi="Arial" w:cs="Arial"/>
                <w:sz w:val="20"/>
                <w:szCs w:val="20"/>
              </w:rPr>
              <w:t>Un système de suivi des ressources mises à la disposition des centres de prestation de service n’est pas mis en place.</w:t>
            </w:r>
          </w:p>
        </w:tc>
      </w:tr>
      <w:tr w:rsidR="009C247D" w:rsidRPr="00A17E25" w:rsidTr="00304EB4">
        <w:tc>
          <w:tcPr>
            <w:tcW w:w="1896" w:type="pct"/>
            <w:vAlign w:val="center"/>
          </w:tcPr>
          <w:p w:rsidR="009C247D" w:rsidRPr="00A17E25" w:rsidRDefault="009C247D" w:rsidP="00304EB4">
            <w:pPr>
              <w:jc w:val="both"/>
              <w:rPr>
                <w:rFonts w:ascii="Arial" w:hAnsi="Arial" w:cs="Arial"/>
                <w:sz w:val="20"/>
                <w:szCs w:val="20"/>
              </w:rPr>
            </w:pPr>
            <w:r w:rsidRPr="00A17E25">
              <w:rPr>
                <w:rFonts w:ascii="Arial" w:hAnsi="Arial" w:cs="Arial"/>
                <w:sz w:val="20"/>
                <w:szCs w:val="20"/>
              </w:rPr>
              <w:t>iv) Contenu et champ d’application des évaluations indépendantes sur la performance</w:t>
            </w:r>
          </w:p>
        </w:tc>
        <w:tc>
          <w:tcPr>
            <w:tcW w:w="796" w:type="pct"/>
            <w:vAlign w:val="center"/>
          </w:tcPr>
          <w:p w:rsidR="009C247D" w:rsidRPr="00A17E25" w:rsidRDefault="009C247D" w:rsidP="00304EB4">
            <w:pPr>
              <w:jc w:val="center"/>
              <w:rPr>
                <w:rFonts w:ascii="Arial" w:hAnsi="Arial" w:cs="Arial"/>
                <w:sz w:val="20"/>
                <w:szCs w:val="20"/>
              </w:rPr>
            </w:pPr>
            <w:r w:rsidRPr="00A17E25">
              <w:rPr>
                <w:rFonts w:ascii="Arial" w:hAnsi="Arial" w:cs="Arial"/>
                <w:sz w:val="20"/>
                <w:szCs w:val="20"/>
              </w:rPr>
              <w:t>D</w:t>
            </w:r>
          </w:p>
        </w:tc>
        <w:tc>
          <w:tcPr>
            <w:tcW w:w="2308" w:type="pct"/>
          </w:tcPr>
          <w:p w:rsidR="009C247D" w:rsidRPr="00A17E25" w:rsidRDefault="009C247D" w:rsidP="00304EB4">
            <w:pPr>
              <w:jc w:val="both"/>
              <w:rPr>
                <w:rFonts w:ascii="Arial" w:hAnsi="Arial" w:cs="Arial"/>
                <w:sz w:val="20"/>
                <w:szCs w:val="20"/>
              </w:rPr>
            </w:pPr>
            <w:r w:rsidRPr="00A17E25">
              <w:rPr>
                <w:rFonts w:ascii="Arial" w:hAnsi="Arial" w:cs="Arial"/>
                <w:sz w:val="20"/>
                <w:szCs w:val="20"/>
              </w:rPr>
              <w:t>Des rapports de performance ne sont pas établis et des évaluations indépendantes de la performance ne sont pas réalisées</w:t>
            </w:r>
          </w:p>
        </w:tc>
      </w:tr>
    </w:tbl>
    <w:p w:rsidR="003A596A" w:rsidRPr="00A17E25" w:rsidRDefault="003A596A" w:rsidP="003A596A">
      <w:pPr>
        <w:pStyle w:val="Heading1"/>
        <w:rPr>
          <w:rFonts w:cs="Arial"/>
          <w:sz w:val="24"/>
          <w:szCs w:val="24"/>
        </w:rPr>
      </w:pPr>
      <w:bookmarkStart w:id="172" w:name="_Toc428200810"/>
      <w:bookmarkStart w:id="173" w:name="_Toc434916124"/>
      <w:bookmarkStart w:id="174" w:name="_Toc434918338"/>
      <w:r w:rsidRPr="00A17E25">
        <w:rPr>
          <w:rFonts w:cs="Arial"/>
          <w:sz w:val="24"/>
          <w:szCs w:val="24"/>
        </w:rPr>
        <w:t>PI-9: Accès du public aux principales informations budgétaires</w:t>
      </w:r>
      <w:bookmarkEnd w:id="172"/>
      <w:bookmarkEnd w:id="173"/>
      <w:bookmarkEnd w:id="174"/>
    </w:p>
    <w:p w:rsidR="003A596A" w:rsidRPr="004B57C3" w:rsidRDefault="003A596A" w:rsidP="003A596A">
      <w:pPr>
        <w:pStyle w:val="Comp"/>
        <w:spacing w:line="256" w:lineRule="auto"/>
        <w:ind w:left="1287"/>
        <w:rPr>
          <w:rFonts w:ascii="Arial" w:hAnsi="Arial" w:cs="Arial"/>
          <w:b w:val="0"/>
          <w:color w:val="0070C0"/>
          <w:sz w:val="24"/>
          <w:szCs w:val="24"/>
        </w:rPr>
      </w:pPr>
      <w:bookmarkStart w:id="175" w:name="_Toc428200811"/>
      <w:bookmarkStart w:id="176" w:name="_Toc434916125"/>
      <w:bookmarkStart w:id="177" w:name="_Toc434918339"/>
      <w:r w:rsidRPr="004B57C3">
        <w:rPr>
          <w:rFonts w:ascii="Arial" w:hAnsi="Arial" w:cs="Arial"/>
          <w:b w:val="0"/>
          <w:color w:val="0070C0"/>
          <w:sz w:val="24"/>
          <w:szCs w:val="24"/>
        </w:rPr>
        <w:t>Documents auxquels le public peut avoir accès (pour pouvoir être pris en compte dans l’évaluation, les critères énoncés dans la description de référence doivent tous être remplis)</w:t>
      </w:r>
      <w:bookmarkEnd w:id="175"/>
      <w:bookmarkEnd w:id="176"/>
      <w:bookmarkEnd w:id="177"/>
    </w:p>
    <w:p w:rsidR="0046536A" w:rsidRDefault="0046536A" w:rsidP="003A596A">
      <w:pPr>
        <w:autoSpaceDE w:val="0"/>
        <w:autoSpaceDN w:val="0"/>
        <w:adjustRightInd w:val="0"/>
        <w:jc w:val="both"/>
        <w:rPr>
          <w:rFonts w:ascii="Arial" w:hAnsi="Arial" w:cs="Arial"/>
          <w:lang w:eastAsia="fr-FR"/>
        </w:rPr>
      </w:pPr>
      <w:r>
        <w:rPr>
          <w:rFonts w:ascii="Arial" w:hAnsi="Arial" w:cs="Arial"/>
          <w:lang w:eastAsia="fr-FR"/>
        </w:rPr>
        <w:t>Pour l’évaluation de la seule composante de cet indicateur, l’étape du cycle budgétaire achevée la plus récente a été considérée pour chaque document.</w:t>
      </w:r>
    </w:p>
    <w:p w:rsidR="0046536A" w:rsidRDefault="0046536A" w:rsidP="003A596A">
      <w:pPr>
        <w:autoSpaceDE w:val="0"/>
        <w:autoSpaceDN w:val="0"/>
        <w:adjustRightInd w:val="0"/>
        <w:jc w:val="both"/>
        <w:rPr>
          <w:rFonts w:ascii="Arial" w:hAnsi="Arial" w:cs="Arial"/>
          <w:lang w:eastAsia="fr-FR"/>
        </w:rPr>
      </w:pPr>
    </w:p>
    <w:p w:rsidR="003A596A" w:rsidRPr="00A17E25"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 xml:space="preserve">Cet indicateur évalue la mesure dans laquelle les principales informations budgétaires de la Commune  de Casablanca sont accessibles au public pour la dernière année fiscale </w:t>
      </w:r>
      <w:r w:rsidR="0046536A">
        <w:rPr>
          <w:rFonts w:ascii="Arial" w:hAnsi="Arial" w:cs="Arial"/>
          <w:lang w:eastAsia="fr-FR"/>
        </w:rPr>
        <w:t>clôturée</w:t>
      </w:r>
      <w:r w:rsidRPr="00A17E25">
        <w:rPr>
          <w:rFonts w:ascii="Arial" w:hAnsi="Arial" w:cs="Arial"/>
          <w:lang w:eastAsia="fr-FR"/>
        </w:rPr>
        <w:t xml:space="preserve"> (2014). Pour noter cet indicateur, le cadre PEFA se base d’une part su</w:t>
      </w:r>
      <w:r w:rsidR="0046536A">
        <w:rPr>
          <w:rFonts w:ascii="Arial" w:hAnsi="Arial" w:cs="Arial"/>
          <w:lang w:eastAsia="fr-FR"/>
        </w:rPr>
        <w:t>r quatre éléments d’information</w:t>
      </w:r>
      <w:r w:rsidRPr="00A17E25">
        <w:rPr>
          <w:rFonts w:ascii="Arial" w:hAnsi="Arial" w:cs="Arial"/>
          <w:lang w:eastAsia="fr-FR"/>
        </w:rPr>
        <w:t xml:space="preserve"> considérés comme fondamentaux </w:t>
      </w:r>
      <w:r w:rsidR="0046536A">
        <w:rPr>
          <w:rFonts w:ascii="Arial" w:hAnsi="Arial" w:cs="Arial"/>
          <w:lang w:eastAsia="fr-FR"/>
        </w:rPr>
        <w:t>pour le public et d’autre part</w:t>
      </w:r>
      <w:r w:rsidR="00206632">
        <w:rPr>
          <w:rFonts w:ascii="Arial" w:hAnsi="Arial" w:cs="Arial"/>
          <w:lang w:eastAsia="fr-FR"/>
        </w:rPr>
        <w:t>,</w:t>
      </w:r>
      <w:r w:rsidRPr="00A17E25">
        <w:rPr>
          <w:rFonts w:ascii="Arial" w:hAnsi="Arial" w:cs="Arial"/>
          <w:lang w:eastAsia="fr-FR"/>
        </w:rPr>
        <w:t xml:space="preserve"> sur quatre autres éléments supplémentaires.</w:t>
      </w:r>
    </w:p>
    <w:p w:rsidR="0046536A" w:rsidRDefault="0046536A" w:rsidP="003A596A">
      <w:pPr>
        <w:autoSpaceDE w:val="0"/>
        <w:autoSpaceDN w:val="0"/>
        <w:adjustRightInd w:val="0"/>
        <w:jc w:val="both"/>
        <w:rPr>
          <w:rFonts w:ascii="Arial" w:hAnsi="Arial" w:cs="Arial"/>
          <w:lang w:eastAsia="fr-FR"/>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lang w:eastAsia="fr-FR"/>
        </w:rPr>
        <w:t>La documentation budgétaire présentée au Conseil communal à l’occasion du vote du budget de la Commune  d</w:t>
      </w:r>
      <w:r w:rsidR="003F2125">
        <w:rPr>
          <w:rFonts w:ascii="Arial" w:hAnsi="Arial" w:cs="Arial"/>
          <w:lang w:eastAsia="fr-FR"/>
        </w:rPr>
        <w:t>e Casablanca</w:t>
      </w:r>
      <w:r w:rsidRPr="00A17E25">
        <w:rPr>
          <w:rFonts w:ascii="Arial" w:hAnsi="Arial" w:cs="Arial"/>
          <w:lang w:eastAsia="fr-FR"/>
        </w:rPr>
        <w:t xml:space="preserve"> n’est pas mise à la disposition du public. Toutefois, les procès -verbaux des délibérations du Conseil communal comprenant les budgets ou les comptes administratifs votés de la Commune sont mis à la disposition de toute personne qui en fait la demande.</w:t>
      </w:r>
      <w:r w:rsidRPr="00A17E25">
        <w:rPr>
          <w:rStyle w:val="FootnoteReference"/>
          <w:rFonts w:cs="Arial"/>
          <w:lang w:eastAsia="fr-FR"/>
        </w:rPr>
        <w:footnoteReference w:id="28"/>
      </w:r>
      <w:r w:rsidRPr="00A17E25">
        <w:rPr>
          <w:rFonts w:ascii="Arial" w:hAnsi="Arial" w:cs="Arial"/>
          <w:lang w:eastAsia="fr-FR"/>
        </w:rPr>
        <w:t xml:space="preserve"> De plus, les débats des sessions budgétaires du Conseil communal sont publics.</w:t>
      </w:r>
    </w:p>
    <w:p w:rsidR="003A596A" w:rsidRPr="00A17E25" w:rsidRDefault="003A596A" w:rsidP="003A596A">
      <w:pPr>
        <w:autoSpaceDE w:val="0"/>
        <w:autoSpaceDN w:val="0"/>
        <w:adjustRightInd w:val="0"/>
        <w:jc w:val="both"/>
        <w:rPr>
          <w:rFonts w:ascii="Arial" w:hAnsi="Arial" w:cs="Arial"/>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lang w:eastAsia="fr-FR"/>
        </w:rPr>
        <w:t>En outre et conformément à la législation en vigueur</w:t>
      </w:r>
      <w:r w:rsidRPr="00A17E25">
        <w:rPr>
          <w:rStyle w:val="FootnoteReference"/>
          <w:rFonts w:cs="Arial"/>
          <w:lang w:eastAsia="fr-FR"/>
        </w:rPr>
        <w:footnoteReference w:id="29"/>
      </w:r>
      <w:r w:rsidRPr="00A17E25">
        <w:rPr>
          <w:rFonts w:ascii="Arial" w:hAnsi="Arial" w:cs="Arial"/>
          <w:lang w:eastAsia="fr-FR"/>
        </w:rPr>
        <w:t>, les délibérations sont affichées dans la huitaine, par extrait, au siège de la commune. Tout électeur de la commune a le droit de demander communication</w:t>
      </w:r>
      <w:r w:rsidR="0046536A">
        <w:rPr>
          <w:rFonts w:ascii="Arial" w:hAnsi="Arial" w:cs="Arial"/>
          <w:lang w:eastAsia="fr-FR"/>
        </w:rPr>
        <w:t xml:space="preserve"> </w:t>
      </w:r>
      <w:r w:rsidRPr="00A17E25">
        <w:rPr>
          <w:rFonts w:ascii="Arial" w:hAnsi="Arial" w:cs="Arial"/>
          <w:lang w:eastAsia="fr-FR"/>
        </w:rPr>
        <w:t>et de prendre à ses frais copie totale ou partielle des délibérations.</w:t>
      </w:r>
    </w:p>
    <w:p w:rsidR="003A596A" w:rsidRPr="00A17E25" w:rsidRDefault="003A596A" w:rsidP="003A596A">
      <w:pPr>
        <w:autoSpaceDE w:val="0"/>
        <w:autoSpaceDN w:val="0"/>
        <w:adjustRightInd w:val="0"/>
        <w:jc w:val="both"/>
        <w:rPr>
          <w:rFonts w:ascii="Arial" w:hAnsi="Arial" w:cs="Arial"/>
          <w:lang w:eastAsia="fr-FR"/>
        </w:rPr>
      </w:pPr>
    </w:p>
    <w:p w:rsidR="003A596A"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 xml:space="preserve">Le budget est déposé au siège de la collectivité locale dans les quinze jours suivant son approbation. Les rapports intra-annuels sur l’exécution du budget ne sont pas disponibles bien que ces rapports </w:t>
      </w:r>
      <w:r w:rsidR="0046536A">
        <w:rPr>
          <w:rFonts w:ascii="Arial" w:hAnsi="Arial" w:cs="Arial"/>
          <w:lang w:eastAsia="fr-FR"/>
        </w:rPr>
        <w:t>soient</w:t>
      </w:r>
      <w:r w:rsidRPr="00A17E25">
        <w:rPr>
          <w:rFonts w:ascii="Arial" w:hAnsi="Arial" w:cs="Arial"/>
          <w:lang w:eastAsia="fr-FR"/>
        </w:rPr>
        <w:t xml:space="preserve"> importants dans le cadre du suivi de l’exécution budgétaire.</w:t>
      </w:r>
    </w:p>
    <w:p w:rsidR="0046536A" w:rsidRPr="00A17E25" w:rsidRDefault="0046536A" w:rsidP="003A596A">
      <w:pPr>
        <w:autoSpaceDE w:val="0"/>
        <w:autoSpaceDN w:val="0"/>
        <w:adjustRightInd w:val="0"/>
        <w:jc w:val="both"/>
        <w:rPr>
          <w:rFonts w:ascii="Arial" w:hAnsi="Arial" w:cs="Arial"/>
          <w:lang w:eastAsia="fr-FR"/>
        </w:rPr>
      </w:pPr>
    </w:p>
    <w:p w:rsidR="003A596A"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Les rapports de vérification externe effectués par la Cour Régionale des Comptes ne sont pas mis à la disposition du public en temps opportun. Le dernier rapport publié étant celui au titre de l’exercice 2012 En effet, Les rapports de la Cour des Comptes bien que publics</w:t>
      </w:r>
      <w:r w:rsidR="0046536A">
        <w:rPr>
          <w:rFonts w:ascii="Arial" w:hAnsi="Arial" w:cs="Arial"/>
          <w:lang w:eastAsia="fr-FR"/>
        </w:rPr>
        <w:t>,</w:t>
      </w:r>
      <w:r w:rsidRPr="00A17E25">
        <w:rPr>
          <w:rFonts w:ascii="Arial" w:hAnsi="Arial" w:cs="Arial"/>
          <w:lang w:eastAsia="fr-FR"/>
        </w:rPr>
        <w:t xml:space="preserve"> ne sont pas disponibles dans les six mois qui suivent l’achèvement de la vérification.</w:t>
      </w:r>
    </w:p>
    <w:p w:rsidR="0046536A" w:rsidRPr="00A17E25" w:rsidRDefault="0046536A" w:rsidP="003A596A">
      <w:pPr>
        <w:autoSpaceDE w:val="0"/>
        <w:autoSpaceDN w:val="0"/>
        <w:adjustRightInd w:val="0"/>
        <w:jc w:val="both"/>
        <w:rPr>
          <w:rFonts w:ascii="Arial" w:hAnsi="Arial" w:cs="Arial"/>
          <w:lang w:eastAsia="fr-FR"/>
        </w:rPr>
      </w:pPr>
    </w:p>
    <w:p w:rsidR="003A596A" w:rsidRPr="00A17E25"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 xml:space="preserve">Quant aux attributions des marchés passés par la </w:t>
      </w:r>
      <w:r w:rsidR="00482393">
        <w:rPr>
          <w:rFonts w:ascii="Arial" w:hAnsi="Arial" w:cs="Arial"/>
          <w:lang w:eastAsia="fr-FR"/>
        </w:rPr>
        <w:t>CC</w:t>
      </w:r>
      <w:r w:rsidRPr="00A17E25">
        <w:rPr>
          <w:rFonts w:ascii="Arial" w:hAnsi="Arial" w:cs="Arial"/>
          <w:lang w:eastAsia="fr-FR"/>
        </w:rPr>
        <w:t>, elles font l’objet d’un affichage dans les locaux de la commune et sont publiées dans le portail des marchés publics</w:t>
      </w:r>
      <w:r w:rsidRPr="00A17E25">
        <w:rPr>
          <w:rStyle w:val="FootnoteReference"/>
          <w:rFonts w:cs="Arial"/>
          <w:lang w:eastAsia="fr-FR"/>
        </w:rPr>
        <w:footnoteReference w:id="30"/>
      </w:r>
      <w:r w:rsidRPr="00A17E25">
        <w:rPr>
          <w:rFonts w:ascii="Arial" w:hAnsi="Arial" w:cs="Arial"/>
          <w:lang w:eastAsia="fr-FR"/>
        </w:rPr>
        <w:t>.</w:t>
      </w:r>
    </w:p>
    <w:p w:rsidR="003A596A"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Les informations sur les ressources mises à la disposition des unités chargées de la prestation des services de base tels que l’eau, l’électricité, la collecte des ordures  et les données sur les droits et redevances collectées ne sont pas mises à la disposition du public.</w:t>
      </w:r>
    </w:p>
    <w:p w:rsidR="0046536A" w:rsidRPr="00A17E25" w:rsidRDefault="0046536A" w:rsidP="003A596A">
      <w:pPr>
        <w:autoSpaceDE w:val="0"/>
        <w:autoSpaceDN w:val="0"/>
        <w:adjustRightInd w:val="0"/>
        <w:jc w:val="both"/>
        <w:rPr>
          <w:rFonts w:ascii="Arial" w:hAnsi="Arial" w:cs="Arial"/>
          <w:lang w:eastAsia="fr-FR"/>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lang w:eastAsia="fr-FR"/>
        </w:rPr>
        <w:t>Enfin, la commune ne dispose pas d’un site web fonctionnel</w:t>
      </w:r>
      <w:r w:rsidR="0046536A">
        <w:rPr>
          <w:rFonts w:ascii="Arial" w:hAnsi="Arial" w:cs="Arial"/>
          <w:lang w:eastAsia="fr-FR"/>
        </w:rPr>
        <w:t>.</w:t>
      </w:r>
      <w:r w:rsidRPr="00A17E25">
        <w:rPr>
          <w:rFonts w:ascii="Arial" w:hAnsi="Arial" w:cs="Arial"/>
          <w:lang w:eastAsia="fr-FR"/>
        </w:rPr>
        <w:t xml:space="preserve"> </w:t>
      </w:r>
      <w:r w:rsidR="0046536A">
        <w:rPr>
          <w:rFonts w:ascii="Arial" w:hAnsi="Arial" w:cs="Arial"/>
          <w:lang w:eastAsia="fr-FR"/>
        </w:rPr>
        <w:t>Mais</w:t>
      </w:r>
      <w:r w:rsidRPr="00A17E25">
        <w:rPr>
          <w:rFonts w:ascii="Arial" w:hAnsi="Arial" w:cs="Arial"/>
          <w:lang w:eastAsia="fr-FR"/>
        </w:rPr>
        <w:t xml:space="preserve"> le projet  d’un </w:t>
      </w:r>
      <w:r w:rsidRPr="00A17E25">
        <w:rPr>
          <w:rFonts w:ascii="Arial" w:hAnsi="Arial" w:cs="Arial"/>
          <w:bCs/>
        </w:rPr>
        <w:t>portail de la ville de Casablanca est en cours de construction. Il permettra au public de disposer d’une</w:t>
      </w:r>
      <w:r w:rsidR="0046536A">
        <w:rPr>
          <w:rFonts w:ascii="Arial" w:hAnsi="Arial" w:cs="Arial"/>
          <w:bCs/>
        </w:rPr>
        <w:t xml:space="preserve"> </w:t>
      </w:r>
      <w:r w:rsidRPr="00A17E25">
        <w:rPr>
          <w:rFonts w:ascii="Arial" w:hAnsi="Arial" w:cs="Arial"/>
          <w:bCs/>
          <w:lang w:eastAsia="fr-FR"/>
        </w:rPr>
        <w:t>Base de Données des services de la Ville de Casablanca. Les premières phases de conception et de développement de ce site sont achevées et celle de gestion du contenu est bien avancée</w:t>
      </w:r>
      <w:r w:rsidR="0046536A">
        <w:rPr>
          <w:rFonts w:ascii="Arial" w:hAnsi="Arial" w:cs="Arial"/>
          <w:bCs/>
          <w:lang w:eastAsia="fr-FR"/>
        </w:rPr>
        <w:t>,</w:t>
      </w:r>
      <w:r w:rsidR="00414B2C">
        <w:rPr>
          <w:rFonts w:ascii="Arial" w:hAnsi="Arial" w:cs="Arial"/>
          <w:bCs/>
          <w:lang w:eastAsia="fr-FR"/>
        </w:rPr>
        <w:t xml:space="preserve"> mais</w:t>
      </w:r>
      <w:r w:rsidRPr="00A17E25">
        <w:rPr>
          <w:rFonts w:ascii="Arial" w:hAnsi="Arial" w:cs="Arial"/>
          <w:bCs/>
          <w:lang w:eastAsia="fr-FR"/>
        </w:rPr>
        <w:t xml:space="preserve"> à ce stade </w:t>
      </w:r>
      <w:r w:rsidR="00414B2C">
        <w:rPr>
          <w:rFonts w:ascii="Arial" w:hAnsi="Arial" w:cs="Arial"/>
          <w:bCs/>
          <w:lang w:eastAsia="fr-FR"/>
        </w:rPr>
        <w:t>il n’est</w:t>
      </w:r>
      <w:r w:rsidRPr="00A17E25">
        <w:rPr>
          <w:rFonts w:ascii="Arial" w:hAnsi="Arial" w:cs="Arial"/>
          <w:bCs/>
          <w:lang w:eastAsia="fr-FR"/>
        </w:rPr>
        <w:t xml:space="preserve"> pas la mise en ligne des éléments d’information sur les budgets de la ville comme requis par les bonnes pratiques.</w:t>
      </w:r>
    </w:p>
    <w:p w:rsidR="00414B2C" w:rsidRDefault="00414B2C" w:rsidP="003A596A">
      <w:pPr>
        <w:pStyle w:val="Default"/>
        <w:jc w:val="both"/>
        <w:rPr>
          <w:rFonts w:ascii="Arial" w:hAnsi="Arial" w:cs="Arial"/>
          <w:lang w:val="fr-FR"/>
        </w:rPr>
      </w:pPr>
    </w:p>
    <w:p w:rsidR="003A596A" w:rsidRPr="00A17E25" w:rsidRDefault="003A596A" w:rsidP="003A596A">
      <w:pPr>
        <w:pStyle w:val="Default"/>
        <w:jc w:val="both"/>
        <w:rPr>
          <w:rFonts w:ascii="Arial" w:hAnsi="Arial" w:cs="Arial"/>
          <w:lang w:val="fr-FR"/>
        </w:rPr>
      </w:pPr>
      <w:r w:rsidRPr="00A17E25">
        <w:rPr>
          <w:rFonts w:ascii="Arial" w:hAnsi="Arial" w:cs="Arial"/>
          <w:lang w:val="fr-FR"/>
        </w:rPr>
        <w:t xml:space="preserve">Les entretiens de la mission avec les représentants de la Chambre de Commerce des Services et de l’Industrie et de la Confédération Générale des Entrepreneurs du Maroc (CGEM) ont permis de relever l’insuffisance des mécanismes de concertation et de collaboration entre ces organisations de la société civile et la </w:t>
      </w:r>
      <w:r w:rsidR="00482393">
        <w:rPr>
          <w:rFonts w:ascii="Arial" w:hAnsi="Arial" w:cs="Arial"/>
          <w:lang w:val="fr-FR"/>
        </w:rPr>
        <w:t>CC</w:t>
      </w:r>
    </w:p>
    <w:p w:rsidR="003A596A" w:rsidRPr="00A17E25" w:rsidRDefault="003A596A" w:rsidP="003A596A">
      <w:pPr>
        <w:pStyle w:val="Default"/>
        <w:jc w:val="both"/>
        <w:rPr>
          <w:rFonts w:ascii="Arial" w:hAnsi="Arial" w:cs="Arial"/>
          <w:lang w:val="fr-FR"/>
        </w:rPr>
      </w:pPr>
    </w:p>
    <w:p w:rsidR="003A596A" w:rsidRDefault="003A596A" w:rsidP="003A596A">
      <w:pPr>
        <w:pStyle w:val="Default"/>
        <w:jc w:val="both"/>
        <w:rPr>
          <w:rFonts w:ascii="Arial" w:hAnsi="Arial" w:cs="Arial"/>
          <w:lang w:val="fr-FR"/>
        </w:rPr>
      </w:pPr>
      <w:r w:rsidRPr="00A17E25">
        <w:rPr>
          <w:rFonts w:ascii="Arial" w:hAnsi="Arial" w:cs="Arial"/>
          <w:lang w:val="fr-FR"/>
        </w:rPr>
        <w:t>La nouvelle loi organique 113.14 vient renforcer les dispositifs de gouvernance et d’accès à l’information. En effet, elle a introduit pour la première fois des mécanismes de participation et de concertation avec les citoyens et les associations</w:t>
      </w:r>
      <w:r w:rsidRPr="00A17E25">
        <w:rPr>
          <w:rStyle w:val="FootnoteReference"/>
          <w:rFonts w:cs="Arial"/>
          <w:lang w:val="fr-FR"/>
        </w:rPr>
        <w:footnoteReference w:id="31"/>
      </w:r>
      <w:r w:rsidRPr="00A17E25">
        <w:rPr>
          <w:rFonts w:ascii="Arial" w:hAnsi="Arial" w:cs="Arial"/>
          <w:lang w:val="fr-FR"/>
        </w:rPr>
        <w:t xml:space="preserve">  et les concepts d’évaluation, d’audit interne et externe (par un membre de l’ordre des experts comptables) et a consacré le principe de publication des états financiers des communes notamment par voie électronique et </w:t>
      </w:r>
      <w:r w:rsidR="00A07D79" w:rsidRPr="00A17E25">
        <w:rPr>
          <w:rFonts w:ascii="Arial" w:hAnsi="Arial" w:cs="Arial"/>
          <w:lang w:val="fr-FR"/>
        </w:rPr>
        <w:t>des rapports</w:t>
      </w:r>
      <w:r w:rsidRPr="00A17E25">
        <w:rPr>
          <w:rFonts w:ascii="Arial" w:hAnsi="Arial" w:cs="Arial"/>
          <w:lang w:val="fr-FR"/>
        </w:rPr>
        <w:t xml:space="preserve"> d’évaluation et d’audit</w:t>
      </w:r>
      <w:r w:rsidRPr="00A17E25">
        <w:rPr>
          <w:rStyle w:val="FootnoteReference"/>
          <w:rFonts w:cs="Arial"/>
          <w:lang w:val="fr-FR"/>
        </w:rPr>
        <w:footnoteReference w:id="32"/>
      </w:r>
      <w:r w:rsidRPr="00A17E25">
        <w:rPr>
          <w:rFonts w:ascii="Arial" w:hAnsi="Arial" w:cs="Arial"/>
          <w:lang w:val="fr-FR"/>
        </w:rPr>
        <w:t>.</w:t>
      </w:r>
    </w:p>
    <w:p w:rsidR="00414B2C" w:rsidRDefault="00414B2C" w:rsidP="003A596A">
      <w:pPr>
        <w:pStyle w:val="Default"/>
        <w:jc w:val="both"/>
        <w:rPr>
          <w:rFonts w:ascii="Arial" w:hAnsi="Arial" w:cs="Arial"/>
          <w:lang w:val="fr-FR"/>
        </w:rPr>
      </w:pPr>
    </w:p>
    <w:p w:rsidR="003A596A" w:rsidRDefault="00414B2C" w:rsidP="00414B2C">
      <w:pPr>
        <w:pStyle w:val="Default"/>
        <w:jc w:val="center"/>
        <w:rPr>
          <w:rFonts w:ascii="Arial Narrow" w:hAnsi="Arial Narrow" w:cs="Arial"/>
          <w:b/>
          <w:sz w:val="20"/>
          <w:szCs w:val="20"/>
          <w:lang w:val="fr-FR"/>
        </w:rPr>
      </w:pPr>
      <w:r w:rsidRPr="00E67B20">
        <w:rPr>
          <w:rFonts w:ascii="Arial Narrow" w:hAnsi="Arial Narrow" w:cs="Arial"/>
          <w:b/>
          <w:sz w:val="20"/>
          <w:szCs w:val="20"/>
          <w:u w:val="single"/>
          <w:lang w:val="fr-FR"/>
        </w:rPr>
        <w:t>TABLEAU </w:t>
      </w:r>
      <w:r w:rsidR="00E67B20" w:rsidRPr="00E67B20">
        <w:rPr>
          <w:rFonts w:ascii="Arial Narrow" w:hAnsi="Arial Narrow" w:cs="Arial"/>
          <w:b/>
          <w:sz w:val="20"/>
          <w:szCs w:val="20"/>
          <w:lang w:val="fr-FR"/>
        </w:rPr>
        <w:t>3.16</w:t>
      </w:r>
      <w:r w:rsidRPr="00E67B20">
        <w:rPr>
          <w:rFonts w:ascii="Arial Narrow" w:hAnsi="Arial Narrow" w:cs="Arial"/>
          <w:b/>
          <w:sz w:val="20"/>
          <w:szCs w:val="20"/>
          <w:lang w:val="fr-FR"/>
        </w:rPr>
        <w:t xml:space="preserve">: Eléments d’information mis à la disposition du public par la </w:t>
      </w:r>
      <w:r w:rsidR="00482393">
        <w:rPr>
          <w:rFonts w:ascii="Arial Narrow" w:hAnsi="Arial Narrow" w:cs="Arial"/>
          <w:b/>
          <w:sz w:val="20"/>
          <w:szCs w:val="20"/>
          <w:lang w:val="fr-FR"/>
        </w:rPr>
        <w:t>CC</w:t>
      </w:r>
      <w:r w:rsidRPr="00E67B20">
        <w:rPr>
          <w:rFonts w:ascii="Arial Narrow" w:hAnsi="Arial Narrow" w:cs="Arial"/>
          <w:b/>
          <w:sz w:val="20"/>
          <w:szCs w:val="20"/>
          <w:lang w:val="fr-FR"/>
        </w:rPr>
        <w:t>.</w:t>
      </w:r>
    </w:p>
    <w:p w:rsidR="002C66B7" w:rsidRPr="00E67B20" w:rsidRDefault="002C66B7" w:rsidP="00414B2C">
      <w:pPr>
        <w:pStyle w:val="Default"/>
        <w:jc w:val="center"/>
        <w:rPr>
          <w:rFonts w:ascii="Arial Narrow" w:hAnsi="Arial Narrow" w:cs="Arial"/>
          <w:b/>
          <w:sz w:val="20"/>
          <w:szCs w:val="20"/>
          <w:lang w:val="fr-FR"/>
        </w:rPr>
      </w:pPr>
    </w:p>
    <w:tbl>
      <w:tblPr>
        <w:tblStyle w:val="TableGrid"/>
        <w:tblW w:w="10260" w:type="dxa"/>
        <w:tblInd w:w="-342" w:type="dxa"/>
        <w:tblLook w:val="04A0" w:firstRow="1" w:lastRow="0" w:firstColumn="1" w:lastColumn="0" w:noHBand="0" w:noVBand="1"/>
      </w:tblPr>
      <w:tblGrid>
        <w:gridCol w:w="6750"/>
        <w:gridCol w:w="2340"/>
        <w:gridCol w:w="1170"/>
      </w:tblGrid>
      <w:tr w:rsidR="003A596A" w:rsidRPr="002C66B7" w:rsidTr="004B57C3">
        <w:tc>
          <w:tcPr>
            <w:tcW w:w="6750" w:type="dxa"/>
            <w:tcBorders>
              <w:top w:val="single" w:sz="4" w:space="0" w:color="auto"/>
              <w:left w:val="single" w:sz="4" w:space="0" w:color="auto"/>
              <w:bottom w:val="single" w:sz="4" w:space="0" w:color="auto"/>
              <w:right w:val="single" w:sz="4" w:space="0" w:color="auto"/>
            </w:tcBorders>
            <w:shd w:val="clear" w:color="auto" w:fill="0070C0"/>
          </w:tcPr>
          <w:p w:rsidR="003A596A" w:rsidRPr="002C66B7" w:rsidRDefault="00A74F1F" w:rsidP="00414B2C">
            <w:pPr>
              <w:pStyle w:val="Default"/>
              <w:jc w:val="center"/>
              <w:rPr>
                <w:rFonts w:ascii="Arial" w:hAnsi="Arial" w:cs="Arial"/>
                <w:b/>
                <w:bCs/>
                <w:color w:val="FFFFFF" w:themeColor="background1"/>
                <w:sz w:val="20"/>
                <w:szCs w:val="20"/>
                <w:lang w:val="fr-FR"/>
              </w:rPr>
            </w:pPr>
            <w:r w:rsidRPr="002C66B7">
              <w:rPr>
                <w:rFonts w:ascii="Arial" w:hAnsi="Arial" w:cs="Arial"/>
                <w:b/>
                <w:bCs/>
                <w:color w:val="FFFFFF" w:themeColor="background1"/>
                <w:sz w:val="20"/>
                <w:szCs w:val="20"/>
                <w:lang w:val="fr-FR"/>
              </w:rPr>
              <w:t>Éléments d’information</w:t>
            </w:r>
          </w:p>
          <w:p w:rsidR="003A596A" w:rsidRPr="002C66B7" w:rsidRDefault="003A596A" w:rsidP="00414B2C">
            <w:pPr>
              <w:pStyle w:val="Default"/>
              <w:jc w:val="center"/>
              <w:rPr>
                <w:rFonts w:ascii="Arial" w:hAnsi="Arial" w:cs="Arial"/>
                <w:b/>
                <w:bCs/>
                <w:color w:val="FFFFFF" w:themeColor="background1"/>
                <w:sz w:val="20"/>
                <w:szCs w:val="20"/>
                <w:lang w:val="fr-FR"/>
              </w:rPr>
            </w:pP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rsidR="003A596A" w:rsidRPr="002C66B7" w:rsidRDefault="003A596A" w:rsidP="00414B2C">
            <w:pPr>
              <w:pStyle w:val="Default"/>
              <w:jc w:val="center"/>
              <w:rPr>
                <w:rFonts w:ascii="Arial" w:hAnsi="Arial" w:cs="Arial"/>
                <w:b/>
                <w:bCs/>
                <w:color w:val="FFFFFF" w:themeColor="background1"/>
                <w:sz w:val="20"/>
                <w:szCs w:val="20"/>
                <w:lang w:val="fr-FR"/>
              </w:rPr>
            </w:pPr>
            <w:r w:rsidRPr="002C66B7">
              <w:rPr>
                <w:rFonts w:ascii="Arial" w:hAnsi="Arial" w:cs="Arial"/>
                <w:b/>
                <w:bCs/>
                <w:color w:val="FFFFFF" w:themeColor="background1"/>
                <w:sz w:val="20"/>
                <w:szCs w:val="20"/>
                <w:lang w:val="fr-FR"/>
              </w:rPr>
              <w:t>Evaluation</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3A596A" w:rsidRPr="002C66B7" w:rsidRDefault="003A596A" w:rsidP="00414B2C">
            <w:pPr>
              <w:pStyle w:val="Default"/>
              <w:jc w:val="center"/>
              <w:rPr>
                <w:rFonts w:ascii="Arial" w:hAnsi="Arial" w:cs="Arial"/>
                <w:b/>
                <w:bCs/>
                <w:color w:val="FFFFFF" w:themeColor="background1"/>
                <w:sz w:val="20"/>
                <w:szCs w:val="20"/>
                <w:lang w:val="fr-FR"/>
              </w:rPr>
            </w:pPr>
            <w:r w:rsidRPr="002C66B7">
              <w:rPr>
                <w:rFonts w:ascii="Arial" w:hAnsi="Arial" w:cs="Arial"/>
                <w:b/>
                <w:bCs/>
                <w:color w:val="FFFFFF" w:themeColor="background1"/>
                <w:sz w:val="20"/>
                <w:szCs w:val="20"/>
                <w:lang w:val="fr-FR"/>
              </w:rPr>
              <w:t>Critère satisfait</w:t>
            </w:r>
          </w:p>
        </w:tc>
      </w:tr>
      <w:tr w:rsidR="00A74F1F" w:rsidRPr="002C66B7" w:rsidTr="004B57C3">
        <w:tc>
          <w:tcPr>
            <w:tcW w:w="6750" w:type="dxa"/>
            <w:tcBorders>
              <w:top w:val="single" w:sz="4" w:space="0" w:color="auto"/>
              <w:left w:val="single" w:sz="4" w:space="0" w:color="auto"/>
              <w:bottom w:val="single" w:sz="4" w:space="0" w:color="auto"/>
              <w:right w:val="single" w:sz="4" w:space="0" w:color="auto"/>
            </w:tcBorders>
            <w:shd w:val="clear" w:color="auto" w:fill="0070C0"/>
          </w:tcPr>
          <w:p w:rsidR="00A74F1F" w:rsidRPr="002C66B7" w:rsidRDefault="00A74F1F" w:rsidP="00A74F1F">
            <w:pPr>
              <w:pStyle w:val="Default"/>
              <w:jc w:val="center"/>
              <w:rPr>
                <w:rFonts w:ascii="Arial" w:hAnsi="Arial" w:cs="Arial"/>
                <w:b/>
                <w:bCs/>
                <w:color w:val="FFFFFF" w:themeColor="background1"/>
                <w:sz w:val="20"/>
                <w:szCs w:val="20"/>
                <w:lang w:val="fr-FR"/>
              </w:rPr>
            </w:pPr>
            <w:r w:rsidRPr="002C66B7">
              <w:rPr>
                <w:rFonts w:ascii="Arial" w:hAnsi="Arial" w:cs="Arial"/>
                <w:b/>
                <w:bCs/>
                <w:color w:val="FFFFFF" w:themeColor="background1"/>
                <w:sz w:val="20"/>
                <w:szCs w:val="20"/>
                <w:lang w:val="fr-FR"/>
              </w:rPr>
              <w:t>Éléments fondamentaux</w:t>
            </w:r>
          </w:p>
          <w:p w:rsidR="00A74F1F" w:rsidRPr="002C66B7" w:rsidRDefault="00A74F1F" w:rsidP="00414B2C">
            <w:pPr>
              <w:pStyle w:val="Default"/>
              <w:jc w:val="center"/>
              <w:rPr>
                <w:rFonts w:ascii="Arial" w:hAnsi="Arial" w:cs="Arial"/>
                <w:b/>
                <w:bCs/>
                <w:color w:val="FFFFFF" w:themeColor="background1"/>
                <w:sz w:val="20"/>
                <w:szCs w:val="20"/>
                <w:lang w:val="fr-FR"/>
              </w:rPr>
            </w:pPr>
          </w:p>
        </w:tc>
        <w:tc>
          <w:tcPr>
            <w:tcW w:w="2340" w:type="dxa"/>
            <w:tcBorders>
              <w:top w:val="single" w:sz="4" w:space="0" w:color="auto"/>
              <w:left w:val="single" w:sz="4" w:space="0" w:color="auto"/>
              <w:bottom w:val="single" w:sz="4" w:space="0" w:color="auto"/>
              <w:right w:val="single" w:sz="4" w:space="0" w:color="auto"/>
            </w:tcBorders>
            <w:shd w:val="clear" w:color="auto" w:fill="0070C0"/>
          </w:tcPr>
          <w:p w:rsidR="00A74F1F" w:rsidRPr="002C66B7" w:rsidRDefault="00A74F1F" w:rsidP="00414B2C">
            <w:pPr>
              <w:pStyle w:val="Default"/>
              <w:jc w:val="center"/>
              <w:rPr>
                <w:rFonts w:ascii="Arial" w:hAnsi="Arial" w:cs="Arial"/>
                <w:b/>
                <w:bCs/>
                <w:color w:val="FFFFFF" w:themeColor="background1"/>
                <w:sz w:val="20"/>
                <w:szCs w:val="20"/>
                <w:lang w:val="fr-FR"/>
              </w:rPr>
            </w:pP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A74F1F" w:rsidRPr="002C66B7" w:rsidRDefault="00A74F1F" w:rsidP="00414B2C">
            <w:pPr>
              <w:pStyle w:val="Default"/>
              <w:jc w:val="center"/>
              <w:rPr>
                <w:rFonts w:ascii="Arial" w:hAnsi="Arial" w:cs="Arial"/>
                <w:b/>
                <w:bCs/>
                <w:color w:val="FFFFFF" w:themeColor="background1"/>
                <w:sz w:val="20"/>
                <w:szCs w:val="20"/>
                <w:lang w:val="fr-FR"/>
              </w:rPr>
            </w:pPr>
          </w:p>
        </w:tc>
      </w:tr>
      <w:tr w:rsidR="003A596A" w:rsidRPr="002C66B7" w:rsidTr="00206632">
        <w:tc>
          <w:tcPr>
            <w:tcW w:w="675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pStyle w:val="Default"/>
              <w:spacing w:before="240"/>
              <w:jc w:val="both"/>
              <w:rPr>
                <w:rFonts w:ascii="Arial" w:hAnsi="Arial" w:cs="Arial"/>
                <w:sz w:val="20"/>
                <w:szCs w:val="20"/>
                <w:lang w:val="fr-FR"/>
              </w:rPr>
            </w:pPr>
            <w:r w:rsidRPr="002C66B7">
              <w:rPr>
                <w:rFonts w:ascii="Arial" w:hAnsi="Arial" w:cs="Arial"/>
                <w:b/>
                <w:bCs/>
                <w:sz w:val="20"/>
                <w:szCs w:val="20"/>
                <w:lang w:val="fr-FR"/>
              </w:rPr>
              <w:t xml:space="preserve">1. Documents relatifs au projet de budget annuel du pouvoir exécutif : </w:t>
            </w:r>
            <w:r w:rsidRPr="002C66B7">
              <w:rPr>
                <w:rFonts w:ascii="Arial" w:hAnsi="Arial" w:cs="Arial"/>
                <w:sz w:val="20"/>
                <w:szCs w:val="20"/>
                <w:lang w:val="fr-FR"/>
              </w:rPr>
              <w:t xml:space="preserve">une série complète de documents relatifs au projet de budget annuel du pouvoir exécutif (tels qu’évalués dans le cadre de l’indicateur PI-5) est mis à la disposition du public dans un délai d’une semaine à compter de leur soumission par le pouvoir exécutif au pouvoir législatif. </w:t>
            </w:r>
          </w:p>
        </w:tc>
        <w:tc>
          <w:tcPr>
            <w:tcW w:w="2340" w:type="dxa"/>
            <w:tcBorders>
              <w:top w:val="single" w:sz="4" w:space="0" w:color="auto"/>
              <w:left w:val="single" w:sz="4" w:space="0" w:color="auto"/>
              <w:bottom w:val="single" w:sz="4" w:space="0" w:color="auto"/>
              <w:right w:val="single" w:sz="4" w:space="0" w:color="auto"/>
            </w:tcBorders>
            <w:hideMark/>
          </w:tcPr>
          <w:p w:rsidR="003A596A" w:rsidRPr="002C66B7" w:rsidRDefault="003A596A" w:rsidP="00206632">
            <w:pPr>
              <w:autoSpaceDE w:val="0"/>
              <w:autoSpaceDN w:val="0"/>
              <w:adjustRightInd w:val="0"/>
              <w:spacing w:before="240"/>
              <w:jc w:val="both"/>
              <w:rPr>
                <w:rFonts w:ascii="Arial" w:hAnsi="Arial" w:cs="Arial"/>
                <w:color w:val="000000"/>
                <w:sz w:val="20"/>
                <w:szCs w:val="20"/>
                <w:lang w:eastAsia="fr-FR" w:bidi="ml-IN"/>
              </w:rPr>
            </w:pPr>
            <w:r w:rsidRPr="002C66B7">
              <w:rPr>
                <w:rFonts w:ascii="Arial" w:hAnsi="Arial" w:cs="Arial"/>
                <w:color w:val="000000"/>
                <w:sz w:val="20"/>
                <w:szCs w:val="20"/>
                <w:lang w:eastAsia="fr-FR" w:bidi="ml-IN"/>
              </w:rPr>
              <w:t>La documentation budgétaire présentée au Conseil communal à l’occasion du vote du budget communal n’est pas rendue publique au moment de sa présentation au Conseil.</w:t>
            </w:r>
          </w:p>
        </w:tc>
        <w:tc>
          <w:tcPr>
            <w:tcW w:w="117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autoSpaceDE w:val="0"/>
              <w:autoSpaceDN w:val="0"/>
              <w:adjustRightInd w:val="0"/>
              <w:spacing w:before="240"/>
              <w:jc w:val="both"/>
              <w:rPr>
                <w:rFonts w:ascii="Arial" w:hAnsi="Arial" w:cs="Arial"/>
                <w:sz w:val="20"/>
                <w:szCs w:val="20"/>
                <w:lang w:eastAsia="fr-FR"/>
              </w:rPr>
            </w:pPr>
            <w:r w:rsidRPr="002C66B7">
              <w:rPr>
                <w:rFonts w:ascii="Arial" w:hAnsi="Arial" w:cs="Arial"/>
                <w:sz w:val="20"/>
                <w:szCs w:val="20"/>
                <w:lang w:eastAsia="fr-FR"/>
              </w:rPr>
              <w:t>Non</w:t>
            </w:r>
          </w:p>
        </w:tc>
      </w:tr>
      <w:tr w:rsidR="003A596A" w:rsidRPr="002C66B7" w:rsidTr="00206632">
        <w:tc>
          <w:tcPr>
            <w:tcW w:w="675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pStyle w:val="Default"/>
              <w:spacing w:before="240"/>
              <w:jc w:val="both"/>
              <w:rPr>
                <w:rFonts w:ascii="Arial" w:hAnsi="Arial" w:cs="Arial"/>
                <w:sz w:val="20"/>
                <w:szCs w:val="20"/>
                <w:lang w:val="fr-FR"/>
              </w:rPr>
            </w:pPr>
            <w:r w:rsidRPr="002C66B7">
              <w:rPr>
                <w:rFonts w:ascii="Arial" w:hAnsi="Arial" w:cs="Arial"/>
                <w:b/>
                <w:bCs/>
                <w:sz w:val="20"/>
                <w:szCs w:val="20"/>
                <w:lang w:val="fr-FR"/>
              </w:rPr>
              <w:t xml:space="preserve">2. Budget promulgué : </w:t>
            </w:r>
            <w:r w:rsidRPr="002C66B7">
              <w:rPr>
                <w:rFonts w:ascii="Arial" w:hAnsi="Arial" w:cs="Arial"/>
                <w:sz w:val="20"/>
                <w:szCs w:val="20"/>
                <w:lang w:val="fr-FR"/>
              </w:rPr>
              <w:t xml:space="preserve">Le budget annuel approuvé par le pouvoir législatif est rendu public dans un délai de deux semaines à compter de l’approbation du budget. </w:t>
            </w:r>
          </w:p>
        </w:tc>
        <w:tc>
          <w:tcPr>
            <w:tcW w:w="2340" w:type="dxa"/>
            <w:tcBorders>
              <w:top w:val="single" w:sz="4" w:space="0" w:color="auto"/>
              <w:left w:val="single" w:sz="4" w:space="0" w:color="auto"/>
              <w:bottom w:val="single" w:sz="4" w:space="0" w:color="auto"/>
              <w:right w:val="single" w:sz="4" w:space="0" w:color="auto"/>
            </w:tcBorders>
            <w:hideMark/>
          </w:tcPr>
          <w:p w:rsidR="003A596A" w:rsidRPr="002C66B7" w:rsidRDefault="003A596A" w:rsidP="00206632">
            <w:pPr>
              <w:pStyle w:val="Default"/>
              <w:spacing w:before="240"/>
              <w:jc w:val="both"/>
              <w:rPr>
                <w:rFonts w:ascii="Arial" w:hAnsi="Arial" w:cs="Arial"/>
                <w:sz w:val="20"/>
                <w:szCs w:val="20"/>
                <w:lang w:val="fr-FR" w:eastAsia="fr-FR"/>
              </w:rPr>
            </w:pPr>
            <w:r w:rsidRPr="002C66B7">
              <w:rPr>
                <w:rFonts w:ascii="Arial" w:hAnsi="Arial" w:cs="Arial"/>
                <w:sz w:val="20"/>
                <w:szCs w:val="20"/>
                <w:lang w:val="fr-FR" w:eastAsia="fr-FR"/>
              </w:rPr>
              <w:t>Le budget est déposé au siège de la collectivité locale dans les quinze jours suivant son approbation.</w:t>
            </w:r>
          </w:p>
        </w:tc>
        <w:tc>
          <w:tcPr>
            <w:tcW w:w="1170" w:type="dxa"/>
            <w:tcBorders>
              <w:top w:val="single" w:sz="4" w:space="0" w:color="auto"/>
              <w:left w:val="single" w:sz="4" w:space="0" w:color="auto"/>
              <w:bottom w:val="single" w:sz="4" w:space="0" w:color="auto"/>
              <w:right w:val="single" w:sz="4" w:space="0" w:color="auto"/>
            </w:tcBorders>
          </w:tcPr>
          <w:p w:rsidR="003A596A" w:rsidRPr="002C66B7" w:rsidRDefault="009C247D" w:rsidP="00206632">
            <w:pPr>
              <w:pStyle w:val="Default"/>
              <w:spacing w:before="240"/>
              <w:jc w:val="both"/>
              <w:rPr>
                <w:rFonts w:ascii="Arial" w:hAnsi="Arial" w:cs="Arial"/>
                <w:sz w:val="20"/>
                <w:szCs w:val="20"/>
                <w:lang w:val="fr-FR" w:eastAsia="fr-FR"/>
              </w:rPr>
            </w:pPr>
            <w:r w:rsidRPr="002C66B7">
              <w:rPr>
                <w:rFonts w:ascii="Arial" w:hAnsi="Arial" w:cs="Arial"/>
                <w:sz w:val="20"/>
                <w:szCs w:val="20"/>
                <w:lang w:val="fr-FR" w:eastAsia="fr-FR"/>
              </w:rPr>
              <w:t>Non</w:t>
            </w:r>
          </w:p>
        </w:tc>
      </w:tr>
      <w:tr w:rsidR="003A596A" w:rsidRPr="002C66B7" w:rsidTr="00206632">
        <w:tc>
          <w:tcPr>
            <w:tcW w:w="675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 xml:space="preserve">3. </w:t>
            </w:r>
            <w:r w:rsidRPr="002C66B7">
              <w:rPr>
                <w:rFonts w:ascii="Arial" w:hAnsi="Arial" w:cs="Arial"/>
                <w:b/>
                <w:bCs/>
                <w:sz w:val="20"/>
                <w:szCs w:val="20"/>
                <w:lang w:val="fr-FR"/>
              </w:rPr>
              <w:t xml:space="preserve">Les rapports en cours d’exercice sur l’exécution du budget </w:t>
            </w:r>
            <w:r w:rsidRPr="002C66B7">
              <w:rPr>
                <w:rFonts w:ascii="Arial" w:hAnsi="Arial" w:cs="Arial"/>
                <w:sz w:val="20"/>
                <w:szCs w:val="20"/>
                <w:lang w:val="fr-FR"/>
              </w:rPr>
              <w:t xml:space="preserve">: les rapports sont systématiquement communiqués au public dans un délai d’un mois après la fin de la période qu’ils couvrent. Lorsqu’un rapport analytique plus détaillé est établi en cours d’exercice, il doit être publié dans un délai de trois mois à compter de la fin de la période couverte. </w:t>
            </w:r>
          </w:p>
        </w:tc>
        <w:tc>
          <w:tcPr>
            <w:tcW w:w="2340" w:type="dxa"/>
            <w:tcBorders>
              <w:top w:val="single" w:sz="4" w:space="0" w:color="auto"/>
              <w:left w:val="single" w:sz="4" w:space="0" w:color="auto"/>
              <w:bottom w:val="single" w:sz="4" w:space="0" w:color="auto"/>
              <w:right w:val="single" w:sz="4" w:space="0" w:color="auto"/>
            </w:tcBorders>
            <w:hideMark/>
          </w:tcPr>
          <w:p w:rsidR="003A596A" w:rsidRPr="002C66B7" w:rsidRDefault="003A596A" w:rsidP="00206632">
            <w:pPr>
              <w:spacing w:before="240"/>
              <w:jc w:val="both"/>
              <w:rPr>
                <w:rFonts w:ascii="Arial" w:hAnsi="Arial" w:cs="Arial"/>
                <w:color w:val="000000"/>
                <w:sz w:val="20"/>
                <w:szCs w:val="20"/>
                <w:lang w:eastAsia="fr-FR" w:bidi="ml-IN"/>
              </w:rPr>
            </w:pPr>
            <w:r w:rsidRPr="002C66B7">
              <w:rPr>
                <w:rFonts w:ascii="Arial" w:hAnsi="Arial" w:cs="Arial"/>
                <w:color w:val="000000"/>
                <w:sz w:val="20"/>
                <w:szCs w:val="20"/>
                <w:lang w:eastAsia="fr-FR" w:bidi="ml-IN"/>
              </w:rPr>
              <w:t>Les rapports infra-annuels d’exécution du budget communal ne sont pas rendus publics.</w:t>
            </w:r>
          </w:p>
        </w:tc>
        <w:tc>
          <w:tcPr>
            <w:tcW w:w="117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spacing w:before="240"/>
              <w:jc w:val="both"/>
              <w:rPr>
                <w:rFonts w:ascii="Arial" w:hAnsi="Arial" w:cs="Arial"/>
                <w:color w:val="000000"/>
                <w:sz w:val="20"/>
                <w:szCs w:val="20"/>
                <w:lang w:eastAsia="fr-FR"/>
              </w:rPr>
            </w:pPr>
            <w:r w:rsidRPr="002C66B7">
              <w:rPr>
                <w:rFonts w:ascii="Arial" w:hAnsi="Arial" w:cs="Arial"/>
                <w:color w:val="000000"/>
                <w:sz w:val="20"/>
                <w:szCs w:val="20"/>
                <w:lang w:eastAsia="fr-FR"/>
              </w:rPr>
              <w:t>Non</w:t>
            </w:r>
          </w:p>
        </w:tc>
      </w:tr>
      <w:tr w:rsidR="003A596A" w:rsidRPr="002C66B7" w:rsidTr="004B57C3">
        <w:tc>
          <w:tcPr>
            <w:tcW w:w="675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pStyle w:val="Default"/>
              <w:spacing w:before="240"/>
              <w:jc w:val="both"/>
              <w:rPr>
                <w:rFonts w:ascii="Arial" w:hAnsi="Arial" w:cs="Arial"/>
                <w:sz w:val="20"/>
                <w:szCs w:val="20"/>
                <w:lang w:val="fr-FR"/>
              </w:rPr>
            </w:pPr>
            <w:r w:rsidRPr="002C66B7">
              <w:rPr>
                <w:rFonts w:ascii="Arial" w:hAnsi="Arial" w:cs="Arial"/>
                <w:b/>
                <w:bCs/>
                <w:sz w:val="20"/>
                <w:szCs w:val="20"/>
                <w:lang w:val="fr-FR"/>
              </w:rPr>
              <w:t xml:space="preserve">4. États financiers audités, incorporant le rapport de l’auditeur externe ou accompagné de ce rapport : </w:t>
            </w:r>
            <w:r w:rsidRPr="002C66B7">
              <w:rPr>
                <w:rFonts w:ascii="Arial" w:hAnsi="Arial" w:cs="Arial"/>
                <w:sz w:val="20"/>
                <w:szCs w:val="20"/>
                <w:lang w:val="fr-FR"/>
              </w:rPr>
              <w:t xml:space="preserve">le ou les rapports sont mis à la disposition du public dans un délai de 12 mois à compter de la fin de l’exercice. </w:t>
            </w:r>
          </w:p>
        </w:tc>
        <w:tc>
          <w:tcPr>
            <w:tcW w:w="2340" w:type="dxa"/>
            <w:tcBorders>
              <w:top w:val="single" w:sz="4" w:space="0" w:color="auto"/>
              <w:left w:val="single" w:sz="4" w:space="0" w:color="auto"/>
              <w:bottom w:val="single" w:sz="4" w:space="0" w:color="auto"/>
              <w:right w:val="single" w:sz="4" w:space="0" w:color="auto"/>
            </w:tcBorders>
            <w:hideMark/>
          </w:tcPr>
          <w:p w:rsidR="003A596A" w:rsidRPr="002C66B7" w:rsidRDefault="003A596A" w:rsidP="00206632">
            <w:pPr>
              <w:pStyle w:val="Default"/>
              <w:spacing w:before="240"/>
              <w:jc w:val="both"/>
              <w:rPr>
                <w:rFonts w:ascii="Arial" w:hAnsi="Arial" w:cs="Arial"/>
                <w:sz w:val="20"/>
                <w:szCs w:val="20"/>
                <w:lang w:val="fr-FR" w:eastAsia="fr-FR"/>
              </w:rPr>
            </w:pPr>
            <w:r w:rsidRPr="002C66B7">
              <w:rPr>
                <w:rFonts w:ascii="Arial" w:hAnsi="Arial" w:cs="Arial"/>
                <w:sz w:val="20"/>
                <w:szCs w:val="20"/>
                <w:lang w:val="fr-FR" w:eastAsia="fr-FR"/>
              </w:rPr>
              <w:t>Non disponibles au public dans les délais requis.</w:t>
            </w:r>
          </w:p>
          <w:p w:rsidR="003A596A" w:rsidRPr="002C66B7" w:rsidRDefault="003A596A" w:rsidP="00206632">
            <w:pPr>
              <w:pStyle w:val="Default"/>
              <w:spacing w:before="240"/>
              <w:jc w:val="both"/>
              <w:rPr>
                <w:rFonts w:ascii="Arial" w:hAnsi="Arial" w:cs="Arial"/>
                <w:sz w:val="20"/>
                <w:szCs w:val="20"/>
                <w:lang w:val="fr-FR" w:eastAsia="fr-FR"/>
              </w:rPr>
            </w:pPr>
          </w:p>
        </w:tc>
        <w:tc>
          <w:tcPr>
            <w:tcW w:w="1170" w:type="dxa"/>
            <w:tcBorders>
              <w:top w:val="single" w:sz="4" w:space="0" w:color="auto"/>
              <w:left w:val="single" w:sz="4" w:space="0" w:color="auto"/>
              <w:bottom w:val="single" w:sz="4" w:space="0" w:color="auto"/>
              <w:right w:val="single" w:sz="4" w:space="0" w:color="auto"/>
            </w:tcBorders>
          </w:tcPr>
          <w:p w:rsidR="003A596A" w:rsidRPr="002C66B7" w:rsidRDefault="003A596A"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Non</w:t>
            </w:r>
          </w:p>
        </w:tc>
      </w:tr>
      <w:tr w:rsidR="00414B2C" w:rsidRPr="002C66B7" w:rsidTr="004B57C3">
        <w:tc>
          <w:tcPr>
            <w:tcW w:w="6750" w:type="dxa"/>
            <w:tcBorders>
              <w:top w:val="single" w:sz="4" w:space="0" w:color="auto"/>
              <w:left w:val="single" w:sz="4" w:space="0" w:color="auto"/>
              <w:bottom w:val="single" w:sz="4" w:space="0" w:color="auto"/>
              <w:right w:val="single" w:sz="4" w:space="0" w:color="auto"/>
            </w:tcBorders>
            <w:shd w:val="clear" w:color="auto" w:fill="0070C0"/>
          </w:tcPr>
          <w:p w:rsidR="00414B2C" w:rsidRPr="002C66B7" w:rsidRDefault="00414B2C" w:rsidP="00206632">
            <w:pPr>
              <w:pStyle w:val="Default"/>
              <w:spacing w:before="240"/>
              <w:jc w:val="center"/>
              <w:rPr>
                <w:rFonts w:ascii="Arial" w:hAnsi="Arial" w:cs="Arial"/>
                <w:b/>
                <w:bCs/>
                <w:sz w:val="20"/>
                <w:szCs w:val="20"/>
                <w:lang w:val="fr-FR"/>
              </w:rPr>
            </w:pPr>
            <w:r w:rsidRPr="002C66B7">
              <w:rPr>
                <w:rFonts w:ascii="Arial" w:hAnsi="Arial" w:cs="Arial"/>
                <w:b/>
                <w:bCs/>
                <w:color w:val="FFFFFF" w:themeColor="background1"/>
                <w:sz w:val="20"/>
                <w:szCs w:val="20"/>
                <w:lang w:val="fr-FR"/>
              </w:rPr>
              <w:t>Éléments supplémentaires</w:t>
            </w:r>
          </w:p>
          <w:p w:rsidR="00414B2C" w:rsidRPr="002C66B7" w:rsidRDefault="00414B2C" w:rsidP="00206632">
            <w:pPr>
              <w:pStyle w:val="Default"/>
              <w:spacing w:before="240"/>
              <w:jc w:val="center"/>
              <w:rPr>
                <w:rFonts w:ascii="Arial" w:hAnsi="Arial" w:cs="Arial"/>
                <w:b/>
                <w:bCs/>
                <w:sz w:val="20"/>
                <w:szCs w:val="20"/>
                <w:lang w:val="fr-FR"/>
              </w:rPr>
            </w:pPr>
          </w:p>
        </w:tc>
        <w:tc>
          <w:tcPr>
            <w:tcW w:w="2340" w:type="dxa"/>
            <w:tcBorders>
              <w:top w:val="single" w:sz="4" w:space="0" w:color="auto"/>
              <w:left w:val="single" w:sz="4" w:space="0" w:color="auto"/>
              <w:bottom w:val="single" w:sz="4" w:space="0" w:color="auto"/>
              <w:right w:val="single" w:sz="4" w:space="0" w:color="auto"/>
            </w:tcBorders>
            <w:shd w:val="clear" w:color="auto" w:fill="0070C0"/>
          </w:tcPr>
          <w:p w:rsidR="00414B2C" w:rsidRPr="002C66B7" w:rsidRDefault="00414B2C" w:rsidP="00206632">
            <w:pPr>
              <w:pStyle w:val="Default"/>
              <w:spacing w:before="240"/>
              <w:jc w:val="center"/>
              <w:rPr>
                <w:rFonts w:ascii="Arial" w:hAnsi="Arial" w:cs="Arial"/>
                <w:sz w:val="20"/>
                <w:szCs w:val="20"/>
                <w:lang w:val="fr-FR"/>
              </w:rPr>
            </w:pP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414B2C" w:rsidRPr="002C66B7" w:rsidRDefault="00414B2C" w:rsidP="00206632">
            <w:pPr>
              <w:pStyle w:val="Default"/>
              <w:spacing w:before="240"/>
              <w:jc w:val="center"/>
              <w:rPr>
                <w:rFonts w:ascii="Arial" w:hAnsi="Arial" w:cs="Arial"/>
                <w:sz w:val="20"/>
                <w:szCs w:val="20"/>
                <w:lang w:val="fr-FR"/>
              </w:rPr>
            </w:pPr>
          </w:p>
        </w:tc>
      </w:tr>
      <w:tr w:rsidR="00414B2C" w:rsidRPr="002C66B7" w:rsidTr="00206632">
        <w:tc>
          <w:tcPr>
            <w:tcW w:w="675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b/>
                <w:bCs/>
                <w:sz w:val="20"/>
                <w:szCs w:val="20"/>
                <w:lang w:val="fr-FR"/>
              </w:rPr>
            </w:pPr>
            <w:r w:rsidRPr="002C66B7">
              <w:rPr>
                <w:rFonts w:ascii="Arial" w:hAnsi="Arial" w:cs="Arial"/>
                <w:b/>
                <w:bCs/>
                <w:sz w:val="20"/>
                <w:szCs w:val="20"/>
                <w:lang w:val="fr-FR"/>
              </w:rPr>
              <w:t xml:space="preserve">5. États préalables à l’établissement du budget : </w:t>
            </w:r>
            <w:r w:rsidRPr="002C66B7">
              <w:rPr>
                <w:rFonts w:ascii="Arial" w:hAnsi="Arial" w:cs="Arial"/>
                <w:sz w:val="20"/>
                <w:szCs w:val="20"/>
                <w:lang w:val="fr-FR"/>
              </w:rPr>
              <w:t xml:space="preserve">les paramètres généraux de la proposition de budget du pouvoir exécutif concernant les dépenses, les recettes prévues et la dette sont communiqués au public au moins quatre mois avant le début de l’exercice et deux mois avant la soumission de la proposition de budget par le pouvoir exécutif au pouvoir législatif. </w:t>
            </w:r>
          </w:p>
        </w:tc>
        <w:tc>
          <w:tcPr>
            <w:tcW w:w="234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Non disponible</w:t>
            </w:r>
          </w:p>
        </w:tc>
        <w:tc>
          <w:tcPr>
            <w:tcW w:w="117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rPr>
              <w:t>Non</w:t>
            </w:r>
          </w:p>
        </w:tc>
      </w:tr>
      <w:tr w:rsidR="00414B2C" w:rsidRPr="002C66B7" w:rsidTr="00206632">
        <w:tc>
          <w:tcPr>
            <w:tcW w:w="675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b/>
                <w:bCs/>
                <w:sz w:val="20"/>
                <w:szCs w:val="20"/>
                <w:lang w:val="fr-FR"/>
              </w:rPr>
            </w:pPr>
            <w:r w:rsidRPr="002C66B7">
              <w:rPr>
                <w:rFonts w:ascii="Arial" w:hAnsi="Arial" w:cs="Arial"/>
                <w:b/>
                <w:bCs/>
                <w:sz w:val="20"/>
                <w:szCs w:val="20"/>
                <w:lang w:val="fr-FR"/>
              </w:rPr>
              <w:t xml:space="preserve">6. Autres rapports d’audit externe : </w:t>
            </w:r>
            <w:r w:rsidRPr="002C66B7">
              <w:rPr>
                <w:rFonts w:ascii="Arial" w:hAnsi="Arial" w:cs="Arial"/>
                <w:sz w:val="20"/>
                <w:szCs w:val="20"/>
                <w:lang w:val="fr-FR"/>
              </w:rPr>
              <w:t xml:space="preserve">tous les rapports non confidentiels sur les opérations consolidées de l’administration centrale sont communiqués au public dans un délai de six mois à compter de leur soumission. </w:t>
            </w:r>
          </w:p>
        </w:tc>
        <w:tc>
          <w:tcPr>
            <w:tcW w:w="234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 xml:space="preserve">Non disponibles </w:t>
            </w:r>
          </w:p>
        </w:tc>
        <w:tc>
          <w:tcPr>
            <w:tcW w:w="117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rPr>
              <w:t>Non</w:t>
            </w:r>
          </w:p>
        </w:tc>
      </w:tr>
      <w:tr w:rsidR="00414B2C" w:rsidRPr="002C66B7" w:rsidTr="00206632">
        <w:tc>
          <w:tcPr>
            <w:tcW w:w="675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b/>
                <w:bCs/>
                <w:sz w:val="20"/>
                <w:szCs w:val="20"/>
                <w:lang w:val="fr-FR"/>
              </w:rPr>
            </w:pPr>
            <w:r w:rsidRPr="002C66B7">
              <w:rPr>
                <w:rFonts w:ascii="Arial" w:hAnsi="Arial" w:cs="Arial"/>
                <w:sz w:val="20"/>
                <w:szCs w:val="20"/>
                <w:lang w:val="fr-FR"/>
              </w:rPr>
              <w:t xml:space="preserve">7. </w:t>
            </w:r>
            <w:r w:rsidRPr="002C66B7">
              <w:rPr>
                <w:rFonts w:ascii="Arial" w:hAnsi="Arial" w:cs="Arial"/>
                <w:b/>
                <w:bCs/>
                <w:sz w:val="20"/>
                <w:szCs w:val="20"/>
                <w:lang w:val="fr-FR"/>
              </w:rPr>
              <w:t xml:space="preserve">Proposition de budget résumé : </w:t>
            </w:r>
            <w:r w:rsidRPr="002C66B7">
              <w:rPr>
                <w:rFonts w:ascii="Arial" w:hAnsi="Arial" w:cs="Arial"/>
                <w:sz w:val="20"/>
                <w:szCs w:val="20"/>
                <w:lang w:val="fr-FR"/>
              </w:rPr>
              <w:t xml:space="preserve">un résumé clair et simple de la proposition de budget du pouvoir exécutif et/ou du budget promulgué, compréhensible par des non spécialistes du budget (souvent qualifié de « budget citoyen », traduit si nécessaire dans les langues locales les plus couramment parlées, est communiqué au public, dans un délai de deux semaines à compter de la soumission de la proposition du budget par le pouvoir exécutif au pouvoir législatif, dans le premier cas, et dans un délai d’un mois à compter de l’approbation du budget, dans le second. </w:t>
            </w:r>
          </w:p>
        </w:tc>
        <w:tc>
          <w:tcPr>
            <w:tcW w:w="234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 xml:space="preserve"> Non disponible</w:t>
            </w:r>
          </w:p>
        </w:tc>
        <w:tc>
          <w:tcPr>
            <w:tcW w:w="117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rPr>
              <w:t>Non</w:t>
            </w:r>
          </w:p>
        </w:tc>
      </w:tr>
      <w:tr w:rsidR="00414B2C" w:rsidRPr="002C66B7" w:rsidTr="00206632">
        <w:tc>
          <w:tcPr>
            <w:tcW w:w="675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b/>
                <w:bCs/>
                <w:sz w:val="20"/>
                <w:szCs w:val="20"/>
                <w:lang w:val="fr-FR"/>
              </w:rPr>
            </w:pPr>
            <w:r w:rsidRPr="002C66B7">
              <w:rPr>
                <w:rFonts w:ascii="Arial" w:hAnsi="Arial" w:cs="Arial"/>
                <w:sz w:val="20"/>
                <w:szCs w:val="20"/>
                <w:lang w:val="fr-FR"/>
              </w:rPr>
              <w:t xml:space="preserve">8. </w:t>
            </w:r>
            <w:r w:rsidRPr="002C66B7">
              <w:rPr>
                <w:rFonts w:ascii="Arial" w:hAnsi="Arial" w:cs="Arial"/>
                <w:b/>
                <w:bCs/>
                <w:sz w:val="20"/>
                <w:szCs w:val="20"/>
                <w:lang w:val="fr-FR"/>
              </w:rPr>
              <w:t xml:space="preserve">Perspectives budgétaires à moyen terme : </w:t>
            </w:r>
            <w:r w:rsidRPr="002C66B7">
              <w:rPr>
                <w:rFonts w:ascii="Arial" w:hAnsi="Arial" w:cs="Arial"/>
                <w:sz w:val="20"/>
                <w:szCs w:val="20"/>
                <w:lang w:val="fr-FR"/>
              </w:rPr>
              <w:t>ces perspectives (ainsi qu’évalués par l’indicateur PI-16) sont mises à disposition dans un délai d’une semaine après leur approbation</w:t>
            </w:r>
          </w:p>
        </w:tc>
        <w:tc>
          <w:tcPr>
            <w:tcW w:w="234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spacing w:before="240"/>
              <w:jc w:val="both"/>
              <w:rPr>
                <w:rFonts w:ascii="Arial" w:hAnsi="Arial" w:cs="Arial"/>
                <w:sz w:val="20"/>
                <w:szCs w:val="20"/>
              </w:rPr>
            </w:pPr>
            <w:r w:rsidRPr="002C66B7">
              <w:rPr>
                <w:rFonts w:ascii="Arial" w:hAnsi="Arial" w:cs="Arial"/>
                <w:sz w:val="20"/>
                <w:szCs w:val="20"/>
              </w:rPr>
              <w:t>Non disponible.</w:t>
            </w:r>
          </w:p>
          <w:p w:rsidR="00414B2C" w:rsidRPr="002C66B7" w:rsidRDefault="00414B2C" w:rsidP="00206632">
            <w:pPr>
              <w:pStyle w:val="Default"/>
              <w:spacing w:before="240"/>
              <w:jc w:val="both"/>
              <w:rPr>
                <w:rFonts w:ascii="Arial" w:hAnsi="Arial" w:cs="Arial"/>
                <w:sz w:val="20"/>
                <w:szCs w:val="20"/>
                <w:lang w:val="fr-FR"/>
              </w:rPr>
            </w:pPr>
          </w:p>
        </w:tc>
        <w:tc>
          <w:tcPr>
            <w:tcW w:w="1170" w:type="dxa"/>
            <w:tcBorders>
              <w:top w:val="single" w:sz="4" w:space="0" w:color="auto"/>
              <w:left w:val="single" w:sz="4" w:space="0" w:color="auto"/>
              <w:bottom w:val="single" w:sz="4" w:space="0" w:color="auto"/>
              <w:right w:val="single" w:sz="4" w:space="0" w:color="auto"/>
            </w:tcBorders>
          </w:tcPr>
          <w:p w:rsidR="00414B2C" w:rsidRPr="002C66B7" w:rsidRDefault="00414B2C" w:rsidP="00206632">
            <w:pPr>
              <w:pStyle w:val="Default"/>
              <w:spacing w:before="240"/>
              <w:jc w:val="both"/>
              <w:rPr>
                <w:rFonts w:ascii="Arial" w:hAnsi="Arial" w:cs="Arial"/>
                <w:sz w:val="20"/>
                <w:szCs w:val="20"/>
                <w:lang w:val="fr-FR"/>
              </w:rPr>
            </w:pPr>
            <w:r w:rsidRPr="002C66B7">
              <w:rPr>
                <w:rFonts w:ascii="Arial" w:hAnsi="Arial" w:cs="Arial"/>
                <w:sz w:val="20"/>
                <w:szCs w:val="20"/>
                <w:lang w:val="fr-FR"/>
              </w:rPr>
              <w:t>Non</w:t>
            </w:r>
          </w:p>
        </w:tc>
      </w:tr>
    </w:tbl>
    <w:p w:rsidR="003A596A" w:rsidRPr="002C66B7" w:rsidRDefault="003A596A" w:rsidP="003A596A">
      <w:pPr>
        <w:jc w:val="both"/>
        <w:rPr>
          <w:rFonts w:ascii="Arial" w:hAnsi="Arial" w:cs="Arial"/>
          <w:sz w:val="20"/>
          <w:szCs w:val="20"/>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975"/>
        <w:gridCol w:w="4163"/>
      </w:tblGrid>
      <w:tr w:rsidR="003A596A" w:rsidRPr="002C66B7" w:rsidTr="00482393">
        <w:trPr>
          <w:jc w:val="center"/>
        </w:trPr>
        <w:tc>
          <w:tcPr>
            <w:tcW w:w="2450" w:type="pct"/>
            <w:tcBorders>
              <w:top w:val="single" w:sz="4" w:space="0" w:color="auto"/>
              <w:left w:val="single" w:sz="4" w:space="0" w:color="auto"/>
              <w:bottom w:val="single" w:sz="4" w:space="0" w:color="auto"/>
              <w:right w:val="single" w:sz="4" w:space="0" w:color="auto"/>
            </w:tcBorders>
            <w:shd w:val="clear" w:color="auto" w:fill="0070C0"/>
            <w:hideMark/>
          </w:tcPr>
          <w:p w:rsidR="003A596A" w:rsidRPr="002C66B7" w:rsidRDefault="003A596A" w:rsidP="003A596A">
            <w:pPr>
              <w:jc w:val="both"/>
              <w:rPr>
                <w:rFonts w:ascii="Arial" w:hAnsi="Arial" w:cs="Arial"/>
                <w:b/>
                <w:color w:val="FFFFFF"/>
                <w:sz w:val="20"/>
                <w:szCs w:val="20"/>
              </w:rPr>
            </w:pPr>
            <w:r w:rsidRPr="002C66B7">
              <w:rPr>
                <w:rFonts w:ascii="Arial" w:hAnsi="Arial" w:cs="Arial"/>
                <w:b/>
                <w:color w:val="FFFFFF"/>
                <w:sz w:val="20"/>
                <w:szCs w:val="20"/>
              </w:rPr>
              <w:t>Indicateur</w:t>
            </w:r>
          </w:p>
        </w:tc>
        <w:tc>
          <w:tcPr>
            <w:tcW w:w="484" w:type="pct"/>
            <w:tcBorders>
              <w:top w:val="single" w:sz="4" w:space="0" w:color="auto"/>
              <w:left w:val="single" w:sz="4" w:space="0" w:color="auto"/>
              <w:bottom w:val="single" w:sz="4" w:space="0" w:color="auto"/>
              <w:right w:val="single" w:sz="4" w:space="0" w:color="auto"/>
            </w:tcBorders>
            <w:shd w:val="clear" w:color="auto" w:fill="0070C0"/>
            <w:hideMark/>
          </w:tcPr>
          <w:p w:rsidR="003A596A" w:rsidRPr="002C66B7" w:rsidRDefault="003A596A" w:rsidP="003A596A">
            <w:pPr>
              <w:jc w:val="center"/>
              <w:rPr>
                <w:rFonts w:ascii="Arial" w:hAnsi="Arial" w:cs="Arial"/>
                <w:b/>
                <w:color w:val="FFFFFF"/>
                <w:sz w:val="20"/>
                <w:szCs w:val="20"/>
              </w:rPr>
            </w:pPr>
            <w:r w:rsidRPr="002C66B7">
              <w:rPr>
                <w:rFonts w:ascii="Arial" w:hAnsi="Arial" w:cs="Arial"/>
                <w:b/>
                <w:color w:val="FFFFFF"/>
                <w:sz w:val="20"/>
                <w:szCs w:val="20"/>
              </w:rPr>
              <w:t xml:space="preserve">Note </w:t>
            </w:r>
          </w:p>
        </w:tc>
        <w:tc>
          <w:tcPr>
            <w:tcW w:w="2066" w:type="pct"/>
            <w:tcBorders>
              <w:top w:val="single" w:sz="4" w:space="0" w:color="auto"/>
              <w:left w:val="single" w:sz="4" w:space="0" w:color="auto"/>
              <w:bottom w:val="single" w:sz="4" w:space="0" w:color="auto"/>
              <w:right w:val="single" w:sz="4" w:space="0" w:color="auto"/>
            </w:tcBorders>
            <w:shd w:val="clear" w:color="auto" w:fill="0070C0"/>
            <w:hideMark/>
          </w:tcPr>
          <w:p w:rsidR="003A596A" w:rsidRPr="002C66B7" w:rsidRDefault="003A596A" w:rsidP="003A596A">
            <w:pPr>
              <w:jc w:val="center"/>
              <w:rPr>
                <w:rFonts w:ascii="Arial" w:hAnsi="Arial" w:cs="Arial"/>
                <w:b/>
                <w:color w:val="FFFFFF"/>
                <w:sz w:val="20"/>
                <w:szCs w:val="20"/>
              </w:rPr>
            </w:pPr>
            <w:r w:rsidRPr="002C66B7">
              <w:rPr>
                <w:rFonts w:ascii="Arial" w:hAnsi="Arial" w:cs="Arial"/>
                <w:b/>
                <w:color w:val="FFFFFF"/>
                <w:sz w:val="20"/>
                <w:szCs w:val="20"/>
              </w:rPr>
              <w:t>Explication</w:t>
            </w:r>
          </w:p>
        </w:tc>
      </w:tr>
      <w:tr w:rsidR="003A596A" w:rsidRPr="002C66B7" w:rsidTr="00482393">
        <w:trPr>
          <w:jc w:val="center"/>
        </w:trPr>
        <w:tc>
          <w:tcPr>
            <w:tcW w:w="2450" w:type="pct"/>
            <w:tcBorders>
              <w:top w:val="single" w:sz="4" w:space="0" w:color="auto"/>
              <w:left w:val="single" w:sz="4" w:space="0" w:color="auto"/>
              <w:bottom w:val="single" w:sz="4" w:space="0" w:color="auto"/>
              <w:right w:val="single" w:sz="4" w:space="0" w:color="auto"/>
            </w:tcBorders>
            <w:hideMark/>
          </w:tcPr>
          <w:p w:rsidR="003A596A" w:rsidRPr="002C66B7" w:rsidRDefault="003A596A" w:rsidP="003A596A">
            <w:pPr>
              <w:jc w:val="both"/>
              <w:rPr>
                <w:rFonts w:ascii="Arial" w:hAnsi="Arial" w:cs="Arial"/>
                <w:b/>
                <w:sz w:val="20"/>
                <w:szCs w:val="20"/>
              </w:rPr>
            </w:pPr>
            <w:r w:rsidRPr="002C66B7">
              <w:rPr>
                <w:rFonts w:ascii="Arial" w:hAnsi="Arial" w:cs="Arial"/>
                <w:b/>
                <w:sz w:val="20"/>
                <w:szCs w:val="20"/>
              </w:rPr>
              <w:t xml:space="preserve">PI-9. </w:t>
            </w:r>
            <w:r w:rsidRPr="002C66B7">
              <w:rPr>
                <w:rFonts w:ascii="Arial" w:hAnsi="Arial" w:cs="Arial"/>
                <w:b/>
                <w:bCs/>
                <w:sz w:val="20"/>
                <w:szCs w:val="20"/>
              </w:rPr>
              <w:t>Accès du public aux principales informations budgétaires</w:t>
            </w:r>
          </w:p>
        </w:tc>
        <w:tc>
          <w:tcPr>
            <w:tcW w:w="484" w:type="pct"/>
            <w:tcBorders>
              <w:top w:val="single" w:sz="4" w:space="0" w:color="auto"/>
              <w:left w:val="single" w:sz="4" w:space="0" w:color="auto"/>
              <w:bottom w:val="single" w:sz="4" w:space="0" w:color="auto"/>
              <w:right w:val="single" w:sz="4" w:space="0" w:color="auto"/>
            </w:tcBorders>
            <w:hideMark/>
          </w:tcPr>
          <w:p w:rsidR="003A596A" w:rsidRPr="002C66B7" w:rsidRDefault="003A596A" w:rsidP="003A596A">
            <w:pPr>
              <w:jc w:val="center"/>
              <w:rPr>
                <w:rFonts w:ascii="Arial" w:hAnsi="Arial" w:cs="Arial"/>
                <w:b/>
                <w:sz w:val="20"/>
                <w:szCs w:val="20"/>
              </w:rPr>
            </w:pPr>
            <w:r w:rsidRPr="002C66B7">
              <w:rPr>
                <w:rFonts w:ascii="Arial" w:hAnsi="Arial" w:cs="Arial"/>
                <w:b/>
                <w:sz w:val="20"/>
                <w:szCs w:val="20"/>
              </w:rPr>
              <w:t xml:space="preserve"> D</w:t>
            </w:r>
          </w:p>
        </w:tc>
        <w:tc>
          <w:tcPr>
            <w:tcW w:w="2066" w:type="pct"/>
            <w:tcBorders>
              <w:top w:val="single" w:sz="4" w:space="0" w:color="auto"/>
              <w:left w:val="single" w:sz="4" w:space="0" w:color="auto"/>
              <w:bottom w:val="single" w:sz="4" w:space="0" w:color="auto"/>
              <w:right w:val="single" w:sz="4" w:space="0" w:color="auto"/>
            </w:tcBorders>
            <w:hideMark/>
          </w:tcPr>
          <w:p w:rsidR="003A596A" w:rsidRPr="002C66B7" w:rsidRDefault="003A596A" w:rsidP="003A596A">
            <w:pPr>
              <w:jc w:val="center"/>
              <w:rPr>
                <w:rFonts w:ascii="Arial" w:hAnsi="Arial" w:cs="Arial"/>
                <w:b/>
                <w:bCs/>
                <w:sz w:val="20"/>
                <w:szCs w:val="20"/>
              </w:rPr>
            </w:pPr>
            <w:r w:rsidRPr="002C66B7">
              <w:rPr>
                <w:rFonts w:ascii="Arial" w:hAnsi="Arial" w:cs="Arial"/>
                <w:b/>
                <w:bCs/>
                <w:sz w:val="20"/>
                <w:szCs w:val="20"/>
              </w:rPr>
              <w:t>Méthode de notation M1</w:t>
            </w:r>
          </w:p>
        </w:tc>
      </w:tr>
      <w:tr w:rsidR="003A596A" w:rsidRPr="002C66B7" w:rsidTr="00482393">
        <w:trPr>
          <w:jc w:val="center"/>
        </w:trPr>
        <w:tc>
          <w:tcPr>
            <w:tcW w:w="2450" w:type="pct"/>
            <w:tcBorders>
              <w:top w:val="single" w:sz="4" w:space="0" w:color="auto"/>
              <w:left w:val="single" w:sz="4" w:space="0" w:color="auto"/>
              <w:bottom w:val="single" w:sz="4" w:space="0" w:color="auto"/>
              <w:right w:val="single" w:sz="4" w:space="0" w:color="auto"/>
            </w:tcBorders>
          </w:tcPr>
          <w:p w:rsidR="003A596A" w:rsidRPr="002C66B7" w:rsidRDefault="003A596A" w:rsidP="003A596A">
            <w:pPr>
              <w:pStyle w:val="Default"/>
              <w:spacing w:line="256" w:lineRule="auto"/>
              <w:rPr>
                <w:rFonts w:ascii="Arial" w:hAnsi="Arial" w:cs="Arial"/>
                <w:sz w:val="20"/>
                <w:szCs w:val="20"/>
                <w:lang w:val="fr-FR"/>
              </w:rPr>
            </w:pPr>
            <w:r w:rsidRPr="002C66B7">
              <w:rPr>
                <w:rFonts w:ascii="Arial" w:hAnsi="Arial" w:cs="Arial"/>
                <w:sz w:val="20"/>
                <w:szCs w:val="20"/>
                <w:lang w:val="fr-FR"/>
              </w:rPr>
              <w:t xml:space="preserve">(i)    Documents auxquels le public peut avoir accès </w:t>
            </w:r>
          </w:p>
        </w:tc>
        <w:tc>
          <w:tcPr>
            <w:tcW w:w="484" w:type="pct"/>
            <w:tcBorders>
              <w:top w:val="single" w:sz="4" w:space="0" w:color="auto"/>
              <w:left w:val="single" w:sz="4" w:space="0" w:color="auto"/>
              <w:bottom w:val="single" w:sz="4" w:space="0" w:color="auto"/>
              <w:right w:val="single" w:sz="4" w:space="0" w:color="auto"/>
            </w:tcBorders>
            <w:hideMark/>
          </w:tcPr>
          <w:p w:rsidR="003A596A" w:rsidRPr="002C66B7" w:rsidRDefault="003A596A" w:rsidP="003A596A">
            <w:pPr>
              <w:jc w:val="center"/>
              <w:rPr>
                <w:rFonts w:ascii="Arial" w:hAnsi="Arial" w:cs="Arial"/>
                <w:sz w:val="20"/>
                <w:szCs w:val="20"/>
              </w:rPr>
            </w:pPr>
            <w:r w:rsidRPr="002C66B7">
              <w:rPr>
                <w:rFonts w:ascii="Arial" w:hAnsi="Arial" w:cs="Arial"/>
                <w:sz w:val="20"/>
                <w:szCs w:val="20"/>
              </w:rPr>
              <w:t>D</w:t>
            </w:r>
          </w:p>
        </w:tc>
        <w:tc>
          <w:tcPr>
            <w:tcW w:w="2066" w:type="pct"/>
            <w:tcBorders>
              <w:top w:val="single" w:sz="4" w:space="0" w:color="auto"/>
              <w:left w:val="single" w:sz="4" w:space="0" w:color="auto"/>
              <w:bottom w:val="single" w:sz="4" w:space="0" w:color="auto"/>
              <w:right w:val="single" w:sz="4" w:space="0" w:color="auto"/>
            </w:tcBorders>
            <w:hideMark/>
          </w:tcPr>
          <w:p w:rsidR="003A596A" w:rsidRPr="002C66B7" w:rsidRDefault="003A596A" w:rsidP="00952C93">
            <w:pPr>
              <w:jc w:val="both"/>
              <w:rPr>
                <w:rFonts w:ascii="Arial" w:hAnsi="Arial" w:cs="Arial"/>
                <w:sz w:val="20"/>
                <w:szCs w:val="20"/>
              </w:rPr>
            </w:pPr>
            <w:r w:rsidRPr="002C66B7">
              <w:rPr>
                <w:rFonts w:ascii="Arial" w:hAnsi="Arial" w:cs="Arial"/>
                <w:sz w:val="20"/>
                <w:szCs w:val="20"/>
              </w:rPr>
              <w:t xml:space="preserve">La </w:t>
            </w:r>
            <w:r w:rsidR="00482393" w:rsidRPr="002C66B7">
              <w:rPr>
                <w:rFonts w:ascii="Arial" w:hAnsi="Arial" w:cs="Arial"/>
                <w:sz w:val="20"/>
                <w:szCs w:val="20"/>
              </w:rPr>
              <w:t>CC</w:t>
            </w:r>
            <w:r w:rsidRPr="002C66B7">
              <w:rPr>
                <w:rFonts w:ascii="Arial" w:hAnsi="Arial" w:cs="Arial"/>
                <w:sz w:val="20"/>
                <w:szCs w:val="20"/>
              </w:rPr>
              <w:t xml:space="preserve"> ne communique au public dans les délais prescrits </w:t>
            </w:r>
            <w:r w:rsidR="00654BFF" w:rsidRPr="002C66B7">
              <w:rPr>
                <w:rFonts w:ascii="Arial" w:hAnsi="Arial" w:cs="Arial"/>
                <w:sz w:val="20"/>
                <w:szCs w:val="20"/>
              </w:rPr>
              <w:t>aucun des</w:t>
            </w:r>
            <w:r w:rsidRPr="002C66B7">
              <w:rPr>
                <w:rFonts w:ascii="Arial" w:hAnsi="Arial" w:cs="Arial"/>
                <w:sz w:val="20"/>
                <w:szCs w:val="20"/>
              </w:rPr>
              <w:t xml:space="preserve"> éléments fondamentaux (1-4). </w:t>
            </w:r>
          </w:p>
        </w:tc>
      </w:tr>
    </w:tbl>
    <w:p w:rsidR="00746B2D" w:rsidRDefault="00746B2D" w:rsidP="00CC3ED7">
      <w:pPr>
        <w:pStyle w:val="Heading2"/>
        <w:rPr>
          <w:i w:val="0"/>
          <w:color w:val="0070C0"/>
        </w:rPr>
      </w:pPr>
      <w:bookmarkStart w:id="178" w:name="_Toc434916126"/>
      <w:bookmarkStart w:id="179" w:name="_Toc434918340"/>
    </w:p>
    <w:p w:rsidR="00746B2D" w:rsidRDefault="00746B2D" w:rsidP="00746B2D">
      <w:pPr>
        <w:rPr>
          <w:rFonts w:ascii="Arial" w:hAnsi="Arial" w:cs="Arial"/>
          <w:sz w:val="28"/>
          <w:szCs w:val="28"/>
        </w:rPr>
      </w:pPr>
      <w:r>
        <w:br w:type="page"/>
      </w:r>
    </w:p>
    <w:p w:rsidR="003A596A" w:rsidRPr="004B57C3" w:rsidRDefault="003A596A" w:rsidP="00CC3ED7">
      <w:pPr>
        <w:pStyle w:val="Heading2"/>
        <w:rPr>
          <w:color w:val="0070C0"/>
        </w:rPr>
      </w:pPr>
      <w:r w:rsidRPr="004B57C3">
        <w:rPr>
          <w:i w:val="0"/>
          <w:color w:val="0070C0"/>
        </w:rPr>
        <w:t>3.3 Gestion des actifs et des passifs</w:t>
      </w:r>
      <w:bookmarkEnd w:id="178"/>
      <w:bookmarkEnd w:id="179"/>
    </w:p>
    <w:p w:rsidR="003A596A" w:rsidRPr="00A17E25" w:rsidRDefault="003A596A" w:rsidP="003A596A">
      <w:pPr>
        <w:rPr>
          <w:rFonts w:ascii="Arial" w:hAnsi="Arial" w:cs="Arial"/>
          <w:b/>
        </w:rPr>
      </w:pPr>
    </w:p>
    <w:p w:rsidR="003A596A" w:rsidRPr="00A17E25" w:rsidRDefault="003A596A" w:rsidP="003A596A">
      <w:pPr>
        <w:rPr>
          <w:rFonts w:ascii="Arial" w:hAnsi="Arial" w:cs="Arial"/>
          <w:b/>
        </w:rPr>
      </w:pPr>
      <w:r w:rsidRPr="00A17E25">
        <w:rPr>
          <w:rFonts w:ascii="Arial" w:hAnsi="Arial" w:cs="Arial"/>
          <w:b/>
        </w:rPr>
        <w:t>PI-10 : Gestion du risque budgétaire</w:t>
      </w:r>
    </w:p>
    <w:p w:rsidR="003A596A" w:rsidRPr="00A17E25" w:rsidRDefault="003A596A" w:rsidP="003A596A">
      <w:pPr>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des trois composantes de cet indicateur, les informations et les données considérées sont celles de l’exercice 2014,  dernier exercice clôturé.</w:t>
      </w:r>
    </w:p>
    <w:p w:rsidR="003A596A" w:rsidRPr="004B57C3" w:rsidRDefault="003A596A" w:rsidP="003A596A">
      <w:pPr>
        <w:jc w:val="both"/>
        <w:rPr>
          <w:rFonts w:ascii="Arial" w:hAnsi="Arial" w:cs="Arial"/>
          <w:color w:val="0070C0"/>
        </w:rPr>
      </w:pPr>
    </w:p>
    <w:p w:rsidR="003A596A" w:rsidRPr="004B57C3" w:rsidRDefault="003A596A" w:rsidP="00151AD3">
      <w:pPr>
        <w:pStyle w:val="ListParagraph"/>
        <w:numPr>
          <w:ilvl w:val="0"/>
          <w:numId w:val="77"/>
        </w:numPr>
        <w:contextualSpacing/>
        <w:jc w:val="both"/>
        <w:rPr>
          <w:rFonts w:ascii="Arial" w:hAnsi="Arial" w:cs="Arial"/>
          <w:i/>
          <w:color w:val="0070C0"/>
        </w:rPr>
      </w:pPr>
      <w:r w:rsidRPr="004B57C3">
        <w:rPr>
          <w:rFonts w:ascii="Arial" w:hAnsi="Arial" w:cs="Arial"/>
          <w:i/>
          <w:color w:val="0070C0"/>
        </w:rPr>
        <w:t>Etendue de la supervision des organismes publics autonomes et des entreprises publiques par l’administration centrale</w:t>
      </w:r>
    </w:p>
    <w:p w:rsidR="00206632" w:rsidRDefault="00206632"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w:t>
      </w:r>
      <w:r w:rsidR="00482393">
        <w:rPr>
          <w:rFonts w:ascii="Arial" w:hAnsi="Arial" w:cs="Arial"/>
        </w:rPr>
        <w:t>CC</w:t>
      </w:r>
      <w:r w:rsidRPr="00A17E25">
        <w:rPr>
          <w:rFonts w:ascii="Arial" w:hAnsi="Arial" w:cs="Arial"/>
        </w:rPr>
        <w:t xml:space="preserve"> compte au moment de l’évaluation sept (7) sociétés de développement local (SDL</w:t>
      </w:r>
      <w:r w:rsidR="00A07D79" w:rsidRPr="00A17E25">
        <w:rPr>
          <w:rFonts w:ascii="Arial" w:hAnsi="Arial" w:cs="Arial"/>
        </w:rPr>
        <w:t xml:space="preserve">). </w:t>
      </w:r>
      <w:r w:rsidRPr="00A17E25">
        <w:rPr>
          <w:rFonts w:ascii="Arial" w:hAnsi="Arial" w:cs="Arial"/>
        </w:rPr>
        <w:t xml:space="preserve">Les SDL sont des entreprises publiques locales. Les modalités de leur création sont fixées par la charte communale. Le capital des SDL est détenu majoritairement par des personnes morales de droit public (51% au minimum) dont les collectivités locales et leurs groupements qui en détiennent au moins 34%. Constituées sous forme de société anonyme, les SDL sont soumises au contrôle financier de l’Etat, à la certification de leurs états financiers par des commissaires aux comptes et au contrôle des Cours régionales des comptes. </w:t>
      </w:r>
      <w:r w:rsidR="009467B7">
        <w:rPr>
          <w:rFonts w:ascii="Arial" w:hAnsi="Arial" w:cs="Arial"/>
        </w:rPr>
        <w:t>Il est important de signaler que le mode de gestion sous forme de sociétés de développement local est d’application récente au Maroc et la ville de Casablanca est pionnière dans cette pratique nouvelle.</w:t>
      </w:r>
    </w:p>
    <w:p w:rsidR="003A596A" w:rsidRPr="00A17E25" w:rsidRDefault="003A596A" w:rsidP="003A596A">
      <w:pPr>
        <w:rPr>
          <w:rFonts w:ascii="Arial" w:hAnsi="Arial" w:cs="Arial"/>
        </w:rPr>
      </w:pPr>
    </w:p>
    <w:p w:rsidR="003A596A" w:rsidRPr="00DD4E0A" w:rsidRDefault="00A74F1F" w:rsidP="00DD4E0A">
      <w:pPr>
        <w:jc w:val="both"/>
        <w:rPr>
          <w:rFonts w:ascii="Arial" w:hAnsi="Arial" w:cs="Arial"/>
        </w:rPr>
      </w:pPr>
      <w:r>
        <w:rPr>
          <w:rFonts w:ascii="Arial" w:hAnsi="Arial" w:cs="Arial"/>
        </w:rPr>
        <w:t>Les</w:t>
      </w:r>
      <w:r w:rsidR="003A596A" w:rsidRPr="00A17E25">
        <w:rPr>
          <w:rFonts w:ascii="Arial" w:hAnsi="Arial" w:cs="Arial"/>
        </w:rPr>
        <w:t xml:space="preserve"> sept SDL de la </w:t>
      </w:r>
      <w:r w:rsidR="00482393">
        <w:rPr>
          <w:rFonts w:ascii="Arial" w:hAnsi="Arial" w:cs="Arial"/>
        </w:rPr>
        <w:t>CC</w:t>
      </w:r>
      <w:r>
        <w:rPr>
          <w:rFonts w:ascii="Arial" w:hAnsi="Arial" w:cs="Arial"/>
        </w:rPr>
        <w:t xml:space="preserve"> sont</w:t>
      </w:r>
      <w:r w:rsidR="00482393">
        <w:rPr>
          <w:rFonts w:ascii="Arial" w:hAnsi="Arial" w:cs="Arial"/>
        </w:rPr>
        <w:t> :</w:t>
      </w:r>
      <w:r>
        <w:rPr>
          <w:rFonts w:ascii="Arial" w:hAnsi="Arial" w:cs="Arial"/>
        </w:rPr>
        <w:t xml:space="preserve"> Casa Aménagement, Casa Transport, </w:t>
      </w:r>
      <w:r w:rsidRPr="00DD4E0A">
        <w:rPr>
          <w:rFonts w:ascii="Arial" w:hAnsi="Arial" w:cs="Arial"/>
        </w:rPr>
        <w:t>CASA IdmajSakan, Casa Patrimoine</w:t>
      </w:r>
      <w:r w:rsidR="00DD4E0A" w:rsidRPr="00DD4E0A">
        <w:rPr>
          <w:rFonts w:ascii="Arial" w:hAnsi="Arial" w:cs="Arial"/>
        </w:rPr>
        <w:t xml:space="preserve">, </w:t>
      </w:r>
      <w:r w:rsidR="00DD4E0A">
        <w:rPr>
          <w:rFonts w:ascii="Arial" w:hAnsi="Arial" w:cs="Arial"/>
        </w:rPr>
        <w:t>Casa Animation, Casa Prestation et Casa Développement.</w:t>
      </w:r>
    </w:p>
    <w:p w:rsidR="003A596A" w:rsidRPr="00A17E25" w:rsidRDefault="003A596A" w:rsidP="003A596A">
      <w:pPr>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 président du conseil communal (ou son représentant) est membre des conseils d’administration de toutes les SDL. A ce titre, il participe à l’examen et à l’approbation des comptes prévisionnels et des états financiers annuels de toutes les SDL de la </w:t>
      </w:r>
      <w:r w:rsidR="00482393">
        <w:rPr>
          <w:rFonts w:ascii="Arial" w:hAnsi="Arial" w:cs="Arial"/>
        </w:rPr>
        <w:t>CC</w:t>
      </w:r>
      <w:r w:rsidRPr="00A17E25">
        <w:rPr>
          <w:rFonts w:ascii="Arial" w:hAnsi="Arial" w:cs="Arial"/>
        </w:rPr>
        <w:t xml:space="preserve">. Toutefois, la mission a noté que la ville ne compte pas dans son organigramme une structure dédiée à l’analyse de la situation financière des SDL en vue de détecter les risques budgétaires éventuels de leur gestion pour la </w:t>
      </w:r>
      <w:r w:rsidR="00482393">
        <w:rPr>
          <w:rFonts w:ascii="Arial" w:hAnsi="Arial" w:cs="Arial"/>
        </w:rPr>
        <w:t>CC</w:t>
      </w:r>
      <w:r w:rsidRPr="00A17E25">
        <w:rPr>
          <w:rFonts w:ascii="Arial" w:hAnsi="Arial" w:cs="Arial"/>
        </w:rPr>
        <w:t xml:space="preserve">. Des rapports annuels sur les risques budgétaires de la gestion des SDL pour la ville ne sont pas établis. Les comptes prévisionnels et les états financiers annuels des SDL ne sont pas présentés au conseil communal à l’occasion de l’examen des projets de budget </w:t>
      </w:r>
      <w:r w:rsidR="00D8102C">
        <w:rPr>
          <w:rFonts w:ascii="Arial" w:hAnsi="Arial" w:cs="Arial"/>
        </w:rPr>
        <w:t>initial</w:t>
      </w:r>
      <w:r w:rsidRPr="00A17E25">
        <w:rPr>
          <w:rFonts w:ascii="Arial" w:hAnsi="Arial" w:cs="Arial"/>
        </w:rPr>
        <w:t xml:space="preserve"> ou des comptes administratifs.</w:t>
      </w:r>
    </w:p>
    <w:p w:rsidR="003A596A" w:rsidRDefault="00387203" w:rsidP="003A596A">
      <w:pPr>
        <w:rPr>
          <w:rFonts w:ascii="Arial" w:hAnsi="Arial" w:cs="Arial"/>
        </w:rPr>
      </w:pPr>
      <w:r>
        <w:rPr>
          <w:rFonts w:ascii="Arial" w:hAnsi="Arial" w:cs="Arial"/>
        </w:rPr>
        <w:t>Par ailleurs, l</w:t>
      </w:r>
      <w:r w:rsidRPr="00A17E25">
        <w:rPr>
          <w:rFonts w:ascii="Arial" w:hAnsi="Arial" w:cs="Arial"/>
        </w:rPr>
        <w:t xml:space="preserve">a </w:t>
      </w:r>
      <w:r>
        <w:rPr>
          <w:rFonts w:ascii="Arial" w:hAnsi="Arial" w:cs="Arial"/>
        </w:rPr>
        <w:t>CC ne dispose pas d’une cellule qui serait chargée du suivi des SDL.</w:t>
      </w:r>
    </w:p>
    <w:p w:rsidR="00387203" w:rsidRPr="00A17E25" w:rsidRDefault="00387203" w:rsidP="003A596A">
      <w:pPr>
        <w:rPr>
          <w:rFonts w:ascii="Arial" w:hAnsi="Arial" w:cs="Arial"/>
        </w:rPr>
      </w:pPr>
    </w:p>
    <w:p w:rsidR="003A596A" w:rsidRPr="004B57C3" w:rsidRDefault="003A596A" w:rsidP="00151AD3">
      <w:pPr>
        <w:pStyle w:val="ListParagraph"/>
        <w:numPr>
          <w:ilvl w:val="0"/>
          <w:numId w:val="77"/>
        </w:numPr>
        <w:contextualSpacing/>
        <w:jc w:val="both"/>
        <w:rPr>
          <w:rFonts w:ascii="Arial" w:hAnsi="Arial" w:cs="Arial"/>
          <w:i/>
          <w:color w:val="0070C0"/>
        </w:rPr>
      </w:pPr>
      <w:r w:rsidRPr="004B57C3">
        <w:rPr>
          <w:rFonts w:ascii="Arial" w:hAnsi="Arial" w:cs="Arial"/>
          <w:i/>
          <w:color w:val="0070C0"/>
        </w:rPr>
        <w:t>Etendue de la supervision de la position budgétaire des administrations infranationales par l’administration centrale</w:t>
      </w:r>
    </w:p>
    <w:p w:rsidR="00206632" w:rsidRDefault="00206632" w:rsidP="003A596A">
      <w:pPr>
        <w:jc w:val="both"/>
        <w:rPr>
          <w:rFonts w:ascii="Arial" w:hAnsi="Arial" w:cs="Arial"/>
        </w:rPr>
      </w:pPr>
    </w:p>
    <w:p w:rsidR="00387203" w:rsidRDefault="00387203" w:rsidP="003A596A">
      <w:pPr>
        <w:jc w:val="both"/>
        <w:rPr>
          <w:rFonts w:ascii="Arial" w:hAnsi="Arial" w:cs="Arial"/>
        </w:rPr>
      </w:pPr>
      <w:r w:rsidRPr="00387203">
        <w:rPr>
          <w:rFonts w:ascii="Arial" w:hAnsi="Arial" w:cs="Arial"/>
        </w:rPr>
        <w:t>Les arrondissements ne répondent pas  aux critères qui définissent une entité locale au sens de PEFA</w:t>
      </w:r>
      <w:r>
        <w:rPr>
          <w:rFonts w:ascii="Arial" w:hAnsi="Arial" w:cs="Arial"/>
        </w:rPr>
        <w:t>. De ce fait cette composante n’est pas applicable.</w:t>
      </w:r>
    </w:p>
    <w:p w:rsidR="003A596A" w:rsidRPr="004B57C3" w:rsidRDefault="003A596A" w:rsidP="003A596A">
      <w:pPr>
        <w:ind w:left="1080"/>
        <w:rPr>
          <w:rFonts w:ascii="Arial" w:hAnsi="Arial" w:cs="Arial"/>
          <w:color w:val="0070C0"/>
        </w:rPr>
      </w:pPr>
    </w:p>
    <w:p w:rsidR="003A596A" w:rsidRDefault="003A596A" w:rsidP="00151AD3">
      <w:pPr>
        <w:pStyle w:val="ListParagraph"/>
        <w:numPr>
          <w:ilvl w:val="0"/>
          <w:numId w:val="77"/>
        </w:numPr>
        <w:contextualSpacing/>
        <w:rPr>
          <w:rFonts w:ascii="Arial" w:hAnsi="Arial" w:cs="Arial"/>
          <w:i/>
          <w:color w:val="0070C0"/>
        </w:rPr>
      </w:pPr>
      <w:r w:rsidRPr="004B57C3">
        <w:rPr>
          <w:rFonts w:ascii="Arial" w:hAnsi="Arial" w:cs="Arial"/>
          <w:i/>
          <w:color w:val="0070C0"/>
        </w:rPr>
        <w:t>Etendue du suivi par l’administration centrale des passifs conditionnels explicites de ses programmes et projets</w:t>
      </w:r>
    </w:p>
    <w:p w:rsidR="004B57C3" w:rsidRPr="004B57C3" w:rsidRDefault="004B57C3" w:rsidP="004B57C3">
      <w:pPr>
        <w:pStyle w:val="ListParagraph"/>
        <w:ind w:left="1080"/>
        <w:contextualSpacing/>
        <w:rPr>
          <w:rFonts w:ascii="Arial" w:hAnsi="Arial" w:cs="Arial"/>
          <w:i/>
          <w:color w:val="0070C0"/>
        </w:rPr>
      </w:pPr>
    </w:p>
    <w:p w:rsidR="003A596A" w:rsidRPr="00A17E25" w:rsidRDefault="003A596A" w:rsidP="003A596A">
      <w:pPr>
        <w:jc w:val="both"/>
        <w:rPr>
          <w:rFonts w:ascii="Arial" w:hAnsi="Arial" w:cs="Arial"/>
        </w:rPr>
      </w:pPr>
      <w:r w:rsidRPr="00A17E25">
        <w:rPr>
          <w:rFonts w:ascii="Arial" w:hAnsi="Arial" w:cs="Arial"/>
        </w:rPr>
        <w:t>Les passifs conditionnels identifiés par la mission sont relatifs :</w:t>
      </w:r>
    </w:p>
    <w:p w:rsidR="003A596A" w:rsidRPr="00A17E25" w:rsidRDefault="003A596A" w:rsidP="00151AD3">
      <w:pPr>
        <w:pStyle w:val="ListParagraph"/>
        <w:numPr>
          <w:ilvl w:val="0"/>
          <w:numId w:val="26"/>
        </w:numPr>
        <w:jc w:val="both"/>
        <w:rPr>
          <w:rFonts w:ascii="Arial" w:hAnsi="Arial" w:cs="Arial"/>
        </w:rPr>
      </w:pPr>
      <w:r w:rsidRPr="00A17E25">
        <w:rPr>
          <w:rFonts w:ascii="Arial" w:hAnsi="Arial" w:cs="Arial"/>
        </w:rPr>
        <w:t>aux garanties d’emprunts accordées par la commune  de Casablanca ;</w:t>
      </w:r>
    </w:p>
    <w:p w:rsidR="003A596A" w:rsidRPr="00A17E25" w:rsidRDefault="003A596A" w:rsidP="00151AD3">
      <w:pPr>
        <w:pStyle w:val="ListParagraph"/>
        <w:numPr>
          <w:ilvl w:val="0"/>
          <w:numId w:val="26"/>
        </w:numPr>
        <w:jc w:val="both"/>
        <w:rPr>
          <w:rFonts w:ascii="Arial" w:hAnsi="Arial" w:cs="Arial"/>
        </w:rPr>
      </w:pPr>
      <w:r w:rsidRPr="00A17E25">
        <w:rPr>
          <w:rFonts w:ascii="Arial" w:hAnsi="Arial" w:cs="Arial"/>
        </w:rPr>
        <w:t>aux répercussions financières des litiges en instance devant les tribunaux ;</w:t>
      </w:r>
    </w:p>
    <w:p w:rsidR="003A596A" w:rsidRPr="00A17E25" w:rsidRDefault="003A596A" w:rsidP="00151AD3">
      <w:pPr>
        <w:pStyle w:val="ListParagraph"/>
        <w:numPr>
          <w:ilvl w:val="0"/>
          <w:numId w:val="26"/>
        </w:numPr>
        <w:jc w:val="both"/>
        <w:rPr>
          <w:rFonts w:ascii="Arial" w:hAnsi="Arial" w:cs="Arial"/>
        </w:rPr>
      </w:pPr>
      <w:r w:rsidRPr="00A17E25">
        <w:rPr>
          <w:rFonts w:ascii="Arial" w:hAnsi="Arial" w:cs="Arial"/>
        </w:rPr>
        <w:t>à la gestion déléguée de services publics</w:t>
      </w:r>
      <w:r w:rsidR="00626FFD">
        <w:rPr>
          <w:rFonts w:ascii="Arial" w:hAnsi="Arial" w:cs="Arial"/>
        </w:rPr>
        <w:t xml:space="preserve"> et aux projets gérés par les Sociétés de Développement Local</w:t>
      </w:r>
      <w:r w:rsidRPr="00A17E25">
        <w:rPr>
          <w:rFonts w:ascii="Arial" w:hAnsi="Arial" w:cs="Arial"/>
        </w:rPr>
        <w:t>.</w:t>
      </w:r>
    </w:p>
    <w:p w:rsidR="003A596A" w:rsidRPr="00A17E25" w:rsidRDefault="003A596A" w:rsidP="003A596A">
      <w:pPr>
        <w:jc w:val="both"/>
        <w:rPr>
          <w:rFonts w:ascii="Arial" w:hAnsi="Arial" w:cs="Arial"/>
        </w:rPr>
      </w:pPr>
    </w:p>
    <w:p w:rsidR="00242071" w:rsidRDefault="003A596A" w:rsidP="003A596A">
      <w:pPr>
        <w:jc w:val="both"/>
        <w:rPr>
          <w:rFonts w:ascii="Arial" w:hAnsi="Arial" w:cs="Arial"/>
        </w:rPr>
      </w:pPr>
      <w:r w:rsidRPr="00A17E25">
        <w:rPr>
          <w:rFonts w:ascii="Arial" w:hAnsi="Arial" w:cs="Arial"/>
          <w:b/>
        </w:rPr>
        <w:t xml:space="preserve">Les garanties accordées par la </w:t>
      </w:r>
      <w:r w:rsidR="00482393">
        <w:rPr>
          <w:rFonts w:ascii="Arial" w:hAnsi="Arial" w:cs="Arial"/>
          <w:b/>
        </w:rPr>
        <w:t>CC</w:t>
      </w:r>
      <w:r w:rsidRPr="00A17E25">
        <w:rPr>
          <w:rFonts w:ascii="Arial" w:hAnsi="Arial" w:cs="Arial"/>
        </w:rPr>
        <w:t>: Dans le cadre de la réalisation de certains projets de la ville, des Sociétés de développement local (SDL) contracte</w:t>
      </w:r>
      <w:r w:rsidR="00626FFD">
        <w:rPr>
          <w:rFonts w:ascii="Arial" w:hAnsi="Arial" w:cs="Arial"/>
        </w:rPr>
        <w:t>nt</w:t>
      </w:r>
      <w:r w:rsidRPr="00A17E25">
        <w:rPr>
          <w:rFonts w:ascii="Arial" w:hAnsi="Arial" w:cs="Arial"/>
        </w:rPr>
        <w:t xml:space="preserve"> auprès des bailleurs de fonds des emprunts qui sont garantis par la </w:t>
      </w:r>
      <w:r w:rsidR="00482393">
        <w:rPr>
          <w:rFonts w:ascii="Arial" w:hAnsi="Arial" w:cs="Arial"/>
        </w:rPr>
        <w:t>CC</w:t>
      </w:r>
      <w:r w:rsidRPr="00A17E25">
        <w:rPr>
          <w:rFonts w:ascii="Arial" w:hAnsi="Arial" w:cs="Arial"/>
        </w:rPr>
        <w:t xml:space="preserve"> et/ou l’Etat. Ainsi, pour la réalisation du tramway, la Société Casa Transport a obtenu la garantie de la </w:t>
      </w:r>
      <w:r w:rsidR="00482393">
        <w:rPr>
          <w:rFonts w:ascii="Arial" w:hAnsi="Arial" w:cs="Arial"/>
        </w:rPr>
        <w:t>CC</w:t>
      </w:r>
      <w:r w:rsidRPr="00A17E25">
        <w:rPr>
          <w:rFonts w:ascii="Arial" w:hAnsi="Arial" w:cs="Arial"/>
        </w:rPr>
        <w:t xml:space="preserve"> à concurrence de 250 millions de dirhams. Signalons que pour le même projet, cette SDL a été couverte à hauteur de 1750 millions de dirhams par l’Etat marocain.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Ces garanties sont dûment autorisées par le conseil communal, mais ne font pas l’objet d’un suivi par les services de la </w:t>
      </w:r>
      <w:r w:rsidR="00482393">
        <w:rPr>
          <w:rFonts w:ascii="Arial" w:hAnsi="Arial" w:cs="Arial"/>
        </w:rPr>
        <w:t>CC</w:t>
      </w:r>
      <w:r w:rsidRPr="00A17E25">
        <w:rPr>
          <w:rFonts w:ascii="Arial" w:hAnsi="Arial" w:cs="Arial"/>
        </w:rPr>
        <w:t xml:space="preserve">. De plus la situation financière des SDL n’étant pas suivie par les services de la </w:t>
      </w:r>
      <w:r w:rsidR="00482393">
        <w:rPr>
          <w:rFonts w:ascii="Arial" w:hAnsi="Arial" w:cs="Arial"/>
        </w:rPr>
        <w:t>CC</w:t>
      </w:r>
      <w:r w:rsidRPr="00A17E25">
        <w:rPr>
          <w:rFonts w:ascii="Arial" w:hAnsi="Arial" w:cs="Arial"/>
        </w:rPr>
        <w:t xml:space="preserve">, la probabilité de mise en œuvre de ces garanties n’est pas cernée par la </w:t>
      </w:r>
      <w:r w:rsidR="00482393">
        <w:rPr>
          <w:rFonts w:ascii="Arial" w:hAnsi="Arial" w:cs="Arial"/>
        </w:rPr>
        <w:t>CC</w:t>
      </w:r>
      <w:r w:rsidRPr="00A17E25">
        <w:rPr>
          <w:rFonts w:ascii="Arial" w:hAnsi="Arial" w:cs="Arial"/>
        </w:rPr>
        <w:t xml:space="preserve">. Enfin, les garanties accordées par la </w:t>
      </w:r>
      <w:r w:rsidR="00482393">
        <w:rPr>
          <w:rFonts w:ascii="Arial" w:hAnsi="Arial" w:cs="Arial"/>
        </w:rPr>
        <w:t>CC</w:t>
      </w:r>
      <w:r w:rsidRPr="00A17E25">
        <w:rPr>
          <w:rFonts w:ascii="Arial" w:hAnsi="Arial" w:cs="Arial"/>
        </w:rPr>
        <w:t xml:space="preserve"> ne font pas l’objet de rapport périodique.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b/>
        </w:rPr>
        <w:t>Les passifs conditionnels liés aux affaires en instance devant les tribunaux:</w:t>
      </w:r>
      <w:r w:rsidRPr="00A17E25">
        <w:rPr>
          <w:rFonts w:ascii="Arial" w:hAnsi="Arial" w:cs="Arial"/>
        </w:rPr>
        <w:t xml:space="preserve"> La </w:t>
      </w:r>
      <w:r w:rsidR="00482393">
        <w:rPr>
          <w:rFonts w:ascii="Arial" w:hAnsi="Arial" w:cs="Arial"/>
        </w:rPr>
        <w:t>CC</w:t>
      </w:r>
      <w:r w:rsidRPr="00A17E25">
        <w:rPr>
          <w:rFonts w:ascii="Arial" w:hAnsi="Arial" w:cs="Arial"/>
        </w:rPr>
        <w:t xml:space="preserve"> est souvent assigné en justice pour des litiges l’opposant à des tiers, notamment en matière d’exécution de marchés publics. Certaines de ces affaires sont en cours d’instruction, d’autres ont déjà fait l’objet de jugement définitif. Suivant les informations obtenues de la Division juridique et contentieux de la </w:t>
      </w:r>
      <w:r w:rsidR="00482393">
        <w:rPr>
          <w:rFonts w:ascii="Arial" w:hAnsi="Arial" w:cs="Arial"/>
        </w:rPr>
        <w:t>CC</w:t>
      </w:r>
      <w:r w:rsidRPr="00A17E25">
        <w:rPr>
          <w:rFonts w:ascii="Arial" w:hAnsi="Arial" w:cs="Arial"/>
        </w:rPr>
        <w:t xml:space="preserve">, au 31 décembre 2014, la ville a été condamnée dans 56 affaires à payer globalement 129 669 448,93 dirhams.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passifs conditionnels à générer par les litiges ne sont pas estimés et suivis par les services de la </w:t>
      </w:r>
      <w:r w:rsidR="00482393">
        <w:rPr>
          <w:rFonts w:ascii="Arial" w:hAnsi="Arial" w:cs="Arial"/>
        </w:rPr>
        <w:t>CC</w:t>
      </w:r>
      <w:r w:rsidRPr="00A17E25">
        <w:rPr>
          <w:rFonts w:ascii="Arial" w:hAnsi="Arial" w:cs="Arial"/>
        </w:rPr>
        <w:t xml:space="preserve">, et ne font pas l’objet de rapport annuel. La Division juridique et contentieux de la </w:t>
      </w:r>
      <w:r w:rsidR="00482393">
        <w:rPr>
          <w:rFonts w:ascii="Arial" w:hAnsi="Arial" w:cs="Arial"/>
        </w:rPr>
        <w:t>CC</w:t>
      </w:r>
      <w:r w:rsidRPr="00A17E25">
        <w:rPr>
          <w:rFonts w:ascii="Arial" w:hAnsi="Arial" w:cs="Arial"/>
        </w:rPr>
        <w:t xml:space="preserve"> attend la condamnation de la ville pour planifier le règlement des frais y afférents. Les crédits ouverts à ce titre au budget de la </w:t>
      </w:r>
      <w:r w:rsidR="00482393">
        <w:rPr>
          <w:rFonts w:ascii="Arial" w:hAnsi="Arial" w:cs="Arial"/>
        </w:rPr>
        <w:t>CC</w:t>
      </w:r>
      <w:r w:rsidRPr="00A17E25">
        <w:rPr>
          <w:rFonts w:ascii="Arial" w:hAnsi="Arial" w:cs="Arial"/>
        </w:rPr>
        <w:t xml:space="preserve"> sont toujours insuffisants pour couvrir les dépenses effectives.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b/>
        </w:rPr>
        <w:t>Les passifs conditionnels liés à la gestion déléguée de services publics:</w:t>
      </w:r>
      <w:r w:rsidRPr="00A17E25">
        <w:rPr>
          <w:rFonts w:ascii="Arial" w:hAnsi="Arial" w:cs="Arial"/>
        </w:rPr>
        <w:t xml:space="preserve"> En vue de la fourniture de certains services publics à la population, la </w:t>
      </w:r>
      <w:r w:rsidR="00482393">
        <w:rPr>
          <w:rFonts w:ascii="Arial" w:hAnsi="Arial" w:cs="Arial"/>
        </w:rPr>
        <w:t>CC</w:t>
      </w:r>
      <w:r w:rsidRPr="00A17E25">
        <w:rPr>
          <w:rFonts w:ascii="Arial" w:hAnsi="Arial" w:cs="Arial"/>
        </w:rPr>
        <w:t xml:space="preserve"> conclut avec des sociétés publiques ou privées des contrats de gestion déléguée. Aussi, la </w:t>
      </w:r>
      <w:r w:rsidR="00482393">
        <w:rPr>
          <w:rFonts w:ascii="Arial" w:hAnsi="Arial" w:cs="Arial"/>
        </w:rPr>
        <w:t>CC</w:t>
      </w:r>
      <w:r w:rsidRPr="00A17E25">
        <w:rPr>
          <w:rFonts w:ascii="Arial" w:hAnsi="Arial" w:cs="Arial"/>
        </w:rPr>
        <w:t xml:space="preserve"> a-t-elle passé avec:</w:t>
      </w:r>
    </w:p>
    <w:p w:rsidR="003A596A" w:rsidRPr="00A17E25" w:rsidRDefault="003A596A" w:rsidP="00151AD3">
      <w:pPr>
        <w:pStyle w:val="ListParagraph"/>
        <w:numPr>
          <w:ilvl w:val="0"/>
          <w:numId w:val="27"/>
        </w:numPr>
        <w:jc w:val="both"/>
        <w:rPr>
          <w:rFonts w:ascii="Arial" w:hAnsi="Arial" w:cs="Arial"/>
        </w:rPr>
      </w:pPr>
      <w:r w:rsidRPr="00A17E25">
        <w:rPr>
          <w:rFonts w:ascii="Arial" w:hAnsi="Arial" w:cs="Arial"/>
        </w:rPr>
        <w:t>La LYDEC une convention de gestion déléguée des services de l’eau, de l’assainissement, de l’électricité et de l’éclairage public ;</w:t>
      </w:r>
    </w:p>
    <w:p w:rsidR="003A596A" w:rsidRPr="00A17E25" w:rsidRDefault="003A596A" w:rsidP="00151AD3">
      <w:pPr>
        <w:pStyle w:val="ListParagraph"/>
        <w:numPr>
          <w:ilvl w:val="0"/>
          <w:numId w:val="27"/>
        </w:numPr>
        <w:jc w:val="both"/>
        <w:rPr>
          <w:rFonts w:ascii="Arial" w:hAnsi="Arial" w:cs="Arial"/>
        </w:rPr>
      </w:pPr>
      <w:r w:rsidRPr="00A17E25">
        <w:rPr>
          <w:rFonts w:ascii="Arial" w:hAnsi="Arial" w:cs="Arial"/>
        </w:rPr>
        <w:t>Trois prestataires, les services de ramassage des ordures et de traitement des déchets ;</w:t>
      </w:r>
    </w:p>
    <w:p w:rsidR="00771BB1" w:rsidRDefault="003A596A" w:rsidP="00151AD3">
      <w:pPr>
        <w:pStyle w:val="ListParagraph"/>
        <w:numPr>
          <w:ilvl w:val="0"/>
          <w:numId w:val="27"/>
        </w:numPr>
        <w:jc w:val="both"/>
        <w:rPr>
          <w:rFonts w:ascii="Arial" w:hAnsi="Arial" w:cs="Arial"/>
        </w:rPr>
      </w:pPr>
      <w:r w:rsidRPr="00A17E25">
        <w:rPr>
          <w:rFonts w:ascii="Arial" w:hAnsi="Arial" w:cs="Arial"/>
        </w:rPr>
        <w:t>La Société Cas</w:t>
      </w:r>
      <w:r w:rsidR="00771BB1">
        <w:rPr>
          <w:rFonts w:ascii="Arial" w:hAnsi="Arial" w:cs="Arial"/>
        </w:rPr>
        <w:t>a</w:t>
      </w:r>
      <w:r w:rsidRPr="00A17E25">
        <w:rPr>
          <w:rFonts w:ascii="Arial" w:hAnsi="Arial" w:cs="Arial"/>
        </w:rPr>
        <w:t xml:space="preserve"> Transport, les services de transport urbain</w:t>
      </w:r>
      <w:r w:rsidR="00771BB1">
        <w:rPr>
          <w:rFonts w:ascii="Arial" w:hAnsi="Arial" w:cs="Arial"/>
        </w:rPr>
        <w:t xml:space="preserve"> par tramway</w:t>
      </w:r>
    </w:p>
    <w:p w:rsidR="003A596A" w:rsidRPr="00A17E25" w:rsidRDefault="00771BB1" w:rsidP="00151AD3">
      <w:pPr>
        <w:pStyle w:val="ListParagraph"/>
        <w:numPr>
          <w:ilvl w:val="0"/>
          <w:numId w:val="27"/>
        </w:numPr>
        <w:jc w:val="both"/>
        <w:rPr>
          <w:rFonts w:ascii="Arial" w:hAnsi="Arial" w:cs="Arial"/>
        </w:rPr>
      </w:pPr>
      <w:r>
        <w:rPr>
          <w:rFonts w:ascii="Arial" w:hAnsi="Arial" w:cs="Arial"/>
        </w:rPr>
        <w:t>La société Medina bus, les services de transport urbain par bus</w:t>
      </w:r>
      <w:r w:rsidR="003A596A" w:rsidRPr="00A17E25">
        <w:rPr>
          <w:rFonts w:ascii="Arial" w:hAnsi="Arial" w:cs="Arial"/>
        </w:rPr>
        <w: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Toutes les conventions de gestion déléguée prévoient </w:t>
      </w:r>
      <w:r w:rsidR="00771BB1">
        <w:rPr>
          <w:rFonts w:ascii="Arial" w:hAnsi="Arial" w:cs="Arial"/>
        </w:rPr>
        <w:t xml:space="preserve">des modalités de révision des tarifs pour permettre </w:t>
      </w:r>
      <w:r w:rsidRPr="00A17E25">
        <w:rPr>
          <w:rFonts w:ascii="Arial" w:hAnsi="Arial" w:cs="Arial"/>
        </w:rPr>
        <w:t>la prise en charge par la ville des déficits liés à ces gestions au cas où l’économie initiale de la convention se trouverait modifiée. Il arrive que dans le cas de certaines gestions déléguées</w:t>
      </w:r>
      <w:r w:rsidR="00242071">
        <w:rPr>
          <w:rFonts w:ascii="Arial" w:hAnsi="Arial" w:cs="Arial"/>
        </w:rPr>
        <w:t xml:space="preserve">, </w:t>
      </w:r>
      <w:r w:rsidRPr="00A17E25">
        <w:rPr>
          <w:rFonts w:ascii="Arial" w:hAnsi="Arial" w:cs="Arial"/>
        </w:rPr>
        <w:t>en raison des conditions de la fourniture du service public exigée</w:t>
      </w:r>
      <w:r w:rsidR="00242071">
        <w:rPr>
          <w:rFonts w:ascii="Arial" w:hAnsi="Arial" w:cs="Arial"/>
        </w:rPr>
        <w:t>s</w:t>
      </w:r>
      <w:r w:rsidRPr="00A17E25">
        <w:rPr>
          <w:rFonts w:ascii="Arial" w:hAnsi="Arial" w:cs="Arial"/>
        </w:rPr>
        <w:t xml:space="preserve"> par la </w:t>
      </w:r>
      <w:r w:rsidR="00482393">
        <w:rPr>
          <w:rFonts w:ascii="Arial" w:hAnsi="Arial" w:cs="Arial"/>
        </w:rPr>
        <w:t>CC</w:t>
      </w:r>
      <w:r w:rsidRPr="00A17E25">
        <w:rPr>
          <w:rFonts w:ascii="Arial" w:hAnsi="Arial" w:cs="Arial"/>
        </w:rPr>
        <w:t xml:space="preserve"> (prix à faire payer par les usagers par exemple)</w:t>
      </w:r>
      <w:r w:rsidR="00242071">
        <w:rPr>
          <w:rFonts w:ascii="Arial" w:hAnsi="Arial" w:cs="Arial"/>
        </w:rPr>
        <w:t>,</w:t>
      </w:r>
      <w:r w:rsidRPr="00A17E25">
        <w:rPr>
          <w:rFonts w:ascii="Arial" w:hAnsi="Arial" w:cs="Arial"/>
        </w:rPr>
        <w:t xml:space="preserve"> le déficit d’exploitation soit estimé dès le début de la gestion déléguée et les modalités de sa prise en charge précisées. C’est le cas du transport urbain par Casa Transport dont le déficit a été estimé à 90 millions de dirhams par an pour les trois premières années d’exploitation. Ce déficit qui devrait être couvert par la </w:t>
      </w:r>
      <w:r w:rsidR="00482393">
        <w:rPr>
          <w:rFonts w:ascii="Arial" w:hAnsi="Arial" w:cs="Arial"/>
        </w:rPr>
        <w:t>CC</w:t>
      </w:r>
      <w:r w:rsidRPr="00A17E25">
        <w:rPr>
          <w:rFonts w:ascii="Arial" w:hAnsi="Arial" w:cs="Arial"/>
        </w:rPr>
        <w:t xml:space="preserve"> a été pris en charge jusqu’en 2015 par le FART. Mais à partir de 2016 il incombera à la </w:t>
      </w:r>
      <w:r w:rsidR="00482393">
        <w:rPr>
          <w:rFonts w:ascii="Arial" w:hAnsi="Arial" w:cs="Arial"/>
        </w:rPr>
        <w:t>CC</w:t>
      </w:r>
      <w:r w:rsidRPr="00A17E25">
        <w:rPr>
          <w:rFonts w:ascii="Arial" w:hAnsi="Arial" w:cs="Arial"/>
        </w:rPr>
        <w:t xml:space="preserve"> d’en assurer la couverture sur la base d’une nouvelle évaluation.</w:t>
      </w:r>
    </w:p>
    <w:p w:rsidR="003A596A" w:rsidRPr="00A17E25" w:rsidRDefault="003A596A"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 xml:space="preserve">Tout comme les autres passifs conditionnels identifiés, ceux relatifs à la gestion déléguée des services publics </w:t>
      </w:r>
      <w:r w:rsidR="00771BB1">
        <w:rPr>
          <w:rFonts w:ascii="Arial" w:hAnsi="Arial" w:cs="Arial"/>
        </w:rPr>
        <w:t xml:space="preserve">et aux projets confiés aux SDL </w:t>
      </w:r>
      <w:r w:rsidRPr="00A17E25">
        <w:rPr>
          <w:rFonts w:ascii="Arial" w:hAnsi="Arial" w:cs="Arial"/>
        </w:rPr>
        <w:t xml:space="preserve">ne sont pas aussi toujours estimés, suivis par les services de la </w:t>
      </w:r>
      <w:r w:rsidR="00482393">
        <w:rPr>
          <w:rFonts w:ascii="Arial" w:hAnsi="Arial" w:cs="Arial"/>
        </w:rPr>
        <w:t>CC</w:t>
      </w:r>
      <w:r w:rsidRPr="00A17E25">
        <w:rPr>
          <w:rFonts w:ascii="Arial" w:hAnsi="Arial" w:cs="Arial"/>
        </w:rPr>
        <w:t xml:space="preserve"> et ne font pas l’objet de rapport annuel.</w:t>
      </w:r>
    </w:p>
    <w:p w:rsidR="002C66B7" w:rsidRPr="00A17E25" w:rsidRDefault="002C66B7" w:rsidP="003A596A">
      <w:pPr>
        <w:jc w:val="both"/>
        <w:rPr>
          <w:rFonts w:ascii="Arial" w:hAnsi="Arial" w:cs="Arial"/>
        </w:rPr>
      </w:pPr>
    </w:p>
    <w:p w:rsidR="002C66B7" w:rsidRDefault="003A596A" w:rsidP="003A596A">
      <w:pPr>
        <w:jc w:val="both"/>
        <w:rPr>
          <w:rFonts w:ascii="Arial" w:hAnsi="Arial" w:cs="Arial"/>
        </w:rPr>
      </w:pPr>
      <w:r w:rsidRPr="00A17E25">
        <w:rPr>
          <w:rFonts w:ascii="Arial" w:hAnsi="Arial" w:cs="Arial"/>
        </w:rPr>
        <w:t>La décomposition des passifs conditionnels identifiés par la mission est prése</w:t>
      </w:r>
      <w:r w:rsidR="00DD4E0A">
        <w:rPr>
          <w:rFonts w:ascii="Arial" w:hAnsi="Arial" w:cs="Arial"/>
        </w:rPr>
        <w:t>ntée dans le tableau ci-dessous:</w:t>
      </w:r>
    </w:p>
    <w:p w:rsidR="002C66B7" w:rsidRDefault="002C66B7" w:rsidP="003A596A">
      <w:pPr>
        <w:jc w:val="both"/>
        <w:rPr>
          <w:rFonts w:ascii="Arial" w:hAnsi="Arial" w:cs="Arial"/>
        </w:rPr>
      </w:pPr>
    </w:p>
    <w:p w:rsidR="00DD4E0A" w:rsidRPr="00206632" w:rsidRDefault="003C1449" w:rsidP="002C66B7">
      <w:pPr>
        <w:jc w:val="center"/>
        <w:rPr>
          <w:rFonts w:ascii="Arial Narrow" w:hAnsi="Arial Narrow" w:cs="Arial"/>
          <w:b/>
          <w:sz w:val="18"/>
          <w:szCs w:val="20"/>
          <w:u w:val="single"/>
        </w:rPr>
      </w:pPr>
      <w:r w:rsidRPr="003C1449">
        <w:rPr>
          <w:rFonts w:ascii="Arial Narrow" w:hAnsi="Arial Narrow" w:cs="Arial"/>
          <w:b/>
          <w:sz w:val="18"/>
          <w:szCs w:val="20"/>
          <w:u w:val="single"/>
        </w:rPr>
        <w:t>TABLEAU</w:t>
      </w:r>
      <w:r w:rsidRPr="003C1449">
        <w:rPr>
          <w:rFonts w:ascii="Arial Narrow" w:hAnsi="Arial Narrow" w:cs="Arial"/>
          <w:b/>
          <w:sz w:val="18"/>
          <w:szCs w:val="20"/>
        </w:rPr>
        <w:t xml:space="preserve"> </w:t>
      </w:r>
      <w:r w:rsidR="00E67B20" w:rsidRPr="00E67B20">
        <w:rPr>
          <w:rFonts w:ascii="Arial Narrow" w:hAnsi="Arial Narrow" w:cs="Arial"/>
          <w:b/>
          <w:sz w:val="20"/>
          <w:szCs w:val="20"/>
        </w:rPr>
        <w:t>3.17</w:t>
      </w:r>
      <w:r w:rsidR="00DD4E0A" w:rsidRPr="00E67B20">
        <w:rPr>
          <w:rFonts w:ascii="Arial Narrow" w:hAnsi="Arial Narrow" w:cs="Arial"/>
          <w:b/>
          <w:sz w:val="20"/>
          <w:szCs w:val="20"/>
        </w:rPr>
        <w:t xml:space="preserve"> : Décomposition des passifs conditionnels identifiés</w:t>
      </w:r>
    </w:p>
    <w:p w:rsidR="00DD4E0A" w:rsidRPr="00A17E25" w:rsidRDefault="00DD4E0A" w:rsidP="002C66B7">
      <w:pPr>
        <w:jc w:val="center"/>
        <w:rPr>
          <w:rFonts w:ascii="Arial" w:hAnsi="Arial" w:cs="Arial"/>
          <w:color w:val="FFFFFF" w:themeColor="background1"/>
          <w:sz w:val="20"/>
          <w:szCs w:val="20"/>
        </w:rPr>
      </w:pPr>
    </w:p>
    <w:tbl>
      <w:tblPr>
        <w:tblStyle w:val="TableGrid"/>
        <w:tblW w:w="5000" w:type="pct"/>
        <w:tblLook w:val="04A0" w:firstRow="1" w:lastRow="0" w:firstColumn="1" w:lastColumn="0" w:noHBand="0" w:noVBand="1"/>
      </w:tblPr>
      <w:tblGrid>
        <w:gridCol w:w="1928"/>
        <w:gridCol w:w="3741"/>
        <w:gridCol w:w="2353"/>
        <w:gridCol w:w="1328"/>
      </w:tblGrid>
      <w:tr w:rsidR="00DD4E0A" w:rsidRPr="002C66B7" w:rsidTr="004B57C3">
        <w:tc>
          <w:tcPr>
            <w:tcW w:w="1007" w:type="pct"/>
            <w:shd w:val="clear" w:color="auto" w:fill="0070C0"/>
          </w:tcPr>
          <w:p w:rsidR="00206632" w:rsidRPr="002C66B7" w:rsidRDefault="00DD4E0A" w:rsidP="00DD4E0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Entité/</w:t>
            </w:r>
          </w:p>
          <w:p w:rsidR="00DD4E0A" w:rsidRPr="002C66B7" w:rsidRDefault="00DD4E0A" w:rsidP="00DD4E0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programme/projet</w:t>
            </w:r>
          </w:p>
        </w:tc>
        <w:tc>
          <w:tcPr>
            <w:tcW w:w="2011" w:type="pct"/>
            <w:shd w:val="clear" w:color="auto" w:fill="0070C0"/>
          </w:tcPr>
          <w:p w:rsidR="00DD4E0A" w:rsidRPr="002C66B7" w:rsidRDefault="00DD4E0A" w:rsidP="00DD4E0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Description et analyse du risque</w:t>
            </w:r>
          </w:p>
        </w:tc>
        <w:tc>
          <w:tcPr>
            <w:tcW w:w="1269" w:type="pct"/>
            <w:shd w:val="clear" w:color="auto" w:fill="0070C0"/>
          </w:tcPr>
          <w:p w:rsidR="00DD4E0A" w:rsidRPr="002C66B7" w:rsidRDefault="00DD4E0A" w:rsidP="00DD4E0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Montant estimé</w:t>
            </w:r>
          </w:p>
        </w:tc>
        <w:tc>
          <w:tcPr>
            <w:tcW w:w="714" w:type="pct"/>
            <w:shd w:val="clear" w:color="auto" w:fill="0070C0"/>
          </w:tcPr>
          <w:p w:rsidR="00DD4E0A" w:rsidRPr="002C66B7" w:rsidRDefault="00DD4E0A" w:rsidP="00DD4E0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Rapportage</w:t>
            </w:r>
          </w:p>
        </w:tc>
      </w:tr>
      <w:tr w:rsidR="00DD4E0A" w:rsidRPr="002C66B7" w:rsidTr="00206632">
        <w:trPr>
          <w:trHeight w:val="50"/>
        </w:trPr>
        <w:tc>
          <w:tcPr>
            <w:tcW w:w="1007"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CASA Transport</w:t>
            </w:r>
          </w:p>
        </w:tc>
        <w:tc>
          <w:tcPr>
            <w:tcW w:w="2011"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Garantie des emprunts contractés par la société CASA Transport.</w:t>
            </w:r>
          </w:p>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 xml:space="preserve">A couvrir par la </w:t>
            </w:r>
            <w:r w:rsidR="00482393" w:rsidRPr="002C66B7">
              <w:rPr>
                <w:rFonts w:ascii="Arial" w:hAnsi="Arial" w:cs="Arial"/>
                <w:sz w:val="20"/>
                <w:szCs w:val="20"/>
              </w:rPr>
              <w:t>CC</w:t>
            </w:r>
          </w:p>
        </w:tc>
        <w:tc>
          <w:tcPr>
            <w:tcW w:w="1269"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250 millions de dirhams</w:t>
            </w:r>
          </w:p>
        </w:tc>
        <w:tc>
          <w:tcPr>
            <w:tcW w:w="714"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rapport</w:t>
            </w:r>
          </w:p>
        </w:tc>
      </w:tr>
      <w:tr w:rsidR="00DD4E0A" w:rsidRPr="002C66B7" w:rsidTr="00206632">
        <w:trPr>
          <w:trHeight w:val="50"/>
        </w:trPr>
        <w:tc>
          <w:tcPr>
            <w:tcW w:w="1007" w:type="pct"/>
          </w:tcPr>
          <w:p w:rsidR="00DD4E0A" w:rsidRPr="002C66B7" w:rsidRDefault="00482393" w:rsidP="00DD4E0A">
            <w:pPr>
              <w:keepNext/>
              <w:keepLines/>
              <w:spacing w:before="200"/>
              <w:outlineLvl w:val="3"/>
              <w:rPr>
                <w:rFonts w:ascii="Arial" w:hAnsi="Arial" w:cs="Arial"/>
                <w:sz w:val="20"/>
                <w:szCs w:val="20"/>
              </w:rPr>
            </w:pPr>
            <w:r w:rsidRPr="002C66B7">
              <w:rPr>
                <w:rFonts w:ascii="Arial" w:hAnsi="Arial" w:cs="Arial"/>
                <w:sz w:val="20"/>
                <w:szCs w:val="20"/>
              </w:rPr>
              <w:t>CC</w:t>
            </w:r>
          </w:p>
        </w:tc>
        <w:tc>
          <w:tcPr>
            <w:tcW w:w="2011"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Condamnation dans les affaires en instance devant les tribunaux</w:t>
            </w:r>
          </w:p>
        </w:tc>
        <w:tc>
          <w:tcPr>
            <w:tcW w:w="1269"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d’estimation du montant</w:t>
            </w:r>
          </w:p>
        </w:tc>
        <w:tc>
          <w:tcPr>
            <w:tcW w:w="714"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rapport</w:t>
            </w:r>
          </w:p>
        </w:tc>
      </w:tr>
      <w:tr w:rsidR="00DD4E0A" w:rsidRPr="002C66B7" w:rsidTr="00206632">
        <w:trPr>
          <w:trHeight w:val="50"/>
        </w:trPr>
        <w:tc>
          <w:tcPr>
            <w:tcW w:w="1007"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LYDEC</w:t>
            </w:r>
          </w:p>
        </w:tc>
        <w:tc>
          <w:tcPr>
            <w:tcW w:w="2011"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Passif conditionnel lie à la modification des conditions initiales de la convention dans le cadre de la gestion déléguée des services de l’eau, de l’électricité, de l’assainissement et de l’éclairage public.</w:t>
            </w:r>
          </w:p>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 xml:space="preserve">A couvrir par la </w:t>
            </w:r>
            <w:r w:rsidR="00482393" w:rsidRPr="002C66B7">
              <w:rPr>
                <w:rFonts w:ascii="Arial" w:hAnsi="Arial" w:cs="Arial"/>
                <w:sz w:val="20"/>
                <w:szCs w:val="20"/>
              </w:rPr>
              <w:t>CC</w:t>
            </w:r>
          </w:p>
        </w:tc>
        <w:tc>
          <w:tcPr>
            <w:tcW w:w="1269"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d’estimation du montant</w:t>
            </w:r>
          </w:p>
        </w:tc>
        <w:tc>
          <w:tcPr>
            <w:tcW w:w="714"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rapport</w:t>
            </w:r>
          </w:p>
        </w:tc>
      </w:tr>
      <w:tr w:rsidR="00DD4E0A" w:rsidRPr="002C66B7" w:rsidTr="00206632">
        <w:tc>
          <w:tcPr>
            <w:tcW w:w="1007" w:type="pct"/>
          </w:tcPr>
          <w:p w:rsidR="00DD4E0A" w:rsidRPr="002C66B7" w:rsidRDefault="00DD4E0A" w:rsidP="00DD4E0A">
            <w:pPr>
              <w:keepNext/>
              <w:keepLines/>
              <w:spacing w:before="200"/>
              <w:outlineLvl w:val="2"/>
              <w:rPr>
                <w:rFonts w:ascii="Arial" w:hAnsi="Arial" w:cs="Arial"/>
                <w:sz w:val="20"/>
                <w:szCs w:val="20"/>
              </w:rPr>
            </w:pPr>
            <w:bookmarkStart w:id="180" w:name="_Toc434916127"/>
            <w:bookmarkStart w:id="181" w:name="_Toc434918341"/>
            <w:r w:rsidRPr="002C66B7">
              <w:rPr>
                <w:rFonts w:ascii="Arial" w:hAnsi="Arial" w:cs="Arial"/>
                <w:sz w:val="20"/>
                <w:szCs w:val="20"/>
              </w:rPr>
              <w:t>CASA Transport</w:t>
            </w:r>
            <w:bookmarkEnd w:id="180"/>
            <w:bookmarkEnd w:id="181"/>
          </w:p>
        </w:tc>
        <w:tc>
          <w:tcPr>
            <w:tcW w:w="2011"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 xml:space="preserve">Déficit d’exploitation dû aux conditions de fourniture du service exigé par la </w:t>
            </w:r>
            <w:r w:rsidR="00482393" w:rsidRPr="002C66B7">
              <w:rPr>
                <w:rFonts w:ascii="Arial" w:hAnsi="Arial" w:cs="Arial"/>
                <w:sz w:val="20"/>
                <w:szCs w:val="20"/>
              </w:rPr>
              <w:t>CC</w:t>
            </w:r>
            <w:r w:rsidRPr="002C66B7">
              <w:rPr>
                <w:rFonts w:ascii="Arial" w:hAnsi="Arial" w:cs="Arial"/>
                <w:sz w:val="20"/>
                <w:szCs w:val="20"/>
              </w:rPr>
              <w:t xml:space="preserve"> dans le cadre de la gestion déléguée du transport urbain.</w:t>
            </w:r>
          </w:p>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 xml:space="preserve">A couvrir par la </w:t>
            </w:r>
            <w:r w:rsidR="00482393" w:rsidRPr="002C66B7">
              <w:rPr>
                <w:rFonts w:ascii="Arial" w:hAnsi="Arial" w:cs="Arial"/>
                <w:sz w:val="20"/>
                <w:szCs w:val="20"/>
              </w:rPr>
              <w:t>CC</w:t>
            </w:r>
          </w:p>
        </w:tc>
        <w:tc>
          <w:tcPr>
            <w:tcW w:w="1269"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90 millions de dirhams par ans pour les trois premières années (2013, 2014 et 2015).</w:t>
            </w:r>
          </w:p>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montant estimé pour les années 2016 et suivantes.</w:t>
            </w:r>
          </w:p>
        </w:tc>
        <w:tc>
          <w:tcPr>
            <w:tcW w:w="714"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rapport</w:t>
            </w:r>
          </w:p>
        </w:tc>
      </w:tr>
      <w:tr w:rsidR="00DD4E0A" w:rsidRPr="002C66B7" w:rsidTr="00206632">
        <w:tc>
          <w:tcPr>
            <w:tcW w:w="1007"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CASA Prestations</w:t>
            </w:r>
          </w:p>
        </w:tc>
        <w:tc>
          <w:tcPr>
            <w:tcW w:w="2011"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Passif conditionnel lie à la modification des conditions initiales de la convention dans le cadre de la gestion déléguée des services de ramassage des ordures et de traitement des déchets.</w:t>
            </w:r>
          </w:p>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 xml:space="preserve">A couvrir par la </w:t>
            </w:r>
            <w:r w:rsidR="00482393" w:rsidRPr="002C66B7">
              <w:rPr>
                <w:rFonts w:ascii="Arial" w:hAnsi="Arial" w:cs="Arial"/>
                <w:sz w:val="20"/>
                <w:szCs w:val="20"/>
              </w:rPr>
              <w:t>CC</w:t>
            </w:r>
          </w:p>
        </w:tc>
        <w:tc>
          <w:tcPr>
            <w:tcW w:w="1269"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d’estimation du montant</w:t>
            </w:r>
          </w:p>
        </w:tc>
        <w:tc>
          <w:tcPr>
            <w:tcW w:w="714" w:type="pct"/>
          </w:tcPr>
          <w:p w:rsidR="00DD4E0A" w:rsidRPr="002C66B7" w:rsidRDefault="00DD4E0A" w:rsidP="00DD4E0A">
            <w:pPr>
              <w:keepNext/>
              <w:keepLines/>
              <w:spacing w:before="200"/>
              <w:outlineLvl w:val="3"/>
              <w:rPr>
                <w:rFonts w:ascii="Arial" w:hAnsi="Arial" w:cs="Arial"/>
                <w:sz w:val="20"/>
                <w:szCs w:val="20"/>
              </w:rPr>
            </w:pPr>
            <w:r w:rsidRPr="002C66B7">
              <w:rPr>
                <w:rFonts w:ascii="Arial" w:hAnsi="Arial" w:cs="Arial"/>
                <w:sz w:val="20"/>
                <w:szCs w:val="20"/>
              </w:rPr>
              <w:t>Pas de rapport</w:t>
            </w:r>
          </w:p>
        </w:tc>
      </w:tr>
    </w:tbl>
    <w:p w:rsidR="00DD4E0A" w:rsidRPr="002C66B7" w:rsidRDefault="00DD4E0A" w:rsidP="003A596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89"/>
        <w:gridCol w:w="4316"/>
      </w:tblGrid>
      <w:tr w:rsidR="003A596A" w:rsidRPr="002C66B7" w:rsidTr="004B57C3">
        <w:trPr>
          <w:tblHeader/>
        </w:trPr>
        <w:tc>
          <w:tcPr>
            <w:tcW w:w="1896" w:type="pct"/>
            <w:shd w:val="clear" w:color="auto" w:fill="0070C0"/>
          </w:tcPr>
          <w:p w:rsidR="003A596A" w:rsidRPr="0034021B" w:rsidRDefault="003A596A" w:rsidP="003A596A">
            <w:pPr>
              <w:jc w:val="center"/>
              <w:rPr>
                <w:rFonts w:ascii="Arial" w:hAnsi="Arial" w:cs="Arial"/>
                <w:bCs/>
                <w:color w:val="FFFFFF"/>
                <w:sz w:val="20"/>
                <w:szCs w:val="20"/>
              </w:rPr>
            </w:pPr>
            <w:r w:rsidRPr="0034021B">
              <w:rPr>
                <w:rFonts w:ascii="Arial" w:hAnsi="Arial" w:cs="Arial"/>
                <w:bCs/>
                <w:color w:val="FFFFFF"/>
                <w:sz w:val="20"/>
                <w:szCs w:val="20"/>
              </w:rPr>
              <w:t>Indicateur</w:t>
            </w:r>
          </w:p>
        </w:tc>
        <w:tc>
          <w:tcPr>
            <w:tcW w:w="796" w:type="pct"/>
            <w:shd w:val="clear" w:color="auto" w:fill="0070C0"/>
          </w:tcPr>
          <w:p w:rsidR="003A596A" w:rsidRPr="002C66B7" w:rsidRDefault="003A596A" w:rsidP="003A596A">
            <w:pPr>
              <w:jc w:val="center"/>
              <w:rPr>
                <w:rFonts w:ascii="Arial" w:hAnsi="Arial" w:cs="Arial"/>
                <w:b/>
                <w:bCs/>
                <w:color w:val="FFFFFF"/>
                <w:sz w:val="20"/>
                <w:szCs w:val="20"/>
              </w:rPr>
            </w:pPr>
            <w:r w:rsidRPr="002C66B7">
              <w:rPr>
                <w:rFonts w:ascii="Arial" w:hAnsi="Arial" w:cs="Arial"/>
                <w:b/>
                <w:bCs/>
                <w:color w:val="FFFFFF"/>
                <w:sz w:val="20"/>
                <w:szCs w:val="20"/>
              </w:rPr>
              <w:t>Note</w:t>
            </w:r>
          </w:p>
        </w:tc>
        <w:tc>
          <w:tcPr>
            <w:tcW w:w="2308" w:type="pct"/>
            <w:shd w:val="clear" w:color="auto" w:fill="0070C0"/>
          </w:tcPr>
          <w:p w:rsidR="003A596A" w:rsidRPr="002C66B7" w:rsidRDefault="003A596A" w:rsidP="003A596A">
            <w:pPr>
              <w:jc w:val="center"/>
              <w:rPr>
                <w:rFonts w:ascii="Arial" w:hAnsi="Arial" w:cs="Arial"/>
                <w:b/>
                <w:bCs/>
                <w:color w:val="FFFFFF"/>
                <w:sz w:val="20"/>
                <w:szCs w:val="20"/>
              </w:rPr>
            </w:pPr>
            <w:r w:rsidRPr="002C66B7">
              <w:rPr>
                <w:rFonts w:ascii="Arial" w:hAnsi="Arial" w:cs="Arial"/>
                <w:b/>
                <w:bCs/>
                <w:color w:val="FFFFFF"/>
                <w:sz w:val="20"/>
                <w:szCs w:val="20"/>
              </w:rPr>
              <w:t>Explication</w:t>
            </w:r>
          </w:p>
        </w:tc>
      </w:tr>
      <w:tr w:rsidR="003A596A" w:rsidRPr="002C66B7" w:rsidTr="003A596A">
        <w:tc>
          <w:tcPr>
            <w:tcW w:w="1896" w:type="pct"/>
          </w:tcPr>
          <w:p w:rsidR="003A596A" w:rsidRPr="0034021B" w:rsidRDefault="003A596A" w:rsidP="003A596A">
            <w:pPr>
              <w:rPr>
                <w:rFonts w:ascii="Arial" w:hAnsi="Arial" w:cs="Arial"/>
                <w:bCs/>
                <w:sz w:val="20"/>
                <w:szCs w:val="20"/>
              </w:rPr>
            </w:pPr>
          </w:p>
          <w:p w:rsidR="003A596A" w:rsidRPr="0034021B" w:rsidRDefault="003A596A" w:rsidP="003A596A">
            <w:pPr>
              <w:rPr>
                <w:rFonts w:ascii="Arial" w:hAnsi="Arial" w:cs="Arial"/>
                <w:sz w:val="20"/>
                <w:szCs w:val="20"/>
              </w:rPr>
            </w:pPr>
            <w:r w:rsidRPr="0034021B">
              <w:rPr>
                <w:rFonts w:ascii="Arial" w:hAnsi="Arial" w:cs="Arial"/>
                <w:bCs/>
                <w:sz w:val="20"/>
                <w:szCs w:val="20"/>
              </w:rPr>
              <w:t>PI-10 Gestion du risque budgétaire</w:t>
            </w:r>
          </w:p>
        </w:tc>
        <w:tc>
          <w:tcPr>
            <w:tcW w:w="796" w:type="pct"/>
            <w:vAlign w:val="center"/>
          </w:tcPr>
          <w:p w:rsidR="003A596A" w:rsidRPr="002C66B7" w:rsidRDefault="00387203" w:rsidP="003A596A">
            <w:pPr>
              <w:jc w:val="center"/>
              <w:rPr>
                <w:rFonts w:ascii="Arial" w:hAnsi="Arial" w:cs="Arial"/>
                <w:b/>
                <w:bCs/>
                <w:sz w:val="20"/>
                <w:szCs w:val="20"/>
              </w:rPr>
            </w:pPr>
            <w:r w:rsidRPr="002C66B7">
              <w:rPr>
                <w:rFonts w:ascii="Arial" w:hAnsi="Arial" w:cs="Arial"/>
                <w:b/>
                <w:bCs/>
                <w:sz w:val="20"/>
                <w:szCs w:val="20"/>
              </w:rPr>
              <w:t>D</w:t>
            </w:r>
          </w:p>
        </w:tc>
        <w:tc>
          <w:tcPr>
            <w:tcW w:w="2308" w:type="pct"/>
            <w:vAlign w:val="center"/>
          </w:tcPr>
          <w:p w:rsidR="003A596A" w:rsidRPr="002C66B7" w:rsidRDefault="003A596A" w:rsidP="003A596A">
            <w:pPr>
              <w:jc w:val="center"/>
              <w:rPr>
                <w:rFonts w:ascii="Arial" w:hAnsi="Arial" w:cs="Arial"/>
                <w:b/>
                <w:bCs/>
                <w:sz w:val="20"/>
                <w:szCs w:val="20"/>
              </w:rPr>
            </w:pPr>
            <w:r w:rsidRPr="002C66B7">
              <w:rPr>
                <w:rFonts w:ascii="Arial" w:hAnsi="Arial" w:cs="Arial"/>
                <w:b/>
                <w:bCs/>
                <w:sz w:val="20"/>
                <w:szCs w:val="20"/>
              </w:rPr>
              <w:t>Méthode de Notation M2</w:t>
            </w:r>
          </w:p>
        </w:tc>
      </w:tr>
      <w:tr w:rsidR="003A596A" w:rsidRPr="002C66B7" w:rsidTr="003A596A">
        <w:tc>
          <w:tcPr>
            <w:tcW w:w="1896" w:type="pct"/>
            <w:vAlign w:val="center"/>
          </w:tcPr>
          <w:p w:rsidR="003A596A" w:rsidRPr="0034021B" w:rsidRDefault="003A596A" w:rsidP="005F31A5">
            <w:pPr>
              <w:jc w:val="both"/>
              <w:rPr>
                <w:rFonts w:ascii="Arial" w:hAnsi="Arial" w:cs="Arial"/>
                <w:sz w:val="20"/>
                <w:szCs w:val="20"/>
              </w:rPr>
            </w:pPr>
            <w:r w:rsidRPr="0034021B">
              <w:rPr>
                <w:rFonts w:ascii="Arial" w:hAnsi="Arial" w:cs="Arial"/>
                <w:sz w:val="20"/>
                <w:szCs w:val="20"/>
              </w:rPr>
              <w:t>i) Etendue de la supervision des organismes publics autonomes et des entreprises publiques par l’administration centrale</w:t>
            </w:r>
          </w:p>
        </w:tc>
        <w:tc>
          <w:tcPr>
            <w:tcW w:w="796" w:type="pct"/>
            <w:vAlign w:val="center"/>
          </w:tcPr>
          <w:p w:rsidR="003A596A" w:rsidRPr="002C66B7" w:rsidRDefault="003A596A" w:rsidP="003A596A">
            <w:pPr>
              <w:jc w:val="center"/>
              <w:rPr>
                <w:rFonts w:ascii="Arial" w:hAnsi="Arial" w:cs="Arial"/>
                <w:sz w:val="20"/>
                <w:szCs w:val="20"/>
              </w:rPr>
            </w:pPr>
            <w:r w:rsidRPr="002C66B7">
              <w:rPr>
                <w:rFonts w:ascii="Arial" w:hAnsi="Arial" w:cs="Arial"/>
                <w:sz w:val="20"/>
                <w:szCs w:val="20"/>
              </w:rPr>
              <w:t>D</w:t>
            </w:r>
          </w:p>
        </w:tc>
        <w:tc>
          <w:tcPr>
            <w:tcW w:w="2308" w:type="pct"/>
          </w:tcPr>
          <w:p w:rsidR="003A596A" w:rsidRPr="002C66B7" w:rsidRDefault="003A596A" w:rsidP="005F31A5">
            <w:pPr>
              <w:jc w:val="both"/>
              <w:rPr>
                <w:rFonts w:ascii="Arial" w:hAnsi="Arial" w:cs="Arial"/>
                <w:sz w:val="20"/>
                <w:szCs w:val="20"/>
              </w:rPr>
            </w:pPr>
            <w:r w:rsidRPr="002C66B7">
              <w:rPr>
                <w:rFonts w:ascii="Arial" w:hAnsi="Arial" w:cs="Arial"/>
                <w:sz w:val="20"/>
                <w:szCs w:val="20"/>
              </w:rPr>
              <w:t xml:space="preserve">La </w:t>
            </w:r>
            <w:r w:rsidR="00482393" w:rsidRPr="002C66B7">
              <w:rPr>
                <w:rFonts w:ascii="Arial" w:hAnsi="Arial" w:cs="Arial"/>
                <w:sz w:val="20"/>
                <w:szCs w:val="20"/>
              </w:rPr>
              <w:t>CC</w:t>
            </w:r>
            <w:r w:rsidRPr="002C66B7">
              <w:rPr>
                <w:rFonts w:ascii="Arial" w:hAnsi="Arial" w:cs="Arial"/>
                <w:sz w:val="20"/>
                <w:szCs w:val="20"/>
              </w:rPr>
              <w:t xml:space="preserve"> n’établit pas de rapport sur les questions liées aux risques budgétaires de la gestion des SDL pour la Commune.</w:t>
            </w:r>
          </w:p>
        </w:tc>
      </w:tr>
      <w:tr w:rsidR="003A596A" w:rsidRPr="002C66B7" w:rsidTr="003A596A">
        <w:tc>
          <w:tcPr>
            <w:tcW w:w="1896" w:type="pct"/>
            <w:vAlign w:val="center"/>
          </w:tcPr>
          <w:p w:rsidR="003A596A" w:rsidRPr="0034021B" w:rsidRDefault="003A596A" w:rsidP="005F31A5">
            <w:pPr>
              <w:jc w:val="both"/>
              <w:rPr>
                <w:rFonts w:ascii="Arial" w:hAnsi="Arial" w:cs="Arial"/>
                <w:sz w:val="20"/>
                <w:szCs w:val="20"/>
              </w:rPr>
            </w:pPr>
            <w:r w:rsidRPr="0034021B">
              <w:rPr>
                <w:rFonts w:ascii="Arial" w:hAnsi="Arial" w:cs="Arial"/>
                <w:sz w:val="20"/>
                <w:szCs w:val="20"/>
              </w:rPr>
              <w:t>ii) Etendue de la supervision de la position budgétaire des administrations infranationales par l’administration centrale</w:t>
            </w:r>
          </w:p>
        </w:tc>
        <w:tc>
          <w:tcPr>
            <w:tcW w:w="796" w:type="pct"/>
            <w:vAlign w:val="center"/>
          </w:tcPr>
          <w:p w:rsidR="003A596A" w:rsidRPr="002C66B7" w:rsidRDefault="00387203" w:rsidP="003A596A">
            <w:pPr>
              <w:jc w:val="center"/>
              <w:rPr>
                <w:rFonts w:ascii="Arial" w:hAnsi="Arial" w:cs="Arial"/>
                <w:sz w:val="20"/>
                <w:szCs w:val="20"/>
              </w:rPr>
            </w:pPr>
            <w:r w:rsidRPr="002C66B7">
              <w:rPr>
                <w:rFonts w:ascii="Arial" w:hAnsi="Arial" w:cs="Arial"/>
                <w:sz w:val="20"/>
                <w:szCs w:val="20"/>
              </w:rPr>
              <w:t>N/A</w:t>
            </w:r>
          </w:p>
        </w:tc>
        <w:tc>
          <w:tcPr>
            <w:tcW w:w="2308" w:type="pct"/>
          </w:tcPr>
          <w:p w:rsidR="003A596A" w:rsidRPr="002C66B7" w:rsidRDefault="00654BFF" w:rsidP="005F31A5">
            <w:pPr>
              <w:jc w:val="both"/>
              <w:rPr>
                <w:rFonts w:ascii="Arial" w:hAnsi="Arial" w:cs="Arial"/>
                <w:sz w:val="20"/>
                <w:szCs w:val="20"/>
              </w:rPr>
            </w:pPr>
            <w:r w:rsidRPr="002C66B7">
              <w:rPr>
                <w:rFonts w:ascii="Arial" w:hAnsi="Arial" w:cs="Arial"/>
                <w:sz w:val="20"/>
                <w:szCs w:val="20"/>
              </w:rPr>
              <w:t>Les arrondissements ne répondent pas  aux critères qui définissent une entité locale au sens de PEFA. De ce fait cette composante n’est pas applicable</w:t>
            </w:r>
            <w:r w:rsidRPr="002C66B7" w:rsidDel="00387203">
              <w:rPr>
                <w:rFonts w:ascii="Arial" w:hAnsi="Arial" w:cs="Arial"/>
                <w:sz w:val="20"/>
                <w:szCs w:val="20"/>
              </w:rPr>
              <w:t xml:space="preserve"> </w:t>
            </w:r>
          </w:p>
        </w:tc>
      </w:tr>
      <w:tr w:rsidR="003A596A" w:rsidRPr="002C66B7" w:rsidTr="003A596A">
        <w:tc>
          <w:tcPr>
            <w:tcW w:w="1896" w:type="pct"/>
            <w:vAlign w:val="center"/>
          </w:tcPr>
          <w:p w:rsidR="003A596A" w:rsidRPr="0034021B" w:rsidRDefault="003A596A" w:rsidP="005F31A5">
            <w:pPr>
              <w:jc w:val="both"/>
              <w:rPr>
                <w:rFonts w:ascii="Arial" w:hAnsi="Arial" w:cs="Arial"/>
                <w:sz w:val="20"/>
                <w:szCs w:val="20"/>
              </w:rPr>
            </w:pPr>
            <w:r w:rsidRPr="0034021B">
              <w:rPr>
                <w:rFonts w:ascii="Arial" w:hAnsi="Arial" w:cs="Arial"/>
                <w:sz w:val="20"/>
                <w:szCs w:val="20"/>
              </w:rPr>
              <w:t xml:space="preserve">iii) Etendue du suivi par l’administration centrale des passifs conditionnels explicites de ses programmes et projets  </w:t>
            </w:r>
          </w:p>
        </w:tc>
        <w:tc>
          <w:tcPr>
            <w:tcW w:w="796" w:type="pct"/>
            <w:vAlign w:val="center"/>
          </w:tcPr>
          <w:p w:rsidR="003A596A" w:rsidRPr="002C66B7" w:rsidRDefault="003A596A" w:rsidP="003A596A">
            <w:pPr>
              <w:jc w:val="center"/>
              <w:rPr>
                <w:rFonts w:ascii="Arial" w:hAnsi="Arial" w:cs="Arial"/>
                <w:sz w:val="20"/>
                <w:szCs w:val="20"/>
              </w:rPr>
            </w:pPr>
            <w:r w:rsidRPr="002C66B7">
              <w:rPr>
                <w:rFonts w:ascii="Arial" w:hAnsi="Arial" w:cs="Arial"/>
                <w:sz w:val="20"/>
                <w:szCs w:val="20"/>
              </w:rPr>
              <w:t>D</w:t>
            </w:r>
          </w:p>
        </w:tc>
        <w:tc>
          <w:tcPr>
            <w:tcW w:w="2308" w:type="pct"/>
          </w:tcPr>
          <w:p w:rsidR="003A596A" w:rsidRPr="002C66B7" w:rsidRDefault="003A596A" w:rsidP="005F31A5">
            <w:pPr>
              <w:jc w:val="both"/>
              <w:rPr>
                <w:rFonts w:ascii="Arial" w:hAnsi="Arial" w:cs="Arial"/>
                <w:sz w:val="20"/>
                <w:szCs w:val="20"/>
              </w:rPr>
            </w:pPr>
            <w:r w:rsidRPr="002C66B7">
              <w:rPr>
                <w:rFonts w:ascii="Arial" w:hAnsi="Arial" w:cs="Arial"/>
                <w:sz w:val="20"/>
                <w:szCs w:val="20"/>
              </w:rPr>
              <w:t>Les passifs conditionnels liés aux activités de la Commune  de Casablanca ne sont pas tous quantifiés et consolidés.</w:t>
            </w:r>
          </w:p>
        </w:tc>
      </w:tr>
    </w:tbl>
    <w:p w:rsidR="003A596A" w:rsidRPr="00A17E25" w:rsidRDefault="003A596A" w:rsidP="003A596A">
      <w:pPr>
        <w:rPr>
          <w:b/>
        </w:rPr>
      </w:pPr>
    </w:p>
    <w:p w:rsidR="003A596A" w:rsidRPr="00A17E25" w:rsidRDefault="003A596A" w:rsidP="003A596A">
      <w:pPr>
        <w:jc w:val="both"/>
        <w:rPr>
          <w:rFonts w:ascii="Arial" w:hAnsi="Arial" w:cs="Arial"/>
          <w:b/>
        </w:rPr>
      </w:pPr>
      <w:r w:rsidRPr="00A17E25">
        <w:rPr>
          <w:rFonts w:ascii="Arial" w:hAnsi="Arial" w:cs="Arial"/>
          <w:b/>
        </w:rPr>
        <w:t>PI-11 : Gestion des investissements publics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 toutes les trois composantes de cet indicateur, les données et informations prises en compte sont celles de l’exercice 2014, le dernier exercice clôturé.</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principaux projets de la </w:t>
      </w:r>
      <w:r w:rsidR="00482393">
        <w:rPr>
          <w:rFonts w:ascii="Arial" w:hAnsi="Arial" w:cs="Arial"/>
        </w:rPr>
        <w:t>CC</w:t>
      </w:r>
      <w:r w:rsidRPr="00A17E25">
        <w:rPr>
          <w:rFonts w:ascii="Arial" w:hAnsi="Arial" w:cs="Arial"/>
        </w:rPr>
        <w:t xml:space="preserve"> qui sont inscrits au budget et en cours de réalisation en 2014 sont répertoriés dans le tableau ci-dessous. Les projets présentés sont ceux dont les coûts, conformément aux critères du cadre PEFA, représentent au moins 1% des dépenses budgétaires annuelles de la </w:t>
      </w:r>
      <w:r w:rsidR="00482393">
        <w:rPr>
          <w:rFonts w:ascii="Arial" w:hAnsi="Arial" w:cs="Arial"/>
        </w:rPr>
        <w:t>CC</w:t>
      </w:r>
      <w:r w:rsidRPr="00A17E25">
        <w:rPr>
          <w:rFonts w:ascii="Arial" w:hAnsi="Arial" w:cs="Arial"/>
        </w:rPr>
        <w:t xml:space="preserve"> au titre de l’exercice 2014.</w:t>
      </w:r>
    </w:p>
    <w:p w:rsidR="003A596A" w:rsidRPr="00A17E25" w:rsidRDefault="003A596A" w:rsidP="003A596A"/>
    <w:p w:rsidR="003A596A" w:rsidRPr="00A17E25" w:rsidRDefault="003C1449" w:rsidP="003A596A">
      <w:pPr>
        <w:jc w:val="center"/>
        <w:rPr>
          <w:rFonts w:ascii="Arial Narrow" w:hAnsi="Arial Narrow"/>
          <w:b/>
          <w:sz w:val="20"/>
          <w:szCs w:val="20"/>
        </w:rPr>
      </w:pPr>
      <w:r w:rsidRPr="00A17E25">
        <w:rPr>
          <w:rFonts w:ascii="Arial Narrow" w:hAnsi="Arial Narrow"/>
          <w:b/>
          <w:sz w:val="20"/>
          <w:szCs w:val="20"/>
          <w:u w:val="single"/>
        </w:rPr>
        <w:t>TABLEAU</w:t>
      </w:r>
      <w:r>
        <w:rPr>
          <w:rFonts w:ascii="Arial Narrow" w:hAnsi="Arial Narrow"/>
          <w:b/>
          <w:sz w:val="20"/>
          <w:szCs w:val="20"/>
        </w:rPr>
        <w:t xml:space="preserve"> 3.18</w:t>
      </w:r>
      <w:r w:rsidR="00A07D79" w:rsidRPr="00A17E25">
        <w:rPr>
          <w:rFonts w:ascii="Arial Narrow" w:hAnsi="Arial Narrow"/>
          <w:b/>
          <w:sz w:val="20"/>
          <w:szCs w:val="20"/>
        </w:rPr>
        <w:t xml:space="preserve"> :</w:t>
      </w:r>
      <w:r w:rsidR="003A596A" w:rsidRPr="00A17E25">
        <w:rPr>
          <w:rFonts w:ascii="Arial Narrow" w:hAnsi="Arial Narrow"/>
          <w:b/>
          <w:sz w:val="20"/>
          <w:szCs w:val="20"/>
        </w:rPr>
        <w:t xml:space="preserve"> Principaux projets de la </w:t>
      </w:r>
      <w:r w:rsidR="00482393">
        <w:rPr>
          <w:rFonts w:ascii="Arial Narrow" w:hAnsi="Arial Narrow"/>
          <w:b/>
          <w:sz w:val="20"/>
          <w:szCs w:val="20"/>
        </w:rPr>
        <w:t>CC</w:t>
      </w:r>
      <w:r w:rsidR="003A596A" w:rsidRPr="00A17E25">
        <w:rPr>
          <w:rFonts w:ascii="Arial Narrow" w:hAnsi="Arial Narrow"/>
          <w:b/>
          <w:sz w:val="20"/>
          <w:szCs w:val="20"/>
        </w:rPr>
        <w:t xml:space="preserve"> en cours de réalisation en 2014</w:t>
      </w:r>
    </w:p>
    <w:p w:rsidR="003A596A" w:rsidRPr="00A17E25" w:rsidRDefault="003A596A" w:rsidP="003A596A">
      <w:pPr>
        <w:rPr>
          <w:rFonts w:ascii="Arial Narrow" w:hAnsi="Arial Narrow"/>
          <w:sz w:val="20"/>
          <w:szCs w:val="20"/>
        </w:rPr>
      </w:pPr>
    </w:p>
    <w:tbl>
      <w:tblPr>
        <w:tblStyle w:val="TableGrid"/>
        <w:tblW w:w="0" w:type="auto"/>
        <w:tblLook w:val="04A0" w:firstRow="1" w:lastRow="0" w:firstColumn="1" w:lastColumn="0" w:noHBand="0" w:noVBand="1"/>
      </w:tblPr>
      <w:tblGrid>
        <w:gridCol w:w="509"/>
        <w:gridCol w:w="5970"/>
        <w:gridCol w:w="1476"/>
        <w:gridCol w:w="1327"/>
      </w:tblGrid>
      <w:tr w:rsidR="003A596A" w:rsidRPr="00A17E25" w:rsidTr="003A596A">
        <w:tc>
          <w:tcPr>
            <w:tcW w:w="509" w:type="dxa"/>
            <w:shd w:val="clear" w:color="auto" w:fill="0070C0"/>
          </w:tcPr>
          <w:p w:rsidR="003A596A" w:rsidRPr="00A17E25" w:rsidRDefault="003A596A" w:rsidP="003A596A">
            <w:pPr>
              <w:jc w:val="center"/>
              <w:rPr>
                <w:rFonts w:ascii="Arial Narrow" w:hAnsi="Arial Narrow"/>
                <w:b/>
                <w:color w:val="FFFFFF" w:themeColor="background1"/>
                <w:sz w:val="20"/>
                <w:szCs w:val="20"/>
              </w:rPr>
            </w:pPr>
          </w:p>
          <w:p w:rsidR="003A596A" w:rsidRPr="00A17E25" w:rsidRDefault="003A596A" w:rsidP="003A596A">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N°</w:t>
            </w:r>
          </w:p>
        </w:tc>
        <w:tc>
          <w:tcPr>
            <w:tcW w:w="5970" w:type="dxa"/>
            <w:shd w:val="clear" w:color="auto" w:fill="0070C0"/>
          </w:tcPr>
          <w:p w:rsidR="003A596A" w:rsidRPr="002C66B7" w:rsidRDefault="003A596A" w:rsidP="003A596A">
            <w:pPr>
              <w:jc w:val="center"/>
              <w:rPr>
                <w:rFonts w:ascii="Arial" w:hAnsi="Arial" w:cs="Arial"/>
                <w:b/>
                <w:color w:val="FFFFFF" w:themeColor="background1"/>
                <w:sz w:val="20"/>
                <w:szCs w:val="20"/>
              </w:rPr>
            </w:pPr>
          </w:p>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Désignation des projets</w:t>
            </w:r>
          </w:p>
        </w:tc>
        <w:tc>
          <w:tcPr>
            <w:tcW w:w="1476" w:type="dxa"/>
            <w:shd w:val="clear" w:color="auto" w:fill="0070C0"/>
          </w:tcPr>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 xml:space="preserve">Montants </w:t>
            </w:r>
          </w:p>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(en dirhams)</w:t>
            </w:r>
          </w:p>
          <w:p w:rsidR="003A596A" w:rsidRPr="002C66B7" w:rsidRDefault="003A596A" w:rsidP="003A596A">
            <w:pPr>
              <w:jc w:val="center"/>
              <w:rPr>
                <w:rFonts w:ascii="Arial" w:hAnsi="Arial" w:cs="Arial"/>
                <w:b/>
                <w:color w:val="FFFFFF" w:themeColor="background1"/>
                <w:sz w:val="20"/>
                <w:szCs w:val="20"/>
              </w:rPr>
            </w:pPr>
          </w:p>
        </w:tc>
        <w:tc>
          <w:tcPr>
            <w:tcW w:w="1327" w:type="dxa"/>
            <w:shd w:val="clear" w:color="auto" w:fill="0070C0"/>
          </w:tcPr>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Ratio</w:t>
            </w:r>
          </w:p>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Coût projet/</w:t>
            </w:r>
          </w:p>
          <w:p w:rsidR="003A596A" w:rsidRPr="002C66B7" w:rsidRDefault="003A596A" w:rsidP="003A596A">
            <w:pPr>
              <w:jc w:val="center"/>
              <w:rPr>
                <w:rFonts w:ascii="Arial" w:hAnsi="Arial" w:cs="Arial"/>
                <w:b/>
                <w:color w:val="FFFFFF" w:themeColor="background1"/>
                <w:sz w:val="20"/>
                <w:szCs w:val="20"/>
              </w:rPr>
            </w:pPr>
            <w:r w:rsidRPr="002C66B7">
              <w:rPr>
                <w:rFonts w:ascii="Arial" w:hAnsi="Arial" w:cs="Arial"/>
                <w:b/>
                <w:color w:val="FFFFFF" w:themeColor="background1"/>
                <w:sz w:val="20"/>
                <w:szCs w:val="20"/>
              </w:rPr>
              <w:t>Dépenses budget</w:t>
            </w:r>
          </w:p>
        </w:tc>
      </w:tr>
      <w:tr w:rsidR="003A596A" w:rsidRPr="00A17E25" w:rsidTr="003A596A">
        <w:tc>
          <w:tcPr>
            <w:tcW w:w="509"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1</w:t>
            </w:r>
          </w:p>
        </w:tc>
        <w:tc>
          <w:tcPr>
            <w:tcW w:w="5970" w:type="dxa"/>
          </w:tcPr>
          <w:p w:rsidR="003A596A" w:rsidRPr="002C66B7" w:rsidRDefault="003A596A" w:rsidP="003A596A">
            <w:pPr>
              <w:rPr>
                <w:rFonts w:ascii="Arial" w:hAnsi="Arial" w:cs="Arial"/>
                <w:sz w:val="20"/>
                <w:szCs w:val="20"/>
              </w:rPr>
            </w:pPr>
            <w:r w:rsidRPr="002C66B7">
              <w:rPr>
                <w:rFonts w:ascii="Arial" w:hAnsi="Arial" w:cs="Arial"/>
                <w:sz w:val="20"/>
                <w:szCs w:val="20"/>
              </w:rPr>
              <w:t>Travaux d’aménagement et de réaménagement des boulevards, ronds-points et carrefours (lots 1, 2, 3 et 4)</w:t>
            </w:r>
          </w:p>
        </w:tc>
        <w:tc>
          <w:tcPr>
            <w:tcW w:w="1476" w:type="dxa"/>
          </w:tcPr>
          <w:p w:rsidR="003A596A" w:rsidRPr="002C66B7" w:rsidRDefault="003A596A" w:rsidP="003A596A">
            <w:pPr>
              <w:jc w:val="right"/>
              <w:rPr>
                <w:rFonts w:ascii="Arial" w:hAnsi="Arial" w:cs="Arial"/>
                <w:sz w:val="20"/>
                <w:szCs w:val="20"/>
              </w:rPr>
            </w:pPr>
            <w:r w:rsidRPr="002C66B7">
              <w:rPr>
                <w:rFonts w:ascii="Arial" w:hAnsi="Arial" w:cs="Arial"/>
                <w:sz w:val="20"/>
                <w:szCs w:val="20"/>
              </w:rPr>
              <w:t>177 656 950,48</w:t>
            </w:r>
          </w:p>
        </w:tc>
        <w:tc>
          <w:tcPr>
            <w:tcW w:w="1327" w:type="dxa"/>
          </w:tcPr>
          <w:p w:rsidR="003A596A" w:rsidRPr="002C66B7" w:rsidRDefault="003A596A" w:rsidP="003A596A">
            <w:pPr>
              <w:jc w:val="center"/>
              <w:rPr>
                <w:rFonts w:ascii="Arial" w:hAnsi="Arial" w:cs="Arial"/>
                <w:sz w:val="20"/>
                <w:szCs w:val="20"/>
              </w:rPr>
            </w:pPr>
            <w:r w:rsidRPr="002C66B7">
              <w:rPr>
                <w:rFonts w:ascii="Arial" w:hAnsi="Arial" w:cs="Arial"/>
                <w:sz w:val="20"/>
                <w:szCs w:val="20"/>
              </w:rPr>
              <w:t>5,44%</w:t>
            </w:r>
          </w:p>
        </w:tc>
      </w:tr>
      <w:tr w:rsidR="003A596A" w:rsidRPr="00A17E25" w:rsidTr="003A596A">
        <w:tc>
          <w:tcPr>
            <w:tcW w:w="509"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2</w:t>
            </w:r>
          </w:p>
        </w:tc>
        <w:tc>
          <w:tcPr>
            <w:tcW w:w="5970" w:type="dxa"/>
          </w:tcPr>
          <w:p w:rsidR="003A596A" w:rsidRPr="002C66B7" w:rsidRDefault="003A596A" w:rsidP="003A596A">
            <w:pPr>
              <w:rPr>
                <w:rFonts w:ascii="Arial" w:hAnsi="Arial" w:cs="Arial"/>
                <w:sz w:val="20"/>
                <w:szCs w:val="20"/>
              </w:rPr>
            </w:pPr>
            <w:r w:rsidRPr="002C66B7">
              <w:rPr>
                <w:rFonts w:ascii="Arial" w:hAnsi="Arial" w:cs="Arial"/>
                <w:sz w:val="20"/>
                <w:szCs w:val="20"/>
              </w:rPr>
              <w:t>Réaménagement du parc zoologique d’AIN SEBAA à Casablanca</w:t>
            </w:r>
          </w:p>
        </w:tc>
        <w:tc>
          <w:tcPr>
            <w:tcW w:w="1476" w:type="dxa"/>
          </w:tcPr>
          <w:p w:rsidR="003A596A" w:rsidRPr="002C66B7" w:rsidRDefault="003A596A" w:rsidP="003A596A">
            <w:pPr>
              <w:jc w:val="right"/>
              <w:rPr>
                <w:rFonts w:ascii="Arial" w:hAnsi="Arial" w:cs="Arial"/>
                <w:sz w:val="20"/>
                <w:szCs w:val="20"/>
              </w:rPr>
            </w:pPr>
            <w:r w:rsidRPr="002C66B7">
              <w:rPr>
                <w:rFonts w:ascii="Arial" w:hAnsi="Arial" w:cs="Arial"/>
                <w:sz w:val="20"/>
                <w:szCs w:val="20"/>
              </w:rPr>
              <w:t>80 000 000,00</w:t>
            </w:r>
          </w:p>
        </w:tc>
        <w:tc>
          <w:tcPr>
            <w:tcW w:w="1327" w:type="dxa"/>
          </w:tcPr>
          <w:p w:rsidR="003A596A" w:rsidRPr="002C66B7" w:rsidRDefault="003A596A" w:rsidP="003A596A">
            <w:pPr>
              <w:jc w:val="center"/>
              <w:rPr>
                <w:rFonts w:ascii="Arial" w:hAnsi="Arial" w:cs="Arial"/>
                <w:sz w:val="20"/>
                <w:szCs w:val="20"/>
              </w:rPr>
            </w:pPr>
            <w:r w:rsidRPr="002C66B7">
              <w:rPr>
                <w:rFonts w:ascii="Arial" w:hAnsi="Arial" w:cs="Arial"/>
                <w:sz w:val="20"/>
                <w:szCs w:val="20"/>
              </w:rPr>
              <w:t>2,45%</w:t>
            </w:r>
          </w:p>
        </w:tc>
      </w:tr>
      <w:tr w:rsidR="003A596A" w:rsidRPr="00A17E25" w:rsidTr="003A596A">
        <w:tc>
          <w:tcPr>
            <w:tcW w:w="509"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3</w:t>
            </w:r>
          </w:p>
        </w:tc>
        <w:tc>
          <w:tcPr>
            <w:tcW w:w="5970" w:type="dxa"/>
          </w:tcPr>
          <w:p w:rsidR="003A596A" w:rsidRPr="002C66B7" w:rsidRDefault="003A596A" w:rsidP="003A596A">
            <w:pPr>
              <w:rPr>
                <w:rFonts w:ascii="Arial" w:hAnsi="Arial" w:cs="Arial"/>
                <w:sz w:val="20"/>
                <w:szCs w:val="20"/>
              </w:rPr>
            </w:pPr>
            <w:r w:rsidRPr="002C66B7">
              <w:rPr>
                <w:rFonts w:ascii="Arial" w:hAnsi="Arial" w:cs="Arial"/>
                <w:sz w:val="20"/>
                <w:szCs w:val="20"/>
              </w:rPr>
              <w:t>Réalisation d’un réseau de caméras de vidéo-surveillance et d’un poste de régulation à Casablanca</w:t>
            </w:r>
          </w:p>
        </w:tc>
        <w:tc>
          <w:tcPr>
            <w:tcW w:w="1476" w:type="dxa"/>
          </w:tcPr>
          <w:p w:rsidR="003A596A" w:rsidRPr="002C66B7" w:rsidRDefault="003A596A" w:rsidP="003A596A">
            <w:pPr>
              <w:jc w:val="right"/>
              <w:rPr>
                <w:rFonts w:ascii="Arial" w:hAnsi="Arial" w:cs="Arial"/>
                <w:sz w:val="20"/>
                <w:szCs w:val="20"/>
              </w:rPr>
            </w:pPr>
            <w:r w:rsidRPr="002C66B7">
              <w:rPr>
                <w:rFonts w:ascii="Arial" w:hAnsi="Arial" w:cs="Arial"/>
                <w:sz w:val="20"/>
                <w:szCs w:val="20"/>
              </w:rPr>
              <w:t>60 000 000,00</w:t>
            </w:r>
          </w:p>
        </w:tc>
        <w:tc>
          <w:tcPr>
            <w:tcW w:w="1327" w:type="dxa"/>
          </w:tcPr>
          <w:p w:rsidR="003A596A" w:rsidRPr="002C66B7" w:rsidRDefault="003A596A" w:rsidP="003A596A">
            <w:pPr>
              <w:jc w:val="center"/>
              <w:rPr>
                <w:rFonts w:ascii="Arial" w:hAnsi="Arial" w:cs="Arial"/>
                <w:sz w:val="20"/>
                <w:szCs w:val="20"/>
              </w:rPr>
            </w:pPr>
            <w:r w:rsidRPr="002C66B7">
              <w:rPr>
                <w:rFonts w:ascii="Arial" w:hAnsi="Arial" w:cs="Arial"/>
                <w:sz w:val="20"/>
                <w:szCs w:val="20"/>
              </w:rPr>
              <w:t>1,83%</w:t>
            </w:r>
          </w:p>
        </w:tc>
      </w:tr>
      <w:tr w:rsidR="003A596A" w:rsidRPr="00A17E25" w:rsidTr="003A596A">
        <w:tc>
          <w:tcPr>
            <w:tcW w:w="509"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4</w:t>
            </w:r>
          </w:p>
        </w:tc>
        <w:tc>
          <w:tcPr>
            <w:tcW w:w="5970" w:type="dxa"/>
          </w:tcPr>
          <w:p w:rsidR="003A596A" w:rsidRPr="002C66B7" w:rsidRDefault="003A596A" w:rsidP="003A596A">
            <w:pPr>
              <w:rPr>
                <w:rFonts w:ascii="Arial" w:hAnsi="Arial" w:cs="Arial"/>
                <w:sz w:val="20"/>
                <w:szCs w:val="20"/>
              </w:rPr>
            </w:pPr>
            <w:r w:rsidRPr="002C66B7">
              <w:rPr>
                <w:rFonts w:ascii="Arial" w:hAnsi="Arial" w:cs="Arial"/>
                <w:sz w:val="20"/>
                <w:szCs w:val="20"/>
              </w:rPr>
              <w:t>Réhabilitation du parc de la Ligue arabe à Casablanca</w:t>
            </w:r>
          </w:p>
        </w:tc>
        <w:tc>
          <w:tcPr>
            <w:tcW w:w="1476" w:type="dxa"/>
          </w:tcPr>
          <w:p w:rsidR="003A596A" w:rsidRPr="002C66B7" w:rsidRDefault="003A596A" w:rsidP="003A596A">
            <w:pPr>
              <w:jc w:val="right"/>
              <w:rPr>
                <w:rFonts w:ascii="Arial" w:hAnsi="Arial" w:cs="Arial"/>
                <w:sz w:val="20"/>
                <w:szCs w:val="20"/>
              </w:rPr>
            </w:pPr>
            <w:r w:rsidRPr="002C66B7">
              <w:rPr>
                <w:rFonts w:ascii="Arial" w:hAnsi="Arial" w:cs="Arial"/>
                <w:sz w:val="20"/>
                <w:szCs w:val="20"/>
              </w:rPr>
              <w:t>33 883 000,00</w:t>
            </w:r>
          </w:p>
        </w:tc>
        <w:tc>
          <w:tcPr>
            <w:tcW w:w="1327" w:type="dxa"/>
          </w:tcPr>
          <w:p w:rsidR="003A596A" w:rsidRPr="002C66B7" w:rsidRDefault="003A596A" w:rsidP="003A596A">
            <w:pPr>
              <w:jc w:val="center"/>
              <w:rPr>
                <w:rFonts w:ascii="Arial" w:hAnsi="Arial" w:cs="Arial"/>
                <w:sz w:val="20"/>
                <w:szCs w:val="20"/>
              </w:rPr>
            </w:pPr>
            <w:r w:rsidRPr="002C66B7">
              <w:rPr>
                <w:rFonts w:ascii="Arial" w:hAnsi="Arial" w:cs="Arial"/>
                <w:sz w:val="20"/>
                <w:szCs w:val="20"/>
              </w:rPr>
              <w:t>1,03</w:t>
            </w:r>
          </w:p>
        </w:tc>
      </w:tr>
      <w:tr w:rsidR="003A596A" w:rsidRPr="00A17E25" w:rsidTr="003A596A">
        <w:tc>
          <w:tcPr>
            <w:tcW w:w="509" w:type="dxa"/>
          </w:tcPr>
          <w:p w:rsidR="003A596A" w:rsidRPr="00A17E25" w:rsidRDefault="003A596A" w:rsidP="003A596A">
            <w:pPr>
              <w:jc w:val="center"/>
              <w:rPr>
                <w:rFonts w:ascii="Arial Narrow" w:hAnsi="Arial Narrow"/>
                <w:sz w:val="20"/>
                <w:szCs w:val="20"/>
              </w:rPr>
            </w:pPr>
          </w:p>
        </w:tc>
        <w:tc>
          <w:tcPr>
            <w:tcW w:w="5970" w:type="dxa"/>
          </w:tcPr>
          <w:p w:rsidR="003A596A" w:rsidRPr="002C66B7" w:rsidRDefault="003A596A" w:rsidP="003A596A">
            <w:pPr>
              <w:rPr>
                <w:rFonts w:ascii="Arial" w:hAnsi="Arial" w:cs="Arial"/>
                <w:b/>
                <w:i/>
                <w:sz w:val="20"/>
                <w:szCs w:val="20"/>
              </w:rPr>
            </w:pPr>
            <w:r w:rsidRPr="002C66B7">
              <w:rPr>
                <w:rFonts w:ascii="Arial" w:hAnsi="Arial" w:cs="Arial"/>
                <w:b/>
                <w:i/>
                <w:sz w:val="20"/>
                <w:szCs w:val="20"/>
              </w:rPr>
              <w:t>PM : Dépenses budgétaires annuelles de 2014</w:t>
            </w:r>
          </w:p>
        </w:tc>
        <w:tc>
          <w:tcPr>
            <w:tcW w:w="1476" w:type="dxa"/>
          </w:tcPr>
          <w:p w:rsidR="003A596A" w:rsidRPr="002C66B7" w:rsidRDefault="003A596A" w:rsidP="003A596A">
            <w:pPr>
              <w:jc w:val="right"/>
              <w:rPr>
                <w:rFonts w:ascii="Arial" w:hAnsi="Arial" w:cs="Arial"/>
                <w:b/>
                <w:i/>
                <w:sz w:val="20"/>
                <w:szCs w:val="20"/>
              </w:rPr>
            </w:pPr>
            <w:r w:rsidRPr="002C66B7">
              <w:rPr>
                <w:rFonts w:ascii="Arial" w:hAnsi="Arial" w:cs="Arial"/>
                <w:b/>
                <w:i/>
                <w:sz w:val="20"/>
                <w:szCs w:val="20"/>
              </w:rPr>
              <w:t>3 263 900 000</w:t>
            </w:r>
          </w:p>
        </w:tc>
        <w:tc>
          <w:tcPr>
            <w:tcW w:w="1327" w:type="dxa"/>
          </w:tcPr>
          <w:p w:rsidR="003A596A" w:rsidRPr="002C66B7" w:rsidRDefault="003A596A" w:rsidP="003A596A">
            <w:pPr>
              <w:jc w:val="center"/>
              <w:rPr>
                <w:rFonts w:ascii="Arial" w:hAnsi="Arial" w:cs="Arial"/>
                <w:sz w:val="20"/>
                <w:szCs w:val="20"/>
              </w:rPr>
            </w:pPr>
          </w:p>
        </w:tc>
      </w:tr>
    </w:tbl>
    <w:p w:rsidR="003A596A" w:rsidRPr="00A17E25" w:rsidRDefault="003A596A" w:rsidP="003A596A">
      <w:pPr>
        <w:rPr>
          <w:rFonts w:ascii="Arial Narrow" w:hAnsi="Arial Narrow"/>
          <w:sz w:val="20"/>
          <w:szCs w:val="20"/>
        </w:rPr>
      </w:pPr>
      <w:r w:rsidRPr="00A17E25">
        <w:rPr>
          <w:rFonts w:ascii="Arial Narrow" w:hAnsi="Arial Narrow"/>
          <w:sz w:val="20"/>
          <w:szCs w:val="20"/>
          <w:u w:val="single"/>
        </w:rPr>
        <w:t>Sources </w:t>
      </w:r>
      <w:r w:rsidRPr="00A17E25">
        <w:rPr>
          <w:rFonts w:ascii="Arial Narrow" w:hAnsi="Arial Narrow"/>
          <w:sz w:val="20"/>
          <w:szCs w:val="20"/>
        </w:rPr>
        <w:t>: Division gestion du budget/</w:t>
      </w:r>
      <w:r w:rsidR="00482393">
        <w:rPr>
          <w:rFonts w:ascii="Arial Narrow" w:hAnsi="Arial Narrow"/>
          <w:sz w:val="20"/>
          <w:szCs w:val="20"/>
        </w:rPr>
        <w:t>CC</w:t>
      </w:r>
      <w:r w:rsidRPr="00A17E25">
        <w:rPr>
          <w:rFonts w:ascii="Arial Narrow" w:hAnsi="Arial Narrow"/>
          <w:sz w:val="20"/>
          <w:szCs w:val="20"/>
          <w:u w:val="single"/>
        </w:rPr>
        <w:t> </w:t>
      </w:r>
    </w:p>
    <w:p w:rsidR="003A596A" w:rsidRPr="00A17E25" w:rsidRDefault="003A596A" w:rsidP="003A596A"/>
    <w:p w:rsidR="003A596A" w:rsidRPr="00A17E25" w:rsidRDefault="003A596A" w:rsidP="003A596A">
      <w:pPr>
        <w:jc w:val="both"/>
        <w:rPr>
          <w:rFonts w:ascii="Arial" w:hAnsi="Arial" w:cs="Arial"/>
        </w:rPr>
      </w:pPr>
      <w:r w:rsidRPr="00A17E25">
        <w:rPr>
          <w:rFonts w:ascii="Arial" w:hAnsi="Arial" w:cs="Arial"/>
        </w:rPr>
        <w:t xml:space="preserve">Ces projets n’intègrent pas les investissements réalisés dans le cadre de la gestion déléguée de service public sur des ressources devant revenir à la </w:t>
      </w:r>
      <w:r w:rsidR="00482393">
        <w:rPr>
          <w:rFonts w:ascii="Arial" w:hAnsi="Arial" w:cs="Arial"/>
        </w:rPr>
        <w:t>CC</w:t>
      </w:r>
      <w:r w:rsidRPr="00A17E25">
        <w:rPr>
          <w:rFonts w:ascii="Arial" w:hAnsi="Arial" w:cs="Arial"/>
        </w:rPr>
        <w:t xml:space="preserve"> par les délégataires. C’est le cas par exemple des investissements réalisés par la LYDEC sur les « fonds de travaux » dans le cadre du contrat qui le lie à la </w:t>
      </w:r>
      <w:r w:rsidR="00482393">
        <w:rPr>
          <w:rFonts w:ascii="Arial" w:hAnsi="Arial" w:cs="Arial"/>
        </w:rPr>
        <w:t>CC</w:t>
      </w:r>
      <w:r w:rsidRPr="00A17E25">
        <w:rPr>
          <w:rFonts w:ascii="Arial" w:hAnsi="Arial" w:cs="Arial"/>
        </w:rPr>
        <w:t>.</w:t>
      </w:r>
    </w:p>
    <w:p w:rsidR="00482393" w:rsidRPr="004B57C3" w:rsidRDefault="00482393" w:rsidP="003A596A">
      <w:pPr>
        <w:jc w:val="both"/>
        <w:rPr>
          <w:rFonts w:ascii="Arial" w:hAnsi="Arial" w:cs="Arial"/>
          <w:color w:val="0070C0"/>
        </w:rPr>
      </w:pPr>
    </w:p>
    <w:p w:rsidR="0034021B" w:rsidRDefault="0034021B">
      <w:pPr>
        <w:rPr>
          <w:rFonts w:ascii="Arial" w:hAnsi="Arial" w:cs="Arial"/>
          <w:i/>
          <w:color w:val="0070C0"/>
        </w:rPr>
      </w:pPr>
      <w:r>
        <w:rPr>
          <w:rFonts w:ascii="Arial" w:hAnsi="Arial" w:cs="Arial"/>
          <w:i/>
          <w:color w:val="0070C0"/>
        </w:rPr>
        <w:br w:type="page"/>
      </w:r>
    </w:p>
    <w:p w:rsidR="003A596A" w:rsidRPr="0034021B" w:rsidRDefault="003A596A" w:rsidP="00151AD3">
      <w:pPr>
        <w:pStyle w:val="ListParagraph"/>
        <w:numPr>
          <w:ilvl w:val="0"/>
          <w:numId w:val="28"/>
        </w:numPr>
        <w:contextualSpacing/>
        <w:jc w:val="both"/>
        <w:rPr>
          <w:i/>
          <w:color w:val="0070C0"/>
        </w:rPr>
      </w:pPr>
      <w:r w:rsidRPr="0044265E">
        <w:rPr>
          <w:rFonts w:ascii="Arial" w:hAnsi="Arial" w:cs="Arial"/>
          <w:i/>
          <w:color w:val="0070C0"/>
        </w:rPr>
        <w:t>Analyse économique objective</w:t>
      </w:r>
    </w:p>
    <w:p w:rsidR="0034021B" w:rsidRPr="0044265E" w:rsidRDefault="0034021B" w:rsidP="0034021B">
      <w:pPr>
        <w:pStyle w:val="ListParagraph"/>
        <w:ind w:left="1080"/>
        <w:contextualSpacing/>
        <w:jc w:val="both"/>
        <w:rPr>
          <w:i/>
          <w:color w:val="0070C0"/>
        </w:rPr>
      </w:pPr>
    </w:p>
    <w:p w:rsidR="003A596A" w:rsidRPr="00A17E25" w:rsidRDefault="003A596A" w:rsidP="003A596A">
      <w:pPr>
        <w:jc w:val="both"/>
        <w:rPr>
          <w:rFonts w:ascii="Arial" w:hAnsi="Arial" w:cs="Arial"/>
        </w:rPr>
      </w:pPr>
      <w:r w:rsidRPr="00A17E25">
        <w:rPr>
          <w:rFonts w:ascii="Arial" w:hAnsi="Arial" w:cs="Arial"/>
        </w:rPr>
        <w:t>Des échanges que la mission a eus avec des responsables de différentes structures impliquées dans la programmation et la gestion des investissements publics (Division de la gestion budgétaire/</w:t>
      </w:r>
      <w:r w:rsidR="00482393">
        <w:rPr>
          <w:rFonts w:ascii="Arial" w:hAnsi="Arial" w:cs="Arial"/>
        </w:rPr>
        <w:t>CC</w:t>
      </w:r>
      <w:r w:rsidRPr="00A17E25">
        <w:rPr>
          <w:rFonts w:ascii="Arial" w:hAnsi="Arial" w:cs="Arial"/>
        </w:rPr>
        <w:t>, Division de la voirie, Division des espaces verts, SDL Casa Aménagement et SDL Casa Transport), il ressort que </w:t>
      </w:r>
      <w:r w:rsidR="001E766C">
        <w:rPr>
          <w:rFonts w:ascii="Arial" w:hAnsi="Arial" w:cs="Arial"/>
        </w:rPr>
        <w:t>l</w:t>
      </w:r>
      <w:r w:rsidR="001E766C" w:rsidRPr="00A17E25">
        <w:rPr>
          <w:rFonts w:ascii="Arial" w:hAnsi="Arial" w:cs="Arial"/>
        </w:rPr>
        <w:t xml:space="preserve">es divisions réalisent des études </w:t>
      </w:r>
      <w:r w:rsidR="001E766C">
        <w:rPr>
          <w:rFonts w:ascii="Arial" w:hAnsi="Arial" w:cs="Arial"/>
        </w:rPr>
        <w:t xml:space="preserve">de faisabilité </w:t>
      </w:r>
      <w:r w:rsidR="001E766C" w:rsidRPr="00A17E25">
        <w:rPr>
          <w:rFonts w:ascii="Arial" w:hAnsi="Arial" w:cs="Arial"/>
        </w:rPr>
        <w:t>techniques pour chaque projet en vue de spécifier les caractéristiques techniques des investissements</w:t>
      </w:r>
      <w:r w:rsidR="001E766C">
        <w:rPr>
          <w:rFonts w:ascii="Arial" w:hAnsi="Arial" w:cs="Arial"/>
        </w:rPr>
        <w:t xml:space="preserve">. Cependant </w:t>
      </w:r>
      <w:r w:rsidRPr="00A17E25">
        <w:rPr>
          <w:rFonts w:ascii="Arial" w:hAnsi="Arial" w:cs="Arial"/>
        </w:rPr>
        <w:t>:</w:t>
      </w:r>
    </w:p>
    <w:p w:rsidR="003A596A" w:rsidRPr="00A17E25" w:rsidRDefault="003A596A" w:rsidP="00151AD3">
      <w:pPr>
        <w:pStyle w:val="ListParagraph"/>
        <w:numPr>
          <w:ilvl w:val="0"/>
          <w:numId w:val="29"/>
        </w:numPr>
        <w:jc w:val="both"/>
        <w:rPr>
          <w:rFonts w:ascii="Arial" w:hAnsi="Arial" w:cs="Arial"/>
        </w:rPr>
      </w:pPr>
      <w:r w:rsidRPr="00A17E25">
        <w:rPr>
          <w:rFonts w:ascii="Arial" w:hAnsi="Arial" w:cs="Arial"/>
        </w:rPr>
        <w:t>Il n’existe pas de directive prescrivant la réalisation systématique d’</w:t>
      </w:r>
      <w:r w:rsidR="001E766C">
        <w:rPr>
          <w:rFonts w:ascii="Arial" w:hAnsi="Arial" w:cs="Arial"/>
        </w:rPr>
        <w:t>analyse économique objective telles préconisées par le cadre PEFA</w:t>
      </w:r>
      <w:r w:rsidR="001E766C">
        <w:rPr>
          <w:rStyle w:val="FootnoteReference"/>
          <w:rFonts w:ascii="Arial" w:hAnsi="Arial" w:cs="Arial"/>
        </w:rPr>
        <w:footnoteReference w:id="33"/>
      </w:r>
      <w:r w:rsidRPr="00A17E25">
        <w:rPr>
          <w:rFonts w:ascii="Arial" w:hAnsi="Arial" w:cs="Arial"/>
        </w:rPr>
        <w:t xml:space="preserve"> des projets à inscrire au budget de la </w:t>
      </w:r>
      <w:r w:rsidR="00482393">
        <w:rPr>
          <w:rFonts w:ascii="Arial" w:hAnsi="Arial" w:cs="Arial"/>
        </w:rPr>
        <w:t>CC</w:t>
      </w:r>
      <w:r w:rsidRPr="00A17E25">
        <w:rPr>
          <w:rFonts w:ascii="Arial" w:hAnsi="Arial" w:cs="Arial"/>
        </w:rPr>
        <w:t xml:space="preserve"> ainsi que les critères devant présider au choix des investissements à programmer ;</w:t>
      </w:r>
    </w:p>
    <w:p w:rsidR="003A596A" w:rsidRPr="00A17E25" w:rsidRDefault="003A596A" w:rsidP="00151AD3">
      <w:pPr>
        <w:pStyle w:val="ListParagraph"/>
        <w:numPr>
          <w:ilvl w:val="0"/>
          <w:numId w:val="29"/>
        </w:numPr>
        <w:jc w:val="both"/>
        <w:rPr>
          <w:rFonts w:ascii="Arial" w:hAnsi="Arial" w:cs="Arial"/>
        </w:rPr>
      </w:pPr>
      <w:r w:rsidRPr="00A17E25">
        <w:rPr>
          <w:rFonts w:ascii="Arial" w:hAnsi="Arial" w:cs="Arial"/>
        </w:rPr>
        <w:t>Les investissements programmés ne font pas l’objet systématiquement d</w:t>
      </w:r>
      <w:r w:rsidR="001E766C">
        <w:rPr>
          <w:rFonts w:ascii="Arial" w:hAnsi="Arial" w:cs="Arial"/>
        </w:rPr>
        <w:t>’analyse économique objective</w:t>
      </w:r>
      <w:r w:rsidRPr="00A17E25">
        <w:rPr>
          <w:rFonts w:ascii="Arial" w:hAnsi="Arial" w:cs="Arial"/>
        </w:rPr>
        <w:t> ;</w:t>
      </w:r>
    </w:p>
    <w:p w:rsidR="003A596A" w:rsidRPr="00A17E25" w:rsidRDefault="003A596A" w:rsidP="00151AD3">
      <w:pPr>
        <w:pStyle w:val="ListParagraph"/>
        <w:numPr>
          <w:ilvl w:val="0"/>
          <w:numId w:val="29"/>
        </w:numPr>
        <w:jc w:val="both"/>
        <w:rPr>
          <w:rFonts w:ascii="Arial" w:hAnsi="Arial" w:cs="Arial"/>
        </w:rPr>
      </w:pPr>
      <w:r w:rsidRPr="00A17E25">
        <w:rPr>
          <w:rFonts w:ascii="Arial" w:hAnsi="Arial" w:cs="Arial"/>
        </w:rPr>
        <w:t>Il n’existe pas de procédure formelle de sélection des projets sur la base de critères préalablement définis ; les projets sont proposés par les divisions sur la base de l’enveloppe budgétaire disponible et de l’urgence à réaliser les investissements.</w:t>
      </w:r>
    </w:p>
    <w:p w:rsidR="003A596A" w:rsidRPr="00A17E25" w:rsidRDefault="003A596A" w:rsidP="003A596A">
      <w:pPr>
        <w:jc w:val="both"/>
        <w:rPr>
          <w:rFonts w:ascii="Arial" w:hAnsi="Arial" w:cs="Arial"/>
        </w:rPr>
      </w:pPr>
    </w:p>
    <w:p w:rsidR="003A596A" w:rsidRPr="0044265E" w:rsidRDefault="003A596A" w:rsidP="00151AD3">
      <w:pPr>
        <w:pStyle w:val="ListParagraph"/>
        <w:numPr>
          <w:ilvl w:val="0"/>
          <w:numId w:val="28"/>
        </w:numPr>
        <w:contextualSpacing/>
        <w:jc w:val="both"/>
        <w:rPr>
          <w:rFonts w:ascii="Arial" w:hAnsi="Arial" w:cs="Arial"/>
          <w:i/>
          <w:color w:val="0070C0"/>
        </w:rPr>
      </w:pPr>
      <w:r w:rsidRPr="0044265E">
        <w:rPr>
          <w:rFonts w:ascii="Arial" w:hAnsi="Arial" w:cs="Arial"/>
          <w:i/>
          <w:color w:val="0070C0"/>
        </w:rPr>
        <w:t>Calcul des coûts durant le cycle de vie du projet</w:t>
      </w:r>
    </w:p>
    <w:p w:rsidR="0064487C" w:rsidRDefault="0064487C"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programmation pluriannuelle des investissements publics de la </w:t>
      </w:r>
      <w:r w:rsidR="00482393">
        <w:rPr>
          <w:rFonts w:ascii="Arial" w:hAnsi="Arial" w:cs="Arial"/>
        </w:rPr>
        <w:t>CC</w:t>
      </w:r>
      <w:r w:rsidRPr="00A17E25">
        <w:rPr>
          <w:rFonts w:ascii="Arial" w:hAnsi="Arial" w:cs="Arial"/>
        </w:rPr>
        <w:t xml:space="preserve"> n’est pas faite. Les coûts des investissements ne sont pas calculés pour toute la durée de vie des projets. Les charges récurrentes des investissements ne sont pas non plus estimées pour être prise</w:t>
      </w:r>
      <w:r w:rsidR="009A575E">
        <w:rPr>
          <w:rFonts w:ascii="Arial" w:hAnsi="Arial" w:cs="Arial"/>
        </w:rPr>
        <w:t>s</w:t>
      </w:r>
      <w:r w:rsidRPr="00A17E25">
        <w:rPr>
          <w:rFonts w:ascii="Arial" w:hAnsi="Arial" w:cs="Arial"/>
        </w:rPr>
        <w:t xml:space="preserve"> en compte dans  une programmation budgétaire pluriannuelle. Le budget </w:t>
      </w:r>
      <w:r w:rsidR="00D8102C">
        <w:rPr>
          <w:rFonts w:ascii="Arial" w:hAnsi="Arial" w:cs="Arial"/>
        </w:rPr>
        <w:t>initial</w:t>
      </w:r>
      <w:r w:rsidRPr="00A17E25">
        <w:rPr>
          <w:rFonts w:ascii="Arial" w:hAnsi="Arial" w:cs="Arial"/>
        </w:rPr>
        <w:t xml:space="preserve"> de la </w:t>
      </w:r>
      <w:r w:rsidR="00482393">
        <w:rPr>
          <w:rFonts w:ascii="Arial" w:hAnsi="Arial" w:cs="Arial"/>
        </w:rPr>
        <w:t>CC</w:t>
      </w:r>
      <w:r w:rsidRPr="00A17E25">
        <w:rPr>
          <w:rFonts w:ascii="Arial" w:hAnsi="Arial" w:cs="Arial"/>
        </w:rPr>
        <w:t xml:space="preserve"> ne couvre pas les prévisions de dépenses d’investissement. L’intégration des prévisions de dépenses d’investissement est réalisée au coup par coup en cours d’année. Certains investissements font l’objet d’autorisation de programme (coût global estimé de l’opération) et de crédit de paiement (montant des paiements à faire au cours de l’année au titre de ce projet). Mais des prévisions de dépenses ne sont pas faites pour toute la durée du cycle du projet. Les montants des décaissements à programmer pour les investissements dépendent de la part de la dotation spéciale TVA allouée à la </w:t>
      </w:r>
      <w:r w:rsidR="00482393">
        <w:rPr>
          <w:rFonts w:ascii="Arial" w:hAnsi="Arial" w:cs="Arial"/>
        </w:rPr>
        <w:t>CC</w:t>
      </w:r>
      <w:r w:rsidRPr="00A17E25">
        <w:rPr>
          <w:rFonts w:ascii="Arial" w:hAnsi="Arial" w:cs="Arial"/>
        </w:rPr>
        <w:t xml:space="preserve"> pour la réalisation de ses projets. La division de la voirie qui a en charge la quasi-totalité des projets de la ville n’élabore pas des plans détaillés de financement des projets.</w:t>
      </w:r>
    </w:p>
    <w:p w:rsidR="003A596A" w:rsidRPr="00A17E25" w:rsidRDefault="003A596A" w:rsidP="003A596A">
      <w:pPr>
        <w:jc w:val="both"/>
        <w:rPr>
          <w:rFonts w:ascii="Arial" w:hAnsi="Arial" w:cs="Arial"/>
        </w:rPr>
      </w:pPr>
    </w:p>
    <w:p w:rsidR="003A596A" w:rsidRPr="004B57C3" w:rsidRDefault="003A596A" w:rsidP="00151AD3">
      <w:pPr>
        <w:pStyle w:val="ListParagraph"/>
        <w:numPr>
          <w:ilvl w:val="0"/>
          <w:numId w:val="28"/>
        </w:numPr>
        <w:contextualSpacing/>
        <w:jc w:val="both"/>
        <w:rPr>
          <w:rFonts w:ascii="Arial" w:hAnsi="Arial" w:cs="Arial"/>
          <w:i/>
          <w:color w:val="0070C0"/>
        </w:rPr>
      </w:pPr>
      <w:r w:rsidRPr="004B57C3">
        <w:rPr>
          <w:rFonts w:ascii="Arial" w:hAnsi="Arial" w:cs="Arial"/>
          <w:i/>
          <w:color w:val="0070C0"/>
        </w:rPr>
        <w:t>Suivi du projet et établissement des rapports</w:t>
      </w:r>
    </w:p>
    <w:p w:rsidR="0064487C" w:rsidRDefault="0064487C"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 xml:space="preserve">La division de la voirie qui assure l’exécution de la quasi-totalité des principaux projets de la </w:t>
      </w:r>
      <w:r w:rsidR="00482393">
        <w:rPr>
          <w:rFonts w:ascii="Arial" w:hAnsi="Arial" w:cs="Arial"/>
        </w:rPr>
        <w:t>CC</w:t>
      </w:r>
      <w:r w:rsidRPr="00A17E25">
        <w:rPr>
          <w:rFonts w:ascii="Arial" w:hAnsi="Arial" w:cs="Arial"/>
        </w:rPr>
        <w:t xml:space="preserve"> tient une base de données des investissements dont elle a la charge. Elle établit trimestriellement un rapport d’exécution des projets qui est soumis au Président du conseil communal et transmis ensuite au ministre de l’intérieur. La division produit également un rapport d’activités annuel qui rend compte de l’exécution des projets et qui est présenté au conseil communal à l’occasion de l’examen du compte administratif. Mais ces rapports ne portent que sur l’exécution financière des projets, l’état d’avancement physique des investissements n’y est pas pris en compte. Quant aux projets réalisé</w:t>
      </w:r>
      <w:r w:rsidR="003935A7">
        <w:rPr>
          <w:rFonts w:ascii="Arial" w:hAnsi="Arial" w:cs="Arial"/>
        </w:rPr>
        <w:t>s en maîtrise d’ouvrage délégué</w:t>
      </w:r>
      <w:r w:rsidRPr="00A17E25">
        <w:rPr>
          <w:rFonts w:ascii="Arial" w:hAnsi="Arial" w:cs="Arial"/>
        </w:rPr>
        <w:t xml:space="preserve"> par les SDL en général et Casa Aménagement </w:t>
      </w:r>
      <w:r w:rsidR="009007DB">
        <w:rPr>
          <w:rFonts w:ascii="Arial" w:hAnsi="Arial" w:cs="Arial"/>
        </w:rPr>
        <w:t xml:space="preserve">et Casa transport </w:t>
      </w:r>
      <w:r w:rsidRPr="00A17E25">
        <w:rPr>
          <w:rFonts w:ascii="Arial" w:hAnsi="Arial" w:cs="Arial"/>
        </w:rPr>
        <w:t xml:space="preserve">en particulier, ils font l’objet de rapportage </w:t>
      </w:r>
      <w:r w:rsidR="009007DB">
        <w:rPr>
          <w:rFonts w:ascii="Arial" w:hAnsi="Arial" w:cs="Arial"/>
        </w:rPr>
        <w:t>périodique</w:t>
      </w:r>
      <w:r w:rsidRPr="00A17E25">
        <w:rPr>
          <w:rFonts w:ascii="Arial" w:hAnsi="Arial" w:cs="Arial"/>
        </w:rPr>
        <w:t xml:space="preserve"> au président de la </w:t>
      </w:r>
      <w:r w:rsidR="00482393">
        <w:rPr>
          <w:rFonts w:ascii="Arial" w:hAnsi="Arial" w:cs="Arial"/>
        </w:rPr>
        <w:t>CC</w:t>
      </w:r>
      <w:r w:rsidRPr="00A17E25">
        <w:rPr>
          <w:rFonts w:ascii="Arial" w:hAnsi="Arial" w:cs="Arial"/>
        </w:rPr>
        <w:t>.</w:t>
      </w:r>
    </w:p>
    <w:p w:rsidR="00370022" w:rsidRPr="00A17E25" w:rsidRDefault="00370022" w:rsidP="003A596A">
      <w:pPr>
        <w:jc w:val="both"/>
        <w:rPr>
          <w:rFonts w:ascii="Arial" w:hAnsi="Arial" w:cs="Arial"/>
        </w:rPr>
      </w:pPr>
    </w:p>
    <w:p w:rsidR="003A596A" w:rsidRPr="00A17E25" w:rsidRDefault="003A596A" w:rsidP="003A596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393"/>
        <w:gridCol w:w="3880"/>
      </w:tblGrid>
      <w:tr w:rsidR="003A596A" w:rsidRPr="00A17E25" w:rsidTr="004B57C3">
        <w:tc>
          <w:tcPr>
            <w:tcW w:w="3759"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1393"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3880"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3A596A">
        <w:tc>
          <w:tcPr>
            <w:tcW w:w="3759" w:type="dxa"/>
          </w:tcPr>
          <w:p w:rsidR="003A596A" w:rsidRPr="00A17E25" w:rsidRDefault="003A596A" w:rsidP="00581667">
            <w:pPr>
              <w:jc w:val="both"/>
              <w:rPr>
                <w:rFonts w:ascii="Arial" w:hAnsi="Arial" w:cs="Arial"/>
                <w:b/>
                <w:bCs/>
                <w:sz w:val="20"/>
                <w:szCs w:val="20"/>
              </w:rPr>
            </w:pPr>
          </w:p>
          <w:p w:rsidR="003A596A" w:rsidRPr="00A17E25" w:rsidRDefault="003A596A" w:rsidP="00581667">
            <w:pPr>
              <w:jc w:val="both"/>
              <w:rPr>
                <w:rFonts w:ascii="Arial" w:hAnsi="Arial" w:cs="Arial"/>
                <w:sz w:val="20"/>
                <w:szCs w:val="20"/>
              </w:rPr>
            </w:pPr>
            <w:r w:rsidRPr="00A17E25">
              <w:rPr>
                <w:rFonts w:ascii="Arial" w:hAnsi="Arial" w:cs="Arial"/>
                <w:b/>
                <w:bCs/>
                <w:sz w:val="20"/>
                <w:szCs w:val="20"/>
              </w:rPr>
              <w:t>PI-11 Gestion des investissements publics</w:t>
            </w:r>
          </w:p>
        </w:tc>
        <w:tc>
          <w:tcPr>
            <w:tcW w:w="1393" w:type="dxa"/>
            <w:vAlign w:val="center"/>
          </w:tcPr>
          <w:p w:rsidR="003A596A" w:rsidRPr="00A17E25" w:rsidRDefault="003A596A" w:rsidP="00581667">
            <w:pPr>
              <w:jc w:val="both"/>
              <w:rPr>
                <w:rFonts w:ascii="Arial" w:hAnsi="Arial" w:cs="Arial"/>
                <w:b/>
                <w:bCs/>
                <w:sz w:val="20"/>
                <w:szCs w:val="20"/>
              </w:rPr>
            </w:pPr>
            <w:r w:rsidRPr="00A17E25">
              <w:rPr>
                <w:rFonts w:ascii="Arial" w:hAnsi="Arial" w:cs="Arial"/>
                <w:b/>
                <w:bCs/>
                <w:sz w:val="20"/>
                <w:szCs w:val="20"/>
              </w:rPr>
              <w:t>D</w:t>
            </w:r>
          </w:p>
        </w:tc>
        <w:tc>
          <w:tcPr>
            <w:tcW w:w="3880" w:type="dxa"/>
            <w:vAlign w:val="center"/>
          </w:tcPr>
          <w:p w:rsidR="003A596A" w:rsidRPr="00A17E25" w:rsidRDefault="003A596A" w:rsidP="00581667">
            <w:pPr>
              <w:jc w:val="both"/>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3759"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(i)  Analyse économique objective</w:t>
            </w:r>
          </w:p>
        </w:tc>
        <w:tc>
          <w:tcPr>
            <w:tcW w:w="1393"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D</w:t>
            </w:r>
          </w:p>
        </w:tc>
        <w:tc>
          <w:tcPr>
            <w:tcW w:w="3880" w:type="dxa"/>
          </w:tcPr>
          <w:p w:rsidR="003A596A" w:rsidRPr="00A17E25" w:rsidRDefault="003A596A" w:rsidP="00581667">
            <w:pPr>
              <w:jc w:val="both"/>
              <w:rPr>
                <w:rFonts w:ascii="Arial" w:hAnsi="Arial" w:cs="Arial"/>
                <w:sz w:val="20"/>
                <w:szCs w:val="20"/>
              </w:rPr>
            </w:pPr>
            <w:r w:rsidRPr="00A17E25">
              <w:rPr>
                <w:rFonts w:ascii="Arial" w:hAnsi="Arial" w:cs="Arial"/>
                <w:sz w:val="20"/>
                <w:szCs w:val="20"/>
              </w:rPr>
              <w:t>Il n’existe pas de directives pour la réalisation d</w:t>
            </w:r>
            <w:r w:rsidR="001E766C">
              <w:rPr>
                <w:rFonts w:ascii="Arial" w:hAnsi="Arial" w:cs="Arial"/>
                <w:sz w:val="20"/>
                <w:szCs w:val="20"/>
              </w:rPr>
              <w:t>’analyses écon</w:t>
            </w:r>
            <w:r w:rsidR="003935A7">
              <w:rPr>
                <w:rFonts w:ascii="Arial" w:hAnsi="Arial" w:cs="Arial"/>
                <w:sz w:val="20"/>
                <w:szCs w:val="20"/>
              </w:rPr>
              <w:t>o</w:t>
            </w:r>
            <w:r w:rsidR="001E766C">
              <w:rPr>
                <w:rFonts w:ascii="Arial" w:hAnsi="Arial" w:cs="Arial"/>
                <w:sz w:val="20"/>
                <w:szCs w:val="20"/>
              </w:rPr>
              <w:t>miques objectives</w:t>
            </w:r>
            <w:r w:rsidRPr="00A17E25">
              <w:rPr>
                <w:rFonts w:ascii="Arial" w:hAnsi="Arial" w:cs="Arial"/>
                <w:sz w:val="20"/>
                <w:szCs w:val="20"/>
              </w:rPr>
              <w:t xml:space="preserve"> des projets à programmer. Dans la pratique, </w:t>
            </w:r>
            <w:r w:rsidR="001E766C">
              <w:rPr>
                <w:rFonts w:ascii="Arial" w:hAnsi="Arial" w:cs="Arial"/>
                <w:sz w:val="20"/>
                <w:szCs w:val="20"/>
              </w:rPr>
              <w:t>l</w:t>
            </w:r>
            <w:r w:rsidRPr="00A17E25">
              <w:rPr>
                <w:rFonts w:ascii="Arial" w:hAnsi="Arial" w:cs="Arial"/>
                <w:sz w:val="20"/>
                <w:szCs w:val="20"/>
              </w:rPr>
              <w:t>es études</w:t>
            </w:r>
            <w:r w:rsidR="001E766C">
              <w:rPr>
                <w:rFonts w:ascii="Arial" w:hAnsi="Arial" w:cs="Arial"/>
                <w:sz w:val="20"/>
                <w:szCs w:val="20"/>
              </w:rPr>
              <w:t xml:space="preserve"> de faisabilité</w:t>
            </w:r>
            <w:r w:rsidRPr="00A17E25">
              <w:rPr>
                <w:rFonts w:ascii="Arial" w:hAnsi="Arial" w:cs="Arial"/>
                <w:sz w:val="20"/>
                <w:szCs w:val="20"/>
              </w:rPr>
              <w:t xml:space="preserve"> faites par les divisions en charge des investissements portent </w:t>
            </w:r>
            <w:r w:rsidR="007577F6">
              <w:rPr>
                <w:rFonts w:ascii="Arial" w:hAnsi="Arial" w:cs="Arial"/>
                <w:sz w:val="20"/>
                <w:szCs w:val="20"/>
              </w:rPr>
              <w:t xml:space="preserve">plutôt </w:t>
            </w:r>
            <w:r w:rsidRPr="00A17E25">
              <w:rPr>
                <w:rFonts w:ascii="Arial" w:hAnsi="Arial" w:cs="Arial"/>
                <w:sz w:val="20"/>
                <w:szCs w:val="20"/>
              </w:rPr>
              <w:t>sur les aspects techniques des projets.</w:t>
            </w:r>
          </w:p>
        </w:tc>
      </w:tr>
      <w:tr w:rsidR="003A596A" w:rsidRPr="00A17E25" w:rsidTr="003A596A">
        <w:tc>
          <w:tcPr>
            <w:tcW w:w="3759"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 xml:space="preserve">(ii) Calcul des coûts durant le cycle de vie du projet </w:t>
            </w:r>
          </w:p>
        </w:tc>
        <w:tc>
          <w:tcPr>
            <w:tcW w:w="1393"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D</w:t>
            </w:r>
          </w:p>
        </w:tc>
        <w:tc>
          <w:tcPr>
            <w:tcW w:w="3880" w:type="dxa"/>
          </w:tcPr>
          <w:p w:rsidR="003A596A" w:rsidRPr="00A17E25" w:rsidRDefault="003A596A" w:rsidP="00581667">
            <w:pPr>
              <w:jc w:val="both"/>
              <w:rPr>
                <w:rFonts w:ascii="Arial" w:hAnsi="Arial" w:cs="Arial"/>
                <w:sz w:val="20"/>
                <w:szCs w:val="20"/>
              </w:rPr>
            </w:pPr>
            <w:r w:rsidRPr="00A17E25">
              <w:rPr>
                <w:rFonts w:ascii="Arial" w:hAnsi="Arial" w:cs="Arial"/>
                <w:sz w:val="20"/>
                <w:szCs w:val="20"/>
              </w:rPr>
              <w:t>Les projets d’investissements ne font pas l’objet d’une programmation budgétaire pluriannuelle. Leurs coûts ne sont pas estimés sur toute la périod</w:t>
            </w:r>
            <w:r w:rsidR="00581667">
              <w:rPr>
                <w:rFonts w:ascii="Arial" w:hAnsi="Arial" w:cs="Arial"/>
                <w:sz w:val="20"/>
                <w:szCs w:val="20"/>
              </w:rPr>
              <w:t xml:space="preserve">e prévue pour leur réalisation. </w:t>
            </w:r>
            <w:r w:rsidRPr="00A17E25">
              <w:rPr>
                <w:rFonts w:ascii="Arial" w:hAnsi="Arial" w:cs="Arial"/>
                <w:sz w:val="20"/>
                <w:szCs w:val="20"/>
              </w:rPr>
              <w:t>Le mécanisme d’autorisation de programme et de crédit de paiement n’est convenablement mis en œuvre. Les charges récurrentes ne sont pas estimées et prises en compte.</w:t>
            </w:r>
          </w:p>
        </w:tc>
      </w:tr>
      <w:tr w:rsidR="003A596A" w:rsidRPr="00A17E25" w:rsidTr="003A596A">
        <w:tc>
          <w:tcPr>
            <w:tcW w:w="3759"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(iii) Suivi du projet et établissement de rapport</w:t>
            </w:r>
          </w:p>
        </w:tc>
        <w:tc>
          <w:tcPr>
            <w:tcW w:w="1393" w:type="dxa"/>
            <w:vAlign w:val="center"/>
          </w:tcPr>
          <w:p w:rsidR="003A596A" w:rsidRPr="00A17E25" w:rsidRDefault="003A596A" w:rsidP="00581667">
            <w:pPr>
              <w:jc w:val="both"/>
              <w:rPr>
                <w:rFonts w:ascii="Arial" w:hAnsi="Arial" w:cs="Arial"/>
                <w:sz w:val="20"/>
                <w:szCs w:val="20"/>
              </w:rPr>
            </w:pPr>
            <w:r w:rsidRPr="00A17E25">
              <w:rPr>
                <w:rFonts w:ascii="Arial" w:hAnsi="Arial" w:cs="Arial"/>
                <w:sz w:val="20"/>
                <w:szCs w:val="20"/>
              </w:rPr>
              <w:t>D</w:t>
            </w:r>
          </w:p>
        </w:tc>
        <w:tc>
          <w:tcPr>
            <w:tcW w:w="3880" w:type="dxa"/>
          </w:tcPr>
          <w:p w:rsidR="003A596A" w:rsidRPr="00A17E25" w:rsidRDefault="003A596A" w:rsidP="00581667">
            <w:pPr>
              <w:jc w:val="both"/>
              <w:rPr>
                <w:rFonts w:ascii="Arial" w:hAnsi="Arial" w:cs="Arial"/>
                <w:sz w:val="20"/>
                <w:szCs w:val="20"/>
              </w:rPr>
            </w:pPr>
            <w:r w:rsidRPr="00A17E25">
              <w:rPr>
                <w:rFonts w:ascii="Arial" w:hAnsi="Arial" w:cs="Arial"/>
                <w:sz w:val="20"/>
                <w:szCs w:val="20"/>
              </w:rPr>
              <w:t>Les états de suivi des projets élaborés par les divisions qui ont en charge l’exécution des projets sont partiels : ils ne portent que sur l’exécution financière des projets et ne contiennent pas de données sur l’état d’avancement physique des projets.</w:t>
            </w:r>
          </w:p>
        </w:tc>
      </w:tr>
    </w:tbl>
    <w:p w:rsidR="003A596A" w:rsidRPr="002B14CF" w:rsidRDefault="003A596A" w:rsidP="003A596A">
      <w:pPr>
        <w:pStyle w:val="Ind"/>
        <w:jc w:val="both"/>
        <w:rPr>
          <w:rFonts w:ascii="Arial" w:eastAsia="Times New Roman" w:hAnsi="Arial" w:cs="Arial"/>
          <w:b/>
          <w:color w:val="auto"/>
          <w:sz w:val="24"/>
          <w:szCs w:val="24"/>
        </w:rPr>
      </w:pPr>
      <w:bookmarkStart w:id="182" w:name="_Toc428200820"/>
      <w:bookmarkStart w:id="183" w:name="_Toc434916128"/>
      <w:bookmarkStart w:id="184" w:name="_Toc434918342"/>
      <w:r w:rsidRPr="002B14CF">
        <w:rPr>
          <w:rFonts w:ascii="Arial" w:eastAsia="Times New Roman" w:hAnsi="Arial" w:cs="Arial"/>
          <w:b/>
          <w:color w:val="auto"/>
          <w:sz w:val="24"/>
          <w:szCs w:val="24"/>
        </w:rPr>
        <w:t>PI-12 Gestion des actifs publics</w:t>
      </w:r>
      <w:bookmarkEnd w:id="182"/>
      <w:bookmarkEnd w:id="183"/>
      <w:bookmarkEnd w:id="184"/>
    </w:p>
    <w:p w:rsidR="003A596A" w:rsidRPr="00A17E25" w:rsidRDefault="003A596A" w:rsidP="003A596A">
      <w:pPr>
        <w:spacing w:after="152"/>
        <w:jc w:val="both"/>
        <w:rPr>
          <w:rFonts w:ascii="Arial" w:hAnsi="Arial" w:cs="Arial"/>
        </w:rPr>
      </w:pPr>
    </w:p>
    <w:p w:rsidR="001F683C" w:rsidRPr="00A17E25" w:rsidRDefault="003A596A" w:rsidP="003A596A">
      <w:pPr>
        <w:spacing w:after="152"/>
        <w:jc w:val="both"/>
        <w:rPr>
          <w:rFonts w:ascii="Arial" w:hAnsi="Arial" w:cs="Arial"/>
        </w:rPr>
      </w:pPr>
      <w:r w:rsidRPr="00A17E25">
        <w:rPr>
          <w:rFonts w:ascii="Arial" w:hAnsi="Arial" w:cs="Arial"/>
        </w:rPr>
        <w:t>Cet indicateur vise à évaluer la qualité de l’administration de</w:t>
      </w:r>
      <w:r w:rsidR="00DD4E0A">
        <w:rPr>
          <w:rFonts w:ascii="Arial" w:hAnsi="Arial" w:cs="Arial"/>
        </w:rPr>
        <w:t>s</w:t>
      </w:r>
      <w:r w:rsidRPr="00A17E25">
        <w:rPr>
          <w:rFonts w:ascii="Arial" w:hAnsi="Arial" w:cs="Arial"/>
        </w:rPr>
        <w:t xml:space="preserve"> actifs par </w:t>
      </w:r>
      <w:r w:rsidR="00DD4E0A">
        <w:rPr>
          <w:rFonts w:ascii="Arial" w:hAnsi="Arial" w:cs="Arial"/>
        </w:rPr>
        <w:t xml:space="preserve">la </w:t>
      </w:r>
      <w:r w:rsidR="00482393">
        <w:rPr>
          <w:rFonts w:ascii="Arial" w:hAnsi="Arial" w:cs="Arial"/>
        </w:rPr>
        <w:t>CC</w:t>
      </w:r>
      <w:r w:rsidR="00DD4E0A">
        <w:rPr>
          <w:rFonts w:ascii="Arial" w:hAnsi="Arial" w:cs="Arial"/>
        </w:rPr>
        <w:t>,</w:t>
      </w:r>
      <w:r w:rsidRPr="00A17E25">
        <w:rPr>
          <w:rFonts w:ascii="Arial" w:hAnsi="Arial" w:cs="Arial"/>
        </w:rPr>
        <w:t xml:space="preserve"> la connaissance qu’il en a, la sureté juridique de ses titres de propriété et la qualité de sa gestion financière, au regard du critère de la rentabilité, sans préjudice de ses obligations en matière de fourniture de services publics aux citoyens.</w:t>
      </w:r>
    </w:p>
    <w:p w:rsidR="00C15981" w:rsidRDefault="003A596A" w:rsidP="003A596A">
      <w:pPr>
        <w:spacing w:after="152"/>
        <w:jc w:val="both"/>
        <w:rPr>
          <w:rFonts w:ascii="Arial" w:hAnsi="Arial" w:cs="Arial"/>
        </w:rPr>
      </w:pPr>
      <w:r w:rsidRPr="00A17E25">
        <w:rPr>
          <w:rFonts w:ascii="Arial" w:hAnsi="Arial" w:cs="Arial"/>
        </w:rPr>
        <w:t xml:space="preserve">Les actifs de la </w:t>
      </w:r>
      <w:r w:rsidR="00482393">
        <w:rPr>
          <w:rFonts w:ascii="Arial" w:hAnsi="Arial" w:cs="Arial"/>
        </w:rPr>
        <w:t>CC</w:t>
      </w:r>
      <w:r w:rsidRPr="00A17E25">
        <w:rPr>
          <w:rFonts w:ascii="Arial" w:hAnsi="Arial" w:cs="Arial"/>
        </w:rPr>
        <w:t xml:space="preserve"> sont constitués  des actifs financiers et des actifs </w:t>
      </w:r>
      <w:r w:rsidR="00C15981">
        <w:rPr>
          <w:rFonts w:ascii="Arial" w:hAnsi="Arial" w:cs="Arial"/>
        </w:rPr>
        <w:t xml:space="preserve">non </w:t>
      </w:r>
      <w:r w:rsidRPr="00A17E25">
        <w:rPr>
          <w:rFonts w:ascii="Arial" w:hAnsi="Arial" w:cs="Arial"/>
        </w:rPr>
        <w:t>financiers.</w:t>
      </w:r>
    </w:p>
    <w:p w:rsidR="00C15981" w:rsidRPr="00A17E25" w:rsidRDefault="00C15981" w:rsidP="003A596A">
      <w:pPr>
        <w:spacing w:after="152"/>
        <w:jc w:val="both"/>
        <w:rPr>
          <w:rFonts w:ascii="Arial" w:hAnsi="Arial" w:cs="Arial"/>
        </w:rPr>
      </w:pPr>
      <w:r>
        <w:rPr>
          <w:rFonts w:ascii="Arial" w:hAnsi="Arial" w:cs="Arial"/>
        </w:rPr>
        <w:t>Pour les composantes (i) et (ii) de cet indicateur, les données et informations prises en compte sont celles du dernier exercice clôturé (2014) et pour la composante (iii), celles qui sont disponibles au moment de l’évaluation.</w:t>
      </w:r>
    </w:p>
    <w:p w:rsidR="003A596A" w:rsidRPr="004B57C3" w:rsidRDefault="003A596A" w:rsidP="00DC41FA">
      <w:pPr>
        <w:pStyle w:val="Comp"/>
        <w:numPr>
          <w:ilvl w:val="0"/>
          <w:numId w:val="96"/>
        </w:numPr>
        <w:rPr>
          <w:rFonts w:ascii="Arial" w:hAnsi="Arial" w:cs="Arial"/>
          <w:b w:val="0"/>
          <w:color w:val="0070C0"/>
          <w:sz w:val="24"/>
          <w:szCs w:val="24"/>
        </w:rPr>
      </w:pPr>
      <w:bookmarkStart w:id="185" w:name="_Toc428200821"/>
      <w:bookmarkStart w:id="186" w:name="_Toc434916129"/>
      <w:bookmarkStart w:id="187" w:name="_Toc434918343"/>
      <w:r w:rsidRPr="004B57C3">
        <w:rPr>
          <w:rFonts w:ascii="Arial" w:hAnsi="Arial" w:cs="Arial"/>
          <w:b w:val="0"/>
          <w:color w:val="0070C0"/>
          <w:sz w:val="24"/>
          <w:szCs w:val="24"/>
        </w:rPr>
        <w:t>Qualité du suivi des actifs financiers de l’administration centrale</w:t>
      </w:r>
      <w:bookmarkEnd w:id="185"/>
      <w:bookmarkEnd w:id="186"/>
      <w:bookmarkEnd w:id="187"/>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rPr>
        <w:t xml:space="preserve">Le portefeuille d’actifs financiers de la </w:t>
      </w:r>
      <w:r w:rsidR="00482393">
        <w:rPr>
          <w:rFonts w:ascii="Arial" w:hAnsi="Arial" w:cs="Arial"/>
        </w:rPr>
        <w:t>CC</w:t>
      </w:r>
      <w:r w:rsidRPr="00A17E25">
        <w:rPr>
          <w:rFonts w:ascii="Arial" w:hAnsi="Arial" w:cs="Arial"/>
        </w:rPr>
        <w:t xml:space="preserve"> est composé exclusivement des participations détenues dans les sociétés de développement local (SDL).</w:t>
      </w:r>
    </w:p>
    <w:p w:rsidR="003A596A" w:rsidRPr="00A17E25" w:rsidRDefault="003A596A" w:rsidP="003A596A">
      <w:pPr>
        <w:tabs>
          <w:tab w:val="left" w:pos="432"/>
          <w:tab w:val="right" w:pos="1512"/>
        </w:tabs>
        <w:spacing w:line="253" w:lineRule="exact"/>
        <w:jc w:val="both"/>
        <w:textAlignment w:val="baseline"/>
        <w:rPr>
          <w:rFonts w:ascii="Arial" w:hAnsi="Arial" w:cs="Arial"/>
        </w:rPr>
      </w:pPr>
    </w:p>
    <w:p w:rsidR="00C15981" w:rsidRPr="00A17E25" w:rsidRDefault="003A596A" w:rsidP="00C15981">
      <w:pPr>
        <w:tabs>
          <w:tab w:val="left" w:pos="432"/>
          <w:tab w:val="right" w:pos="1512"/>
        </w:tabs>
        <w:spacing w:line="253" w:lineRule="exact"/>
        <w:jc w:val="both"/>
        <w:textAlignment w:val="baseline"/>
        <w:rPr>
          <w:rFonts w:ascii="Arial" w:hAnsi="Arial" w:cs="Arial"/>
        </w:rPr>
      </w:pPr>
      <w:r w:rsidRPr="00A17E25">
        <w:rPr>
          <w:rFonts w:ascii="Arial" w:hAnsi="Arial" w:cs="Arial"/>
        </w:rPr>
        <w:t xml:space="preserve">En effet, la </w:t>
      </w:r>
      <w:r w:rsidR="00482393">
        <w:rPr>
          <w:rFonts w:ascii="Arial" w:hAnsi="Arial" w:cs="Arial"/>
        </w:rPr>
        <w:t>CC</w:t>
      </w:r>
      <w:r w:rsidRPr="00A17E25">
        <w:rPr>
          <w:rFonts w:ascii="Arial" w:hAnsi="Arial" w:cs="Arial"/>
        </w:rPr>
        <w:t xml:space="preserve"> doit détenir au moi</w:t>
      </w:r>
      <w:r w:rsidR="00482393">
        <w:rPr>
          <w:rFonts w:ascii="Arial" w:hAnsi="Arial" w:cs="Arial"/>
        </w:rPr>
        <w:t>n</w:t>
      </w:r>
      <w:r w:rsidRPr="00A17E25">
        <w:rPr>
          <w:rFonts w:ascii="Arial" w:hAnsi="Arial" w:cs="Arial"/>
        </w:rPr>
        <w:t>s 34% du capital de chaque SDL</w:t>
      </w:r>
      <w:r w:rsidRPr="00A17E25">
        <w:rPr>
          <w:rStyle w:val="FootnoteReference"/>
          <w:rFonts w:ascii="Arial" w:hAnsi="Arial" w:cs="Arial"/>
        </w:rPr>
        <w:footnoteReference w:id="34"/>
      </w:r>
      <w:r w:rsidRPr="00A17E25">
        <w:rPr>
          <w:rFonts w:ascii="Arial" w:hAnsi="Arial" w:cs="Arial"/>
        </w:rPr>
        <w:t xml:space="preserve"> constituées sous forme de sociétés anonymes.</w:t>
      </w:r>
    </w:p>
    <w:p w:rsidR="003A596A" w:rsidRPr="00A17E25" w:rsidRDefault="003A596A" w:rsidP="003A596A">
      <w:pPr>
        <w:jc w:val="both"/>
        <w:rPr>
          <w:rFonts w:ascii="Arial" w:hAnsi="Arial" w:cs="Arial"/>
        </w:rPr>
      </w:pPr>
    </w:p>
    <w:p w:rsidR="009007DB" w:rsidRDefault="003A596A" w:rsidP="003A596A">
      <w:pPr>
        <w:jc w:val="both"/>
        <w:rPr>
          <w:rFonts w:ascii="Arial" w:hAnsi="Arial" w:cs="Arial"/>
        </w:rPr>
      </w:pPr>
      <w:r w:rsidRPr="00A17E25">
        <w:rPr>
          <w:rFonts w:ascii="Arial" w:hAnsi="Arial" w:cs="Arial"/>
        </w:rPr>
        <w:t xml:space="preserve">La </w:t>
      </w:r>
      <w:r w:rsidR="00482393">
        <w:rPr>
          <w:rFonts w:ascii="Arial" w:hAnsi="Arial" w:cs="Arial"/>
        </w:rPr>
        <w:t>CC</w:t>
      </w:r>
      <w:r w:rsidRPr="00A17E25">
        <w:rPr>
          <w:rFonts w:ascii="Arial" w:hAnsi="Arial" w:cs="Arial"/>
        </w:rPr>
        <w:t xml:space="preserve"> est représentée dans les organes de gouvernance de ces SDL et a instauré des mécanismes de reporting et de suivi</w:t>
      </w:r>
      <w:r w:rsidR="009007DB">
        <w:rPr>
          <w:rFonts w:ascii="Arial" w:hAnsi="Arial" w:cs="Arial"/>
        </w:rPr>
        <w:t> :</w:t>
      </w:r>
      <w:r w:rsidR="009007DB" w:rsidRPr="00A17E25">
        <w:rPr>
          <w:rFonts w:ascii="Arial" w:hAnsi="Arial" w:cs="Arial"/>
        </w:rPr>
        <w:t xml:space="preserve"> de</w:t>
      </w:r>
      <w:r w:rsidRPr="00A17E25">
        <w:rPr>
          <w:rFonts w:ascii="Arial" w:hAnsi="Arial" w:cs="Arial"/>
        </w:rPr>
        <w:t xml:space="preserve"> leurs missions à travers</w:t>
      </w:r>
      <w:r w:rsidR="009007DB">
        <w:rPr>
          <w:rFonts w:ascii="Arial" w:hAnsi="Arial" w:cs="Arial"/>
        </w:rPr>
        <w:t> :</w:t>
      </w:r>
    </w:p>
    <w:p w:rsidR="009007DB" w:rsidRDefault="003A596A" w:rsidP="00F53182">
      <w:pPr>
        <w:pStyle w:val="ListParagraph"/>
        <w:numPr>
          <w:ilvl w:val="0"/>
          <w:numId w:val="22"/>
        </w:numPr>
        <w:jc w:val="both"/>
        <w:rPr>
          <w:rFonts w:ascii="Arial" w:hAnsi="Arial" w:cs="Arial"/>
        </w:rPr>
      </w:pPr>
      <w:r w:rsidRPr="00F53182">
        <w:rPr>
          <w:rFonts w:ascii="Arial" w:hAnsi="Arial" w:cs="Arial"/>
        </w:rPr>
        <w:t xml:space="preserve">les conventions signées entre la </w:t>
      </w:r>
      <w:r w:rsidR="00482393" w:rsidRPr="00F53182">
        <w:rPr>
          <w:rFonts w:ascii="Arial" w:hAnsi="Arial" w:cs="Arial"/>
        </w:rPr>
        <w:t>CC</w:t>
      </w:r>
      <w:r w:rsidRPr="00F53182">
        <w:rPr>
          <w:rFonts w:ascii="Arial" w:hAnsi="Arial" w:cs="Arial"/>
        </w:rPr>
        <w:t xml:space="preserve"> (maître </w:t>
      </w:r>
      <w:r w:rsidR="009007DB" w:rsidRPr="00F53182">
        <w:rPr>
          <w:rFonts w:ascii="Arial" w:hAnsi="Arial" w:cs="Arial"/>
        </w:rPr>
        <w:t>d’ouvrage</w:t>
      </w:r>
      <w:r w:rsidRPr="00F53182">
        <w:rPr>
          <w:rFonts w:ascii="Arial" w:hAnsi="Arial" w:cs="Arial"/>
        </w:rPr>
        <w:t>) et ces structures (maîtrise d’ouvrage</w:t>
      </w:r>
      <w:r w:rsidR="009007DB" w:rsidRPr="00F53182">
        <w:rPr>
          <w:rFonts w:ascii="Arial" w:hAnsi="Arial" w:cs="Arial"/>
        </w:rPr>
        <w:t xml:space="preserve"> déléguée</w:t>
      </w:r>
      <w:r w:rsidRPr="00F53182">
        <w:rPr>
          <w:rFonts w:ascii="Arial" w:hAnsi="Arial" w:cs="Arial"/>
        </w:rPr>
        <w:t>)</w:t>
      </w:r>
      <w:r w:rsidR="009007DB">
        <w:rPr>
          <w:rFonts w:ascii="Arial" w:hAnsi="Arial" w:cs="Arial"/>
        </w:rPr>
        <w:t>,</w:t>
      </w:r>
    </w:p>
    <w:p w:rsidR="003A596A" w:rsidRPr="00F53182" w:rsidRDefault="009007DB" w:rsidP="00F53182">
      <w:pPr>
        <w:pStyle w:val="ListParagraph"/>
        <w:numPr>
          <w:ilvl w:val="0"/>
          <w:numId w:val="22"/>
        </w:numPr>
        <w:jc w:val="both"/>
        <w:rPr>
          <w:rFonts w:ascii="Arial" w:hAnsi="Arial" w:cs="Arial"/>
        </w:rPr>
      </w:pPr>
      <w:r>
        <w:rPr>
          <w:rFonts w:ascii="Arial" w:hAnsi="Arial" w:cs="Arial"/>
        </w:rPr>
        <w:t>les conventions de financement des projets lorsque la SDL agit en tant que maître d’ouvrage direct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Néanmoins la </w:t>
      </w:r>
      <w:r w:rsidR="00482393">
        <w:rPr>
          <w:rFonts w:ascii="Arial" w:hAnsi="Arial" w:cs="Arial"/>
        </w:rPr>
        <w:t>CC</w:t>
      </w:r>
      <w:r w:rsidRPr="00A17E25">
        <w:rPr>
          <w:rFonts w:ascii="Arial" w:hAnsi="Arial" w:cs="Arial"/>
        </w:rPr>
        <w:t xml:space="preserve"> ne dispose pas des états financiers annuels de</w:t>
      </w:r>
      <w:r w:rsidR="00387203">
        <w:rPr>
          <w:rFonts w:ascii="Arial" w:hAnsi="Arial" w:cs="Arial"/>
        </w:rPr>
        <w:t>s SDL</w:t>
      </w:r>
      <w:r w:rsidRPr="00A17E25">
        <w:rPr>
          <w:rFonts w:ascii="Arial" w:hAnsi="Arial" w:cs="Arial"/>
        </w:rPr>
        <w:t xml:space="preserve">. En plus, la </w:t>
      </w:r>
      <w:r w:rsidR="00482393">
        <w:rPr>
          <w:rFonts w:ascii="Arial" w:hAnsi="Arial" w:cs="Arial"/>
        </w:rPr>
        <w:t>CC</w:t>
      </w:r>
      <w:r w:rsidRPr="00A17E25">
        <w:rPr>
          <w:rFonts w:ascii="Arial" w:hAnsi="Arial" w:cs="Arial"/>
        </w:rPr>
        <w:t xml:space="preserve"> n’établit pas de rapport détaillé sur la situation financière des </w:t>
      </w:r>
      <w:r w:rsidR="00387203">
        <w:rPr>
          <w:rFonts w:ascii="Arial" w:hAnsi="Arial" w:cs="Arial"/>
        </w:rPr>
        <w:t>SDL</w:t>
      </w:r>
      <w:r w:rsidRPr="00A17E25">
        <w:rPr>
          <w:rFonts w:ascii="Arial" w:hAnsi="Arial" w:cs="Arial"/>
        </w:rPr>
        <w:t xml:space="preserve"> et ne dispose pas, notamment </w:t>
      </w:r>
      <w:r w:rsidR="00C15981">
        <w:rPr>
          <w:rFonts w:ascii="Arial" w:hAnsi="Arial" w:cs="Arial"/>
        </w:rPr>
        <w:t>d’</w:t>
      </w:r>
      <w:r w:rsidRPr="00A17E25">
        <w:rPr>
          <w:rFonts w:ascii="Arial" w:hAnsi="Arial" w:cs="Arial"/>
        </w:rPr>
        <w:t>une analyse individuelle et consolidée des résultats</w:t>
      </w:r>
      <w:r w:rsidR="007A797F">
        <w:rPr>
          <w:rFonts w:ascii="Arial" w:hAnsi="Arial" w:cs="Arial"/>
        </w:rPr>
        <w:t xml:space="preserve"> </w:t>
      </w:r>
      <w:r w:rsidRPr="00A17E25">
        <w:rPr>
          <w:rFonts w:ascii="Arial" w:hAnsi="Arial" w:cs="Arial"/>
        </w:rPr>
        <w:t>de</w:t>
      </w:r>
      <w:r w:rsidR="007A797F">
        <w:rPr>
          <w:rFonts w:ascii="Arial" w:hAnsi="Arial" w:cs="Arial"/>
        </w:rPr>
        <w:t>s</w:t>
      </w:r>
      <w:r w:rsidRPr="00A17E25">
        <w:rPr>
          <w:rFonts w:ascii="Arial" w:hAnsi="Arial" w:cs="Arial"/>
        </w:rPr>
        <w:t xml:space="preserve"> SDL pour les présenter aux sessions du Conseil Communal avec la documentation budgétaire.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 Il n’existe pas pour l’instant de véritable gestion active du portefeuille des SDL</w:t>
      </w:r>
    </w:p>
    <w:p w:rsidR="003A596A" w:rsidRPr="004B57C3" w:rsidRDefault="003A596A" w:rsidP="00DC41FA">
      <w:pPr>
        <w:pStyle w:val="Comp"/>
        <w:numPr>
          <w:ilvl w:val="0"/>
          <w:numId w:val="96"/>
        </w:numPr>
        <w:rPr>
          <w:rFonts w:ascii="Arial" w:hAnsi="Arial" w:cs="Arial"/>
          <w:b w:val="0"/>
          <w:color w:val="0070C0"/>
          <w:sz w:val="24"/>
          <w:szCs w:val="24"/>
        </w:rPr>
      </w:pPr>
      <w:bookmarkStart w:id="188" w:name="_Toc428200822"/>
      <w:bookmarkStart w:id="189" w:name="_Toc434916130"/>
      <w:bookmarkStart w:id="190" w:name="_Toc434918344"/>
      <w:r w:rsidRPr="004B57C3">
        <w:rPr>
          <w:rFonts w:ascii="Arial" w:hAnsi="Arial" w:cs="Arial"/>
          <w:b w:val="0"/>
          <w:color w:val="0070C0"/>
          <w:sz w:val="24"/>
          <w:szCs w:val="24"/>
        </w:rPr>
        <w:t>Qualité du suivi des actifs non financiers de l’administration centrale.</w:t>
      </w:r>
      <w:bookmarkEnd w:id="188"/>
      <w:bookmarkEnd w:id="189"/>
      <w:bookmarkEnd w:id="190"/>
    </w:p>
    <w:p w:rsidR="003A596A" w:rsidRPr="00A17E25" w:rsidRDefault="003A596A" w:rsidP="003A596A">
      <w:pPr>
        <w:jc w:val="both"/>
        <w:rPr>
          <w:rFonts w:ascii="Arial" w:hAnsi="Arial" w:cs="Arial"/>
        </w:rPr>
      </w:pPr>
      <w:r w:rsidRPr="00A17E25">
        <w:rPr>
          <w:rFonts w:ascii="Arial" w:hAnsi="Arial" w:cs="Arial"/>
        </w:rPr>
        <w:t xml:space="preserve">Les principaux actifs non financiers publics qu’une commune peut détenir et les informations sur leur  détention par la </w:t>
      </w:r>
      <w:r w:rsidR="00482393">
        <w:rPr>
          <w:rFonts w:ascii="Arial" w:hAnsi="Arial" w:cs="Arial"/>
        </w:rPr>
        <w:t>CC</w:t>
      </w:r>
      <w:r w:rsidRPr="00A17E25">
        <w:rPr>
          <w:rFonts w:ascii="Arial" w:hAnsi="Arial" w:cs="Arial"/>
        </w:rPr>
        <w:t xml:space="preserve"> sont indiqués dans le tableau 10 ci-dessous.</w:t>
      </w:r>
    </w:p>
    <w:p w:rsidR="003A596A" w:rsidRPr="00A17E25" w:rsidRDefault="003A596A" w:rsidP="003A596A">
      <w:pPr>
        <w:autoSpaceDE w:val="0"/>
        <w:autoSpaceDN w:val="0"/>
        <w:adjustRightInd w:val="0"/>
        <w:jc w:val="both"/>
        <w:rPr>
          <w:rFonts w:ascii="Arial" w:hAnsi="Arial" w:cs="Arial"/>
          <w:color w:val="000000"/>
        </w:rPr>
      </w:pPr>
      <w:r w:rsidRPr="00A17E25">
        <w:rPr>
          <w:rFonts w:ascii="Arial" w:hAnsi="Arial" w:cs="Arial"/>
          <w:color w:val="000000"/>
        </w:rPr>
        <w:t>Les actifs non financiers concernent :</w:t>
      </w:r>
    </w:p>
    <w:p w:rsidR="003A596A" w:rsidRPr="00A17E25" w:rsidRDefault="003A596A" w:rsidP="00151AD3">
      <w:pPr>
        <w:pStyle w:val="ListParagraph"/>
        <w:numPr>
          <w:ilvl w:val="0"/>
          <w:numId w:val="32"/>
        </w:numPr>
        <w:autoSpaceDE w:val="0"/>
        <w:autoSpaceDN w:val="0"/>
        <w:adjustRightInd w:val="0"/>
        <w:contextualSpacing/>
        <w:jc w:val="both"/>
        <w:rPr>
          <w:rFonts w:ascii="Arial" w:eastAsiaTheme="minorHAnsi" w:hAnsi="Arial" w:cs="Arial"/>
          <w:color w:val="000000"/>
        </w:rPr>
      </w:pPr>
      <w:r w:rsidRPr="00A17E25">
        <w:rPr>
          <w:rFonts w:ascii="Arial" w:eastAsiaTheme="minorHAnsi" w:hAnsi="Arial" w:cs="Arial"/>
          <w:color w:val="000000"/>
        </w:rPr>
        <w:t>Le domaine public municipal qui comprend : les rues, chemins, places, jardins publics, ainsi que les monuments, fontaines, installations d'éclairage et les ouvrages qui en sont les accessoires; les eaux destinées à l'alimentation de la ville, ainsi que les canalisations, aqueducs, et autres installations</w:t>
      </w:r>
      <w:r w:rsidR="009C02FC">
        <w:rPr>
          <w:rFonts w:ascii="Arial" w:eastAsiaTheme="minorHAnsi" w:hAnsi="Arial" w:cs="Arial"/>
          <w:color w:val="000000"/>
        </w:rPr>
        <w:t>.</w:t>
      </w:r>
      <w:r w:rsidRPr="00A17E25">
        <w:rPr>
          <w:rFonts w:ascii="Arial" w:eastAsiaTheme="minorHAnsi" w:hAnsi="Arial" w:cs="Arial"/>
          <w:color w:val="000000"/>
        </w:rPr>
        <w:t xml:space="preserve"> Les biens du domaine public municipal sont inaliénables et imprescriptibles.</w:t>
      </w:r>
    </w:p>
    <w:p w:rsidR="003A596A" w:rsidRPr="00A17E25" w:rsidRDefault="003A596A" w:rsidP="003A596A">
      <w:pPr>
        <w:pStyle w:val="ListParagraph"/>
        <w:autoSpaceDE w:val="0"/>
        <w:autoSpaceDN w:val="0"/>
        <w:adjustRightInd w:val="0"/>
        <w:jc w:val="both"/>
        <w:rPr>
          <w:rFonts w:ascii="Arial" w:eastAsiaTheme="minorHAnsi" w:hAnsi="Arial" w:cs="Arial"/>
          <w:color w:val="000000"/>
        </w:rPr>
      </w:pPr>
    </w:p>
    <w:p w:rsidR="003A596A" w:rsidRPr="00A17E25" w:rsidRDefault="003A596A" w:rsidP="00151AD3">
      <w:pPr>
        <w:pStyle w:val="ListParagraph"/>
        <w:numPr>
          <w:ilvl w:val="0"/>
          <w:numId w:val="32"/>
        </w:numPr>
        <w:autoSpaceDE w:val="0"/>
        <w:autoSpaceDN w:val="0"/>
        <w:adjustRightInd w:val="0"/>
        <w:contextualSpacing/>
        <w:jc w:val="both"/>
        <w:rPr>
          <w:rFonts w:ascii="Arial" w:eastAsiaTheme="minorHAnsi" w:hAnsi="Arial" w:cs="Arial"/>
          <w:color w:val="000000"/>
        </w:rPr>
      </w:pPr>
      <w:r w:rsidRPr="00A17E25">
        <w:rPr>
          <w:rFonts w:ascii="Arial" w:eastAsiaTheme="minorHAnsi" w:hAnsi="Arial" w:cs="Arial"/>
          <w:color w:val="000000"/>
        </w:rPr>
        <w:t xml:space="preserve">Le domaine privé municipal composé de tous les biens possédés par les municipalités qui n'ont pas été formellement affectés à leur domaine public. Le domaine privé municipal peut comprendre notamment: Les immeubles ou bâtiments acquis ou construits aux frais des municipalités pour être attribués à des services d'intérêt municipal ou exploités par elles en vue d'en tirer des revenus; les parcelles nécessaires à la création de lotissements urbains qui auront été cédées à titre onéreux aux municipalités par l'Etat sur son domaine privé.  </w:t>
      </w:r>
    </w:p>
    <w:p w:rsidR="003A596A" w:rsidRPr="00A17E25" w:rsidRDefault="003A596A" w:rsidP="003A596A">
      <w:pPr>
        <w:pStyle w:val="ListParagraph"/>
        <w:rPr>
          <w:rFonts w:ascii="Arial" w:eastAsiaTheme="minorHAnsi" w:hAnsi="Arial" w:cs="Arial"/>
          <w:color w:val="000000"/>
        </w:rPr>
      </w:pPr>
    </w:p>
    <w:p w:rsidR="003A596A" w:rsidRDefault="003A596A" w:rsidP="00151AD3">
      <w:pPr>
        <w:pStyle w:val="ListParagraph"/>
        <w:numPr>
          <w:ilvl w:val="0"/>
          <w:numId w:val="32"/>
        </w:numPr>
        <w:autoSpaceDE w:val="0"/>
        <w:autoSpaceDN w:val="0"/>
        <w:adjustRightInd w:val="0"/>
        <w:contextualSpacing/>
        <w:jc w:val="both"/>
        <w:rPr>
          <w:rFonts w:ascii="Arial" w:eastAsiaTheme="minorHAnsi" w:hAnsi="Arial" w:cs="Arial"/>
          <w:color w:val="000000"/>
        </w:rPr>
      </w:pPr>
      <w:r w:rsidRPr="00A17E25">
        <w:rPr>
          <w:rFonts w:ascii="Arial" w:eastAsiaTheme="minorHAnsi" w:hAnsi="Arial" w:cs="Arial"/>
          <w:color w:val="000000"/>
        </w:rPr>
        <w:t>Les stocks et matériels propriété de la commune.</w:t>
      </w:r>
    </w:p>
    <w:p w:rsidR="0044265E" w:rsidRPr="00A17E25" w:rsidRDefault="0044265E" w:rsidP="0044265E">
      <w:pPr>
        <w:pStyle w:val="ListParagraph"/>
        <w:autoSpaceDE w:val="0"/>
        <w:autoSpaceDN w:val="0"/>
        <w:adjustRightInd w:val="0"/>
        <w:contextualSpacing/>
        <w:jc w:val="both"/>
        <w:rPr>
          <w:rFonts w:ascii="Arial" w:eastAsiaTheme="minorHAnsi" w:hAnsi="Arial" w:cs="Arial"/>
          <w:color w:val="000000"/>
        </w:rPr>
      </w:pPr>
    </w:p>
    <w:p w:rsidR="003C7856" w:rsidRDefault="003C7856">
      <w:pPr>
        <w:rPr>
          <w:rFonts w:ascii="Arial Narrow" w:hAnsi="Arial Narrow" w:cs="Arial"/>
          <w:b/>
          <w:sz w:val="20"/>
          <w:szCs w:val="20"/>
          <w:u w:val="single"/>
        </w:rPr>
      </w:pPr>
    </w:p>
    <w:p w:rsidR="003A596A" w:rsidRDefault="003C1449" w:rsidP="003C1449">
      <w:pPr>
        <w:ind w:left="720"/>
        <w:jc w:val="center"/>
        <w:rPr>
          <w:rFonts w:ascii="Arial Narrow" w:hAnsi="Arial Narrow" w:cs="Arial"/>
          <w:b/>
          <w:sz w:val="20"/>
          <w:szCs w:val="20"/>
        </w:rPr>
      </w:pPr>
      <w:r w:rsidRPr="003C1449">
        <w:rPr>
          <w:rFonts w:ascii="Arial Narrow" w:hAnsi="Arial Narrow" w:cs="Arial"/>
          <w:b/>
          <w:sz w:val="20"/>
          <w:szCs w:val="20"/>
          <w:u w:val="single"/>
        </w:rPr>
        <w:t>TABLEAU</w:t>
      </w:r>
      <w:r>
        <w:rPr>
          <w:rFonts w:ascii="Arial Narrow" w:hAnsi="Arial Narrow" w:cs="Arial"/>
          <w:b/>
          <w:sz w:val="20"/>
          <w:szCs w:val="20"/>
        </w:rPr>
        <w:t xml:space="preserve"> 3.19</w:t>
      </w:r>
      <w:r w:rsidR="003A596A" w:rsidRPr="00A17E25">
        <w:rPr>
          <w:rFonts w:ascii="Arial Narrow" w:hAnsi="Arial Narrow" w:cs="Arial"/>
          <w:b/>
          <w:sz w:val="20"/>
          <w:szCs w:val="20"/>
        </w:rPr>
        <w:t>: catégories d’actifs non financiers</w:t>
      </w:r>
    </w:p>
    <w:p w:rsidR="003C1449" w:rsidRPr="00A17E25" w:rsidRDefault="003C1449" w:rsidP="003A596A">
      <w:pPr>
        <w:ind w:left="720"/>
        <w:jc w:val="both"/>
        <w:rPr>
          <w:rFonts w:ascii="Arial Narrow" w:hAnsi="Arial Narrow" w:cs="Arial"/>
          <w:b/>
          <w:sz w:val="20"/>
          <w:szCs w:val="20"/>
        </w:rPr>
      </w:pPr>
    </w:p>
    <w:tbl>
      <w:tblPr>
        <w:tblStyle w:val="TableGrid0"/>
        <w:tblW w:w="9360" w:type="dxa"/>
        <w:tblInd w:w="108" w:type="dxa"/>
        <w:tblLayout w:type="fixed"/>
        <w:tblCellMar>
          <w:left w:w="108" w:type="dxa"/>
        </w:tblCellMar>
        <w:tblLook w:val="04A0" w:firstRow="1" w:lastRow="0" w:firstColumn="1" w:lastColumn="0" w:noHBand="0" w:noVBand="1"/>
      </w:tblPr>
      <w:tblGrid>
        <w:gridCol w:w="1800"/>
        <w:gridCol w:w="3240"/>
        <w:gridCol w:w="1566"/>
        <w:gridCol w:w="2754"/>
      </w:tblGrid>
      <w:tr w:rsidR="003A596A" w:rsidRPr="00A17E25" w:rsidTr="004B57C3">
        <w:trPr>
          <w:trHeight w:val="768"/>
        </w:trPr>
        <w:tc>
          <w:tcPr>
            <w:tcW w:w="1800" w:type="dxa"/>
            <w:tcBorders>
              <w:top w:val="single" w:sz="4" w:space="0" w:color="000000"/>
              <w:left w:val="single" w:sz="4" w:space="0" w:color="000000"/>
              <w:bottom w:val="single" w:sz="4" w:space="0" w:color="000000"/>
              <w:right w:val="single" w:sz="4" w:space="0" w:color="000000"/>
            </w:tcBorders>
            <w:shd w:val="clear" w:color="auto" w:fill="0070C0"/>
          </w:tcPr>
          <w:p w:rsidR="003A596A" w:rsidRPr="00A17E25" w:rsidRDefault="003A596A" w:rsidP="003A596A">
            <w:pPr>
              <w:jc w:val="center"/>
              <w:rPr>
                <w:rFonts w:ascii="Arial Narrow" w:hAnsi="Arial Narrow" w:cs="Arial"/>
                <w:b/>
                <w:color w:val="FFFFFF" w:themeColor="background1"/>
                <w:sz w:val="20"/>
                <w:szCs w:val="20"/>
              </w:rPr>
            </w:pPr>
            <w:r w:rsidRPr="00A17E25">
              <w:rPr>
                <w:rFonts w:ascii="Arial Narrow" w:hAnsi="Arial Narrow" w:cs="Arial"/>
                <w:b/>
                <w:color w:val="FFFFFF" w:themeColor="background1"/>
                <w:sz w:val="20"/>
                <w:szCs w:val="20"/>
              </w:rPr>
              <w:t>Catégories</w:t>
            </w:r>
          </w:p>
        </w:tc>
        <w:tc>
          <w:tcPr>
            <w:tcW w:w="3240" w:type="dxa"/>
            <w:tcBorders>
              <w:top w:val="single" w:sz="4" w:space="0" w:color="000000"/>
              <w:left w:val="single" w:sz="4" w:space="0" w:color="000000"/>
              <w:bottom w:val="single" w:sz="4" w:space="0" w:color="000000"/>
              <w:right w:val="single" w:sz="4" w:space="0" w:color="000000"/>
            </w:tcBorders>
            <w:shd w:val="clear" w:color="auto" w:fill="0070C0"/>
          </w:tcPr>
          <w:p w:rsidR="003A596A" w:rsidRPr="00A17E25" w:rsidRDefault="003A596A" w:rsidP="003A596A">
            <w:pPr>
              <w:ind w:right="142"/>
              <w:jc w:val="center"/>
              <w:rPr>
                <w:rFonts w:ascii="Arial Narrow" w:hAnsi="Arial Narrow" w:cs="Arial"/>
                <w:b/>
                <w:color w:val="FFFFFF" w:themeColor="background1"/>
                <w:sz w:val="20"/>
                <w:szCs w:val="20"/>
              </w:rPr>
            </w:pPr>
            <w:r w:rsidRPr="00A17E25">
              <w:rPr>
                <w:rFonts w:ascii="Arial Narrow" w:hAnsi="Arial Narrow" w:cs="Arial"/>
                <w:b/>
                <w:color w:val="FFFFFF" w:themeColor="background1"/>
                <w:sz w:val="20"/>
                <w:szCs w:val="20"/>
              </w:rPr>
              <w:t>Sous-catégories</w:t>
            </w:r>
          </w:p>
        </w:tc>
        <w:tc>
          <w:tcPr>
            <w:tcW w:w="1566" w:type="dxa"/>
            <w:tcBorders>
              <w:top w:val="single" w:sz="4" w:space="0" w:color="000000"/>
              <w:left w:val="single" w:sz="4" w:space="0" w:color="000000"/>
              <w:bottom w:val="single" w:sz="4" w:space="0" w:color="000000"/>
              <w:right w:val="single" w:sz="4" w:space="0" w:color="000000"/>
            </w:tcBorders>
            <w:shd w:val="clear" w:color="auto" w:fill="0070C0"/>
          </w:tcPr>
          <w:p w:rsidR="003A596A" w:rsidRPr="00A17E25" w:rsidRDefault="003A596A" w:rsidP="003A596A">
            <w:pPr>
              <w:ind w:right="114"/>
              <w:jc w:val="center"/>
              <w:rPr>
                <w:rFonts w:ascii="Arial Narrow" w:hAnsi="Arial Narrow" w:cs="Arial"/>
                <w:b/>
                <w:color w:val="FFFFFF" w:themeColor="background1"/>
                <w:sz w:val="20"/>
                <w:szCs w:val="20"/>
              </w:rPr>
            </w:pPr>
            <w:r w:rsidRPr="00A17E25">
              <w:rPr>
                <w:rFonts w:ascii="Arial Narrow" w:hAnsi="Arial Narrow" w:cs="Arial"/>
                <w:b/>
                <w:color w:val="FFFFFF" w:themeColor="background1"/>
                <w:sz w:val="20"/>
                <w:szCs w:val="20"/>
              </w:rPr>
              <w:t>Prise en compte dans  les registres</w:t>
            </w:r>
          </w:p>
        </w:tc>
        <w:tc>
          <w:tcPr>
            <w:tcW w:w="2754" w:type="dxa"/>
            <w:tcBorders>
              <w:top w:val="single" w:sz="4" w:space="0" w:color="000000"/>
              <w:left w:val="single" w:sz="4" w:space="0" w:color="000000"/>
              <w:bottom w:val="single" w:sz="4" w:space="0" w:color="000000"/>
              <w:right w:val="single" w:sz="4" w:space="0" w:color="000000"/>
            </w:tcBorders>
            <w:shd w:val="clear" w:color="auto" w:fill="0070C0"/>
          </w:tcPr>
          <w:p w:rsidR="003A596A" w:rsidRPr="00A17E25" w:rsidRDefault="003A596A" w:rsidP="003A596A">
            <w:pPr>
              <w:ind w:right="153"/>
              <w:jc w:val="center"/>
              <w:rPr>
                <w:rFonts w:ascii="Arial Narrow" w:hAnsi="Arial Narrow" w:cs="Arial"/>
                <w:b/>
                <w:color w:val="FFFFFF" w:themeColor="background1"/>
                <w:sz w:val="20"/>
                <w:szCs w:val="20"/>
              </w:rPr>
            </w:pPr>
            <w:r w:rsidRPr="00A17E25">
              <w:rPr>
                <w:rFonts w:ascii="Arial Narrow" w:hAnsi="Arial Narrow" w:cs="Arial"/>
                <w:b/>
                <w:color w:val="FFFFFF" w:themeColor="background1"/>
                <w:sz w:val="20"/>
                <w:szCs w:val="20"/>
              </w:rPr>
              <w:t>Commentaires</w:t>
            </w:r>
          </w:p>
        </w:tc>
      </w:tr>
      <w:tr w:rsidR="003A596A" w:rsidRPr="00A17E25" w:rsidTr="00DD6228">
        <w:trPr>
          <w:trHeight w:val="264"/>
        </w:trPr>
        <w:tc>
          <w:tcPr>
            <w:tcW w:w="180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254"/>
              <w:jc w:val="both"/>
              <w:rPr>
                <w:rFonts w:ascii="Arial Narrow" w:hAnsi="Arial Narrow" w:cs="Arial"/>
                <w:sz w:val="20"/>
                <w:szCs w:val="20"/>
              </w:rPr>
            </w:pPr>
            <w:r w:rsidRPr="00A17E25">
              <w:rPr>
                <w:rFonts w:ascii="Arial Narrow" w:hAnsi="Arial Narrow" w:cs="Arial"/>
                <w:sz w:val="20"/>
                <w:szCs w:val="20"/>
              </w:rPr>
              <w:t xml:space="preserve">Actifs du domaine public  </w:t>
            </w:r>
          </w:p>
        </w:tc>
        <w:tc>
          <w:tcPr>
            <w:tcW w:w="324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42"/>
              <w:jc w:val="both"/>
              <w:rPr>
                <w:rFonts w:ascii="Arial Narrow" w:hAnsi="Arial Narrow" w:cs="Arial"/>
                <w:sz w:val="20"/>
                <w:szCs w:val="20"/>
              </w:rPr>
            </w:pPr>
            <w:r w:rsidRPr="00A17E25">
              <w:rPr>
                <w:rFonts w:ascii="Arial Narrow" w:eastAsiaTheme="minorHAnsi" w:hAnsi="Arial Narrow" w:cs="Arial"/>
                <w:color w:val="000000"/>
                <w:sz w:val="20"/>
                <w:szCs w:val="20"/>
              </w:rPr>
              <w:t xml:space="preserve">Les rues, chemins, places,  jardins publics, parking, ainsi que les monuments, fontaines, installations d'éclairage et les ouvrages qui en sont les accessoires; les eaux destinées à l'alimentation de la ville, ainsi que les canalisations, aqueducs, et autres installations  </w:t>
            </w:r>
          </w:p>
        </w:tc>
        <w:tc>
          <w:tcPr>
            <w:tcW w:w="1566"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14"/>
              <w:jc w:val="both"/>
              <w:rPr>
                <w:rFonts w:ascii="Arial Narrow" w:hAnsi="Arial Narrow" w:cs="Arial"/>
                <w:sz w:val="20"/>
                <w:szCs w:val="20"/>
              </w:rPr>
            </w:pPr>
            <w:r w:rsidRPr="00A17E25">
              <w:rPr>
                <w:rFonts w:ascii="Arial Narrow" w:hAnsi="Arial Narrow" w:cs="Arial"/>
                <w:sz w:val="20"/>
                <w:szCs w:val="20"/>
              </w:rPr>
              <w:t xml:space="preserve">Oui </w:t>
            </w:r>
          </w:p>
        </w:tc>
        <w:tc>
          <w:tcPr>
            <w:tcW w:w="2754"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53"/>
              <w:jc w:val="both"/>
              <w:rPr>
                <w:rFonts w:ascii="Arial Narrow" w:hAnsi="Arial Narrow" w:cs="Arial"/>
                <w:sz w:val="20"/>
                <w:szCs w:val="20"/>
              </w:rPr>
            </w:pPr>
            <w:r w:rsidRPr="00A17E25">
              <w:rPr>
                <w:rFonts w:ascii="Arial Narrow" w:hAnsi="Arial Narrow" w:cs="Arial"/>
                <w:sz w:val="20"/>
                <w:szCs w:val="20"/>
              </w:rPr>
              <w:t xml:space="preserve"> Actifs gérés par la Division de gestion du Patrimoine</w:t>
            </w:r>
            <w:r w:rsidR="00387203">
              <w:rPr>
                <w:rFonts w:ascii="Arial Narrow" w:hAnsi="Arial Narrow" w:cs="Arial"/>
                <w:sz w:val="20"/>
                <w:szCs w:val="20"/>
              </w:rPr>
              <w:t xml:space="preserve"> et de la Division des Affaires Economiques.</w:t>
            </w:r>
          </w:p>
        </w:tc>
      </w:tr>
      <w:tr w:rsidR="003A596A" w:rsidRPr="00A17E25" w:rsidTr="00DD6228">
        <w:trPr>
          <w:trHeight w:val="264"/>
        </w:trPr>
        <w:tc>
          <w:tcPr>
            <w:tcW w:w="180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jc w:val="both"/>
              <w:rPr>
                <w:rFonts w:ascii="Arial Narrow" w:hAnsi="Arial Narrow" w:cs="Arial"/>
                <w:sz w:val="20"/>
                <w:szCs w:val="20"/>
              </w:rPr>
            </w:pPr>
            <w:r w:rsidRPr="00A17E25">
              <w:rPr>
                <w:rFonts w:ascii="Arial Narrow" w:hAnsi="Arial Narrow" w:cs="Arial"/>
                <w:sz w:val="20"/>
                <w:szCs w:val="20"/>
              </w:rPr>
              <w:t>Actif du domaine privé</w:t>
            </w:r>
          </w:p>
        </w:tc>
        <w:tc>
          <w:tcPr>
            <w:tcW w:w="324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42"/>
              <w:jc w:val="both"/>
              <w:rPr>
                <w:rFonts w:ascii="Arial Narrow" w:hAnsi="Arial Narrow" w:cs="Arial"/>
                <w:sz w:val="20"/>
                <w:szCs w:val="20"/>
              </w:rPr>
            </w:pPr>
            <w:r w:rsidRPr="00A17E25">
              <w:rPr>
                <w:rFonts w:ascii="Arial Narrow" w:eastAsiaTheme="minorHAnsi" w:hAnsi="Arial Narrow" w:cs="Arial"/>
                <w:color w:val="000000"/>
                <w:sz w:val="20"/>
                <w:szCs w:val="20"/>
              </w:rPr>
              <w:t>Les terrains, immeubles et bâtiments</w:t>
            </w:r>
          </w:p>
        </w:tc>
        <w:tc>
          <w:tcPr>
            <w:tcW w:w="1566"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14"/>
              <w:jc w:val="both"/>
              <w:rPr>
                <w:rFonts w:ascii="Arial Narrow" w:hAnsi="Arial Narrow" w:cs="Arial"/>
                <w:sz w:val="20"/>
                <w:szCs w:val="20"/>
              </w:rPr>
            </w:pPr>
            <w:r w:rsidRPr="00A17E25">
              <w:rPr>
                <w:rFonts w:ascii="Arial Narrow" w:hAnsi="Arial Narrow" w:cs="Arial"/>
                <w:sz w:val="20"/>
                <w:szCs w:val="20"/>
              </w:rPr>
              <w:t>Oui</w:t>
            </w:r>
          </w:p>
        </w:tc>
        <w:tc>
          <w:tcPr>
            <w:tcW w:w="2754"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53"/>
              <w:jc w:val="both"/>
              <w:rPr>
                <w:rFonts w:ascii="Arial Narrow" w:hAnsi="Arial Narrow" w:cs="Arial"/>
                <w:sz w:val="20"/>
                <w:szCs w:val="20"/>
              </w:rPr>
            </w:pPr>
            <w:r w:rsidRPr="00A17E25">
              <w:rPr>
                <w:rFonts w:ascii="Arial Narrow" w:hAnsi="Arial Narrow" w:cs="Arial"/>
                <w:sz w:val="20"/>
                <w:szCs w:val="20"/>
              </w:rPr>
              <w:t>Actifs gérés par la Division de gestion du Patrimoine</w:t>
            </w:r>
          </w:p>
        </w:tc>
      </w:tr>
      <w:tr w:rsidR="003A596A" w:rsidRPr="00A17E25" w:rsidTr="00DD6228">
        <w:trPr>
          <w:trHeight w:val="264"/>
        </w:trPr>
        <w:tc>
          <w:tcPr>
            <w:tcW w:w="180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jc w:val="both"/>
              <w:rPr>
                <w:rFonts w:ascii="Arial Narrow" w:hAnsi="Arial Narrow" w:cs="Arial"/>
                <w:sz w:val="20"/>
                <w:szCs w:val="20"/>
              </w:rPr>
            </w:pPr>
            <w:r w:rsidRPr="00A17E25">
              <w:rPr>
                <w:rFonts w:ascii="Arial Narrow" w:hAnsi="Arial Narrow" w:cs="Arial"/>
                <w:sz w:val="20"/>
                <w:szCs w:val="20"/>
              </w:rPr>
              <w:t>Matériel</w:t>
            </w:r>
          </w:p>
        </w:tc>
        <w:tc>
          <w:tcPr>
            <w:tcW w:w="324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42"/>
              <w:jc w:val="both"/>
              <w:rPr>
                <w:rFonts w:ascii="Arial Narrow" w:hAnsi="Arial Narrow" w:cs="Arial"/>
                <w:sz w:val="20"/>
                <w:szCs w:val="20"/>
              </w:rPr>
            </w:pPr>
            <w:r w:rsidRPr="00A17E25">
              <w:rPr>
                <w:rFonts w:ascii="Arial Narrow" w:hAnsi="Arial Narrow" w:cs="Arial"/>
                <w:sz w:val="20"/>
                <w:szCs w:val="20"/>
              </w:rPr>
              <w:t>Matériel et équipements, matériel de transport</w:t>
            </w:r>
          </w:p>
        </w:tc>
        <w:tc>
          <w:tcPr>
            <w:tcW w:w="1566"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14"/>
              <w:jc w:val="both"/>
              <w:rPr>
                <w:rFonts w:ascii="Arial Narrow" w:hAnsi="Arial Narrow" w:cs="Arial"/>
                <w:sz w:val="20"/>
                <w:szCs w:val="20"/>
              </w:rPr>
            </w:pPr>
            <w:r w:rsidRPr="00A17E25">
              <w:rPr>
                <w:rFonts w:ascii="Arial Narrow" w:hAnsi="Arial Narrow" w:cs="Arial"/>
                <w:sz w:val="20"/>
                <w:szCs w:val="20"/>
              </w:rPr>
              <w:t>Partiellement</w:t>
            </w:r>
          </w:p>
        </w:tc>
        <w:tc>
          <w:tcPr>
            <w:tcW w:w="2754"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53"/>
              <w:jc w:val="both"/>
              <w:rPr>
                <w:rFonts w:ascii="Arial Narrow" w:hAnsi="Arial Narrow" w:cs="Arial"/>
                <w:sz w:val="20"/>
                <w:szCs w:val="20"/>
              </w:rPr>
            </w:pPr>
            <w:r w:rsidRPr="00A17E25">
              <w:rPr>
                <w:rFonts w:ascii="Arial Narrow" w:hAnsi="Arial Narrow" w:cs="Arial"/>
                <w:sz w:val="20"/>
                <w:szCs w:val="20"/>
              </w:rPr>
              <w:t xml:space="preserve">Actifs gérés par la Division du matériel. Le parc automobile n’est pas </w:t>
            </w:r>
            <w:r w:rsidR="00A07D79" w:rsidRPr="00A17E25">
              <w:rPr>
                <w:rFonts w:ascii="Arial Narrow" w:hAnsi="Arial Narrow" w:cs="Arial"/>
                <w:sz w:val="20"/>
                <w:szCs w:val="20"/>
              </w:rPr>
              <w:t>inclus</w:t>
            </w:r>
            <w:r w:rsidRPr="00A17E25">
              <w:rPr>
                <w:rFonts w:ascii="Arial Narrow" w:hAnsi="Arial Narrow" w:cs="Arial"/>
                <w:sz w:val="20"/>
                <w:szCs w:val="20"/>
              </w:rPr>
              <w:t xml:space="preserve"> dans les registres.</w:t>
            </w:r>
          </w:p>
        </w:tc>
      </w:tr>
      <w:tr w:rsidR="003A596A" w:rsidRPr="00A17E25" w:rsidTr="00DD6228">
        <w:trPr>
          <w:trHeight w:val="264"/>
        </w:trPr>
        <w:tc>
          <w:tcPr>
            <w:tcW w:w="180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jc w:val="both"/>
              <w:rPr>
                <w:rFonts w:ascii="Arial Narrow" w:hAnsi="Arial Narrow" w:cs="Arial"/>
                <w:sz w:val="20"/>
                <w:szCs w:val="20"/>
              </w:rPr>
            </w:pPr>
            <w:r w:rsidRPr="00A17E25">
              <w:rPr>
                <w:rFonts w:ascii="Arial Narrow" w:hAnsi="Arial Narrow" w:cs="Arial"/>
                <w:sz w:val="20"/>
                <w:szCs w:val="20"/>
              </w:rPr>
              <w:t>Stocks</w:t>
            </w:r>
          </w:p>
        </w:tc>
        <w:tc>
          <w:tcPr>
            <w:tcW w:w="3240"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42"/>
              <w:jc w:val="both"/>
              <w:rPr>
                <w:rFonts w:ascii="Arial Narrow" w:hAnsi="Arial Narrow" w:cs="Arial"/>
                <w:sz w:val="20"/>
                <w:szCs w:val="20"/>
              </w:rPr>
            </w:pPr>
            <w:r w:rsidRPr="00A17E25">
              <w:rPr>
                <w:rFonts w:ascii="Arial Narrow" w:hAnsi="Arial Narrow" w:cs="Arial"/>
                <w:sz w:val="20"/>
                <w:szCs w:val="20"/>
              </w:rPr>
              <w:t>Fournitures, consommables</w:t>
            </w:r>
          </w:p>
        </w:tc>
        <w:tc>
          <w:tcPr>
            <w:tcW w:w="1566"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14"/>
              <w:jc w:val="both"/>
              <w:rPr>
                <w:rFonts w:ascii="Arial Narrow" w:hAnsi="Arial Narrow" w:cs="Arial"/>
                <w:sz w:val="20"/>
                <w:szCs w:val="20"/>
              </w:rPr>
            </w:pPr>
            <w:r w:rsidRPr="00A17E25">
              <w:rPr>
                <w:rFonts w:ascii="Arial Narrow" w:hAnsi="Arial Narrow" w:cs="Arial"/>
                <w:sz w:val="20"/>
                <w:szCs w:val="20"/>
              </w:rPr>
              <w:t>Non</w:t>
            </w:r>
          </w:p>
        </w:tc>
        <w:tc>
          <w:tcPr>
            <w:tcW w:w="2754" w:type="dxa"/>
            <w:tcBorders>
              <w:top w:val="single" w:sz="4" w:space="0" w:color="000000"/>
              <w:left w:val="single" w:sz="4" w:space="0" w:color="000000"/>
              <w:bottom w:val="single" w:sz="4" w:space="0" w:color="000000"/>
              <w:right w:val="single" w:sz="4" w:space="0" w:color="000000"/>
            </w:tcBorders>
          </w:tcPr>
          <w:p w:rsidR="003A596A" w:rsidRPr="00A17E25" w:rsidRDefault="003A596A" w:rsidP="003A596A">
            <w:pPr>
              <w:ind w:right="153"/>
              <w:jc w:val="both"/>
              <w:rPr>
                <w:rFonts w:ascii="Arial Narrow" w:hAnsi="Arial Narrow" w:cs="Arial"/>
                <w:sz w:val="20"/>
                <w:szCs w:val="20"/>
              </w:rPr>
            </w:pPr>
          </w:p>
        </w:tc>
      </w:tr>
    </w:tbl>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w:t>
      </w:r>
      <w:r w:rsidR="00482393">
        <w:rPr>
          <w:rFonts w:ascii="Arial" w:hAnsi="Arial" w:cs="Arial"/>
        </w:rPr>
        <w:t>CC</w:t>
      </w:r>
      <w:r w:rsidRPr="00A17E25">
        <w:rPr>
          <w:rFonts w:ascii="Arial" w:hAnsi="Arial" w:cs="Arial"/>
        </w:rPr>
        <w:t xml:space="preserve"> ne dispose pas encore de système de comptabilité patrimoniale La Division de gestion du patrimoine composée uniquement de huit personnes se charge de la gestion des actifs du domaine public et privé de la </w:t>
      </w:r>
      <w:r w:rsidR="00482393">
        <w:rPr>
          <w:rFonts w:ascii="Arial" w:hAnsi="Arial" w:cs="Arial"/>
        </w:rPr>
        <w:t>CC</w:t>
      </w:r>
      <w:r w:rsidRPr="00A17E25">
        <w:rPr>
          <w:rFonts w:ascii="Arial" w:hAnsi="Arial" w:cs="Arial"/>
        </w:rPr>
        <w:t>.</w:t>
      </w:r>
      <w:r w:rsidR="007A797F">
        <w:rPr>
          <w:rFonts w:ascii="Arial" w:hAnsi="Arial" w:cs="Arial"/>
        </w:rPr>
        <w:t xml:space="preserve"> </w:t>
      </w:r>
      <w:r w:rsidRPr="00A17E25">
        <w:rPr>
          <w:rFonts w:ascii="Arial" w:hAnsi="Arial" w:cs="Arial"/>
        </w:rPr>
        <w:t>A cet effet, elle tient un registre dit sommier de consistance qui renseigne pour chaque bien sur son numéro d’inscription au registre, sa nature, les références du titre foncier, la superficie, l’affectation, la composition, l’adresse et les commentaires</w:t>
      </w:r>
      <w:r w:rsidR="00387203">
        <w:rPr>
          <w:rFonts w:ascii="Arial" w:hAnsi="Arial" w:cs="Arial"/>
        </w:rPr>
        <w:t xml:space="preserve"> ainsi que les transactions affectant lesdits biens</w:t>
      </w:r>
      <w:r w:rsidRPr="00A17E25">
        <w:rPr>
          <w:rFonts w:ascii="Arial" w:hAnsi="Arial" w:cs="Arial"/>
        </w:rPr>
        <w:t>.</w:t>
      </w:r>
    </w:p>
    <w:p w:rsidR="007A797F" w:rsidRDefault="007A797F"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recensement des actifs et la comptabilisation des opérations souffrent cependant de nombreuses imperfections. En effet, les informations sur la superficie, le prix d’acquisition, les références du titre foncier et les références de l’enregistrement à la conservation foncière ne sont pas systématiquement disponibles pour tous les actifs non financiers.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Par ailleurs, la dernière mise à jour de ce sommier remonte à l’exercice 2007 et les actifs de la </w:t>
      </w:r>
      <w:r w:rsidR="00482393">
        <w:rPr>
          <w:rFonts w:ascii="Arial" w:hAnsi="Arial" w:cs="Arial"/>
        </w:rPr>
        <w:t>CC</w:t>
      </w:r>
      <w:r w:rsidRPr="00A17E25">
        <w:rPr>
          <w:rFonts w:ascii="Arial" w:hAnsi="Arial" w:cs="Arial"/>
        </w:rPr>
        <w:t xml:space="preserve"> ne font pas l’objet d’inventaire physique annuel. Par ailleurs, le public n’a pas accès à ce sommier.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Division de gestion du patrimoine prépare un rapport annuel adressé au Conseil Communal (session de vote du compte administratif) qui retrace les faits marquants de l’année, les principales réalisations et opérations en cours. Ce rapport ne donne pas de statistiques et données chiffrées sur les mouvements, acquisitions, cessions, transferts ou aliénations des actifs de la ville.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La principale difficulté qui a entravé la bonne gestion du patrimoine et la réalisation de plusieurs opérations depuis plus de 10 ans concerne le transfert de propriété des actifs des arrondissements et leur inscription à la conservation foncière au nom de la ville. Cette opération a été en grande partie dénouée en 2014 mais n’est pas totalement achevée.</w:t>
      </w:r>
    </w:p>
    <w:p w:rsidR="003A596A" w:rsidRPr="00A17E25" w:rsidRDefault="003A596A" w:rsidP="003A596A">
      <w:pPr>
        <w:jc w:val="both"/>
        <w:rPr>
          <w:rFonts w:ascii="Arial" w:hAnsi="Arial" w:cs="Arial"/>
        </w:rPr>
      </w:pPr>
      <w:r w:rsidRPr="00A17E25">
        <w:rPr>
          <w:rFonts w:ascii="Arial" w:hAnsi="Arial" w:cs="Arial"/>
        </w:rPr>
        <w:t xml:space="preserve">La </w:t>
      </w:r>
      <w:r w:rsidR="00482393">
        <w:rPr>
          <w:rFonts w:ascii="Arial" w:hAnsi="Arial" w:cs="Arial"/>
        </w:rPr>
        <w:t>CC</w:t>
      </w:r>
      <w:r w:rsidRPr="00A17E25">
        <w:rPr>
          <w:rFonts w:ascii="Arial" w:hAnsi="Arial" w:cs="Arial"/>
        </w:rPr>
        <w:t xml:space="preserve"> a </w:t>
      </w:r>
      <w:r w:rsidR="00526518" w:rsidRPr="00A17E25">
        <w:rPr>
          <w:rFonts w:ascii="Arial" w:hAnsi="Arial" w:cs="Arial"/>
        </w:rPr>
        <w:t>créé</w:t>
      </w:r>
      <w:r w:rsidRPr="00A17E25">
        <w:rPr>
          <w:rFonts w:ascii="Arial" w:hAnsi="Arial" w:cs="Arial"/>
        </w:rPr>
        <w:t xml:space="preserve"> une SDL (Casa Patrimoine) qui </w:t>
      </w:r>
      <w:r w:rsidR="00DC41FA">
        <w:rPr>
          <w:rFonts w:ascii="Arial" w:hAnsi="Arial" w:cs="Arial"/>
        </w:rPr>
        <w:t>a</w:t>
      </w:r>
      <w:r w:rsidRPr="00A17E25">
        <w:rPr>
          <w:rFonts w:ascii="Arial" w:hAnsi="Arial" w:cs="Arial"/>
        </w:rPr>
        <w:t xml:space="preserve"> comme première</w:t>
      </w:r>
      <w:r w:rsidR="00DC41FA">
        <w:rPr>
          <w:rFonts w:ascii="Arial" w:hAnsi="Arial" w:cs="Arial"/>
        </w:rPr>
        <w:t>s</w:t>
      </w:r>
      <w:r w:rsidRPr="00A17E25">
        <w:rPr>
          <w:rFonts w:ascii="Arial" w:hAnsi="Arial" w:cs="Arial"/>
        </w:rPr>
        <w:t xml:space="preserve"> mission</w:t>
      </w:r>
      <w:r w:rsidR="00DC41FA">
        <w:rPr>
          <w:rFonts w:ascii="Arial" w:hAnsi="Arial" w:cs="Arial"/>
        </w:rPr>
        <w:t>s</w:t>
      </w:r>
      <w:r w:rsidRPr="00A17E25">
        <w:rPr>
          <w:rFonts w:ascii="Arial" w:hAnsi="Arial" w:cs="Arial"/>
        </w:rPr>
        <w:t xml:space="preserve"> la mise à jour, l’actualisation et la valorisation du patrimoine de la ville de Casablanca.</w:t>
      </w:r>
    </w:p>
    <w:p w:rsidR="003A596A" w:rsidRPr="00A17E25" w:rsidRDefault="003A596A" w:rsidP="003A596A">
      <w:pPr>
        <w:jc w:val="both"/>
        <w:rPr>
          <w:rFonts w:ascii="Arial" w:hAnsi="Arial" w:cs="Arial"/>
        </w:rPr>
      </w:pPr>
    </w:p>
    <w:p w:rsidR="003A596A" w:rsidRPr="00A17E25" w:rsidRDefault="00DC41FA" w:rsidP="003A596A">
      <w:pPr>
        <w:jc w:val="both"/>
        <w:rPr>
          <w:rFonts w:ascii="Arial" w:hAnsi="Arial" w:cs="Arial"/>
        </w:rPr>
      </w:pPr>
      <w:r>
        <w:rPr>
          <w:rFonts w:ascii="Arial" w:hAnsi="Arial" w:cs="Arial"/>
        </w:rPr>
        <w:t xml:space="preserve"> Selon les info</w:t>
      </w:r>
      <w:r w:rsidR="003A596A" w:rsidRPr="00A17E25">
        <w:rPr>
          <w:rFonts w:ascii="Arial" w:hAnsi="Arial" w:cs="Arial"/>
        </w:rPr>
        <w:t>rmations obtenues, une mission d’audit interne a été effectuée en 2014 par l’IGAT</w:t>
      </w:r>
      <w:r w:rsidR="000C0E94">
        <w:rPr>
          <w:rStyle w:val="FootnoteReference"/>
          <w:rFonts w:ascii="Arial" w:hAnsi="Arial" w:cs="Arial"/>
        </w:rPr>
        <w:footnoteReference w:id="35"/>
      </w:r>
      <w:r w:rsidR="003A596A" w:rsidRPr="00A17E25">
        <w:rPr>
          <w:rFonts w:ascii="Arial" w:hAnsi="Arial" w:cs="Arial"/>
        </w:rPr>
        <w:t xml:space="preserve"> et la Direction du Patrimoine du Ministère de l’Intérieur mais le rapport de cette mission n’est pas disponible à la Division de gestion du patrimoine.</w:t>
      </w:r>
    </w:p>
    <w:p w:rsidR="003A596A" w:rsidRPr="00A17E25" w:rsidRDefault="003A596A" w:rsidP="003A596A">
      <w:pPr>
        <w:jc w:val="both"/>
        <w:rPr>
          <w:rFonts w:ascii="Arial" w:hAnsi="Arial" w:cs="Arial"/>
        </w:rPr>
      </w:pPr>
    </w:p>
    <w:p w:rsidR="0019642A" w:rsidRPr="00A17E25" w:rsidRDefault="003A596A" w:rsidP="003A596A">
      <w:pPr>
        <w:jc w:val="both"/>
        <w:rPr>
          <w:rFonts w:ascii="Arial" w:hAnsi="Arial" w:cs="Arial"/>
        </w:rPr>
      </w:pPr>
      <w:r w:rsidRPr="00A17E25">
        <w:rPr>
          <w:rFonts w:ascii="Arial" w:hAnsi="Arial" w:cs="Arial"/>
        </w:rPr>
        <w:t xml:space="preserve">Par rapport à la composante « Matériel », sa gestion est fragmentée du fait que chaque division de la </w:t>
      </w:r>
      <w:r w:rsidR="00482393">
        <w:rPr>
          <w:rFonts w:ascii="Arial" w:hAnsi="Arial" w:cs="Arial"/>
        </w:rPr>
        <w:t>CC</w:t>
      </w:r>
      <w:r w:rsidRPr="00A17E25">
        <w:rPr>
          <w:rFonts w:ascii="Arial" w:hAnsi="Arial" w:cs="Arial"/>
        </w:rPr>
        <w:t xml:space="preserve"> tient son propre registre de matériel : manuel, non valorisé et non confirmé par un inventaire physique. En plus seules les acquisitions postérieures à 2003 sont répertoriées dans ces registres. Le matériel roulant n’est pas intégré dans ces registres.</w:t>
      </w:r>
    </w:p>
    <w:p w:rsidR="003A596A" w:rsidRPr="004B57C3" w:rsidRDefault="003A596A" w:rsidP="003A596A">
      <w:pPr>
        <w:pStyle w:val="Comp"/>
        <w:numPr>
          <w:ilvl w:val="0"/>
          <w:numId w:val="96"/>
        </w:numPr>
        <w:rPr>
          <w:rFonts w:ascii="Arial" w:hAnsi="Arial" w:cs="Arial"/>
          <w:b w:val="0"/>
          <w:color w:val="0070C0"/>
          <w:sz w:val="24"/>
          <w:szCs w:val="24"/>
        </w:rPr>
      </w:pPr>
      <w:bookmarkStart w:id="191" w:name="_Toc428200823"/>
      <w:bookmarkStart w:id="192" w:name="_Toc434916131"/>
      <w:bookmarkStart w:id="193" w:name="_Toc434918345"/>
      <w:r w:rsidRPr="004B57C3">
        <w:rPr>
          <w:rFonts w:ascii="Arial" w:hAnsi="Arial" w:cs="Arial"/>
          <w:b w:val="0"/>
          <w:color w:val="0070C0"/>
          <w:sz w:val="24"/>
          <w:szCs w:val="24"/>
        </w:rPr>
        <w:t>Transparence du processus de cession des actifs non financiers.</w:t>
      </w:r>
      <w:bookmarkEnd w:id="191"/>
      <w:bookmarkEnd w:id="192"/>
      <w:bookmarkEnd w:id="193"/>
    </w:p>
    <w:p w:rsidR="003A596A" w:rsidRPr="00A17E25" w:rsidRDefault="003A596A" w:rsidP="003A596A">
      <w:pPr>
        <w:jc w:val="both"/>
        <w:rPr>
          <w:rFonts w:ascii="Arial" w:hAnsi="Arial" w:cs="Arial"/>
        </w:rPr>
      </w:pPr>
      <w:r w:rsidRPr="00A17E25">
        <w:rPr>
          <w:rFonts w:ascii="Arial" w:hAnsi="Arial" w:cs="Arial"/>
        </w:rPr>
        <w:t>Les cessions doivent se faire selon des règles précises fixées qui visent à assurer les transactions sur une base de libre concurrence (enchères publiques) et de manière transparente. Les cas de gré à gré qui constituent l’exception à ce principe sont également très encadrés. Néanmoins, la fragmentation et l’ancienneté des textes régissant la matière ne favorise</w:t>
      </w:r>
      <w:r w:rsidR="0019642A">
        <w:rPr>
          <w:rFonts w:ascii="Arial" w:hAnsi="Arial" w:cs="Arial"/>
        </w:rPr>
        <w:t>nt</w:t>
      </w:r>
      <w:r w:rsidRPr="00A17E25">
        <w:rPr>
          <w:rFonts w:ascii="Arial" w:hAnsi="Arial" w:cs="Arial"/>
        </w:rPr>
        <w:t xml:space="preserve"> pas la réalisation de ces procédures dans des délais raisonnables.</w:t>
      </w:r>
    </w:p>
    <w:p w:rsidR="0019642A" w:rsidRDefault="0019642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Toutes les transactions d’acquisition, de cession et de location (de durée supérieure à 10 ans) doivent faire l’objet d’une autorisation préalable du Conseil Communal et d’une fixation des prix par une commission préfectorale. </w:t>
      </w:r>
    </w:p>
    <w:p w:rsidR="0019642A" w:rsidRDefault="0019642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Ne sont exécutoires qu'après avoir été approuvées par l'autorité de tutelle</w:t>
      </w:r>
      <w:r w:rsidRPr="00A17E25">
        <w:rPr>
          <w:rStyle w:val="FootnoteReference"/>
          <w:rFonts w:ascii="Arial" w:hAnsi="Arial" w:cs="Arial"/>
        </w:rPr>
        <w:footnoteReference w:id="36"/>
      </w:r>
      <w:r w:rsidRPr="00A17E25">
        <w:rPr>
          <w:rFonts w:ascii="Arial" w:hAnsi="Arial" w:cs="Arial"/>
        </w:rPr>
        <w:t xml:space="preserve"> les délibérations du conseil communal portant sur les objets suivants :</w:t>
      </w:r>
    </w:p>
    <w:p w:rsidR="003A596A" w:rsidRPr="00A17E25" w:rsidRDefault="0019642A" w:rsidP="00151AD3">
      <w:pPr>
        <w:pStyle w:val="ListParagraph"/>
        <w:numPr>
          <w:ilvl w:val="0"/>
          <w:numId w:val="31"/>
        </w:numPr>
        <w:contextualSpacing/>
        <w:jc w:val="both"/>
        <w:rPr>
          <w:rFonts w:ascii="Arial" w:hAnsi="Arial" w:cs="Arial"/>
        </w:rPr>
      </w:pPr>
      <w:r>
        <w:rPr>
          <w:rFonts w:ascii="Arial" w:hAnsi="Arial" w:cs="Arial"/>
        </w:rPr>
        <w:t xml:space="preserve">Les </w:t>
      </w:r>
      <w:r w:rsidR="003A596A" w:rsidRPr="00A17E25">
        <w:rPr>
          <w:rFonts w:ascii="Arial" w:hAnsi="Arial" w:cs="Arial"/>
        </w:rPr>
        <w:t>acquisitions, aliénations, échanges et autres transactions portant sur les biens du domaine privé communal ;</w:t>
      </w:r>
    </w:p>
    <w:p w:rsidR="003A596A" w:rsidRPr="00A17E25" w:rsidRDefault="0019642A" w:rsidP="00151AD3">
      <w:pPr>
        <w:pStyle w:val="ListParagraph"/>
        <w:numPr>
          <w:ilvl w:val="0"/>
          <w:numId w:val="31"/>
        </w:numPr>
        <w:contextualSpacing/>
        <w:jc w:val="both"/>
        <w:rPr>
          <w:rFonts w:ascii="Arial" w:hAnsi="Arial" w:cs="Arial"/>
        </w:rPr>
      </w:pPr>
      <w:r>
        <w:rPr>
          <w:rFonts w:ascii="Arial" w:hAnsi="Arial" w:cs="Arial"/>
        </w:rPr>
        <w:t xml:space="preserve">Les </w:t>
      </w:r>
      <w:r w:rsidR="003A596A" w:rsidRPr="00A17E25">
        <w:rPr>
          <w:rFonts w:ascii="Arial" w:hAnsi="Arial" w:cs="Arial"/>
        </w:rPr>
        <w:t>occupations temporaires du domaine public avec emprises ;</w:t>
      </w:r>
    </w:p>
    <w:p w:rsidR="003A596A" w:rsidRPr="00A17E25" w:rsidRDefault="0019642A" w:rsidP="00151AD3">
      <w:pPr>
        <w:pStyle w:val="ListParagraph"/>
        <w:numPr>
          <w:ilvl w:val="0"/>
          <w:numId w:val="31"/>
        </w:numPr>
        <w:contextualSpacing/>
        <w:jc w:val="both"/>
        <w:rPr>
          <w:rFonts w:ascii="Arial" w:hAnsi="Arial" w:cs="Arial"/>
        </w:rPr>
      </w:pPr>
      <w:r>
        <w:rPr>
          <w:rFonts w:ascii="Arial" w:hAnsi="Arial" w:cs="Arial"/>
        </w:rPr>
        <w:t xml:space="preserve">Les </w:t>
      </w:r>
      <w:r w:rsidR="003A596A" w:rsidRPr="00A17E25">
        <w:rPr>
          <w:rFonts w:ascii="Arial" w:hAnsi="Arial" w:cs="Arial"/>
        </w:rPr>
        <w:t>baux dont la durée dépasse 10 ans ou dont la reconduction dépasse la durée cumulée de 10 ans.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Concernant le transfert ou le retrait des droits d’utilisation, cette question se pose essentiellement pour les concessions. Le cadre institutionnel de la gestion déléguée (loi n° 54-05) </w:t>
      </w:r>
      <w:r w:rsidR="0019642A">
        <w:rPr>
          <w:rFonts w:ascii="Arial" w:hAnsi="Arial" w:cs="Arial"/>
        </w:rPr>
        <w:t xml:space="preserve">a </w:t>
      </w:r>
      <w:r w:rsidRPr="00A17E25">
        <w:rPr>
          <w:rFonts w:ascii="Arial" w:hAnsi="Arial" w:cs="Arial"/>
        </w:rPr>
        <w:t xml:space="preserve">mis en vigueur depuis 2006 un corpus juridique relativement précis qui assure l’application des règles de la concurrence et la transparence. </w:t>
      </w:r>
    </w:p>
    <w:p w:rsidR="003A596A" w:rsidRDefault="003A596A" w:rsidP="003A596A">
      <w:pPr>
        <w:jc w:val="both"/>
        <w:rPr>
          <w:rFonts w:ascii="Arial" w:hAnsi="Arial" w:cs="Arial"/>
        </w:rPr>
      </w:pPr>
      <w:r w:rsidRPr="00A17E25">
        <w:rPr>
          <w:rFonts w:ascii="Arial" w:hAnsi="Arial" w:cs="Arial"/>
        </w:rPr>
        <w:t>Le rapport annuel de la Division de gestion de patrimoine ne dresse pas l’inventaire exhaustif de ces opérations.</w:t>
      </w:r>
    </w:p>
    <w:p w:rsidR="00206632" w:rsidRDefault="00206632" w:rsidP="003A596A">
      <w:pPr>
        <w:jc w:val="both"/>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992"/>
        <w:gridCol w:w="4605"/>
      </w:tblGrid>
      <w:tr w:rsidR="003A596A" w:rsidRPr="00A17E25" w:rsidTr="003A596A">
        <w:trPr>
          <w:jc w:val="center"/>
        </w:trPr>
        <w:tc>
          <w:tcPr>
            <w:tcW w:w="3613" w:type="dxa"/>
            <w:tcBorders>
              <w:top w:val="single" w:sz="4" w:space="0" w:color="auto"/>
              <w:left w:val="single" w:sz="4" w:space="0" w:color="auto"/>
              <w:bottom w:val="single" w:sz="4" w:space="0" w:color="auto"/>
              <w:right w:val="single" w:sz="4" w:space="0" w:color="auto"/>
            </w:tcBorders>
            <w:shd w:val="clear" w:color="auto" w:fill="0070C0"/>
            <w:hideMark/>
          </w:tcPr>
          <w:p w:rsidR="003A596A" w:rsidRPr="00A17E25" w:rsidRDefault="003A596A" w:rsidP="003A596A">
            <w:pPr>
              <w:jc w:val="both"/>
              <w:rPr>
                <w:rFonts w:ascii="Arial" w:hAnsi="Arial" w:cs="Arial"/>
                <w:b/>
                <w:color w:val="FFFFFF"/>
                <w:sz w:val="20"/>
                <w:szCs w:val="20"/>
              </w:rPr>
            </w:pPr>
            <w:r w:rsidRPr="00A17E25">
              <w:rPr>
                <w:rFonts w:ascii="Arial" w:hAnsi="Arial" w:cs="Arial"/>
                <w:b/>
                <w:color w:val="FFFFFF"/>
                <w:sz w:val="20"/>
                <w:szCs w:val="20"/>
              </w:rPr>
              <w:t>Indicateur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 xml:space="preserve">Note </w:t>
            </w:r>
          </w:p>
        </w:tc>
        <w:tc>
          <w:tcPr>
            <w:tcW w:w="4605" w:type="dxa"/>
            <w:tcBorders>
              <w:top w:val="single" w:sz="4" w:space="0" w:color="auto"/>
              <w:left w:val="single" w:sz="4" w:space="0" w:color="auto"/>
              <w:bottom w:val="single" w:sz="4" w:space="0" w:color="auto"/>
              <w:right w:val="single" w:sz="4" w:space="0" w:color="auto"/>
            </w:tcBorders>
            <w:shd w:val="clear" w:color="auto" w:fill="0070C0"/>
            <w:hideMark/>
          </w:tcPr>
          <w:p w:rsidR="003A596A" w:rsidRPr="00A17E25" w:rsidRDefault="003A596A" w:rsidP="003A596A">
            <w:pPr>
              <w:jc w:val="center"/>
              <w:rPr>
                <w:rFonts w:ascii="Arial" w:hAnsi="Arial" w:cs="Arial"/>
                <w:b/>
                <w:color w:val="FFFFFF"/>
                <w:sz w:val="20"/>
                <w:szCs w:val="20"/>
              </w:rPr>
            </w:pPr>
            <w:r w:rsidRPr="00A17E25">
              <w:rPr>
                <w:rFonts w:ascii="Arial" w:hAnsi="Arial" w:cs="Arial"/>
                <w:b/>
                <w:color w:val="FFFFFF"/>
                <w:sz w:val="20"/>
                <w:szCs w:val="20"/>
              </w:rPr>
              <w:t>Explication</w:t>
            </w:r>
          </w:p>
        </w:tc>
      </w:tr>
      <w:tr w:rsidR="003A596A" w:rsidRPr="00A17E25" w:rsidTr="003A596A">
        <w:trPr>
          <w:jc w:val="center"/>
        </w:trPr>
        <w:tc>
          <w:tcPr>
            <w:tcW w:w="3613"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both"/>
              <w:rPr>
                <w:rFonts w:ascii="Arial" w:hAnsi="Arial" w:cs="Arial"/>
                <w:b/>
                <w:sz w:val="20"/>
                <w:szCs w:val="20"/>
              </w:rPr>
            </w:pPr>
            <w:r w:rsidRPr="00A17E25">
              <w:rPr>
                <w:rFonts w:ascii="Arial" w:hAnsi="Arial" w:cs="Arial"/>
                <w:b/>
                <w:sz w:val="20"/>
                <w:szCs w:val="20"/>
              </w:rPr>
              <w:t xml:space="preserve">PI-12. </w:t>
            </w:r>
            <w:r w:rsidRPr="00A17E25">
              <w:rPr>
                <w:rFonts w:ascii="Arial" w:hAnsi="Arial" w:cs="Arial"/>
                <w:b/>
                <w:bCs/>
                <w:sz w:val="20"/>
                <w:szCs w:val="20"/>
              </w:rPr>
              <w:t xml:space="preserve"> Gestion des actifs publics</w:t>
            </w:r>
          </w:p>
        </w:tc>
        <w:tc>
          <w:tcPr>
            <w:tcW w:w="992"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center"/>
              <w:rPr>
                <w:rFonts w:ascii="Arial" w:hAnsi="Arial" w:cs="Arial"/>
                <w:b/>
                <w:sz w:val="20"/>
                <w:szCs w:val="20"/>
              </w:rPr>
            </w:pPr>
            <w:r w:rsidRPr="00A17E25">
              <w:rPr>
                <w:rFonts w:ascii="Arial" w:hAnsi="Arial" w:cs="Arial"/>
                <w:b/>
                <w:sz w:val="20"/>
                <w:szCs w:val="20"/>
              </w:rPr>
              <w:t xml:space="preserve"> </w:t>
            </w:r>
            <w:r w:rsidR="00237EEF">
              <w:rPr>
                <w:rFonts w:ascii="Arial" w:hAnsi="Arial" w:cs="Arial"/>
                <w:b/>
                <w:sz w:val="20"/>
                <w:szCs w:val="20"/>
              </w:rPr>
              <w:t>D+</w:t>
            </w:r>
          </w:p>
        </w:tc>
        <w:tc>
          <w:tcPr>
            <w:tcW w:w="4605"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rPr>
          <w:jc w:val="center"/>
        </w:trPr>
        <w:tc>
          <w:tcPr>
            <w:tcW w:w="3613" w:type="dxa"/>
            <w:tcBorders>
              <w:top w:val="single" w:sz="4" w:space="0" w:color="auto"/>
              <w:left w:val="single" w:sz="4" w:space="0" w:color="auto"/>
              <w:bottom w:val="single" w:sz="4" w:space="0" w:color="auto"/>
              <w:right w:val="single" w:sz="4" w:space="0" w:color="auto"/>
            </w:tcBorders>
          </w:tcPr>
          <w:p w:rsidR="003A596A" w:rsidRPr="00A17E25" w:rsidRDefault="003A596A" w:rsidP="00A13202">
            <w:pPr>
              <w:rPr>
                <w:rFonts w:ascii="Arial" w:hAnsi="Arial" w:cs="Arial"/>
                <w:sz w:val="20"/>
                <w:szCs w:val="20"/>
              </w:rPr>
            </w:pPr>
            <w:r w:rsidRPr="00A17E25">
              <w:rPr>
                <w:rFonts w:ascii="Arial" w:hAnsi="Arial" w:cs="Arial"/>
                <w:sz w:val="20"/>
                <w:szCs w:val="20"/>
              </w:rPr>
              <w:t>i) Qualité</w:t>
            </w:r>
            <w:r w:rsidR="00A13202" w:rsidRPr="00A17E25">
              <w:rPr>
                <w:rFonts w:ascii="Arial" w:hAnsi="Arial" w:cs="Arial"/>
                <w:sz w:val="20"/>
                <w:szCs w:val="20"/>
              </w:rPr>
              <w:t xml:space="preserve"> du suivi des actifs financiers </w:t>
            </w:r>
            <w:r w:rsidRPr="00A17E25">
              <w:rPr>
                <w:rFonts w:ascii="Arial" w:hAnsi="Arial" w:cs="Arial"/>
                <w:sz w:val="20"/>
                <w:szCs w:val="20"/>
              </w:rPr>
              <w:t>de l’administration centrale</w:t>
            </w:r>
          </w:p>
        </w:tc>
        <w:tc>
          <w:tcPr>
            <w:tcW w:w="992"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05"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both"/>
              <w:rPr>
                <w:rFonts w:ascii="Arial" w:hAnsi="Arial" w:cs="Arial"/>
                <w:sz w:val="20"/>
                <w:szCs w:val="20"/>
              </w:rPr>
            </w:pPr>
            <w:r w:rsidRPr="00A17E25">
              <w:rPr>
                <w:rFonts w:ascii="Arial" w:hAnsi="Arial" w:cs="Arial"/>
                <w:sz w:val="20"/>
                <w:szCs w:val="20"/>
              </w:rPr>
              <w:t>La performance des actifs financiers ne fait pas l’objet d’un suivi et de rapports annuels</w:t>
            </w:r>
          </w:p>
        </w:tc>
      </w:tr>
      <w:tr w:rsidR="003A596A" w:rsidRPr="00A17E25" w:rsidTr="003A596A">
        <w:trPr>
          <w:jc w:val="center"/>
        </w:trPr>
        <w:tc>
          <w:tcPr>
            <w:tcW w:w="3613" w:type="dxa"/>
            <w:tcBorders>
              <w:top w:val="single" w:sz="4" w:space="0" w:color="auto"/>
              <w:left w:val="single" w:sz="4" w:space="0" w:color="auto"/>
              <w:bottom w:val="single" w:sz="4" w:space="0" w:color="auto"/>
              <w:right w:val="single" w:sz="4" w:space="0" w:color="auto"/>
            </w:tcBorders>
          </w:tcPr>
          <w:p w:rsidR="003A596A" w:rsidRPr="00A17E25" w:rsidRDefault="003A596A" w:rsidP="00A13202">
            <w:pPr>
              <w:spacing w:line="237" w:lineRule="auto"/>
              <w:jc w:val="both"/>
              <w:rPr>
                <w:rFonts w:ascii="Arial" w:hAnsi="Arial" w:cs="Arial"/>
                <w:sz w:val="20"/>
                <w:szCs w:val="20"/>
              </w:rPr>
            </w:pPr>
            <w:r w:rsidRPr="00A17E25">
              <w:rPr>
                <w:rFonts w:ascii="Arial" w:hAnsi="Arial" w:cs="Arial"/>
                <w:sz w:val="20"/>
                <w:szCs w:val="20"/>
              </w:rPr>
              <w:t>ii) Qualité du suivi des actifs non financiers de l’administration centrale</w:t>
            </w:r>
          </w:p>
        </w:tc>
        <w:tc>
          <w:tcPr>
            <w:tcW w:w="992"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05"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both"/>
              <w:rPr>
                <w:rFonts w:ascii="Arial" w:hAnsi="Arial" w:cs="Arial"/>
                <w:sz w:val="20"/>
                <w:szCs w:val="20"/>
              </w:rPr>
            </w:pPr>
            <w:r w:rsidRPr="00A17E25">
              <w:rPr>
                <w:rFonts w:ascii="Arial" w:hAnsi="Arial" w:cs="Arial"/>
                <w:sz w:val="20"/>
                <w:szCs w:val="20"/>
              </w:rPr>
              <w:t>Les registres d’actifs non financiers   ne font pas l’objet de rapport couvrant les actifs et les opérations connexes qui ont pour objet d’accroitre leur valeur, de prolonger sa durée de vie utile, ou d’entraîner une modification de son utilisation.</w:t>
            </w:r>
          </w:p>
        </w:tc>
      </w:tr>
      <w:tr w:rsidR="003A596A" w:rsidRPr="00A17E25" w:rsidTr="003A596A">
        <w:trPr>
          <w:jc w:val="center"/>
        </w:trPr>
        <w:tc>
          <w:tcPr>
            <w:tcW w:w="3613" w:type="dxa"/>
            <w:tcBorders>
              <w:top w:val="single" w:sz="4" w:space="0" w:color="auto"/>
              <w:left w:val="single" w:sz="4" w:space="0" w:color="auto"/>
              <w:bottom w:val="single" w:sz="4" w:space="0" w:color="auto"/>
              <w:right w:val="single" w:sz="4" w:space="0" w:color="auto"/>
            </w:tcBorders>
          </w:tcPr>
          <w:p w:rsidR="003A596A" w:rsidRPr="00A17E25" w:rsidRDefault="003A596A" w:rsidP="00A13202">
            <w:pPr>
              <w:jc w:val="both"/>
              <w:rPr>
                <w:rFonts w:ascii="Arial" w:hAnsi="Arial" w:cs="Arial"/>
                <w:sz w:val="20"/>
                <w:szCs w:val="20"/>
              </w:rPr>
            </w:pPr>
            <w:r w:rsidRPr="00A17E25">
              <w:rPr>
                <w:rFonts w:ascii="Arial" w:hAnsi="Arial" w:cs="Arial"/>
                <w:sz w:val="20"/>
                <w:szCs w:val="20"/>
              </w:rPr>
              <w:t xml:space="preserve">iii) Transparence du processus de cession des actifs non financiers  </w:t>
            </w:r>
          </w:p>
        </w:tc>
        <w:tc>
          <w:tcPr>
            <w:tcW w:w="992" w:type="dxa"/>
            <w:tcBorders>
              <w:top w:val="single" w:sz="4" w:space="0" w:color="auto"/>
              <w:left w:val="single" w:sz="4" w:space="0" w:color="auto"/>
              <w:bottom w:val="single" w:sz="4" w:space="0" w:color="auto"/>
              <w:right w:val="single" w:sz="4" w:space="0" w:color="auto"/>
            </w:tcBorders>
            <w:hideMark/>
          </w:tcPr>
          <w:p w:rsidR="003A596A" w:rsidRPr="00A17E25" w:rsidRDefault="00387203" w:rsidP="003A596A">
            <w:pPr>
              <w:jc w:val="center"/>
              <w:rPr>
                <w:rFonts w:ascii="Arial" w:hAnsi="Arial" w:cs="Arial"/>
                <w:sz w:val="20"/>
                <w:szCs w:val="20"/>
              </w:rPr>
            </w:pPr>
            <w:r>
              <w:rPr>
                <w:rFonts w:ascii="Arial" w:hAnsi="Arial" w:cs="Arial"/>
                <w:sz w:val="20"/>
                <w:szCs w:val="20"/>
              </w:rPr>
              <w:t>B</w:t>
            </w:r>
          </w:p>
        </w:tc>
        <w:tc>
          <w:tcPr>
            <w:tcW w:w="4605" w:type="dxa"/>
            <w:tcBorders>
              <w:top w:val="single" w:sz="4" w:space="0" w:color="auto"/>
              <w:left w:val="single" w:sz="4" w:space="0" w:color="auto"/>
              <w:bottom w:val="single" w:sz="4" w:space="0" w:color="auto"/>
              <w:right w:val="single" w:sz="4" w:space="0" w:color="auto"/>
            </w:tcBorders>
            <w:hideMark/>
          </w:tcPr>
          <w:p w:rsidR="003A596A" w:rsidRPr="00A17E25" w:rsidRDefault="003A596A" w:rsidP="003A596A">
            <w:pPr>
              <w:jc w:val="both"/>
              <w:rPr>
                <w:rFonts w:ascii="Arial" w:hAnsi="Arial" w:cs="Arial"/>
                <w:sz w:val="20"/>
                <w:szCs w:val="20"/>
              </w:rPr>
            </w:pPr>
            <w:r w:rsidRPr="00A17E25">
              <w:rPr>
                <w:rFonts w:ascii="Arial" w:hAnsi="Arial" w:cs="Arial"/>
                <w:sz w:val="20"/>
                <w:szCs w:val="20"/>
              </w:rPr>
              <w:t>Les procédures visant à assurer la cession, le transfert ou le retrait d’actifs non financiers et des droits d’utilisation des actifs sur une base de libre de concurrence et de manière transparente sont établies dans les textes législatifs et sont  respectées</w:t>
            </w:r>
            <w:r w:rsidR="00387203">
              <w:rPr>
                <w:rFonts w:ascii="Arial" w:hAnsi="Arial" w:cs="Arial"/>
                <w:sz w:val="20"/>
                <w:szCs w:val="20"/>
              </w:rPr>
              <w:t xml:space="preserve"> dans la majorité des cas.</w:t>
            </w:r>
          </w:p>
        </w:tc>
      </w:tr>
    </w:tbl>
    <w:p w:rsidR="003A596A" w:rsidRPr="00A17E25" w:rsidRDefault="003A596A" w:rsidP="003A596A">
      <w:pPr>
        <w:pStyle w:val="Heading2"/>
        <w:rPr>
          <w:i w:val="0"/>
          <w:color w:val="00B0F0"/>
        </w:rPr>
      </w:pPr>
    </w:p>
    <w:p w:rsidR="003A596A" w:rsidRPr="00A17E25" w:rsidRDefault="003A596A" w:rsidP="003A596A">
      <w:pPr>
        <w:jc w:val="both"/>
        <w:rPr>
          <w:rFonts w:ascii="Arial" w:hAnsi="Arial" w:cs="Arial"/>
          <w:b/>
        </w:rPr>
      </w:pPr>
      <w:r w:rsidRPr="00A17E25">
        <w:rPr>
          <w:rFonts w:ascii="Arial" w:hAnsi="Arial" w:cs="Arial"/>
          <w:b/>
        </w:rPr>
        <w:t>PI-13 : Gestion des arriérés au titre de la dette et des dépenses et présentation des rapports sur ces arriérés</w:t>
      </w:r>
    </w:p>
    <w:p w:rsidR="003A596A" w:rsidRPr="00A17E25" w:rsidRDefault="003A596A" w:rsidP="003A596A">
      <w:pPr>
        <w:jc w:val="both"/>
        <w:rPr>
          <w:rFonts w:ascii="Arial" w:hAnsi="Arial" w:cs="Arial"/>
        </w:rPr>
      </w:pPr>
    </w:p>
    <w:p w:rsidR="00EC3826" w:rsidRPr="00A17E25" w:rsidRDefault="00EC3826" w:rsidP="00EC3826">
      <w:pPr>
        <w:jc w:val="both"/>
        <w:rPr>
          <w:rFonts w:ascii="Arial" w:hAnsi="Arial" w:cs="Arial"/>
        </w:rPr>
      </w:pPr>
      <w:bookmarkStart w:id="194" w:name="_Toc434916133"/>
      <w:bookmarkStart w:id="195" w:name="_Toc434918347"/>
      <w:r w:rsidRPr="00A17E25">
        <w:rPr>
          <w:rFonts w:ascii="Arial" w:hAnsi="Arial" w:cs="Arial"/>
        </w:rPr>
        <w:t xml:space="preserve">Pour l’évaluation des composantes (i) et (iii) de cet indicateur, les données et informations prises en compte sont celles disponibles au moment de l’évaluation. En ce qui concerne la composante (ii), les informations utilisées sont celles de l’exercice 2014 (dernier exercice clôturé) et pour la composante (iv) les données utilisées sont celles des exercices 2012, 2013 et 2014, mais c’est le stock à fin 1014 qui a servi à noter. </w:t>
      </w:r>
    </w:p>
    <w:p w:rsidR="00EC3826" w:rsidRPr="00A17E25" w:rsidRDefault="00EC3826" w:rsidP="00EC3826">
      <w:pPr>
        <w:jc w:val="both"/>
        <w:rPr>
          <w:rFonts w:ascii="Arial" w:hAnsi="Arial" w:cs="Arial"/>
        </w:rPr>
      </w:pPr>
    </w:p>
    <w:p w:rsidR="00EC3826" w:rsidRPr="004B57C3" w:rsidRDefault="00EC3826" w:rsidP="00EC3826">
      <w:pPr>
        <w:pStyle w:val="ListParagraph"/>
        <w:numPr>
          <w:ilvl w:val="0"/>
          <w:numId w:val="78"/>
        </w:numPr>
        <w:contextualSpacing/>
        <w:jc w:val="both"/>
        <w:rPr>
          <w:rFonts w:ascii="Arial" w:hAnsi="Arial" w:cs="Arial"/>
          <w:i/>
          <w:color w:val="0070C0"/>
        </w:rPr>
      </w:pPr>
      <w:r w:rsidRPr="004B57C3">
        <w:rPr>
          <w:rFonts w:ascii="Arial" w:hAnsi="Arial" w:cs="Arial"/>
          <w:i/>
          <w:color w:val="0070C0"/>
        </w:rPr>
        <w:t>Enregistrement et présentation des données de la dette intérieure et extérieure</w:t>
      </w:r>
    </w:p>
    <w:p w:rsidR="00EC3826" w:rsidRPr="0019642A" w:rsidRDefault="00EC3826" w:rsidP="00EC3826">
      <w:pPr>
        <w:pStyle w:val="ListParagraph"/>
        <w:ind w:left="1080"/>
        <w:contextualSpacing/>
        <w:jc w:val="both"/>
        <w:rPr>
          <w:rFonts w:ascii="Arial" w:hAnsi="Arial" w:cs="Arial"/>
          <w:i/>
          <w:color w:val="3366FF"/>
        </w:rPr>
      </w:pPr>
    </w:p>
    <w:p w:rsidR="00EC3826" w:rsidRPr="00A17E25" w:rsidRDefault="00EC3826" w:rsidP="00EC3826">
      <w:pPr>
        <w:jc w:val="both"/>
        <w:rPr>
          <w:rFonts w:ascii="Arial" w:hAnsi="Arial" w:cs="Arial"/>
        </w:rPr>
      </w:pPr>
      <w:r w:rsidRPr="00A17E25">
        <w:rPr>
          <w:rFonts w:ascii="Arial" w:hAnsi="Arial" w:cs="Arial"/>
        </w:rPr>
        <w:t xml:space="preserve">La dette intérieure de la </w:t>
      </w:r>
      <w:r w:rsidR="00482393">
        <w:rPr>
          <w:rFonts w:ascii="Arial" w:hAnsi="Arial" w:cs="Arial"/>
        </w:rPr>
        <w:t>CC</w:t>
      </w:r>
      <w:r w:rsidRPr="00A17E25">
        <w:rPr>
          <w:rFonts w:ascii="Arial" w:hAnsi="Arial" w:cs="Arial"/>
        </w:rPr>
        <w:t xml:space="preserve"> est constituée exclusivement de la dette résultant des emprunts contractés auprès du Fonds d’équipement communal (FEC) en vue du financement des projets d’équipement de la ville. Cette dette est suivie par la Trésorerie générale sur la base d’un tableau d’échéancier. </w:t>
      </w:r>
      <w:r w:rsidR="00A4778F">
        <w:rPr>
          <w:rFonts w:ascii="Arial" w:hAnsi="Arial" w:cs="Arial"/>
        </w:rPr>
        <w:t xml:space="preserve">L’échéancier du service de la dette établie chaque année par la CC est </w:t>
      </w:r>
      <w:r w:rsidR="00BA4C65">
        <w:rPr>
          <w:rFonts w:ascii="Arial" w:hAnsi="Arial" w:cs="Arial"/>
        </w:rPr>
        <w:t xml:space="preserve">communiqué </w:t>
      </w:r>
      <w:r w:rsidR="00A4778F">
        <w:rPr>
          <w:rFonts w:ascii="Arial" w:hAnsi="Arial" w:cs="Arial"/>
        </w:rPr>
        <w:t xml:space="preserve"> au Trésorier. </w:t>
      </w:r>
      <w:r w:rsidR="00BA4C65">
        <w:rPr>
          <w:rFonts w:ascii="Arial" w:hAnsi="Arial" w:cs="Arial"/>
        </w:rPr>
        <w:t>Le Trésorier rapproche cet échéancier de celui qui est communiqué par le FEC. O</w:t>
      </w:r>
      <w:r w:rsidRPr="00A17E25">
        <w:rPr>
          <w:rFonts w:ascii="Arial" w:hAnsi="Arial" w:cs="Arial"/>
        </w:rPr>
        <w:t xml:space="preserve">n peut </w:t>
      </w:r>
      <w:r w:rsidR="00BA4C65">
        <w:rPr>
          <w:rFonts w:ascii="Arial" w:hAnsi="Arial" w:cs="Arial"/>
        </w:rPr>
        <w:t xml:space="preserve">donc </w:t>
      </w:r>
      <w:r w:rsidRPr="00A17E25">
        <w:rPr>
          <w:rFonts w:ascii="Arial" w:hAnsi="Arial" w:cs="Arial"/>
        </w:rPr>
        <w:t>conclure que le rapprochement se fait sur une base annuelle. Des rapports sur la situation de la dette intérieure ne sont pas produits périodiquement.</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En ce qui concerne la dette extérieure de la </w:t>
      </w:r>
      <w:r w:rsidR="00482393">
        <w:rPr>
          <w:rFonts w:ascii="Arial" w:hAnsi="Arial" w:cs="Arial"/>
        </w:rPr>
        <w:t>CC</w:t>
      </w:r>
      <w:r w:rsidRPr="00A17E25">
        <w:rPr>
          <w:rFonts w:ascii="Arial" w:hAnsi="Arial" w:cs="Arial"/>
        </w:rPr>
        <w:t>, elle résulte d’un emprunt de 34520839,5 USD contracté en 1995 auprès d’un organisme espagnol (Instituto</w:t>
      </w:r>
      <w:r>
        <w:rPr>
          <w:rFonts w:ascii="Arial" w:hAnsi="Arial" w:cs="Arial"/>
        </w:rPr>
        <w:t xml:space="preserve"> de </w:t>
      </w:r>
      <w:r w:rsidRPr="00A17E25">
        <w:rPr>
          <w:rFonts w:ascii="Arial" w:hAnsi="Arial" w:cs="Arial"/>
        </w:rPr>
        <w:t>Cr</w:t>
      </w:r>
      <w:r>
        <w:rPr>
          <w:rFonts w:ascii="Arial" w:hAnsi="Arial" w:cs="Arial"/>
        </w:rPr>
        <w:t>é</w:t>
      </w:r>
      <w:r w:rsidRPr="00A17E25">
        <w:rPr>
          <w:rFonts w:ascii="Arial" w:hAnsi="Arial" w:cs="Arial"/>
        </w:rPr>
        <w:t>dito</w:t>
      </w:r>
      <w:r>
        <w:rPr>
          <w:rFonts w:ascii="Arial" w:hAnsi="Arial" w:cs="Arial"/>
        </w:rPr>
        <w:t xml:space="preserve"> </w:t>
      </w:r>
      <w:r w:rsidRPr="00A17E25">
        <w:rPr>
          <w:rFonts w:ascii="Arial" w:hAnsi="Arial" w:cs="Arial"/>
        </w:rPr>
        <w:t xml:space="preserve">Oficial) en vue du financement de la construction de nouveaux abattoirs. Le service de cette dette se fait sur la base du tableau d’amortissement convenu avec le bailleur. Toutefois des rapprochements périodiques ne sont pas effectués et des rapports périodiques ne sont pas établis sur l’état de cette dette. </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La </w:t>
      </w:r>
      <w:r w:rsidR="00482393">
        <w:rPr>
          <w:rFonts w:ascii="Arial" w:hAnsi="Arial" w:cs="Arial"/>
        </w:rPr>
        <w:t>CC</w:t>
      </w:r>
      <w:r w:rsidRPr="00A17E25">
        <w:rPr>
          <w:rFonts w:ascii="Arial" w:hAnsi="Arial" w:cs="Arial"/>
        </w:rPr>
        <w:t xml:space="preserve"> a une bonne connaissance de sa dette intérieure et extérieure et les données y afférentes sont de qualité relativement satisfaisante. Les seuls problèmes identifiés par la mission sont relatifs à l’absence de rapprochements et la non production de rapports périodiques sur la situation de la dette de la Commune.</w:t>
      </w:r>
    </w:p>
    <w:p w:rsidR="00EC3826" w:rsidRPr="004B57C3" w:rsidRDefault="00EC3826" w:rsidP="00EC3826">
      <w:pPr>
        <w:jc w:val="both"/>
        <w:rPr>
          <w:rFonts w:ascii="Arial" w:hAnsi="Arial" w:cs="Arial"/>
          <w:color w:val="0070C0"/>
        </w:rPr>
      </w:pPr>
    </w:p>
    <w:p w:rsidR="00EC3826" w:rsidRDefault="00EC3826" w:rsidP="00EC3826">
      <w:pPr>
        <w:pStyle w:val="ListParagraph"/>
        <w:numPr>
          <w:ilvl w:val="0"/>
          <w:numId w:val="78"/>
        </w:numPr>
        <w:contextualSpacing/>
        <w:jc w:val="both"/>
        <w:rPr>
          <w:rFonts w:ascii="Arial" w:hAnsi="Arial" w:cs="Arial"/>
          <w:i/>
          <w:color w:val="3366FF"/>
        </w:rPr>
      </w:pPr>
      <w:r w:rsidRPr="004B57C3">
        <w:rPr>
          <w:rFonts w:ascii="Arial" w:hAnsi="Arial" w:cs="Arial"/>
          <w:i/>
          <w:color w:val="0070C0"/>
        </w:rPr>
        <w:t>Systèmes établis pour la contraction d’emprunts et l’émission des garanties</w:t>
      </w:r>
    </w:p>
    <w:p w:rsidR="00EC3826" w:rsidRPr="0019642A" w:rsidRDefault="00EC3826" w:rsidP="00EC3826">
      <w:pPr>
        <w:pStyle w:val="ListParagraph"/>
        <w:ind w:left="1080"/>
        <w:contextualSpacing/>
        <w:jc w:val="both"/>
        <w:rPr>
          <w:rFonts w:ascii="Arial" w:hAnsi="Arial" w:cs="Arial"/>
          <w:i/>
          <w:color w:val="3366FF"/>
        </w:rPr>
      </w:pPr>
    </w:p>
    <w:p w:rsidR="00EC3826" w:rsidRPr="00A17E25" w:rsidRDefault="00EC3826" w:rsidP="00EC3826">
      <w:pPr>
        <w:jc w:val="both"/>
        <w:rPr>
          <w:rFonts w:ascii="Arial" w:hAnsi="Arial" w:cs="Arial"/>
        </w:rPr>
      </w:pPr>
      <w:r w:rsidRPr="00A17E25">
        <w:rPr>
          <w:rFonts w:ascii="Arial" w:hAnsi="Arial" w:cs="Arial"/>
        </w:rPr>
        <w:t>Les modalités de contraction d’emprunt par les collectivités locales sont définies par la loi n° 78-00 portant charte communale telle qu’elle a été modifiée et complétée par la loi n° 01-03 et la loi n° 17-08, et par la loi n° 45-08 relative à l’organisation des finances des collectivités locales et de leurs groupements. Aux termes des dispositions de l’article 47 alinéa 3 de la charte communale, le Président du conseil « </w:t>
      </w:r>
      <w:r w:rsidRPr="00A17E25">
        <w:rPr>
          <w:rFonts w:ascii="Arial" w:hAnsi="Arial" w:cs="Arial"/>
          <w:i/>
        </w:rPr>
        <w:t xml:space="preserve">procède dans les limites déterminées par le conseil municipal à la conclusion et l’exécution des contrats d’emprunts ». </w:t>
      </w:r>
      <w:r w:rsidRPr="00A17E25">
        <w:rPr>
          <w:rFonts w:ascii="Arial" w:hAnsi="Arial" w:cs="Arial"/>
        </w:rPr>
        <w:t>Et la loi n° 45-08 dispose en son article 33 que « </w:t>
      </w:r>
      <w:r w:rsidRPr="00A17E25">
        <w:rPr>
          <w:rFonts w:ascii="Arial" w:hAnsi="Arial" w:cs="Arial"/>
          <w:i/>
        </w:rPr>
        <w:t xml:space="preserve">les opérations d’emprunts des collectivités locales et de leurs groupements sont soumises à l’approbation conjointe du ministre de l’intérieur et du ministre chargé des finances ». </w:t>
      </w:r>
      <w:r w:rsidRPr="00A17E25">
        <w:rPr>
          <w:rFonts w:ascii="Arial" w:hAnsi="Arial" w:cs="Arial"/>
        </w:rPr>
        <w:t xml:space="preserve">Ainsi, la contraction des emprunts est de la compétence du président du conseil </w:t>
      </w:r>
      <w:r w:rsidR="002E0F27">
        <w:rPr>
          <w:rFonts w:ascii="Arial" w:hAnsi="Arial" w:cs="Arial"/>
        </w:rPr>
        <w:t>communal</w:t>
      </w:r>
      <w:r w:rsidRPr="00A17E25">
        <w:rPr>
          <w:rFonts w:ascii="Arial" w:hAnsi="Arial" w:cs="Arial"/>
        </w:rPr>
        <w:t xml:space="preserve">, mais elle doit être préalablement autorisée par le conseil et être ensuite approuvée par le ministre de l’intérieur et le ministre des finances. </w:t>
      </w:r>
    </w:p>
    <w:p w:rsidR="00EC3826" w:rsidRPr="00A17E25" w:rsidRDefault="00EC3826" w:rsidP="00EC3826">
      <w:pPr>
        <w:jc w:val="both"/>
        <w:rPr>
          <w:rFonts w:ascii="Arial" w:hAnsi="Arial" w:cs="Arial"/>
        </w:rPr>
      </w:pPr>
    </w:p>
    <w:p w:rsidR="00EC3826" w:rsidRDefault="00EC3826" w:rsidP="00EC3826">
      <w:pPr>
        <w:jc w:val="both"/>
        <w:rPr>
          <w:rFonts w:ascii="Arial" w:hAnsi="Arial" w:cs="Arial"/>
        </w:rPr>
      </w:pPr>
      <w:r w:rsidRPr="00A17E25">
        <w:rPr>
          <w:rFonts w:ascii="Arial" w:hAnsi="Arial" w:cs="Arial"/>
        </w:rPr>
        <w:t xml:space="preserve">Dans la pratique, l’autorisation du conseil </w:t>
      </w:r>
      <w:r w:rsidR="002E0F27">
        <w:rPr>
          <w:rFonts w:ascii="Arial" w:hAnsi="Arial" w:cs="Arial"/>
        </w:rPr>
        <w:t>communal</w:t>
      </w:r>
      <w:r w:rsidRPr="00A17E25">
        <w:rPr>
          <w:rFonts w:ascii="Arial" w:hAnsi="Arial" w:cs="Arial"/>
        </w:rPr>
        <w:t xml:space="preserve"> de recourir à l’emprunt ne fixe ni le montant de l’emprunt à contracter, ni le montant total de la dette que la commune ne doit pas dépasser. Il s’agit d’une autorisation de recourir à un emprunt pour financer un projet déterminé. La quasi-totalité des emprunts sont contractés auprès du Fonds d’équipement communal (FEC) et les montants des prêts à accorder par cet organisme à une collectivité locale ne sont connus qu’après l’étude des dossiers par son comité de crédit. Les conditions d’octroi de prêts par le FEC aux collectivités locales sont contenues dans sa Déclaration de politique générale. Il s’agit notamment des critères d’éligibilité suivants :</w:t>
      </w:r>
    </w:p>
    <w:p w:rsidR="009C02FC" w:rsidRPr="00A17E25" w:rsidRDefault="009C02FC" w:rsidP="00EC3826">
      <w:pPr>
        <w:jc w:val="both"/>
        <w:rPr>
          <w:rFonts w:ascii="Arial" w:hAnsi="Arial" w:cs="Arial"/>
        </w:rPr>
      </w:pPr>
    </w:p>
    <w:p w:rsidR="00EC3826" w:rsidRPr="00A17E25" w:rsidRDefault="00EC3826" w:rsidP="00EC3826">
      <w:pPr>
        <w:pStyle w:val="ListParagraph"/>
        <w:numPr>
          <w:ilvl w:val="0"/>
          <w:numId w:val="35"/>
        </w:numPr>
        <w:jc w:val="both"/>
        <w:rPr>
          <w:rFonts w:ascii="Arial" w:hAnsi="Arial" w:cs="Arial"/>
        </w:rPr>
      </w:pPr>
      <w:r w:rsidRPr="00A17E25">
        <w:rPr>
          <w:rFonts w:ascii="Arial" w:hAnsi="Arial" w:cs="Arial"/>
        </w:rPr>
        <w:t xml:space="preserve">Le ratio entre le total du service de la dette et le total des ressources ordinaires </w:t>
      </w:r>
      <w:r>
        <w:rPr>
          <w:rFonts w:ascii="Arial" w:hAnsi="Arial" w:cs="Arial"/>
        </w:rPr>
        <w:t>doit être inférieur à environ 40</w:t>
      </w:r>
      <w:r w:rsidRPr="00A17E25">
        <w:rPr>
          <w:rFonts w:ascii="Arial" w:hAnsi="Arial" w:cs="Arial"/>
        </w:rPr>
        <w:t>% ;</w:t>
      </w:r>
    </w:p>
    <w:p w:rsidR="00EC3826" w:rsidRPr="00A17E25" w:rsidRDefault="00EC3826" w:rsidP="00EC3826">
      <w:pPr>
        <w:pStyle w:val="ListParagraph"/>
        <w:numPr>
          <w:ilvl w:val="0"/>
          <w:numId w:val="35"/>
        </w:numPr>
        <w:jc w:val="both"/>
        <w:rPr>
          <w:rFonts w:ascii="Arial" w:hAnsi="Arial" w:cs="Arial"/>
        </w:rPr>
      </w:pPr>
      <w:r w:rsidRPr="00A17E25">
        <w:rPr>
          <w:rFonts w:ascii="Arial" w:hAnsi="Arial" w:cs="Arial"/>
        </w:rPr>
        <w:t>Le cas échéant et même si le prêt ne concerne pas les services de l’eau et de l’électricité, conserver un ratio entre la collecte des redevances de l’eau et de l’électricité et charges de fonctionnement (amortissement non compris) supérieur à 60%.</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En ce qui concerne les modalités d’émission des garanties par le président du conseil </w:t>
      </w:r>
      <w:r w:rsidR="00A4778F">
        <w:rPr>
          <w:rFonts w:ascii="Arial" w:hAnsi="Arial" w:cs="Arial"/>
        </w:rPr>
        <w:t>communal</w:t>
      </w:r>
      <w:r w:rsidRPr="00A17E25">
        <w:rPr>
          <w:rFonts w:ascii="Arial" w:hAnsi="Arial" w:cs="Arial"/>
        </w:rPr>
        <w:t xml:space="preserve">, elles ne sont pas expressément prévues par la charte communale et par la charte des finances locales. Cependant, suivant les informations que la mission a eues au cours des entretiens avec les principaux intervenants de la </w:t>
      </w:r>
      <w:r w:rsidR="00482393">
        <w:rPr>
          <w:rFonts w:ascii="Arial" w:hAnsi="Arial" w:cs="Arial"/>
        </w:rPr>
        <w:t>CC</w:t>
      </w:r>
      <w:r w:rsidRPr="00A17E25">
        <w:rPr>
          <w:rFonts w:ascii="Arial" w:hAnsi="Arial" w:cs="Arial"/>
        </w:rPr>
        <w:t xml:space="preserve"> et de l’autorité de tutelle, l’émission des garanties suit dans la pratique la même procédure que la contraction des emprunts. Le conseil municipal ne fixe pas annuellement le montant total des garanties que peut accorder le président du conseil. L’émission des garanties par le Président du conseil se fait donc au coup par coup après l’autorisation du Conseil </w:t>
      </w:r>
      <w:r w:rsidR="00A4778F">
        <w:rPr>
          <w:rFonts w:ascii="Arial" w:hAnsi="Arial" w:cs="Arial"/>
        </w:rPr>
        <w:t>communal</w:t>
      </w:r>
      <w:r w:rsidRPr="00A17E25">
        <w:rPr>
          <w:rFonts w:ascii="Arial" w:hAnsi="Arial" w:cs="Arial"/>
        </w:rPr>
        <w:t xml:space="preserve"> et approbation du ministre de l’intérieur et du ministre chargé des finances.</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En conclusion, la contraction des emprunts et l’émission des garanties sont toujours approuvées par le ministre de l’intérieur et le ministre chargé des finances. Toutefois, si pour ce qui concerne les emprunts la Déclaration de politique générale du FEC spécifie des critères d’octroi, s’agissant des garanties, les modalités et les critères de leur émission ne sont pas expressément fixés par le cadre juridique de gestion des finances locales ou par d’autres textes spécifiques.</w:t>
      </w:r>
    </w:p>
    <w:p w:rsidR="00EC3826" w:rsidRPr="00A17E25" w:rsidRDefault="00EC3826" w:rsidP="00EC3826">
      <w:pPr>
        <w:jc w:val="both"/>
        <w:rPr>
          <w:rFonts w:ascii="Arial" w:hAnsi="Arial" w:cs="Arial"/>
          <w:color w:val="00B0F0"/>
        </w:rPr>
      </w:pPr>
    </w:p>
    <w:p w:rsidR="00EC3826" w:rsidRPr="004B57C3" w:rsidRDefault="00EC3826" w:rsidP="00EC3826">
      <w:pPr>
        <w:pStyle w:val="ListParagraph"/>
        <w:numPr>
          <w:ilvl w:val="0"/>
          <w:numId w:val="78"/>
        </w:numPr>
        <w:contextualSpacing/>
        <w:jc w:val="both"/>
        <w:rPr>
          <w:rFonts w:ascii="Arial" w:hAnsi="Arial" w:cs="Arial"/>
          <w:i/>
          <w:color w:val="0070C0"/>
        </w:rPr>
      </w:pPr>
      <w:r w:rsidRPr="004B57C3">
        <w:rPr>
          <w:rFonts w:ascii="Arial" w:hAnsi="Arial" w:cs="Arial"/>
          <w:i/>
          <w:color w:val="0070C0"/>
        </w:rPr>
        <w:t>Préparation d’une stratégie de gestion de la dette</w:t>
      </w:r>
    </w:p>
    <w:p w:rsidR="00EC3826" w:rsidRPr="0019642A" w:rsidRDefault="00EC3826" w:rsidP="00EC3826">
      <w:pPr>
        <w:pStyle w:val="ListParagraph"/>
        <w:ind w:left="1080"/>
        <w:contextualSpacing/>
        <w:jc w:val="both"/>
        <w:rPr>
          <w:rFonts w:ascii="Arial" w:hAnsi="Arial" w:cs="Arial"/>
          <w:i/>
          <w:color w:val="3366FF"/>
        </w:rPr>
      </w:pPr>
    </w:p>
    <w:p w:rsidR="00EC3826" w:rsidRPr="00A17E25" w:rsidRDefault="00EC3826" w:rsidP="00EC3826">
      <w:pPr>
        <w:jc w:val="both"/>
        <w:rPr>
          <w:rFonts w:ascii="Arial" w:hAnsi="Arial" w:cs="Arial"/>
        </w:rPr>
      </w:pPr>
      <w:r w:rsidRPr="00A17E25">
        <w:rPr>
          <w:rFonts w:ascii="Arial" w:hAnsi="Arial" w:cs="Arial"/>
        </w:rPr>
        <w:t xml:space="preserve">La Commune  de Casablanca ne dispose pas d’une stratégie de gestion de la dette à moyen terme. </w:t>
      </w:r>
    </w:p>
    <w:p w:rsidR="00EC3826" w:rsidRPr="004B57C3" w:rsidRDefault="00EC3826" w:rsidP="00EC3826">
      <w:pPr>
        <w:jc w:val="both"/>
        <w:rPr>
          <w:rFonts w:ascii="Arial" w:hAnsi="Arial" w:cs="Arial"/>
          <w:color w:val="0070C0"/>
        </w:rPr>
      </w:pPr>
    </w:p>
    <w:p w:rsidR="00EC3826" w:rsidRPr="004B57C3" w:rsidRDefault="00EC3826" w:rsidP="00EC3826">
      <w:pPr>
        <w:pStyle w:val="ListParagraph"/>
        <w:numPr>
          <w:ilvl w:val="0"/>
          <w:numId w:val="78"/>
        </w:numPr>
        <w:contextualSpacing/>
        <w:jc w:val="both"/>
        <w:rPr>
          <w:rFonts w:ascii="Arial" w:hAnsi="Arial" w:cs="Arial"/>
          <w:i/>
          <w:color w:val="0070C0"/>
        </w:rPr>
      </w:pPr>
      <w:r w:rsidRPr="004B57C3">
        <w:rPr>
          <w:rFonts w:ascii="Arial" w:hAnsi="Arial" w:cs="Arial"/>
          <w:i/>
          <w:color w:val="0070C0"/>
        </w:rPr>
        <w:t>Stock et suivi des arriérés de dépenses</w:t>
      </w:r>
    </w:p>
    <w:p w:rsidR="00EC3826" w:rsidRPr="0019642A" w:rsidRDefault="00EC3826" w:rsidP="00EC3826">
      <w:pPr>
        <w:pStyle w:val="ListParagraph"/>
        <w:ind w:left="1080"/>
        <w:contextualSpacing/>
        <w:jc w:val="both"/>
        <w:rPr>
          <w:rFonts w:ascii="Arial" w:hAnsi="Arial" w:cs="Arial"/>
          <w:i/>
          <w:color w:val="3366FF"/>
        </w:rPr>
      </w:pPr>
    </w:p>
    <w:p w:rsidR="00EC3826" w:rsidRPr="00A17E25" w:rsidRDefault="00EC3826" w:rsidP="00EC3826">
      <w:pPr>
        <w:jc w:val="both"/>
        <w:rPr>
          <w:rFonts w:ascii="Arial" w:hAnsi="Arial" w:cs="Arial"/>
        </w:rPr>
      </w:pPr>
      <w:r w:rsidRPr="00A17E25">
        <w:rPr>
          <w:rFonts w:ascii="Arial" w:hAnsi="Arial" w:cs="Arial"/>
        </w:rPr>
        <w:t>Le cadre juridique de la gestion des finances publiques ne donne pas une définition précise des arriérés de paiement. Toutefois, le décret n° 2-09-441 du 17 moharrem 1431 (03 janvier 2010) portant règlement de la comptabilité publique des collectivités locales et de leurs groupements a fixé en ses articles 73 et 74 les délais de traitement des dossiers de dépenses et de paiement ainsi qu’il suit :</w:t>
      </w:r>
    </w:p>
    <w:p w:rsidR="00EC3826" w:rsidRPr="00A17E25" w:rsidRDefault="00EC3826" w:rsidP="00EC3826">
      <w:pPr>
        <w:pStyle w:val="ListParagraph"/>
        <w:numPr>
          <w:ilvl w:val="0"/>
          <w:numId w:val="33"/>
        </w:numPr>
        <w:jc w:val="both"/>
        <w:rPr>
          <w:rFonts w:ascii="Arial" w:hAnsi="Arial" w:cs="Arial"/>
        </w:rPr>
      </w:pPr>
      <w:r w:rsidRPr="00A17E25">
        <w:rPr>
          <w:rFonts w:ascii="Arial" w:hAnsi="Arial" w:cs="Arial"/>
        </w:rPr>
        <w:t>Pour l’ordonnateur : 60 jours à compter de la réception des prestations ;</w:t>
      </w:r>
    </w:p>
    <w:p w:rsidR="00EC3826" w:rsidRPr="00A17E25" w:rsidRDefault="00EC3826" w:rsidP="00EC3826">
      <w:pPr>
        <w:pStyle w:val="ListParagraph"/>
        <w:numPr>
          <w:ilvl w:val="0"/>
          <w:numId w:val="33"/>
        </w:numPr>
        <w:jc w:val="both"/>
        <w:rPr>
          <w:rFonts w:ascii="Arial" w:hAnsi="Arial" w:cs="Arial"/>
        </w:rPr>
      </w:pPr>
      <w:r w:rsidRPr="00A17E25">
        <w:rPr>
          <w:rFonts w:ascii="Arial" w:hAnsi="Arial" w:cs="Arial"/>
        </w:rPr>
        <w:t xml:space="preserve">Pour le comptable : </w:t>
      </w:r>
    </w:p>
    <w:p w:rsidR="00EC3826" w:rsidRPr="00A17E25" w:rsidRDefault="00EC3826" w:rsidP="00EC3826">
      <w:pPr>
        <w:pStyle w:val="ListParagraph"/>
        <w:numPr>
          <w:ilvl w:val="0"/>
          <w:numId w:val="34"/>
        </w:numPr>
        <w:jc w:val="both"/>
        <w:rPr>
          <w:rFonts w:ascii="Arial" w:hAnsi="Arial" w:cs="Arial"/>
        </w:rPr>
      </w:pPr>
      <w:r w:rsidRPr="00A17E25">
        <w:rPr>
          <w:rFonts w:ascii="Arial" w:hAnsi="Arial" w:cs="Arial"/>
        </w:rPr>
        <w:t>03 jours pour les dépenses de personnel ;</w:t>
      </w:r>
    </w:p>
    <w:p w:rsidR="00EC3826" w:rsidRPr="00A17E25" w:rsidRDefault="00EC3826" w:rsidP="00EC3826">
      <w:pPr>
        <w:pStyle w:val="ListParagraph"/>
        <w:numPr>
          <w:ilvl w:val="0"/>
          <w:numId w:val="34"/>
        </w:numPr>
        <w:jc w:val="both"/>
        <w:rPr>
          <w:rFonts w:ascii="Arial" w:hAnsi="Arial" w:cs="Arial"/>
        </w:rPr>
      </w:pPr>
      <w:r w:rsidRPr="00A17E25">
        <w:rPr>
          <w:rFonts w:ascii="Arial" w:hAnsi="Arial" w:cs="Arial"/>
        </w:rPr>
        <w:t>05 jours pour les autres dépenses.</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Suivant les règles applicables en matière d’exécution des dépenses, l’ordonnateur ne peut émettre un mandat de paiement que si les ressources nécessaires pour assurer son règlement sont disponibles et l’indisponibilité de ressources constitue un motif de rejet des titres de paiement par le comptable public sans possibilité de réquisition. En conséquence, les risques d’accumulation de dépenses impayées au niveau du comptable public sont minimes. En revanche, étant donné que cette régulation ne se fait pas au stade de l’engagement de la dépense par l’ordonnateur, il y a un risque d’accumulation d’arriérés à son niveau. Or, aucun mécanisme n’est en place pour appréhender et produire des données sur les factures qui restent non traitées au niveau des services de l’ordonnateur au-delà des 60 jours prescrits par le règlement de la comptabilité publique. La seule information disponible à la clôture d’un exercice est le montant des crédits à reporter qui est la différence entre les crédits ouverts et les mandats visés par le comptable. Tel que calculé, ces crédits reportés intègrent non seulement les engagements ayant donné lieu à réalisation de prestations et qui n’ont pas été ordonnancés à la clôture de l’exercice, mais aussi ceux qui n’ont pas donné lieu à réception des prestations. Les services de la </w:t>
      </w:r>
      <w:r w:rsidR="00482393">
        <w:rPr>
          <w:rFonts w:ascii="Arial" w:hAnsi="Arial" w:cs="Arial"/>
        </w:rPr>
        <w:t>CC</w:t>
      </w:r>
      <w:r w:rsidRPr="00A17E25">
        <w:rPr>
          <w:rFonts w:ascii="Arial" w:hAnsi="Arial" w:cs="Arial"/>
        </w:rPr>
        <w:t xml:space="preserve"> </w:t>
      </w:r>
      <w:r w:rsidR="00AE487B">
        <w:rPr>
          <w:rFonts w:ascii="Arial" w:hAnsi="Arial" w:cs="Arial"/>
        </w:rPr>
        <w:t>préparent un état détaillé par marché, contrat ou bon de commande faisant ressortir par opération et contractant les engagements, les ordonnancements, les paiements et les restes à payer. Toutefois, cet état ne fournit pas des informations</w:t>
      </w:r>
      <w:r w:rsidRPr="00A17E25">
        <w:rPr>
          <w:rFonts w:ascii="Arial" w:hAnsi="Arial" w:cs="Arial"/>
        </w:rPr>
        <w:t xml:space="preserve"> </w:t>
      </w:r>
      <w:r w:rsidR="00AE487B">
        <w:rPr>
          <w:rFonts w:ascii="Arial" w:hAnsi="Arial" w:cs="Arial"/>
        </w:rPr>
        <w:t>sur</w:t>
      </w:r>
      <w:r w:rsidRPr="00A17E25">
        <w:rPr>
          <w:rFonts w:ascii="Arial" w:hAnsi="Arial" w:cs="Arial"/>
        </w:rPr>
        <w:t xml:space="preserve"> les montants des engagements ayant donné lieu à réception mais qui n’ont pas été ordonnancés à la clôture </w:t>
      </w:r>
      <w:r w:rsidR="00AE487B">
        <w:rPr>
          <w:rFonts w:ascii="Arial" w:hAnsi="Arial" w:cs="Arial"/>
        </w:rPr>
        <w:t>des exercices.</w:t>
      </w:r>
    </w:p>
    <w:p w:rsidR="00EC3826" w:rsidRPr="00A17E25" w:rsidRDefault="00EC3826" w:rsidP="00EC3826">
      <w:pPr>
        <w:jc w:val="both"/>
        <w:rPr>
          <w:rFonts w:ascii="Arial" w:hAnsi="Arial" w:cs="Arial"/>
        </w:rPr>
      </w:pPr>
    </w:p>
    <w:p w:rsidR="0044265E" w:rsidRPr="00C92388" w:rsidRDefault="00EC3826" w:rsidP="00C92388">
      <w:pPr>
        <w:jc w:val="both"/>
      </w:pPr>
      <w:r>
        <w:rPr>
          <w:rFonts w:ascii="Arial" w:hAnsi="Arial" w:cs="Arial"/>
        </w:rPr>
        <w:t>Sur un autre plan, à</w:t>
      </w:r>
      <w:r w:rsidRPr="00A17E25">
        <w:rPr>
          <w:rFonts w:ascii="Arial" w:hAnsi="Arial" w:cs="Arial"/>
        </w:rPr>
        <w:t xml:space="preserve"> la fin de l’année 2012, la </w:t>
      </w:r>
      <w:r w:rsidR="00482393">
        <w:rPr>
          <w:rFonts w:ascii="Arial" w:hAnsi="Arial" w:cs="Arial"/>
        </w:rPr>
        <w:t>CC</w:t>
      </w:r>
      <w:r w:rsidRPr="00A17E25">
        <w:rPr>
          <w:rFonts w:ascii="Arial" w:hAnsi="Arial" w:cs="Arial"/>
        </w:rPr>
        <w:t xml:space="preserve"> a fait conjointement avec la Lyonnaise des Eaux de Casablanca (LYDEC) le point des arriérés de paiement vis-à-vis de cette dernière. De ce point, il ressort que la </w:t>
      </w:r>
      <w:r w:rsidR="00482393">
        <w:rPr>
          <w:rFonts w:ascii="Arial" w:hAnsi="Arial" w:cs="Arial"/>
        </w:rPr>
        <w:t>CC</w:t>
      </w:r>
      <w:r w:rsidRPr="00A17E25">
        <w:rPr>
          <w:rFonts w:ascii="Arial" w:hAnsi="Arial" w:cs="Arial"/>
        </w:rPr>
        <w:t xml:space="preserve"> restait </w:t>
      </w:r>
      <w:r>
        <w:rPr>
          <w:rFonts w:ascii="Arial" w:hAnsi="Arial" w:cs="Arial"/>
        </w:rPr>
        <w:t>redevable</w:t>
      </w:r>
      <w:r w:rsidRPr="00A17E25">
        <w:rPr>
          <w:rFonts w:ascii="Arial" w:hAnsi="Arial" w:cs="Arial"/>
        </w:rPr>
        <w:t xml:space="preserve"> à la LYDEC au 31 décembre 2012, 328 121 521 dirhams dont 300 305 265 dirhams au titre des consommations d’eau, d’électricité et d’assainissement liquide, et 27 816 256 dirhams pour des travaux réalisés. La </w:t>
      </w:r>
      <w:r w:rsidR="00482393">
        <w:rPr>
          <w:rFonts w:ascii="Arial" w:hAnsi="Arial" w:cs="Arial"/>
        </w:rPr>
        <w:t>CC</w:t>
      </w:r>
      <w:r w:rsidRPr="00A17E25">
        <w:rPr>
          <w:rFonts w:ascii="Arial" w:hAnsi="Arial" w:cs="Arial"/>
        </w:rPr>
        <w:t xml:space="preserve"> a signé le 31 décembre 2012 un protocole d’accord avec la LYDEC en vue de leur apurement sur quatre ans à compter de 2013. Le plan d’apurement des arriérés de paiement convenu avec la LYDEC a été respecté en 2013 et en 2014, mais la </w:t>
      </w:r>
      <w:r w:rsidR="00482393">
        <w:rPr>
          <w:rFonts w:ascii="Arial" w:hAnsi="Arial" w:cs="Arial"/>
        </w:rPr>
        <w:t>CC</w:t>
      </w:r>
      <w:r w:rsidRPr="00A17E25">
        <w:rPr>
          <w:rFonts w:ascii="Arial" w:hAnsi="Arial" w:cs="Arial"/>
        </w:rPr>
        <w:t xml:space="preserve"> a continué par accumuler des arriérés  de paiement vis-à-vis de cette société. Des échanges que la mission a eus avec les services de la </w:t>
      </w:r>
      <w:r w:rsidR="00482393">
        <w:rPr>
          <w:rFonts w:ascii="Arial" w:hAnsi="Arial" w:cs="Arial"/>
        </w:rPr>
        <w:t>CC</w:t>
      </w:r>
      <w:r w:rsidRPr="00A17E25">
        <w:rPr>
          <w:rFonts w:ascii="Arial" w:hAnsi="Arial" w:cs="Arial"/>
        </w:rPr>
        <w:t>, les nouvelles accumulations d’arriérés de paiement constatées sont dues à l’insuffisance des crédits ouverts au titre de ces dépenses. L’évolution de ces arriérés de 2013 à 2014 est présentée dans le tableau ci-dessous.</w:t>
      </w:r>
    </w:p>
    <w:p w:rsidR="0044265E" w:rsidRDefault="0044265E" w:rsidP="00EC3826">
      <w:pPr>
        <w:jc w:val="center"/>
        <w:rPr>
          <w:rFonts w:ascii="Arial Narrow" w:hAnsi="Arial Narrow"/>
          <w:b/>
          <w:sz w:val="20"/>
          <w:szCs w:val="20"/>
          <w:u w:val="single"/>
        </w:rPr>
      </w:pPr>
    </w:p>
    <w:p w:rsidR="0044265E" w:rsidRDefault="0044265E" w:rsidP="00EC3826">
      <w:pPr>
        <w:jc w:val="center"/>
        <w:rPr>
          <w:rFonts w:ascii="Arial Narrow" w:hAnsi="Arial Narrow"/>
          <w:b/>
          <w:sz w:val="20"/>
          <w:szCs w:val="20"/>
          <w:u w:val="single"/>
        </w:rPr>
      </w:pPr>
    </w:p>
    <w:p w:rsidR="00EC3826" w:rsidRPr="00A17E25" w:rsidRDefault="00EC3826" w:rsidP="00EC3826">
      <w:pPr>
        <w:jc w:val="center"/>
        <w:rPr>
          <w:rFonts w:ascii="Arial Narrow" w:hAnsi="Arial Narrow"/>
          <w:b/>
          <w:sz w:val="20"/>
          <w:szCs w:val="20"/>
        </w:rPr>
      </w:pPr>
      <w:r w:rsidRPr="003C1449">
        <w:rPr>
          <w:rFonts w:ascii="Arial Narrow" w:hAnsi="Arial Narrow"/>
          <w:b/>
          <w:sz w:val="20"/>
          <w:szCs w:val="20"/>
          <w:u w:val="single"/>
        </w:rPr>
        <w:t>TABLEAU</w:t>
      </w:r>
      <w:r>
        <w:rPr>
          <w:rFonts w:ascii="Arial Narrow" w:hAnsi="Arial Narrow"/>
          <w:b/>
          <w:sz w:val="20"/>
          <w:szCs w:val="20"/>
        </w:rPr>
        <w:t xml:space="preserve"> 3.20</w:t>
      </w:r>
      <w:r w:rsidRPr="00A17E25">
        <w:rPr>
          <w:rFonts w:ascii="Arial Narrow" w:hAnsi="Arial Narrow"/>
          <w:b/>
          <w:sz w:val="20"/>
          <w:szCs w:val="20"/>
        </w:rPr>
        <w:t xml:space="preserve"> : Evolution des arriérés de paiement de la </w:t>
      </w:r>
      <w:r w:rsidR="00482393">
        <w:rPr>
          <w:rFonts w:ascii="Arial Narrow" w:hAnsi="Arial Narrow"/>
          <w:b/>
          <w:sz w:val="20"/>
          <w:szCs w:val="20"/>
        </w:rPr>
        <w:t>CC</w:t>
      </w:r>
      <w:r w:rsidRPr="00A17E25">
        <w:rPr>
          <w:rFonts w:ascii="Arial Narrow" w:hAnsi="Arial Narrow"/>
          <w:b/>
          <w:sz w:val="20"/>
          <w:szCs w:val="20"/>
        </w:rPr>
        <w:t xml:space="preserve"> vis-à-vis de la LYDEC de 2012 à 2014</w:t>
      </w:r>
    </w:p>
    <w:p w:rsidR="0044265E" w:rsidRDefault="00EC3826" w:rsidP="00C92388">
      <w:pPr>
        <w:jc w:val="center"/>
        <w:rPr>
          <w:rFonts w:ascii="Arial Narrow" w:hAnsi="Arial Narrow"/>
          <w:sz w:val="20"/>
          <w:szCs w:val="20"/>
        </w:rPr>
      </w:pPr>
      <w:r w:rsidRPr="00A17E25">
        <w:rPr>
          <w:rFonts w:ascii="Arial Narrow" w:hAnsi="Arial Narrow"/>
          <w:sz w:val="20"/>
          <w:szCs w:val="20"/>
        </w:rPr>
        <w:t>(En dirhams)</w:t>
      </w:r>
    </w:p>
    <w:p w:rsidR="00C92388" w:rsidRPr="00C92388" w:rsidRDefault="00C92388" w:rsidP="00C92388">
      <w:pPr>
        <w:jc w:val="center"/>
        <w:rPr>
          <w:rFonts w:ascii="Arial Narrow" w:hAnsi="Arial Narrow"/>
          <w:sz w:val="20"/>
          <w:szCs w:val="20"/>
        </w:rPr>
      </w:pPr>
    </w:p>
    <w:tbl>
      <w:tblPr>
        <w:tblStyle w:val="TableGrid"/>
        <w:tblW w:w="5000" w:type="pct"/>
        <w:tblLook w:val="04A0" w:firstRow="1" w:lastRow="0" w:firstColumn="1" w:lastColumn="0" w:noHBand="0" w:noVBand="1"/>
      </w:tblPr>
      <w:tblGrid>
        <w:gridCol w:w="982"/>
        <w:gridCol w:w="2126"/>
        <w:gridCol w:w="2141"/>
        <w:gridCol w:w="2285"/>
        <w:gridCol w:w="1816"/>
      </w:tblGrid>
      <w:tr w:rsidR="00EC3826" w:rsidRPr="00A17E25" w:rsidTr="007547D5">
        <w:tc>
          <w:tcPr>
            <w:tcW w:w="525" w:type="pct"/>
            <w:shd w:val="clear" w:color="auto" w:fill="0070C0"/>
          </w:tcPr>
          <w:p w:rsidR="00EC3826" w:rsidRPr="00A17E25" w:rsidRDefault="00EC3826" w:rsidP="007547D5">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Année</w:t>
            </w:r>
          </w:p>
        </w:tc>
        <w:tc>
          <w:tcPr>
            <w:tcW w:w="1137" w:type="pct"/>
            <w:shd w:val="clear" w:color="auto" w:fill="0070C0"/>
          </w:tcPr>
          <w:p w:rsidR="00EC3826" w:rsidRPr="00A17E25" w:rsidRDefault="00EC3826" w:rsidP="007547D5">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Stock en début de période</w:t>
            </w:r>
          </w:p>
        </w:tc>
        <w:tc>
          <w:tcPr>
            <w:tcW w:w="1145" w:type="pct"/>
            <w:shd w:val="clear" w:color="auto" w:fill="0070C0"/>
          </w:tcPr>
          <w:p w:rsidR="00EC3826" w:rsidRPr="00A17E25" w:rsidRDefault="00EC3826" w:rsidP="007547D5">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Apurement de la période</w:t>
            </w:r>
          </w:p>
        </w:tc>
        <w:tc>
          <w:tcPr>
            <w:tcW w:w="1222" w:type="pct"/>
            <w:shd w:val="clear" w:color="auto" w:fill="0070C0"/>
          </w:tcPr>
          <w:p w:rsidR="00EC3826" w:rsidRPr="00A17E25" w:rsidRDefault="00EC3826" w:rsidP="007547D5">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Accumulation de la période</w:t>
            </w:r>
          </w:p>
        </w:tc>
        <w:tc>
          <w:tcPr>
            <w:tcW w:w="971" w:type="pct"/>
            <w:shd w:val="clear" w:color="auto" w:fill="0070C0"/>
          </w:tcPr>
          <w:p w:rsidR="00EC3826" w:rsidRPr="00A17E25" w:rsidRDefault="00EC3826" w:rsidP="007547D5">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Stock fin de période</w:t>
            </w:r>
          </w:p>
          <w:p w:rsidR="00EC3826" w:rsidRPr="00A17E25" w:rsidRDefault="00EC3826" w:rsidP="007547D5">
            <w:pPr>
              <w:jc w:val="center"/>
              <w:rPr>
                <w:rFonts w:ascii="Arial Narrow" w:hAnsi="Arial Narrow"/>
                <w:b/>
                <w:color w:val="FFFFFF" w:themeColor="background1"/>
                <w:sz w:val="20"/>
                <w:szCs w:val="20"/>
              </w:rPr>
            </w:pPr>
          </w:p>
        </w:tc>
      </w:tr>
      <w:tr w:rsidR="00EC3826" w:rsidRPr="00A17E25" w:rsidTr="007547D5">
        <w:trPr>
          <w:trHeight w:val="50"/>
        </w:trPr>
        <w:tc>
          <w:tcPr>
            <w:tcW w:w="525" w:type="pct"/>
          </w:tcPr>
          <w:p w:rsidR="00EC3826" w:rsidRPr="00A17E25" w:rsidRDefault="00EC3826" w:rsidP="007547D5">
            <w:pPr>
              <w:keepNext/>
              <w:keepLines/>
              <w:spacing w:before="200"/>
              <w:outlineLvl w:val="3"/>
              <w:rPr>
                <w:rFonts w:ascii="Arial Narrow" w:hAnsi="Arial Narrow"/>
                <w:sz w:val="20"/>
                <w:szCs w:val="20"/>
              </w:rPr>
            </w:pPr>
            <w:r w:rsidRPr="00A17E25">
              <w:rPr>
                <w:rFonts w:ascii="Arial Narrow" w:hAnsi="Arial Narrow"/>
                <w:sz w:val="20"/>
                <w:szCs w:val="20"/>
              </w:rPr>
              <w:t>2012</w:t>
            </w:r>
          </w:p>
        </w:tc>
        <w:tc>
          <w:tcPr>
            <w:tcW w:w="1137" w:type="pct"/>
          </w:tcPr>
          <w:p w:rsidR="00EC3826" w:rsidRPr="00A17E25" w:rsidRDefault="00EC3826" w:rsidP="007547D5">
            <w:pPr>
              <w:keepNext/>
              <w:keepLines/>
              <w:spacing w:before="200"/>
              <w:jc w:val="right"/>
              <w:outlineLvl w:val="3"/>
              <w:rPr>
                <w:rFonts w:ascii="Arial Narrow" w:hAnsi="Arial Narrow"/>
                <w:sz w:val="20"/>
                <w:szCs w:val="20"/>
              </w:rPr>
            </w:pPr>
            <w:r>
              <w:rPr>
                <w:rFonts w:ascii="Arial Narrow" w:hAnsi="Arial Narrow"/>
                <w:sz w:val="20"/>
                <w:szCs w:val="20"/>
              </w:rPr>
              <w:t>-</w:t>
            </w:r>
          </w:p>
        </w:tc>
        <w:tc>
          <w:tcPr>
            <w:tcW w:w="1145" w:type="pct"/>
          </w:tcPr>
          <w:p w:rsidR="00EC3826" w:rsidRPr="00A17E25" w:rsidRDefault="00EC3826" w:rsidP="007547D5">
            <w:pPr>
              <w:keepNext/>
              <w:keepLines/>
              <w:spacing w:before="200"/>
              <w:jc w:val="right"/>
              <w:outlineLvl w:val="3"/>
              <w:rPr>
                <w:rFonts w:ascii="Arial Narrow" w:hAnsi="Arial Narrow"/>
                <w:sz w:val="20"/>
                <w:szCs w:val="20"/>
              </w:rPr>
            </w:pPr>
            <w:r>
              <w:rPr>
                <w:rFonts w:ascii="Arial Narrow" w:hAnsi="Arial Narrow"/>
                <w:sz w:val="20"/>
                <w:szCs w:val="20"/>
              </w:rPr>
              <w:t>-</w:t>
            </w:r>
          </w:p>
        </w:tc>
        <w:tc>
          <w:tcPr>
            <w:tcW w:w="1222" w:type="pct"/>
          </w:tcPr>
          <w:p w:rsidR="00EC3826" w:rsidRPr="00A17E25" w:rsidRDefault="00EC3826" w:rsidP="007547D5">
            <w:pPr>
              <w:keepNext/>
              <w:keepLines/>
              <w:spacing w:before="200"/>
              <w:jc w:val="center"/>
              <w:outlineLvl w:val="3"/>
              <w:rPr>
                <w:rFonts w:ascii="Arial Narrow" w:hAnsi="Arial Narrow"/>
                <w:sz w:val="20"/>
                <w:szCs w:val="20"/>
              </w:rPr>
            </w:pPr>
            <w:r>
              <w:rPr>
                <w:rFonts w:ascii="Arial Narrow" w:hAnsi="Arial Narrow"/>
                <w:sz w:val="20"/>
                <w:szCs w:val="20"/>
              </w:rPr>
              <w:t>-</w:t>
            </w:r>
          </w:p>
        </w:tc>
        <w:tc>
          <w:tcPr>
            <w:tcW w:w="971" w:type="pct"/>
            <w:vAlign w:val="bottom"/>
          </w:tcPr>
          <w:p w:rsidR="00EC3826" w:rsidRPr="00A17E25" w:rsidRDefault="00EC3826" w:rsidP="007547D5">
            <w:pPr>
              <w:jc w:val="right"/>
              <w:rPr>
                <w:rFonts w:ascii="Arial Narrow" w:hAnsi="Arial Narrow"/>
                <w:sz w:val="20"/>
                <w:szCs w:val="20"/>
              </w:rPr>
            </w:pPr>
            <w:r w:rsidRPr="00A17E25">
              <w:rPr>
                <w:rFonts w:ascii="Arial Narrow" w:hAnsi="Arial Narrow"/>
                <w:sz w:val="20"/>
                <w:szCs w:val="20"/>
              </w:rPr>
              <w:t>328 121 521</w:t>
            </w:r>
          </w:p>
        </w:tc>
      </w:tr>
      <w:tr w:rsidR="00EC3826" w:rsidRPr="00A17E25" w:rsidTr="007547D5">
        <w:tc>
          <w:tcPr>
            <w:tcW w:w="525" w:type="pct"/>
          </w:tcPr>
          <w:p w:rsidR="00EC3826" w:rsidRPr="00A17E25" w:rsidRDefault="00EC3826" w:rsidP="007547D5">
            <w:pPr>
              <w:keepNext/>
              <w:keepLines/>
              <w:spacing w:before="200"/>
              <w:outlineLvl w:val="2"/>
              <w:rPr>
                <w:rFonts w:ascii="Arial Narrow" w:hAnsi="Arial Narrow"/>
                <w:sz w:val="20"/>
                <w:szCs w:val="20"/>
              </w:rPr>
            </w:pPr>
            <w:bookmarkStart w:id="196" w:name="_Toc434916132"/>
            <w:bookmarkStart w:id="197" w:name="_Toc434918346"/>
            <w:r w:rsidRPr="00A17E25">
              <w:rPr>
                <w:rFonts w:ascii="Arial Narrow" w:hAnsi="Arial Narrow"/>
                <w:sz w:val="20"/>
                <w:szCs w:val="20"/>
              </w:rPr>
              <w:t>2013</w:t>
            </w:r>
            <w:bookmarkEnd w:id="196"/>
            <w:bookmarkEnd w:id="197"/>
          </w:p>
        </w:tc>
        <w:tc>
          <w:tcPr>
            <w:tcW w:w="1137"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328 121 521</w:t>
            </w:r>
          </w:p>
        </w:tc>
        <w:tc>
          <w:tcPr>
            <w:tcW w:w="1145"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82 121 521</w:t>
            </w:r>
          </w:p>
        </w:tc>
        <w:tc>
          <w:tcPr>
            <w:tcW w:w="1222"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15 870 996</w:t>
            </w:r>
          </w:p>
        </w:tc>
        <w:tc>
          <w:tcPr>
            <w:tcW w:w="971" w:type="pct"/>
          </w:tcPr>
          <w:p w:rsidR="00EC3826" w:rsidRPr="00A17E25" w:rsidRDefault="00EC3826" w:rsidP="007547D5">
            <w:pPr>
              <w:jc w:val="right"/>
              <w:rPr>
                <w:rFonts w:ascii="Arial Narrow" w:hAnsi="Arial Narrow"/>
                <w:sz w:val="20"/>
                <w:szCs w:val="20"/>
              </w:rPr>
            </w:pPr>
          </w:p>
          <w:p w:rsidR="00EC3826" w:rsidRPr="00A17E25" w:rsidRDefault="00EC3826" w:rsidP="007547D5">
            <w:pPr>
              <w:jc w:val="right"/>
              <w:rPr>
                <w:rFonts w:ascii="Arial Narrow" w:hAnsi="Arial Narrow"/>
                <w:sz w:val="20"/>
                <w:szCs w:val="20"/>
              </w:rPr>
            </w:pPr>
            <w:r w:rsidRPr="00A17E25">
              <w:rPr>
                <w:rFonts w:ascii="Arial Narrow" w:hAnsi="Arial Narrow"/>
                <w:sz w:val="20"/>
                <w:szCs w:val="20"/>
              </w:rPr>
              <w:t>261 870 99§</w:t>
            </w:r>
          </w:p>
        </w:tc>
      </w:tr>
      <w:tr w:rsidR="00EC3826" w:rsidRPr="00A17E25" w:rsidTr="007547D5">
        <w:tc>
          <w:tcPr>
            <w:tcW w:w="525" w:type="pct"/>
          </w:tcPr>
          <w:p w:rsidR="00EC3826" w:rsidRPr="00A17E25" w:rsidRDefault="00EC3826" w:rsidP="007547D5">
            <w:pPr>
              <w:keepNext/>
              <w:keepLines/>
              <w:spacing w:before="200"/>
              <w:outlineLvl w:val="3"/>
              <w:rPr>
                <w:rFonts w:ascii="Arial Narrow" w:hAnsi="Arial Narrow"/>
                <w:sz w:val="20"/>
                <w:szCs w:val="20"/>
              </w:rPr>
            </w:pPr>
            <w:r w:rsidRPr="00A17E25">
              <w:rPr>
                <w:rFonts w:ascii="Arial Narrow" w:hAnsi="Arial Narrow"/>
                <w:sz w:val="20"/>
                <w:szCs w:val="20"/>
              </w:rPr>
              <w:t>2014</w:t>
            </w:r>
          </w:p>
        </w:tc>
        <w:tc>
          <w:tcPr>
            <w:tcW w:w="1137"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261 870 996</w:t>
            </w:r>
          </w:p>
        </w:tc>
        <w:tc>
          <w:tcPr>
            <w:tcW w:w="1145"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82 000 000</w:t>
            </w:r>
          </w:p>
        </w:tc>
        <w:tc>
          <w:tcPr>
            <w:tcW w:w="1222" w:type="pct"/>
          </w:tcPr>
          <w:p w:rsidR="00EC3826" w:rsidRPr="00A17E25" w:rsidRDefault="00EC3826" w:rsidP="007547D5">
            <w:pPr>
              <w:keepNext/>
              <w:keepLines/>
              <w:spacing w:before="200"/>
              <w:jc w:val="right"/>
              <w:outlineLvl w:val="3"/>
              <w:rPr>
                <w:rFonts w:ascii="Arial Narrow" w:hAnsi="Arial Narrow"/>
                <w:sz w:val="20"/>
                <w:szCs w:val="20"/>
              </w:rPr>
            </w:pPr>
            <w:r w:rsidRPr="00A17E25">
              <w:rPr>
                <w:rFonts w:ascii="Arial Narrow" w:hAnsi="Arial Narrow"/>
                <w:sz w:val="20"/>
                <w:szCs w:val="20"/>
              </w:rPr>
              <w:t>57 890 285</w:t>
            </w:r>
          </w:p>
        </w:tc>
        <w:tc>
          <w:tcPr>
            <w:tcW w:w="971" w:type="pct"/>
          </w:tcPr>
          <w:p w:rsidR="00EC3826" w:rsidRPr="00A17E25" w:rsidRDefault="00EC3826" w:rsidP="007547D5">
            <w:pPr>
              <w:jc w:val="right"/>
              <w:rPr>
                <w:rFonts w:ascii="Arial Narrow" w:hAnsi="Arial Narrow"/>
                <w:sz w:val="20"/>
                <w:szCs w:val="20"/>
              </w:rPr>
            </w:pPr>
          </w:p>
          <w:p w:rsidR="00EC3826" w:rsidRPr="00A17E25" w:rsidRDefault="00EC3826" w:rsidP="007547D5">
            <w:pPr>
              <w:jc w:val="right"/>
              <w:rPr>
                <w:rFonts w:ascii="Arial Narrow" w:hAnsi="Arial Narrow"/>
                <w:sz w:val="20"/>
                <w:szCs w:val="20"/>
              </w:rPr>
            </w:pPr>
            <w:r w:rsidRPr="00A17E25">
              <w:rPr>
                <w:rFonts w:ascii="Arial Narrow" w:hAnsi="Arial Narrow"/>
                <w:sz w:val="20"/>
                <w:szCs w:val="20"/>
              </w:rPr>
              <w:t>237 761 281</w:t>
            </w:r>
          </w:p>
        </w:tc>
      </w:tr>
    </w:tbl>
    <w:p w:rsidR="00EC3826" w:rsidRPr="00A17E25" w:rsidRDefault="00EC3826" w:rsidP="00EC3826">
      <w:pPr>
        <w:jc w:val="center"/>
      </w:pPr>
      <w:r w:rsidRPr="00A17E25">
        <w:rPr>
          <w:rFonts w:ascii="Arial Narrow" w:hAnsi="Arial Narrow"/>
          <w:sz w:val="20"/>
          <w:szCs w:val="20"/>
          <w:u w:val="single"/>
        </w:rPr>
        <w:t>Source </w:t>
      </w:r>
      <w:r w:rsidRPr="00A17E25">
        <w:rPr>
          <w:rFonts w:ascii="Arial Narrow" w:hAnsi="Arial Narrow"/>
          <w:sz w:val="20"/>
          <w:szCs w:val="20"/>
        </w:rPr>
        <w:t>: Service de suivi de l’éclairage public et des points d’eau/</w:t>
      </w:r>
      <w:r w:rsidR="00482393">
        <w:rPr>
          <w:rFonts w:ascii="Arial Narrow" w:hAnsi="Arial Narrow"/>
          <w:sz w:val="20"/>
          <w:szCs w:val="20"/>
        </w:rPr>
        <w:t>CC</w:t>
      </w:r>
    </w:p>
    <w:p w:rsidR="00EC3826" w:rsidRPr="00A17E25" w:rsidRDefault="00EC3826" w:rsidP="00EC3826"/>
    <w:p w:rsidR="00EC3826" w:rsidRPr="00A17E25" w:rsidRDefault="00EC3826" w:rsidP="00EC3826">
      <w:pPr>
        <w:jc w:val="both"/>
        <w:rPr>
          <w:rFonts w:ascii="Arial" w:hAnsi="Arial" w:cs="Arial"/>
        </w:rPr>
      </w:pPr>
      <w:r w:rsidRPr="00A17E25">
        <w:rPr>
          <w:rFonts w:ascii="Arial" w:hAnsi="Arial" w:cs="Arial"/>
        </w:rPr>
        <w:t xml:space="preserve">Les arriérés de paiement de la </w:t>
      </w:r>
      <w:r w:rsidR="00482393">
        <w:rPr>
          <w:rFonts w:ascii="Arial" w:hAnsi="Arial" w:cs="Arial"/>
        </w:rPr>
        <w:t>CC</w:t>
      </w:r>
      <w:r w:rsidRPr="00A17E25">
        <w:rPr>
          <w:rFonts w:ascii="Arial" w:hAnsi="Arial" w:cs="Arial"/>
        </w:rPr>
        <w:t xml:space="preserve"> vis-à-vis de la LYDEC se chiffrent donc à 237761281 dirhams au 31 décembre 2014.</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En outre, la mission a été informée que la </w:t>
      </w:r>
      <w:r w:rsidR="00482393">
        <w:rPr>
          <w:rFonts w:ascii="Arial" w:hAnsi="Arial" w:cs="Arial"/>
        </w:rPr>
        <w:t>CC</w:t>
      </w:r>
      <w:r w:rsidRPr="00A17E25">
        <w:rPr>
          <w:rFonts w:ascii="Arial" w:hAnsi="Arial" w:cs="Arial"/>
        </w:rPr>
        <w:t xml:space="preserve"> reste </w:t>
      </w:r>
      <w:r>
        <w:rPr>
          <w:rFonts w:ascii="Arial" w:hAnsi="Arial" w:cs="Arial"/>
        </w:rPr>
        <w:t>redevable</w:t>
      </w:r>
      <w:r w:rsidRPr="00A17E25">
        <w:rPr>
          <w:rFonts w:ascii="Arial" w:hAnsi="Arial" w:cs="Arial"/>
        </w:rPr>
        <w:t xml:space="preserve"> à fin mars 2014 aux anciens prestataires qui assuraient le ramassage des ordures et le traitement des déchets environ 200 millions de dirhams.  </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S’agissant des dépenses de personnel, des entretiens que la mission a eus avec la division des ressources humaines (DRH) de la </w:t>
      </w:r>
      <w:r w:rsidR="00482393">
        <w:rPr>
          <w:rFonts w:ascii="Arial" w:hAnsi="Arial" w:cs="Arial"/>
        </w:rPr>
        <w:t>CC</w:t>
      </w:r>
      <w:r w:rsidRPr="00A17E25">
        <w:rPr>
          <w:rFonts w:ascii="Arial" w:hAnsi="Arial" w:cs="Arial"/>
        </w:rPr>
        <w:t xml:space="preserve">, il ressort que la Ville </w:t>
      </w:r>
      <w:r>
        <w:rPr>
          <w:rFonts w:ascii="Arial" w:hAnsi="Arial" w:cs="Arial"/>
        </w:rPr>
        <w:t>redevable</w:t>
      </w:r>
      <w:r w:rsidRPr="00A17E25">
        <w:rPr>
          <w:rFonts w:ascii="Arial" w:hAnsi="Arial" w:cs="Arial"/>
        </w:rPr>
        <w:t xml:space="preserve"> devoir à la Caisse Marocaine de Retraite des cotisations sociales. Toutefois, les deux parties ne sont pas encore arrivées à s’accorder sur leur montant. La DRH estime à quelque 4 millions de dirhams le montant de cette dette sociale.</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rPr>
      </w:pPr>
      <w:r w:rsidRPr="00A17E25">
        <w:rPr>
          <w:rFonts w:ascii="Arial" w:hAnsi="Arial" w:cs="Arial"/>
        </w:rPr>
        <w:t xml:space="preserve">Sur la base de ces données partielles disponibles, les arriérés de paiement au 31 décembre 2014 peuvent être estimés au minimum à 441 761 281 dirhams (237761281 + 200000000 + 4000000), soit </w:t>
      </w:r>
      <w:r w:rsidR="00586C6E">
        <w:rPr>
          <w:rFonts w:ascii="Arial" w:hAnsi="Arial" w:cs="Arial"/>
        </w:rPr>
        <w:t xml:space="preserve">plus de </w:t>
      </w:r>
      <w:r w:rsidRPr="00A17E25">
        <w:rPr>
          <w:rFonts w:ascii="Arial" w:hAnsi="Arial" w:cs="Arial"/>
        </w:rPr>
        <w:t>13% des dépenses totales  de 2014 qui se montent à 3262740000 dirhams.</w:t>
      </w:r>
    </w:p>
    <w:p w:rsidR="00EC3826" w:rsidRPr="00A17E25" w:rsidRDefault="00EC3826" w:rsidP="00EC3826">
      <w:pPr>
        <w:jc w:val="both"/>
        <w:rPr>
          <w:rFonts w:ascii="Arial" w:hAnsi="Arial" w:cs="Arial"/>
        </w:rPr>
      </w:pPr>
    </w:p>
    <w:p w:rsidR="00EC3826" w:rsidRPr="00A17E25" w:rsidRDefault="00EC3826" w:rsidP="00EC3826">
      <w:pPr>
        <w:jc w:val="both"/>
        <w:rPr>
          <w:rFonts w:ascii="Arial" w:hAnsi="Arial" w:cs="Arial"/>
          <w:sz w:val="20"/>
          <w:szCs w:val="20"/>
        </w:rPr>
      </w:pPr>
      <w:r w:rsidRPr="00A17E25">
        <w:rPr>
          <w:rFonts w:ascii="Arial" w:hAnsi="Arial" w:cs="Arial"/>
        </w:rPr>
        <w:t>En conclusion, les procédures d’exécution des dépenses et d’enregistrement des opérations budgétaires en place ne permettent pas de générer les données sur les arriérés de paiement de dépenses. Sur la base des informations partielles disponibles, le stock des arriérés à fin décembre 2014 est supérieur à 10</w:t>
      </w:r>
      <w:r w:rsidR="003935A7">
        <w:rPr>
          <w:rFonts w:ascii="Arial" w:hAnsi="Arial" w:cs="Arial"/>
        </w:rPr>
        <w:t>% des dépenses totales.</w:t>
      </w:r>
      <w:r w:rsidRPr="00A17E25">
        <w:rPr>
          <w:rFonts w:ascii="Arial" w:hAnsi="Arial" w:cs="Arial"/>
        </w:rPr>
        <w:t xml:space="preserve"> Le seul inventaire ponctuel organisé au cours des trois exercices couverts par l’évaluation n’a porté que sur les arriérés vis-à-vis de la LYDEC.</w:t>
      </w:r>
    </w:p>
    <w:p w:rsidR="007577F6" w:rsidRDefault="007577F6" w:rsidP="00EC382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983"/>
        <w:gridCol w:w="4879"/>
      </w:tblGrid>
      <w:tr w:rsidR="00EC3826" w:rsidRPr="00A17E25" w:rsidTr="00206632">
        <w:tc>
          <w:tcPr>
            <w:tcW w:w="3510" w:type="dxa"/>
            <w:shd w:val="clear" w:color="auto" w:fill="0070C0"/>
          </w:tcPr>
          <w:p w:rsidR="00EC3826" w:rsidRPr="00A17E25" w:rsidRDefault="00EC3826" w:rsidP="007547D5">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990" w:type="dxa"/>
            <w:shd w:val="clear" w:color="auto" w:fill="0070C0"/>
          </w:tcPr>
          <w:p w:rsidR="00EC3826" w:rsidRPr="00A17E25" w:rsidRDefault="00EC3826" w:rsidP="007547D5">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4945" w:type="dxa"/>
            <w:shd w:val="clear" w:color="auto" w:fill="0070C0"/>
          </w:tcPr>
          <w:p w:rsidR="00EC3826" w:rsidRPr="00A17E25" w:rsidRDefault="00EC3826" w:rsidP="007547D5">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EC3826" w:rsidRPr="00A17E25" w:rsidTr="00206632">
        <w:tc>
          <w:tcPr>
            <w:tcW w:w="3510" w:type="dxa"/>
          </w:tcPr>
          <w:p w:rsidR="00EC3826" w:rsidRPr="00A17E25" w:rsidRDefault="00EC3826" w:rsidP="007547D5">
            <w:pPr>
              <w:jc w:val="both"/>
              <w:rPr>
                <w:rFonts w:ascii="Arial" w:hAnsi="Arial" w:cs="Arial"/>
                <w:b/>
                <w:bCs/>
                <w:sz w:val="20"/>
                <w:szCs w:val="20"/>
              </w:rPr>
            </w:pPr>
          </w:p>
          <w:p w:rsidR="00EC3826" w:rsidRPr="00A17E25" w:rsidRDefault="00EC3826" w:rsidP="007547D5">
            <w:pPr>
              <w:jc w:val="both"/>
              <w:rPr>
                <w:rFonts w:ascii="Arial" w:hAnsi="Arial" w:cs="Arial"/>
                <w:sz w:val="20"/>
                <w:szCs w:val="20"/>
              </w:rPr>
            </w:pPr>
            <w:r w:rsidRPr="00A17E25">
              <w:rPr>
                <w:rFonts w:ascii="Arial" w:hAnsi="Arial" w:cs="Arial"/>
                <w:b/>
                <w:bCs/>
                <w:sz w:val="20"/>
                <w:szCs w:val="20"/>
              </w:rPr>
              <w:t>PI-13 Gestion des arriérés au titre de la dette et des dépenses et présentation des rapports sur les arriérés</w:t>
            </w:r>
          </w:p>
        </w:tc>
        <w:tc>
          <w:tcPr>
            <w:tcW w:w="990" w:type="dxa"/>
            <w:vAlign w:val="center"/>
          </w:tcPr>
          <w:p w:rsidR="00EC3826" w:rsidRPr="00A17E25" w:rsidRDefault="00EC3826" w:rsidP="007547D5">
            <w:pPr>
              <w:jc w:val="center"/>
              <w:rPr>
                <w:rFonts w:ascii="Arial" w:hAnsi="Arial" w:cs="Arial"/>
                <w:b/>
                <w:bCs/>
                <w:sz w:val="20"/>
                <w:szCs w:val="20"/>
              </w:rPr>
            </w:pPr>
            <w:r>
              <w:rPr>
                <w:rFonts w:ascii="Arial" w:hAnsi="Arial" w:cs="Arial"/>
                <w:b/>
                <w:bCs/>
                <w:sz w:val="20"/>
                <w:szCs w:val="20"/>
              </w:rPr>
              <w:t>D</w:t>
            </w:r>
            <w:r w:rsidRPr="00A17E25">
              <w:rPr>
                <w:rFonts w:ascii="Arial" w:hAnsi="Arial" w:cs="Arial"/>
                <w:b/>
                <w:bCs/>
                <w:sz w:val="20"/>
                <w:szCs w:val="20"/>
              </w:rPr>
              <w:t>+</w:t>
            </w:r>
          </w:p>
        </w:tc>
        <w:tc>
          <w:tcPr>
            <w:tcW w:w="4945" w:type="dxa"/>
            <w:vAlign w:val="center"/>
          </w:tcPr>
          <w:p w:rsidR="00EC3826" w:rsidRPr="00A17E25" w:rsidRDefault="00EC3826" w:rsidP="007547D5">
            <w:pPr>
              <w:jc w:val="center"/>
              <w:rPr>
                <w:rFonts w:ascii="Arial" w:hAnsi="Arial" w:cs="Arial"/>
                <w:b/>
                <w:bCs/>
                <w:sz w:val="20"/>
                <w:szCs w:val="20"/>
              </w:rPr>
            </w:pPr>
            <w:r w:rsidRPr="00A17E25">
              <w:rPr>
                <w:rFonts w:ascii="Arial" w:hAnsi="Arial" w:cs="Arial"/>
                <w:b/>
                <w:bCs/>
                <w:sz w:val="20"/>
                <w:szCs w:val="20"/>
              </w:rPr>
              <w:t>Méthode de Notation M2</w:t>
            </w:r>
          </w:p>
        </w:tc>
      </w:tr>
      <w:tr w:rsidR="00EC3826" w:rsidRPr="00A17E25" w:rsidTr="00206632">
        <w:tc>
          <w:tcPr>
            <w:tcW w:w="3510" w:type="dxa"/>
            <w:vAlign w:val="center"/>
          </w:tcPr>
          <w:p w:rsidR="00EC3826" w:rsidRPr="00A17E25" w:rsidRDefault="00EC3826" w:rsidP="007547D5">
            <w:pPr>
              <w:rPr>
                <w:rFonts w:ascii="Arial" w:hAnsi="Arial" w:cs="Arial"/>
                <w:sz w:val="20"/>
                <w:szCs w:val="20"/>
              </w:rPr>
            </w:pPr>
            <w:r w:rsidRPr="00A17E25">
              <w:rPr>
                <w:rFonts w:ascii="Arial" w:hAnsi="Arial" w:cs="Arial"/>
                <w:sz w:val="20"/>
                <w:szCs w:val="20"/>
              </w:rPr>
              <w:t>(i) Enregistrement et présentation des données de la dette intérieure et extérieure</w:t>
            </w:r>
          </w:p>
        </w:tc>
        <w:tc>
          <w:tcPr>
            <w:tcW w:w="990" w:type="dxa"/>
            <w:vAlign w:val="center"/>
          </w:tcPr>
          <w:p w:rsidR="00EC3826" w:rsidRPr="00A17E25" w:rsidRDefault="00EC3826" w:rsidP="007547D5">
            <w:pPr>
              <w:jc w:val="center"/>
              <w:rPr>
                <w:rFonts w:ascii="Arial" w:hAnsi="Arial" w:cs="Arial"/>
                <w:sz w:val="20"/>
                <w:szCs w:val="20"/>
              </w:rPr>
            </w:pPr>
            <w:r w:rsidRPr="00A17E25">
              <w:rPr>
                <w:rFonts w:ascii="Arial" w:hAnsi="Arial" w:cs="Arial"/>
                <w:sz w:val="20"/>
                <w:szCs w:val="20"/>
              </w:rPr>
              <w:t>C</w:t>
            </w:r>
          </w:p>
        </w:tc>
        <w:tc>
          <w:tcPr>
            <w:tcW w:w="4945" w:type="dxa"/>
          </w:tcPr>
          <w:p w:rsidR="00EC3826" w:rsidRPr="00A17E25" w:rsidRDefault="00EC3826" w:rsidP="007547D5">
            <w:pPr>
              <w:jc w:val="both"/>
              <w:rPr>
                <w:rFonts w:ascii="Arial" w:hAnsi="Arial" w:cs="Arial"/>
                <w:sz w:val="20"/>
                <w:szCs w:val="20"/>
              </w:rPr>
            </w:pPr>
            <w:r w:rsidRPr="00A17E25">
              <w:rPr>
                <w:rFonts w:ascii="Arial" w:hAnsi="Arial" w:cs="Arial"/>
                <w:sz w:val="20"/>
                <w:szCs w:val="20"/>
              </w:rPr>
              <w:t xml:space="preserve">Les données sur la dette intérieure et extérieure de la </w:t>
            </w:r>
            <w:r w:rsidR="00482393">
              <w:rPr>
                <w:rFonts w:ascii="Arial" w:hAnsi="Arial" w:cs="Arial"/>
                <w:sz w:val="20"/>
                <w:szCs w:val="20"/>
              </w:rPr>
              <w:t>CC</w:t>
            </w:r>
            <w:r w:rsidRPr="00A17E25">
              <w:rPr>
                <w:rFonts w:ascii="Arial" w:hAnsi="Arial" w:cs="Arial"/>
                <w:sz w:val="20"/>
                <w:szCs w:val="20"/>
              </w:rPr>
              <w:t xml:space="preserve"> sont de qualité relativement satisfaisante, mais des insuffisances sont relevées en matière de rapprochement de ces données et des rapports périodiques sur la dette ne sont pas produits.</w:t>
            </w:r>
          </w:p>
        </w:tc>
      </w:tr>
      <w:tr w:rsidR="00EC3826" w:rsidRPr="00A17E25" w:rsidTr="00206632">
        <w:tc>
          <w:tcPr>
            <w:tcW w:w="3510" w:type="dxa"/>
            <w:vAlign w:val="center"/>
          </w:tcPr>
          <w:p w:rsidR="00EC3826" w:rsidRPr="00A17E25" w:rsidRDefault="00EC3826" w:rsidP="007547D5">
            <w:pPr>
              <w:rPr>
                <w:rFonts w:ascii="Arial" w:hAnsi="Arial" w:cs="Arial"/>
                <w:sz w:val="20"/>
                <w:szCs w:val="20"/>
              </w:rPr>
            </w:pPr>
            <w:r w:rsidRPr="00A17E25">
              <w:rPr>
                <w:rFonts w:ascii="Arial" w:hAnsi="Arial" w:cs="Arial"/>
                <w:sz w:val="20"/>
                <w:szCs w:val="20"/>
              </w:rPr>
              <w:t xml:space="preserve">(ii) Systèmes établis pour la contraction d’emprunts et l’émission des garanties </w:t>
            </w:r>
          </w:p>
        </w:tc>
        <w:tc>
          <w:tcPr>
            <w:tcW w:w="990" w:type="dxa"/>
            <w:vAlign w:val="center"/>
          </w:tcPr>
          <w:p w:rsidR="00EC3826" w:rsidRPr="00A17E25" w:rsidRDefault="00EC3826" w:rsidP="007547D5">
            <w:pPr>
              <w:jc w:val="center"/>
              <w:rPr>
                <w:rFonts w:ascii="Arial" w:hAnsi="Arial" w:cs="Arial"/>
                <w:sz w:val="20"/>
                <w:szCs w:val="20"/>
              </w:rPr>
            </w:pPr>
            <w:r w:rsidRPr="00A17E25">
              <w:rPr>
                <w:rFonts w:ascii="Arial" w:hAnsi="Arial" w:cs="Arial"/>
                <w:sz w:val="20"/>
                <w:szCs w:val="20"/>
              </w:rPr>
              <w:t>C</w:t>
            </w:r>
          </w:p>
        </w:tc>
        <w:tc>
          <w:tcPr>
            <w:tcW w:w="4945" w:type="dxa"/>
          </w:tcPr>
          <w:p w:rsidR="00EC3826" w:rsidRPr="00A17E25" w:rsidRDefault="00EC3826" w:rsidP="007547D5">
            <w:pPr>
              <w:jc w:val="both"/>
              <w:rPr>
                <w:rFonts w:ascii="Arial" w:hAnsi="Arial" w:cs="Arial"/>
                <w:sz w:val="20"/>
                <w:szCs w:val="20"/>
              </w:rPr>
            </w:pPr>
            <w:r w:rsidRPr="00A17E25">
              <w:rPr>
                <w:rFonts w:ascii="Arial" w:hAnsi="Arial" w:cs="Arial"/>
                <w:sz w:val="20"/>
                <w:szCs w:val="20"/>
              </w:rPr>
              <w:t xml:space="preserve">La contraction des emprunts et l’émission des garanties sont toujours approuvées par le ministre de l’intérieur et le ministre chargé des finances. Mais la décision n’est pas prise sur la base de critères précis et de plafonds préalablement fixés. </w:t>
            </w:r>
          </w:p>
        </w:tc>
      </w:tr>
      <w:tr w:rsidR="00EC3826" w:rsidRPr="00A17E25" w:rsidTr="00206632">
        <w:tc>
          <w:tcPr>
            <w:tcW w:w="3510" w:type="dxa"/>
            <w:vAlign w:val="center"/>
          </w:tcPr>
          <w:p w:rsidR="00EC3826" w:rsidRPr="00A17E25" w:rsidRDefault="00EC3826" w:rsidP="007547D5">
            <w:pPr>
              <w:rPr>
                <w:rFonts w:ascii="Arial" w:hAnsi="Arial" w:cs="Arial"/>
                <w:sz w:val="20"/>
                <w:szCs w:val="20"/>
              </w:rPr>
            </w:pPr>
            <w:r w:rsidRPr="00A17E25">
              <w:rPr>
                <w:rFonts w:ascii="Arial" w:hAnsi="Arial" w:cs="Arial"/>
                <w:sz w:val="20"/>
                <w:szCs w:val="20"/>
              </w:rPr>
              <w:t>(iii) Préparation d’une stratégie de gestion de la dette</w:t>
            </w:r>
          </w:p>
        </w:tc>
        <w:tc>
          <w:tcPr>
            <w:tcW w:w="990" w:type="dxa"/>
            <w:vAlign w:val="center"/>
          </w:tcPr>
          <w:p w:rsidR="00EC3826" w:rsidRPr="00A17E25" w:rsidRDefault="00EC3826" w:rsidP="007547D5">
            <w:pPr>
              <w:jc w:val="center"/>
              <w:rPr>
                <w:rFonts w:ascii="Arial" w:hAnsi="Arial" w:cs="Arial"/>
                <w:sz w:val="20"/>
                <w:szCs w:val="20"/>
              </w:rPr>
            </w:pPr>
            <w:r w:rsidRPr="00A17E25">
              <w:rPr>
                <w:rFonts w:ascii="Arial" w:hAnsi="Arial" w:cs="Arial"/>
                <w:sz w:val="20"/>
                <w:szCs w:val="20"/>
              </w:rPr>
              <w:t>D</w:t>
            </w:r>
          </w:p>
        </w:tc>
        <w:tc>
          <w:tcPr>
            <w:tcW w:w="4945" w:type="dxa"/>
          </w:tcPr>
          <w:p w:rsidR="00EC3826" w:rsidRPr="00A17E25" w:rsidRDefault="00EC3826" w:rsidP="007547D5">
            <w:pPr>
              <w:rPr>
                <w:rFonts w:ascii="Arial" w:hAnsi="Arial" w:cs="Arial"/>
                <w:sz w:val="20"/>
                <w:szCs w:val="20"/>
              </w:rPr>
            </w:pPr>
            <w:r w:rsidRPr="00A17E25">
              <w:rPr>
                <w:rFonts w:ascii="Arial" w:hAnsi="Arial" w:cs="Arial"/>
                <w:sz w:val="20"/>
                <w:szCs w:val="20"/>
              </w:rPr>
              <w:t xml:space="preserve">La Commune  de Casablanca ne dispose pas d’une stratégie de gestion de la dette à moyen terme. </w:t>
            </w:r>
          </w:p>
        </w:tc>
      </w:tr>
      <w:tr w:rsidR="00EC3826" w:rsidRPr="00A17E25" w:rsidTr="00206632">
        <w:tc>
          <w:tcPr>
            <w:tcW w:w="3510" w:type="dxa"/>
            <w:vAlign w:val="center"/>
          </w:tcPr>
          <w:p w:rsidR="00EC3826" w:rsidRPr="00A17E25" w:rsidRDefault="00EC3826" w:rsidP="007547D5">
            <w:pPr>
              <w:rPr>
                <w:rFonts w:ascii="Arial" w:hAnsi="Arial" w:cs="Arial"/>
                <w:sz w:val="20"/>
                <w:szCs w:val="20"/>
              </w:rPr>
            </w:pPr>
            <w:r w:rsidRPr="00A17E25">
              <w:rPr>
                <w:rFonts w:ascii="Arial" w:hAnsi="Arial" w:cs="Arial"/>
                <w:sz w:val="20"/>
                <w:szCs w:val="20"/>
              </w:rPr>
              <w:t>(iv) Stock et suivi des arriérés de dépenses</w:t>
            </w:r>
          </w:p>
        </w:tc>
        <w:tc>
          <w:tcPr>
            <w:tcW w:w="990" w:type="dxa"/>
            <w:vAlign w:val="center"/>
          </w:tcPr>
          <w:p w:rsidR="00EC3826" w:rsidRPr="00A17E25" w:rsidRDefault="00EC3826" w:rsidP="007547D5">
            <w:pPr>
              <w:jc w:val="center"/>
              <w:rPr>
                <w:rFonts w:ascii="Arial" w:hAnsi="Arial" w:cs="Arial"/>
                <w:sz w:val="20"/>
                <w:szCs w:val="20"/>
              </w:rPr>
            </w:pPr>
            <w:r w:rsidRPr="00A17E25">
              <w:rPr>
                <w:rFonts w:ascii="Arial" w:hAnsi="Arial" w:cs="Arial"/>
                <w:sz w:val="20"/>
                <w:szCs w:val="20"/>
              </w:rPr>
              <w:t>D</w:t>
            </w:r>
          </w:p>
        </w:tc>
        <w:tc>
          <w:tcPr>
            <w:tcW w:w="4945" w:type="dxa"/>
          </w:tcPr>
          <w:p w:rsidR="00EC3826" w:rsidRPr="00A17E25" w:rsidRDefault="00EC3826" w:rsidP="007547D5">
            <w:pPr>
              <w:jc w:val="both"/>
              <w:rPr>
                <w:rFonts w:ascii="Arial" w:hAnsi="Arial" w:cs="Arial"/>
                <w:sz w:val="20"/>
                <w:szCs w:val="20"/>
              </w:rPr>
            </w:pPr>
            <w:r w:rsidRPr="00A17E25">
              <w:rPr>
                <w:rFonts w:ascii="Arial" w:hAnsi="Arial" w:cs="Arial"/>
                <w:sz w:val="20"/>
                <w:szCs w:val="20"/>
              </w:rPr>
              <w:t>Les procédures d’exécution des dépenses et d’enregistrement des opérations budgétaires en place ne permettent pas de générer les données sur les arriérés de paiement de dépenses. Sur la base des informations partielles disponibles, le stock des arriérés à fin décembre 2014 est supérieur à 10% (13%) des dépenses totales hors. Le seul inventaire ponctuel organisé au cours des trois exercices couverts par l’évaluation n’a porté que sur les arriérés vis-à-vis de la LYDEC.</w:t>
            </w:r>
          </w:p>
          <w:p w:rsidR="00EC3826" w:rsidRPr="00A17E25" w:rsidRDefault="00EC3826" w:rsidP="007547D5">
            <w:pPr>
              <w:jc w:val="both"/>
              <w:rPr>
                <w:rFonts w:ascii="Arial" w:hAnsi="Arial" w:cs="Arial"/>
                <w:sz w:val="20"/>
                <w:szCs w:val="20"/>
              </w:rPr>
            </w:pPr>
          </w:p>
        </w:tc>
      </w:tr>
    </w:tbl>
    <w:p w:rsidR="001F3A83" w:rsidRDefault="001F3A83" w:rsidP="00CC3ED7">
      <w:pPr>
        <w:pStyle w:val="Heading2"/>
        <w:rPr>
          <w:i w:val="0"/>
          <w:color w:val="0070C0"/>
        </w:rPr>
      </w:pPr>
    </w:p>
    <w:p w:rsidR="003A596A" w:rsidRPr="004B57C3" w:rsidRDefault="003A596A" w:rsidP="00CC3ED7">
      <w:pPr>
        <w:pStyle w:val="Heading2"/>
        <w:rPr>
          <w:i w:val="0"/>
          <w:color w:val="0070C0"/>
        </w:rPr>
      </w:pPr>
      <w:r w:rsidRPr="004B57C3">
        <w:rPr>
          <w:i w:val="0"/>
          <w:color w:val="0070C0"/>
        </w:rPr>
        <w:t xml:space="preserve">3.4 </w:t>
      </w:r>
      <w:bookmarkEnd w:id="142"/>
      <w:r w:rsidRPr="004B57C3">
        <w:rPr>
          <w:i w:val="0"/>
          <w:color w:val="0070C0"/>
        </w:rPr>
        <w:t>Planification et préparation du budget sur la base des politiques publiques</w:t>
      </w:r>
      <w:bookmarkEnd w:id="194"/>
      <w:bookmarkEnd w:id="195"/>
    </w:p>
    <w:p w:rsidR="003A596A" w:rsidRPr="00A17E25" w:rsidRDefault="003A596A" w:rsidP="003A596A">
      <w:pPr>
        <w:rPr>
          <w:rFonts w:ascii="Arial" w:hAnsi="Arial"/>
          <w:b/>
          <w:bCs/>
        </w:rPr>
      </w:pPr>
    </w:p>
    <w:p w:rsidR="003A596A" w:rsidRPr="00A17E25" w:rsidRDefault="003A596A" w:rsidP="003A596A">
      <w:pPr>
        <w:jc w:val="both"/>
        <w:rPr>
          <w:rFonts w:ascii="Arial" w:hAnsi="Arial" w:cs="Arial"/>
          <w:b/>
        </w:rPr>
      </w:pPr>
      <w:r w:rsidRPr="00A17E25">
        <w:rPr>
          <w:rFonts w:ascii="Arial" w:hAnsi="Arial" w:cs="Arial"/>
          <w:b/>
        </w:rPr>
        <w:t>PI-14 : Stratégie budgétaire crédible</w:t>
      </w:r>
    </w:p>
    <w:p w:rsidR="003A596A" w:rsidRPr="00A17E25" w:rsidRDefault="003A596A"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Pour l’évaluation des composantes (i) et (iii) de cet indicateur, les données et informations prises en compte sont celles des exercices 2012, 2013 et 2014. S’agissant de la composante (ii), le budget de l’année 2015 a été considéré.</w:t>
      </w:r>
    </w:p>
    <w:p w:rsidR="0064487C" w:rsidRDefault="0064487C" w:rsidP="003A596A">
      <w:pPr>
        <w:jc w:val="both"/>
        <w:rPr>
          <w:rFonts w:ascii="Arial" w:hAnsi="Arial" w:cs="Arial"/>
        </w:rPr>
      </w:pPr>
    </w:p>
    <w:p w:rsidR="007577F6" w:rsidRDefault="0064487C" w:rsidP="003A596A">
      <w:pPr>
        <w:jc w:val="both"/>
        <w:rPr>
          <w:rFonts w:ascii="Arial" w:hAnsi="Arial" w:cs="Arial"/>
        </w:rPr>
      </w:pPr>
      <w:r>
        <w:rPr>
          <w:rFonts w:ascii="Arial" w:hAnsi="Arial" w:cs="Arial"/>
        </w:rPr>
        <w:t xml:space="preserve">Cet indicateur du nouveau cadre PEFA national s’applique à l’Etat mais n’est pas applicable aux communes qui n’ont pas ni mandat ni la possibilité de préparer une stratégie budgétaire pluriannuelle, basée sur des prévisions macroéconomiques et qui de par la loi ne peuvent avoir de déficit budgétaire. Il ne peut donc être évalué ou noté et fera certainement l’objet d’une adaptation pour le future cadre PEFA pour les entités infranationales.  </w:t>
      </w:r>
      <w:r w:rsidR="005046A5">
        <w:rPr>
          <w:rFonts w:ascii="Arial" w:hAnsi="Arial" w:cs="Arial"/>
        </w:rPr>
        <w:t>La crédibilité budgétaire de la commune est évaluée ci-dessus par les indicateurs PI-1 et PI-2</w:t>
      </w:r>
      <w:r w:rsidR="004B57C3">
        <w:rPr>
          <w:rFonts w:ascii="Arial" w:hAnsi="Arial" w:cs="Arial"/>
        </w:rPr>
        <w:t>.</w:t>
      </w:r>
    </w:p>
    <w:p w:rsidR="007577F6" w:rsidRPr="004B57C3" w:rsidRDefault="007577F6" w:rsidP="003A596A">
      <w:pPr>
        <w:jc w:val="both"/>
        <w:rPr>
          <w:rFonts w:ascii="Arial" w:hAnsi="Arial" w:cs="Arial"/>
          <w:color w:val="0070C0"/>
        </w:rPr>
      </w:pPr>
    </w:p>
    <w:p w:rsidR="003A596A" w:rsidRPr="004B57C3" w:rsidRDefault="003A596A" w:rsidP="00151AD3">
      <w:pPr>
        <w:pStyle w:val="ListParagraph"/>
        <w:numPr>
          <w:ilvl w:val="0"/>
          <w:numId w:val="36"/>
        </w:numPr>
        <w:contextualSpacing/>
        <w:jc w:val="both"/>
        <w:rPr>
          <w:rFonts w:ascii="Arial" w:hAnsi="Arial" w:cs="Arial"/>
          <w:i/>
          <w:color w:val="0070C0"/>
        </w:rPr>
      </w:pPr>
      <w:r w:rsidRPr="004B57C3">
        <w:rPr>
          <w:rFonts w:ascii="Arial" w:hAnsi="Arial" w:cs="Arial"/>
          <w:i/>
          <w:color w:val="0070C0"/>
        </w:rPr>
        <w:t>Formulation de la stratégie et des objectifs budgétaires</w:t>
      </w:r>
    </w:p>
    <w:p w:rsidR="00482393" w:rsidRPr="0019642A" w:rsidRDefault="00482393" w:rsidP="00482393">
      <w:pPr>
        <w:pStyle w:val="ListParagraph"/>
        <w:ind w:left="1080"/>
        <w:contextualSpacing/>
        <w:jc w:val="both"/>
        <w:rPr>
          <w:rFonts w:ascii="Arial" w:hAnsi="Arial" w:cs="Arial"/>
          <w:i/>
          <w:color w:val="3366FF"/>
        </w:rPr>
      </w:pPr>
    </w:p>
    <w:p w:rsidR="00237EEF" w:rsidRDefault="0064487C" w:rsidP="003A596A">
      <w:pPr>
        <w:jc w:val="both"/>
        <w:rPr>
          <w:rFonts w:ascii="Arial" w:hAnsi="Arial" w:cs="Arial"/>
        </w:rPr>
      </w:pPr>
      <w:r>
        <w:rPr>
          <w:rFonts w:ascii="Arial" w:hAnsi="Arial" w:cs="Arial"/>
        </w:rPr>
        <w:t xml:space="preserve">Seul l’Etat élabore une </w:t>
      </w:r>
      <w:r w:rsidR="003A596A" w:rsidRPr="00A17E25">
        <w:rPr>
          <w:rFonts w:ascii="Arial" w:hAnsi="Arial" w:cs="Arial"/>
        </w:rPr>
        <w:t>stratégie budgétaire à moyen terme</w:t>
      </w:r>
      <w:r>
        <w:rPr>
          <w:rFonts w:ascii="Arial" w:hAnsi="Arial" w:cs="Arial"/>
        </w:rPr>
        <w:t xml:space="preserve"> avec des objectifs de solde budgétaire. Non applicable</w:t>
      </w:r>
      <w:r w:rsidR="004B57C3">
        <w:rPr>
          <w:rFonts w:ascii="Arial" w:hAnsi="Arial" w:cs="Arial"/>
        </w:rPr>
        <w:t>.</w:t>
      </w:r>
    </w:p>
    <w:p w:rsidR="00482393" w:rsidRPr="00A17E25" w:rsidRDefault="00482393" w:rsidP="003A596A">
      <w:pPr>
        <w:jc w:val="both"/>
        <w:rPr>
          <w:rFonts w:ascii="Arial" w:hAnsi="Arial" w:cs="Arial"/>
        </w:rPr>
      </w:pPr>
    </w:p>
    <w:p w:rsidR="003A596A" w:rsidRPr="004B57C3" w:rsidRDefault="003A596A" w:rsidP="00151AD3">
      <w:pPr>
        <w:pStyle w:val="ListParagraph"/>
        <w:numPr>
          <w:ilvl w:val="0"/>
          <w:numId w:val="36"/>
        </w:numPr>
        <w:contextualSpacing/>
        <w:jc w:val="both"/>
        <w:rPr>
          <w:rFonts w:ascii="Arial" w:hAnsi="Arial" w:cs="Arial"/>
          <w:i/>
          <w:color w:val="0070C0"/>
        </w:rPr>
      </w:pPr>
      <w:r w:rsidRPr="004B57C3">
        <w:rPr>
          <w:rFonts w:ascii="Arial" w:hAnsi="Arial" w:cs="Arial"/>
          <w:i/>
          <w:color w:val="0070C0"/>
        </w:rPr>
        <w:t>Préparation et utilisation des prévisions macroéconomiques en tant que bases des budgets annuels et des budgets à moyen perme</w:t>
      </w:r>
    </w:p>
    <w:p w:rsidR="00482393" w:rsidRPr="0019642A" w:rsidRDefault="00482393" w:rsidP="00482393">
      <w:pPr>
        <w:pStyle w:val="ListParagraph"/>
        <w:ind w:left="1080"/>
        <w:contextualSpacing/>
        <w:jc w:val="both"/>
        <w:rPr>
          <w:rFonts w:ascii="Arial" w:hAnsi="Arial" w:cs="Arial"/>
          <w:i/>
          <w:color w:val="3366FF"/>
        </w:rPr>
      </w:pPr>
    </w:p>
    <w:p w:rsidR="003A596A" w:rsidRPr="00A17E25" w:rsidRDefault="003A596A" w:rsidP="003A596A">
      <w:pPr>
        <w:jc w:val="both"/>
        <w:rPr>
          <w:rFonts w:ascii="Arial" w:hAnsi="Arial" w:cs="Arial"/>
        </w:rPr>
      </w:pPr>
      <w:r w:rsidRPr="00A17E25">
        <w:rPr>
          <w:rFonts w:ascii="Arial" w:hAnsi="Arial" w:cs="Arial"/>
        </w:rPr>
        <w:t xml:space="preserve">La préparation des projections macroéconomiques est du ressort des services de l’administration centrale et pas des collectivités locales. </w:t>
      </w:r>
    </w:p>
    <w:p w:rsidR="003A596A" w:rsidRPr="00A17E25" w:rsidRDefault="003A596A" w:rsidP="003A596A">
      <w:pPr>
        <w:jc w:val="both"/>
        <w:rPr>
          <w:rFonts w:ascii="Arial" w:hAnsi="Arial" w:cs="Arial"/>
        </w:rPr>
      </w:pPr>
    </w:p>
    <w:p w:rsidR="003A596A" w:rsidRPr="00A17E25" w:rsidRDefault="003A596A" w:rsidP="00237EEF">
      <w:pPr>
        <w:jc w:val="both"/>
        <w:rPr>
          <w:rFonts w:ascii="Arial" w:hAnsi="Arial" w:cs="Arial"/>
        </w:rPr>
      </w:pPr>
      <w:r w:rsidRPr="00A17E25">
        <w:rPr>
          <w:rFonts w:ascii="Arial" w:hAnsi="Arial" w:cs="Arial"/>
        </w:rPr>
        <w:t xml:space="preserve">En conséquence, cette composante n’est pas applicable à la </w:t>
      </w:r>
      <w:r w:rsidR="00482393">
        <w:rPr>
          <w:rFonts w:ascii="Arial" w:hAnsi="Arial" w:cs="Arial"/>
        </w:rPr>
        <w:t>CC</w:t>
      </w:r>
      <w:r w:rsidRPr="00A17E25">
        <w:rPr>
          <w:rFonts w:ascii="Arial" w:hAnsi="Arial" w:cs="Arial"/>
        </w:rPr>
        <w:t>.</w:t>
      </w:r>
    </w:p>
    <w:p w:rsidR="003A596A" w:rsidRPr="004B57C3" w:rsidRDefault="003A596A" w:rsidP="003A596A">
      <w:pPr>
        <w:jc w:val="both"/>
        <w:rPr>
          <w:rFonts w:ascii="Arial" w:hAnsi="Arial" w:cs="Arial"/>
          <w:color w:val="0070C0"/>
        </w:rPr>
      </w:pPr>
    </w:p>
    <w:p w:rsidR="003A596A" w:rsidRPr="004B57C3" w:rsidRDefault="003A596A" w:rsidP="00151AD3">
      <w:pPr>
        <w:pStyle w:val="ListParagraph"/>
        <w:numPr>
          <w:ilvl w:val="0"/>
          <w:numId w:val="36"/>
        </w:numPr>
        <w:contextualSpacing/>
        <w:jc w:val="both"/>
        <w:rPr>
          <w:rFonts w:ascii="Arial" w:hAnsi="Arial" w:cs="Arial"/>
          <w:i/>
          <w:color w:val="0070C0"/>
        </w:rPr>
      </w:pPr>
      <w:r w:rsidRPr="004B57C3">
        <w:rPr>
          <w:rFonts w:ascii="Arial" w:hAnsi="Arial" w:cs="Arial"/>
          <w:i/>
          <w:color w:val="0070C0"/>
        </w:rPr>
        <w:t>Ecart entre le solde budgétaire effectif de l’administration centrale et le solde initialement indiqué par les projections</w:t>
      </w:r>
    </w:p>
    <w:p w:rsidR="00482393" w:rsidRDefault="00482393"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D’une manière générale, les budgets des collectivités locales doivent être votés en équilibre. Les autorités de la </w:t>
      </w:r>
      <w:r w:rsidR="00482393">
        <w:rPr>
          <w:rFonts w:ascii="Arial" w:hAnsi="Arial" w:cs="Arial"/>
        </w:rPr>
        <w:t>CC</w:t>
      </w:r>
      <w:r w:rsidRPr="00A17E25">
        <w:rPr>
          <w:rFonts w:ascii="Arial" w:hAnsi="Arial" w:cs="Arial"/>
        </w:rPr>
        <w:t xml:space="preserve"> ne fixent donc pas un objectif de déficit budgétaire à atteindre. De plus, la notation de cette composante qui est basée sur un écart mesuré par rapport au PIB n’est pas adaptée aux collectivités locales.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En conséquence, cette composante n’est pas applicable à la </w:t>
      </w:r>
      <w:r w:rsidR="00482393">
        <w:rPr>
          <w:rFonts w:ascii="Arial" w:hAnsi="Arial" w:cs="Arial"/>
        </w:rPr>
        <w:t>CC</w:t>
      </w:r>
      <w:r w:rsidRPr="00A17E25">
        <w:rPr>
          <w:rFonts w:ascii="Arial" w:hAnsi="Arial" w:cs="Arial"/>
        </w:rPr>
        <w:t>.</w:t>
      </w:r>
    </w:p>
    <w:p w:rsidR="003A596A" w:rsidRPr="00A17E25" w:rsidRDefault="003A596A" w:rsidP="003A596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393"/>
        <w:gridCol w:w="3880"/>
      </w:tblGrid>
      <w:tr w:rsidR="003A596A" w:rsidRPr="00A17E25" w:rsidTr="004B57C3">
        <w:tc>
          <w:tcPr>
            <w:tcW w:w="3759"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1393"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3880"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3A596A">
        <w:tc>
          <w:tcPr>
            <w:tcW w:w="3759" w:type="dxa"/>
          </w:tcPr>
          <w:p w:rsidR="003A596A" w:rsidRPr="00A17E25" w:rsidRDefault="003A596A" w:rsidP="003A596A">
            <w:pPr>
              <w:rPr>
                <w:rFonts w:ascii="Arial" w:hAnsi="Arial" w:cs="Arial"/>
                <w:sz w:val="20"/>
                <w:szCs w:val="20"/>
              </w:rPr>
            </w:pPr>
            <w:r w:rsidRPr="00A17E25">
              <w:rPr>
                <w:rFonts w:ascii="Arial" w:hAnsi="Arial" w:cs="Arial"/>
                <w:b/>
                <w:bCs/>
                <w:sz w:val="20"/>
                <w:szCs w:val="20"/>
              </w:rPr>
              <w:t>PI-14 Stratégie budgétaire crédible</w:t>
            </w:r>
          </w:p>
        </w:tc>
        <w:tc>
          <w:tcPr>
            <w:tcW w:w="1393" w:type="dxa"/>
            <w:vAlign w:val="center"/>
          </w:tcPr>
          <w:p w:rsidR="003A596A" w:rsidRPr="00A17E25" w:rsidRDefault="00482393" w:rsidP="003A596A">
            <w:pPr>
              <w:jc w:val="center"/>
              <w:rPr>
                <w:rFonts w:ascii="Arial" w:hAnsi="Arial" w:cs="Arial"/>
                <w:b/>
                <w:bCs/>
                <w:sz w:val="20"/>
                <w:szCs w:val="20"/>
              </w:rPr>
            </w:pPr>
            <w:r w:rsidRPr="00A17E25">
              <w:rPr>
                <w:rFonts w:ascii="Arial" w:hAnsi="Arial" w:cs="Arial"/>
                <w:sz w:val="20"/>
                <w:szCs w:val="20"/>
              </w:rPr>
              <w:t>NA</w:t>
            </w:r>
          </w:p>
        </w:tc>
        <w:tc>
          <w:tcPr>
            <w:tcW w:w="3880"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3759"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  Formulation de la stratégie et des objectifs budgétaires</w:t>
            </w:r>
          </w:p>
        </w:tc>
        <w:tc>
          <w:tcPr>
            <w:tcW w:w="1393" w:type="dxa"/>
            <w:vAlign w:val="center"/>
          </w:tcPr>
          <w:p w:rsidR="003A596A" w:rsidRPr="00A17E25" w:rsidRDefault="004E3230" w:rsidP="003A596A">
            <w:pPr>
              <w:jc w:val="center"/>
              <w:rPr>
                <w:rFonts w:ascii="Arial" w:hAnsi="Arial" w:cs="Arial"/>
                <w:sz w:val="20"/>
                <w:szCs w:val="20"/>
              </w:rPr>
            </w:pPr>
            <w:r>
              <w:rPr>
                <w:rFonts w:ascii="Arial" w:hAnsi="Arial" w:cs="Arial"/>
                <w:sz w:val="20"/>
                <w:szCs w:val="20"/>
              </w:rPr>
              <w:t>NA</w:t>
            </w:r>
          </w:p>
        </w:tc>
        <w:tc>
          <w:tcPr>
            <w:tcW w:w="3880" w:type="dxa"/>
          </w:tcPr>
          <w:p w:rsidR="00262F9D" w:rsidRPr="00A17E25" w:rsidRDefault="00D55A3A" w:rsidP="00D55A3A">
            <w:pPr>
              <w:jc w:val="both"/>
              <w:rPr>
                <w:rFonts w:ascii="Arial" w:hAnsi="Arial" w:cs="Arial"/>
                <w:sz w:val="20"/>
                <w:szCs w:val="20"/>
              </w:rPr>
            </w:pPr>
            <w:r>
              <w:rPr>
                <w:rFonts w:ascii="Arial" w:hAnsi="Arial" w:cs="Arial"/>
                <w:sz w:val="20"/>
                <w:szCs w:val="20"/>
              </w:rPr>
              <w:t xml:space="preserve">Cela est du ressort de l’Etat.  </w:t>
            </w:r>
            <w:r w:rsidR="0064487C">
              <w:rPr>
                <w:rFonts w:ascii="Arial" w:hAnsi="Arial" w:cs="Arial"/>
                <w:sz w:val="20"/>
                <w:szCs w:val="20"/>
              </w:rPr>
              <w:t xml:space="preserve">Les CT doivent être à l’équilibre. </w:t>
            </w:r>
            <w:r>
              <w:rPr>
                <w:rFonts w:ascii="Arial" w:hAnsi="Arial" w:cs="Arial"/>
                <w:sz w:val="20"/>
                <w:szCs w:val="20"/>
              </w:rPr>
              <w:t>La crédibilité de leur budget est examinée par les indicateurs PI1 et PI2.</w:t>
            </w:r>
          </w:p>
        </w:tc>
      </w:tr>
      <w:tr w:rsidR="003A596A" w:rsidRPr="00A17E25" w:rsidTr="003A596A">
        <w:tc>
          <w:tcPr>
            <w:tcW w:w="3759"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 Préparation et utilisation des prévisions macroéconomiques en tant que bases des budgets annuels et des budgets à moyen terme </w:t>
            </w:r>
          </w:p>
        </w:tc>
        <w:tc>
          <w:tcPr>
            <w:tcW w:w="1393"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NA</w:t>
            </w:r>
          </w:p>
        </w:tc>
        <w:tc>
          <w:tcPr>
            <w:tcW w:w="3880"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Cette composante ne s’applique pas à la </w:t>
            </w:r>
            <w:r w:rsidR="00482393">
              <w:rPr>
                <w:rFonts w:ascii="Arial" w:hAnsi="Arial" w:cs="Arial"/>
                <w:sz w:val="20"/>
                <w:szCs w:val="20"/>
              </w:rPr>
              <w:t>CC</w:t>
            </w:r>
            <w:r w:rsidRPr="00A17E25">
              <w:rPr>
                <w:rFonts w:ascii="Arial" w:hAnsi="Arial" w:cs="Arial"/>
                <w:sz w:val="20"/>
                <w:szCs w:val="20"/>
              </w:rPr>
              <w:t>.</w:t>
            </w:r>
          </w:p>
        </w:tc>
      </w:tr>
      <w:tr w:rsidR="003A596A" w:rsidRPr="00A17E25" w:rsidTr="003A596A">
        <w:tc>
          <w:tcPr>
            <w:tcW w:w="3759"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(iii) Ecart entre le solde budgétaire effectif de l’administration centrale et le solde budgétaire indiqué par les projections</w:t>
            </w:r>
          </w:p>
        </w:tc>
        <w:tc>
          <w:tcPr>
            <w:tcW w:w="1393"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NA</w:t>
            </w:r>
          </w:p>
        </w:tc>
        <w:tc>
          <w:tcPr>
            <w:tcW w:w="3880"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Cette composante n’est pas adaptée aux collectivités locales en général et à la </w:t>
            </w:r>
            <w:r w:rsidR="00482393">
              <w:rPr>
                <w:rFonts w:ascii="Arial" w:hAnsi="Arial" w:cs="Arial"/>
                <w:sz w:val="20"/>
                <w:szCs w:val="20"/>
              </w:rPr>
              <w:t>CC</w:t>
            </w:r>
            <w:r w:rsidRPr="00A17E25">
              <w:rPr>
                <w:rFonts w:ascii="Arial" w:hAnsi="Arial" w:cs="Arial"/>
                <w:sz w:val="20"/>
                <w:szCs w:val="20"/>
              </w:rPr>
              <w:t xml:space="preserve"> en particulier.</w:t>
            </w:r>
          </w:p>
        </w:tc>
      </w:tr>
    </w:tbl>
    <w:p w:rsidR="0044265E" w:rsidRDefault="0044265E" w:rsidP="003A596A">
      <w:pPr>
        <w:jc w:val="both"/>
        <w:rPr>
          <w:rFonts w:ascii="Arial" w:hAnsi="Arial"/>
          <w:b/>
          <w:bCs/>
        </w:rPr>
      </w:pPr>
    </w:p>
    <w:p w:rsidR="0044265E" w:rsidRDefault="0044265E" w:rsidP="003A596A">
      <w:pPr>
        <w:jc w:val="both"/>
        <w:rPr>
          <w:rFonts w:ascii="Arial" w:hAnsi="Arial" w:cs="Arial"/>
          <w:b/>
        </w:rPr>
      </w:pPr>
    </w:p>
    <w:p w:rsidR="003A596A" w:rsidRPr="00A17E25" w:rsidRDefault="003A596A" w:rsidP="003A596A">
      <w:pPr>
        <w:jc w:val="both"/>
        <w:rPr>
          <w:rFonts w:ascii="Arial" w:hAnsi="Arial" w:cs="Arial"/>
          <w:b/>
        </w:rPr>
      </w:pPr>
      <w:r w:rsidRPr="00A17E25">
        <w:rPr>
          <w:rFonts w:ascii="Arial" w:hAnsi="Arial" w:cs="Arial"/>
          <w:b/>
        </w:rPr>
        <w:t>PI-15 : Budgétisation des recettes</w:t>
      </w:r>
    </w:p>
    <w:p w:rsidR="003A596A" w:rsidRPr="00A17E25" w:rsidRDefault="003A596A" w:rsidP="003A596A">
      <w:pPr>
        <w:jc w:val="both"/>
        <w:rPr>
          <w:rFonts w:ascii="Arial" w:hAnsi="Arial" w:cs="Arial"/>
        </w:rPr>
      </w:pPr>
    </w:p>
    <w:p w:rsidR="00206632" w:rsidRDefault="003A596A" w:rsidP="003A596A">
      <w:pPr>
        <w:jc w:val="both"/>
        <w:rPr>
          <w:rFonts w:ascii="Arial" w:hAnsi="Arial" w:cs="Arial"/>
        </w:rPr>
      </w:pPr>
      <w:r w:rsidRPr="00A17E25">
        <w:rPr>
          <w:rFonts w:ascii="Arial" w:hAnsi="Arial" w:cs="Arial"/>
        </w:rPr>
        <w:t>Pour l’évaluation des deux composantes (i, ii) de cet indicateur, le budget exercice 2015 qui le dernier budget préparé et approuvé par le Conseil communal a été pris en considération. Pour la composante iii les budgets des trois derniers exercices (2012, 2013 et 3014) ont été pris en compte.</w:t>
      </w:r>
    </w:p>
    <w:p w:rsidR="00206632" w:rsidRPr="004B57C3" w:rsidRDefault="00206632" w:rsidP="003A596A">
      <w:pPr>
        <w:jc w:val="both"/>
        <w:rPr>
          <w:rFonts w:ascii="Arial" w:hAnsi="Arial" w:cs="Arial"/>
          <w:color w:val="0070C0"/>
        </w:rPr>
      </w:pPr>
    </w:p>
    <w:p w:rsidR="003A596A" w:rsidRPr="004B57C3" w:rsidRDefault="003A596A" w:rsidP="00151AD3">
      <w:pPr>
        <w:pStyle w:val="ListParagraph"/>
        <w:numPr>
          <w:ilvl w:val="0"/>
          <w:numId w:val="37"/>
        </w:numPr>
        <w:contextualSpacing/>
        <w:jc w:val="both"/>
        <w:rPr>
          <w:rFonts w:ascii="Arial" w:hAnsi="Arial" w:cs="Arial"/>
          <w:i/>
          <w:color w:val="0070C0"/>
        </w:rPr>
      </w:pPr>
      <w:r w:rsidRPr="004B57C3">
        <w:rPr>
          <w:rFonts w:ascii="Arial" w:hAnsi="Arial" w:cs="Arial"/>
          <w:i/>
          <w:color w:val="0070C0"/>
        </w:rPr>
        <w:t>Prévisions des recettes à moyen terme</w:t>
      </w:r>
    </w:p>
    <w:p w:rsidR="003A596A" w:rsidRDefault="003A596A" w:rsidP="00262F9D">
      <w:pPr>
        <w:jc w:val="both"/>
        <w:rPr>
          <w:rFonts w:ascii="Arial" w:hAnsi="Arial" w:cs="Arial"/>
        </w:rPr>
      </w:pPr>
    </w:p>
    <w:p w:rsidR="00262F9D" w:rsidRPr="00A17E25" w:rsidRDefault="00262F9D" w:rsidP="003A596A">
      <w:pPr>
        <w:jc w:val="both"/>
        <w:rPr>
          <w:rFonts w:ascii="Arial" w:hAnsi="Arial" w:cs="Arial"/>
        </w:rPr>
      </w:pPr>
      <w:r w:rsidRPr="00A17E25">
        <w:rPr>
          <w:rFonts w:ascii="Arial" w:hAnsi="Arial" w:cs="Arial"/>
        </w:rPr>
        <w:t xml:space="preserve">La loi n° 45-08 relative à l’organisation des finances des collectivités locales et de leurs groupements dispose en son article 14 que </w:t>
      </w:r>
      <w:r w:rsidRPr="00A17E25">
        <w:rPr>
          <w:rFonts w:ascii="Arial" w:hAnsi="Arial" w:cs="Arial"/>
          <w:i/>
        </w:rPr>
        <w:t xml:space="preserve">« Le budget est établi sur la base d’une programmation triennale de l’ensemble  des ressources et des charges de la collectivité et du groupement. Les modalités d’élaboration de ladite programmation sont fixées par arrêté conjoint du ministre de l’intérieur et du ministre chargé des finances ». </w:t>
      </w:r>
      <w:r w:rsidRPr="00A17E25">
        <w:rPr>
          <w:rFonts w:ascii="Arial" w:hAnsi="Arial" w:cs="Arial"/>
        </w:rPr>
        <w:t xml:space="preserve">L’élaboration des prévisions de recettes à moyen terme (sur trois ans) dans le cadre du processus budgétaire annuel est donc expressément prescrite par la législation régissant les finances locales. Cependant, </w:t>
      </w:r>
      <w:r w:rsidR="008D42A9">
        <w:rPr>
          <w:rFonts w:ascii="Arial" w:hAnsi="Arial" w:cs="Arial"/>
        </w:rPr>
        <w:t xml:space="preserve">le texte d’application prévu par la loi n’a jamais été adopté. Aussi </w:t>
      </w:r>
      <w:r w:rsidRPr="00A17E25">
        <w:rPr>
          <w:rFonts w:ascii="Arial" w:hAnsi="Arial" w:cs="Arial"/>
        </w:rPr>
        <w:t xml:space="preserve">cet exercice de programmation triennale des recettes n’est pas encore réalisé par la Commune de Casablanca. Les documents élaborés en 2014 dans le cadre de la préparation du budget de l’exercice 2015 qui </w:t>
      </w:r>
      <w:r w:rsidR="00DD3EF8">
        <w:rPr>
          <w:rFonts w:ascii="Arial" w:hAnsi="Arial" w:cs="Arial"/>
        </w:rPr>
        <w:t xml:space="preserve">est </w:t>
      </w:r>
      <w:r w:rsidRPr="00A17E25">
        <w:rPr>
          <w:rFonts w:ascii="Arial" w:hAnsi="Arial" w:cs="Arial"/>
        </w:rPr>
        <w:t>le dernier budget préparé, ne contiennent pas des prévisions globales ou détaillées de recettes pour les trois années suivantes.</w:t>
      </w:r>
    </w:p>
    <w:p w:rsidR="003A596A" w:rsidRPr="004B57C3" w:rsidRDefault="003A596A" w:rsidP="003A596A">
      <w:pPr>
        <w:jc w:val="both"/>
        <w:rPr>
          <w:rFonts w:ascii="Arial" w:hAnsi="Arial" w:cs="Arial"/>
          <w:color w:val="0070C0"/>
        </w:rPr>
      </w:pPr>
    </w:p>
    <w:p w:rsidR="003A596A" w:rsidRPr="004B57C3" w:rsidRDefault="003A596A" w:rsidP="00151AD3">
      <w:pPr>
        <w:pStyle w:val="ListParagraph"/>
        <w:numPr>
          <w:ilvl w:val="0"/>
          <w:numId w:val="37"/>
        </w:numPr>
        <w:contextualSpacing/>
        <w:jc w:val="both"/>
        <w:rPr>
          <w:rFonts w:ascii="Arial" w:hAnsi="Arial" w:cs="Arial"/>
          <w:i/>
          <w:color w:val="0070C0"/>
        </w:rPr>
      </w:pPr>
      <w:r w:rsidRPr="004B57C3">
        <w:rPr>
          <w:rFonts w:ascii="Arial" w:hAnsi="Arial" w:cs="Arial"/>
          <w:i/>
          <w:color w:val="0070C0"/>
        </w:rPr>
        <w:t>Evaluation de l’impact budgétaire des modifications apportées à la politique publique</w:t>
      </w:r>
    </w:p>
    <w:p w:rsidR="004E3230" w:rsidRPr="0019642A" w:rsidRDefault="004E3230" w:rsidP="004E3230">
      <w:pPr>
        <w:pStyle w:val="ListParagraph"/>
        <w:ind w:left="1080"/>
        <w:contextualSpacing/>
        <w:jc w:val="both"/>
        <w:rPr>
          <w:rFonts w:ascii="Arial" w:hAnsi="Arial" w:cs="Arial"/>
          <w:i/>
          <w:color w:val="3366FF"/>
        </w:rPr>
      </w:pPr>
    </w:p>
    <w:p w:rsidR="003A596A" w:rsidRPr="00A17E25" w:rsidRDefault="003A596A" w:rsidP="003A596A">
      <w:pPr>
        <w:jc w:val="both"/>
        <w:rPr>
          <w:rFonts w:ascii="Arial" w:hAnsi="Arial" w:cs="Arial"/>
        </w:rPr>
      </w:pPr>
      <w:r w:rsidRPr="00A17E25">
        <w:rPr>
          <w:rFonts w:ascii="Arial" w:hAnsi="Arial" w:cs="Arial"/>
        </w:rPr>
        <w:t xml:space="preserve">Suivant les informations </w:t>
      </w:r>
      <w:r w:rsidR="002E0F27">
        <w:rPr>
          <w:rFonts w:ascii="Arial" w:hAnsi="Arial" w:cs="Arial"/>
        </w:rPr>
        <w:t>de l’AFC</w:t>
      </w:r>
      <w:r w:rsidRPr="00A17E25">
        <w:rPr>
          <w:rFonts w:ascii="Arial" w:hAnsi="Arial" w:cs="Arial"/>
        </w:rPr>
        <w:t>, les estimations de l’incidence financière des mesures nouvelles prévues en matière de recette pour un exercice donné s</w:t>
      </w:r>
      <w:r w:rsidR="00A07D79">
        <w:rPr>
          <w:rFonts w:ascii="Arial" w:hAnsi="Arial" w:cs="Arial"/>
        </w:rPr>
        <w:t>on</w:t>
      </w:r>
      <w:r w:rsidRPr="00A17E25">
        <w:rPr>
          <w:rFonts w:ascii="Arial" w:hAnsi="Arial" w:cs="Arial"/>
        </w:rPr>
        <w:t>t généralement prise</w:t>
      </w:r>
      <w:r w:rsidR="00A07D79">
        <w:rPr>
          <w:rFonts w:ascii="Arial" w:hAnsi="Arial" w:cs="Arial"/>
        </w:rPr>
        <w:t>s</w:t>
      </w:r>
      <w:r w:rsidRPr="00A17E25">
        <w:rPr>
          <w:rFonts w:ascii="Arial" w:hAnsi="Arial" w:cs="Arial"/>
        </w:rPr>
        <w:t xml:space="preserve"> en compte pour corriger les projections faites sur la base de la moyenne des réalisations de recettes des deux derniers exercices et des résultats budgétaires des neuf premiers mois de l’exercice en cours. Toutefois, l’absence dans la documentation budgétaire d’un rapport de présentation du budget ou de tout autre document n’a pas permis à la mission de vérifier cette information ainsi que les méthodes utilisées pour faire ces évaluations.</w:t>
      </w:r>
    </w:p>
    <w:p w:rsidR="003A596A" w:rsidRPr="004B57C3" w:rsidRDefault="003A596A" w:rsidP="003A596A">
      <w:pPr>
        <w:jc w:val="both"/>
        <w:rPr>
          <w:rFonts w:ascii="Arial" w:hAnsi="Arial" w:cs="Arial"/>
          <w:color w:val="0070C0"/>
        </w:rPr>
      </w:pPr>
    </w:p>
    <w:p w:rsidR="003A596A" w:rsidRPr="004B57C3" w:rsidRDefault="003A596A" w:rsidP="00151AD3">
      <w:pPr>
        <w:pStyle w:val="ListParagraph"/>
        <w:numPr>
          <w:ilvl w:val="0"/>
          <w:numId w:val="37"/>
        </w:numPr>
        <w:contextualSpacing/>
        <w:jc w:val="both"/>
        <w:rPr>
          <w:rFonts w:ascii="Arial" w:hAnsi="Arial" w:cs="Arial"/>
          <w:i/>
          <w:color w:val="0070C0"/>
        </w:rPr>
      </w:pPr>
      <w:r w:rsidRPr="004B57C3">
        <w:rPr>
          <w:rFonts w:ascii="Arial" w:hAnsi="Arial" w:cs="Arial"/>
          <w:i/>
          <w:color w:val="0070C0"/>
        </w:rPr>
        <w:t>Variation de la composition des recettes</w:t>
      </w:r>
    </w:p>
    <w:p w:rsidR="00D55A3A" w:rsidRDefault="00D55A3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recettes budgétaires de la Commune de Casablanca ne sont pas classées suivant la classification du MSFP du FMI, mais</w:t>
      </w:r>
      <w:r w:rsidR="004E3230">
        <w:rPr>
          <w:rFonts w:ascii="Arial" w:hAnsi="Arial" w:cs="Arial"/>
        </w:rPr>
        <w:t xml:space="preserve"> selon la classification budgétaire et comptable nationale et</w:t>
      </w:r>
      <w:r w:rsidRPr="00A17E25">
        <w:rPr>
          <w:rFonts w:ascii="Arial" w:hAnsi="Arial" w:cs="Arial"/>
        </w:rPr>
        <w:t xml:space="preserve"> par principaux domaines d’intervention de la Commune comme les dépenses. En vue de l’évaluation de cette composante, les recettes ont été regroupées, sur la base des informations disponibles, en cinq grandes catégories : recettes fiscales, recettes patrimoniale, recettes des services rémunérés, recettes diverses et transferts de l’Etat. Les recettes des comptes d’affectation spéciale n’ayant pas être réparties entre ces catégories ont été considérées globalement comme une catégorie à part.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Sur la base de cette catégorisation, la variation de la composition des recettes telle qu’elle résulte de la feuille de calcul annexée au présent rapport est présentée dans le tableau ci-dessous.</w:t>
      </w:r>
    </w:p>
    <w:p w:rsidR="00206632" w:rsidRDefault="00206632" w:rsidP="0044265E">
      <w:pPr>
        <w:rPr>
          <w:rFonts w:ascii="Arial Narrow" w:hAnsi="Arial Narrow"/>
          <w:b/>
          <w:sz w:val="20"/>
          <w:szCs w:val="20"/>
          <w:u w:val="single"/>
        </w:rPr>
      </w:pPr>
    </w:p>
    <w:p w:rsidR="007577F6" w:rsidRDefault="007577F6" w:rsidP="003A596A">
      <w:pPr>
        <w:jc w:val="center"/>
        <w:rPr>
          <w:rFonts w:ascii="Arial Narrow" w:hAnsi="Arial Narrow"/>
          <w:b/>
          <w:sz w:val="20"/>
          <w:szCs w:val="20"/>
          <w:u w:val="single"/>
        </w:rPr>
      </w:pPr>
    </w:p>
    <w:p w:rsidR="00C92388" w:rsidRDefault="00C92388" w:rsidP="003A596A">
      <w:pPr>
        <w:jc w:val="center"/>
        <w:rPr>
          <w:rFonts w:ascii="Arial Narrow" w:hAnsi="Arial Narrow"/>
          <w:b/>
          <w:sz w:val="20"/>
          <w:szCs w:val="20"/>
          <w:u w:val="single"/>
        </w:rPr>
      </w:pPr>
    </w:p>
    <w:p w:rsidR="00C92388" w:rsidRDefault="00C92388" w:rsidP="003A596A">
      <w:pPr>
        <w:jc w:val="center"/>
        <w:rPr>
          <w:rFonts w:ascii="Arial Narrow" w:hAnsi="Arial Narrow"/>
          <w:b/>
          <w:sz w:val="20"/>
          <w:szCs w:val="20"/>
          <w:u w:val="single"/>
        </w:rPr>
      </w:pPr>
    </w:p>
    <w:p w:rsidR="00C92388" w:rsidRDefault="00C92388" w:rsidP="003A596A">
      <w:pPr>
        <w:jc w:val="center"/>
        <w:rPr>
          <w:rFonts w:ascii="Arial Narrow" w:hAnsi="Arial Narrow"/>
          <w:b/>
          <w:sz w:val="20"/>
          <w:szCs w:val="20"/>
          <w:u w:val="single"/>
        </w:rPr>
      </w:pPr>
    </w:p>
    <w:p w:rsidR="003A596A" w:rsidRPr="00A17E25" w:rsidRDefault="003C1449" w:rsidP="003A596A">
      <w:pPr>
        <w:jc w:val="center"/>
        <w:rPr>
          <w:rFonts w:ascii="Arial Narrow" w:hAnsi="Arial Narrow"/>
          <w:b/>
          <w:sz w:val="20"/>
          <w:szCs w:val="20"/>
        </w:rPr>
      </w:pPr>
      <w:r w:rsidRPr="003C1449">
        <w:rPr>
          <w:rFonts w:ascii="Arial Narrow" w:hAnsi="Arial Narrow"/>
          <w:b/>
          <w:sz w:val="20"/>
          <w:szCs w:val="20"/>
          <w:u w:val="single"/>
        </w:rPr>
        <w:t>TABLEAU</w:t>
      </w:r>
      <w:r>
        <w:rPr>
          <w:rFonts w:ascii="Arial Narrow" w:hAnsi="Arial Narrow"/>
          <w:b/>
          <w:sz w:val="20"/>
          <w:szCs w:val="20"/>
        </w:rPr>
        <w:t xml:space="preserve"> 3.21</w:t>
      </w:r>
      <w:r w:rsidR="003A596A" w:rsidRPr="00A17E25">
        <w:rPr>
          <w:rFonts w:ascii="Arial Narrow" w:hAnsi="Arial Narrow"/>
          <w:b/>
          <w:sz w:val="20"/>
          <w:szCs w:val="20"/>
        </w:rPr>
        <w:t> : Variation de la composition des recettes de 2012 à 2014</w:t>
      </w:r>
    </w:p>
    <w:p w:rsidR="003A596A" w:rsidRPr="00A17E25" w:rsidRDefault="003A596A" w:rsidP="003A59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7529"/>
      </w:tblGrid>
      <w:tr w:rsidR="003A596A" w:rsidRPr="00A17E25" w:rsidTr="004B57C3">
        <w:tc>
          <w:tcPr>
            <w:tcW w:w="974" w:type="pct"/>
            <w:shd w:val="clear" w:color="auto" w:fill="0070C0"/>
          </w:tcPr>
          <w:p w:rsidR="003A596A" w:rsidRPr="00C92388" w:rsidRDefault="003A596A" w:rsidP="003A596A">
            <w:pPr>
              <w:jc w:val="center"/>
              <w:rPr>
                <w:rFonts w:ascii="Arial" w:hAnsi="Arial" w:cs="Arial"/>
                <w:b/>
                <w:bCs/>
                <w:color w:val="FFFFFF"/>
                <w:sz w:val="20"/>
                <w:szCs w:val="20"/>
              </w:rPr>
            </w:pPr>
            <w:r w:rsidRPr="00C92388">
              <w:rPr>
                <w:rFonts w:ascii="Arial" w:hAnsi="Arial" w:cs="Arial"/>
                <w:b/>
                <w:bCs/>
                <w:color w:val="FFFFFF"/>
                <w:sz w:val="20"/>
                <w:szCs w:val="20"/>
              </w:rPr>
              <w:t>Années</w:t>
            </w:r>
          </w:p>
        </w:tc>
        <w:tc>
          <w:tcPr>
            <w:tcW w:w="4026" w:type="pct"/>
            <w:shd w:val="clear" w:color="auto" w:fill="0070C0"/>
          </w:tcPr>
          <w:p w:rsidR="003A596A" w:rsidRPr="00C92388" w:rsidRDefault="003A596A" w:rsidP="003A596A">
            <w:pPr>
              <w:jc w:val="center"/>
              <w:rPr>
                <w:rFonts w:ascii="Arial" w:hAnsi="Arial" w:cs="Arial"/>
                <w:b/>
                <w:bCs/>
                <w:color w:val="FFFFFF"/>
                <w:sz w:val="20"/>
                <w:szCs w:val="20"/>
              </w:rPr>
            </w:pPr>
            <w:r w:rsidRPr="00C92388">
              <w:rPr>
                <w:rFonts w:ascii="Arial" w:hAnsi="Arial" w:cs="Arial"/>
                <w:b/>
                <w:bCs/>
                <w:color w:val="FFFFFF"/>
                <w:sz w:val="20"/>
                <w:szCs w:val="20"/>
              </w:rPr>
              <w:t>Variation de la composition</w:t>
            </w:r>
          </w:p>
        </w:tc>
      </w:tr>
      <w:tr w:rsidR="003A596A" w:rsidRPr="00A17E25" w:rsidTr="003A596A">
        <w:tc>
          <w:tcPr>
            <w:tcW w:w="974"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2012</w:t>
            </w:r>
          </w:p>
        </w:tc>
        <w:tc>
          <w:tcPr>
            <w:tcW w:w="4026"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66,6%</w:t>
            </w:r>
          </w:p>
        </w:tc>
      </w:tr>
      <w:tr w:rsidR="003A596A" w:rsidRPr="00A17E25" w:rsidTr="003A596A">
        <w:tc>
          <w:tcPr>
            <w:tcW w:w="974"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2013</w:t>
            </w:r>
          </w:p>
        </w:tc>
        <w:tc>
          <w:tcPr>
            <w:tcW w:w="4026"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63,1%</w:t>
            </w:r>
          </w:p>
        </w:tc>
      </w:tr>
      <w:tr w:rsidR="003A596A" w:rsidRPr="00A17E25" w:rsidTr="003A596A">
        <w:tc>
          <w:tcPr>
            <w:tcW w:w="974"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2014</w:t>
            </w:r>
          </w:p>
        </w:tc>
        <w:tc>
          <w:tcPr>
            <w:tcW w:w="4026" w:type="pct"/>
            <w:vAlign w:val="center"/>
          </w:tcPr>
          <w:p w:rsidR="003A596A" w:rsidRPr="00C92388" w:rsidRDefault="003A596A" w:rsidP="003A596A">
            <w:pPr>
              <w:jc w:val="center"/>
              <w:rPr>
                <w:rFonts w:ascii="Arial" w:hAnsi="Arial" w:cs="Arial"/>
                <w:sz w:val="20"/>
                <w:szCs w:val="20"/>
              </w:rPr>
            </w:pPr>
            <w:r w:rsidRPr="00C92388">
              <w:rPr>
                <w:rFonts w:ascii="Arial" w:hAnsi="Arial" w:cs="Arial"/>
                <w:sz w:val="20"/>
                <w:szCs w:val="20"/>
              </w:rPr>
              <w:t>61,6%</w:t>
            </w:r>
          </w:p>
        </w:tc>
      </w:tr>
    </w:tbl>
    <w:p w:rsidR="003A596A" w:rsidRPr="00A17E25" w:rsidRDefault="003A596A" w:rsidP="003A596A"/>
    <w:p w:rsidR="003A596A" w:rsidRDefault="003A596A" w:rsidP="003A596A">
      <w:pPr>
        <w:jc w:val="both"/>
        <w:rPr>
          <w:rFonts w:ascii="Arial" w:hAnsi="Arial" w:cs="Arial"/>
        </w:rPr>
      </w:pPr>
      <w:r w:rsidRPr="0019642A">
        <w:rPr>
          <w:rFonts w:ascii="Arial" w:hAnsi="Arial" w:cs="Arial"/>
        </w:rPr>
        <w:t>De 2012 à 2014, la variation de la composition des recettes par rapport aux prévisions initiales a été très forte et s’est établie respectivement à 66,6%, 63,1% et 61,6%. Ces fortes variations sont principalement dues au fait que (i) les transferts de l’Etat au profit de la CC qui sont destinés à financer les dépenses d’équipement ne sont pas prévus au budget initial et, (ii) les prévisions au titre des recettes des comptes d’affectation spéciale qui étaient de 1380 millions de dirhams pour chacun des trois exercices ont été réalisées à moins de 1% pour chacun des exercices considérés.</w:t>
      </w:r>
    </w:p>
    <w:p w:rsidR="0044265E" w:rsidRPr="0019642A" w:rsidRDefault="0044265E" w:rsidP="003A596A">
      <w:pPr>
        <w:jc w:val="both"/>
        <w:rPr>
          <w:rFonts w:ascii="Arial" w:hAnsi="Arial" w:cs="Arial"/>
        </w:rPr>
      </w:pPr>
    </w:p>
    <w:p w:rsidR="003A596A" w:rsidRPr="00A17E25" w:rsidRDefault="003A596A" w:rsidP="003A596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402"/>
        <w:gridCol w:w="3918"/>
      </w:tblGrid>
      <w:tr w:rsidR="003A596A" w:rsidRPr="00A17E25" w:rsidTr="004B57C3">
        <w:tc>
          <w:tcPr>
            <w:tcW w:w="3827"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1418"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3969"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3A596A">
        <w:tc>
          <w:tcPr>
            <w:tcW w:w="3827" w:type="dxa"/>
          </w:tcPr>
          <w:p w:rsidR="003A596A" w:rsidRPr="00A17E25" w:rsidRDefault="003A596A" w:rsidP="003A596A">
            <w:pPr>
              <w:rPr>
                <w:rFonts w:ascii="Arial" w:hAnsi="Arial" w:cs="Arial"/>
                <w:b/>
                <w:bCs/>
                <w:sz w:val="20"/>
                <w:szCs w:val="20"/>
              </w:rPr>
            </w:pPr>
          </w:p>
          <w:p w:rsidR="003A596A" w:rsidRPr="00A17E25" w:rsidRDefault="003A596A" w:rsidP="003A596A">
            <w:pPr>
              <w:rPr>
                <w:rFonts w:ascii="Arial" w:hAnsi="Arial" w:cs="Arial"/>
                <w:sz w:val="20"/>
                <w:szCs w:val="20"/>
              </w:rPr>
            </w:pPr>
            <w:r w:rsidRPr="00A17E25">
              <w:rPr>
                <w:rFonts w:ascii="Arial" w:hAnsi="Arial" w:cs="Arial"/>
                <w:b/>
                <w:bCs/>
                <w:sz w:val="20"/>
                <w:szCs w:val="20"/>
              </w:rPr>
              <w:t>PI-15 Budgétisation des recettes</w:t>
            </w:r>
          </w:p>
        </w:tc>
        <w:tc>
          <w:tcPr>
            <w:tcW w:w="1418"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D</w:t>
            </w:r>
          </w:p>
        </w:tc>
        <w:tc>
          <w:tcPr>
            <w:tcW w:w="3969"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3827"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 Prévisions budgétaires à moyen terme</w:t>
            </w:r>
          </w:p>
        </w:tc>
        <w:tc>
          <w:tcPr>
            <w:tcW w:w="1418" w:type="dxa"/>
            <w:vAlign w:val="center"/>
          </w:tcPr>
          <w:p w:rsidR="003A596A" w:rsidRPr="00A17E25" w:rsidRDefault="00262F9D" w:rsidP="003A596A">
            <w:pPr>
              <w:jc w:val="center"/>
              <w:rPr>
                <w:rFonts w:ascii="Arial" w:hAnsi="Arial" w:cs="Arial"/>
                <w:sz w:val="20"/>
                <w:szCs w:val="20"/>
              </w:rPr>
            </w:pPr>
            <w:r>
              <w:rPr>
                <w:rFonts w:ascii="Arial" w:hAnsi="Arial" w:cs="Arial"/>
                <w:sz w:val="20"/>
                <w:szCs w:val="20"/>
              </w:rPr>
              <w:t>D</w:t>
            </w:r>
          </w:p>
        </w:tc>
        <w:tc>
          <w:tcPr>
            <w:tcW w:w="3969" w:type="dxa"/>
          </w:tcPr>
          <w:p w:rsidR="003A596A" w:rsidRPr="00A17E25" w:rsidRDefault="00262F9D" w:rsidP="00D55A3A">
            <w:pPr>
              <w:jc w:val="both"/>
              <w:rPr>
                <w:rFonts w:ascii="Arial" w:hAnsi="Arial" w:cs="Arial"/>
                <w:sz w:val="20"/>
                <w:szCs w:val="20"/>
              </w:rPr>
            </w:pPr>
            <w:r w:rsidRPr="00A17E25">
              <w:rPr>
                <w:rFonts w:ascii="Arial" w:hAnsi="Arial" w:cs="Arial"/>
                <w:sz w:val="20"/>
                <w:szCs w:val="20"/>
              </w:rPr>
              <w:t xml:space="preserve"> Des prévisions de recettes à moyen terme ne sont pas établies dans le cadre du processus annuel de préparation du budget de la </w:t>
            </w:r>
            <w:r>
              <w:rPr>
                <w:rFonts w:ascii="Arial" w:hAnsi="Arial" w:cs="Arial"/>
                <w:sz w:val="20"/>
                <w:szCs w:val="20"/>
              </w:rPr>
              <w:t>CC</w:t>
            </w:r>
            <w:r w:rsidRPr="00A17E25">
              <w:rPr>
                <w:rFonts w:ascii="Arial" w:hAnsi="Arial" w:cs="Arial"/>
                <w:sz w:val="20"/>
                <w:szCs w:val="20"/>
              </w:rPr>
              <w:t>.</w:t>
            </w:r>
          </w:p>
        </w:tc>
      </w:tr>
      <w:tr w:rsidR="003A596A" w:rsidRPr="00A17E25" w:rsidTr="003A596A">
        <w:tc>
          <w:tcPr>
            <w:tcW w:w="3827"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 Evaluation de l’impact budgétaire des modifications apportées à la politique publique </w:t>
            </w:r>
          </w:p>
        </w:tc>
        <w:tc>
          <w:tcPr>
            <w:tcW w:w="1418"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3969" w:type="dxa"/>
          </w:tcPr>
          <w:p w:rsidR="003A596A" w:rsidRPr="00A17E25" w:rsidRDefault="003A596A" w:rsidP="00B57986">
            <w:pPr>
              <w:jc w:val="both"/>
              <w:rPr>
                <w:rFonts w:ascii="Arial" w:hAnsi="Arial" w:cs="Arial"/>
                <w:sz w:val="20"/>
                <w:szCs w:val="20"/>
              </w:rPr>
            </w:pPr>
            <w:r w:rsidRPr="00A17E25">
              <w:rPr>
                <w:rFonts w:ascii="Arial" w:hAnsi="Arial" w:cs="Arial"/>
                <w:sz w:val="20"/>
                <w:szCs w:val="20"/>
              </w:rPr>
              <w:t>La documentation budgétaire ne comprend pas un rapport qui présente les estimations des modifications à apporter à la politique publique.</w:t>
            </w:r>
          </w:p>
        </w:tc>
      </w:tr>
      <w:tr w:rsidR="003A596A" w:rsidRPr="00A17E25" w:rsidTr="003A596A">
        <w:tc>
          <w:tcPr>
            <w:tcW w:w="3827"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(iii) Variation de la composition des recettes</w:t>
            </w:r>
          </w:p>
        </w:tc>
        <w:tc>
          <w:tcPr>
            <w:tcW w:w="1418"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3969" w:type="dxa"/>
          </w:tcPr>
          <w:p w:rsidR="003A596A" w:rsidRPr="00A17E25" w:rsidRDefault="003A596A" w:rsidP="00B57986">
            <w:pPr>
              <w:jc w:val="both"/>
              <w:rPr>
                <w:rFonts w:ascii="Arial" w:hAnsi="Arial" w:cs="Arial"/>
                <w:sz w:val="20"/>
                <w:szCs w:val="20"/>
              </w:rPr>
            </w:pPr>
            <w:r w:rsidRPr="00A17E25">
              <w:rPr>
                <w:rFonts w:ascii="Arial" w:hAnsi="Arial" w:cs="Arial"/>
                <w:sz w:val="20"/>
                <w:szCs w:val="20"/>
              </w:rPr>
              <w:t>De 2012 à 2014, la variation de la composition des recettes s’est établie à plus de 15% (66,6% en 2012, 63,1% en 2013 et 61,6% en 2014).</w:t>
            </w:r>
          </w:p>
        </w:tc>
      </w:tr>
    </w:tbl>
    <w:p w:rsidR="003A596A" w:rsidRPr="00A17E25" w:rsidRDefault="003A596A" w:rsidP="003A596A">
      <w:pPr>
        <w:rPr>
          <w:rFonts w:ascii="Arial" w:hAnsi="Arial"/>
          <w:b/>
          <w:bCs/>
        </w:rPr>
      </w:pPr>
    </w:p>
    <w:p w:rsidR="003A596A" w:rsidRPr="003C1449" w:rsidRDefault="003A596A" w:rsidP="003A596A">
      <w:pPr>
        <w:pStyle w:val="Heading1"/>
        <w:jc w:val="both"/>
        <w:rPr>
          <w:rFonts w:cs="Arial"/>
          <w:b w:val="0"/>
          <w:sz w:val="24"/>
          <w:szCs w:val="24"/>
        </w:rPr>
      </w:pPr>
      <w:bookmarkStart w:id="198" w:name="_Toc428200837"/>
      <w:bookmarkStart w:id="199" w:name="_Toc434916134"/>
      <w:bookmarkStart w:id="200" w:name="_Toc434918348"/>
      <w:r w:rsidRPr="003C1449">
        <w:rPr>
          <w:rFonts w:cs="Arial"/>
          <w:sz w:val="24"/>
          <w:szCs w:val="24"/>
        </w:rPr>
        <w:t>PI-16 : Perspective à moyen terme de la budgétisation des dépenses</w:t>
      </w:r>
      <w:bookmarkEnd w:id="198"/>
      <w:bookmarkEnd w:id="199"/>
      <w:bookmarkEnd w:id="200"/>
    </w:p>
    <w:p w:rsidR="003A596A" w:rsidRPr="00A17E25" w:rsidRDefault="003A596A" w:rsidP="003A596A">
      <w:pPr>
        <w:jc w:val="both"/>
        <w:rPr>
          <w:rFonts w:ascii="Arial" w:hAnsi="Arial" w:cs="Arial"/>
        </w:rPr>
      </w:pPr>
    </w:p>
    <w:p w:rsidR="003A596A" w:rsidRPr="00A17E25" w:rsidRDefault="00D55A3A" w:rsidP="003A596A">
      <w:pPr>
        <w:jc w:val="both"/>
        <w:rPr>
          <w:rFonts w:ascii="Arial" w:hAnsi="Arial" w:cs="Arial"/>
        </w:rPr>
      </w:pPr>
      <w:r>
        <w:rPr>
          <w:rFonts w:ascii="Arial" w:hAnsi="Arial" w:cs="Arial"/>
        </w:rPr>
        <w:t xml:space="preserve">Cet indicateur du cadre PEFA national est applicable à l’Etat et non au niveau des collectivités territoriales. </w:t>
      </w:r>
      <w:r w:rsidR="003A596A" w:rsidRPr="00A17E25">
        <w:rPr>
          <w:rFonts w:ascii="Arial" w:hAnsi="Arial" w:cs="Arial"/>
        </w:rPr>
        <w:t xml:space="preserve">L’élaboration de stratégies sectorielles de </w:t>
      </w:r>
      <w:r w:rsidR="003A596A" w:rsidRPr="00D55A3A">
        <w:rPr>
          <w:rFonts w:ascii="Arial" w:hAnsi="Arial" w:cs="Arial"/>
          <w:b/>
        </w:rPr>
        <w:t>l’Etat</w:t>
      </w:r>
      <w:r w:rsidR="003A596A" w:rsidRPr="00A17E25">
        <w:rPr>
          <w:rFonts w:ascii="Arial" w:hAnsi="Arial" w:cs="Arial"/>
        </w:rPr>
        <w:t xml:space="preserve"> a été initiée au Maroc au début des années 2000, avec la mise en place de Cadres de Dépenses à Moyen Terme (CDMT) sectoriels.</w:t>
      </w:r>
      <w:r w:rsidR="00A57804">
        <w:rPr>
          <w:rFonts w:ascii="Arial" w:hAnsi="Arial" w:cs="Arial"/>
        </w:rPr>
        <w:t xml:space="preserve"> </w:t>
      </w:r>
      <w:r w:rsidR="003A596A" w:rsidRPr="00A17E25">
        <w:rPr>
          <w:rFonts w:ascii="Arial" w:hAnsi="Arial" w:cs="Arial"/>
        </w:rPr>
        <w:t xml:space="preserve">Cependant, malgré les efforts au niveau de la préparation des CDMT sectoriels, ces outils n’ont pas contribué à d’élaboration d’un budget </w:t>
      </w:r>
      <w:r w:rsidR="00206632">
        <w:rPr>
          <w:rFonts w:ascii="Arial" w:hAnsi="Arial" w:cs="Arial"/>
        </w:rPr>
        <w:t xml:space="preserve">tri </w:t>
      </w:r>
      <w:r w:rsidR="00206632" w:rsidRPr="00A17E25">
        <w:rPr>
          <w:rFonts w:ascii="Arial" w:hAnsi="Arial" w:cs="Arial"/>
        </w:rPr>
        <w:t>annuel</w:t>
      </w:r>
      <w:r w:rsidR="003A596A" w:rsidRPr="00A17E25">
        <w:rPr>
          <w:rFonts w:ascii="Arial" w:hAnsi="Arial" w:cs="Arial"/>
        </w:rPr>
        <w:t>, notamment en l’absence d’un CDMT global.</w:t>
      </w:r>
    </w:p>
    <w:p w:rsidR="006F784D" w:rsidRDefault="006F784D"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Parallèlement, la pluri-annualité budgétaire a été introduite </w:t>
      </w:r>
      <w:r w:rsidR="004E3230">
        <w:rPr>
          <w:rFonts w:ascii="Arial" w:hAnsi="Arial" w:cs="Arial"/>
        </w:rPr>
        <w:t xml:space="preserve">au niveau national </w:t>
      </w:r>
      <w:r w:rsidRPr="00A17E25">
        <w:rPr>
          <w:rFonts w:ascii="Arial" w:hAnsi="Arial" w:cs="Arial"/>
        </w:rPr>
        <w:t>dans la constitution en 2011</w:t>
      </w:r>
      <w:r w:rsidRPr="00A17E25">
        <w:rPr>
          <w:rFonts w:ascii="Arial" w:hAnsi="Arial" w:cs="Arial"/>
          <w:vertAlign w:val="superscript"/>
        </w:rPr>
        <w:footnoteReference w:id="37"/>
      </w:r>
      <w:r w:rsidRPr="00A17E25">
        <w:rPr>
          <w:rFonts w:ascii="Arial" w:hAnsi="Arial" w:cs="Arial"/>
        </w:rPr>
        <w:t xml:space="preserve"> et précisée dans la nouvelle loi organique des finances. Les nouvelles dispositions de pluri-annualité font l’objet d’une préfiguration depuis 20</w:t>
      </w:r>
      <w:r w:rsidR="006F784D">
        <w:rPr>
          <w:rFonts w:ascii="Arial" w:hAnsi="Arial" w:cs="Arial"/>
        </w:rPr>
        <w:t>15, avec la publication sur le s</w:t>
      </w:r>
      <w:r w:rsidRPr="00A17E25">
        <w:rPr>
          <w:rFonts w:ascii="Arial" w:hAnsi="Arial" w:cs="Arial"/>
        </w:rPr>
        <w:t xml:space="preserve">ite du MEF du CDMT global et des prévisions triennales de 5 ministères sectoriels avec l’ambition d’une entrée en vigueur globale à partir de 2018. </w:t>
      </w:r>
    </w:p>
    <w:p w:rsidR="006F784D" w:rsidRDefault="006F784D" w:rsidP="003A596A">
      <w:pPr>
        <w:autoSpaceDE w:val="0"/>
        <w:autoSpaceDN w:val="0"/>
        <w:adjustRightInd w:val="0"/>
        <w:jc w:val="both"/>
        <w:rPr>
          <w:rFonts w:ascii="Arial" w:hAnsi="Arial" w:cs="Arial"/>
        </w:rPr>
      </w:pPr>
    </w:p>
    <w:p w:rsidR="00D55A3A" w:rsidRDefault="00D55A3A" w:rsidP="003A596A">
      <w:pPr>
        <w:autoSpaceDE w:val="0"/>
        <w:autoSpaceDN w:val="0"/>
        <w:adjustRightInd w:val="0"/>
        <w:jc w:val="both"/>
        <w:rPr>
          <w:rFonts w:ascii="Arial" w:hAnsi="Arial" w:cs="Arial"/>
        </w:rPr>
      </w:pPr>
      <w:r>
        <w:rPr>
          <w:rFonts w:ascii="Arial" w:hAnsi="Arial" w:cs="Arial"/>
        </w:rPr>
        <w:t xml:space="preserve">Les collectivités territoriales sont en principe consultées lors de l’élaboration de stratégies nationales dans des domaines de compétence partagée, mais plutôt au niveau de la mise en œuvre et souvent à l’initiative du gouverneur soucieux d’une coordination des politiques publiques. </w:t>
      </w:r>
    </w:p>
    <w:p w:rsidR="00D55A3A" w:rsidRDefault="00D55A3A" w:rsidP="003A596A">
      <w:pPr>
        <w:autoSpaceDE w:val="0"/>
        <w:autoSpaceDN w:val="0"/>
        <w:adjustRightInd w:val="0"/>
        <w:jc w:val="both"/>
        <w:rPr>
          <w:rFonts w:ascii="Arial" w:hAnsi="Arial" w:cs="Arial"/>
        </w:rPr>
      </w:pPr>
      <w:r>
        <w:rPr>
          <w:rFonts w:ascii="Arial" w:hAnsi="Arial" w:cs="Arial"/>
        </w:rPr>
        <w:t xml:space="preserve"> </w:t>
      </w:r>
    </w:p>
    <w:p w:rsidR="003A596A" w:rsidRDefault="003A596A" w:rsidP="003A596A">
      <w:pPr>
        <w:autoSpaceDE w:val="0"/>
        <w:autoSpaceDN w:val="0"/>
        <w:adjustRightInd w:val="0"/>
        <w:jc w:val="both"/>
        <w:rPr>
          <w:rFonts w:ascii="Arial" w:eastAsia="Calibri" w:hAnsi="Arial" w:cs="Arial"/>
          <w:lang w:eastAsia="fr-FR"/>
        </w:rPr>
      </w:pPr>
      <w:r w:rsidRPr="00A17E25">
        <w:rPr>
          <w:rFonts w:ascii="Arial" w:hAnsi="Arial" w:cs="Arial"/>
        </w:rPr>
        <w:t xml:space="preserve">Au niveau des </w:t>
      </w:r>
      <w:r w:rsidR="00D55A3A">
        <w:rPr>
          <w:rFonts w:ascii="Arial" w:hAnsi="Arial" w:cs="Arial"/>
        </w:rPr>
        <w:t>communes, la charte communale</w:t>
      </w:r>
      <w:r w:rsidRPr="00A17E25">
        <w:rPr>
          <w:rStyle w:val="FootnoteReference"/>
          <w:rFonts w:ascii="Arial" w:eastAsia="Calibri" w:hAnsi="Arial" w:cs="Arial"/>
          <w:lang w:eastAsia="fr-FR"/>
        </w:rPr>
        <w:footnoteReference w:id="38"/>
      </w:r>
      <w:r w:rsidRPr="00A17E25">
        <w:rPr>
          <w:rFonts w:ascii="Arial" w:eastAsia="Calibri" w:hAnsi="Arial" w:cs="Arial"/>
          <w:lang w:eastAsia="fr-FR"/>
        </w:rPr>
        <w:t xml:space="preserve"> </w:t>
      </w:r>
      <w:r w:rsidR="00D55A3A">
        <w:rPr>
          <w:rFonts w:ascii="Arial" w:eastAsia="Calibri" w:hAnsi="Arial" w:cs="Arial"/>
          <w:lang w:eastAsia="fr-FR"/>
        </w:rPr>
        <w:t xml:space="preserve">avait </w:t>
      </w:r>
      <w:r w:rsidRPr="00A17E25">
        <w:rPr>
          <w:rFonts w:ascii="Arial" w:eastAsia="Calibri" w:hAnsi="Arial" w:cs="Arial"/>
          <w:lang w:eastAsia="fr-FR"/>
        </w:rPr>
        <w:t xml:space="preserve">instauré le ''Plan Communal de Développement (PCD)'' en tant qu’outil de mise en œuvre des principes de la bonne gouvernance locale. La logique du PCD </w:t>
      </w:r>
      <w:r w:rsidRPr="00A17E25">
        <w:rPr>
          <w:rFonts w:ascii="Arial" w:hAnsi="Arial" w:cs="Arial"/>
          <w:lang w:eastAsia="fr-FR"/>
        </w:rPr>
        <w:t>vis</w:t>
      </w:r>
      <w:r w:rsidR="00D55A3A">
        <w:rPr>
          <w:rFonts w:ascii="Arial" w:hAnsi="Arial" w:cs="Arial"/>
          <w:lang w:eastAsia="fr-FR"/>
        </w:rPr>
        <w:t xml:space="preserve">ait </w:t>
      </w:r>
      <w:r w:rsidRPr="00A17E25">
        <w:rPr>
          <w:rFonts w:ascii="Arial" w:hAnsi="Arial" w:cs="Arial"/>
          <w:lang w:eastAsia="fr-FR"/>
        </w:rPr>
        <w:t xml:space="preserve">à </w:t>
      </w:r>
      <w:r w:rsidRPr="00A17E25">
        <w:rPr>
          <w:rFonts w:ascii="Arial" w:eastAsia="Calibri" w:hAnsi="Arial" w:cs="Arial"/>
          <w:lang w:eastAsia="fr-FR"/>
        </w:rPr>
        <w:t>renforce</w:t>
      </w:r>
      <w:r w:rsidRPr="00A17E25">
        <w:rPr>
          <w:rFonts w:ascii="Arial" w:hAnsi="Arial" w:cs="Arial"/>
          <w:lang w:eastAsia="fr-FR"/>
        </w:rPr>
        <w:t>r</w:t>
      </w:r>
      <w:r w:rsidRPr="00A17E25">
        <w:rPr>
          <w:rFonts w:ascii="Arial" w:eastAsia="Calibri" w:hAnsi="Arial" w:cs="Arial"/>
          <w:lang w:eastAsia="fr-FR"/>
        </w:rPr>
        <w:t xml:space="preserve"> la position </w:t>
      </w:r>
      <w:r w:rsidR="006F784D">
        <w:rPr>
          <w:rFonts w:ascii="Arial" w:eastAsia="Calibri" w:hAnsi="Arial" w:cs="Arial"/>
          <w:lang w:eastAsia="fr-FR"/>
        </w:rPr>
        <w:t xml:space="preserve">institutionnelle de la commune, </w:t>
      </w:r>
      <w:r w:rsidRPr="00A17E25">
        <w:rPr>
          <w:rFonts w:ascii="Arial" w:eastAsia="Calibri" w:hAnsi="Arial" w:cs="Arial"/>
          <w:lang w:eastAsia="fr-FR"/>
        </w:rPr>
        <w:t xml:space="preserve"> notamment en lui conférant la compétence de piloter le diagnostic territorial avec l’objectif fondamental d’identifier les forces, les faiblesses, les menaces et les opportunités de la ville et enfin, de faire converger les visions des différents acteurs vers une stratégie territoriale horizontale unique, partagée et intégrée, méritant le qualificatif de projet de ville. </w:t>
      </w:r>
      <w:r w:rsidR="00B76DCA">
        <w:rPr>
          <w:rFonts w:ascii="Arial" w:eastAsia="Calibri" w:hAnsi="Arial" w:cs="Arial"/>
          <w:lang w:eastAsia="fr-FR"/>
        </w:rPr>
        <w:t>Ce processus de planification participative ne peut être considéré comme des stratégies sectorielles au sens du PEFA. Il a d’ailleurs été abandonné et remplacé dans la loi organique 2015 régissant les communes par des plans d’action participatifs</w:t>
      </w:r>
      <w:r w:rsidR="00B76DCA" w:rsidRPr="00A17E25">
        <w:rPr>
          <w:rStyle w:val="FootnoteReference"/>
          <w:rFonts w:ascii="Arial" w:hAnsi="Arial" w:cs="Arial"/>
          <w:lang w:eastAsia="fr-FR"/>
        </w:rPr>
        <w:footnoteReference w:id="39"/>
      </w:r>
      <w:r w:rsidR="00B76DCA">
        <w:rPr>
          <w:rFonts w:ascii="Arial" w:eastAsia="Calibri" w:hAnsi="Arial" w:cs="Arial"/>
          <w:lang w:eastAsia="fr-FR"/>
        </w:rPr>
        <w:t xml:space="preserve">. </w:t>
      </w:r>
    </w:p>
    <w:p w:rsidR="006F784D" w:rsidRPr="00A17E25" w:rsidRDefault="006F784D" w:rsidP="003A596A">
      <w:pPr>
        <w:autoSpaceDE w:val="0"/>
        <w:autoSpaceDN w:val="0"/>
        <w:adjustRightInd w:val="0"/>
        <w:jc w:val="both"/>
        <w:rPr>
          <w:rFonts w:ascii="Arial" w:eastAsia="Calibri" w:hAnsi="Arial" w:cs="Arial"/>
          <w:lang w:eastAsia="fr-FR"/>
        </w:rPr>
      </w:pPr>
    </w:p>
    <w:p w:rsidR="003A596A" w:rsidRPr="00A17E25" w:rsidRDefault="003A596A" w:rsidP="003A596A">
      <w:pPr>
        <w:shd w:val="clear" w:color="auto" w:fill="FFFFFF"/>
        <w:jc w:val="both"/>
        <w:outlineLvl w:val="3"/>
        <w:rPr>
          <w:rFonts w:ascii="Arial" w:hAnsi="Arial" w:cs="Arial"/>
          <w:lang w:eastAsia="fr-FR"/>
        </w:rPr>
      </w:pPr>
      <w:r w:rsidRPr="00A17E25">
        <w:rPr>
          <w:rFonts w:ascii="Arial" w:eastAsia="Calibri" w:hAnsi="Arial" w:cs="Arial"/>
          <w:lang w:eastAsia="fr-FR"/>
        </w:rPr>
        <w:t xml:space="preserve">Par ailleurs, </w:t>
      </w:r>
      <w:r w:rsidR="00B76DCA">
        <w:rPr>
          <w:rFonts w:ascii="Arial" w:eastAsia="Calibri" w:hAnsi="Arial" w:cs="Arial"/>
          <w:lang w:eastAsia="fr-FR"/>
        </w:rPr>
        <w:t>il n’existe pas de cadre réglementaire sur la</w:t>
      </w:r>
      <w:r w:rsidRPr="00A17E25">
        <w:rPr>
          <w:rFonts w:ascii="Arial" w:eastAsia="Calibri" w:hAnsi="Arial" w:cs="Arial"/>
          <w:lang w:eastAsia="fr-FR"/>
        </w:rPr>
        <w:t xml:space="preserve"> programmation triennale de l'ensemble des ressources et des charges de la collectivité locale. </w:t>
      </w:r>
    </w:p>
    <w:p w:rsidR="003A596A" w:rsidRPr="00A17E25" w:rsidRDefault="003A596A" w:rsidP="003A596A">
      <w:pPr>
        <w:shd w:val="clear" w:color="auto" w:fill="FFFFFF"/>
        <w:jc w:val="both"/>
        <w:outlineLvl w:val="3"/>
        <w:rPr>
          <w:rFonts w:ascii="Arial" w:hAnsi="Arial" w:cs="Arial"/>
          <w:lang w:eastAsia="fr-FR"/>
        </w:rPr>
      </w:pPr>
      <w:r w:rsidRPr="00A17E25">
        <w:rPr>
          <w:rFonts w:ascii="Arial" w:hAnsi="Arial" w:cs="Arial"/>
          <w:lang w:eastAsia="fr-FR"/>
        </w:rPr>
        <w:t>C</w:t>
      </w:r>
      <w:r w:rsidR="00B76DCA">
        <w:rPr>
          <w:rFonts w:ascii="Arial" w:hAnsi="Arial" w:cs="Arial"/>
          <w:lang w:eastAsia="fr-FR"/>
        </w:rPr>
        <w:t xml:space="preserve">ependant, </w:t>
      </w:r>
      <w:r w:rsidRPr="00A17E25">
        <w:rPr>
          <w:rFonts w:ascii="Arial" w:hAnsi="Arial" w:cs="Arial"/>
          <w:lang w:eastAsia="fr-FR"/>
        </w:rPr>
        <w:t xml:space="preserve">la ville de Casablanca dispose d’une vision </w:t>
      </w:r>
      <w:r w:rsidR="00B76DCA">
        <w:rPr>
          <w:rFonts w:ascii="Arial" w:hAnsi="Arial" w:cs="Arial"/>
          <w:lang w:eastAsia="fr-FR"/>
        </w:rPr>
        <w:t xml:space="preserve">articulée autour des </w:t>
      </w:r>
      <w:r w:rsidRPr="00A17E25">
        <w:rPr>
          <w:rFonts w:ascii="Arial" w:hAnsi="Arial" w:cs="Arial"/>
          <w:lang w:eastAsia="fr-FR"/>
        </w:rPr>
        <w:t xml:space="preserve">objectifs </w:t>
      </w:r>
      <w:r w:rsidR="006F784D">
        <w:rPr>
          <w:rFonts w:ascii="Arial" w:hAnsi="Arial" w:cs="Arial"/>
          <w:lang w:eastAsia="fr-FR"/>
        </w:rPr>
        <w:t>suivants</w:t>
      </w:r>
      <w:r w:rsidRPr="00A17E25">
        <w:rPr>
          <w:rFonts w:ascii="Arial" w:hAnsi="Arial" w:cs="Arial"/>
          <w:lang w:eastAsia="fr-FR"/>
        </w:rPr>
        <w:t>:</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 xml:space="preserve">se positionner comme destination mondiale de l’offshoring </w:t>
      </w:r>
      <w:r w:rsidR="006F784D">
        <w:rPr>
          <w:rFonts w:ascii="Arial" w:hAnsi="Arial" w:cs="Arial"/>
          <w:lang w:eastAsia="fr-FR"/>
        </w:rPr>
        <w:t>et de nombreux projets en cours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être une place financière à l’échelle mondiale : Cas</w:t>
      </w:r>
      <w:r w:rsidR="006F784D">
        <w:rPr>
          <w:rFonts w:ascii="Arial" w:hAnsi="Arial" w:cs="Arial"/>
          <w:lang w:eastAsia="fr-FR"/>
        </w:rPr>
        <w:t>a Finance City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devenir une destination touristique de loisir : Capitale du shopping et des loisirs avec de nombreux projets, opérationne</w:t>
      </w:r>
      <w:r w:rsidR="006F784D">
        <w:rPr>
          <w:rFonts w:ascii="Arial" w:hAnsi="Arial" w:cs="Arial"/>
          <w:lang w:eastAsia="fr-FR"/>
        </w:rPr>
        <w:t>ls ou en cours de développement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procéder au développement urbain: Ouverture de 25 000 ha nouveaux à l’urbanisation d’ici 2030 dont 5000 ha</w:t>
      </w:r>
      <w:r w:rsidR="006F784D">
        <w:rPr>
          <w:rFonts w:ascii="Arial" w:hAnsi="Arial" w:cs="Arial"/>
          <w:lang w:eastAsia="fr-FR"/>
        </w:rPr>
        <w:t xml:space="preserve"> pour les activités économiques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être un hub logistique avec 6 plates-formes logis</w:t>
      </w:r>
      <w:r w:rsidR="006F784D">
        <w:rPr>
          <w:rFonts w:ascii="Arial" w:hAnsi="Arial" w:cs="Arial"/>
          <w:lang w:eastAsia="fr-FR"/>
        </w:rPr>
        <w:t>tiques de stockage-distribution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faire de Casablanca une ville propre</w:t>
      </w:r>
      <w:bookmarkStart w:id="201" w:name="eztoc367_0_0_1_2"/>
      <w:bookmarkEnd w:id="201"/>
      <w:r w:rsidRPr="00A17E25">
        <w:rPr>
          <w:rFonts w:ascii="Arial" w:hAnsi="Arial" w:cs="Arial"/>
          <w:lang w:eastAsia="fr-FR"/>
        </w:rPr>
        <w:t xml:space="preserve"> et réhabiliter </w:t>
      </w:r>
      <w:r w:rsidR="006F784D">
        <w:rPr>
          <w:rFonts w:ascii="Arial" w:hAnsi="Arial" w:cs="Arial"/>
          <w:lang w:eastAsia="fr-FR"/>
        </w:rPr>
        <w:t>les espaces verts et de loisirs ;</w:t>
      </w:r>
    </w:p>
    <w:p w:rsidR="003A596A" w:rsidRPr="00A17E25" w:rsidRDefault="003A596A" w:rsidP="00151AD3">
      <w:pPr>
        <w:numPr>
          <w:ilvl w:val="1"/>
          <w:numId w:val="38"/>
        </w:numPr>
        <w:shd w:val="clear" w:color="auto" w:fill="FFFFFF"/>
        <w:spacing w:after="75"/>
        <w:ind w:left="480"/>
        <w:jc w:val="both"/>
        <w:rPr>
          <w:rFonts w:ascii="Arial" w:hAnsi="Arial" w:cs="Arial"/>
          <w:lang w:eastAsia="fr-FR"/>
        </w:rPr>
      </w:pPr>
      <w:r w:rsidRPr="00A17E25">
        <w:rPr>
          <w:rFonts w:ascii="Arial" w:hAnsi="Arial" w:cs="Arial"/>
          <w:lang w:eastAsia="fr-FR"/>
        </w:rPr>
        <w:t>structurer le développement urbanistique de la ville</w:t>
      </w:r>
      <w:bookmarkStart w:id="202" w:name="eztoc367_0_0_1_3"/>
      <w:bookmarkEnd w:id="202"/>
      <w:r w:rsidRPr="00A17E25">
        <w:rPr>
          <w:rFonts w:ascii="Arial" w:hAnsi="Arial" w:cs="Arial"/>
          <w:lang w:eastAsia="fr-FR"/>
        </w:rPr>
        <w:t>, résorber les quartiers d’habitat précaire, et amén</w:t>
      </w:r>
      <w:r w:rsidR="006F784D">
        <w:rPr>
          <w:rFonts w:ascii="Arial" w:hAnsi="Arial" w:cs="Arial"/>
          <w:lang w:eastAsia="fr-FR"/>
        </w:rPr>
        <w:t>ager des ouvrages structurants ;</w:t>
      </w:r>
    </w:p>
    <w:p w:rsidR="003A596A" w:rsidRPr="00A17E25" w:rsidRDefault="006F784D" w:rsidP="00151AD3">
      <w:pPr>
        <w:numPr>
          <w:ilvl w:val="1"/>
          <w:numId w:val="39"/>
        </w:numPr>
        <w:shd w:val="clear" w:color="auto" w:fill="FFFFFF"/>
        <w:spacing w:after="75"/>
        <w:ind w:left="480"/>
        <w:jc w:val="both"/>
        <w:rPr>
          <w:rFonts w:ascii="Arial" w:hAnsi="Arial" w:cs="Arial"/>
          <w:lang w:eastAsia="fr-FR"/>
        </w:rPr>
      </w:pPr>
      <w:r>
        <w:rPr>
          <w:rFonts w:ascii="Arial" w:hAnsi="Arial" w:cs="Arial"/>
          <w:lang w:eastAsia="fr-FR"/>
        </w:rPr>
        <w:t>t</w:t>
      </w:r>
      <w:r w:rsidR="003A596A" w:rsidRPr="00A17E25">
        <w:rPr>
          <w:rFonts w:ascii="Arial" w:hAnsi="Arial" w:cs="Arial"/>
          <w:lang w:eastAsia="fr-FR"/>
        </w:rPr>
        <w:t>endre vers un système de transport de masse multimodal.</w:t>
      </w:r>
    </w:p>
    <w:p w:rsidR="00B76DCA" w:rsidRDefault="00B76DCA" w:rsidP="003A596A">
      <w:pPr>
        <w:pStyle w:val="Heading1"/>
        <w:shd w:val="clear" w:color="auto" w:fill="FFFFFF"/>
        <w:spacing w:before="0" w:after="375"/>
        <w:jc w:val="both"/>
        <w:rPr>
          <w:rFonts w:cs="Arial"/>
          <w:b w:val="0"/>
          <w:sz w:val="24"/>
          <w:szCs w:val="24"/>
        </w:rPr>
      </w:pPr>
      <w:bookmarkStart w:id="203" w:name="_Toc434916135"/>
      <w:bookmarkStart w:id="204" w:name="_Toc434918349"/>
    </w:p>
    <w:p w:rsidR="008B66C1" w:rsidRDefault="00B76DCA" w:rsidP="003A596A">
      <w:pPr>
        <w:pStyle w:val="Heading1"/>
        <w:shd w:val="clear" w:color="auto" w:fill="FFFFFF"/>
        <w:spacing w:before="0" w:after="375"/>
        <w:jc w:val="both"/>
        <w:rPr>
          <w:rFonts w:cs="Arial"/>
          <w:b w:val="0"/>
          <w:sz w:val="24"/>
          <w:szCs w:val="24"/>
        </w:rPr>
      </w:pPr>
      <w:r>
        <w:rPr>
          <w:rFonts w:cs="Arial"/>
          <w:b w:val="0"/>
          <w:sz w:val="24"/>
          <w:szCs w:val="24"/>
        </w:rPr>
        <w:t>De plus</w:t>
      </w:r>
      <w:r w:rsidR="003A596A" w:rsidRPr="00A3569B">
        <w:rPr>
          <w:rFonts w:cs="Arial"/>
          <w:b w:val="0"/>
          <w:sz w:val="24"/>
          <w:szCs w:val="24"/>
        </w:rPr>
        <w:t>, en réponse aux orientations du Discours Royal du 11 octobre  2013, un dispositif  de réflexion pilotée par la Wilaya (</w:t>
      </w:r>
      <w:r w:rsidR="008B66C1">
        <w:rPr>
          <w:rFonts w:cs="Arial"/>
          <w:b w:val="0"/>
          <w:sz w:val="24"/>
          <w:szCs w:val="24"/>
        </w:rPr>
        <w:t>Gouverneur régional</w:t>
      </w:r>
      <w:r w:rsidR="003A596A" w:rsidRPr="00A3569B">
        <w:rPr>
          <w:rFonts w:cs="Arial"/>
          <w:b w:val="0"/>
          <w:sz w:val="24"/>
          <w:szCs w:val="24"/>
        </w:rPr>
        <w:t xml:space="preserve">) a été </w:t>
      </w:r>
      <w:r w:rsidR="008B66C1">
        <w:rPr>
          <w:rFonts w:cs="Arial"/>
          <w:b w:val="0"/>
          <w:sz w:val="24"/>
          <w:szCs w:val="24"/>
        </w:rPr>
        <w:t xml:space="preserve">lancé et à conduit au </w:t>
      </w:r>
      <w:r w:rsidR="008B66C1" w:rsidRPr="008B66C1">
        <w:rPr>
          <w:rFonts w:cs="Arial"/>
          <w:b w:val="0"/>
          <w:sz w:val="24"/>
          <w:szCs w:val="24"/>
        </w:rPr>
        <w:t>Plan de développement du Grand Casablanca</w:t>
      </w:r>
      <w:r w:rsidR="008B66C1">
        <w:rPr>
          <w:rFonts w:cs="Arial"/>
          <w:b w:val="0"/>
          <w:sz w:val="24"/>
          <w:szCs w:val="24"/>
        </w:rPr>
        <w:t>, qui</w:t>
      </w:r>
      <w:r w:rsidR="008B66C1" w:rsidRPr="008B66C1">
        <w:rPr>
          <w:rFonts w:cs="Arial"/>
          <w:b w:val="0"/>
          <w:sz w:val="24"/>
          <w:szCs w:val="24"/>
        </w:rPr>
        <w:t xml:space="preserve"> comprend un ensemble de projets majeurs auxquels participe la </w:t>
      </w:r>
      <w:r w:rsidR="00262F9D">
        <w:rPr>
          <w:rFonts w:cs="Arial"/>
          <w:b w:val="0"/>
          <w:sz w:val="24"/>
          <w:szCs w:val="24"/>
        </w:rPr>
        <w:t>CC</w:t>
      </w:r>
      <w:r w:rsidR="008B66C1">
        <w:rPr>
          <w:rFonts w:cs="Arial"/>
          <w:b w:val="0"/>
          <w:sz w:val="24"/>
          <w:szCs w:val="24"/>
        </w:rPr>
        <w:t xml:space="preserve">. </w:t>
      </w:r>
    </w:p>
    <w:p w:rsidR="003A596A" w:rsidRPr="004B57C3" w:rsidRDefault="003A596A" w:rsidP="00151AD3">
      <w:pPr>
        <w:pStyle w:val="Comp"/>
        <w:numPr>
          <w:ilvl w:val="0"/>
          <w:numId w:val="79"/>
        </w:numPr>
        <w:rPr>
          <w:rFonts w:ascii="Arial" w:hAnsi="Arial" w:cs="Arial"/>
          <w:b w:val="0"/>
          <w:color w:val="0070C0"/>
          <w:sz w:val="24"/>
          <w:szCs w:val="24"/>
        </w:rPr>
      </w:pPr>
      <w:bookmarkStart w:id="205" w:name="eztoc10043_0_2"/>
      <w:bookmarkStart w:id="206" w:name="_Toc428200838"/>
      <w:bookmarkStart w:id="207" w:name="_Toc434916136"/>
      <w:bookmarkStart w:id="208" w:name="_Toc434918350"/>
      <w:bookmarkEnd w:id="203"/>
      <w:bookmarkEnd w:id="204"/>
      <w:bookmarkEnd w:id="205"/>
      <w:r w:rsidRPr="004B57C3">
        <w:rPr>
          <w:rFonts w:ascii="Arial" w:hAnsi="Arial" w:cs="Arial"/>
          <w:b w:val="0"/>
          <w:color w:val="0070C0"/>
          <w:sz w:val="24"/>
          <w:szCs w:val="24"/>
        </w:rPr>
        <w:t>Couverture et contenu des stratégies sectorielles</w:t>
      </w:r>
      <w:bookmarkEnd w:id="206"/>
      <w:bookmarkEnd w:id="207"/>
      <w:bookmarkEnd w:id="208"/>
    </w:p>
    <w:p w:rsidR="00494B12" w:rsidRDefault="004E3230" w:rsidP="003A596A">
      <w:pPr>
        <w:jc w:val="both"/>
        <w:rPr>
          <w:rFonts w:ascii="Arial" w:hAnsi="Arial" w:cs="Arial"/>
        </w:rPr>
      </w:pPr>
      <w:r>
        <w:rPr>
          <w:rFonts w:ascii="Arial" w:hAnsi="Arial" w:cs="Arial"/>
        </w:rPr>
        <w:t xml:space="preserve">L’élaboration de stratégies sectorielles est du ressort de l’Etat. Les collectivités territoriales sont </w:t>
      </w:r>
      <w:r w:rsidR="00494B12">
        <w:rPr>
          <w:rFonts w:ascii="Arial" w:hAnsi="Arial" w:cs="Arial"/>
        </w:rPr>
        <w:t>parfois associées,</w:t>
      </w:r>
      <w:r w:rsidR="00494B12" w:rsidRPr="00494B12">
        <w:rPr>
          <w:rFonts w:ascii="Arial" w:hAnsi="Arial" w:cs="Arial"/>
        </w:rPr>
        <w:t xml:space="preserve"> </w:t>
      </w:r>
      <w:r w:rsidR="00494B12">
        <w:rPr>
          <w:rFonts w:ascii="Arial" w:hAnsi="Arial" w:cs="Arial"/>
        </w:rPr>
        <w:t xml:space="preserve">le plus souvent au niveau des plans d’actions de mise en œuvre, notamment grâce aux gouverneurs, qui assurent une certaine coordination avec les services déconcentrés. Aussi la notation de cette composante n’est pas applicable pour le niveau communal. </w:t>
      </w:r>
    </w:p>
    <w:p w:rsidR="00494B12" w:rsidRDefault="00494B12" w:rsidP="003A596A">
      <w:pPr>
        <w:jc w:val="both"/>
        <w:rPr>
          <w:rFonts w:ascii="Arial" w:hAnsi="Arial" w:cs="Arial"/>
        </w:rPr>
      </w:pPr>
    </w:p>
    <w:p w:rsidR="008D7D66" w:rsidRDefault="004E3230" w:rsidP="003A596A">
      <w:pPr>
        <w:jc w:val="both"/>
        <w:rPr>
          <w:rFonts w:ascii="Arial" w:hAnsi="Arial" w:cs="Arial"/>
        </w:rPr>
      </w:pPr>
      <w:r>
        <w:rPr>
          <w:rFonts w:ascii="Arial" w:hAnsi="Arial" w:cs="Arial"/>
        </w:rPr>
        <w:t xml:space="preserve">La nouvelle loi organique des régions a renforcé </w:t>
      </w:r>
      <w:r w:rsidR="00494B12">
        <w:rPr>
          <w:rFonts w:ascii="Arial" w:hAnsi="Arial" w:cs="Arial"/>
        </w:rPr>
        <w:t xml:space="preserve">le rôle des conseils de régions en matière de planification et de stratégies sectorielles essentiellement dans les domaines économiques et sociaux. </w:t>
      </w:r>
    </w:p>
    <w:p w:rsidR="008D7D66" w:rsidRDefault="008D7D66" w:rsidP="003A596A">
      <w:pPr>
        <w:jc w:val="both"/>
        <w:rPr>
          <w:rFonts w:ascii="Arial" w:hAnsi="Arial" w:cs="Arial"/>
        </w:rPr>
      </w:pPr>
    </w:p>
    <w:p w:rsidR="00892FF8" w:rsidRDefault="003A596A" w:rsidP="003A596A">
      <w:pPr>
        <w:jc w:val="both"/>
        <w:rPr>
          <w:rFonts w:ascii="Arial" w:hAnsi="Arial" w:cs="Arial"/>
        </w:rPr>
      </w:pPr>
      <w:r w:rsidRPr="00A17E25">
        <w:rPr>
          <w:rFonts w:ascii="Arial" w:hAnsi="Arial" w:cs="Arial"/>
        </w:rPr>
        <w:t>Au cours des trois derniers exercices, les Divisions/</w:t>
      </w:r>
    </w:p>
    <w:p w:rsidR="003A596A" w:rsidRDefault="003A596A" w:rsidP="003A596A">
      <w:pPr>
        <w:jc w:val="both"/>
        <w:rPr>
          <w:rFonts w:ascii="Arial" w:hAnsi="Arial" w:cs="Arial"/>
        </w:rPr>
      </w:pPr>
      <w:r w:rsidRPr="00A17E25">
        <w:rPr>
          <w:rFonts w:ascii="Arial" w:hAnsi="Arial" w:cs="Arial"/>
        </w:rPr>
        <w:t xml:space="preserve">Gestionnaires de la </w:t>
      </w:r>
      <w:r w:rsidR="00482393">
        <w:rPr>
          <w:rFonts w:ascii="Arial" w:hAnsi="Arial" w:cs="Arial"/>
        </w:rPr>
        <w:t>CC</w:t>
      </w:r>
      <w:r w:rsidRPr="00A17E25">
        <w:rPr>
          <w:rFonts w:ascii="Arial" w:hAnsi="Arial" w:cs="Arial"/>
        </w:rPr>
        <w:t xml:space="preserve"> ont pa</w:t>
      </w:r>
      <w:r w:rsidR="00494B12">
        <w:rPr>
          <w:rFonts w:ascii="Arial" w:hAnsi="Arial" w:cs="Arial"/>
        </w:rPr>
        <w:t>rticipé</w:t>
      </w:r>
      <w:r w:rsidR="008D7D66">
        <w:rPr>
          <w:rFonts w:ascii="Arial" w:hAnsi="Arial" w:cs="Arial"/>
        </w:rPr>
        <w:t xml:space="preserve"> </w:t>
      </w:r>
      <w:r w:rsidR="00494B12">
        <w:rPr>
          <w:rFonts w:ascii="Arial" w:hAnsi="Arial" w:cs="Arial"/>
        </w:rPr>
        <w:t>à l’</w:t>
      </w:r>
      <w:r w:rsidRPr="00A17E25">
        <w:rPr>
          <w:rFonts w:ascii="Arial" w:hAnsi="Arial" w:cs="Arial"/>
        </w:rPr>
        <w:t>élabor</w:t>
      </w:r>
      <w:r w:rsidR="00494B12">
        <w:rPr>
          <w:rFonts w:ascii="Arial" w:hAnsi="Arial" w:cs="Arial"/>
        </w:rPr>
        <w:t xml:space="preserve">ation </w:t>
      </w:r>
      <w:r w:rsidRPr="00A17E25">
        <w:rPr>
          <w:rFonts w:ascii="Arial" w:hAnsi="Arial" w:cs="Arial"/>
        </w:rPr>
        <w:t>de documents de stratégie</w:t>
      </w:r>
      <w:r w:rsidR="00494B12">
        <w:rPr>
          <w:rFonts w:ascii="Arial" w:hAnsi="Arial" w:cs="Arial"/>
        </w:rPr>
        <w:t xml:space="preserve">s sectorielles dans le cadre du Plan de développement du grand Casablanca. Ces stratégies ont donné lieu à des conventions multipartites signées avec l’Etat, la ville et les opérateurs concernés.  </w:t>
      </w:r>
      <w:r w:rsidRPr="00A17E25">
        <w:rPr>
          <w:rFonts w:ascii="Arial" w:hAnsi="Arial" w:cs="Arial"/>
        </w:rPr>
        <w:t xml:space="preserve"> </w:t>
      </w:r>
    </w:p>
    <w:p w:rsidR="00482393" w:rsidRPr="00A17E25" w:rsidRDefault="00482393" w:rsidP="003A596A">
      <w:pPr>
        <w:jc w:val="both"/>
        <w:rPr>
          <w:rFonts w:ascii="Arial" w:hAnsi="Arial" w:cs="Arial"/>
        </w:rPr>
      </w:pPr>
    </w:p>
    <w:p w:rsidR="003A596A" w:rsidRDefault="00494B12" w:rsidP="003A596A">
      <w:pPr>
        <w:jc w:val="both"/>
        <w:rPr>
          <w:rFonts w:ascii="Arial" w:hAnsi="Arial" w:cs="Arial"/>
        </w:rPr>
      </w:pPr>
      <w:r>
        <w:rPr>
          <w:rFonts w:ascii="Arial" w:hAnsi="Arial" w:cs="Arial"/>
        </w:rPr>
        <w:t xml:space="preserve">Le plan de développement du Grand Casablanca et ces conventions comprennent des </w:t>
      </w:r>
      <w:r w:rsidR="003A596A" w:rsidRPr="00A17E25">
        <w:rPr>
          <w:rFonts w:ascii="Arial" w:hAnsi="Arial" w:cs="Arial"/>
        </w:rPr>
        <w:t>estimations de coûts</w:t>
      </w:r>
      <w:r>
        <w:rPr>
          <w:rFonts w:ascii="Arial" w:hAnsi="Arial" w:cs="Arial"/>
        </w:rPr>
        <w:t>, même si l’estimation d</w:t>
      </w:r>
      <w:r w:rsidR="003A596A" w:rsidRPr="00A17E25">
        <w:rPr>
          <w:rFonts w:ascii="Arial" w:hAnsi="Arial" w:cs="Arial"/>
        </w:rPr>
        <w:t xml:space="preserve">es dépenses récurrentes découlant des investissements </w:t>
      </w:r>
      <w:r>
        <w:rPr>
          <w:rFonts w:ascii="Arial" w:hAnsi="Arial" w:cs="Arial"/>
        </w:rPr>
        <w:t xml:space="preserve">reste embryonnaire. </w:t>
      </w:r>
      <w:r w:rsidR="003A596A" w:rsidRPr="00A17E25">
        <w:rPr>
          <w:rFonts w:ascii="Arial" w:hAnsi="Arial" w:cs="Arial"/>
        </w:rPr>
        <w:t xml:space="preserve">  </w:t>
      </w:r>
    </w:p>
    <w:p w:rsidR="003A596A" w:rsidRPr="004B57C3" w:rsidRDefault="003A596A" w:rsidP="00151AD3">
      <w:pPr>
        <w:pStyle w:val="Comp"/>
        <w:numPr>
          <w:ilvl w:val="0"/>
          <w:numId w:val="20"/>
        </w:numPr>
        <w:rPr>
          <w:rFonts w:ascii="Arial" w:hAnsi="Arial" w:cs="Arial"/>
          <w:b w:val="0"/>
          <w:color w:val="0070C0"/>
          <w:sz w:val="24"/>
          <w:szCs w:val="24"/>
        </w:rPr>
      </w:pPr>
      <w:bookmarkStart w:id="209" w:name="_Toc428200839"/>
      <w:bookmarkStart w:id="210" w:name="_Toc434916137"/>
      <w:bookmarkStart w:id="211" w:name="_Toc434918351"/>
      <w:r w:rsidRPr="004B57C3">
        <w:rPr>
          <w:rFonts w:ascii="Arial" w:hAnsi="Arial" w:cs="Arial"/>
          <w:b w:val="0"/>
          <w:color w:val="0070C0"/>
          <w:sz w:val="24"/>
          <w:szCs w:val="24"/>
        </w:rPr>
        <w:t>Rapprochement des démarches de haut en bas et de bas en haut dans</w:t>
      </w:r>
      <w:r w:rsidRPr="004B57C3">
        <w:rPr>
          <w:rFonts w:ascii="Arial" w:hAnsi="Arial" w:cs="Arial"/>
          <w:color w:val="0070C0"/>
          <w:sz w:val="24"/>
          <w:szCs w:val="24"/>
        </w:rPr>
        <w:t xml:space="preserve"> </w:t>
      </w:r>
      <w:r w:rsidRPr="004B57C3">
        <w:rPr>
          <w:rFonts w:ascii="Arial" w:hAnsi="Arial" w:cs="Arial"/>
          <w:b w:val="0"/>
          <w:color w:val="0070C0"/>
          <w:sz w:val="24"/>
          <w:szCs w:val="24"/>
        </w:rPr>
        <w:t>le cadre budgétaire à moyen terme</w:t>
      </w:r>
      <w:bookmarkEnd w:id="209"/>
      <w:bookmarkEnd w:id="210"/>
      <w:bookmarkEnd w:id="211"/>
    </w:p>
    <w:p w:rsidR="003A596A" w:rsidRPr="00A17E25" w:rsidRDefault="008B66C1" w:rsidP="003A596A">
      <w:pPr>
        <w:jc w:val="both"/>
        <w:rPr>
          <w:rFonts w:ascii="Arial" w:hAnsi="Arial" w:cs="Arial"/>
        </w:rPr>
      </w:pPr>
      <w:r>
        <w:rPr>
          <w:rFonts w:ascii="Arial" w:hAnsi="Arial" w:cs="Arial"/>
        </w:rPr>
        <w:t>Non applicable</w:t>
      </w:r>
      <w:r w:rsidR="000C25E8">
        <w:rPr>
          <w:rFonts w:ascii="Arial" w:hAnsi="Arial" w:cs="Arial"/>
        </w:rPr>
        <w:t xml:space="preserve"> au niveau des collectivités territoriales</w:t>
      </w:r>
      <w:r>
        <w:rPr>
          <w:rFonts w:ascii="Arial" w:hAnsi="Arial" w:cs="Arial"/>
        </w:rPr>
        <w:t xml:space="preserve">. </w:t>
      </w:r>
    </w:p>
    <w:p w:rsidR="003A596A" w:rsidRPr="0017246A" w:rsidRDefault="003A596A" w:rsidP="00151AD3">
      <w:pPr>
        <w:pStyle w:val="Comp"/>
        <w:numPr>
          <w:ilvl w:val="0"/>
          <w:numId w:val="20"/>
        </w:numPr>
        <w:rPr>
          <w:rFonts w:ascii="Arial" w:hAnsi="Arial" w:cs="Arial"/>
          <w:b w:val="0"/>
          <w:color w:val="3366FF"/>
          <w:sz w:val="24"/>
          <w:szCs w:val="24"/>
        </w:rPr>
      </w:pPr>
      <w:bookmarkStart w:id="212" w:name="_Toc428200840"/>
      <w:bookmarkStart w:id="213" w:name="_Toc434916138"/>
      <w:bookmarkStart w:id="214" w:name="_Toc434918352"/>
      <w:r w:rsidRPr="004B57C3">
        <w:rPr>
          <w:rFonts w:ascii="Arial" w:hAnsi="Arial" w:cs="Arial"/>
          <w:b w:val="0"/>
          <w:color w:val="0070C0"/>
          <w:sz w:val="24"/>
          <w:szCs w:val="24"/>
        </w:rPr>
        <w:t>Liens entre le cadre à moyen terme et les budgets annuels.</w:t>
      </w:r>
      <w:bookmarkEnd w:id="212"/>
      <w:bookmarkEnd w:id="213"/>
      <w:bookmarkEnd w:id="214"/>
    </w:p>
    <w:p w:rsidR="003A596A" w:rsidRDefault="003A596A" w:rsidP="003A596A">
      <w:pPr>
        <w:jc w:val="both"/>
        <w:rPr>
          <w:rFonts w:ascii="Arial" w:hAnsi="Arial" w:cs="Arial"/>
        </w:rPr>
      </w:pPr>
      <w:r w:rsidRPr="00A17E25">
        <w:rPr>
          <w:rFonts w:ascii="Arial" w:hAnsi="Arial" w:cs="Arial"/>
        </w:rPr>
        <w:t xml:space="preserve">Compte tenu des éléments précédemment décrits, </w:t>
      </w:r>
      <w:r w:rsidR="000C25E8">
        <w:rPr>
          <w:rFonts w:ascii="Arial" w:hAnsi="Arial" w:cs="Arial"/>
        </w:rPr>
        <w:t>cette dimension n’est pas applicable au niveau des collectivités territoriales.</w:t>
      </w:r>
    </w:p>
    <w:p w:rsidR="009964D6" w:rsidRPr="00A17E25" w:rsidRDefault="009964D6" w:rsidP="003A596A">
      <w:pPr>
        <w:jc w:val="both"/>
        <w:rPr>
          <w:rFonts w:ascii="Arial" w:hAnsi="Arial" w:cs="Arial"/>
        </w:rPr>
      </w:pPr>
    </w:p>
    <w:p w:rsidR="0034021B" w:rsidRDefault="0034021B">
      <w:r>
        <w:br w:type="page"/>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
        <w:gridCol w:w="5322"/>
      </w:tblGrid>
      <w:tr w:rsidR="003A596A" w:rsidRPr="00A17E25" w:rsidTr="00BF5A38">
        <w:trPr>
          <w:jc w:val="center"/>
        </w:trPr>
        <w:tc>
          <w:tcPr>
            <w:tcW w:w="3420" w:type="dxa"/>
            <w:shd w:val="clear" w:color="auto" w:fill="0070C0"/>
          </w:tcPr>
          <w:p w:rsidR="003A596A" w:rsidRPr="00A17E25" w:rsidRDefault="003A596A" w:rsidP="003A596A">
            <w:pPr>
              <w:jc w:val="both"/>
              <w:rPr>
                <w:rFonts w:ascii="Arial" w:hAnsi="Arial" w:cs="Arial"/>
                <w:b/>
                <w:color w:val="FFFFFF"/>
                <w:sz w:val="20"/>
                <w:szCs w:val="20"/>
              </w:rPr>
            </w:pPr>
            <w:r w:rsidRPr="00A17E25">
              <w:rPr>
                <w:rFonts w:ascii="Arial" w:hAnsi="Arial" w:cs="Arial"/>
              </w:rPr>
              <w:br w:type="page"/>
            </w:r>
            <w:r w:rsidRPr="00A17E25">
              <w:rPr>
                <w:rFonts w:ascii="Arial" w:hAnsi="Arial" w:cs="Arial"/>
                <w:b/>
                <w:color w:val="FFFFFF"/>
                <w:sz w:val="20"/>
                <w:szCs w:val="20"/>
              </w:rPr>
              <w:t>Indicateur</w:t>
            </w:r>
          </w:p>
        </w:tc>
        <w:tc>
          <w:tcPr>
            <w:tcW w:w="720" w:type="dxa"/>
            <w:shd w:val="clear" w:color="auto" w:fill="0070C0"/>
          </w:tcPr>
          <w:p w:rsidR="003A596A" w:rsidRPr="00A17E25" w:rsidRDefault="003A596A" w:rsidP="003A596A">
            <w:pPr>
              <w:jc w:val="both"/>
              <w:rPr>
                <w:rFonts w:ascii="Arial" w:hAnsi="Arial" w:cs="Arial"/>
                <w:b/>
                <w:color w:val="FFFFFF"/>
                <w:sz w:val="20"/>
                <w:szCs w:val="20"/>
              </w:rPr>
            </w:pPr>
            <w:r w:rsidRPr="00A17E25">
              <w:rPr>
                <w:rFonts w:ascii="Arial" w:hAnsi="Arial" w:cs="Arial"/>
                <w:b/>
                <w:color w:val="FFFFFF"/>
                <w:sz w:val="20"/>
                <w:szCs w:val="20"/>
              </w:rPr>
              <w:t xml:space="preserve">Note </w:t>
            </w:r>
          </w:p>
        </w:tc>
        <w:tc>
          <w:tcPr>
            <w:tcW w:w="5322" w:type="dxa"/>
            <w:shd w:val="clear" w:color="auto" w:fill="0070C0"/>
          </w:tcPr>
          <w:p w:rsidR="003A596A" w:rsidRPr="00A17E25" w:rsidRDefault="003A596A" w:rsidP="003A596A">
            <w:pPr>
              <w:jc w:val="both"/>
              <w:rPr>
                <w:rFonts w:ascii="Arial" w:hAnsi="Arial" w:cs="Arial"/>
                <w:b/>
                <w:color w:val="FFFFFF"/>
                <w:sz w:val="20"/>
                <w:szCs w:val="20"/>
              </w:rPr>
            </w:pPr>
            <w:r w:rsidRPr="00A17E25">
              <w:rPr>
                <w:rFonts w:ascii="Arial" w:hAnsi="Arial" w:cs="Arial"/>
                <w:b/>
                <w:color w:val="FFFFFF"/>
                <w:sz w:val="20"/>
                <w:szCs w:val="20"/>
              </w:rPr>
              <w:t>Explication</w:t>
            </w:r>
          </w:p>
        </w:tc>
      </w:tr>
      <w:tr w:rsidR="003A596A" w:rsidRPr="00A17E25" w:rsidTr="00BF5A38">
        <w:trPr>
          <w:jc w:val="center"/>
        </w:trPr>
        <w:tc>
          <w:tcPr>
            <w:tcW w:w="3420" w:type="dxa"/>
          </w:tcPr>
          <w:p w:rsidR="003A596A" w:rsidRPr="00A17E25" w:rsidRDefault="003A596A" w:rsidP="003A596A">
            <w:pPr>
              <w:jc w:val="both"/>
              <w:rPr>
                <w:rFonts w:ascii="Arial" w:hAnsi="Arial" w:cs="Arial"/>
                <w:b/>
                <w:sz w:val="20"/>
                <w:szCs w:val="20"/>
              </w:rPr>
            </w:pPr>
          </w:p>
          <w:p w:rsidR="003A596A" w:rsidRPr="00A17E25" w:rsidRDefault="003A596A" w:rsidP="003A596A">
            <w:pPr>
              <w:jc w:val="both"/>
              <w:rPr>
                <w:rFonts w:ascii="Arial" w:hAnsi="Arial" w:cs="Arial"/>
                <w:b/>
                <w:sz w:val="20"/>
                <w:szCs w:val="20"/>
              </w:rPr>
            </w:pPr>
            <w:r w:rsidRPr="00A17E25">
              <w:rPr>
                <w:rFonts w:ascii="Arial" w:hAnsi="Arial" w:cs="Arial"/>
                <w:b/>
                <w:sz w:val="20"/>
                <w:szCs w:val="20"/>
              </w:rPr>
              <w:t>PI-16. Perspective à moyen terme de la budgétisation des dépenses</w:t>
            </w:r>
          </w:p>
        </w:tc>
        <w:tc>
          <w:tcPr>
            <w:tcW w:w="720" w:type="dxa"/>
          </w:tcPr>
          <w:p w:rsidR="003A596A" w:rsidRPr="00A17E25" w:rsidRDefault="003A596A" w:rsidP="00B57986">
            <w:pPr>
              <w:jc w:val="center"/>
              <w:rPr>
                <w:rFonts w:ascii="Arial" w:hAnsi="Arial" w:cs="Arial"/>
                <w:b/>
                <w:sz w:val="20"/>
                <w:szCs w:val="20"/>
              </w:rPr>
            </w:pPr>
          </w:p>
          <w:p w:rsidR="003A596A" w:rsidRPr="00A17E25" w:rsidRDefault="00287764" w:rsidP="00B57986">
            <w:pPr>
              <w:jc w:val="center"/>
              <w:rPr>
                <w:rFonts w:ascii="Arial" w:hAnsi="Arial" w:cs="Arial"/>
                <w:b/>
                <w:sz w:val="20"/>
                <w:szCs w:val="20"/>
              </w:rPr>
            </w:pPr>
            <w:r>
              <w:rPr>
                <w:rFonts w:ascii="Arial" w:hAnsi="Arial" w:cs="Arial"/>
                <w:b/>
                <w:sz w:val="20"/>
                <w:szCs w:val="20"/>
              </w:rPr>
              <w:t>NA</w:t>
            </w:r>
          </w:p>
        </w:tc>
        <w:tc>
          <w:tcPr>
            <w:tcW w:w="5322" w:type="dxa"/>
          </w:tcPr>
          <w:p w:rsidR="003A596A" w:rsidRPr="00A17E25" w:rsidRDefault="003A596A" w:rsidP="003A596A">
            <w:pPr>
              <w:jc w:val="both"/>
              <w:rPr>
                <w:rFonts w:ascii="Arial" w:hAnsi="Arial" w:cs="Arial"/>
                <w:sz w:val="20"/>
                <w:szCs w:val="20"/>
              </w:rPr>
            </w:pPr>
          </w:p>
          <w:p w:rsidR="003A596A" w:rsidRPr="00A17E25" w:rsidRDefault="003A596A" w:rsidP="003A596A">
            <w:pPr>
              <w:jc w:val="both"/>
              <w:rPr>
                <w:rFonts w:ascii="Arial" w:hAnsi="Arial" w:cs="Arial"/>
                <w:b/>
                <w:bCs/>
                <w:sz w:val="20"/>
                <w:szCs w:val="20"/>
              </w:rPr>
            </w:pPr>
            <w:r w:rsidRPr="00A17E25">
              <w:rPr>
                <w:rFonts w:ascii="Arial" w:hAnsi="Arial" w:cs="Arial"/>
                <w:b/>
                <w:bCs/>
                <w:sz w:val="20"/>
                <w:szCs w:val="20"/>
              </w:rPr>
              <w:t>Méthode de notation M2</w:t>
            </w:r>
          </w:p>
        </w:tc>
      </w:tr>
      <w:tr w:rsidR="003A596A" w:rsidRPr="00A17E25" w:rsidTr="00BF5A38">
        <w:trPr>
          <w:jc w:val="center"/>
        </w:trPr>
        <w:tc>
          <w:tcPr>
            <w:tcW w:w="3420" w:type="dxa"/>
          </w:tcPr>
          <w:p w:rsidR="003A596A" w:rsidRPr="007B0D07" w:rsidRDefault="007B0D07" w:rsidP="00206632">
            <w:pPr>
              <w:pStyle w:val="Comp"/>
              <w:numPr>
                <w:ilvl w:val="0"/>
                <w:numId w:val="0"/>
              </w:numPr>
              <w:rPr>
                <w:rFonts w:ascii="Arial" w:hAnsi="Arial" w:cs="Arial"/>
                <w:b w:val="0"/>
                <w:i w:val="0"/>
                <w:sz w:val="20"/>
                <w:szCs w:val="20"/>
              </w:rPr>
            </w:pPr>
            <w:bookmarkStart w:id="215" w:name="_Toc434916139"/>
            <w:bookmarkStart w:id="216" w:name="_Toc434918353"/>
            <w:r>
              <w:rPr>
                <w:rFonts w:ascii="Arial" w:hAnsi="Arial" w:cs="Arial"/>
                <w:b w:val="0"/>
                <w:i w:val="0"/>
                <w:sz w:val="20"/>
                <w:szCs w:val="20"/>
              </w:rPr>
              <w:t xml:space="preserve">i)  </w:t>
            </w:r>
            <w:r w:rsidR="003A596A" w:rsidRPr="007B0D07">
              <w:rPr>
                <w:rFonts w:ascii="Arial" w:hAnsi="Arial" w:cs="Arial"/>
                <w:b w:val="0"/>
                <w:i w:val="0"/>
                <w:sz w:val="20"/>
                <w:szCs w:val="20"/>
              </w:rPr>
              <w:t>Couverture et contenu des stratégies sectorielles</w:t>
            </w:r>
            <w:bookmarkEnd w:id="215"/>
            <w:bookmarkEnd w:id="216"/>
          </w:p>
        </w:tc>
        <w:tc>
          <w:tcPr>
            <w:tcW w:w="720" w:type="dxa"/>
          </w:tcPr>
          <w:p w:rsidR="003A596A" w:rsidRPr="00A17E25" w:rsidRDefault="004E3230" w:rsidP="004E3230">
            <w:pPr>
              <w:jc w:val="center"/>
              <w:rPr>
                <w:rFonts w:ascii="Arial" w:hAnsi="Arial" w:cs="Arial"/>
                <w:sz w:val="20"/>
                <w:szCs w:val="20"/>
              </w:rPr>
            </w:pPr>
            <w:r>
              <w:rPr>
                <w:rFonts w:ascii="Arial" w:hAnsi="Arial" w:cs="Arial"/>
                <w:sz w:val="20"/>
                <w:szCs w:val="20"/>
              </w:rPr>
              <w:t>NA</w:t>
            </w:r>
          </w:p>
        </w:tc>
        <w:tc>
          <w:tcPr>
            <w:tcW w:w="5322" w:type="dxa"/>
          </w:tcPr>
          <w:p w:rsidR="003A596A" w:rsidRPr="00A17E25" w:rsidRDefault="00AF77D5" w:rsidP="004E3230">
            <w:pPr>
              <w:jc w:val="both"/>
              <w:rPr>
                <w:rFonts w:ascii="Arial" w:hAnsi="Arial" w:cs="Arial"/>
                <w:sz w:val="20"/>
                <w:szCs w:val="20"/>
              </w:rPr>
            </w:pPr>
            <w:r>
              <w:rPr>
                <w:rFonts w:ascii="Arial" w:hAnsi="Arial" w:cs="Arial"/>
                <w:sz w:val="20"/>
                <w:szCs w:val="20"/>
              </w:rPr>
              <w:t>L’élaboration des</w:t>
            </w:r>
            <w:r w:rsidRPr="00A17E25">
              <w:rPr>
                <w:rFonts w:ascii="Arial" w:hAnsi="Arial" w:cs="Arial"/>
                <w:sz w:val="20"/>
                <w:szCs w:val="20"/>
              </w:rPr>
              <w:t xml:space="preserve"> </w:t>
            </w:r>
            <w:r w:rsidR="003A596A" w:rsidRPr="00A17E25">
              <w:rPr>
                <w:rFonts w:ascii="Arial" w:hAnsi="Arial" w:cs="Arial"/>
                <w:sz w:val="20"/>
                <w:szCs w:val="20"/>
              </w:rPr>
              <w:t xml:space="preserve">stratégies sectorielles </w:t>
            </w:r>
            <w:r w:rsidR="004E3230">
              <w:rPr>
                <w:rFonts w:ascii="Arial" w:hAnsi="Arial" w:cs="Arial"/>
                <w:sz w:val="20"/>
                <w:szCs w:val="20"/>
              </w:rPr>
              <w:t xml:space="preserve">ne relève pas des compétences de la commune mais des échelons supérieurs (Région et Etat), dès lors cette composante ne peut être noté au niveau communal mais le sera au niveau du PEFA national.  </w:t>
            </w:r>
          </w:p>
        </w:tc>
      </w:tr>
      <w:tr w:rsidR="003A596A" w:rsidRPr="00A17E25" w:rsidTr="00BF5A38">
        <w:trPr>
          <w:trHeight w:val="1313"/>
          <w:jc w:val="center"/>
        </w:trPr>
        <w:tc>
          <w:tcPr>
            <w:tcW w:w="3420" w:type="dxa"/>
          </w:tcPr>
          <w:p w:rsidR="003A596A" w:rsidRPr="007B0D07" w:rsidRDefault="007B0D07" w:rsidP="00206632">
            <w:pPr>
              <w:pStyle w:val="Comp"/>
              <w:numPr>
                <w:ilvl w:val="0"/>
                <w:numId w:val="0"/>
              </w:numPr>
              <w:rPr>
                <w:rFonts w:ascii="Arial" w:hAnsi="Arial" w:cs="Arial"/>
                <w:b w:val="0"/>
                <w:i w:val="0"/>
                <w:sz w:val="20"/>
                <w:szCs w:val="20"/>
              </w:rPr>
            </w:pPr>
            <w:bookmarkStart w:id="217" w:name="_Toc434916140"/>
            <w:bookmarkStart w:id="218" w:name="_Toc434918354"/>
            <w:r>
              <w:rPr>
                <w:rFonts w:ascii="Arial" w:hAnsi="Arial" w:cs="Arial"/>
                <w:b w:val="0"/>
                <w:i w:val="0"/>
                <w:sz w:val="20"/>
                <w:szCs w:val="20"/>
              </w:rPr>
              <w:t xml:space="preserve">ii) </w:t>
            </w:r>
            <w:r w:rsidR="003A596A" w:rsidRPr="007B0D07">
              <w:rPr>
                <w:rFonts w:ascii="Arial" w:hAnsi="Arial" w:cs="Arial"/>
                <w:b w:val="0"/>
                <w:i w:val="0"/>
                <w:sz w:val="20"/>
                <w:szCs w:val="20"/>
              </w:rPr>
              <w:t>Rapprochement des démarches de haut en bas et de bas en haut dans le cadre budgétaire à moyen terme</w:t>
            </w:r>
            <w:bookmarkEnd w:id="217"/>
            <w:bookmarkEnd w:id="218"/>
          </w:p>
        </w:tc>
        <w:tc>
          <w:tcPr>
            <w:tcW w:w="720" w:type="dxa"/>
          </w:tcPr>
          <w:p w:rsidR="003A596A" w:rsidRPr="00A17E25" w:rsidRDefault="00287764" w:rsidP="00B57986">
            <w:pPr>
              <w:jc w:val="center"/>
              <w:rPr>
                <w:rFonts w:ascii="Arial" w:hAnsi="Arial" w:cs="Arial"/>
                <w:sz w:val="20"/>
                <w:szCs w:val="20"/>
              </w:rPr>
            </w:pPr>
            <w:r>
              <w:rPr>
                <w:rFonts w:ascii="Arial" w:hAnsi="Arial" w:cs="Arial"/>
                <w:sz w:val="20"/>
                <w:szCs w:val="20"/>
              </w:rPr>
              <w:t>NA</w:t>
            </w:r>
          </w:p>
        </w:tc>
        <w:tc>
          <w:tcPr>
            <w:tcW w:w="5322" w:type="dxa"/>
          </w:tcPr>
          <w:p w:rsidR="003A596A" w:rsidRPr="00A17E25" w:rsidRDefault="000C25E8" w:rsidP="000C25E8">
            <w:pPr>
              <w:pStyle w:val="Default"/>
              <w:jc w:val="both"/>
              <w:rPr>
                <w:rFonts w:ascii="Arial" w:hAnsi="Arial" w:cs="Arial"/>
                <w:sz w:val="20"/>
                <w:szCs w:val="20"/>
                <w:lang w:val="fr-FR"/>
              </w:rPr>
            </w:pPr>
            <w:r>
              <w:rPr>
                <w:rFonts w:ascii="Arial" w:hAnsi="Arial" w:cs="Arial"/>
                <w:sz w:val="20"/>
                <w:szCs w:val="20"/>
                <w:lang w:val="fr-FR"/>
              </w:rPr>
              <w:t xml:space="preserve">Cette démarche est prévue au niveau de l’Etat et non au niveau des communes. En l’absence ce cadre réglementaire sur la programmation pluriannuelle, cette composante ne peut être évaluée. </w:t>
            </w:r>
          </w:p>
        </w:tc>
      </w:tr>
      <w:tr w:rsidR="003A596A" w:rsidRPr="00A17E25" w:rsidTr="00BF5A38">
        <w:trPr>
          <w:jc w:val="center"/>
        </w:trPr>
        <w:tc>
          <w:tcPr>
            <w:tcW w:w="3420" w:type="dxa"/>
          </w:tcPr>
          <w:p w:rsidR="003A596A" w:rsidRPr="007B0D07" w:rsidRDefault="007B0D07" w:rsidP="00206632">
            <w:pPr>
              <w:pStyle w:val="Comp"/>
              <w:numPr>
                <w:ilvl w:val="0"/>
                <w:numId w:val="0"/>
              </w:numPr>
              <w:rPr>
                <w:rFonts w:ascii="Arial" w:hAnsi="Arial" w:cs="Arial"/>
                <w:b w:val="0"/>
                <w:i w:val="0"/>
                <w:sz w:val="20"/>
                <w:szCs w:val="20"/>
              </w:rPr>
            </w:pPr>
            <w:bookmarkStart w:id="219" w:name="_Toc434916141"/>
            <w:bookmarkStart w:id="220" w:name="_Toc434918355"/>
            <w:r>
              <w:rPr>
                <w:rFonts w:ascii="Arial" w:hAnsi="Arial" w:cs="Arial"/>
                <w:b w:val="0"/>
                <w:i w:val="0"/>
                <w:sz w:val="20"/>
                <w:szCs w:val="20"/>
              </w:rPr>
              <w:t xml:space="preserve">iii) </w:t>
            </w:r>
            <w:r w:rsidR="003A596A" w:rsidRPr="007B0D07">
              <w:rPr>
                <w:rFonts w:ascii="Arial" w:hAnsi="Arial" w:cs="Arial"/>
                <w:b w:val="0"/>
                <w:i w:val="0"/>
                <w:sz w:val="20"/>
                <w:szCs w:val="20"/>
              </w:rPr>
              <w:t>Liens entre le cadre à moyen terme et les budgets annuels.</w:t>
            </w:r>
            <w:bookmarkEnd w:id="219"/>
            <w:bookmarkEnd w:id="220"/>
          </w:p>
        </w:tc>
        <w:tc>
          <w:tcPr>
            <w:tcW w:w="720" w:type="dxa"/>
          </w:tcPr>
          <w:p w:rsidR="003A596A" w:rsidRPr="00A17E25" w:rsidRDefault="00287764" w:rsidP="00B57986">
            <w:pPr>
              <w:jc w:val="center"/>
              <w:rPr>
                <w:rFonts w:ascii="Arial" w:hAnsi="Arial" w:cs="Arial"/>
                <w:sz w:val="20"/>
                <w:szCs w:val="20"/>
              </w:rPr>
            </w:pPr>
            <w:r>
              <w:rPr>
                <w:rFonts w:ascii="Arial" w:hAnsi="Arial" w:cs="Arial"/>
                <w:sz w:val="20"/>
                <w:szCs w:val="20"/>
              </w:rPr>
              <w:t>NA</w:t>
            </w:r>
          </w:p>
        </w:tc>
        <w:tc>
          <w:tcPr>
            <w:tcW w:w="5322" w:type="dxa"/>
          </w:tcPr>
          <w:p w:rsidR="003A596A" w:rsidRPr="00A17E25" w:rsidRDefault="000C25E8" w:rsidP="000C25E8">
            <w:pPr>
              <w:pStyle w:val="Default"/>
              <w:jc w:val="both"/>
              <w:rPr>
                <w:rFonts w:ascii="Arial" w:hAnsi="Arial" w:cs="Arial"/>
                <w:sz w:val="20"/>
                <w:szCs w:val="20"/>
                <w:lang w:val="fr-FR"/>
              </w:rPr>
            </w:pPr>
            <w:r>
              <w:rPr>
                <w:rFonts w:ascii="Arial" w:hAnsi="Arial" w:cs="Arial"/>
                <w:sz w:val="20"/>
                <w:szCs w:val="20"/>
                <w:lang w:val="fr-FR"/>
              </w:rPr>
              <w:t>En l’absence ce cadre réglementaire sur la programmation pluriannuelle, cette composante ne peut être évaluée.</w:t>
            </w:r>
            <w:r w:rsidR="003A596A" w:rsidRPr="00A17E25">
              <w:rPr>
                <w:rFonts w:ascii="Arial" w:hAnsi="Arial" w:cs="Arial"/>
                <w:sz w:val="20"/>
                <w:szCs w:val="20"/>
                <w:lang w:val="fr-FR"/>
              </w:rPr>
              <w:t xml:space="preserve"> </w:t>
            </w:r>
          </w:p>
        </w:tc>
      </w:tr>
    </w:tbl>
    <w:p w:rsidR="003A596A" w:rsidRPr="00A17E25" w:rsidRDefault="003A596A" w:rsidP="003A596A">
      <w:pPr>
        <w:rPr>
          <w:rFonts w:ascii="Arial" w:hAnsi="Arial"/>
          <w:b/>
          <w:bCs/>
        </w:rPr>
      </w:pPr>
    </w:p>
    <w:p w:rsidR="00BF5A38" w:rsidRDefault="00BF5A38" w:rsidP="003A596A">
      <w:pPr>
        <w:jc w:val="both"/>
        <w:rPr>
          <w:rFonts w:ascii="Arial" w:hAnsi="Arial" w:cs="Arial"/>
          <w:b/>
        </w:rPr>
      </w:pPr>
    </w:p>
    <w:p w:rsidR="003A596A" w:rsidRPr="00A17E25" w:rsidRDefault="003A596A" w:rsidP="003A596A">
      <w:pPr>
        <w:jc w:val="both"/>
        <w:rPr>
          <w:rFonts w:ascii="Arial" w:hAnsi="Arial" w:cs="Arial"/>
          <w:b/>
        </w:rPr>
      </w:pPr>
      <w:r w:rsidRPr="00A17E25">
        <w:rPr>
          <w:rFonts w:ascii="Arial" w:hAnsi="Arial" w:cs="Arial"/>
          <w:b/>
        </w:rPr>
        <w:t>PI-17 : Caractère organisé et participatif du processus annuel de préparation du budget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des deux composantes (i, ii) de cet indicateur, le budget exercice 201</w:t>
      </w:r>
      <w:r w:rsidR="00262F9D">
        <w:rPr>
          <w:rFonts w:ascii="Arial" w:hAnsi="Arial" w:cs="Arial"/>
        </w:rPr>
        <w:t>6</w:t>
      </w:r>
      <w:r w:rsidRPr="00A17E25">
        <w:rPr>
          <w:rFonts w:ascii="Arial" w:hAnsi="Arial" w:cs="Arial"/>
        </w:rPr>
        <w:t xml:space="preserve"> qui le dernier budget approuvé par le Conseil a été pris en considération. Pour la composante iii les budgets des trois derniers exercices (2012, 2013 et 3014) ont été pris en compte.</w:t>
      </w:r>
    </w:p>
    <w:p w:rsidR="003A596A" w:rsidRPr="00A17E25" w:rsidRDefault="003A596A" w:rsidP="003A596A">
      <w:pPr>
        <w:jc w:val="both"/>
        <w:rPr>
          <w:rFonts w:ascii="Arial" w:hAnsi="Arial" w:cs="Arial"/>
        </w:rPr>
      </w:pPr>
    </w:p>
    <w:p w:rsidR="003A596A" w:rsidRPr="004B57C3" w:rsidRDefault="003A596A" w:rsidP="00151AD3">
      <w:pPr>
        <w:pStyle w:val="ListParagraph"/>
        <w:numPr>
          <w:ilvl w:val="0"/>
          <w:numId w:val="80"/>
        </w:numPr>
        <w:contextualSpacing/>
        <w:jc w:val="both"/>
        <w:rPr>
          <w:rFonts w:ascii="Arial" w:hAnsi="Arial" w:cs="Arial"/>
          <w:i/>
          <w:color w:val="0070C0"/>
        </w:rPr>
      </w:pPr>
      <w:r w:rsidRPr="004B57C3">
        <w:rPr>
          <w:rFonts w:ascii="Arial" w:hAnsi="Arial" w:cs="Arial"/>
          <w:i/>
          <w:color w:val="0070C0"/>
        </w:rPr>
        <w:t>Existence d’un calendrier budgétaire fixe et respect du calendrier</w:t>
      </w:r>
    </w:p>
    <w:p w:rsidR="007547D5" w:rsidRDefault="007547D5"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processus de préparation du budget de la Commune  de Casablanca n’est pas encadré par un calendrier budgétaire fixe établi par le Maire. Les Autorités et les responsables des services compétents de la CC tiennent compte des échéances légales fixées par la loi n° 45-08 relative à l’organisation des finances des collectivités locales et de leurs groupements pour conduire le processus de préparation du budget de la Commune. Ces principales échéances sont fixées par l’article 16 de ladite loi ainsi qu’il suit :</w:t>
      </w:r>
    </w:p>
    <w:p w:rsidR="003A596A" w:rsidRPr="00A17E25" w:rsidRDefault="003A596A" w:rsidP="009642B2">
      <w:pPr>
        <w:pStyle w:val="ListParagraph"/>
        <w:numPr>
          <w:ilvl w:val="0"/>
          <w:numId w:val="41"/>
        </w:numPr>
        <w:spacing w:before="120" w:after="120"/>
        <w:jc w:val="both"/>
        <w:rPr>
          <w:rFonts w:ascii="Arial" w:hAnsi="Arial" w:cs="Arial"/>
        </w:rPr>
      </w:pPr>
      <w:r w:rsidRPr="00A17E25">
        <w:rPr>
          <w:rFonts w:ascii="Arial" w:hAnsi="Arial" w:cs="Arial"/>
        </w:rPr>
        <w:t>Délai de présentation du projet de budget de l’année N à la commission compétente du Conseil communal : 10 jours avant l’ouverture de la session d’octobre du Conseil de l’année N-1 ;</w:t>
      </w:r>
    </w:p>
    <w:p w:rsidR="003A596A" w:rsidRPr="00A17E25" w:rsidRDefault="003A596A" w:rsidP="009642B2">
      <w:pPr>
        <w:pStyle w:val="ListParagraph"/>
        <w:numPr>
          <w:ilvl w:val="0"/>
          <w:numId w:val="41"/>
        </w:numPr>
        <w:spacing w:before="120" w:after="120"/>
        <w:jc w:val="both"/>
        <w:rPr>
          <w:rFonts w:ascii="Arial" w:hAnsi="Arial" w:cs="Arial"/>
        </w:rPr>
      </w:pPr>
      <w:r w:rsidRPr="00A17E25">
        <w:rPr>
          <w:rFonts w:ascii="Arial" w:hAnsi="Arial" w:cs="Arial"/>
        </w:rPr>
        <w:t>Date d’adoption du budget de l’année N: 15 novembre de l’année N-1 au plus tard.</w:t>
      </w:r>
    </w:p>
    <w:p w:rsidR="009642B2" w:rsidRDefault="009642B2" w:rsidP="003A596A">
      <w:pPr>
        <w:jc w:val="both"/>
        <w:rPr>
          <w:rFonts w:ascii="Arial" w:hAnsi="Arial" w:cs="Arial"/>
        </w:rPr>
      </w:pPr>
    </w:p>
    <w:p w:rsidR="003A596A" w:rsidRPr="00A17E25" w:rsidRDefault="00262F9D" w:rsidP="003A596A">
      <w:pPr>
        <w:jc w:val="both"/>
        <w:rPr>
          <w:rFonts w:ascii="Arial" w:hAnsi="Arial" w:cs="Arial"/>
        </w:rPr>
      </w:pPr>
      <w:r>
        <w:rPr>
          <w:rFonts w:ascii="Arial" w:hAnsi="Arial" w:cs="Arial"/>
        </w:rPr>
        <w:t xml:space="preserve">Le budget de l’année 2016 a été préparé et soumis au conseil communal le 20 octobre 2015 soit en respectant les délais légaux. </w:t>
      </w:r>
      <w:r w:rsidR="003A596A" w:rsidRPr="00A17E25">
        <w:rPr>
          <w:rFonts w:ascii="Arial" w:hAnsi="Arial" w:cs="Arial"/>
        </w:rPr>
        <w:t>Toutefois, un planning détaillé des tâches à exécuter en vue du respect de ces délais n’est pas élaboré et mis en œuvre par les autorités de la Commune.</w:t>
      </w:r>
    </w:p>
    <w:p w:rsidR="00106354" w:rsidRDefault="00106354" w:rsidP="00106354">
      <w:pPr>
        <w:pStyle w:val="ListParagraph"/>
        <w:ind w:left="1080"/>
        <w:contextualSpacing/>
        <w:jc w:val="both"/>
        <w:rPr>
          <w:rFonts w:ascii="Arial" w:hAnsi="Arial" w:cs="Arial"/>
          <w:i/>
          <w:color w:val="3366FF"/>
        </w:rPr>
      </w:pPr>
    </w:p>
    <w:p w:rsidR="003A596A" w:rsidRPr="004B57C3" w:rsidRDefault="003A596A" w:rsidP="00151AD3">
      <w:pPr>
        <w:pStyle w:val="ListParagraph"/>
        <w:numPr>
          <w:ilvl w:val="0"/>
          <w:numId w:val="80"/>
        </w:numPr>
        <w:contextualSpacing/>
        <w:jc w:val="both"/>
        <w:rPr>
          <w:rFonts w:ascii="Arial" w:hAnsi="Arial" w:cs="Arial"/>
          <w:i/>
          <w:color w:val="0070C0"/>
        </w:rPr>
      </w:pPr>
      <w:r w:rsidRPr="004B57C3">
        <w:rPr>
          <w:rFonts w:ascii="Arial" w:hAnsi="Arial" w:cs="Arial"/>
          <w:i/>
          <w:color w:val="0070C0"/>
        </w:rPr>
        <w:t>Clarté/exhaustivité des directives pour la préparation des documents budgétaires (circulaire budgétaire ou document équivalent) devant être soumis, et participation des autorités politiques à l’établissement de ces directives</w:t>
      </w:r>
    </w:p>
    <w:p w:rsidR="009964D6" w:rsidRDefault="009964D6" w:rsidP="003A596A">
      <w:pPr>
        <w:jc w:val="both"/>
        <w:rPr>
          <w:rFonts w:ascii="Arial" w:hAnsi="Arial" w:cs="Arial"/>
        </w:rPr>
      </w:pPr>
    </w:p>
    <w:p w:rsidR="003A596A" w:rsidRPr="00A17E25" w:rsidRDefault="003A596A" w:rsidP="00197A8A">
      <w:pPr>
        <w:spacing w:after="120"/>
        <w:jc w:val="both"/>
        <w:rPr>
          <w:rFonts w:ascii="Arial" w:hAnsi="Arial" w:cs="Arial"/>
        </w:rPr>
      </w:pPr>
      <w:r w:rsidRPr="00A17E25">
        <w:rPr>
          <w:rFonts w:ascii="Arial" w:hAnsi="Arial" w:cs="Arial"/>
        </w:rPr>
        <w:t>Le Secrétaire général de la CC adresse chaque année, dans le cadre de la préparation du budget de la Commune, une note à tous les chefs de service de la Ville. L’examen de la note émise pour la préparation du budget de l’exercice 2015 révèle qu’elle :</w:t>
      </w:r>
    </w:p>
    <w:p w:rsidR="003A596A" w:rsidRPr="00A17E25" w:rsidRDefault="003A596A" w:rsidP="00197A8A">
      <w:pPr>
        <w:pStyle w:val="ListParagraph"/>
        <w:numPr>
          <w:ilvl w:val="0"/>
          <w:numId w:val="42"/>
        </w:numPr>
        <w:spacing w:after="120"/>
        <w:jc w:val="both"/>
        <w:rPr>
          <w:rFonts w:ascii="Arial" w:hAnsi="Arial" w:cs="Arial"/>
        </w:rPr>
      </w:pPr>
      <w:r w:rsidRPr="00A17E25">
        <w:rPr>
          <w:rFonts w:ascii="Arial" w:hAnsi="Arial" w:cs="Arial"/>
        </w:rPr>
        <w:t>ne concerne que les dépenses de fonctionnement des services ;</w:t>
      </w:r>
    </w:p>
    <w:p w:rsidR="003A596A" w:rsidRPr="00A17E25" w:rsidRDefault="003A596A" w:rsidP="00197A8A">
      <w:pPr>
        <w:pStyle w:val="ListParagraph"/>
        <w:numPr>
          <w:ilvl w:val="0"/>
          <w:numId w:val="42"/>
        </w:numPr>
        <w:spacing w:after="120"/>
        <w:jc w:val="both"/>
        <w:rPr>
          <w:rFonts w:ascii="Arial" w:hAnsi="Arial" w:cs="Arial"/>
        </w:rPr>
      </w:pPr>
      <w:r w:rsidRPr="00A17E25">
        <w:rPr>
          <w:rFonts w:ascii="Arial" w:hAnsi="Arial" w:cs="Arial"/>
        </w:rPr>
        <w:t>n’indique aux services que la date limite de transmission de leurs prévisions budgétaires à la division de la gestion budgétaire ;</w:t>
      </w:r>
    </w:p>
    <w:p w:rsidR="003A596A" w:rsidRPr="00A17E25" w:rsidRDefault="003A596A" w:rsidP="00197A8A">
      <w:pPr>
        <w:pStyle w:val="ListParagraph"/>
        <w:numPr>
          <w:ilvl w:val="0"/>
          <w:numId w:val="42"/>
        </w:numPr>
        <w:spacing w:after="120"/>
        <w:jc w:val="both"/>
        <w:rPr>
          <w:rFonts w:ascii="Arial" w:hAnsi="Arial" w:cs="Arial"/>
        </w:rPr>
      </w:pPr>
      <w:r w:rsidRPr="00A17E25">
        <w:rPr>
          <w:rFonts w:ascii="Arial" w:hAnsi="Arial" w:cs="Arial"/>
        </w:rPr>
        <w:t>ne donne aucune directive aux services pour la préparation de leurs prévisions budgétaires ;</w:t>
      </w:r>
    </w:p>
    <w:p w:rsidR="003A596A" w:rsidRDefault="003A596A" w:rsidP="00197A8A">
      <w:pPr>
        <w:pStyle w:val="ListParagraph"/>
        <w:numPr>
          <w:ilvl w:val="0"/>
          <w:numId w:val="42"/>
        </w:numPr>
        <w:spacing w:after="120"/>
        <w:jc w:val="both"/>
        <w:rPr>
          <w:rFonts w:ascii="Arial" w:hAnsi="Arial" w:cs="Arial"/>
        </w:rPr>
      </w:pPr>
      <w:r w:rsidRPr="00A17E25">
        <w:rPr>
          <w:rFonts w:ascii="Arial" w:hAnsi="Arial" w:cs="Arial"/>
        </w:rPr>
        <w:t>ne contient pas de plafonds dans les limites desquels les services doivent faire leurs prévisions budgétaires.</w:t>
      </w:r>
    </w:p>
    <w:p w:rsidR="00C81477" w:rsidRPr="00A17E25" w:rsidRDefault="00C81477" w:rsidP="00197A8A">
      <w:pPr>
        <w:pStyle w:val="ListParagraph"/>
        <w:numPr>
          <w:ilvl w:val="0"/>
          <w:numId w:val="42"/>
        </w:numPr>
        <w:spacing w:after="120"/>
        <w:jc w:val="both"/>
        <w:rPr>
          <w:rFonts w:ascii="Arial" w:hAnsi="Arial" w:cs="Arial"/>
        </w:rPr>
      </w:pPr>
      <w:r>
        <w:rPr>
          <w:rFonts w:ascii="Arial" w:hAnsi="Arial" w:cs="Arial"/>
        </w:rPr>
        <w:t>Ne laisse pas suffisamment de temps aux services concernés pour la préparation des budgets.</w:t>
      </w:r>
    </w:p>
    <w:p w:rsidR="003A596A" w:rsidRPr="00A17E25" w:rsidRDefault="003A596A" w:rsidP="003A596A">
      <w:pPr>
        <w:jc w:val="both"/>
        <w:rPr>
          <w:rFonts w:ascii="Arial" w:hAnsi="Arial" w:cs="Arial"/>
          <w:color w:val="00B0F0"/>
        </w:rPr>
      </w:pPr>
    </w:p>
    <w:p w:rsidR="003A596A" w:rsidRPr="009A5D27" w:rsidRDefault="003A596A" w:rsidP="00151AD3">
      <w:pPr>
        <w:pStyle w:val="ListParagraph"/>
        <w:numPr>
          <w:ilvl w:val="0"/>
          <w:numId w:val="80"/>
        </w:numPr>
        <w:contextualSpacing/>
        <w:jc w:val="both"/>
        <w:rPr>
          <w:rFonts w:ascii="Arial" w:hAnsi="Arial" w:cs="Arial"/>
          <w:i/>
          <w:color w:val="3366FF"/>
        </w:rPr>
      </w:pPr>
      <w:r w:rsidRPr="009A5D27">
        <w:rPr>
          <w:rFonts w:ascii="Arial" w:hAnsi="Arial" w:cs="Arial"/>
          <w:i/>
          <w:color w:val="3366FF"/>
        </w:rPr>
        <w:t>Soumission dans les délais prévus de la proposition du budget annuel au pouvoir  législatif ou aux instances dotées d’un mandat similaire (au cours des trois derniers exercices)</w:t>
      </w:r>
    </w:p>
    <w:p w:rsidR="007547D5" w:rsidRDefault="007547D5"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dates de transmission des projets de budget </w:t>
      </w:r>
      <w:r w:rsidR="00D8102C">
        <w:rPr>
          <w:rFonts w:ascii="Arial" w:hAnsi="Arial" w:cs="Arial"/>
        </w:rPr>
        <w:t>initial</w:t>
      </w:r>
      <w:r w:rsidRPr="00A17E25">
        <w:rPr>
          <w:rFonts w:ascii="Arial" w:hAnsi="Arial" w:cs="Arial"/>
        </w:rPr>
        <w:t xml:space="preserve"> des exercices 2012, 2013 et 2014 au Conseil communal (Commission financière) sont présentées dans le tableau ci-dessous.</w:t>
      </w:r>
    </w:p>
    <w:p w:rsidR="003A596A" w:rsidRPr="00A17E25" w:rsidRDefault="003A596A" w:rsidP="003A596A"/>
    <w:p w:rsidR="003A596A" w:rsidRPr="00A17E25" w:rsidRDefault="003C1449" w:rsidP="003A596A">
      <w:pPr>
        <w:rPr>
          <w:rFonts w:ascii="Arial Narrow" w:hAnsi="Arial Narrow"/>
          <w:b/>
          <w:sz w:val="20"/>
          <w:szCs w:val="20"/>
        </w:rPr>
      </w:pPr>
      <w:r w:rsidRPr="00A17E25">
        <w:rPr>
          <w:rFonts w:ascii="Arial Narrow" w:hAnsi="Arial Narrow"/>
          <w:b/>
          <w:sz w:val="20"/>
          <w:szCs w:val="20"/>
          <w:u w:val="single"/>
        </w:rPr>
        <w:t>TABLEAU</w:t>
      </w:r>
      <w:r>
        <w:rPr>
          <w:rFonts w:ascii="Arial Narrow" w:hAnsi="Arial Narrow"/>
          <w:b/>
          <w:sz w:val="20"/>
          <w:szCs w:val="20"/>
        </w:rPr>
        <w:t xml:space="preserve"> 3.22</w:t>
      </w:r>
      <w:r w:rsidR="00A07D79" w:rsidRPr="00A17E25">
        <w:rPr>
          <w:rFonts w:ascii="Arial Narrow" w:hAnsi="Arial Narrow"/>
          <w:b/>
          <w:sz w:val="20"/>
          <w:szCs w:val="20"/>
        </w:rPr>
        <w:t xml:space="preserve"> :</w:t>
      </w:r>
      <w:r w:rsidR="003A596A" w:rsidRPr="00A17E25">
        <w:rPr>
          <w:rFonts w:ascii="Arial Narrow" w:hAnsi="Arial Narrow"/>
          <w:b/>
          <w:sz w:val="20"/>
          <w:szCs w:val="20"/>
        </w:rPr>
        <w:t xml:space="preserve"> Dates de soumission des budgets </w:t>
      </w:r>
      <w:r w:rsidR="00D8102C">
        <w:rPr>
          <w:rFonts w:ascii="Arial Narrow" w:hAnsi="Arial Narrow"/>
          <w:b/>
          <w:sz w:val="20"/>
          <w:szCs w:val="20"/>
        </w:rPr>
        <w:t>initiaux</w:t>
      </w:r>
      <w:r w:rsidR="003A596A" w:rsidRPr="00A17E25">
        <w:rPr>
          <w:rFonts w:ascii="Arial Narrow" w:hAnsi="Arial Narrow"/>
          <w:b/>
          <w:sz w:val="20"/>
          <w:szCs w:val="20"/>
        </w:rPr>
        <w:t xml:space="preserve"> des exercices 2013</w:t>
      </w:r>
      <w:r w:rsidR="004216FD">
        <w:rPr>
          <w:rFonts w:ascii="Arial Narrow" w:hAnsi="Arial Narrow"/>
          <w:b/>
          <w:sz w:val="20"/>
          <w:szCs w:val="20"/>
        </w:rPr>
        <w:t xml:space="preserve">, </w:t>
      </w:r>
      <w:r w:rsidR="003A596A" w:rsidRPr="00A17E25">
        <w:rPr>
          <w:rFonts w:ascii="Arial Narrow" w:hAnsi="Arial Narrow"/>
          <w:b/>
          <w:sz w:val="20"/>
          <w:szCs w:val="20"/>
        </w:rPr>
        <w:t xml:space="preserve">2014 </w:t>
      </w:r>
      <w:r w:rsidR="004216FD">
        <w:rPr>
          <w:rFonts w:ascii="Arial Narrow" w:hAnsi="Arial Narrow"/>
          <w:b/>
          <w:sz w:val="20"/>
          <w:szCs w:val="20"/>
        </w:rPr>
        <w:t xml:space="preserve">et 2015 </w:t>
      </w:r>
      <w:r w:rsidR="003A596A" w:rsidRPr="00A17E25">
        <w:rPr>
          <w:rFonts w:ascii="Arial Narrow" w:hAnsi="Arial Narrow"/>
          <w:b/>
          <w:sz w:val="20"/>
          <w:szCs w:val="20"/>
        </w:rPr>
        <w:t>au Conseil communal</w:t>
      </w:r>
    </w:p>
    <w:p w:rsidR="003A596A" w:rsidRPr="00A17E25" w:rsidRDefault="003A596A" w:rsidP="003A596A">
      <w:pPr>
        <w:rPr>
          <w:rFonts w:ascii="Arial Narrow" w:hAnsi="Arial Narrow"/>
          <w:sz w:val="20"/>
          <w:szCs w:val="20"/>
        </w:rPr>
      </w:pPr>
    </w:p>
    <w:tbl>
      <w:tblPr>
        <w:tblStyle w:val="TableGrid"/>
        <w:tblW w:w="0" w:type="auto"/>
        <w:tblLook w:val="04A0" w:firstRow="1" w:lastRow="0" w:firstColumn="1" w:lastColumn="0" w:noHBand="0" w:noVBand="1"/>
      </w:tblPr>
      <w:tblGrid>
        <w:gridCol w:w="3085"/>
        <w:gridCol w:w="6121"/>
      </w:tblGrid>
      <w:tr w:rsidR="003A596A" w:rsidRPr="00A17E25" w:rsidTr="00581667">
        <w:trPr>
          <w:trHeight w:val="315"/>
        </w:trPr>
        <w:tc>
          <w:tcPr>
            <w:tcW w:w="3085" w:type="dxa"/>
            <w:shd w:val="clear" w:color="auto" w:fill="0070C0"/>
          </w:tcPr>
          <w:p w:rsidR="003A596A" w:rsidRPr="00A17E25" w:rsidRDefault="003A596A" w:rsidP="003A596A">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Exercices</w:t>
            </w:r>
          </w:p>
        </w:tc>
        <w:tc>
          <w:tcPr>
            <w:tcW w:w="6121" w:type="dxa"/>
            <w:shd w:val="clear" w:color="auto" w:fill="0070C0"/>
          </w:tcPr>
          <w:p w:rsidR="003A596A" w:rsidRPr="00A17E25" w:rsidRDefault="003A596A" w:rsidP="003A596A">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Dates de soumission  budgets</w:t>
            </w:r>
          </w:p>
          <w:p w:rsidR="003A596A" w:rsidRPr="00A17E25" w:rsidRDefault="003A596A" w:rsidP="003A596A">
            <w:pPr>
              <w:jc w:val="center"/>
              <w:rPr>
                <w:rFonts w:ascii="Arial Narrow" w:hAnsi="Arial Narrow"/>
                <w:b/>
                <w:color w:val="FFFFFF" w:themeColor="background1"/>
                <w:sz w:val="20"/>
                <w:szCs w:val="20"/>
              </w:rPr>
            </w:pPr>
          </w:p>
        </w:tc>
      </w:tr>
      <w:tr w:rsidR="003A596A" w:rsidRPr="00A17E25" w:rsidTr="003A596A">
        <w:tc>
          <w:tcPr>
            <w:tcW w:w="3085" w:type="dxa"/>
          </w:tcPr>
          <w:p w:rsidR="003A596A" w:rsidRPr="00C92388" w:rsidRDefault="003A596A" w:rsidP="003A596A">
            <w:pPr>
              <w:jc w:val="center"/>
              <w:rPr>
                <w:rFonts w:ascii="Arial" w:hAnsi="Arial" w:cs="Arial"/>
                <w:sz w:val="20"/>
                <w:szCs w:val="20"/>
              </w:rPr>
            </w:pPr>
            <w:r w:rsidRPr="00C92388">
              <w:rPr>
                <w:rFonts w:ascii="Arial" w:hAnsi="Arial" w:cs="Arial"/>
                <w:sz w:val="20"/>
                <w:szCs w:val="20"/>
              </w:rPr>
              <w:t>2013</w:t>
            </w:r>
          </w:p>
        </w:tc>
        <w:tc>
          <w:tcPr>
            <w:tcW w:w="6121" w:type="dxa"/>
          </w:tcPr>
          <w:p w:rsidR="003A596A" w:rsidRPr="00C92388" w:rsidRDefault="003A596A" w:rsidP="003A596A">
            <w:pPr>
              <w:jc w:val="center"/>
              <w:rPr>
                <w:rFonts w:ascii="Arial" w:hAnsi="Arial" w:cs="Arial"/>
                <w:sz w:val="20"/>
                <w:szCs w:val="20"/>
              </w:rPr>
            </w:pPr>
            <w:r w:rsidRPr="00C92388">
              <w:rPr>
                <w:rFonts w:ascii="Arial" w:hAnsi="Arial" w:cs="Arial"/>
                <w:sz w:val="20"/>
                <w:szCs w:val="20"/>
              </w:rPr>
              <w:t>24 octobre 2012</w:t>
            </w:r>
          </w:p>
        </w:tc>
      </w:tr>
      <w:tr w:rsidR="003A596A" w:rsidRPr="00A17E25" w:rsidTr="003A596A">
        <w:tc>
          <w:tcPr>
            <w:tcW w:w="3085" w:type="dxa"/>
          </w:tcPr>
          <w:p w:rsidR="003A596A" w:rsidRPr="00C92388" w:rsidRDefault="003A596A" w:rsidP="003A596A">
            <w:pPr>
              <w:jc w:val="center"/>
              <w:rPr>
                <w:rFonts w:ascii="Arial" w:hAnsi="Arial" w:cs="Arial"/>
                <w:sz w:val="20"/>
                <w:szCs w:val="20"/>
              </w:rPr>
            </w:pPr>
            <w:r w:rsidRPr="00C92388">
              <w:rPr>
                <w:rFonts w:ascii="Arial" w:hAnsi="Arial" w:cs="Arial"/>
                <w:sz w:val="20"/>
                <w:szCs w:val="20"/>
              </w:rPr>
              <w:t>2014</w:t>
            </w:r>
          </w:p>
        </w:tc>
        <w:tc>
          <w:tcPr>
            <w:tcW w:w="6121" w:type="dxa"/>
          </w:tcPr>
          <w:p w:rsidR="003A596A" w:rsidRPr="00C92388" w:rsidRDefault="003A596A" w:rsidP="003A596A">
            <w:pPr>
              <w:jc w:val="center"/>
              <w:rPr>
                <w:rFonts w:ascii="Arial" w:hAnsi="Arial" w:cs="Arial"/>
                <w:sz w:val="20"/>
                <w:szCs w:val="20"/>
              </w:rPr>
            </w:pPr>
            <w:r w:rsidRPr="00C92388">
              <w:rPr>
                <w:rFonts w:ascii="Arial" w:hAnsi="Arial" w:cs="Arial"/>
                <w:sz w:val="20"/>
                <w:szCs w:val="20"/>
              </w:rPr>
              <w:t>31 octobre 2013</w:t>
            </w:r>
          </w:p>
        </w:tc>
      </w:tr>
      <w:tr w:rsidR="00C81477" w:rsidRPr="00A17E25" w:rsidTr="003A596A">
        <w:tc>
          <w:tcPr>
            <w:tcW w:w="3085" w:type="dxa"/>
          </w:tcPr>
          <w:p w:rsidR="00C81477" w:rsidRPr="00C92388" w:rsidRDefault="00C81477" w:rsidP="003A596A">
            <w:pPr>
              <w:jc w:val="center"/>
              <w:rPr>
                <w:rFonts w:ascii="Arial" w:hAnsi="Arial" w:cs="Arial"/>
                <w:sz w:val="20"/>
                <w:szCs w:val="20"/>
              </w:rPr>
            </w:pPr>
            <w:r w:rsidRPr="00C92388">
              <w:rPr>
                <w:rFonts w:ascii="Arial" w:hAnsi="Arial" w:cs="Arial"/>
                <w:sz w:val="20"/>
                <w:szCs w:val="20"/>
              </w:rPr>
              <w:t>2015</w:t>
            </w:r>
          </w:p>
        </w:tc>
        <w:tc>
          <w:tcPr>
            <w:tcW w:w="6121" w:type="dxa"/>
          </w:tcPr>
          <w:p w:rsidR="00C81477" w:rsidRPr="00C92388" w:rsidRDefault="00C81477" w:rsidP="003A596A">
            <w:pPr>
              <w:jc w:val="center"/>
              <w:rPr>
                <w:rFonts w:ascii="Arial" w:hAnsi="Arial" w:cs="Arial"/>
                <w:sz w:val="20"/>
                <w:szCs w:val="20"/>
              </w:rPr>
            </w:pPr>
            <w:r w:rsidRPr="00C92388">
              <w:rPr>
                <w:rFonts w:ascii="Arial" w:hAnsi="Arial" w:cs="Arial"/>
                <w:sz w:val="20"/>
                <w:szCs w:val="20"/>
              </w:rPr>
              <w:t>2</w:t>
            </w:r>
            <w:r w:rsidR="003935A7" w:rsidRPr="00C92388">
              <w:rPr>
                <w:rFonts w:ascii="Arial" w:hAnsi="Arial" w:cs="Arial"/>
                <w:sz w:val="20"/>
                <w:szCs w:val="20"/>
              </w:rPr>
              <w:t>8</w:t>
            </w:r>
            <w:r w:rsidRPr="00C92388">
              <w:rPr>
                <w:rFonts w:ascii="Arial" w:hAnsi="Arial" w:cs="Arial"/>
                <w:sz w:val="20"/>
                <w:szCs w:val="20"/>
              </w:rPr>
              <w:t xml:space="preserve"> Octobre 2014</w:t>
            </w:r>
          </w:p>
        </w:tc>
      </w:tr>
    </w:tbl>
    <w:p w:rsidR="003A596A" w:rsidRPr="00A17E25" w:rsidRDefault="003A596A" w:rsidP="003A596A">
      <w:pPr>
        <w:jc w:val="center"/>
        <w:rPr>
          <w:rFonts w:ascii="Arial Narrow" w:hAnsi="Arial Narrow"/>
          <w:sz w:val="20"/>
          <w:szCs w:val="20"/>
        </w:rPr>
      </w:pPr>
      <w:r w:rsidRPr="00A17E25">
        <w:rPr>
          <w:rFonts w:ascii="Arial Narrow" w:hAnsi="Arial Narrow"/>
          <w:sz w:val="20"/>
          <w:szCs w:val="20"/>
          <w:u w:val="single"/>
        </w:rPr>
        <w:t>Sources</w:t>
      </w:r>
      <w:r w:rsidRPr="00A17E25">
        <w:rPr>
          <w:rFonts w:ascii="Arial Narrow" w:hAnsi="Arial Narrow"/>
          <w:sz w:val="20"/>
          <w:szCs w:val="20"/>
        </w:rPr>
        <w:t>:</w:t>
      </w:r>
      <w:r w:rsidRPr="00A17E25">
        <w:rPr>
          <w:rFonts w:ascii="Arial Narrow" w:hAnsi="Arial Narrow"/>
          <w:sz w:val="20"/>
          <w:szCs w:val="20"/>
          <w:u w:val="single"/>
        </w:rPr>
        <w:t> </w:t>
      </w:r>
      <w:r w:rsidRPr="00A17E25">
        <w:rPr>
          <w:rFonts w:ascii="Arial Narrow" w:hAnsi="Arial Narrow"/>
          <w:sz w:val="20"/>
          <w:szCs w:val="20"/>
        </w:rPr>
        <w:t>Secrétariat du Conseil communal</w:t>
      </w:r>
    </w:p>
    <w:p w:rsidR="003A596A" w:rsidRPr="00A17E25" w:rsidRDefault="003A596A" w:rsidP="003A596A"/>
    <w:p w:rsidR="003A596A" w:rsidRPr="00A17E25" w:rsidRDefault="003A596A" w:rsidP="003A596A">
      <w:pPr>
        <w:jc w:val="both"/>
        <w:rPr>
          <w:rFonts w:ascii="Arial" w:hAnsi="Arial" w:cs="Arial"/>
        </w:rPr>
      </w:pPr>
      <w:r w:rsidRPr="00A17E25">
        <w:rPr>
          <w:rFonts w:ascii="Arial" w:hAnsi="Arial" w:cs="Arial"/>
        </w:rPr>
        <w:t>Il ressort de ce tableau que les projets de budget des exercices 2013</w:t>
      </w:r>
      <w:r w:rsidR="00C81477">
        <w:rPr>
          <w:rFonts w:ascii="Arial" w:hAnsi="Arial" w:cs="Arial"/>
        </w:rPr>
        <w:t>,</w:t>
      </w:r>
      <w:r w:rsidRPr="00A17E25">
        <w:rPr>
          <w:rFonts w:ascii="Arial" w:hAnsi="Arial" w:cs="Arial"/>
        </w:rPr>
        <w:t xml:space="preserve"> 2014</w:t>
      </w:r>
      <w:r w:rsidR="00C81477">
        <w:rPr>
          <w:rFonts w:ascii="Arial" w:hAnsi="Arial" w:cs="Arial"/>
        </w:rPr>
        <w:t xml:space="preserve"> et 201</w:t>
      </w:r>
      <w:r w:rsidR="004216FD">
        <w:rPr>
          <w:rFonts w:ascii="Arial" w:hAnsi="Arial" w:cs="Arial"/>
        </w:rPr>
        <w:t>5</w:t>
      </w:r>
      <w:r w:rsidRPr="00A17E25">
        <w:rPr>
          <w:rFonts w:ascii="Arial" w:hAnsi="Arial" w:cs="Arial"/>
        </w:rPr>
        <w:t xml:space="preserve"> ont été soumis au Conseil communal au plus tard à fin octobre de l’année précédant l’exercice budgétaire, soit donc au moins deux mois avant le début de l’exercice budgétaire concerné. </w:t>
      </w:r>
    </w:p>
    <w:p w:rsidR="009642B2" w:rsidRDefault="009642B2" w:rsidP="003A596A"/>
    <w:p w:rsidR="0034021B" w:rsidRDefault="0034021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002"/>
        <w:gridCol w:w="4315"/>
      </w:tblGrid>
      <w:tr w:rsidR="003A596A" w:rsidRPr="00A17E25" w:rsidTr="004B57C3">
        <w:tc>
          <w:tcPr>
            <w:tcW w:w="4038"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1002"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4315"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BF5A38">
        <w:tc>
          <w:tcPr>
            <w:tcW w:w="4038" w:type="dxa"/>
          </w:tcPr>
          <w:p w:rsidR="003A596A" w:rsidRPr="00A17E25" w:rsidRDefault="003A596A" w:rsidP="00D1722C">
            <w:pPr>
              <w:jc w:val="both"/>
              <w:rPr>
                <w:rFonts w:ascii="Arial" w:hAnsi="Arial" w:cs="Arial"/>
                <w:b/>
                <w:bCs/>
                <w:sz w:val="20"/>
                <w:szCs w:val="20"/>
              </w:rPr>
            </w:pPr>
          </w:p>
          <w:p w:rsidR="003A596A" w:rsidRPr="00A17E25" w:rsidRDefault="003A596A" w:rsidP="00D1722C">
            <w:pPr>
              <w:jc w:val="both"/>
              <w:rPr>
                <w:rFonts w:ascii="Arial" w:hAnsi="Arial" w:cs="Arial"/>
                <w:sz w:val="20"/>
                <w:szCs w:val="20"/>
              </w:rPr>
            </w:pPr>
            <w:r w:rsidRPr="00A17E25">
              <w:rPr>
                <w:rFonts w:ascii="Arial" w:hAnsi="Arial" w:cs="Arial"/>
                <w:b/>
                <w:bCs/>
                <w:sz w:val="20"/>
                <w:szCs w:val="20"/>
              </w:rPr>
              <w:t>PI-17 Caractère organisé et participatif du processus annuel de préparation du budget</w:t>
            </w:r>
          </w:p>
        </w:tc>
        <w:tc>
          <w:tcPr>
            <w:tcW w:w="1002" w:type="dxa"/>
            <w:vAlign w:val="center"/>
          </w:tcPr>
          <w:p w:rsidR="003A596A" w:rsidRPr="00A17E25" w:rsidRDefault="00C81477" w:rsidP="003A596A">
            <w:pPr>
              <w:jc w:val="center"/>
              <w:rPr>
                <w:rFonts w:ascii="Arial" w:hAnsi="Arial" w:cs="Arial"/>
                <w:b/>
                <w:bCs/>
                <w:sz w:val="20"/>
                <w:szCs w:val="20"/>
              </w:rPr>
            </w:pPr>
            <w:r>
              <w:rPr>
                <w:rFonts w:ascii="Arial" w:hAnsi="Arial" w:cs="Arial"/>
                <w:b/>
                <w:bCs/>
                <w:sz w:val="20"/>
                <w:szCs w:val="20"/>
              </w:rPr>
              <w:t>C</w:t>
            </w:r>
          </w:p>
        </w:tc>
        <w:tc>
          <w:tcPr>
            <w:tcW w:w="4315"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BF5A38">
        <w:tc>
          <w:tcPr>
            <w:tcW w:w="4038"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 Existence d’un calendrier budgétaire fixe et respect du calendrier</w:t>
            </w:r>
          </w:p>
        </w:tc>
        <w:tc>
          <w:tcPr>
            <w:tcW w:w="1002" w:type="dxa"/>
            <w:vAlign w:val="center"/>
          </w:tcPr>
          <w:p w:rsidR="003A596A" w:rsidRPr="00A17E25" w:rsidRDefault="003A596A" w:rsidP="003A596A">
            <w:pPr>
              <w:jc w:val="center"/>
              <w:rPr>
                <w:rFonts w:ascii="Arial" w:hAnsi="Arial" w:cs="Arial"/>
                <w:b/>
                <w:sz w:val="20"/>
                <w:szCs w:val="20"/>
              </w:rPr>
            </w:pPr>
            <w:r w:rsidRPr="00A17E25">
              <w:rPr>
                <w:rFonts w:ascii="Arial" w:hAnsi="Arial" w:cs="Arial"/>
                <w:b/>
                <w:sz w:val="20"/>
                <w:szCs w:val="20"/>
              </w:rPr>
              <w:t>D</w:t>
            </w:r>
          </w:p>
        </w:tc>
        <w:tc>
          <w:tcPr>
            <w:tcW w:w="4315" w:type="dxa"/>
          </w:tcPr>
          <w:p w:rsidR="003A596A" w:rsidRPr="00A17E25" w:rsidRDefault="004216FD" w:rsidP="005F6F32">
            <w:pPr>
              <w:jc w:val="both"/>
              <w:rPr>
                <w:rFonts w:ascii="Arial" w:hAnsi="Arial" w:cs="Arial"/>
                <w:sz w:val="20"/>
                <w:szCs w:val="20"/>
              </w:rPr>
            </w:pPr>
            <w:r>
              <w:rPr>
                <w:rFonts w:ascii="Arial" w:hAnsi="Arial" w:cs="Arial"/>
                <w:sz w:val="20"/>
                <w:szCs w:val="20"/>
              </w:rPr>
              <w:t>La date limite de présentation du projet de budget au conseil communal</w:t>
            </w:r>
            <w:r w:rsidR="005F6F32">
              <w:rPr>
                <w:rFonts w:ascii="Arial" w:hAnsi="Arial" w:cs="Arial"/>
                <w:sz w:val="20"/>
                <w:szCs w:val="20"/>
              </w:rPr>
              <w:t xml:space="preserve"> est fixée par la loi, mais un</w:t>
            </w:r>
            <w:r w:rsidRPr="00A17E25">
              <w:rPr>
                <w:rFonts w:ascii="Arial" w:hAnsi="Arial" w:cs="Arial"/>
                <w:sz w:val="20"/>
                <w:szCs w:val="20"/>
              </w:rPr>
              <w:t xml:space="preserve"> </w:t>
            </w:r>
            <w:r w:rsidR="003A596A" w:rsidRPr="00A17E25">
              <w:rPr>
                <w:rFonts w:ascii="Arial" w:hAnsi="Arial" w:cs="Arial"/>
                <w:sz w:val="20"/>
                <w:szCs w:val="20"/>
              </w:rPr>
              <w:t xml:space="preserve">calendrier budgétaire n’est </w:t>
            </w:r>
            <w:r w:rsidR="005F6F32">
              <w:rPr>
                <w:rFonts w:ascii="Arial" w:hAnsi="Arial" w:cs="Arial"/>
                <w:sz w:val="20"/>
                <w:szCs w:val="20"/>
              </w:rPr>
              <w:t xml:space="preserve">pas </w:t>
            </w:r>
            <w:r w:rsidR="003A596A" w:rsidRPr="00A17E25">
              <w:rPr>
                <w:rFonts w:ascii="Arial" w:hAnsi="Arial" w:cs="Arial"/>
                <w:sz w:val="20"/>
                <w:szCs w:val="20"/>
              </w:rPr>
              <w:t xml:space="preserve">établi </w:t>
            </w:r>
            <w:r w:rsidR="005F6F32">
              <w:rPr>
                <w:rFonts w:ascii="Arial" w:hAnsi="Arial" w:cs="Arial"/>
                <w:sz w:val="20"/>
                <w:szCs w:val="20"/>
              </w:rPr>
              <w:t xml:space="preserve">par le Maire </w:t>
            </w:r>
            <w:r w:rsidR="003A596A" w:rsidRPr="00A17E25">
              <w:rPr>
                <w:rFonts w:ascii="Arial" w:hAnsi="Arial" w:cs="Arial"/>
                <w:sz w:val="20"/>
                <w:szCs w:val="20"/>
              </w:rPr>
              <w:t xml:space="preserve">en vue de baliser le processus de préparation du budget de la Commune de Casablanca. </w:t>
            </w:r>
          </w:p>
        </w:tc>
      </w:tr>
      <w:tr w:rsidR="003A596A" w:rsidRPr="00A17E25" w:rsidTr="00BF5A38">
        <w:tc>
          <w:tcPr>
            <w:tcW w:w="4038"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 Clarté/exhaustivité des directives pour la préparation des documents budgétaires (circulaire budgétaire ou document équivalent) devant être soumis, et participation des autorités politiques à l’établissement de ces circulaires. </w:t>
            </w:r>
          </w:p>
        </w:tc>
        <w:tc>
          <w:tcPr>
            <w:tcW w:w="1002" w:type="dxa"/>
            <w:vAlign w:val="center"/>
          </w:tcPr>
          <w:p w:rsidR="003A596A" w:rsidRPr="00A17E25" w:rsidRDefault="003A596A" w:rsidP="003A596A">
            <w:pPr>
              <w:jc w:val="center"/>
              <w:rPr>
                <w:rFonts w:ascii="Arial" w:hAnsi="Arial" w:cs="Arial"/>
                <w:b/>
                <w:sz w:val="20"/>
                <w:szCs w:val="20"/>
              </w:rPr>
            </w:pPr>
            <w:r w:rsidRPr="00A17E25">
              <w:rPr>
                <w:rFonts w:ascii="Arial" w:hAnsi="Arial" w:cs="Arial"/>
                <w:b/>
                <w:sz w:val="20"/>
                <w:szCs w:val="20"/>
              </w:rPr>
              <w:t>D</w:t>
            </w:r>
          </w:p>
        </w:tc>
        <w:tc>
          <w:tcPr>
            <w:tcW w:w="4315" w:type="dxa"/>
          </w:tcPr>
          <w:p w:rsidR="003A596A" w:rsidRPr="00A17E25" w:rsidRDefault="003A596A" w:rsidP="00D1722C">
            <w:pPr>
              <w:jc w:val="both"/>
              <w:rPr>
                <w:rFonts w:ascii="Arial" w:hAnsi="Arial" w:cs="Arial"/>
                <w:sz w:val="20"/>
                <w:szCs w:val="20"/>
              </w:rPr>
            </w:pPr>
            <w:r w:rsidRPr="00A17E25">
              <w:rPr>
                <w:rFonts w:ascii="Arial" w:hAnsi="Arial" w:cs="Arial"/>
                <w:sz w:val="20"/>
                <w:szCs w:val="20"/>
              </w:rPr>
              <w:t>La note émise chaque année qui tient lieu de circulaire budgétaire ne concerne que les dépenses de fonctionnement, ne contient pas de plafonds et, outre la date limite de transmission des propositions budgétaires, ne donne pas de directives pour la préparation des prévisions budgétaires pour les services.</w:t>
            </w:r>
          </w:p>
        </w:tc>
      </w:tr>
      <w:tr w:rsidR="003A596A" w:rsidRPr="00A17E25" w:rsidTr="00BF5A38">
        <w:tc>
          <w:tcPr>
            <w:tcW w:w="4038"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(iii) Soumission dans les délais prévus de la proposition de budget annuel au pouvoir législatif ou aux instances dotées d’un mandat similaire (au cours des trois derniers exercices)</w:t>
            </w:r>
          </w:p>
        </w:tc>
        <w:tc>
          <w:tcPr>
            <w:tcW w:w="1002" w:type="dxa"/>
            <w:vAlign w:val="center"/>
          </w:tcPr>
          <w:p w:rsidR="003A596A" w:rsidRPr="00A17E25" w:rsidRDefault="00C81477" w:rsidP="003A596A">
            <w:pPr>
              <w:jc w:val="center"/>
              <w:rPr>
                <w:rFonts w:ascii="Arial" w:hAnsi="Arial" w:cs="Arial"/>
                <w:b/>
                <w:sz w:val="20"/>
                <w:szCs w:val="20"/>
              </w:rPr>
            </w:pPr>
            <w:r>
              <w:rPr>
                <w:rFonts w:ascii="Arial" w:hAnsi="Arial" w:cs="Arial"/>
                <w:b/>
                <w:sz w:val="20"/>
                <w:szCs w:val="20"/>
              </w:rPr>
              <w:t>A</w:t>
            </w:r>
          </w:p>
        </w:tc>
        <w:tc>
          <w:tcPr>
            <w:tcW w:w="4315" w:type="dxa"/>
          </w:tcPr>
          <w:p w:rsidR="003A596A" w:rsidRPr="00A17E25" w:rsidRDefault="003A596A" w:rsidP="00C81477">
            <w:pPr>
              <w:jc w:val="both"/>
              <w:rPr>
                <w:rFonts w:ascii="Arial" w:hAnsi="Arial" w:cs="Arial"/>
                <w:sz w:val="20"/>
                <w:szCs w:val="20"/>
              </w:rPr>
            </w:pPr>
            <w:r w:rsidRPr="00A17E25">
              <w:rPr>
                <w:rFonts w:ascii="Arial" w:hAnsi="Arial" w:cs="Arial"/>
                <w:sz w:val="20"/>
                <w:szCs w:val="20"/>
              </w:rPr>
              <w:t>Au</w:t>
            </w:r>
            <w:r w:rsidR="000720C0">
              <w:rPr>
                <w:rFonts w:ascii="Arial" w:hAnsi="Arial" w:cs="Arial"/>
                <w:sz w:val="20"/>
                <w:szCs w:val="20"/>
              </w:rPr>
              <w:t xml:space="preserve"> cours</w:t>
            </w:r>
            <w:r w:rsidRPr="00A17E25">
              <w:rPr>
                <w:rFonts w:ascii="Arial" w:hAnsi="Arial" w:cs="Arial"/>
                <w:sz w:val="20"/>
                <w:szCs w:val="20"/>
              </w:rPr>
              <w:t xml:space="preserve"> des trois années couvertes par l’évaluation, le pouvoir exécutif de la Commune de Casablanca a soumis au Conseil communal les projets de budget initial des exercices 2013 </w:t>
            </w:r>
            <w:r w:rsidR="00C81477">
              <w:rPr>
                <w:rFonts w:ascii="Arial" w:hAnsi="Arial" w:cs="Arial"/>
                <w:sz w:val="20"/>
                <w:szCs w:val="20"/>
              </w:rPr>
              <w:t>à</w:t>
            </w:r>
            <w:r w:rsidRPr="00A17E25">
              <w:rPr>
                <w:rFonts w:ascii="Arial" w:hAnsi="Arial" w:cs="Arial"/>
                <w:sz w:val="20"/>
                <w:szCs w:val="20"/>
              </w:rPr>
              <w:t xml:space="preserve"> 201</w:t>
            </w:r>
            <w:r w:rsidR="00C81477">
              <w:rPr>
                <w:rFonts w:ascii="Arial" w:hAnsi="Arial" w:cs="Arial"/>
                <w:sz w:val="20"/>
                <w:szCs w:val="20"/>
              </w:rPr>
              <w:t>5</w:t>
            </w:r>
            <w:r w:rsidRPr="00A17E25">
              <w:rPr>
                <w:rFonts w:ascii="Arial" w:hAnsi="Arial" w:cs="Arial"/>
                <w:sz w:val="20"/>
                <w:szCs w:val="20"/>
              </w:rPr>
              <w:t xml:space="preserve"> deux mois avant le début de ces exercices. </w:t>
            </w:r>
            <w:r w:rsidR="00C81477">
              <w:rPr>
                <w:rFonts w:ascii="Arial" w:hAnsi="Arial" w:cs="Arial"/>
                <w:sz w:val="20"/>
                <w:szCs w:val="20"/>
              </w:rPr>
              <w:t xml:space="preserve"> </w:t>
            </w:r>
            <w:r w:rsidRPr="00A17E25">
              <w:rPr>
                <w:rFonts w:ascii="Arial" w:hAnsi="Arial" w:cs="Arial"/>
                <w:sz w:val="20"/>
                <w:szCs w:val="20"/>
              </w:rPr>
              <w:t>.</w:t>
            </w:r>
          </w:p>
        </w:tc>
      </w:tr>
    </w:tbl>
    <w:p w:rsidR="003A596A" w:rsidRDefault="003A596A" w:rsidP="003A596A">
      <w:pPr>
        <w:rPr>
          <w:rFonts w:ascii="Arial" w:hAnsi="Arial"/>
          <w:b/>
          <w:bCs/>
        </w:rPr>
      </w:pPr>
    </w:p>
    <w:p w:rsidR="00DE5B35" w:rsidRDefault="00DE5B35" w:rsidP="003A596A">
      <w:pPr>
        <w:rPr>
          <w:rFonts w:ascii="Arial" w:hAnsi="Arial"/>
          <w:b/>
          <w:bCs/>
        </w:rPr>
      </w:pPr>
    </w:p>
    <w:p w:rsidR="003A596A" w:rsidRPr="00A17E25" w:rsidRDefault="003A596A" w:rsidP="003A596A">
      <w:pPr>
        <w:jc w:val="both"/>
        <w:rPr>
          <w:rFonts w:ascii="Arial" w:hAnsi="Arial" w:cs="Arial"/>
          <w:b/>
        </w:rPr>
      </w:pPr>
      <w:r w:rsidRPr="00A17E25">
        <w:rPr>
          <w:rFonts w:ascii="Arial" w:hAnsi="Arial" w:cs="Arial"/>
          <w:b/>
        </w:rPr>
        <w:t xml:space="preserve">PI-18 : Examen de la loi de finances annuelle (budget </w:t>
      </w:r>
      <w:r w:rsidR="00DE5B35">
        <w:rPr>
          <w:rFonts w:ascii="Arial" w:hAnsi="Arial" w:cs="Arial"/>
          <w:b/>
        </w:rPr>
        <w:t>initial</w:t>
      </w:r>
      <w:r w:rsidRPr="00A17E25">
        <w:rPr>
          <w:rFonts w:ascii="Arial" w:hAnsi="Arial" w:cs="Arial"/>
          <w:b/>
        </w:rPr>
        <w:t>) par le pouvoir législatif (conseil municipal)</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données prises en compte pour l’évaluation des composantes (i), (ii) et (iv) de cet indicateur sont celles de l’exercice 2014 (dernier exercice clôturé) et pour la composante (iii) sont celles des trois derniers budgets approuvés, soit 2013, 2014 et 2015.</w:t>
      </w:r>
    </w:p>
    <w:p w:rsidR="003A596A" w:rsidRPr="004B57C3" w:rsidRDefault="003A596A" w:rsidP="003A596A">
      <w:pPr>
        <w:jc w:val="both"/>
        <w:rPr>
          <w:rFonts w:ascii="Arial" w:hAnsi="Arial" w:cs="Arial"/>
          <w:color w:val="0070C0"/>
        </w:rPr>
      </w:pPr>
    </w:p>
    <w:p w:rsidR="003A596A" w:rsidRPr="003A29CD" w:rsidRDefault="003A596A" w:rsidP="00151AD3">
      <w:pPr>
        <w:pStyle w:val="ListParagraph"/>
        <w:numPr>
          <w:ilvl w:val="0"/>
          <w:numId w:val="43"/>
        </w:numPr>
        <w:contextualSpacing/>
        <w:jc w:val="both"/>
        <w:rPr>
          <w:rFonts w:ascii="Arial" w:hAnsi="Arial" w:cs="Arial"/>
          <w:i/>
          <w:color w:val="0070C0"/>
        </w:rPr>
      </w:pPr>
      <w:r w:rsidRPr="003A29CD">
        <w:rPr>
          <w:rFonts w:ascii="Arial" w:hAnsi="Arial" w:cs="Arial"/>
          <w:i/>
          <w:color w:val="0070C0"/>
        </w:rPr>
        <w:t>Portée de l’examen du pouvoir législatif</w:t>
      </w:r>
    </w:p>
    <w:p w:rsidR="007547D5" w:rsidRDefault="007547D5"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documentation budgétaire transmise au conseil communal en vue du vote du budget de la CC contient principalement le budget proprement dit qui est constitué d’un état détaillé des prévisions de recettes et de dépenses pour l’année considérée. Aucun document n’expose la politique budgétaire de l’exécutif de la CC. Un document de programmation triennale des ressources et des charges n’est pas non plus élaboré conformément aux prescriptions de la loi n° 45-08 et soumis au conseil </w:t>
      </w:r>
      <w:r w:rsidR="00A4778F">
        <w:rPr>
          <w:rFonts w:ascii="Arial" w:hAnsi="Arial" w:cs="Arial"/>
        </w:rPr>
        <w:t>communal</w:t>
      </w:r>
      <w:r w:rsidRPr="00A17E25">
        <w:rPr>
          <w:rFonts w:ascii="Arial" w:hAnsi="Arial" w:cs="Arial"/>
        </w:rPr>
        <w:t xml:space="preserve"> à l’occasion du vote du budget. Aussi, l’examen du budget par le conseil communal ne porte-t-il que sur l’état détaillé des prévisions de recettes et de dépenses. Le conseil communal ne discute pas des grandes orientations budgétaires de l’Exécutif de la CC avant la finalisation et la transmission du projet de budget.</w:t>
      </w:r>
    </w:p>
    <w:p w:rsidR="003C7856" w:rsidRPr="003A29CD" w:rsidRDefault="003C7856" w:rsidP="003A596A">
      <w:pPr>
        <w:jc w:val="both"/>
        <w:rPr>
          <w:rFonts w:ascii="Arial" w:hAnsi="Arial" w:cs="Arial"/>
          <w:color w:val="0070C0"/>
        </w:rPr>
      </w:pPr>
    </w:p>
    <w:p w:rsidR="0034021B" w:rsidRDefault="0034021B">
      <w:pPr>
        <w:rPr>
          <w:rFonts w:ascii="Arial" w:hAnsi="Arial" w:cs="Arial"/>
          <w:i/>
          <w:color w:val="0070C0"/>
        </w:rPr>
      </w:pPr>
      <w:r>
        <w:rPr>
          <w:rFonts w:ascii="Arial" w:hAnsi="Arial" w:cs="Arial"/>
          <w:i/>
          <w:color w:val="0070C0"/>
        </w:rPr>
        <w:br w:type="page"/>
      </w:r>
    </w:p>
    <w:p w:rsidR="003A596A" w:rsidRPr="003A29CD" w:rsidRDefault="003A596A" w:rsidP="00151AD3">
      <w:pPr>
        <w:pStyle w:val="ListParagraph"/>
        <w:numPr>
          <w:ilvl w:val="0"/>
          <w:numId w:val="43"/>
        </w:numPr>
        <w:contextualSpacing/>
        <w:jc w:val="both"/>
        <w:rPr>
          <w:rFonts w:ascii="Arial" w:hAnsi="Arial" w:cs="Arial"/>
          <w:i/>
          <w:color w:val="0070C0"/>
        </w:rPr>
      </w:pPr>
      <w:r w:rsidRPr="003A29CD">
        <w:rPr>
          <w:rFonts w:ascii="Arial" w:hAnsi="Arial" w:cs="Arial"/>
          <w:i/>
          <w:color w:val="0070C0"/>
        </w:rPr>
        <w:t>Mesure dans laquelle les procédures sont dûment établies par le pouvoir législatif et respectées</w:t>
      </w:r>
    </w:p>
    <w:p w:rsidR="003C7856" w:rsidRPr="009A5D27" w:rsidRDefault="003C7856" w:rsidP="003C7856">
      <w:pPr>
        <w:pStyle w:val="ListParagraph"/>
        <w:ind w:left="1080"/>
        <w:contextualSpacing/>
        <w:jc w:val="both"/>
        <w:rPr>
          <w:rFonts w:ascii="Arial" w:hAnsi="Arial" w:cs="Arial"/>
          <w:i/>
          <w:color w:val="3366FF"/>
        </w:rPr>
      </w:pPr>
    </w:p>
    <w:p w:rsidR="003A596A" w:rsidRPr="00A17E25" w:rsidRDefault="00DE737F" w:rsidP="00DE737F">
      <w:pPr>
        <w:jc w:val="both"/>
        <w:rPr>
          <w:rFonts w:ascii="Arial" w:hAnsi="Arial" w:cs="Arial"/>
        </w:rPr>
      </w:pPr>
      <w:r>
        <w:rPr>
          <w:rFonts w:ascii="Arial" w:hAnsi="Arial" w:cs="Arial"/>
        </w:rPr>
        <w:t xml:space="preserve">Conformément </w:t>
      </w:r>
      <w:r w:rsidR="0082013C">
        <w:rPr>
          <w:rFonts w:ascii="Arial" w:hAnsi="Arial" w:cs="Arial"/>
        </w:rPr>
        <w:t xml:space="preserve">à </w:t>
      </w:r>
      <w:r w:rsidR="0073416E">
        <w:rPr>
          <w:rFonts w:ascii="Arial" w:hAnsi="Arial" w:cs="Arial"/>
        </w:rPr>
        <w:t xml:space="preserve"> la loi</w:t>
      </w:r>
      <w:r w:rsidR="0073416E" w:rsidRPr="0073416E">
        <w:rPr>
          <w:rFonts w:ascii="Arial" w:hAnsi="Arial" w:cs="Arial"/>
        </w:rPr>
        <w:t xml:space="preserve"> </w:t>
      </w:r>
      <w:r w:rsidR="0073416E">
        <w:rPr>
          <w:rFonts w:ascii="Arial" w:hAnsi="Arial" w:cs="Arial"/>
        </w:rPr>
        <w:t>n°45-08 l</w:t>
      </w:r>
      <w:r w:rsidR="003A596A" w:rsidRPr="00A17E25">
        <w:rPr>
          <w:rFonts w:ascii="Arial" w:hAnsi="Arial" w:cs="Arial"/>
        </w:rPr>
        <w:t xml:space="preserve">e conseil de la CC a constitué en son sein six commissions permanentes dont la commission chargée de la planification, des affaires économiques, du budget et des finances. C’est cette commission qui étudie le projet de budget soumis par l’exécutif de la CC avant son examen et son vote en assemblée plénière.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La loi n° 45-08 relative à l’organisation des finances locales dispose en son article 17 que le vote des recettes doit intervenir avant le vote des dépenses, et que les prévisions des recettes et des dépenses font l’objet d’un vote par chapitre.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En dehors de ces procédures de vote du budget édictées par la loi n° 45-08, le conseil communal de Casablanca n’a pas formalisé les procédures d’examen du projet de budget dans son règlement intérieur ou dans un manuel de procédures.</w:t>
      </w:r>
    </w:p>
    <w:p w:rsidR="003A596A" w:rsidRPr="003A29CD" w:rsidRDefault="003A596A" w:rsidP="003A596A">
      <w:pPr>
        <w:jc w:val="both"/>
        <w:rPr>
          <w:rFonts w:ascii="Arial" w:hAnsi="Arial" w:cs="Arial"/>
          <w:color w:val="0070C0"/>
        </w:rPr>
      </w:pPr>
    </w:p>
    <w:p w:rsidR="003A596A" w:rsidRPr="003A29CD" w:rsidRDefault="003A596A" w:rsidP="00151AD3">
      <w:pPr>
        <w:pStyle w:val="ListParagraph"/>
        <w:numPr>
          <w:ilvl w:val="0"/>
          <w:numId w:val="43"/>
        </w:numPr>
        <w:contextualSpacing/>
        <w:jc w:val="both"/>
        <w:rPr>
          <w:rFonts w:ascii="Arial" w:hAnsi="Arial" w:cs="Arial"/>
          <w:i/>
          <w:color w:val="0070C0"/>
        </w:rPr>
      </w:pPr>
      <w:r w:rsidRPr="003A29CD">
        <w:rPr>
          <w:rFonts w:ascii="Arial" w:hAnsi="Arial" w:cs="Arial"/>
          <w:i/>
          <w:color w:val="0070C0"/>
        </w:rPr>
        <w:t>Ponctualité de l’approbation du projet de budget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trois derniers budgets (2013, 2014 et 2015) ont tous été votés par le conseil communal au cours du mois d’octobre de l’année précédant l’exercice concerné, soit donc avant le début de l’exercice comme le montre le tableau ci-dessous.</w:t>
      </w:r>
    </w:p>
    <w:p w:rsidR="00BF5A38" w:rsidRDefault="00BF5A38" w:rsidP="003A596A">
      <w:pPr>
        <w:rPr>
          <w:rFonts w:ascii="Arial Narrow" w:hAnsi="Arial Narrow"/>
          <w:b/>
          <w:sz w:val="20"/>
          <w:szCs w:val="20"/>
          <w:u w:val="single"/>
        </w:rPr>
      </w:pPr>
    </w:p>
    <w:p w:rsidR="003A596A" w:rsidRPr="00A17E25" w:rsidRDefault="003C1449" w:rsidP="003A596A">
      <w:pPr>
        <w:rPr>
          <w:rFonts w:ascii="Arial Narrow" w:hAnsi="Arial Narrow"/>
          <w:b/>
          <w:sz w:val="20"/>
          <w:szCs w:val="20"/>
        </w:rPr>
      </w:pPr>
      <w:r w:rsidRPr="00A17E25">
        <w:rPr>
          <w:rFonts w:ascii="Arial Narrow" w:hAnsi="Arial Narrow"/>
          <w:b/>
          <w:sz w:val="20"/>
          <w:szCs w:val="20"/>
          <w:u w:val="single"/>
        </w:rPr>
        <w:t>TABLEAU</w:t>
      </w:r>
      <w:r>
        <w:rPr>
          <w:rFonts w:ascii="Arial Narrow" w:hAnsi="Arial Narrow"/>
          <w:b/>
          <w:sz w:val="20"/>
          <w:szCs w:val="20"/>
        </w:rPr>
        <w:t xml:space="preserve"> 3.23</w:t>
      </w:r>
      <w:r w:rsidR="00A07D79" w:rsidRPr="00A17E25">
        <w:rPr>
          <w:rFonts w:ascii="Arial Narrow" w:hAnsi="Arial Narrow"/>
          <w:b/>
          <w:sz w:val="20"/>
          <w:szCs w:val="20"/>
        </w:rPr>
        <w:t xml:space="preserve"> :</w:t>
      </w:r>
      <w:r w:rsidR="003A596A" w:rsidRPr="00A17E25">
        <w:rPr>
          <w:rFonts w:ascii="Arial Narrow" w:hAnsi="Arial Narrow"/>
          <w:b/>
          <w:sz w:val="20"/>
          <w:szCs w:val="20"/>
        </w:rPr>
        <w:t xml:space="preserve"> Dates de vote des budgets </w:t>
      </w:r>
      <w:r w:rsidR="00D8102C">
        <w:rPr>
          <w:rFonts w:ascii="Arial Narrow" w:hAnsi="Arial Narrow"/>
          <w:b/>
          <w:sz w:val="20"/>
          <w:szCs w:val="20"/>
        </w:rPr>
        <w:t>initiaux</w:t>
      </w:r>
      <w:r w:rsidR="003A596A" w:rsidRPr="00A17E25">
        <w:rPr>
          <w:rFonts w:ascii="Arial Narrow" w:hAnsi="Arial Narrow"/>
          <w:b/>
          <w:sz w:val="20"/>
          <w:szCs w:val="20"/>
        </w:rPr>
        <w:t xml:space="preserve"> des exercices 201</w:t>
      </w:r>
      <w:r w:rsidR="00DE737F">
        <w:rPr>
          <w:rFonts w:ascii="Arial Narrow" w:hAnsi="Arial Narrow"/>
          <w:b/>
          <w:sz w:val="20"/>
          <w:szCs w:val="20"/>
        </w:rPr>
        <w:t xml:space="preserve">3 </w:t>
      </w:r>
      <w:r w:rsidR="003A596A" w:rsidRPr="00A17E25">
        <w:rPr>
          <w:rFonts w:ascii="Arial Narrow" w:hAnsi="Arial Narrow"/>
          <w:b/>
          <w:sz w:val="20"/>
          <w:szCs w:val="20"/>
        </w:rPr>
        <w:t>à 201</w:t>
      </w:r>
      <w:r w:rsidR="00DE737F">
        <w:rPr>
          <w:rFonts w:ascii="Arial Narrow" w:hAnsi="Arial Narrow"/>
          <w:b/>
          <w:sz w:val="20"/>
          <w:szCs w:val="20"/>
        </w:rPr>
        <w:t>5</w:t>
      </w:r>
      <w:r w:rsidR="003A596A" w:rsidRPr="00A17E25">
        <w:rPr>
          <w:rFonts w:ascii="Arial Narrow" w:hAnsi="Arial Narrow"/>
          <w:b/>
          <w:sz w:val="20"/>
          <w:szCs w:val="20"/>
        </w:rPr>
        <w:t xml:space="preserve"> de la CC par le Conseil communal</w:t>
      </w:r>
    </w:p>
    <w:p w:rsidR="003A596A" w:rsidRPr="00A17E25" w:rsidRDefault="003A596A" w:rsidP="003A596A">
      <w:pPr>
        <w:rPr>
          <w:rFonts w:ascii="Arial Narrow" w:hAnsi="Arial Narrow"/>
          <w:sz w:val="20"/>
          <w:szCs w:val="20"/>
        </w:rPr>
      </w:pPr>
    </w:p>
    <w:tbl>
      <w:tblPr>
        <w:tblStyle w:val="TableGrid"/>
        <w:tblW w:w="0" w:type="auto"/>
        <w:tblLook w:val="04A0" w:firstRow="1" w:lastRow="0" w:firstColumn="1" w:lastColumn="0" w:noHBand="0" w:noVBand="1"/>
      </w:tblPr>
      <w:tblGrid>
        <w:gridCol w:w="3085"/>
        <w:gridCol w:w="6121"/>
      </w:tblGrid>
      <w:tr w:rsidR="003A596A" w:rsidRPr="00A17E25" w:rsidTr="003A596A">
        <w:tc>
          <w:tcPr>
            <w:tcW w:w="3085" w:type="dxa"/>
            <w:shd w:val="clear" w:color="auto" w:fill="0070C0"/>
          </w:tcPr>
          <w:p w:rsidR="003A596A" w:rsidRPr="00A17E25" w:rsidRDefault="003A596A" w:rsidP="003A596A">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Exercices</w:t>
            </w:r>
          </w:p>
        </w:tc>
        <w:tc>
          <w:tcPr>
            <w:tcW w:w="6121" w:type="dxa"/>
            <w:shd w:val="clear" w:color="auto" w:fill="0070C0"/>
          </w:tcPr>
          <w:p w:rsidR="003A596A" w:rsidRPr="00A17E25" w:rsidRDefault="003A596A" w:rsidP="003A596A">
            <w:pPr>
              <w:jc w:val="center"/>
              <w:rPr>
                <w:rFonts w:ascii="Arial Narrow" w:hAnsi="Arial Narrow"/>
                <w:b/>
                <w:color w:val="FFFFFF" w:themeColor="background1"/>
                <w:sz w:val="20"/>
                <w:szCs w:val="20"/>
              </w:rPr>
            </w:pPr>
            <w:r w:rsidRPr="00A17E25">
              <w:rPr>
                <w:rFonts w:ascii="Arial Narrow" w:hAnsi="Arial Narrow"/>
                <w:b/>
                <w:color w:val="FFFFFF" w:themeColor="background1"/>
                <w:sz w:val="20"/>
                <w:szCs w:val="20"/>
              </w:rPr>
              <w:t>Dates de vot3</w:t>
            </w:r>
          </w:p>
          <w:p w:rsidR="003A596A" w:rsidRPr="00A17E25" w:rsidRDefault="003A596A" w:rsidP="003A596A">
            <w:pPr>
              <w:jc w:val="center"/>
              <w:rPr>
                <w:rFonts w:ascii="Arial Narrow" w:hAnsi="Arial Narrow"/>
                <w:b/>
                <w:color w:val="FFFFFF" w:themeColor="background1"/>
                <w:sz w:val="20"/>
                <w:szCs w:val="20"/>
              </w:rPr>
            </w:pPr>
          </w:p>
        </w:tc>
      </w:tr>
      <w:tr w:rsidR="003A596A" w:rsidRPr="00A17E25" w:rsidTr="003A596A">
        <w:tc>
          <w:tcPr>
            <w:tcW w:w="3085"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2013</w:t>
            </w:r>
          </w:p>
        </w:tc>
        <w:tc>
          <w:tcPr>
            <w:tcW w:w="6121"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Le 24 octobre 2012</w:t>
            </w:r>
          </w:p>
        </w:tc>
      </w:tr>
      <w:tr w:rsidR="003A596A" w:rsidRPr="00A17E25" w:rsidTr="003A596A">
        <w:tc>
          <w:tcPr>
            <w:tcW w:w="3085"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2014</w:t>
            </w:r>
          </w:p>
        </w:tc>
        <w:tc>
          <w:tcPr>
            <w:tcW w:w="6121"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LE 31 octobre 2013</w:t>
            </w:r>
          </w:p>
        </w:tc>
      </w:tr>
      <w:tr w:rsidR="003A596A" w:rsidRPr="00A17E25" w:rsidTr="00C92388">
        <w:trPr>
          <w:trHeight w:val="85"/>
        </w:trPr>
        <w:tc>
          <w:tcPr>
            <w:tcW w:w="3085"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2015</w:t>
            </w:r>
          </w:p>
        </w:tc>
        <w:tc>
          <w:tcPr>
            <w:tcW w:w="6121" w:type="dxa"/>
          </w:tcPr>
          <w:p w:rsidR="003A596A" w:rsidRPr="00A17E25" w:rsidRDefault="003A596A" w:rsidP="003A596A">
            <w:pPr>
              <w:jc w:val="center"/>
              <w:rPr>
                <w:rFonts w:ascii="Arial Narrow" w:hAnsi="Arial Narrow"/>
                <w:sz w:val="20"/>
                <w:szCs w:val="20"/>
              </w:rPr>
            </w:pPr>
            <w:r w:rsidRPr="00A17E25">
              <w:rPr>
                <w:rFonts w:ascii="Arial Narrow" w:hAnsi="Arial Narrow"/>
                <w:sz w:val="20"/>
                <w:szCs w:val="20"/>
              </w:rPr>
              <w:t>Le 28 octobre 2014</w:t>
            </w:r>
          </w:p>
        </w:tc>
      </w:tr>
    </w:tbl>
    <w:p w:rsidR="003A596A" w:rsidRPr="00A17E25" w:rsidRDefault="003A596A" w:rsidP="003A596A">
      <w:pPr>
        <w:rPr>
          <w:rFonts w:ascii="Arial Narrow" w:hAnsi="Arial Narrow"/>
          <w:sz w:val="20"/>
          <w:szCs w:val="20"/>
        </w:rPr>
      </w:pPr>
      <w:r w:rsidRPr="00A17E25">
        <w:rPr>
          <w:rFonts w:ascii="Arial Narrow" w:hAnsi="Arial Narrow"/>
          <w:sz w:val="20"/>
          <w:szCs w:val="20"/>
          <w:u w:val="single"/>
        </w:rPr>
        <w:t>Sources </w:t>
      </w:r>
      <w:r w:rsidRPr="00A17E25">
        <w:rPr>
          <w:rFonts w:ascii="Arial Narrow" w:hAnsi="Arial Narrow"/>
          <w:sz w:val="20"/>
          <w:szCs w:val="20"/>
        </w:rPr>
        <w:t>:</w:t>
      </w:r>
      <w:r w:rsidRPr="00A17E25">
        <w:rPr>
          <w:rFonts w:ascii="Arial Narrow" w:hAnsi="Arial Narrow"/>
          <w:sz w:val="20"/>
          <w:szCs w:val="20"/>
          <w:u w:val="single"/>
        </w:rPr>
        <w:t> </w:t>
      </w:r>
    </w:p>
    <w:p w:rsidR="003A596A" w:rsidRPr="003A29CD" w:rsidRDefault="003A596A" w:rsidP="003A596A">
      <w:pPr>
        <w:rPr>
          <w:color w:val="0070C0"/>
        </w:rPr>
      </w:pPr>
    </w:p>
    <w:p w:rsidR="003A596A" w:rsidRPr="003A29CD" w:rsidRDefault="003A596A" w:rsidP="00151AD3">
      <w:pPr>
        <w:pStyle w:val="ListParagraph"/>
        <w:numPr>
          <w:ilvl w:val="0"/>
          <w:numId w:val="43"/>
        </w:numPr>
        <w:contextualSpacing/>
        <w:jc w:val="both"/>
        <w:rPr>
          <w:rFonts w:ascii="Arial" w:hAnsi="Arial" w:cs="Arial"/>
          <w:i/>
          <w:color w:val="0070C0"/>
        </w:rPr>
      </w:pPr>
      <w:r w:rsidRPr="003A29CD">
        <w:rPr>
          <w:rFonts w:ascii="Arial" w:hAnsi="Arial" w:cs="Arial"/>
          <w:i/>
          <w:color w:val="0070C0"/>
        </w:rPr>
        <w:t>Règles concernant l’apport de modifications au budget en cours d’exercice sans l’autorisation a priori du pouvoir législatif</w:t>
      </w:r>
    </w:p>
    <w:p w:rsidR="003A596A" w:rsidRPr="00A17E25" w:rsidRDefault="003A596A" w:rsidP="003A596A"/>
    <w:p w:rsidR="003A596A" w:rsidRPr="00A17E25" w:rsidRDefault="003A596A" w:rsidP="003A596A">
      <w:pPr>
        <w:jc w:val="both"/>
        <w:rPr>
          <w:rFonts w:ascii="Arial" w:hAnsi="Arial" w:cs="Arial"/>
        </w:rPr>
      </w:pPr>
      <w:r w:rsidRPr="00A17E25">
        <w:rPr>
          <w:rFonts w:ascii="Arial" w:hAnsi="Arial" w:cs="Arial"/>
        </w:rPr>
        <w:t xml:space="preserve">Aux termes des dispositions de l’article 28 alinéa 2 de la loi n° 45-08 relative à l’organisation des finances des collectivités locales et de leurs groupements, seuls les virements de crédit de fonctionnement à l’intérieur d’un même article peuvent être effectués  par le président du conseil sans délibération du conseil. Quant aux virements de crédit de fonctionnement à l’intérieur d’un même chapitre, ils peuvent être opérés par le président du conseil, mais après délibération du conseil communal.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L’examen des actes de virement de crédit de fonctionnement effectués en 2014 a permis à la mission  de constater que les procédures édictées par la loi n° 45-08 ont été respectées.</w:t>
      </w:r>
    </w:p>
    <w:p w:rsidR="003A596A" w:rsidRDefault="003A596A" w:rsidP="003A596A"/>
    <w:p w:rsidR="0034021B" w:rsidRDefault="0034021B">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900"/>
        <w:gridCol w:w="5035"/>
      </w:tblGrid>
      <w:tr w:rsidR="003A596A" w:rsidRPr="00A17E25" w:rsidTr="003A29CD">
        <w:tc>
          <w:tcPr>
            <w:tcW w:w="3330"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900"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5035"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BF5A38">
        <w:tc>
          <w:tcPr>
            <w:tcW w:w="3330" w:type="dxa"/>
          </w:tcPr>
          <w:p w:rsidR="003A596A" w:rsidRPr="00A17E25" w:rsidRDefault="003A596A" w:rsidP="003A596A">
            <w:pPr>
              <w:rPr>
                <w:rFonts w:ascii="Arial" w:hAnsi="Arial" w:cs="Arial"/>
                <w:b/>
                <w:bCs/>
                <w:sz w:val="20"/>
                <w:szCs w:val="20"/>
              </w:rPr>
            </w:pPr>
          </w:p>
          <w:p w:rsidR="003A596A" w:rsidRPr="00A17E25" w:rsidRDefault="003A596A" w:rsidP="003A596A">
            <w:pPr>
              <w:rPr>
                <w:rFonts w:ascii="Arial" w:hAnsi="Arial" w:cs="Arial"/>
                <w:sz w:val="20"/>
                <w:szCs w:val="20"/>
              </w:rPr>
            </w:pPr>
            <w:r w:rsidRPr="00A17E25">
              <w:rPr>
                <w:rFonts w:ascii="Arial" w:hAnsi="Arial" w:cs="Arial"/>
                <w:b/>
                <w:bCs/>
                <w:sz w:val="20"/>
                <w:szCs w:val="20"/>
              </w:rPr>
              <w:t>PI-18 Examen de la loi de finances annuelle par le pouvoir législatif</w:t>
            </w:r>
          </w:p>
        </w:tc>
        <w:tc>
          <w:tcPr>
            <w:tcW w:w="900"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C+</w:t>
            </w:r>
          </w:p>
        </w:tc>
        <w:tc>
          <w:tcPr>
            <w:tcW w:w="5035" w:type="dxa"/>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M1</w:t>
            </w:r>
          </w:p>
        </w:tc>
      </w:tr>
      <w:tr w:rsidR="003A596A" w:rsidRPr="00A17E25" w:rsidTr="00BF5A38">
        <w:tc>
          <w:tcPr>
            <w:tcW w:w="3330"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 Portée de l’examen du pouvoir législatif</w:t>
            </w:r>
          </w:p>
        </w:tc>
        <w:tc>
          <w:tcPr>
            <w:tcW w:w="900"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C</w:t>
            </w:r>
          </w:p>
        </w:tc>
        <w:tc>
          <w:tcPr>
            <w:tcW w:w="5035" w:type="dxa"/>
          </w:tcPr>
          <w:p w:rsidR="003A596A" w:rsidRPr="00A17E25" w:rsidRDefault="003A596A" w:rsidP="007547D5">
            <w:pPr>
              <w:jc w:val="both"/>
              <w:rPr>
                <w:rFonts w:ascii="Arial" w:hAnsi="Arial" w:cs="Arial"/>
                <w:sz w:val="20"/>
                <w:szCs w:val="20"/>
              </w:rPr>
            </w:pPr>
            <w:r w:rsidRPr="00A17E25">
              <w:rPr>
                <w:rFonts w:ascii="Arial" w:hAnsi="Arial" w:cs="Arial"/>
                <w:sz w:val="20"/>
                <w:szCs w:val="20"/>
              </w:rPr>
              <w:t>L’examen du budget par le conseil communal porte sur l’état détaillé des prévisions de recettes et de dépenses. Le conseil communal ne discute pas des grandes orientations budgétaires de l’Exécutif de la CC avant la finalisation et la transmission du projet de budget.</w:t>
            </w:r>
          </w:p>
        </w:tc>
      </w:tr>
      <w:tr w:rsidR="003A596A" w:rsidRPr="00A17E25" w:rsidTr="00BF5A38">
        <w:tc>
          <w:tcPr>
            <w:tcW w:w="3330"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 Mesure dans laquelle les procédures sont dûment établies par le pouvoir législatif et respectées </w:t>
            </w:r>
          </w:p>
        </w:tc>
        <w:tc>
          <w:tcPr>
            <w:tcW w:w="900" w:type="dxa"/>
            <w:vAlign w:val="center"/>
          </w:tcPr>
          <w:p w:rsidR="003A596A" w:rsidRPr="00A17E25" w:rsidRDefault="003D13B5" w:rsidP="003A596A">
            <w:pPr>
              <w:jc w:val="center"/>
              <w:rPr>
                <w:rFonts w:ascii="Arial" w:hAnsi="Arial" w:cs="Arial"/>
                <w:sz w:val="20"/>
                <w:szCs w:val="20"/>
              </w:rPr>
            </w:pPr>
            <w:r>
              <w:rPr>
                <w:rFonts w:ascii="Arial" w:hAnsi="Arial" w:cs="Arial"/>
                <w:sz w:val="20"/>
                <w:szCs w:val="20"/>
              </w:rPr>
              <w:t>B</w:t>
            </w:r>
          </w:p>
        </w:tc>
        <w:tc>
          <w:tcPr>
            <w:tcW w:w="5035" w:type="dxa"/>
          </w:tcPr>
          <w:p w:rsidR="003A596A" w:rsidRPr="00A17E25" w:rsidRDefault="003D13B5" w:rsidP="003D13B5">
            <w:pPr>
              <w:jc w:val="both"/>
              <w:rPr>
                <w:rFonts w:ascii="Arial" w:hAnsi="Arial" w:cs="Arial"/>
                <w:sz w:val="20"/>
                <w:szCs w:val="20"/>
              </w:rPr>
            </w:pPr>
            <w:r>
              <w:rPr>
                <w:rFonts w:ascii="Arial" w:hAnsi="Arial" w:cs="Arial"/>
                <w:sz w:val="20"/>
                <w:szCs w:val="20"/>
              </w:rPr>
              <w:t>L</w:t>
            </w:r>
            <w:r w:rsidR="003A596A" w:rsidRPr="00A17E25">
              <w:rPr>
                <w:rFonts w:ascii="Arial" w:hAnsi="Arial" w:cs="Arial"/>
                <w:sz w:val="20"/>
                <w:szCs w:val="20"/>
              </w:rPr>
              <w:t xml:space="preserve">es procédures de vote du budget </w:t>
            </w:r>
            <w:r>
              <w:rPr>
                <w:rFonts w:ascii="Arial" w:hAnsi="Arial" w:cs="Arial"/>
                <w:sz w:val="20"/>
                <w:szCs w:val="20"/>
              </w:rPr>
              <w:t xml:space="preserve">sont </w:t>
            </w:r>
            <w:r w:rsidR="003A596A" w:rsidRPr="00A17E25">
              <w:rPr>
                <w:rFonts w:ascii="Arial" w:hAnsi="Arial" w:cs="Arial"/>
                <w:sz w:val="20"/>
                <w:szCs w:val="20"/>
              </w:rPr>
              <w:t xml:space="preserve">édictées par la loi n° 45-08. </w:t>
            </w:r>
          </w:p>
        </w:tc>
      </w:tr>
      <w:tr w:rsidR="003A596A" w:rsidRPr="00A17E25" w:rsidTr="00BF5A38">
        <w:tc>
          <w:tcPr>
            <w:tcW w:w="3330"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(iii) Ponctualité de l’approbation du projet de budget</w:t>
            </w:r>
          </w:p>
        </w:tc>
        <w:tc>
          <w:tcPr>
            <w:tcW w:w="900" w:type="dxa"/>
            <w:vAlign w:val="center"/>
          </w:tcPr>
          <w:p w:rsidR="003A596A" w:rsidRPr="00A3569B" w:rsidRDefault="003A596A" w:rsidP="003A596A">
            <w:pPr>
              <w:jc w:val="center"/>
              <w:rPr>
                <w:rFonts w:ascii="Arial" w:hAnsi="Arial" w:cs="Arial"/>
                <w:sz w:val="20"/>
                <w:szCs w:val="20"/>
                <w:highlight w:val="yellow"/>
              </w:rPr>
            </w:pPr>
            <w:r w:rsidRPr="00A3569B">
              <w:rPr>
                <w:rFonts w:ascii="Arial" w:hAnsi="Arial" w:cs="Arial"/>
                <w:sz w:val="20"/>
                <w:szCs w:val="20"/>
              </w:rPr>
              <w:t>A</w:t>
            </w:r>
          </w:p>
        </w:tc>
        <w:tc>
          <w:tcPr>
            <w:tcW w:w="5035" w:type="dxa"/>
          </w:tcPr>
          <w:p w:rsidR="003A596A" w:rsidRPr="00A17E25" w:rsidRDefault="003A596A" w:rsidP="00D1722C">
            <w:pPr>
              <w:jc w:val="both"/>
              <w:rPr>
                <w:rFonts w:ascii="Arial" w:hAnsi="Arial" w:cs="Arial"/>
                <w:sz w:val="20"/>
                <w:szCs w:val="20"/>
                <w:highlight w:val="yellow"/>
              </w:rPr>
            </w:pPr>
            <w:r w:rsidRPr="00A17E25">
              <w:rPr>
                <w:rFonts w:ascii="Arial" w:hAnsi="Arial" w:cs="Arial"/>
                <w:sz w:val="20"/>
                <w:szCs w:val="20"/>
              </w:rPr>
              <w:t>Les trois derniers budgets (2013, 2014 et 2015) ont tous été votés par le conseil communal au cours du mois d’octobre de l’année précédant l’exercice concerné, soit donc avant le début de l’exercice.</w:t>
            </w:r>
          </w:p>
        </w:tc>
      </w:tr>
      <w:tr w:rsidR="003A596A" w:rsidRPr="00A17E25" w:rsidTr="00BF5A38">
        <w:tc>
          <w:tcPr>
            <w:tcW w:w="3330" w:type="dxa"/>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(iv) Règles concernant l’apport de modifications au budget en cours d’exercice sans l’autorisation a priori du pouvoir législatif</w:t>
            </w:r>
          </w:p>
        </w:tc>
        <w:tc>
          <w:tcPr>
            <w:tcW w:w="900" w:type="dxa"/>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5035" w:type="dxa"/>
          </w:tcPr>
          <w:p w:rsidR="003A596A" w:rsidRPr="00A17E25" w:rsidRDefault="003A596A" w:rsidP="007547D5">
            <w:pPr>
              <w:jc w:val="both"/>
              <w:rPr>
                <w:rFonts w:ascii="Arial" w:hAnsi="Arial" w:cs="Arial"/>
                <w:sz w:val="20"/>
                <w:szCs w:val="20"/>
              </w:rPr>
            </w:pPr>
            <w:r w:rsidRPr="00A17E25">
              <w:rPr>
                <w:rFonts w:ascii="Arial" w:hAnsi="Arial" w:cs="Arial"/>
                <w:sz w:val="20"/>
                <w:szCs w:val="20"/>
              </w:rPr>
              <w:t>Les règles régissant les modifications que l’Exécutif de la CC peut apporter au budget sans l’autorisation préalable du conseil communal sont clairement définies par la loi 45-08. Les limites de ces modifications sont bien précisées et elles sont respectées.</w:t>
            </w:r>
          </w:p>
        </w:tc>
      </w:tr>
    </w:tbl>
    <w:p w:rsidR="003A596A" w:rsidRPr="00A17E25" w:rsidRDefault="003A596A" w:rsidP="003A596A">
      <w:pPr>
        <w:rPr>
          <w:rFonts w:ascii="Arial" w:hAnsi="Arial"/>
          <w:b/>
          <w:bCs/>
        </w:rPr>
      </w:pPr>
    </w:p>
    <w:p w:rsidR="003A596A" w:rsidRPr="00581667" w:rsidRDefault="003A596A" w:rsidP="00CC3ED7">
      <w:pPr>
        <w:pStyle w:val="Heading2"/>
        <w:rPr>
          <w:i w:val="0"/>
          <w:color w:val="0070C0"/>
        </w:rPr>
      </w:pPr>
      <w:bookmarkStart w:id="221" w:name="_Toc412839441"/>
      <w:bookmarkStart w:id="222" w:name="_Toc434916142"/>
      <w:bookmarkStart w:id="223" w:name="_Toc4349183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81667">
        <w:rPr>
          <w:i w:val="0"/>
          <w:color w:val="0070C0"/>
        </w:rPr>
        <w:t>3.5 Prévisibilité et contrôle de l’exécution budgétaire</w:t>
      </w:r>
      <w:bookmarkEnd w:id="221"/>
      <w:bookmarkEnd w:id="222"/>
      <w:bookmarkEnd w:id="223"/>
    </w:p>
    <w:p w:rsidR="003C7856" w:rsidRDefault="003C7856" w:rsidP="003A596A">
      <w:pPr>
        <w:ind w:right="-426"/>
        <w:jc w:val="both"/>
        <w:rPr>
          <w:rFonts w:ascii="Arial" w:hAnsi="Arial"/>
          <w:b/>
        </w:rPr>
      </w:pPr>
      <w:bookmarkStart w:id="224" w:name="_Toc432501839"/>
    </w:p>
    <w:p w:rsidR="003A596A" w:rsidRPr="003C1449" w:rsidRDefault="003A596A" w:rsidP="003A596A">
      <w:pPr>
        <w:ind w:right="-426"/>
        <w:jc w:val="both"/>
        <w:rPr>
          <w:rFonts w:ascii="Arial" w:hAnsi="Arial"/>
          <w:b/>
          <w:bCs/>
        </w:rPr>
      </w:pPr>
      <w:r w:rsidRPr="003C1449">
        <w:rPr>
          <w:rFonts w:ascii="Arial" w:hAnsi="Arial"/>
          <w:b/>
        </w:rPr>
        <w:t xml:space="preserve">PI-19 </w:t>
      </w:r>
      <w:r w:rsidRPr="003C1449">
        <w:rPr>
          <w:rFonts w:ascii="Arial" w:hAnsi="Arial"/>
          <w:b/>
          <w:bCs/>
        </w:rPr>
        <w:t>Conformité aux principes de l’administration des recettes</w:t>
      </w:r>
    </w:p>
    <w:p w:rsidR="003A596A" w:rsidRPr="00A17E25" w:rsidRDefault="003A596A" w:rsidP="003A596A">
      <w:pPr>
        <w:ind w:right="-426"/>
        <w:jc w:val="both"/>
        <w:rPr>
          <w:rFonts w:ascii="Arial" w:hAnsi="Arial" w:cs="Arial"/>
        </w:rPr>
      </w:pPr>
    </w:p>
    <w:p w:rsidR="003A596A" w:rsidRPr="00A17E25" w:rsidRDefault="003A596A" w:rsidP="003A596A">
      <w:pPr>
        <w:ind w:right="-426"/>
        <w:jc w:val="both"/>
        <w:rPr>
          <w:rFonts w:ascii="Arial" w:hAnsi="Arial" w:cs="Arial"/>
        </w:rPr>
      </w:pPr>
      <w:r w:rsidRPr="00A17E25">
        <w:rPr>
          <w:rFonts w:ascii="Arial" w:hAnsi="Arial" w:cs="Arial"/>
        </w:rPr>
        <w:t>La gestion de la fiscalité locale relève des attributions du Président du Conseil Communal conférées par la Charte Communale</w:t>
      </w:r>
      <w:r w:rsidRPr="00A17E25">
        <w:rPr>
          <w:rStyle w:val="FootnoteReference"/>
          <w:rFonts w:ascii="Arial" w:hAnsi="Arial" w:cs="Arial"/>
        </w:rPr>
        <w:footnoteReference w:id="40"/>
      </w:r>
      <w:r w:rsidRPr="00A17E25">
        <w:rPr>
          <w:rFonts w:ascii="Arial" w:hAnsi="Arial" w:cs="Arial"/>
        </w:rPr>
        <w:t xml:space="preserve">  qui précise que le Président du Conseil Communal « </w:t>
      </w:r>
      <w:r w:rsidRPr="00A17E25">
        <w:rPr>
          <w:rFonts w:ascii="Arial" w:hAnsi="Arial" w:cs="Arial"/>
          <w:i/>
          <w:iCs/>
        </w:rPr>
        <w:t xml:space="preserve">prend les arrêtés fixant les taux des taxes, les tarifs des redevances et droits divers, conformément à la législation et la réglementation en vigueur </w:t>
      </w:r>
      <w:r w:rsidRPr="00A17E25">
        <w:rPr>
          <w:rFonts w:ascii="Arial" w:hAnsi="Arial" w:cs="Arial"/>
        </w:rPr>
        <w:t>».</w:t>
      </w:r>
    </w:p>
    <w:p w:rsidR="003A596A" w:rsidRPr="00A17E25" w:rsidRDefault="003A596A" w:rsidP="003A596A">
      <w:pPr>
        <w:ind w:right="-426"/>
        <w:jc w:val="both"/>
        <w:rPr>
          <w:rFonts w:ascii="Arial" w:hAnsi="Arial" w:cs="Arial"/>
        </w:rPr>
      </w:pPr>
    </w:p>
    <w:p w:rsidR="003A596A" w:rsidRPr="00A17E25" w:rsidRDefault="003A596A" w:rsidP="003A596A">
      <w:pPr>
        <w:ind w:right="-426"/>
        <w:jc w:val="both"/>
        <w:rPr>
          <w:rFonts w:ascii="Arial" w:hAnsi="Arial" w:cs="Arial"/>
        </w:rPr>
      </w:pPr>
      <w:r w:rsidRPr="00A17E25">
        <w:rPr>
          <w:rFonts w:ascii="Arial" w:hAnsi="Arial" w:cs="Arial"/>
        </w:rPr>
        <w:t>Les différentes mesures introduites en la matière ont été couronnées par l’adoption en 2007 d’une nouvelle législation régissant la fiscalité des collectivités locales</w:t>
      </w:r>
      <w:r w:rsidRPr="00A17E25">
        <w:rPr>
          <w:rStyle w:val="FootnoteReference"/>
          <w:rFonts w:ascii="Arial" w:hAnsi="Arial" w:cs="Arial"/>
        </w:rPr>
        <w:footnoteReference w:id="41"/>
      </w:r>
      <w:r w:rsidRPr="00A17E25">
        <w:rPr>
          <w:rFonts w:ascii="Arial" w:hAnsi="Arial" w:cs="Arial"/>
        </w:rPr>
        <w:t xml:space="preserve">. </w:t>
      </w:r>
    </w:p>
    <w:p w:rsidR="003A596A" w:rsidRPr="00A17E25" w:rsidRDefault="003A596A" w:rsidP="003A596A">
      <w:pPr>
        <w:ind w:right="-426"/>
        <w:jc w:val="both"/>
        <w:rPr>
          <w:rFonts w:ascii="Arial" w:hAnsi="Arial" w:cs="Arial"/>
        </w:rPr>
      </w:pPr>
    </w:p>
    <w:p w:rsidR="003A596A" w:rsidRPr="00A17E25" w:rsidRDefault="003A596A" w:rsidP="003A596A">
      <w:pPr>
        <w:ind w:right="-426"/>
        <w:jc w:val="both"/>
        <w:rPr>
          <w:rFonts w:ascii="Arial" w:hAnsi="Arial" w:cs="Arial"/>
        </w:rPr>
      </w:pPr>
      <w:r w:rsidRPr="00A17E25">
        <w:rPr>
          <w:rFonts w:ascii="Arial" w:hAnsi="Arial" w:cs="Arial"/>
        </w:rPr>
        <w:t>La fiscalité locale compte 17 taxes réparties entre les communes (11 taxes), les préfectures et provinces (3 taxes) et les régions (3 taxes). Ainsi, et en vertu des dispositions de la loi précitée</w:t>
      </w:r>
      <w:r w:rsidRPr="00A17E25">
        <w:rPr>
          <w:rStyle w:val="FootnoteReference"/>
          <w:rFonts w:ascii="Arial" w:hAnsi="Arial" w:cs="Arial"/>
        </w:rPr>
        <w:footnoteReference w:id="42"/>
      </w:r>
      <w:r w:rsidRPr="00A17E25">
        <w:rPr>
          <w:rFonts w:ascii="Arial" w:hAnsi="Arial" w:cs="Arial"/>
        </w:rPr>
        <w:t>, sont instituées au profit des communes les taxes suivantes</w:t>
      </w:r>
      <w:r w:rsidRPr="00A17E25">
        <w:rPr>
          <w:rFonts w:ascii="Arial" w:hAnsi="Arial" w:cs="Arial"/>
          <w:rtl/>
        </w:rPr>
        <w:t> </w:t>
      </w:r>
      <w:r w:rsidRPr="00A17E25">
        <w:rPr>
          <w:rFonts w:ascii="Arial" w:hAnsi="Arial" w:cs="Arial"/>
        </w:rPr>
        <w:t>:</w:t>
      </w:r>
    </w:p>
    <w:p w:rsidR="003A596A" w:rsidRPr="00A17E25" w:rsidRDefault="003A596A" w:rsidP="003A596A">
      <w:pPr>
        <w:tabs>
          <w:tab w:val="left" w:pos="1260"/>
        </w:tabs>
        <w:ind w:right="-426" w:firstLine="1260"/>
        <w:rPr>
          <w:rFonts w:ascii="Arial" w:hAnsi="Arial" w:cs="Arial"/>
        </w:rPr>
      </w:pP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professionnelle ;</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d’habitation ;</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de services communaux</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les terrains urbains non bâtis</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les opérations de construction</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les opérations de lotissement</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les débits de boissons</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de séjour ;</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les eaux minérales et de table</w:t>
      </w:r>
      <w:r w:rsidRPr="00A17E25">
        <w:rPr>
          <w:rFonts w:ascii="Arial" w:hAnsi="Arial" w:cs="Arial"/>
          <w:rtl/>
          <w:lang w:eastAsia="fr-FR"/>
        </w:rPr>
        <w:t> </w:t>
      </w:r>
      <w:r w:rsidRPr="00A17E25">
        <w:rPr>
          <w:rFonts w:ascii="Arial" w:hAnsi="Arial" w:cs="Arial"/>
          <w:lang w:eastAsia="fr-FR"/>
        </w:rPr>
        <w:t>;</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  transport public de voyageurs ;</w:t>
      </w:r>
    </w:p>
    <w:p w:rsidR="003A596A" w:rsidRPr="00A17E25" w:rsidRDefault="003A596A" w:rsidP="00121B7D">
      <w:pPr>
        <w:numPr>
          <w:ilvl w:val="0"/>
          <w:numId w:val="97"/>
        </w:numPr>
        <w:autoSpaceDE w:val="0"/>
        <w:autoSpaceDN w:val="0"/>
        <w:adjustRightInd w:val="0"/>
        <w:ind w:right="-426"/>
        <w:jc w:val="both"/>
        <w:rPr>
          <w:rFonts w:ascii="Arial" w:hAnsi="Arial" w:cs="Arial"/>
          <w:lang w:eastAsia="fr-FR"/>
        </w:rPr>
      </w:pPr>
      <w:r w:rsidRPr="00A17E25">
        <w:rPr>
          <w:rFonts w:ascii="Arial" w:hAnsi="Arial" w:cs="Arial"/>
          <w:lang w:eastAsia="fr-FR"/>
        </w:rPr>
        <w:t>taxe sur l’extraction des produits de carrières.</w:t>
      </w:r>
    </w:p>
    <w:p w:rsidR="003A596A" w:rsidRPr="00A17E25" w:rsidRDefault="003A596A" w:rsidP="003A596A">
      <w:pPr>
        <w:ind w:right="-426"/>
        <w:jc w:val="both"/>
        <w:rPr>
          <w:rFonts w:ascii="Arial" w:hAnsi="Arial" w:cs="Arial"/>
        </w:rPr>
      </w:pPr>
    </w:p>
    <w:p w:rsidR="003A596A" w:rsidRPr="00A17E25" w:rsidRDefault="003A596A" w:rsidP="003A596A">
      <w:pPr>
        <w:autoSpaceDE w:val="0"/>
        <w:autoSpaceDN w:val="0"/>
        <w:adjustRightInd w:val="0"/>
        <w:ind w:right="-426"/>
        <w:rPr>
          <w:rFonts w:ascii="Arial" w:hAnsi="Arial" w:cs="Arial"/>
          <w:bCs/>
          <w:lang w:eastAsia="fr-FR"/>
        </w:rPr>
      </w:pPr>
      <w:r w:rsidRPr="00A17E25">
        <w:rPr>
          <w:rFonts w:ascii="Arial" w:hAnsi="Arial" w:cs="Arial"/>
          <w:bCs/>
          <w:lang w:eastAsia="fr-FR"/>
        </w:rPr>
        <w:t>Les taxes, droits et redevances (de l’ancienne loi 30</w:t>
      </w:r>
      <w:r w:rsidRPr="00A17E25">
        <w:rPr>
          <w:rFonts w:ascii="Cambria Math" w:hAnsi="Cambria Math" w:cs="Cambria Math"/>
          <w:bCs/>
          <w:lang w:eastAsia="fr-FR"/>
        </w:rPr>
        <w:t>‐</w:t>
      </w:r>
      <w:r w:rsidRPr="00A17E25">
        <w:rPr>
          <w:rFonts w:ascii="Arial" w:hAnsi="Arial" w:cs="Arial"/>
          <w:bCs/>
          <w:lang w:eastAsia="fr-FR"/>
        </w:rPr>
        <w:t>89) reconduits par la loi 39</w:t>
      </w:r>
      <w:r w:rsidRPr="00A17E25">
        <w:rPr>
          <w:rFonts w:ascii="Cambria Math" w:hAnsi="Cambria Math" w:cs="Cambria Math"/>
          <w:bCs/>
          <w:lang w:eastAsia="fr-FR"/>
        </w:rPr>
        <w:t>‐</w:t>
      </w:r>
      <w:r w:rsidRPr="00A17E25">
        <w:rPr>
          <w:rFonts w:ascii="Arial" w:hAnsi="Arial" w:cs="Arial"/>
          <w:bCs/>
          <w:lang w:eastAsia="fr-FR"/>
        </w:rPr>
        <w:t>07, au nombre de 13 et sont les suivants :</w:t>
      </w:r>
    </w:p>
    <w:p w:rsidR="003A596A" w:rsidRPr="00A17E25" w:rsidRDefault="003A596A" w:rsidP="003A596A">
      <w:pPr>
        <w:autoSpaceDE w:val="0"/>
        <w:autoSpaceDN w:val="0"/>
        <w:adjustRightInd w:val="0"/>
        <w:ind w:right="-426"/>
        <w:rPr>
          <w:rFonts w:ascii="Arial" w:hAnsi="Arial" w:cs="Arial"/>
          <w:bCs/>
          <w:lang w:eastAsia="fr-FR"/>
        </w:rPr>
      </w:pP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Taxe sur la dégradation des chaussées,</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Taxe sur la légalisation des signatures et de certifications des documents,</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Droits d’abattage,</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Surtaxe d’abattage au profit de la bienfaisance,</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Droits perçus sur les marchés et lieux de ventes publics,</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Droit de fourrière,</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Droit de stationnement sur les véhicules affectés à un transport public de voyageurs,</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Droits de l’état civil,</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La contribution des riverains aux dépenses d’équipement et d’aménagement,</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Redevance sur les ventes dans les marchés de gros et halles aux poissons,</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Redevance d’occupation temporaire du domaine public communal pour usage lié à la construction</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Redevance d’occupation temporaire du domaine public communal pour un usage commercial, industriel ou professionnel,</w:t>
      </w:r>
    </w:p>
    <w:p w:rsidR="003A596A" w:rsidRPr="00A17E25" w:rsidRDefault="003A596A" w:rsidP="00121B7D">
      <w:pPr>
        <w:numPr>
          <w:ilvl w:val="0"/>
          <w:numId w:val="98"/>
        </w:numPr>
        <w:autoSpaceDE w:val="0"/>
        <w:autoSpaceDN w:val="0"/>
        <w:adjustRightInd w:val="0"/>
        <w:ind w:right="-426"/>
        <w:jc w:val="both"/>
        <w:rPr>
          <w:rFonts w:ascii="Arial" w:hAnsi="Arial" w:cs="Arial"/>
          <w:lang w:eastAsia="fr-FR"/>
        </w:rPr>
      </w:pPr>
      <w:r w:rsidRPr="00A17E25">
        <w:rPr>
          <w:rFonts w:ascii="Arial" w:hAnsi="Arial" w:cs="Arial"/>
          <w:lang w:eastAsia="fr-FR"/>
        </w:rPr>
        <w:t>Redevance d’occupation temporaire du domaine public communal par des biens meubles et immeubles liés à l’exercice d’un commerce, d’une industrie ou d’une profession.</w:t>
      </w:r>
    </w:p>
    <w:p w:rsidR="003A596A" w:rsidRPr="00A17E25" w:rsidRDefault="003A596A" w:rsidP="003A596A">
      <w:pPr>
        <w:ind w:right="-426"/>
        <w:jc w:val="both"/>
        <w:rPr>
          <w:rFonts w:ascii="Arial" w:hAnsi="Arial" w:cs="Arial"/>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 xml:space="preserve">Les instances communales disposent, pour certaines taxes, d‘une liberté relative pour la fixation du tarif dans le cadre d’une fourchette établie par la loi. </w:t>
      </w:r>
    </w:p>
    <w:p w:rsidR="003A596A" w:rsidRPr="00A17E25" w:rsidRDefault="003A596A" w:rsidP="003A596A">
      <w:pPr>
        <w:ind w:right="-426"/>
        <w:jc w:val="both"/>
        <w:rPr>
          <w:rFonts w:ascii="Arial" w:hAnsi="Arial" w:cs="Arial"/>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Au regard du recouvrement, 3 taxes continuent d’être gérées et recouvrées par la Direction Générale des Impôts pour le compte des communes. Il s’agit de la taxe professionnelle, de la taxe d’habitation et de la taxe de services communaux. La taxe sur les services communaux et la taxe professionnelle représentent les principales taxes locales en termes de recettes fiscales.</w:t>
      </w:r>
    </w:p>
    <w:p w:rsidR="003A596A" w:rsidRPr="00A17E25" w:rsidRDefault="003A596A" w:rsidP="003A596A">
      <w:pPr>
        <w:ind w:right="-426"/>
        <w:rPr>
          <w:rFonts w:ascii="Arial" w:hAnsi="Arial" w:cs="Arial"/>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Les redevables qui contestent tout ou p</w:t>
      </w:r>
      <w:r w:rsidR="00121B7D">
        <w:rPr>
          <w:rFonts w:ascii="Arial" w:hAnsi="Arial" w:cs="Arial"/>
          <w:lang w:eastAsia="fr-FR"/>
        </w:rPr>
        <w:t>artie du montant des taxes mis</w:t>
      </w:r>
      <w:r w:rsidRPr="00A17E25">
        <w:rPr>
          <w:rFonts w:ascii="Arial" w:hAnsi="Arial" w:cs="Arial"/>
          <w:lang w:eastAsia="fr-FR"/>
        </w:rPr>
        <w:t xml:space="preserve"> à leur charge doivent adresser leurs réclamations à l’ordonnateur dans un délai de six mois.</w:t>
      </w:r>
    </w:p>
    <w:p w:rsidR="003A596A" w:rsidRPr="00A17E25" w:rsidRDefault="003A596A" w:rsidP="003A596A">
      <w:pPr>
        <w:ind w:right="-426"/>
        <w:jc w:val="both"/>
        <w:rPr>
          <w:rFonts w:ascii="Arial" w:hAnsi="Arial" w:cs="Arial"/>
          <w:lang w:eastAsia="fr-FR"/>
        </w:rPr>
      </w:pPr>
    </w:p>
    <w:p w:rsidR="003A596A" w:rsidRPr="00A17E25" w:rsidRDefault="003A596A" w:rsidP="00121B7D">
      <w:pPr>
        <w:ind w:right="-426"/>
        <w:jc w:val="both"/>
        <w:rPr>
          <w:rFonts w:ascii="Arial" w:hAnsi="Arial" w:cs="Arial"/>
          <w:lang w:eastAsia="fr-FR"/>
        </w:rPr>
      </w:pPr>
      <w:r w:rsidRPr="00A17E25">
        <w:rPr>
          <w:rFonts w:ascii="Arial" w:hAnsi="Arial" w:cs="Arial"/>
          <w:lang w:eastAsia="fr-FR"/>
        </w:rPr>
        <w:t>Si le redevable n’accepte pas la décision rendue par l’Administration ou à défaut de réponse de celle-ci dans le délai de six (6) mois suivant la date de la réclamation, il peut introduire une demande devant le tribunal.</w:t>
      </w:r>
      <w:r w:rsidR="00121B7D">
        <w:rPr>
          <w:rFonts w:ascii="Arial" w:hAnsi="Arial" w:cs="Arial"/>
          <w:lang w:eastAsia="fr-FR"/>
        </w:rPr>
        <w:t xml:space="preserve"> </w:t>
      </w:r>
      <w:r w:rsidRPr="00A17E25">
        <w:rPr>
          <w:rFonts w:ascii="Arial" w:hAnsi="Arial" w:cs="Arial"/>
          <w:lang w:eastAsia="fr-FR"/>
        </w:rPr>
        <w:t>Toutefois, cette réclamation ne fait pas obstacle au recouvrement immédiat des sommes exigibles et, s’il y a lieu, à l’engagement de la procédure de recouvrement forcé.</w:t>
      </w:r>
    </w:p>
    <w:p w:rsidR="003A596A" w:rsidRPr="00A17E25" w:rsidRDefault="003A596A" w:rsidP="003A596A">
      <w:pPr>
        <w:autoSpaceDE w:val="0"/>
        <w:autoSpaceDN w:val="0"/>
        <w:adjustRightInd w:val="0"/>
        <w:ind w:right="-426"/>
        <w:jc w:val="both"/>
        <w:rPr>
          <w:rFonts w:ascii="Arial" w:hAnsi="Arial" w:cs="Arial"/>
          <w:lang w:eastAsia="fr-FR"/>
        </w:rPr>
      </w:pPr>
    </w:p>
    <w:p w:rsidR="003A596A" w:rsidRPr="00A17E25" w:rsidRDefault="003A596A" w:rsidP="003A596A">
      <w:pPr>
        <w:autoSpaceDE w:val="0"/>
        <w:autoSpaceDN w:val="0"/>
        <w:adjustRightInd w:val="0"/>
        <w:ind w:right="-426"/>
        <w:jc w:val="both"/>
        <w:rPr>
          <w:rFonts w:ascii="Arial" w:hAnsi="Arial" w:cs="Arial"/>
          <w:lang w:eastAsia="fr-FR"/>
        </w:rPr>
      </w:pPr>
      <w:r w:rsidRPr="00A17E25">
        <w:rPr>
          <w:rFonts w:ascii="Arial" w:hAnsi="Arial" w:cs="Arial"/>
          <w:lang w:eastAsia="fr-FR"/>
        </w:rPr>
        <w:t>En cas de taxation suite à un contrôle fiscal, il est possible de recourir à une commission locale de taxation (présidé</w:t>
      </w:r>
      <w:r w:rsidR="00121B7D">
        <w:rPr>
          <w:rFonts w:ascii="Arial" w:hAnsi="Arial" w:cs="Arial"/>
          <w:lang w:eastAsia="fr-FR"/>
        </w:rPr>
        <w:t>e</w:t>
      </w:r>
      <w:r w:rsidRPr="00A17E25">
        <w:rPr>
          <w:rFonts w:ascii="Arial" w:hAnsi="Arial" w:cs="Arial"/>
          <w:lang w:eastAsia="fr-FR"/>
        </w:rPr>
        <w:t xml:space="preserve"> par un magistrat et comprenant des représentants des contribuables) pour statuer sur le dossier. Les décisions de cette commission locale de taxation peuvent faire </w:t>
      </w:r>
      <w:r w:rsidR="00121B7D">
        <w:rPr>
          <w:rFonts w:ascii="Arial" w:hAnsi="Arial" w:cs="Arial"/>
          <w:lang w:eastAsia="fr-FR"/>
        </w:rPr>
        <w:t xml:space="preserve">l’objet </w:t>
      </w:r>
      <w:r w:rsidRPr="00A17E25">
        <w:rPr>
          <w:rFonts w:ascii="Arial" w:hAnsi="Arial" w:cs="Arial"/>
          <w:lang w:eastAsia="fr-FR"/>
        </w:rPr>
        <w:t>de recours devant le tribunal administratif.</w:t>
      </w:r>
    </w:p>
    <w:p w:rsidR="003A596A" w:rsidRPr="00A17E25" w:rsidRDefault="003A596A" w:rsidP="003A596A">
      <w:pPr>
        <w:autoSpaceDE w:val="0"/>
        <w:autoSpaceDN w:val="0"/>
        <w:adjustRightInd w:val="0"/>
        <w:ind w:right="-426"/>
        <w:jc w:val="both"/>
        <w:rPr>
          <w:rFonts w:ascii="Arial" w:hAnsi="Arial" w:cs="Arial"/>
          <w:lang w:eastAsia="fr-FR"/>
        </w:rPr>
      </w:pPr>
    </w:p>
    <w:p w:rsidR="003A596A" w:rsidRPr="00A17E25" w:rsidRDefault="003A596A" w:rsidP="003A596A">
      <w:pPr>
        <w:autoSpaceDE w:val="0"/>
        <w:autoSpaceDN w:val="0"/>
        <w:adjustRightInd w:val="0"/>
        <w:ind w:right="-426"/>
        <w:jc w:val="both"/>
        <w:rPr>
          <w:rFonts w:ascii="Arial" w:hAnsi="Arial" w:cs="Arial"/>
          <w:lang w:eastAsia="fr-FR"/>
        </w:rPr>
      </w:pPr>
      <w:r w:rsidRPr="00A17E25">
        <w:rPr>
          <w:rFonts w:ascii="Arial" w:hAnsi="Arial" w:cs="Arial"/>
          <w:lang w:eastAsia="fr-FR"/>
        </w:rPr>
        <w:t>La fiscalité locale au sein de la commune  de Casablanca se caractérise par les limites ci-dessous :</w:t>
      </w:r>
    </w:p>
    <w:p w:rsidR="003A596A" w:rsidRPr="00A17E25" w:rsidRDefault="003A596A" w:rsidP="003A596A">
      <w:pPr>
        <w:autoSpaceDE w:val="0"/>
        <w:autoSpaceDN w:val="0"/>
        <w:adjustRightInd w:val="0"/>
        <w:ind w:right="-426"/>
        <w:jc w:val="both"/>
        <w:rPr>
          <w:rFonts w:ascii="Arial" w:hAnsi="Arial" w:cs="Arial"/>
          <w:lang w:eastAsia="fr-FR"/>
        </w:rPr>
      </w:pPr>
    </w:p>
    <w:p w:rsidR="003A596A" w:rsidRPr="00A17E25" w:rsidRDefault="002E0F27" w:rsidP="00151AD3">
      <w:pPr>
        <w:numPr>
          <w:ilvl w:val="0"/>
          <w:numId w:val="4"/>
        </w:numPr>
        <w:autoSpaceDE w:val="0"/>
        <w:autoSpaceDN w:val="0"/>
        <w:adjustRightInd w:val="0"/>
        <w:ind w:right="-426"/>
        <w:jc w:val="both"/>
        <w:rPr>
          <w:rFonts w:ascii="Arial" w:hAnsi="Arial" w:cs="Arial"/>
          <w:lang w:eastAsia="fr-FR"/>
        </w:rPr>
      </w:pPr>
      <w:r>
        <w:rPr>
          <w:rFonts w:ascii="Arial" w:hAnsi="Arial" w:cs="Arial"/>
          <w:b/>
          <w:bCs/>
          <w:i/>
          <w:iCs/>
          <w:lang w:eastAsia="fr-FR"/>
        </w:rPr>
        <w:t>Un potentiel fiscal non totalement exploité</w:t>
      </w:r>
      <w:r w:rsidR="003A596A" w:rsidRPr="00A17E25">
        <w:rPr>
          <w:rFonts w:ascii="Arial" w:hAnsi="Arial" w:cs="Arial"/>
          <w:lang w:eastAsia="fr-FR"/>
        </w:rPr>
        <w:t xml:space="preserve"> : Cette </w:t>
      </w:r>
      <w:r>
        <w:rPr>
          <w:rFonts w:ascii="Arial" w:hAnsi="Arial" w:cs="Arial"/>
          <w:lang w:eastAsia="fr-FR"/>
        </w:rPr>
        <w:t>situation</w:t>
      </w:r>
      <w:r w:rsidR="00121B7D">
        <w:rPr>
          <w:rFonts w:ascii="Arial" w:hAnsi="Arial" w:cs="Arial"/>
          <w:lang w:eastAsia="fr-FR"/>
        </w:rPr>
        <w:t xml:space="preserve"> découle </w:t>
      </w:r>
      <w:r w:rsidR="003A596A" w:rsidRPr="00A17E25">
        <w:rPr>
          <w:rFonts w:ascii="Arial" w:hAnsi="Arial" w:cs="Arial"/>
          <w:lang w:eastAsia="fr-FR"/>
        </w:rPr>
        <w:t>de l</w:t>
      </w:r>
      <w:r>
        <w:rPr>
          <w:rFonts w:ascii="Arial" w:hAnsi="Arial" w:cs="Arial"/>
          <w:lang w:eastAsia="fr-FR"/>
        </w:rPr>
        <w:t>’insuffisance dans le</w:t>
      </w:r>
      <w:r w:rsidR="003A596A" w:rsidRPr="00A17E25">
        <w:rPr>
          <w:rFonts w:ascii="Arial" w:hAnsi="Arial" w:cs="Arial"/>
          <w:lang w:eastAsia="fr-FR"/>
        </w:rPr>
        <w:t xml:space="preserve"> recensement fiable et exhaustif des contribuables, de l’insuffisance au niveau de l’actualisation régulière des bases imposables à travers des recoupements, de</w:t>
      </w:r>
      <w:r>
        <w:rPr>
          <w:rFonts w:ascii="Arial" w:hAnsi="Arial" w:cs="Arial"/>
          <w:lang w:eastAsia="fr-FR"/>
        </w:rPr>
        <w:t>s</w:t>
      </w:r>
      <w:r w:rsidR="003A596A" w:rsidRPr="00A17E25">
        <w:rPr>
          <w:rFonts w:ascii="Arial" w:hAnsi="Arial" w:cs="Arial"/>
          <w:lang w:eastAsia="fr-FR"/>
        </w:rPr>
        <w:t xml:space="preserve"> </w:t>
      </w:r>
      <w:r>
        <w:rPr>
          <w:rFonts w:ascii="Arial" w:hAnsi="Arial" w:cs="Arial"/>
          <w:lang w:eastAsia="fr-FR"/>
        </w:rPr>
        <w:t>carences</w:t>
      </w:r>
      <w:r w:rsidR="003A596A" w:rsidRPr="00A17E25">
        <w:rPr>
          <w:rFonts w:ascii="Arial" w:hAnsi="Arial" w:cs="Arial"/>
          <w:lang w:eastAsia="fr-FR"/>
        </w:rPr>
        <w:t xml:space="preserve"> d’un contrôle efficace de la base imposable déclarée et enfin d’un système d’information </w:t>
      </w:r>
      <w:r>
        <w:rPr>
          <w:rFonts w:ascii="Arial" w:hAnsi="Arial" w:cs="Arial"/>
          <w:lang w:eastAsia="fr-FR"/>
        </w:rPr>
        <w:t>inexistant</w:t>
      </w:r>
      <w:r w:rsidR="003A596A" w:rsidRPr="00A17E25">
        <w:rPr>
          <w:rFonts w:ascii="Arial" w:hAnsi="Arial" w:cs="Arial"/>
          <w:lang w:eastAsia="fr-FR"/>
        </w:rPr>
        <w:t>.</w:t>
      </w:r>
    </w:p>
    <w:p w:rsidR="003A596A" w:rsidRPr="00A17E25" w:rsidRDefault="003A596A" w:rsidP="003A596A">
      <w:pPr>
        <w:pStyle w:val="Header"/>
        <w:ind w:right="-426"/>
        <w:jc w:val="both"/>
        <w:rPr>
          <w:rFonts w:ascii="Arial" w:hAnsi="Arial" w:cs="Arial"/>
          <w:color w:val="000000"/>
          <w:lang w:eastAsia="fr-FR"/>
        </w:rPr>
      </w:pPr>
    </w:p>
    <w:p w:rsidR="003A596A" w:rsidRPr="00A17E25" w:rsidRDefault="003A596A" w:rsidP="00151AD3">
      <w:pPr>
        <w:numPr>
          <w:ilvl w:val="0"/>
          <w:numId w:val="4"/>
        </w:numPr>
        <w:autoSpaceDE w:val="0"/>
        <w:autoSpaceDN w:val="0"/>
        <w:adjustRightInd w:val="0"/>
        <w:ind w:right="-426"/>
        <w:jc w:val="both"/>
        <w:rPr>
          <w:rFonts w:ascii="Arial" w:hAnsi="Arial" w:cs="Arial"/>
          <w:b/>
          <w:bCs/>
          <w:i/>
          <w:iCs/>
          <w:lang w:eastAsia="fr-FR"/>
        </w:rPr>
      </w:pPr>
      <w:r w:rsidRPr="00A17E25">
        <w:rPr>
          <w:rFonts w:ascii="Arial" w:hAnsi="Arial" w:cs="Arial"/>
          <w:b/>
          <w:bCs/>
          <w:i/>
          <w:iCs/>
          <w:lang w:eastAsia="fr-FR"/>
        </w:rPr>
        <w:t xml:space="preserve">Des restes à recouvrer à apurer : </w:t>
      </w:r>
      <w:r w:rsidRPr="00A17E25">
        <w:rPr>
          <w:rFonts w:ascii="Arial" w:hAnsi="Arial" w:cs="Arial"/>
          <w:color w:val="000000"/>
          <w:lang w:eastAsia="fr-FR"/>
        </w:rPr>
        <w:t>Un taux de recouvrement des taxes locales qui souffre de la situation des restes à recouvrer non apurés depuis plusieurs années</w:t>
      </w:r>
      <w:r w:rsidRPr="00A17E25">
        <w:rPr>
          <w:rFonts w:ascii="Arial" w:hAnsi="Arial" w:cs="Arial"/>
          <w:b/>
          <w:bCs/>
          <w:color w:val="000000"/>
          <w:lang w:eastAsia="fr-FR"/>
        </w:rPr>
        <w:t>.</w:t>
      </w:r>
    </w:p>
    <w:p w:rsidR="003A596A" w:rsidRPr="00A17E25" w:rsidRDefault="003A596A" w:rsidP="003A596A">
      <w:pPr>
        <w:autoSpaceDE w:val="0"/>
        <w:autoSpaceDN w:val="0"/>
        <w:adjustRightInd w:val="0"/>
        <w:ind w:right="-426"/>
        <w:jc w:val="both"/>
        <w:rPr>
          <w:rFonts w:ascii="Arial" w:hAnsi="Arial" w:cs="Arial"/>
          <w:b/>
          <w:bCs/>
          <w:color w:val="000000"/>
          <w:lang w:eastAsia="fr-FR"/>
        </w:rPr>
      </w:pPr>
    </w:p>
    <w:p w:rsidR="00591B4F" w:rsidRPr="00A17E25" w:rsidRDefault="00591B4F" w:rsidP="00591B4F">
      <w:pPr>
        <w:autoSpaceDE w:val="0"/>
        <w:autoSpaceDN w:val="0"/>
        <w:adjustRightInd w:val="0"/>
        <w:ind w:right="-426"/>
        <w:jc w:val="both"/>
        <w:rPr>
          <w:rFonts w:ascii="Arial" w:hAnsi="Arial" w:cs="Arial"/>
          <w:bCs/>
          <w:iCs/>
          <w:lang w:eastAsia="fr-FR"/>
        </w:rPr>
      </w:pPr>
      <w:r>
        <w:rPr>
          <w:rFonts w:ascii="Arial" w:hAnsi="Arial" w:cs="Arial"/>
          <w:bCs/>
          <w:iCs/>
          <w:lang w:eastAsia="fr-FR"/>
        </w:rPr>
        <w:t>Pour l’évaluation de cet indicateur, les données et informations utilisées sont, pour les composantes (i) et (ii) celles qui sont disponibles au moment de l’évaluation, pour la composante (iii) celles des trois derniers exercices budgétaires clôturés (2012, 2013 et 2014) et, pour la composante (iv) celles du dernier exercice clôturé (2014).</w:t>
      </w:r>
    </w:p>
    <w:p w:rsidR="003A596A" w:rsidRPr="00A17E25" w:rsidRDefault="003A596A" w:rsidP="003A596A">
      <w:pPr>
        <w:ind w:right="-426"/>
        <w:jc w:val="both"/>
        <w:rPr>
          <w:rFonts w:ascii="Arial" w:hAnsi="Arial" w:cs="Arial"/>
          <w:b/>
          <w:iCs/>
        </w:rPr>
      </w:pPr>
    </w:p>
    <w:p w:rsidR="003A596A" w:rsidRPr="003A29CD" w:rsidRDefault="003A596A" w:rsidP="003A596A">
      <w:pPr>
        <w:pStyle w:val="Comp"/>
        <w:numPr>
          <w:ilvl w:val="0"/>
          <w:numId w:val="81"/>
        </w:numPr>
        <w:ind w:right="-426"/>
        <w:rPr>
          <w:rFonts w:ascii="Arial" w:hAnsi="Arial" w:cs="Arial"/>
          <w:color w:val="0070C0"/>
          <w:sz w:val="24"/>
          <w:szCs w:val="24"/>
        </w:rPr>
      </w:pPr>
      <w:bookmarkStart w:id="225" w:name="_Toc432501835"/>
      <w:bookmarkStart w:id="226" w:name="_Toc434916143"/>
      <w:bookmarkStart w:id="227" w:name="_Toc434918357"/>
      <w:r w:rsidRPr="003A29CD">
        <w:rPr>
          <w:rStyle w:val="Heading4Char"/>
          <w:rFonts w:ascii="Arial" w:eastAsiaTheme="minorHAnsi" w:hAnsi="Arial" w:cs="Arial"/>
          <w:color w:val="0070C0"/>
          <w:sz w:val="24"/>
          <w:szCs w:val="24"/>
        </w:rPr>
        <w:t>Informations communiquées aux particuliers et aux entreprises sur leurs obligations et sur leurs droits concernant les paiements qu’ils doivent effectuer à la CC.</w:t>
      </w:r>
      <w:bookmarkEnd w:id="225"/>
      <w:bookmarkEnd w:id="226"/>
      <w:bookmarkEnd w:id="227"/>
    </w:p>
    <w:p w:rsidR="003A596A" w:rsidRPr="00A17E25" w:rsidRDefault="003A596A" w:rsidP="003A596A">
      <w:pPr>
        <w:pStyle w:val="FootnoteText"/>
        <w:ind w:right="-426"/>
        <w:jc w:val="both"/>
        <w:rPr>
          <w:rFonts w:ascii="Arial" w:hAnsi="Arial" w:cs="Arial"/>
          <w:sz w:val="24"/>
          <w:szCs w:val="24"/>
        </w:rPr>
      </w:pPr>
      <w:r w:rsidRPr="00A17E25">
        <w:rPr>
          <w:rFonts w:ascii="Arial" w:hAnsi="Arial" w:cs="Arial"/>
          <w:sz w:val="24"/>
          <w:szCs w:val="24"/>
        </w:rPr>
        <w:t>La fiscalité locale de la CC est issue des deux lois 47-06 et 39-07 pour lesquelles il existe une circulaire préparé</w:t>
      </w:r>
      <w:r w:rsidR="00591B4F">
        <w:rPr>
          <w:rFonts w:ascii="Arial" w:hAnsi="Arial" w:cs="Arial"/>
          <w:sz w:val="24"/>
          <w:szCs w:val="24"/>
        </w:rPr>
        <w:t>e</w:t>
      </w:r>
      <w:r w:rsidRPr="00A17E25">
        <w:rPr>
          <w:rFonts w:ascii="Arial" w:hAnsi="Arial" w:cs="Arial"/>
          <w:sz w:val="24"/>
          <w:szCs w:val="24"/>
        </w:rPr>
        <w:t xml:space="preserve"> par la Direction Générale des Impôts et un Guide d’application publié par la DGCL. En plus, les taux et les bases d’imposition sont réglementés laissant peu de pouvoir discrétionnaire à la CC. La législation et les procédures relatives à la plupart des catégories d’impôts, taxes, droits et redevances sont exhaustives et claires</w:t>
      </w:r>
    </w:p>
    <w:p w:rsidR="003A596A" w:rsidRPr="00A17E25" w:rsidRDefault="003A596A" w:rsidP="003A596A">
      <w:pPr>
        <w:pStyle w:val="FootnoteText"/>
        <w:ind w:left="330" w:right="-426"/>
        <w:jc w:val="both"/>
        <w:rPr>
          <w:rFonts w:ascii="Arial" w:hAnsi="Arial" w:cs="Arial"/>
          <w:sz w:val="24"/>
          <w:szCs w:val="24"/>
        </w:rPr>
      </w:pPr>
    </w:p>
    <w:p w:rsidR="003A596A" w:rsidRDefault="003A596A" w:rsidP="003A596A">
      <w:pPr>
        <w:pStyle w:val="FootnoteText"/>
        <w:ind w:right="-426"/>
        <w:jc w:val="both"/>
        <w:rPr>
          <w:rFonts w:ascii="Arial" w:hAnsi="Arial" w:cs="Arial"/>
          <w:sz w:val="24"/>
          <w:szCs w:val="24"/>
        </w:rPr>
      </w:pPr>
      <w:r w:rsidRPr="00A17E25">
        <w:rPr>
          <w:rFonts w:ascii="Arial" w:hAnsi="Arial" w:cs="Arial"/>
          <w:sz w:val="24"/>
          <w:szCs w:val="24"/>
        </w:rPr>
        <w:t xml:space="preserve">La mission note les efforts de la CC qui organise périodiquement des campagnes de sensibilisation et note que la CC met en œuvre une stratégie de communication et de diffusion des obligations fiscales aux contribuables utilisant des moyens comme les brochures, l’affichage.. Par ailleurs, </w:t>
      </w:r>
      <w:r w:rsidR="00A56BE7">
        <w:rPr>
          <w:rFonts w:ascii="Arial" w:hAnsi="Arial" w:cs="Arial"/>
          <w:sz w:val="24"/>
          <w:szCs w:val="24"/>
        </w:rPr>
        <w:t>il est prévu dans l’</w:t>
      </w:r>
      <w:r w:rsidR="00A56BE7" w:rsidRPr="00A17E25">
        <w:rPr>
          <w:rFonts w:ascii="Arial" w:hAnsi="Arial" w:cs="Arial"/>
          <w:sz w:val="24"/>
          <w:szCs w:val="24"/>
        </w:rPr>
        <w:t>organigramme</w:t>
      </w:r>
      <w:r w:rsidRPr="00A17E25">
        <w:rPr>
          <w:rFonts w:ascii="Arial" w:hAnsi="Arial" w:cs="Arial"/>
          <w:sz w:val="24"/>
          <w:szCs w:val="24"/>
        </w:rPr>
        <w:t xml:space="preserve"> de l’Administration </w:t>
      </w:r>
      <w:r w:rsidR="00A56BE7">
        <w:rPr>
          <w:rFonts w:ascii="Arial" w:hAnsi="Arial" w:cs="Arial"/>
          <w:sz w:val="24"/>
          <w:szCs w:val="24"/>
        </w:rPr>
        <w:t>Fiscale</w:t>
      </w:r>
      <w:r w:rsidRPr="00A17E25">
        <w:rPr>
          <w:rFonts w:ascii="Arial" w:hAnsi="Arial" w:cs="Arial"/>
          <w:sz w:val="24"/>
          <w:szCs w:val="24"/>
        </w:rPr>
        <w:t xml:space="preserve"> Communale (AFC) un service d’accueil et de renseignent des contribuables</w:t>
      </w:r>
      <w:r w:rsidR="00A56BE7">
        <w:rPr>
          <w:rFonts w:ascii="Arial" w:hAnsi="Arial" w:cs="Arial"/>
          <w:sz w:val="24"/>
          <w:szCs w:val="24"/>
        </w:rPr>
        <w:t>,</w:t>
      </w:r>
      <w:r w:rsidRPr="00A17E25">
        <w:rPr>
          <w:rFonts w:ascii="Arial" w:hAnsi="Arial" w:cs="Arial"/>
          <w:sz w:val="24"/>
          <w:szCs w:val="24"/>
        </w:rPr>
        <w:t xml:space="preserve"> mais ce dernier n’est pas encore opérationnel. </w:t>
      </w:r>
    </w:p>
    <w:p w:rsidR="00C24A07" w:rsidRPr="00A17E25" w:rsidRDefault="00C24A07" w:rsidP="003A596A">
      <w:pPr>
        <w:pStyle w:val="FootnoteText"/>
        <w:ind w:right="-426"/>
        <w:jc w:val="both"/>
        <w:rPr>
          <w:rFonts w:ascii="Arial" w:hAnsi="Arial" w:cs="Arial"/>
          <w:sz w:val="24"/>
          <w:szCs w:val="24"/>
        </w:rPr>
      </w:pPr>
    </w:p>
    <w:p w:rsidR="003A596A" w:rsidRPr="00A17E25" w:rsidRDefault="00157AE6" w:rsidP="003A596A">
      <w:pPr>
        <w:ind w:right="-426"/>
        <w:jc w:val="both"/>
        <w:rPr>
          <w:rFonts w:ascii="Arial" w:hAnsi="Arial" w:cs="Arial"/>
          <w:i/>
          <w:iCs/>
          <w:color w:val="0070C0"/>
        </w:rPr>
      </w:pPr>
      <w:r>
        <w:rPr>
          <w:rFonts w:ascii="Arial" w:hAnsi="Arial" w:cs="Arial"/>
        </w:rPr>
        <w:t xml:space="preserve">Récemment la CC  a lancé un site internet et donc a procédé </w:t>
      </w:r>
      <w:r w:rsidRPr="00A17E25">
        <w:rPr>
          <w:rFonts w:ascii="Arial" w:hAnsi="Arial" w:cs="Arial"/>
        </w:rPr>
        <w:t>au p</w:t>
      </w:r>
      <w:r>
        <w:rPr>
          <w:rFonts w:ascii="Arial" w:hAnsi="Arial" w:cs="Arial"/>
        </w:rPr>
        <w:t>ostage dans le web d’informations</w:t>
      </w:r>
      <w:r w:rsidRPr="00A17E25">
        <w:rPr>
          <w:rFonts w:ascii="Arial" w:hAnsi="Arial" w:cs="Arial"/>
        </w:rPr>
        <w:t xml:space="preserve"> pour mieux expliquer et vulgariser les modalités d’application des taxes</w:t>
      </w:r>
    </w:p>
    <w:p w:rsidR="003A596A" w:rsidRPr="00A17E25" w:rsidRDefault="003A596A" w:rsidP="003A596A">
      <w:pPr>
        <w:ind w:right="-426"/>
        <w:jc w:val="both"/>
        <w:rPr>
          <w:rFonts w:ascii="Arial" w:hAnsi="Arial" w:cs="Arial"/>
        </w:rPr>
      </w:pPr>
      <w:r w:rsidRPr="00A17E25">
        <w:rPr>
          <w:rFonts w:ascii="Arial" w:hAnsi="Arial" w:cs="Arial"/>
        </w:rPr>
        <w:t xml:space="preserve">En ce qui concerne l’existence et </w:t>
      </w:r>
      <w:r w:rsidR="00A56BE7">
        <w:rPr>
          <w:rFonts w:ascii="Arial" w:hAnsi="Arial" w:cs="Arial"/>
        </w:rPr>
        <w:t xml:space="preserve">le </w:t>
      </w:r>
      <w:r w:rsidRPr="00A17E25">
        <w:rPr>
          <w:rFonts w:ascii="Arial" w:hAnsi="Arial" w:cs="Arial"/>
        </w:rPr>
        <w:t>fonctionnement d’un mécanisme de recours à l’encontre des décisions de l’administration fiscale. Il y a lieu de noter que le mécanisme de recours en cas de réclamation auprès de l’ordonnateur n’est pas équilibré compte tenu qu’il ne peut être introduit que dans une période de 6 mois à partir de la date de la taxation. En cas de non résolution du litige, le contribuable ne dispose que du recours directement au tribunal dans un délai de 30 jours. En plus l’introduction de l’action devant le tribunal n’arrête pas le recouvrement forcé des droits émis.</w:t>
      </w:r>
    </w:p>
    <w:p w:rsidR="003A596A" w:rsidRPr="00A17E25" w:rsidRDefault="003A596A" w:rsidP="003A596A">
      <w:pPr>
        <w:pStyle w:val="FootnoteText"/>
        <w:ind w:right="-426"/>
        <w:jc w:val="both"/>
        <w:rPr>
          <w:rFonts w:ascii="Arial" w:hAnsi="Arial" w:cs="Arial"/>
          <w:sz w:val="24"/>
          <w:szCs w:val="24"/>
        </w:rPr>
      </w:pPr>
    </w:p>
    <w:p w:rsidR="003A596A" w:rsidRPr="00A17E25" w:rsidRDefault="003A596A" w:rsidP="003A596A">
      <w:pPr>
        <w:pStyle w:val="FootnoteText"/>
        <w:ind w:right="-426"/>
        <w:jc w:val="both"/>
        <w:rPr>
          <w:rFonts w:ascii="Arial" w:hAnsi="Arial" w:cs="Arial"/>
          <w:sz w:val="24"/>
          <w:szCs w:val="24"/>
        </w:rPr>
      </w:pPr>
      <w:r w:rsidRPr="00A17E25">
        <w:rPr>
          <w:rFonts w:ascii="Arial" w:hAnsi="Arial" w:cs="Arial"/>
          <w:sz w:val="24"/>
          <w:szCs w:val="24"/>
        </w:rPr>
        <w:t>Ainsi la possibilité de recours devant une commission plus indépendante comme la Commission Locale de Taxation (présidé par un magistrat et comprenant des représentants des contribuables) n’est pas toujours possible puisque cette Commission n’est compétente que pour les notifications issues uniquement d’un contrôle fiscal.</w:t>
      </w:r>
    </w:p>
    <w:p w:rsidR="003A596A" w:rsidRPr="003A29CD" w:rsidRDefault="003A596A" w:rsidP="003A596A">
      <w:pPr>
        <w:pStyle w:val="Comp"/>
        <w:numPr>
          <w:ilvl w:val="0"/>
          <w:numId w:val="20"/>
        </w:numPr>
        <w:ind w:right="-426"/>
        <w:rPr>
          <w:rFonts w:ascii="Arial" w:eastAsiaTheme="minorHAnsi" w:hAnsi="Arial" w:cs="Arial"/>
          <w:b w:val="0"/>
          <w:bCs/>
          <w:color w:val="0070C0"/>
          <w:sz w:val="24"/>
          <w:szCs w:val="24"/>
        </w:rPr>
      </w:pPr>
      <w:bookmarkStart w:id="228" w:name="_Toc432501836"/>
      <w:bookmarkStart w:id="229" w:name="_Toc434916144"/>
      <w:bookmarkStart w:id="230" w:name="_Toc434918358"/>
      <w:r w:rsidRPr="003A29CD">
        <w:rPr>
          <w:rStyle w:val="Heading4Char"/>
          <w:rFonts w:ascii="Arial" w:eastAsiaTheme="minorHAnsi" w:hAnsi="Arial" w:cs="Arial"/>
          <w:color w:val="0070C0"/>
          <w:sz w:val="24"/>
          <w:szCs w:val="24"/>
        </w:rPr>
        <w:t>Gestion des risques auxquels sont exposées les recettes</w:t>
      </w:r>
      <w:bookmarkEnd w:id="228"/>
      <w:bookmarkEnd w:id="229"/>
      <w:bookmarkEnd w:id="230"/>
    </w:p>
    <w:p w:rsidR="003A596A" w:rsidRPr="00A17E25" w:rsidRDefault="003A596A" w:rsidP="003A596A">
      <w:pPr>
        <w:autoSpaceDE w:val="0"/>
        <w:autoSpaceDN w:val="0"/>
        <w:adjustRightInd w:val="0"/>
        <w:ind w:right="-426"/>
        <w:jc w:val="both"/>
        <w:rPr>
          <w:rFonts w:ascii="Arial" w:hAnsi="Arial" w:cs="Arial"/>
          <w:color w:val="000000"/>
          <w:lang w:eastAsia="fr-FR"/>
        </w:rPr>
      </w:pPr>
      <w:r w:rsidRPr="00A17E25">
        <w:rPr>
          <w:rFonts w:ascii="Arial" w:hAnsi="Arial" w:cs="Arial"/>
          <w:bCs/>
          <w:iCs/>
          <w:lang w:eastAsia="fr-FR"/>
        </w:rPr>
        <w:t>En premier lieu, la mission note que le dispo</w:t>
      </w:r>
      <w:r w:rsidR="00202BBF">
        <w:rPr>
          <w:rFonts w:ascii="Arial" w:hAnsi="Arial" w:cs="Arial"/>
          <w:bCs/>
          <w:iCs/>
          <w:lang w:eastAsia="fr-FR"/>
        </w:rPr>
        <w:t>sitif d’immatriculation et d’</w:t>
      </w:r>
      <w:r w:rsidRPr="00A17E25">
        <w:rPr>
          <w:rFonts w:ascii="Arial" w:hAnsi="Arial" w:cs="Arial"/>
          <w:bCs/>
          <w:iCs/>
          <w:lang w:eastAsia="fr-FR"/>
        </w:rPr>
        <w:t xml:space="preserve">évaluation des </w:t>
      </w:r>
      <w:r w:rsidR="00304EB4">
        <w:rPr>
          <w:rFonts w:ascii="Arial" w:hAnsi="Arial" w:cs="Arial"/>
          <w:bCs/>
          <w:iCs/>
          <w:lang w:eastAsia="fr-FR"/>
        </w:rPr>
        <w:t>taxes</w:t>
      </w:r>
      <w:r w:rsidRPr="00A17E25">
        <w:rPr>
          <w:rFonts w:ascii="Arial" w:hAnsi="Arial" w:cs="Arial"/>
          <w:bCs/>
          <w:iCs/>
          <w:lang w:eastAsia="fr-FR"/>
        </w:rPr>
        <w:t xml:space="preserve"> en place n’est pas adapté </w:t>
      </w:r>
      <w:r w:rsidRPr="00A17E25">
        <w:rPr>
          <w:rFonts w:ascii="Arial" w:hAnsi="Arial" w:cs="Arial"/>
          <w:color w:val="000000"/>
          <w:lang w:eastAsia="fr-FR"/>
        </w:rPr>
        <w:t>compte tenu de la structure des services de l’AFC fragmentée entre arrondissements et du nombre limité du personnel dédié à la matière (19 régisseurs)</w:t>
      </w:r>
      <w:r w:rsidR="00202BBF">
        <w:rPr>
          <w:rFonts w:ascii="Arial" w:hAnsi="Arial" w:cs="Arial"/>
          <w:color w:val="000000"/>
          <w:lang w:eastAsia="fr-FR"/>
        </w:rPr>
        <w:t>,</w:t>
      </w:r>
      <w:r w:rsidRPr="00A17E25">
        <w:rPr>
          <w:rFonts w:ascii="Arial" w:hAnsi="Arial" w:cs="Arial"/>
          <w:color w:val="000000"/>
          <w:lang w:eastAsia="fr-FR"/>
        </w:rPr>
        <w:t xml:space="preserve"> et du recours à la liquidation </w:t>
      </w:r>
      <w:r w:rsidR="00202BBF">
        <w:rPr>
          <w:rFonts w:ascii="Arial" w:hAnsi="Arial" w:cs="Arial"/>
          <w:color w:val="000000"/>
          <w:lang w:eastAsia="fr-FR"/>
        </w:rPr>
        <w:t xml:space="preserve">manuelle </w:t>
      </w:r>
      <w:r w:rsidRPr="00A17E25">
        <w:rPr>
          <w:rFonts w:ascii="Arial" w:hAnsi="Arial" w:cs="Arial"/>
          <w:color w:val="000000"/>
          <w:lang w:eastAsia="fr-FR"/>
        </w:rPr>
        <w:t>des taxes collectées par l’AFC en l’absence d’un système informatique permettant notamment l’immatriculation des contribuables.</w:t>
      </w:r>
    </w:p>
    <w:p w:rsidR="003A596A" w:rsidRPr="00A17E25" w:rsidRDefault="003A596A" w:rsidP="003A596A">
      <w:pPr>
        <w:autoSpaceDE w:val="0"/>
        <w:autoSpaceDN w:val="0"/>
        <w:adjustRightInd w:val="0"/>
        <w:ind w:right="-426"/>
        <w:jc w:val="both"/>
        <w:rPr>
          <w:rFonts w:ascii="Arial" w:hAnsi="Arial" w:cs="Arial"/>
        </w:rPr>
      </w:pPr>
    </w:p>
    <w:p w:rsidR="003A596A" w:rsidRPr="00A17E25" w:rsidRDefault="003A596A" w:rsidP="003A596A">
      <w:pPr>
        <w:autoSpaceDE w:val="0"/>
        <w:autoSpaceDN w:val="0"/>
        <w:adjustRightInd w:val="0"/>
        <w:ind w:right="-426"/>
        <w:jc w:val="both"/>
        <w:rPr>
          <w:rFonts w:ascii="Arial" w:hAnsi="Arial" w:cs="Arial"/>
          <w:color w:val="000000"/>
          <w:lang w:eastAsia="fr-FR"/>
        </w:rPr>
      </w:pPr>
      <w:r w:rsidRPr="00A17E25">
        <w:rPr>
          <w:rFonts w:ascii="Arial" w:hAnsi="Arial" w:cs="Arial"/>
        </w:rPr>
        <w:t>Les procédures d’immatriculation des contribuables auprès de la commune ne sont pas en place compte tenu de l’absence d’un système informatique dédié et d’un recensement à fréquence annuelle. Toutefois, des enquêtes inopinées de contribuables potentiels sont conduites par les services de l’AFC.</w:t>
      </w:r>
    </w:p>
    <w:p w:rsidR="003A596A" w:rsidRPr="00A17E25" w:rsidRDefault="003A596A" w:rsidP="003A596A">
      <w:pPr>
        <w:ind w:right="-426"/>
        <w:jc w:val="both"/>
        <w:rPr>
          <w:rFonts w:ascii="Arial" w:hAnsi="Arial" w:cs="Arial"/>
          <w:lang w:eastAsia="fr-FR"/>
        </w:rPr>
      </w:pPr>
    </w:p>
    <w:p w:rsidR="003A596A" w:rsidRDefault="003A596A" w:rsidP="003A596A">
      <w:pPr>
        <w:ind w:right="-426"/>
        <w:jc w:val="both"/>
        <w:rPr>
          <w:rFonts w:ascii="Arial" w:hAnsi="Arial" w:cs="Arial"/>
          <w:lang w:eastAsia="fr-FR"/>
        </w:rPr>
      </w:pPr>
      <w:r w:rsidRPr="00A17E25">
        <w:rPr>
          <w:rFonts w:ascii="Arial" w:hAnsi="Arial" w:cs="Arial"/>
          <w:lang w:eastAsia="fr-FR"/>
        </w:rPr>
        <w:t xml:space="preserve">Les systèmes de gestion des risques auxquels sont exposées les recettes de la CC ne s’appuient pas encore sur des systèmes de ciblage du contrôle basé sur des logiciels d’analyse de risque. </w:t>
      </w:r>
    </w:p>
    <w:p w:rsidR="00DD6228" w:rsidRPr="00A17E25" w:rsidRDefault="00DD6228" w:rsidP="003A596A">
      <w:pPr>
        <w:ind w:right="-426"/>
        <w:jc w:val="both"/>
        <w:rPr>
          <w:rFonts w:ascii="Arial" w:hAnsi="Arial" w:cs="Arial"/>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 xml:space="preserve">La CC ne collecte pas des recettes </w:t>
      </w:r>
      <w:r w:rsidR="00304EB4">
        <w:rPr>
          <w:rFonts w:ascii="Arial" w:hAnsi="Arial" w:cs="Arial"/>
          <w:lang w:eastAsia="fr-FR"/>
        </w:rPr>
        <w:t>locales</w:t>
      </w:r>
      <w:r w:rsidRPr="00A17E25">
        <w:rPr>
          <w:rFonts w:ascii="Arial" w:hAnsi="Arial" w:cs="Arial"/>
          <w:lang w:eastAsia="fr-FR"/>
        </w:rPr>
        <w:t xml:space="preserve"> en utilisant un processus de gestion des risques. </w:t>
      </w:r>
      <w:r w:rsidR="005058F4">
        <w:rPr>
          <w:rFonts w:ascii="Arial" w:hAnsi="Arial" w:cs="Arial"/>
          <w:lang w:eastAsia="fr-FR"/>
        </w:rPr>
        <w:t>Les</w:t>
      </w:r>
      <w:r w:rsidRPr="00A17E25">
        <w:rPr>
          <w:rFonts w:ascii="Arial" w:hAnsi="Arial" w:cs="Arial"/>
          <w:lang w:eastAsia="fr-FR"/>
        </w:rPr>
        <w:t xml:space="preserve"> analyses sur les recettes fiscales ne sont pas encore fondées sur </w:t>
      </w:r>
      <w:r w:rsidR="00202BBF">
        <w:rPr>
          <w:rFonts w:ascii="Arial" w:hAnsi="Arial" w:cs="Arial"/>
          <w:lang w:eastAsia="fr-FR"/>
        </w:rPr>
        <w:t>des méthodes  d’analyse</w:t>
      </w:r>
      <w:r w:rsidRPr="00A17E25">
        <w:rPr>
          <w:rFonts w:ascii="Arial" w:hAnsi="Arial" w:cs="Arial"/>
          <w:lang w:eastAsia="fr-FR"/>
        </w:rPr>
        <w:t xml:space="preserve"> de risques</w:t>
      </w:r>
      <w:r w:rsidR="005058F4">
        <w:rPr>
          <w:rFonts w:ascii="Arial" w:hAnsi="Arial" w:cs="Arial"/>
          <w:lang w:eastAsia="fr-FR"/>
        </w:rPr>
        <w:t>. Le</w:t>
      </w:r>
      <w:r w:rsidRPr="00A17E25">
        <w:rPr>
          <w:rFonts w:ascii="Arial" w:hAnsi="Arial" w:cs="Arial"/>
          <w:lang w:eastAsia="fr-FR"/>
        </w:rPr>
        <w:t xml:space="preserve"> système d’information de l’AFC n’est pas automatisé, intégré (reliant  les différentes entités de l’AFC entre elles) et interconnecté avec d’autres systèmes permettant la mutualisation d’Informations entre les partenaires notamment la DGI et la TGR et les autres entités de la CC intervenant dans la gestion fiscale (urbanisme, autorisations…). </w:t>
      </w:r>
    </w:p>
    <w:p w:rsidR="003A596A" w:rsidRPr="00A17E25" w:rsidRDefault="003A596A" w:rsidP="003A596A">
      <w:pPr>
        <w:ind w:right="-426"/>
        <w:jc w:val="both"/>
        <w:rPr>
          <w:rFonts w:ascii="Arial" w:hAnsi="Arial" w:cs="Arial"/>
          <w:lang w:eastAsia="fr-FR"/>
        </w:rPr>
      </w:pPr>
    </w:p>
    <w:p w:rsidR="003A596A" w:rsidRPr="00A17E25" w:rsidRDefault="003A596A" w:rsidP="003A596A">
      <w:pPr>
        <w:pStyle w:val="FootnoteText"/>
        <w:ind w:right="-426"/>
        <w:jc w:val="both"/>
        <w:rPr>
          <w:rFonts w:ascii="Arial" w:hAnsi="Arial" w:cs="Arial"/>
        </w:rPr>
      </w:pPr>
      <w:r w:rsidRPr="00A17E25">
        <w:rPr>
          <w:rFonts w:ascii="Arial" w:hAnsi="Arial" w:cs="Arial"/>
          <w:sz w:val="24"/>
          <w:szCs w:val="24"/>
        </w:rPr>
        <w:t>Consciente de ces contraintes, l’AFC a procédé à l’élaboration d’un projet de manuel de procédures et à l’élaboration d’un cahier de charges pour le schéma directeur d’informat</w:t>
      </w:r>
      <w:r w:rsidR="00304EB4">
        <w:rPr>
          <w:rFonts w:ascii="Arial" w:hAnsi="Arial" w:cs="Arial"/>
          <w:sz w:val="24"/>
          <w:szCs w:val="24"/>
        </w:rPr>
        <w:t>ion</w:t>
      </w:r>
      <w:r w:rsidRPr="00A17E25">
        <w:rPr>
          <w:rFonts w:ascii="Arial" w:hAnsi="Arial" w:cs="Arial"/>
          <w:sz w:val="24"/>
          <w:szCs w:val="24"/>
        </w:rPr>
        <w:t xml:space="preserve"> de la CC. </w:t>
      </w:r>
    </w:p>
    <w:p w:rsidR="003A596A" w:rsidRPr="003A29CD" w:rsidRDefault="003A596A" w:rsidP="003A596A">
      <w:pPr>
        <w:pStyle w:val="Comp"/>
        <w:numPr>
          <w:ilvl w:val="0"/>
          <w:numId w:val="20"/>
        </w:numPr>
        <w:ind w:right="-426"/>
        <w:rPr>
          <w:rFonts w:ascii="Arial" w:eastAsiaTheme="minorHAnsi" w:hAnsi="Arial" w:cs="Arial"/>
          <w:b w:val="0"/>
          <w:bCs/>
          <w:color w:val="0070C0"/>
          <w:sz w:val="24"/>
          <w:szCs w:val="24"/>
        </w:rPr>
      </w:pPr>
      <w:bookmarkStart w:id="231" w:name="_Toc432501837"/>
      <w:bookmarkStart w:id="232" w:name="_Toc434916145"/>
      <w:bookmarkStart w:id="233" w:name="_Toc434918359"/>
      <w:r w:rsidRPr="00581667">
        <w:rPr>
          <w:rStyle w:val="Heading4Char"/>
          <w:rFonts w:ascii="Arial" w:eastAsiaTheme="minorHAnsi" w:hAnsi="Arial" w:cs="Arial"/>
          <w:color w:val="0070C0"/>
          <w:sz w:val="24"/>
          <w:szCs w:val="24"/>
        </w:rPr>
        <w:t>Pratiques en matière d’audit et d’enquêtes en cas de fraude (y compris les sanctions) conçues pour atteindre les résultats prévus en ce qui concerne le champ d’application et les recettes supplémentaires</w:t>
      </w:r>
      <w:r w:rsidRPr="003A29CD">
        <w:rPr>
          <w:rStyle w:val="Heading4Char"/>
          <w:rFonts w:ascii="Arial" w:eastAsiaTheme="minorHAnsi" w:hAnsi="Arial" w:cs="Arial"/>
          <w:color w:val="0070C0"/>
          <w:sz w:val="24"/>
          <w:szCs w:val="24"/>
        </w:rPr>
        <w:t>.</w:t>
      </w:r>
      <w:bookmarkEnd w:id="231"/>
      <w:bookmarkEnd w:id="232"/>
      <w:bookmarkEnd w:id="233"/>
    </w:p>
    <w:p w:rsidR="003A596A" w:rsidRPr="00A17E25" w:rsidRDefault="003A596A" w:rsidP="003A596A">
      <w:pPr>
        <w:ind w:right="-426"/>
        <w:jc w:val="both"/>
        <w:rPr>
          <w:rFonts w:ascii="Arial" w:hAnsi="Arial" w:cs="Arial"/>
          <w:lang w:eastAsia="fr-FR"/>
        </w:rPr>
      </w:pPr>
      <w:r w:rsidRPr="00A17E25">
        <w:rPr>
          <w:rFonts w:ascii="Arial" w:hAnsi="Arial" w:cs="Arial"/>
          <w:lang w:eastAsia="fr-FR"/>
        </w:rPr>
        <w:t>Le système en place se base sur une batterie de sanctions dissuasives. En effet, le défaut de déclaration, la déclaration tardive, l’insuffisance de déclaration, le défaut de paiement ou l’insuffisance de paiement des taxes régies par la loi 47-06, expose le contribuable concerné à des sanctions (comme pour les taxes de l’Etat) de 15% du principal de la taxe concernée. Un taux de majoration de 100% peut être appliqué au lieu de 15%, quand la mauvaise foi du contribuable est établie.</w:t>
      </w:r>
    </w:p>
    <w:p w:rsidR="003A596A" w:rsidRPr="00A17E25" w:rsidRDefault="003A596A" w:rsidP="003A596A">
      <w:pPr>
        <w:ind w:right="-426"/>
        <w:jc w:val="both"/>
        <w:rPr>
          <w:rFonts w:ascii="Arial" w:hAnsi="Arial" w:cs="Arial"/>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Le paiement tardif de ces taxes est également sanctionné par une pénalité de 10% et une majoration de 5% pour le premier mois de retard et de 0,50% par mois ou fraction de mois supplémentaire.</w:t>
      </w:r>
    </w:p>
    <w:p w:rsidR="003A596A" w:rsidRPr="00A17E25" w:rsidRDefault="003A596A" w:rsidP="003A596A">
      <w:pPr>
        <w:autoSpaceDE w:val="0"/>
        <w:autoSpaceDN w:val="0"/>
        <w:adjustRightInd w:val="0"/>
        <w:ind w:right="-426"/>
        <w:jc w:val="both"/>
        <w:rPr>
          <w:rFonts w:ascii="Arial" w:hAnsi="Arial" w:cs="Arial"/>
          <w:bCs/>
          <w:iCs/>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 xml:space="preserve">Le cadre juridique ne prévoit pas les sanctions citées ci-dessus en ce qui concerne les taxes, droits et redevances </w:t>
      </w:r>
      <w:r w:rsidR="005058F4">
        <w:rPr>
          <w:rFonts w:ascii="Arial" w:hAnsi="Arial" w:cs="Arial"/>
          <w:lang w:eastAsia="fr-FR"/>
        </w:rPr>
        <w:t>régis</w:t>
      </w:r>
      <w:r w:rsidRPr="00A17E25">
        <w:rPr>
          <w:rFonts w:ascii="Arial" w:hAnsi="Arial" w:cs="Arial"/>
          <w:lang w:eastAsia="fr-FR"/>
        </w:rPr>
        <w:t xml:space="preserve"> par la loi 39-07. </w:t>
      </w:r>
    </w:p>
    <w:p w:rsidR="003A596A" w:rsidRPr="00A17E25" w:rsidRDefault="003A596A" w:rsidP="003A596A">
      <w:pPr>
        <w:ind w:right="-426"/>
        <w:jc w:val="both"/>
        <w:rPr>
          <w:rFonts w:ascii="Arial" w:hAnsi="Arial" w:cs="Arial"/>
          <w:lang w:eastAsia="fr-FR"/>
        </w:rPr>
      </w:pPr>
    </w:p>
    <w:p w:rsidR="003A596A" w:rsidRPr="00A17E25" w:rsidRDefault="003A596A" w:rsidP="003A596A">
      <w:pPr>
        <w:ind w:right="-426"/>
        <w:jc w:val="both"/>
        <w:rPr>
          <w:rFonts w:ascii="Arial" w:hAnsi="Arial" w:cs="Arial"/>
          <w:lang w:eastAsia="fr-FR"/>
        </w:rPr>
      </w:pPr>
      <w:r w:rsidRPr="00A17E25">
        <w:rPr>
          <w:rFonts w:ascii="Arial" w:hAnsi="Arial" w:cs="Arial"/>
          <w:lang w:eastAsia="fr-FR"/>
        </w:rPr>
        <w:t>Les majorations de 15% des droits en cas de défaut de déclaration ou de retard de déclaration et les pénalités de retard de paiement de 1</w:t>
      </w:r>
      <w:r w:rsidR="00304EB4">
        <w:rPr>
          <w:rFonts w:ascii="Arial" w:hAnsi="Arial" w:cs="Arial"/>
          <w:lang w:eastAsia="fr-FR"/>
        </w:rPr>
        <w:t>0</w:t>
      </w:r>
      <w:r w:rsidRPr="00A17E25">
        <w:rPr>
          <w:rFonts w:ascii="Arial" w:hAnsi="Arial" w:cs="Arial"/>
          <w:lang w:eastAsia="fr-FR"/>
        </w:rPr>
        <w:t xml:space="preserve">% et une majoration de 5% pour le premier mois de retard et de 0,50% par mois ou fraction de mois supplémentaire sont suffisamment élevés pour avoir un effet dissuasif. Ces sanctions sont bien </w:t>
      </w:r>
      <w:r w:rsidR="005058F4">
        <w:rPr>
          <w:rFonts w:ascii="Arial" w:hAnsi="Arial" w:cs="Arial"/>
          <w:lang w:eastAsia="fr-FR"/>
        </w:rPr>
        <w:t>appliquées</w:t>
      </w:r>
      <w:r w:rsidRPr="00A17E25">
        <w:rPr>
          <w:rFonts w:ascii="Arial" w:hAnsi="Arial" w:cs="Arial"/>
          <w:lang w:eastAsia="fr-FR"/>
        </w:rPr>
        <w:t xml:space="preserve"> de manière effective et systématique pour les taxes locales régies par la loi 47-06 qui représentent l’essentiel des recettes fiscales de la C</w:t>
      </w:r>
      <w:r w:rsidR="00A07D79">
        <w:rPr>
          <w:rFonts w:ascii="Arial" w:hAnsi="Arial" w:cs="Arial"/>
          <w:lang w:eastAsia="fr-FR"/>
        </w:rPr>
        <w:t>C</w:t>
      </w:r>
      <w:r w:rsidRPr="00A17E25">
        <w:rPr>
          <w:rFonts w:ascii="Arial" w:hAnsi="Arial" w:cs="Arial"/>
          <w:lang w:eastAsia="fr-FR"/>
        </w:rPr>
        <w:t xml:space="preserve">. Le calcul de ces pénalités est généré et mis à jour mensuellement de manière automatique par le système informatique de la TGR au niveau des perceptions (sans intervention humaine) et toute remise gracieuse ou annulation des pénalités nécessitent des habilitations soit de l’échelle locale, </w:t>
      </w:r>
      <w:r w:rsidR="002C481E">
        <w:rPr>
          <w:rFonts w:ascii="Arial" w:hAnsi="Arial" w:cs="Arial"/>
          <w:lang w:eastAsia="fr-FR"/>
        </w:rPr>
        <w:t xml:space="preserve">soit </w:t>
      </w:r>
      <w:r w:rsidRPr="00A17E25">
        <w:rPr>
          <w:rFonts w:ascii="Arial" w:hAnsi="Arial" w:cs="Arial"/>
          <w:lang w:eastAsia="fr-FR"/>
        </w:rPr>
        <w:t>régionale ou nationale en fonction des montants en jeu.</w:t>
      </w:r>
    </w:p>
    <w:p w:rsidR="003A596A" w:rsidRPr="00A17E25" w:rsidRDefault="003A596A" w:rsidP="003A596A">
      <w:pPr>
        <w:ind w:right="-426"/>
        <w:jc w:val="both"/>
        <w:rPr>
          <w:rFonts w:ascii="Arial" w:hAnsi="Arial" w:cs="Arial"/>
          <w:i/>
          <w:iCs/>
          <w:color w:val="0070C0"/>
        </w:rPr>
      </w:pPr>
    </w:p>
    <w:p w:rsidR="002C481E" w:rsidRDefault="003A596A" w:rsidP="003A596A">
      <w:pPr>
        <w:pStyle w:val="FootnoteText"/>
        <w:tabs>
          <w:tab w:val="left" w:pos="1800"/>
        </w:tabs>
        <w:ind w:right="-426"/>
        <w:jc w:val="both"/>
        <w:rPr>
          <w:rFonts w:ascii="Arial" w:hAnsi="Arial" w:cs="Arial"/>
          <w:sz w:val="24"/>
          <w:szCs w:val="24"/>
        </w:rPr>
      </w:pPr>
      <w:r w:rsidRPr="00A17E25">
        <w:rPr>
          <w:rFonts w:ascii="Arial" w:hAnsi="Arial" w:cs="Arial"/>
          <w:sz w:val="24"/>
          <w:szCs w:val="24"/>
        </w:rPr>
        <w:t>La mission note l’insuffisance de contrôles fiscaux initiés par la CC à ce jour comme le montre la synthèse des redressements effectués :</w:t>
      </w:r>
    </w:p>
    <w:p w:rsidR="003A596A" w:rsidRPr="00A17E25" w:rsidRDefault="003A596A" w:rsidP="003A596A">
      <w:pPr>
        <w:pStyle w:val="FootnoteText"/>
        <w:tabs>
          <w:tab w:val="left" w:pos="1800"/>
        </w:tabs>
        <w:ind w:right="-426"/>
        <w:jc w:val="both"/>
        <w:rPr>
          <w:rFonts w:ascii="Arial" w:hAnsi="Arial"/>
        </w:rPr>
      </w:pPr>
    </w:p>
    <w:p w:rsidR="003A596A" w:rsidRDefault="002C481E" w:rsidP="002C481E">
      <w:pPr>
        <w:pStyle w:val="FootnoteText"/>
        <w:tabs>
          <w:tab w:val="left" w:pos="1800"/>
        </w:tabs>
        <w:ind w:right="-426"/>
        <w:jc w:val="center"/>
        <w:rPr>
          <w:rFonts w:ascii="Arial Narrow" w:hAnsi="Arial Narrow"/>
          <w:b/>
        </w:rPr>
      </w:pPr>
      <w:r w:rsidRPr="003C1449">
        <w:rPr>
          <w:rFonts w:ascii="Arial Narrow" w:hAnsi="Arial Narrow"/>
          <w:b/>
          <w:u w:val="single"/>
        </w:rPr>
        <w:t>TABLEAU </w:t>
      </w:r>
      <w:r w:rsidR="003C1449" w:rsidRPr="003C1449">
        <w:rPr>
          <w:rFonts w:ascii="Arial Narrow" w:hAnsi="Arial Narrow"/>
          <w:b/>
        </w:rPr>
        <w:t>3.24</w:t>
      </w:r>
      <w:r w:rsidRPr="003C1449">
        <w:rPr>
          <w:rFonts w:ascii="Arial Narrow" w:hAnsi="Arial Narrow"/>
          <w:b/>
        </w:rPr>
        <w:t>: Redressements fiscaux effectués de 2012 à 2014</w:t>
      </w:r>
    </w:p>
    <w:p w:rsidR="003C7856" w:rsidRPr="003C1449" w:rsidRDefault="003C7856" w:rsidP="002C481E">
      <w:pPr>
        <w:pStyle w:val="FootnoteText"/>
        <w:tabs>
          <w:tab w:val="left" w:pos="1800"/>
        </w:tabs>
        <w:ind w:right="-426"/>
        <w:jc w:val="center"/>
        <w:rPr>
          <w:rFonts w:ascii="Arial Narrow" w:hAnsi="Arial Narrow"/>
          <w:b/>
        </w:rPr>
      </w:pPr>
    </w:p>
    <w:tbl>
      <w:tblPr>
        <w:tblStyle w:val="TableGrid"/>
        <w:tblW w:w="9073" w:type="dxa"/>
        <w:jc w:val="center"/>
        <w:tblLayout w:type="fixed"/>
        <w:tblLook w:val="04A0" w:firstRow="1" w:lastRow="0" w:firstColumn="1" w:lastColumn="0" w:noHBand="0" w:noVBand="1"/>
      </w:tblPr>
      <w:tblGrid>
        <w:gridCol w:w="1885"/>
        <w:gridCol w:w="2880"/>
        <w:gridCol w:w="4308"/>
      </w:tblGrid>
      <w:tr w:rsidR="003A596A" w:rsidRPr="00BF5A38" w:rsidTr="003A29CD">
        <w:trPr>
          <w:trHeight w:val="467"/>
          <w:jc w:val="center"/>
        </w:trPr>
        <w:tc>
          <w:tcPr>
            <w:tcW w:w="1885" w:type="dxa"/>
            <w:shd w:val="clear" w:color="auto" w:fill="0070C0"/>
          </w:tcPr>
          <w:p w:rsidR="003A596A" w:rsidRPr="00BF5A38" w:rsidRDefault="003A596A" w:rsidP="003A596A">
            <w:pPr>
              <w:ind w:right="-426"/>
              <w:jc w:val="center"/>
              <w:rPr>
                <w:rFonts w:ascii="Arial" w:hAnsi="Arial" w:cs="Arial"/>
                <w:b/>
                <w:color w:val="FFFFFF" w:themeColor="background1"/>
                <w:sz w:val="18"/>
                <w:szCs w:val="18"/>
              </w:rPr>
            </w:pPr>
          </w:p>
          <w:p w:rsidR="003A596A" w:rsidRPr="00BF5A38" w:rsidRDefault="003A596A" w:rsidP="003A596A">
            <w:pPr>
              <w:ind w:right="-426"/>
              <w:jc w:val="center"/>
              <w:rPr>
                <w:rFonts w:ascii="Arial" w:hAnsi="Arial" w:cs="Arial"/>
                <w:b/>
                <w:color w:val="FFFFFF" w:themeColor="background1"/>
                <w:sz w:val="18"/>
                <w:szCs w:val="18"/>
              </w:rPr>
            </w:pPr>
            <w:r w:rsidRPr="00BF5A38">
              <w:rPr>
                <w:rFonts w:ascii="Arial" w:hAnsi="Arial" w:cs="Arial"/>
                <w:b/>
                <w:color w:val="FFFFFF" w:themeColor="background1"/>
                <w:sz w:val="18"/>
                <w:szCs w:val="18"/>
              </w:rPr>
              <w:t>EXERCICE</w:t>
            </w:r>
          </w:p>
          <w:p w:rsidR="003A596A" w:rsidRPr="00BF5A38" w:rsidRDefault="003A596A" w:rsidP="003A596A">
            <w:pPr>
              <w:ind w:right="-426"/>
              <w:jc w:val="center"/>
              <w:rPr>
                <w:rFonts w:ascii="Arial" w:hAnsi="Arial" w:cs="Arial"/>
                <w:b/>
                <w:color w:val="FFFFFF" w:themeColor="background1"/>
                <w:sz w:val="18"/>
                <w:szCs w:val="18"/>
              </w:rPr>
            </w:pPr>
          </w:p>
        </w:tc>
        <w:tc>
          <w:tcPr>
            <w:tcW w:w="2880" w:type="dxa"/>
            <w:shd w:val="clear" w:color="auto" w:fill="0070C0"/>
          </w:tcPr>
          <w:p w:rsidR="003A596A" w:rsidRPr="00BF5A38" w:rsidRDefault="003A596A" w:rsidP="003A596A">
            <w:pPr>
              <w:ind w:right="-426"/>
              <w:jc w:val="center"/>
              <w:rPr>
                <w:rFonts w:ascii="Arial" w:hAnsi="Arial" w:cs="Arial"/>
                <w:b/>
                <w:color w:val="FFFFFF" w:themeColor="background1"/>
                <w:sz w:val="18"/>
                <w:szCs w:val="18"/>
              </w:rPr>
            </w:pPr>
          </w:p>
          <w:p w:rsidR="003A596A" w:rsidRPr="00BF5A38" w:rsidRDefault="003A596A" w:rsidP="00BF5A38">
            <w:pPr>
              <w:ind w:right="-426"/>
              <w:jc w:val="center"/>
              <w:rPr>
                <w:rFonts w:ascii="Arial" w:hAnsi="Arial" w:cs="Arial"/>
                <w:b/>
                <w:color w:val="FFFFFF" w:themeColor="background1"/>
                <w:sz w:val="18"/>
                <w:szCs w:val="18"/>
              </w:rPr>
            </w:pPr>
            <w:r w:rsidRPr="00BF5A38">
              <w:rPr>
                <w:rFonts w:ascii="Arial" w:hAnsi="Arial" w:cs="Arial"/>
                <w:b/>
                <w:color w:val="FFFFFF" w:themeColor="background1"/>
                <w:sz w:val="18"/>
                <w:szCs w:val="18"/>
              </w:rPr>
              <w:t>NOMBRE DE</w:t>
            </w:r>
            <w:r w:rsidR="00BF5A38">
              <w:rPr>
                <w:rFonts w:ascii="Arial" w:hAnsi="Arial" w:cs="Arial"/>
                <w:b/>
                <w:color w:val="FFFFFF" w:themeColor="background1"/>
                <w:sz w:val="18"/>
                <w:szCs w:val="18"/>
              </w:rPr>
              <w:t xml:space="preserve"> </w:t>
            </w:r>
            <w:r w:rsidRPr="00BF5A38">
              <w:rPr>
                <w:rFonts w:ascii="Arial" w:hAnsi="Arial" w:cs="Arial"/>
                <w:b/>
                <w:color w:val="FFFFFF" w:themeColor="background1"/>
                <w:sz w:val="18"/>
                <w:szCs w:val="18"/>
              </w:rPr>
              <w:t>REDEVABLE</w:t>
            </w:r>
          </w:p>
        </w:tc>
        <w:tc>
          <w:tcPr>
            <w:tcW w:w="4308" w:type="dxa"/>
            <w:shd w:val="clear" w:color="auto" w:fill="0070C0"/>
          </w:tcPr>
          <w:p w:rsidR="003A596A" w:rsidRPr="00BF5A38" w:rsidRDefault="003A596A" w:rsidP="003A596A">
            <w:pPr>
              <w:ind w:right="-426"/>
              <w:jc w:val="center"/>
              <w:rPr>
                <w:rFonts w:ascii="Arial" w:hAnsi="Arial" w:cs="Arial"/>
                <w:b/>
                <w:color w:val="FFFFFF" w:themeColor="background1"/>
                <w:sz w:val="18"/>
                <w:szCs w:val="18"/>
              </w:rPr>
            </w:pPr>
          </w:p>
          <w:p w:rsidR="003A596A" w:rsidRPr="00BF5A38" w:rsidRDefault="003A596A" w:rsidP="003A596A">
            <w:pPr>
              <w:ind w:right="-426"/>
              <w:jc w:val="center"/>
              <w:rPr>
                <w:rFonts w:ascii="Arial" w:hAnsi="Arial" w:cs="Arial"/>
                <w:b/>
                <w:color w:val="FFFFFF" w:themeColor="background1"/>
                <w:sz w:val="18"/>
                <w:szCs w:val="18"/>
              </w:rPr>
            </w:pPr>
            <w:r w:rsidRPr="00BF5A38">
              <w:rPr>
                <w:rFonts w:ascii="Arial" w:hAnsi="Arial" w:cs="Arial"/>
                <w:b/>
                <w:color w:val="FFFFFF" w:themeColor="background1"/>
                <w:sz w:val="18"/>
                <w:szCs w:val="18"/>
              </w:rPr>
              <w:t>MONTANT DES</w:t>
            </w:r>
          </w:p>
          <w:p w:rsidR="003A596A" w:rsidRPr="00BF5A38" w:rsidRDefault="003A596A" w:rsidP="003A596A">
            <w:pPr>
              <w:ind w:right="-426"/>
              <w:jc w:val="center"/>
              <w:rPr>
                <w:rFonts w:ascii="Arial" w:hAnsi="Arial" w:cs="Arial"/>
                <w:b/>
                <w:color w:val="FFFFFF" w:themeColor="background1"/>
                <w:sz w:val="18"/>
                <w:szCs w:val="18"/>
              </w:rPr>
            </w:pPr>
            <w:r w:rsidRPr="00BF5A38">
              <w:rPr>
                <w:rFonts w:ascii="Arial" w:hAnsi="Arial" w:cs="Arial"/>
                <w:b/>
                <w:color w:val="FFFFFF" w:themeColor="background1"/>
                <w:sz w:val="18"/>
                <w:szCs w:val="18"/>
              </w:rPr>
              <w:t>REDRESSEMENTS en dirhams</w:t>
            </w:r>
          </w:p>
        </w:tc>
      </w:tr>
      <w:tr w:rsidR="003A596A" w:rsidRPr="00BF5A38" w:rsidTr="00BF5A38">
        <w:trPr>
          <w:trHeight w:val="350"/>
          <w:jc w:val="center"/>
        </w:trPr>
        <w:tc>
          <w:tcPr>
            <w:tcW w:w="1885"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2012</w:t>
            </w:r>
          </w:p>
        </w:tc>
        <w:tc>
          <w:tcPr>
            <w:tcW w:w="2880"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310</w:t>
            </w:r>
          </w:p>
        </w:tc>
        <w:tc>
          <w:tcPr>
            <w:tcW w:w="4308"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312 473,96</w:t>
            </w:r>
          </w:p>
        </w:tc>
      </w:tr>
      <w:tr w:rsidR="003A596A" w:rsidRPr="00BF5A38" w:rsidTr="00BF5A38">
        <w:trPr>
          <w:trHeight w:val="287"/>
          <w:jc w:val="center"/>
        </w:trPr>
        <w:tc>
          <w:tcPr>
            <w:tcW w:w="1885"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2013</w:t>
            </w:r>
          </w:p>
        </w:tc>
        <w:tc>
          <w:tcPr>
            <w:tcW w:w="2880"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310</w:t>
            </w:r>
          </w:p>
        </w:tc>
        <w:tc>
          <w:tcPr>
            <w:tcW w:w="4308"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447 395,59</w:t>
            </w:r>
          </w:p>
        </w:tc>
      </w:tr>
      <w:tr w:rsidR="003A596A" w:rsidRPr="00BF5A38" w:rsidTr="00BF5A38">
        <w:trPr>
          <w:trHeight w:val="485"/>
          <w:jc w:val="center"/>
        </w:trPr>
        <w:tc>
          <w:tcPr>
            <w:tcW w:w="1885" w:type="dxa"/>
          </w:tcPr>
          <w:p w:rsidR="003A596A" w:rsidRPr="00BF5A38" w:rsidRDefault="003A596A" w:rsidP="003A596A">
            <w:pPr>
              <w:ind w:right="-426"/>
              <w:jc w:val="center"/>
              <w:rPr>
                <w:rFonts w:ascii="Arial" w:hAnsi="Arial" w:cs="Arial"/>
                <w:b/>
                <w:bCs/>
                <w:sz w:val="18"/>
                <w:szCs w:val="18"/>
              </w:rPr>
            </w:pPr>
          </w:p>
          <w:p w:rsidR="003A596A" w:rsidRPr="00BF5A38" w:rsidRDefault="003A596A" w:rsidP="00BF5A38">
            <w:pPr>
              <w:ind w:right="-426"/>
              <w:jc w:val="center"/>
              <w:rPr>
                <w:rFonts w:ascii="Arial" w:hAnsi="Arial" w:cs="Arial"/>
                <w:b/>
                <w:bCs/>
                <w:sz w:val="18"/>
                <w:szCs w:val="18"/>
              </w:rPr>
            </w:pPr>
            <w:r w:rsidRPr="00BF5A38">
              <w:rPr>
                <w:rFonts w:ascii="Arial" w:hAnsi="Arial" w:cs="Arial"/>
                <w:b/>
                <w:bCs/>
                <w:sz w:val="18"/>
                <w:szCs w:val="18"/>
              </w:rPr>
              <w:t>2014</w:t>
            </w:r>
          </w:p>
        </w:tc>
        <w:tc>
          <w:tcPr>
            <w:tcW w:w="2880"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310</w:t>
            </w:r>
          </w:p>
        </w:tc>
        <w:tc>
          <w:tcPr>
            <w:tcW w:w="4308" w:type="dxa"/>
          </w:tcPr>
          <w:p w:rsidR="003A596A" w:rsidRPr="00BF5A38" w:rsidRDefault="003A596A" w:rsidP="003A596A">
            <w:pPr>
              <w:ind w:right="-426"/>
              <w:jc w:val="center"/>
              <w:rPr>
                <w:rFonts w:ascii="Arial" w:hAnsi="Arial" w:cs="Arial"/>
                <w:b/>
                <w:bCs/>
                <w:sz w:val="18"/>
                <w:szCs w:val="18"/>
              </w:rPr>
            </w:pPr>
          </w:p>
          <w:p w:rsidR="003A596A" w:rsidRPr="00BF5A38" w:rsidRDefault="003A596A" w:rsidP="003A596A">
            <w:pPr>
              <w:ind w:right="-426"/>
              <w:jc w:val="center"/>
              <w:rPr>
                <w:rFonts w:ascii="Arial" w:hAnsi="Arial" w:cs="Arial"/>
                <w:b/>
                <w:bCs/>
                <w:sz w:val="18"/>
                <w:szCs w:val="18"/>
              </w:rPr>
            </w:pPr>
            <w:r w:rsidRPr="00BF5A38">
              <w:rPr>
                <w:rFonts w:ascii="Arial" w:hAnsi="Arial" w:cs="Arial"/>
                <w:b/>
                <w:bCs/>
                <w:sz w:val="18"/>
                <w:szCs w:val="18"/>
              </w:rPr>
              <w:t>388 374,33</w:t>
            </w:r>
          </w:p>
        </w:tc>
      </w:tr>
    </w:tbl>
    <w:p w:rsidR="003A596A" w:rsidRPr="00A17E25" w:rsidRDefault="003A596A" w:rsidP="003A596A">
      <w:pPr>
        <w:ind w:right="-426"/>
        <w:rPr>
          <w:rFonts w:ascii="Arial" w:hAnsi="Arial"/>
          <w:b/>
          <w:bCs/>
        </w:rPr>
      </w:pPr>
    </w:p>
    <w:p w:rsidR="003A596A" w:rsidRPr="00A17E25" w:rsidRDefault="003A596A" w:rsidP="003A596A">
      <w:pPr>
        <w:ind w:right="-426"/>
        <w:jc w:val="both"/>
        <w:rPr>
          <w:rFonts w:ascii="Arial" w:hAnsi="Arial"/>
          <w:bCs/>
        </w:rPr>
      </w:pPr>
      <w:r w:rsidRPr="00A17E25">
        <w:rPr>
          <w:rFonts w:ascii="Arial" w:hAnsi="Arial"/>
          <w:bCs/>
        </w:rPr>
        <w:t>En terme de contentieux, l’équipe PEFA a relevé uniquement deux dossiers initiés par l’AFC devant les tribunaux pendant la période 2012 à 2014.</w:t>
      </w:r>
    </w:p>
    <w:p w:rsidR="003A596A" w:rsidRPr="00A17E25" w:rsidRDefault="003A596A" w:rsidP="003A596A">
      <w:pPr>
        <w:ind w:right="-426"/>
        <w:jc w:val="both"/>
        <w:rPr>
          <w:rFonts w:ascii="Arial" w:hAnsi="Arial"/>
          <w:bCs/>
        </w:rPr>
      </w:pPr>
    </w:p>
    <w:p w:rsidR="003A596A" w:rsidRPr="00581667" w:rsidRDefault="003A596A" w:rsidP="00581667">
      <w:pPr>
        <w:ind w:right="-426"/>
        <w:jc w:val="both"/>
        <w:rPr>
          <w:rFonts w:ascii="Arial" w:hAnsi="Arial"/>
          <w:bCs/>
        </w:rPr>
      </w:pPr>
      <w:r w:rsidRPr="00A17E25">
        <w:rPr>
          <w:rFonts w:ascii="Arial" w:hAnsi="Arial"/>
          <w:bCs/>
        </w:rPr>
        <w:t>La programmation annuelle des contrôles fiscaux, les critères de sélection des contribuables et les résultats (comparés aux objectifs) ne font pas l’objet d’une procédure formelle et d’un reporting au Conseil Communal.</w:t>
      </w:r>
    </w:p>
    <w:p w:rsidR="003A596A" w:rsidRPr="003A29CD" w:rsidRDefault="003A596A" w:rsidP="00151AD3">
      <w:pPr>
        <w:pStyle w:val="Comp"/>
        <w:numPr>
          <w:ilvl w:val="0"/>
          <w:numId w:val="20"/>
        </w:numPr>
        <w:ind w:right="-426"/>
        <w:rPr>
          <w:rStyle w:val="Heading4Char"/>
          <w:rFonts w:ascii="Arial" w:eastAsiaTheme="minorHAnsi" w:hAnsi="Arial" w:cs="Arial"/>
          <w:color w:val="0070C0"/>
          <w:sz w:val="24"/>
          <w:szCs w:val="24"/>
        </w:rPr>
      </w:pPr>
      <w:bookmarkStart w:id="234" w:name="_Toc432501838"/>
      <w:bookmarkStart w:id="235" w:name="_Toc434916146"/>
      <w:bookmarkStart w:id="236" w:name="_Toc434918360"/>
      <w:r w:rsidRPr="003A29CD">
        <w:rPr>
          <w:rStyle w:val="Heading4Char"/>
          <w:rFonts w:ascii="Arial" w:eastAsiaTheme="minorHAnsi" w:hAnsi="Arial" w:cs="Arial"/>
          <w:color w:val="0070C0"/>
          <w:sz w:val="24"/>
          <w:szCs w:val="24"/>
        </w:rPr>
        <w:t>Gestion des arriérés au niveau des recettes.</w:t>
      </w:r>
      <w:bookmarkEnd w:id="234"/>
      <w:bookmarkEnd w:id="235"/>
      <w:bookmarkEnd w:id="236"/>
    </w:p>
    <w:p w:rsidR="003A596A" w:rsidRPr="00A17E25" w:rsidRDefault="003A596A" w:rsidP="002C481E">
      <w:pPr>
        <w:autoSpaceDE w:val="0"/>
        <w:autoSpaceDN w:val="0"/>
        <w:adjustRightInd w:val="0"/>
        <w:ind w:right="-426"/>
        <w:jc w:val="both"/>
        <w:rPr>
          <w:rFonts w:ascii="Arial" w:eastAsiaTheme="minorHAnsi" w:hAnsi="Arial" w:cs="Arial"/>
          <w:color w:val="000000"/>
        </w:rPr>
      </w:pPr>
      <w:r w:rsidRPr="00A17E25">
        <w:rPr>
          <w:rFonts w:ascii="Arial" w:eastAsiaTheme="minorHAnsi" w:hAnsi="Arial" w:cs="Arial"/>
          <w:color w:val="000000"/>
        </w:rPr>
        <w:t>Il existe une définition claire et une information sur volume des arrières par catégorie de recette fiscale. Néanmoins, cette information est partagée avec le Conseil Communal uniquement lors de la session de vote du compte administratif. L’information disponible sur les arriérés ne permet une ventilation par âge</w:t>
      </w:r>
      <w:r w:rsidR="002C481E">
        <w:rPr>
          <w:rFonts w:ascii="Arial" w:eastAsiaTheme="minorHAnsi" w:hAnsi="Arial" w:cs="Arial"/>
          <w:color w:val="000000"/>
        </w:rPr>
        <w:t>,</w:t>
      </w:r>
      <w:r w:rsidRPr="00A17E25">
        <w:rPr>
          <w:rFonts w:ascii="Arial" w:eastAsiaTheme="minorHAnsi" w:hAnsi="Arial" w:cs="Arial"/>
          <w:color w:val="000000"/>
        </w:rPr>
        <w:t xml:space="preserve"> ce qui ne permet pas de mesurer l’effet de recouvrement sur les recettes fiscales propres à l’année.</w:t>
      </w:r>
    </w:p>
    <w:p w:rsidR="003A596A" w:rsidRPr="00A17E25" w:rsidRDefault="003A596A" w:rsidP="003A596A">
      <w:pPr>
        <w:autoSpaceDE w:val="0"/>
        <w:autoSpaceDN w:val="0"/>
        <w:adjustRightInd w:val="0"/>
        <w:ind w:right="-426"/>
        <w:rPr>
          <w:rFonts w:ascii="Arial" w:eastAsiaTheme="minorHAnsi" w:hAnsi="Arial" w:cs="Arial"/>
          <w:color w:val="000000"/>
        </w:rPr>
      </w:pPr>
    </w:p>
    <w:p w:rsidR="003A596A" w:rsidRPr="00A17E25" w:rsidRDefault="003A596A" w:rsidP="003A596A">
      <w:pPr>
        <w:autoSpaceDE w:val="0"/>
        <w:autoSpaceDN w:val="0"/>
        <w:adjustRightInd w:val="0"/>
        <w:ind w:right="-426"/>
        <w:rPr>
          <w:rFonts w:ascii="Arial" w:eastAsiaTheme="minorHAnsi" w:hAnsi="Arial" w:cs="Arial"/>
          <w:color w:val="000000"/>
        </w:rPr>
      </w:pPr>
      <w:r w:rsidRPr="00A17E25">
        <w:rPr>
          <w:rFonts w:ascii="Arial" w:eastAsiaTheme="minorHAnsi" w:hAnsi="Arial" w:cs="Arial"/>
          <w:color w:val="000000"/>
        </w:rPr>
        <w:t>L’AFC ne prépare pas un rapport spécifique sur la gestion des arriérés.</w:t>
      </w:r>
    </w:p>
    <w:p w:rsidR="003A596A" w:rsidRPr="00A17E25" w:rsidRDefault="003A596A" w:rsidP="003A596A">
      <w:pPr>
        <w:autoSpaceDE w:val="0"/>
        <w:autoSpaceDN w:val="0"/>
        <w:adjustRightInd w:val="0"/>
        <w:ind w:right="-426"/>
        <w:rPr>
          <w:rFonts w:eastAsiaTheme="minorHAnsi"/>
          <w:color w:val="000000"/>
        </w:rPr>
      </w:pPr>
    </w:p>
    <w:p w:rsidR="003A596A" w:rsidRPr="00A17E25" w:rsidRDefault="003A596A" w:rsidP="003A596A">
      <w:pPr>
        <w:ind w:right="-426"/>
        <w:jc w:val="both"/>
        <w:rPr>
          <w:rFonts w:ascii="Arial" w:eastAsia="Arial Unicode MS" w:hAnsi="Arial" w:cs="Arial"/>
          <w:sz w:val="20"/>
          <w:szCs w:val="20"/>
        </w:rPr>
      </w:pPr>
      <w:r w:rsidRPr="00A17E25">
        <w:rPr>
          <w:rFonts w:ascii="Arial" w:hAnsi="Arial" w:cs="Arial"/>
        </w:rPr>
        <w:t>Les arriérés d’impôts et de taxes représentent des montants très importants  totalisant respectivement 3 246,5 millions de MAD et 3 701,6 millions de MAD au 31 décembre 2013 et 31 décembre 2014.</w:t>
      </w:r>
      <w:r w:rsidR="002C481E">
        <w:rPr>
          <w:rFonts w:ascii="Arial" w:hAnsi="Arial" w:cs="Arial"/>
        </w:rPr>
        <w:t xml:space="preserve"> </w:t>
      </w:r>
      <w:r w:rsidRPr="00A17E25">
        <w:rPr>
          <w:rFonts w:ascii="Arial" w:hAnsi="Arial" w:cs="Arial"/>
        </w:rPr>
        <w:t>Ces arriérés d’impôts sont en croissance d’année en année. Ces montants sont même devenus supérieurs aux recettes réalisées au cours des deux derniers exercices. Ils se composent à hauteur de 90%, d’arriérés de la taxe d’</w:t>
      </w:r>
      <w:r w:rsidR="00FB2AD5">
        <w:rPr>
          <w:rFonts w:ascii="Arial" w:hAnsi="Arial" w:cs="Arial"/>
        </w:rPr>
        <w:t>habitation</w:t>
      </w:r>
      <w:r w:rsidRPr="00A17E25">
        <w:rPr>
          <w:rFonts w:ascii="Arial" w:hAnsi="Arial" w:cs="Arial"/>
        </w:rPr>
        <w:t>, de la taxe sur les services communaux, et de la taxe professionnelle.</w:t>
      </w:r>
    </w:p>
    <w:p w:rsidR="003A596A" w:rsidRPr="00A17E25" w:rsidRDefault="003A596A" w:rsidP="003A596A">
      <w:pPr>
        <w:ind w:right="-426"/>
        <w:jc w:val="both"/>
        <w:rPr>
          <w:rFonts w:ascii="Arial" w:hAnsi="Arial" w:cs="Arial"/>
        </w:rPr>
      </w:pPr>
    </w:p>
    <w:p w:rsidR="003A596A" w:rsidRPr="00A17E25" w:rsidRDefault="002C481E" w:rsidP="003A596A">
      <w:pPr>
        <w:ind w:right="-426"/>
        <w:jc w:val="both"/>
        <w:rPr>
          <w:rFonts w:ascii="Arial" w:hAnsi="Arial" w:cs="Arial"/>
        </w:rPr>
      </w:pPr>
      <w:r>
        <w:rPr>
          <w:rFonts w:ascii="Arial" w:hAnsi="Arial" w:cs="Arial"/>
        </w:rPr>
        <w:t>Les</w:t>
      </w:r>
      <w:r w:rsidR="003A596A" w:rsidRPr="00A17E25">
        <w:rPr>
          <w:rFonts w:ascii="Arial" w:hAnsi="Arial" w:cs="Arial"/>
        </w:rPr>
        <w:t xml:space="preserve"> recettes réalisées en 2013 et 2014 se sont élevées à respectivement 2 727,9  MMAD et 2 525,6 MMAD</w:t>
      </w:r>
      <w:r w:rsidR="003A596A" w:rsidRPr="00A17E25">
        <w:rPr>
          <w:rStyle w:val="FootnoteReference"/>
          <w:rFonts w:ascii="Arial" w:hAnsi="Arial" w:cs="Arial"/>
        </w:rPr>
        <w:footnoteReference w:id="43"/>
      </w:r>
      <w:r w:rsidR="003A596A" w:rsidRPr="00A17E25">
        <w:rPr>
          <w:rFonts w:ascii="Arial" w:hAnsi="Arial" w:cs="Arial"/>
        </w:rPr>
        <w:t xml:space="preserve">. La situation des arriérés établie par la Trésorerie Générale du Royaume qui a été communiquée à la mission ne distingue pas les encaissements sur les rôles ou ordres de recettes de l’année considérée et </w:t>
      </w:r>
      <w:r>
        <w:rPr>
          <w:rFonts w:ascii="Arial" w:hAnsi="Arial" w:cs="Arial"/>
        </w:rPr>
        <w:t xml:space="preserve">de </w:t>
      </w:r>
      <w:r w:rsidR="003A596A" w:rsidRPr="00A17E25">
        <w:rPr>
          <w:rFonts w:ascii="Arial" w:hAnsi="Arial" w:cs="Arial"/>
        </w:rPr>
        <w:t>celles qui concernent les restes à recouvrer sur les années précédentes. De ce fait, il n’est pas aisé de mesurer les efforts réalisés au niveau de l’apurement des restes à recouvrer émanant des gestions précédentes.</w:t>
      </w:r>
    </w:p>
    <w:p w:rsidR="003A596A" w:rsidRPr="00A17E25" w:rsidRDefault="003A596A" w:rsidP="003A596A">
      <w:pPr>
        <w:pStyle w:val="FootnoteText"/>
        <w:ind w:right="-426"/>
        <w:jc w:val="both"/>
        <w:rPr>
          <w:rFonts w:ascii="Arial" w:eastAsia="Arial Unicode MS" w:hAnsi="Arial"/>
          <w:sz w:val="24"/>
          <w:szCs w:val="24"/>
        </w:rPr>
      </w:pPr>
      <w:r w:rsidRPr="00A17E25">
        <w:rPr>
          <w:rFonts w:ascii="Arial" w:eastAsia="Arial Unicode MS" w:hAnsi="Arial"/>
          <w:sz w:val="24"/>
          <w:szCs w:val="24"/>
        </w:rPr>
        <w:t xml:space="preserve">Cette situation s’explique en partie par l’accumulation de recettes irrécouvrables qui ne font pas fait l’objet d’une admission en </w:t>
      </w:r>
      <w:r w:rsidR="007547D5" w:rsidRPr="00A17E25">
        <w:rPr>
          <w:rFonts w:ascii="Arial" w:eastAsia="Arial Unicode MS" w:hAnsi="Arial"/>
          <w:sz w:val="24"/>
          <w:szCs w:val="24"/>
        </w:rPr>
        <w:t>non-valeur</w:t>
      </w:r>
      <w:r w:rsidRPr="00A17E25">
        <w:rPr>
          <w:rFonts w:ascii="Arial" w:eastAsia="Arial Unicode MS" w:hAnsi="Arial"/>
          <w:sz w:val="24"/>
          <w:szCs w:val="24"/>
        </w:rPr>
        <w:t>.</w:t>
      </w:r>
    </w:p>
    <w:p w:rsidR="003A596A" w:rsidRPr="00A17E25" w:rsidRDefault="003A596A" w:rsidP="003A596A">
      <w:pPr>
        <w:pStyle w:val="FootnoteText"/>
        <w:ind w:right="-426"/>
        <w:jc w:val="both"/>
        <w:rPr>
          <w:rFonts w:ascii="Arial" w:eastAsia="Arial Unicode MS" w:hAnsi="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872"/>
        <w:gridCol w:w="3544"/>
      </w:tblGrid>
      <w:tr w:rsidR="003A596A" w:rsidRPr="00A17E25" w:rsidTr="00BF5A38">
        <w:tc>
          <w:tcPr>
            <w:tcW w:w="4877" w:type="dxa"/>
            <w:shd w:val="clear" w:color="auto" w:fill="0070C0"/>
          </w:tcPr>
          <w:p w:rsidR="003A596A" w:rsidRPr="00A17E25" w:rsidRDefault="003A596A" w:rsidP="003A596A">
            <w:pPr>
              <w:ind w:right="-426"/>
              <w:jc w:val="center"/>
              <w:rPr>
                <w:rFonts w:ascii="Arial" w:hAnsi="Arial" w:cs="Arial"/>
                <w:b/>
                <w:bCs/>
                <w:color w:val="FFFFFF"/>
                <w:sz w:val="20"/>
                <w:szCs w:val="20"/>
              </w:rPr>
            </w:pPr>
            <w:r w:rsidRPr="00A17E25">
              <w:rPr>
                <w:rFonts w:ascii="Arial" w:hAnsi="Arial" w:cs="Arial"/>
                <w:sz w:val="20"/>
                <w:szCs w:val="20"/>
              </w:rPr>
              <w:br w:type="page"/>
            </w:r>
            <w:r w:rsidRPr="00A17E25">
              <w:rPr>
                <w:rFonts w:ascii="Arial" w:hAnsi="Arial" w:cs="Arial"/>
                <w:b/>
                <w:bCs/>
                <w:color w:val="FFFFFF"/>
                <w:sz w:val="20"/>
                <w:szCs w:val="20"/>
              </w:rPr>
              <w:t>Indicateur</w:t>
            </w:r>
          </w:p>
        </w:tc>
        <w:tc>
          <w:tcPr>
            <w:tcW w:w="872" w:type="dxa"/>
            <w:shd w:val="clear" w:color="auto" w:fill="0070C0"/>
          </w:tcPr>
          <w:p w:rsidR="003A596A" w:rsidRPr="00A17E25" w:rsidRDefault="003A596A" w:rsidP="003A596A">
            <w:pPr>
              <w:ind w:left="-87" w:right="-108"/>
              <w:jc w:val="center"/>
              <w:rPr>
                <w:rFonts w:ascii="Arial" w:hAnsi="Arial" w:cs="Arial"/>
                <w:b/>
                <w:bCs/>
                <w:color w:val="FFFFFF"/>
                <w:sz w:val="20"/>
                <w:szCs w:val="20"/>
              </w:rPr>
            </w:pPr>
            <w:r w:rsidRPr="00A17E25">
              <w:rPr>
                <w:rFonts w:ascii="Arial" w:hAnsi="Arial" w:cs="Arial"/>
                <w:b/>
                <w:bCs/>
                <w:color w:val="FFFFFF"/>
                <w:sz w:val="20"/>
                <w:szCs w:val="20"/>
              </w:rPr>
              <w:t>Note</w:t>
            </w:r>
          </w:p>
        </w:tc>
        <w:tc>
          <w:tcPr>
            <w:tcW w:w="3544" w:type="dxa"/>
            <w:shd w:val="clear" w:color="auto" w:fill="0070C0"/>
          </w:tcPr>
          <w:p w:rsidR="003A596A" w:rsidRPr="00A17E25" w:rsidRDefault="003A596A" w:rsidP="003A596A">
            <w:pPr>
              <w:ind w:right="-426"/>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BF5A38">
        <w:tc>
          <w:tcPr>
            <w:tcW w:w="4877" w:type="dxa"/>
          </w:tcPr>
          <w:p w:rsidR="003A596A" w:rsidRPr="00A17E25" w:rsidRDefault="003A596A" w:rsidP="003A596A">
            <w:pPr>
              <w:jc w:val="both"/>
              <w:rPr>
                <w:rFonts w:ascii="Arial" w:hAnsi="Arial" w:cs="Arial"/>
                <w:b/>
                <w:bCs/>
                <w:color w:val="548DD4" w:themeColor="text2" w:themeTint="99"/>
                <w:sz w:val="20"/>
                <w:szCs w:val="20"/>
              </w:rPr>
            </w:pPr>
            <w:r w:rsidRPr="00A17E25">
              <w:rPr>
                <w:rFonts w:ascii="Arial" w:hAnsi="Arial" w:cs="Arial"/>
                <w:b/>
                <w:bCs/>
                <w:sz w:val="20"/>
                <w:szCs w:val="20"/>
              </w:rPr>
              <w:t>PI-19 Conformité aux principes de l’administration des recettes</w:t>
            </w:r>
          </w:p>
        </w:tc>
        <w:tc>
          <w:tcPr>
            <w:tcW w:w="872" w:type="dxa"/>
          </w:tcPr>
          <w:p w:rsidR="003A596A" w:rsidRPr="00A17E25" w:rsidRDefault="00FB2AD5" w:rsidP="003A596A">
            <w:pPr>
              <w:ind w:left="-87" w:right="-108"/>
              <w:jc w:val="center"/>
              <w:rPr>
                <w:rFonts w:ascii="Arial" w:hAnsi="Arial" w:cs="Arial"/>
                <w:b/>
                <w:bCs/>
                <w:sz w:val="20"/>
                <w:szCs w:val="20"/>
              </w:rPr>
            </w:pPr>
            <w:r>
              <w:rPr>
                <w:rFonts w:ascii="Arial" w:hAnsi="Arial" w:cs="Arial"/>
                <w:b/>
                <w:bCs/>
                <w:sz w:val="20"/>
                <w:szCs w:val="20"/>
              </w:rPr>
              <w:t>C</w:t>
            </w:r>
          </w:p>
        </w:tc>
        <w:tc>
          <w:tcPr>
            <w:tcW w:w="3544" w:type="dxa"/>
          </w:tcPr>
          <w:p w:rsidR="003A596A" w:rsidRPr="00A17E25" w:rsidRDefault="003A596A" w:rsidP="003A596A">
            <w:pPr>
              <w:ind w:right="-426"/>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BF5A38">
        <w:tc>
          <w:tcPr>
            <w:tcW w:w="4877" w:type="dxa"/>
          </w:tcPr>
          <w:p w:rsidR="003A596A" w:rsidRPr="00A17E25" w:rsidRDefault="003A596A" w:rsidP="0034021B">
            <w:pPr>
              <w:pStyle w:val="Default"/>
              <w:jc w:val="both"/>
              <w:rPr>
                <w:rFonts w:ascii="Arial" w:hAnsi="Arial" w:cs="Arial"/>
                <w:sz w:val="20"/>
                <w:szCs w:val="20"/>
              </w:rPr>
            </w:pPr>
            <w:r w:rsidRPr="00A17E25">
              <w:rPr>
                <w:rFonts w:ascii="Arial" w:hAnsi="Arial" w:cs="Arial"/>
                <w:sz w:val="20"/>
                <w:szCs w:val="20"/>
                <w:lang w:val="fr-FR"/>
              </w:rPr>
              <w:t xml:space="preserve">i) Informations communiquées aux particuliers et aux entreprises sur leurs obligations et sur leurs droits concernant les paiements qu’ils doivent effectuer à la CC </w:t>
            </w:r>
          </w:p>
        </w:tc>
        <w:tc>
          <w:tcPr>
            <w:tcW w:w="872" w:type="dxa"/>
          </w:tcPr>
          <w:p w:rsidR="003A596A" w:rsidRPr="00A17E25" w:rsidRDefault="003A596A" w:rsidP="003A596A">
            <w:pPr>
              <w:ind w:left="-87" w:right="-108"/>
              <w:jc w:val="center"/>
              <w:rPr>
                <w:rFonts w:ascii="Arial" w:hAnsi="Arial" w:cs="Arial"/>
                <w:sz w:val="20"/>
                <w:szCs w:val="20"/>
              </w:rPr>
            </w:pPr>
            <w:r w:rsidRPr="00A17E25">
              <w:rPr>
                <w:rFonts w:ascii="Arial" w:hAnsi="Arial" w:cs="Arial"/>
                <w:sz w:val="20"/>
                <w:szCs w:val="20"/>
              </w:rPr>
              <w:t>A</w:t>
            </w:r>
          </w:p>
        </w:tc>
        <w:tc>
          <w:tcPr>
            <w:tcW w:w="3544" w:type="dxa"/>
          </w:tcPr>
          <w:p w:rsidR="003A596A" w:rsidRPr="00A17E25" w:rsidRDefault="003A596A" w:rsidP="007547D5">
            <w:pPr>
              <w:pStyle w:val="Default"/>
              <w:jc w:val="both"/>
              <w:rPr>
                <w:rFonts w:ascii="Arial" w:hAnsi="Arial" w:cs="Arial"/>
                <w:sz w:val="20"/>
                <w:szCs w:val="20"/>
                <w:lang w:val="fr-FR"/>
              </w:rPr>
            </w:pPr>
            <w:r w:rsidRPr="00A17E25">
              <w:rPr>
                <w:rFonts w:ascii="Arial" w:hAnsi="Arial" w:cs="Arial"/>
                <w:sz w:val="20"/>
                <w:szCs w:val="20"/>
                <w:lang w:val="fr-FR"/>
              </w:rPr>
              <w:t xml:space="preserve">La CC donne un accès commode à des informations et à des procédures administratives détaillées, faciles à utiliser et à jour, y compris une procédure de recours. </w:t>
            </w:r>
          </w:p>
        </w:tc>
      </w:tr>
      <w:tr w:rsidR="003A596A" w:rsidRPr="00A17E25" w:rsidTr="00BF5A38">
        <w:tc>
          <w:tcPr>
            <w:tcW w:w="4877" w:type="dxa"/>
          </w:tcPr>
          <w:p w:rsidR="003A596A" w:rsidRPr="00A17E25" w:rsidRDefault="003A596A" w:rsidP="0034021B">
            <w:pPr>
              <w:pStyle w:val="Default"/>
              <w:jc w:val="both"/>
              <w:rPr>
                <w:rFonts w:ascii="Arial" w:hAnsi="Arial" w:cs="Arial"/>
                <w:sz w:val="20"/>
                <w:szCs w:val="20"/>
              </w:rPr>
            </w:pPr>
            <w:r w:rsidRPr="00A17E25">
              <w:rPr>
                <w:rFonts w:ascii="Arial" w:hAnsi="Arial" w:cs="Arial"/>
                <w:sz w:val="20"/>
                <w:szCs w:val="20"/>
                <w:lang w:val="fr-FR"/>
              </w:rPr>
              <w:t xml:space="preserve">ii) Gestion des risques auxquels sont exposées les recettes </w:t>
            </w:r>
          </w:p>
        </w:tc>
        <w:tc>
          <w:tcPr>
            <w:tcW w:w="872" w:type="dxa"/>
          </w:tcPr>
          <w:p w:rsidR="003A596A" w:rsidRPr="00A17E25" w:rsidRDefault="003A596A" w:rsidP="003A596A">
            <w:pPr>
              <w:ind w:left="-87" w:right="-108"/>
              <w:jc w:val="center"/>
              <w:rPr>
                <w:rFonts w:ascii="Arial" w:hAnsi="Arial" w:cs="Arial"/>
                <w:sz w:val="20"/>
                <w:szCs w:val="20"/>
              </w:rPr>
            </w:pPr>
            <w:r w:rsidRPr="00A17E25">
              <w:rPr>
                <w:rFonts w:ascii="Arial" w:hAnsi="Arial" w:cs="Arial"/>
                <w:sz w:val="20"/>
                <w:szCs w:val="20"/>
              </w:rPr>
              <w:t>D</w:t>
            </w:r>
          </w:p>
        </w:tc>
        <w:tc>
          <w:tcPr>
            <w:tcW w:w="3544" w:type="dxa"/>
          </w:tcPr>
          <w:p w:rsidR="003A596A" w:rsidRPr="00A17E25" w:rsidRDefault="003A596A" w:rsidP="007547D5">
            <w:pPr>
              <w:pStyle w:val="Default"/>
              <w:jc w:val="both"/>
              <w:rPr>
                <w:rFonts w:ascii="Arial" w:hAnsi="Arial" w:cs="Arial"/>
                <w:sz w:val="20"/>
                <w:szCs w:val="20"/>
                <w:lang w:val="fr-FR"/>
              </w:rPr>
            </w:pPr>
            <w:r w:rsidRPr="00A17E25">
              <w:rPr>
                <w:rFonts w:ascii="Arial" w:hAnsi="Arial" w:cs="Arial"/>
                <w:sz w:val="20"/>
                <w:szCs w:val="20"/>
                <w:lang w:val="fr-FR"/>
              </w:rPr>
              <w:t>La CC n’utilise pas un processus de gestion des risques pour la collecte des recettes fiscales.</w:t>
            </w:r>
          </w:p>
        </w:tc>
      </w:tr>
      <w:tr w:rsidR="003A596A" w:rsidRPr="00A17E25" w:rsidTr="00BF5A38">
        <w:tc>
          <w:tcPr>
            <w:tcW w:w="4877"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iii) Pratiques en matière d’audit et d’enquêtes en cas de fraude (y compris les sanctions) conçues pour atteindre les résultats prévus en ce qui concerne le champ d’application et les recettes supplémentaires </w:t>
            </w:r>
          </w:p>
        </w:tc>
        <w:tc>
          <w:tcPr>
            <w:tcW w:w="872" w:type="dxa"/>
          </w:tcPr>
          <w:p w:rsidR="003A596A" w:rsidRPr="00A17E25" w:rsidRDefault="00FB2AD5" w:rsidP="003A596A">
            <w:pPr>
              <w:ind w:left="-87" w:right="-108"/>
              <w:jc w:val="center"/>
              <w:rPr>
                <w:rFonts w:ascii="Arial" w:hAnsi="Arial" w:cs="Arial"/>
                <w:sz w:val="20"/>
                <w:szCs w:val="20"/>
              </w:rPr>
            </w:pPr>
            <w:r>
              <w:rPr>
                <w:rFonts w:ascii="Arial" w:hAnsi="Arial" w:cs="Arial"/>
                <w:sz w:val="20"/>
                <w:szCs w:val="20"/>
              </w:rPr>
              <w:t>C</w:t>
            </w:r>
          </w:p>
        </w:tc>
        <w:tc>
          <w:tcPr>
            <w:tcW w:w="3544"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La CC procède à des audits et à des enquêtes   dans les cas présumés de fraude. </w:t>
            </w:r>
          </w:p>
          <w:p w:rsidR="003A596A" w:rsidRPr="00A17E25" w:rsidRDefault="003A596A" w:rsidP="003A596A">
            <w:pPr>
              <w:ind w:right="-426"/>
              <w:jc w:val="both"/>
              <w:rPr>
                <w:rFonts w:ascii="Arial" w:hAnsi="Arial" w:cs="Arial"/>
                <w:sz w:val="20"/>
                <w:szCs w:val="20"/>
              </w:rPr>
            </w:pPr>
          </w:p>
        </w:tc>
      </w:tr>
      <w:tr w:rsidR="003A596A" w:rsidRPr="00A17E25" w:rsidTr="00BF5A38">
        <w:tc>
          <w:tcPr>
            <w:tcW w:w="4877"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iv) Gestion des arriérés au niveau des recettes </w:t>
            </w:r>
          </w:p>
          <w:p w:rsidR="003A596A" w:rsidRPr="00A17E25" w:rsidRDefault="003A596A" w:rsidP="003A596A">
            <w:pPr>
              <w:tabs>
                <w:tab w:val="left" w:pos="470"/>
              </w:tabs>
              <w:ind w:right="-426"/>
              <w:jc w:val="both"/>
              <w:rPr>
                <w:rFonts w:ascii="Arial" w:hAnsi="Arial" w:cs="Arial"/>
                <w:sz w:val="20"/>
                <w:szCs w:val="20"/>
              </w:rPr>
            </w:pPr>
          </w:p>
        </w:tc>
        <w:tc>
          <w:tcPr>
            <w:tcW w:w="872" w:type="dxa"/>
          </w:tcPr>
          <w:p w:rsidR="003A596A" w:rsidRPr="00A17E25" w:rsidRDefault="003A596A" w:rsidP="003A596A">
            <w:pPr>
              <w:ind w:left="-87" w:right="-108"/>
              <w:jc w:val="center"/>
              <w:rPr>
                <w:rFonts w:ascii="Arial" w:hAnsi="Arial" w:cs="Arial"/>
                <w:sz w:val="20"/>
                <w:szCs w:val="20"/>
              </w:rPr>
            </w:pPr>
            <w:r w:rsidRPr="00A17E25">
              <w:rPr>
                <w:rFonts w:ascii="Arial" w:hAnsi="Arial" w:cs="Arial"/>
                <w:sz w:val="20"/>
                <w:szCs w:val="20"/>
              </w:rPr>
              <w:t>D</w:t>
            </w:r>
          </w:p>
        </w:tc>
        <w:tc>
          <w:tcPr>
            <w:tcW w:w="3544" w:type="dxa"/>
          </w:tcPr>
          <w:p w:rsidR="003A596A" w:rsidRPr="00A17E25" w:rsidRDefault="003A596A" w:rsidP="003A596A">
            <w:pPr>
              <w:ind w:right="-426"/>
              <w:jc w:val="both"/>
              <w:rPr>
                <w:rFonts w:ascii="Arial" w:hAnsi="Arial" w:cs="Arial"/>
                <w:sz w:val="20"/>
                <w:szCs w:val="20"/>
              </w:rPr>
            </w:pPr>
            <w:r w:rsidRPr="00A17E25">
              <w:rPr>
                <w:rFonts w:ascii="Arial" w:hAnsi="Arial" w:cs="Arial"/>
                <w:sz w:val="20"/>
                <w:szCs w:val="20"/>
              </w:rPr>
              <w:t>La mission ne dispose pas de données fiables pour noter cette composante.</w:t>
            </w:r>
          </w:p>
        </w:tc>
      </w:tr>
    </w:tbl>
    <w:p w:rsidR="003A596A" w:rsidRPr="00A17E25" w:rsidRDefault="003A596A" w:rsidP="003A596A">
      <w:pPr>
        <w:pStyle w:val="Heading1"/>
        <w:jc w:val="both"/>
        <w:rPr>
          <w:rFonts w:cs="Arial"/>
          <w:b w:val="0"/>
          <w:sz w:val="24"/>
          <w:szCs w:val="24"/>
        </w:rPr>
      </w:pPr>
      <w:bookmarkStart w:id="237" w:name="_Toc434916147"/>
      <w:bookmarkStart w:id="238" w:name="_Toc434918361"/>
      <w:r w:rsidRPr="00A17E25">
        <w:rPr>
          <w:rFonts w:cs="Arial"/>
          <w:sz w:val="24"/>
          <w:szCs w:val="24"/>
        </w:rPr>
        <w:t>PI-20: Comptabilisation des recettes</w:t>
      </w:r>
      <w:bookmarkEnd w:id="224"/>
      <w:bookmarkEnd w:id="237"/>
      <w:bookmarkEnd w:id="238"/>
    </w:p>
    <w:p w:rsidR="003A596A" w:rsidRDefault="003A596A" w:rsidP="003A596A">
      <w:pPr>
        <w:pStyle w:val="Default"/>
        <w:jc w:val="both"/>
        <w:rPr>
          <w:rFonts w:ascii="Arial" w:hAnsi="Arial" w:cs="Arial"/>
          <w:lang w:val="fr-FR"/>
        </w:rPr>
      </w:pPr>
    </w:p>
    <w:p w:rsidR="00247377" w:rsidRDefault="00247377" w:rsidP="003A596A">
      <w:pPr>
        <w:pStyle w:val="Default"/>
        <w:jc w:val="both"/>
        <w:rPr>
          <w:rFonts w:ascii="Arial" w:hAnsi="Arial" w:cs="Arial"/>
          <w:lang w:val="fr-FR"/>
        </w:rPr>
      </w:pPr>
      <w:r>
        <w:rPr>
          <w:rFonts w:ascii="Arial" w:hAnsi="Arial" w:cs="Arial"/>
          <w:lang w:val="fr-FR"/>
        </w:rPr>
        <w:t>Les données et informations considérées pour la notation des trois composantes de cet indicateur sont celles qui sont disponibles au moment de l’évaluation.</w:t>
      </w:r>
    </w:p>
    <w:p w:rsidR="00247377" w:rsidRPr="00A17E25" w:rsidRDefault="00247377" w:rsidP="003A596A">
      <w:pPr>
        <w:pStyle w:val="Default"/>
        <w:jc w:val="both"/>
        <w:rPr>
          <w:rFonts w:ascii="Arial" w:hAnsi="Arial" w:cs="Arial"/>
          <w:lang w:val="fr-FR"/>
        </w:rPr>
      </w:pPr>
    </w:p>
    <w:p w:rsidR="003A596A" w:rsidRPr="00A17E25" w:rsidRDefault="003A596A" w:rsidP="003A596A">
      <w:pPr>
        <w:pStyle w:val="Default"/>
        <w:jc w:val="both"/>
        <w:rPr>
          <w:rFonts w:ascii="Arial" w:hAnsi="Arial" w:cs="Arial"/>
          <w:lang w:val="fr-FR"/>
        </w:rPr>
      </w:pPr>
      <w:r w:rsidRPr="00A17E25">
        <w:rPr>
          <w:rFonts w:ascii="Arial" w:hAnsi="Arial" w:cs="Arial"/>
          <w:lang w:val="fr-FR"/>
        </w:rPr>
        <w:t>Conformément à la législation en vigueur</w:t>
      </w:r>
      <w:r w:rsidRPr="00A17E25">
        <w:rPr>
          <w:rStyle w:val="FootnoteReference"/>
          <w:rFonts w:ascii="Arial" w:hAnsi="Arial" w:cs="Arial"/>
          <w:lang w:val="fr-FR"/>
        </w:rPr>
        <w:footnoteReference w:id="44"/>
      </w:r>
      <w:r w:rsidRPr="00A17E25">
        <w:rPr>
          <w:rFonts w:ascii="Arial" w:hAnsi="Arial" w:cs="Arial"/>
          <w:lang w:val="fr-FR"/>
        </w:rPr>
        <w:t>, les opérations ci-dessous sont, effectuées par le comptable public :</w:t>
      </w:r>
    </w:p>
    <w:p w:rsidR="003A596A" w:rsidRPr="00A17E25" w:rsidRDefault="003A596A" w:rsidP="00151AD3">
      <w:pPr>
        <w:pStyle w:val="Default"/>
        <w:numPr>
          <w:ilvl w:val="0"/>
          <w:numId w:val="5"/>
        </w:numPr>
        <w:jc w:val="both"/>
        <w:rPr>
          <w:rFonts w:ascii="Arial" w:hAnsi="Arial" w:cs="Arial"/>
          <w:lang w:val="fr-FR"/>
        </w:rPr>
      </w:pPr>
      <w:r w:rsidRPr="00A17E25">
        <w:rPr>
          <w:rFonts w:ascii="Arial" w:hAnsi="Arial" w:cs="Arial"/>
          <w:lang w:val="fr-FR"/>
        </w:rPr>
        <w:t>L'encaissement des droits au comptant et des taxes déclaratives;</w:t>
      </w:r>
    </w:p>
    <w:p w:rsidR="003A596A" w:rsidRPr="00A17E25" w:rsidRDefault="003A596A" w:rsidP="00151AD3">
      <w:pPr>
        <w:pStyle w:val="Default"/>
        <w:numPr>
          <w:ilvl w:val="0"/>
          <w:numId w:val="5"/>
        </w:numPr>
        <w:jc w:val="both"/>
        <w:rPr>
          <w:rFonts w:ascii="Arial" w:hAnsi="Arial" w:cs="Arial"/>
          <w:lang w:val="fr-FR"/>
        </w:rPr>
      </w:pPr>
      <w:r w:rsidRPr="00A17E25">
        <w:rPr>
          <w:rFonts w:ascii="Arial" w:hAnsi="Arial" w:cs="Arial"/>
          <w:lang w:val="fr-FR"/>
        </w:rPr>
        <w:t xml:space="preserve">La prise en charge et </w:t>
      </w:r>
      <w:r w:rsidR="00247377">
        <w:rPr>
          <w:rFonts w:ascii="Arial" w:hAnsi="Arial" w:cs="Arial"/>
          <w:lang w:val="fr-FR"/>
        </w:rPr>
        <w:t>le</w:t>
      </w:r>
      <w:r w:rsidRPr="00A17E25">
        <w:rPr>
          <w:rFonts w:ascii="Arial" w:hAnsi="Arial" w:cs="Arial"/>
          <w:lang w:val="fr-FR"/>
        </w:rPr>
        <w:t xml:space="preserve"> recouvrement des ordres de recettes  émis par les ordonnateurs et les diligences nécessaires pour le recouvrement des recettes;</w:t>
      </w:r>
    </w:p>
    <w:p w:rsidR="003A596A" w:rsidRPr="00A17E25" w:rsidRDefault="003A596A" w:rsidP="00151AD3">
      <w:pPr>
        <w:pStyle w:val="Pa65"/>
        <w:numPr>
          <w:ilvl w:val="0"/>
          <w:numId w:val="5"/>
        </w:numPr>
        <w:spacing w:line="240" w:lineRule="auto"/>
        <w:jc w:val="both"/>
      </w:pPr>
      <w:r w:rsidRPr="00A17E25">
        <w:t>La conservation des fonds et valeurs;</w:t>
      </w:r>
    </w:p>
    <w:p w:rsidR="003A596A" w:rsidRPr="00A17E25" w:rsidRDefault="003A596A" w:rsidP="00151AD3">
      <w:pPr>
        <w:pStyle w:val="Pa65"/>
        <w:numPr>
          <w:ilvl w:val="0"/>
          <w:numId w:val="5"/>
        </w:numPr>
        <w:spacing w:line="240" w:lineRule="auto"/>
        <w:jc w:val="both"/>
      </w:pPr>
      <w:r w:rsidRPr="00A17E25">
        <w:t>Le maniement des fonds et des mouvements de comptes de disponibilités;</w:t>
      </w:r>
    </w:p>
    <w:p w:rsidR="003A596A" w:rsidRPr="00A17E25" w:rsidRDefault="003A596A" w:rsidP="00151AD3">
      <w:pPr>
        <w:pStyle w:val="Pa65"/>
        <w:numPr>
          <w:ilvl w:val="0"/>
          <w:numId w:val="5"/>
        </w:numPr>
        <w:spacing w:line="240" w:lineRule="auto"/>
        <w:jc w:val="both"/>
      </w:pPr>
      <w:r w:rsidRPr="00A17E25">
        <w:t>La tenue de la comptabilité et de la centralisation des opérations de recettes ;</w:t>
      </w:r>
    </w:p>
    <w:p w:rsidR="003A596A" w:rsidRPr="003A29CD" w:rsidRDefault="003A596A" w:rsidP="003A596A">
      <w:pPr>
        <w:pStyle w:val="Comp"/>
        <w:numPr>
          <w:ilvl w:val="0"/>
          <w:numId w:val="82"/>
        </w:numPr>
        <w:rPr>
          <w:rFonts w:ascii="Arial" w:hAnsi="Arial" w:cs="Arial"/>
          <w:b w:val="0"/>
          <w:color w:val="0070C0"/>
          <w:sz w:val="24"/>
          <w:szCs w:val="24"/>
        </w:rPr>
      </w:pPr>
      <w:bookmarkStart w:id="239" w:name="_Toc432501840"/>
      <w:bookmarkStart w:id="240" w:name="_Toc434916148"/>
      <w:bookmarkStart w:id="241" w:name="_Toc434918362"/>
      <w:r w:rsidRPr="003A29CD">
        <w:rPr>
          <w:rFonts w:ascii="Arial" w:hAnsi="Arial" w:cs="Arial"/>
          <w:b w:val="0"/>
          <w:color w:val="0070C0"/>
          <w:sz w:val="24"/>
          <w:szCs w:val="24"/>
        </w:rPr>
        <w:t>Couverture et actualité des informations sur les recettes recouvrées par la CC.</w:t>
      </w:r>
      <w:bookmarkEnd w:id="239"/>
      <w:bookmarkEnd w:id="240"/>
      <w:bookmarkEnd w:id="241"/>
    </w:p>
    <w:p w:rsidR="003A596A" w:rsidRPr="00A17E25" w:rsidRDefault="003A596A" w:rsidP="003A596A">
      <w:pPr>
        <w:jc w:val="both"/>
        <w:rPr>
          <w:rFonts w:ascii="Arial" w:hAnsi="Arial" w:cs="Arial"/>
        </w:rPr>
      </w:pPr>
      <w:r w:rsidRPr="00A17E25">
        <w:rPr>
          <w:rFonts w:ascii="Arial" w:hAnsi="Arial" w:cs="Arial"/>
        </w:rPr>
        <w:t>Toutes les taxes et autres recettes perçues par la CC sont versées directement sur le compte unique du Trésor à la banque centrale. Les comptables publics chargés de ces opérations sont :</w:t>
      </w:r>
    </w:p>
    <w:p w:rsidR="003A596A" w:rsidRPr="00A17E25" w:rsidRDefault="003A596A" w:rsidP="003A596A">
      <w:pPr>
        <w:jc w:val="both"/>
        <w:rPr>
          <w:rFonts w:ascii="Arial" w:hAnsi="Arial" w:cs="Arial"/>
        </w:rPr>
      </w:pPr>
    </w:p>
    <w:p w:rsidR="003A596A" w:rsidRPr="00A17E25" w:rsidRDefault="003A596A" w:rsidP="00151AD3">
      <w:pPr>
        <w:pStyle w:val="ListParagraph"/>
        <w:numPr>
          <w:ilvl w:val="0"/>
          <w:numId w:val="6"/>
        </w:numPr>
        <w:autoSpaceDE w:val="0"/>
        <w:autoSpaceDN w:val="0"/>
        <w:adjustRightInd w:val="0"/>
        <w:contextualSpacing/>
        <w:jc w:val="both"/>
        <w:rPr>
          <w:rFonts w:ascii="Arial" w:hAnsi="Arial" w:cs="Arial"/>
        </w:rPr>
      </w:pPr>
      <w:r w:rsidRPr="00A17E25">
        <w:rPr>
          <w:rFonts w:ascii="Arial" w:hAnsi="Arial" w:cs="Arial"/>
        </w:rPr>
        <w:t>Les percepteurs communaux qui en leur qualité de comptables rattachés aux trésoriers communaux, sont chargés d'assurer le recouvrement des droits, taxes et redevances prélevés par les collectivités locales.</w:t>
      </w:r>
    </w:p>
    <w:p w:rsidR="003A596A" w:rsidRPr="00A17E25" w:rsidRDefault="003A596A" w:rsidP="00151AD3">
      <w:pPr>
        <w:pStyle w:val="Pa55"/>
        <w:numPr>
          <w:ilvl w:val="0"/>
          <w:numId w:val="6"/>
        </w:numPr>
        <w:spacing w:line="240" w:lineRule="auto"/>
        <w:jc w:val="both"/>
      </w:pPr>
      <w:r w:rsidRPr="00A17E25">
        <w:t>Les régisseurs sont chargés d'opérations d'encaissements</w:t>
      </w:r>
      <w:r w:rsidR="00247377">
        <w: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recouvrement des créances des collectivités locales est effectué dans les conditions fixées par la loi</w:t>
      </w:r>
      <w:r w:rsidRPr="00A17E25">
        <w:rPr>
          <w:rStyle w:val="FootnoteReference"/>
          <w:rFonts w:ascii="Arial" w:hAnsi="Arial" w:cs="Arial"/>
        </w:rPr>
        <w:footnoteReference w:id="45"/>
      </w:r>
      <w:r w:rsidR="00247377">
        <w:rPr>
          <w:rFonts w:ascii="Arial" w:hAnsi="Arial" w:cs="Arial"/>
        </w:rPr>
        <w:t xml:space="preserve"> : </w:t>
      </w:r>
      <w:r w:rsidRPr="00A17E25">
        <w:rPr>
          <w:rFonts w:ascii="Arial" w:hAnsi="Arial" w:cs="Arial"/>
        </w:rPr>
        <w:t>« </w:t>
      </w:r>
      <w:r w:rsidRPr="00A17E25">
        <w:rPr>
          <w:rFonts w:ascii="Arial" w:hAnsi="Arial" w:cs="Arial"/>
          <w:i/>
          <w:iCs/>
        </w:rPr>
        <w:t>Après chaque arrêté de fin de mois, le trésorier payeur est tenu de notifier à l'ordonnateur, avant le 10 du mois suivant, une situation résumée des opérations de recettes et de dépenses et une situation consolidée des disponibilités</w:t>
      </w:r>
      <w:r w:rsidRPr="00A17E25">
        <w:rPr>
          <w:rStyle w:val="FootnoteReference"/>
          <w:rFonts w:ascii="Arial" w:hAnsi="Arial" w:cs="Arial"/>
          <w:i/>
          <w:iCs/>
        </w:rPr>
        <w:footnoteReference w:id="46"/>
      </w:r>
      <w:r w:rsidRPr="00A17E25">
        <w:rPr>
          <w:rFonts w:ascii="Arial" w:hAnsi="Arial" w:cs="Arial"/>
        </w:rPr>
        <w:t> ».</w:t>
      </w:r>
    </w:p>
    <w:p w:rsidR="003A596A" w:rsidRPr="003A29CD" w:rsidRDefault="003A596A" w:rsidP="003A596A">
      <w:pPr>
        <w:jc w:val="both"/>
        <w:rPr>
          <w:rFonts w:ascii="Arial" w:hAnsi="Arial"/>
          <w:i/>
          <w:iCs/>
          <w:color w:val="0070C0"/>
        </w:rPr>
      </w:pPr>
    </w:p>
    <w:p w:rsidR="003A596A" w:rsidRPr="003A29CD" w:rsidRDefault="003A596A" w:rsidP="00151AD3">
      <w:pPr>
        <w:pStyle w:val="Comp"/>
        <w:numPr>
          <w:ilvl w:val="0"/>
          <w:numId w:val="20"/>
        </w:numPr>
        <w:rPr>
          <w:rFonts w:ascii="Arial" w:hAnsi="Arial" w:cs="Arial"/>
          <w:b w:val="0"/>
          <w:color w:val="0070C0"/>
          <w:sz w:val="24"/>
          <w:szCs w:val="24"/>
        </w:rPr>
      </w:pPr>
      <w:bookmarkStart w:id="242" w:name="_Toc432501841"/>
      <w:bookmarkStart w:id="243" w:name="_Toc434916149"/>
      <w:bookmarkStart w:id="244" w:name="_Toc434918363"/>
      <w:r w:rsidRPr="003A29CD">
        <w:rPr>
          <w:rFonts w:ascii="Arial" w:hAnsi="Arial" w:cs="Arial"/>
          <w:b w:val="0"/>
          <w:color w:val="0070C0"/>
          <w:sz w:val="24"/>
          <w:szCs w:val="24"/>
        </w:rPr>
        <w:t>Efficacité du transfert des recettes recouvrées au Trésor ou aux autres organismes désignés.</w:t>
      </w:r>
      <w:bookmarkEnd w:id="242"/>
      <w:bookmarkEnd w:id="243"/>
      <w:bookmarkEnd w:id="244"/>
    </w:p>
    <w:p w:rsidR="003A596A" w:rsidRPr="00A17E25" w:rsidRDefault="003A596A" w:rsidP="003A596A">
      <w:pPr>
        <w:pStyle w:val="PJ"/>
        <w:rPr>
          <w:rFonts w:ascii="Arial" w:hAnsi="Arial" w:cs="Arial"/>
        </w:rPr>
      </w:pPr>
      <w:r w:rsidRPr="00A17E25">
        <w:rPr>
          <w:rFonts w:ascii="Arial" w:hAnsi="Arial" w:cs="Arial"/>
        </w:rPr>
        <w:t xml:space="preserve">Le principe d’unicité de caisse est respecté au Maroc et il existe un seul compte courant du Trésor, tenu à la Banque Al-Maghrib subdivisé en sous-comptes, sur lequel les recettes sont transférées. </w:t>
      </w:r>
    </w:p>
    <w:p w:rsidR="003A596A" w:rsidRPr="00A17E25" w:rsidRDefault="003A596A" w:rsidP="003A596A">
      <w:pPr>
        <w:pStyle w:val="PJ"/>
        <w:rPr>
          <w:rFonts w:ascii="Arial" w:hAnsi="Arial" w:cs="Arial"/>
        </w:rPr>
      </w:pPr>
      <w:r w:rsidRPr="00A17E25">
        <w:rPr>
          <w:rFonts w:ascii="Arial" w:hAnsi="Arial" w:cs="Arial"/>
        </w:rPr>
        <w:t xml:space="preserve">Toutes les recettes sont versées aux bureaux du Trésor, et les fonds sont immédiatement transférés à la Banque Centrale. Les transferts de recettes sont effectués à J+1.  </w:t>
      </w:r>
    </w:p>
    <w:p w:rsidR="003A596A" w:rsidRPr="00A17E25" w:rsidRDefault="003A596A" w:rsidP="003A596A">
      <w:pPr>
        <w:jc w:val="both"/>
        <w:rPr>
          <w:rFonts w:ascii="Arial" w:hAnsi="Arial" w:cs="Arial"/>
        </w:rPr>
      </w:pPr>
      <w:r w:rsidRPr="00A17E25">
        <w:rPr>
          <w:rFonts w:ascii="Arial" w:hAnsi="Arial" w:cs="Arial"/>
        </w:rPr>
        <w:t>La mission a noté au moment de l’évaluation que les paiements des contribuables se font soit :</w:t>
      </w:r>
    </w:p>
    <w:p w:rsidR="003A596A" w:rsidRPr="00A17E25" w:rsidRDefault="003A596A" w:rsidP="00151AD3">
      <w:pPr>
        <w:pStyle w:val="ListParagraph"/>
        <w:numPr>
          <w:ilvl w:val="0"/>
          <w:numId w:val="7"/>
        </w:numPr>
        <w:autoSpaceDE w:val="0"/>
        <w:autoSpaceDN w:val="0"/>
        <w:adjustRightInd w:val="0"/>
        <w:contextualSpacing/>
        <w:jc w:val="both"/>
        <w:rPr>
          <w:rFonts w:ascii="Arial" w:hAnsi="Arial" w:cs="Arial"/>
        </w:rPr>
      </w:pPr>
      <w:r w:rsidRPr="00A17E25">
        <w:rPr>
          <w:rFonts w:ascii="Arial" w:hAnsi="Arial" w:cs="Arial"/>
        </w:rPr>
        <w:t>Directement auprès de l’un des percepteurs qui dépendent du Trésorier Communal qui lui-même dépend du Trésorier Régional en ce qui concerne les impôts dont la gestion est confiée à la Direction Générale des Impôts (Taxe sur les services communaux, taxe professionnelle et taxe d’habitation).</w:t>
      </w:r>
    </w:p>
    <w:p w:rsidR="003A596A" w:rsidRPr="00A17E25" w:rsidRDefault="003A596A" w:rsidP="00151AD3">
      <w:pPr>
        <w:pStyle w:val="ListParagraph"/>
        <w:numPr>
          <w:ilvl w:val="0"/>
          <w:numId w:val="7"/>
        </w:numPr>
        <w:autoSpaceDE w:val="0"/>
        <w:autoSpaceDN w:val="0"/>
        <w:adjustRightInd w:val="0"/>
        <w:contextualSpacing/>
        <w:jc w:val="both"/>
        <w:rPr>
          <w:rFonts w:ascii="Arial" w:hAnsi="Arial" w:cs="Arial"/>
        </w:rPr>
      </w:pPr>
      <w:r w:rsidRPr="00A17E25">
        <w:rPr>
          <w:rFonts w:ascii="Arial" w:hAnsi="Arial" w:cs="Arial"/>
        </w:rPr>
        <w:t xml:space="preserve">Auprès des régisseurs de la commune pour les autres impôts, redevances et droits. </w:t>
      </w:r>
    </w:p>
    <w:p w:rsidR="003A596A" w:rsidRPr="00A17E25" w:rsidRDefault="003A596A" w:rsidP="003A596A">
      <w:pPr>
        <w:autoSpaceDE w:val="0"/>
        <w:autoSpaceDN w:val="0"/>
        <w:adjustRightInd w:val="0"/>
        <w:jc w:val="both"/>
        <w:rPr>
          <w:rFonts w:ascii="Arial" w:hAnsi="Arial" w:cs="Arial"/>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rPr>
        <w:t xml:space="preserve">Les paiements, se font dans ces cas, </w:t>
      </w:r>
      <w:r w:rsidR="004F4EC5">
        <w:rPr>
          <w:rFonts w:ascii="Arial" w:hAnsi="Arial" w:cs="Arial"/>
        </w:rPr>
        <w:t>à</w:t>
      </w:r>
      <w:r w:rsidRPr="00A17E25">
        <w:rPr>
          <w:rFonts w:ascii="Arial" w:hAnsi="Arial" w:cs="Arial"/>
        </w:rPr>
        <w:t xml:space="preserve"> la CC ou dans l’un des 16 arrondissements ou dans les différents points de collectes (marché de gros, abattoirs, guichet des prestations).</w:t>
      </w:r>
    </w:p>
    <w:p w:rsidR="003A596A" w:rsidRPr="00A17E25" w:rsidRDefault="003A596A" w:rsidP="003A596A">
      <w:pPr>
        <w:autoSpaceDE w:val="0"/>
        <w:autoSpaceDN w:val="0"/>
        <w:adjustRightInd w:val="0"/>
        <w:ind w:left="360"/>
        <w:jc w:val="both"/>
        <w:rPr>
          <w:rFonts w:ascii="Arial" w:hAnsi="Arial" w:cs="Arial"/>
        </w:rPr>
      </w:pPr>
    </w:p>
    <w:p w:rsidR="003A596A" w:rsidRPr="00A17E25" w:rsidRDefault="003A596A" w:rsidP="003A596A">
      <w:pPr>
        <w:autoSpaceDE w:val="0"/>
        <w:autoSpaceDN w:val="0"/>
        <w:adjustRightInd w:val="0"/>
        <w:jc w:val="both"/>
        <w:rPr>
          <w:rFonts w:ascii="Arial" w:hAnsi="Arial" w:cs="Arial"/>
        </w:rPr>
      </w:pPr>
      <w:r w:rsidRPr="00A17E25">
        <w:rPr>
          <w:rFonts w:ascii="Arial" w:hAnsi="Arial" w:cs="Arial"/>
        </w:rPr>
        <w:t>Chaque régisseur centralise chaque jour la recette qu’il gère et celle encaissée par ses préposés. Il procède au versement tous les jours des espèces et chèques reçus directement de même que les espèces reçues des autres points de paiements dans le compte de la CC auprès à la Trésorerie Générale Communale.</w:t>
      </w:r>
    </w:p>
    <w:p w:rsidR="003A596A" w:rsidRPr="00A17E25" w:rsidRDefault="003A596A" w:rsidP="003A596A">
      <w:pPr>
        <w:autoSpaceDE w:val="0"/>
        <w:autoSpaceDN w:val="0"/>
        <w:adjustRightInd w:val="0"/>
        <w:jc w:val="both"/>
        <w:rPr>
          <w:rFonts w:ascii="Arial" w:hAnsi="Arial" w:cs="Arial"/>
        </w:rPr>
      </w:pPr>
    </w:p>
    <w:p w:rsidR="003A596A" w:rsidRPr="003A29CD" w:rsidRDefault="003A596A" w:rsidP="00151AD3">
      <w:pPr>
        <w:pStyle w:val="Comp"/>
        <w:numPr>
          <w:ilvl w:val="0"/>
          <w:numId w:val="20"/>
        </w:numPr>
        <w:rPr>
          <w:rFonts w:ascii="Arial" w:hAnsi="Arial" w:cs="Arial"/>
          <w:b w:val="0"/>
          <w:color w:val="0070C0"/>
          <w:sz w:val="24"/>
          <w:szCs w:val="24"/>
        </w:rPr>
      </w:pPr>
      <w:bookmarkStart w:id="245" w:name="_Toc432501842"/>
      <w:bookmarkStart w:id="246" w:name="_Toc434916150"/>
      <w:bookmarkStart w:id="247" w:name="_Toc434918364"/>
      <w:r w:rsidRPr="003A29CD">
        <w:rPr>
          <w:rFonts w:ascii="Arial" w:hAnsi="Arial" w:cs="Arial"/>
          <w:b w:val="0"/>
          <w:color w:val="0070C0"/>
          <w:sz w:val="24"/>
          <w:szCs w:val="24"/>
        </w:rPr>
        <w:t>Fréquence du rapprochement intégral des comptes entre l’évaluation des montants à payer, le recouvrement des recettes, l’enregistrement des arriérés et la réception des recettes par le Trésor ou les autres organismes désignés.</w:t>
      </w:r>
      <w:bookmarkEnd w:id="245"/>
      <w:bookmarkEnd w:id="246"/>
      <w:bookmarkEnd w:id="247"/>
    </w:p>
    <w:p w:rsidR="003A596A" w:rsidRPr="00A17E25" w:rsidRDefault="003A596A" w:rsidP="003A596A">
      <w:pPr>
        <w:pStyle w:val="PJ"/>
        <w:rPr>
          <w:rFonts w:ascii="Arial" w:eastAsia="Times New Roman" w:hAnsi="Arial" w:cs="Arial"/>
        </w:rPr>
      </w:pPr>
      <w:r w:rsidRPr="00A17E25">
        <w:rPr>
          <w:rFonts w:ascii="Arial" w:eastAsia="Times New Roman" w:hAnsi="Arial" w:cs="Arial"/>
        </w:rPr>
        <w:t xml:space="preserve">La comptabilisation des comptes est faite quotidiennement et la consolidation comptable est réalisée chaque mois et transférée au Trésor.  </w:t>
      </w:r>
    </w:p>
    <w:p w:rsidR="003A596A" w:rsidRPr="00A17E25" w:rsidRDefault="003A596A" w:rsidP="003A596A">
      <w:pPr>
        <w:autoSpaceDE w:val="0"/>
        <w:autoSpaceDN w:val="0"/>
        <w:adjustRightInd w:val="0"/>
        <w:jc w:val="both"/>
        <w:rPr>
          <w:rFonts w:ascii="Arial" w:hAnsi="Arial" w:cs="Arial"/>
        </w:rPr>
      </w:pPr>
      <w:r w:rsidRPr="00A17E25">
        <w:rPr>
          <w:rFonts w:ascii="Arial" w:hAnsi="Arial" w:cs="Arial"/>
        </w:rPr>
        <w:t>Dès l'arrêté des écritures du mois le comptable principal notifie à l'ordonnateur concerné le montant des recettes réalisées au cours du mois écoulé, au moyen d'un certificat global de recettes appuyé des justifications requises, aux fins d'émission d'un ordre de recette de «régularisation» au titre du mois de constatation de la recette. L'émission, par l'ordonnateur, dudit ordre de recette doit intervenir avant le 15 du mois qui suit</w:t>
      </w:r>
      <w:r w:rsidRPr="00A17E25">
        <w:rPr>
          <w:rStyle w:val="FootnoteReference"/>
          <w:rFonts w:ascii="Arial" w:hAnsi="Arial" w:cs="Arial"/>
        </w:rPr>
        <w:footnoteReference w:id="47"/>
      </w:r>
      <w:r w:rsidRPr="00A17E25">
        <w:rPr>
          <w:rFonts w:ascii="Arial" w:hAnsi="Arial" w:cs="Arial"/>
        </w:rPr>
        <w:t>.</w:t>
      </w:r>
    </w:p>
    <w:p w:rsidR="003A596A" w:rsidRPr="00A17E25" w:rsidRDefault="003A596A" w:rsidP="003A596A">
      <w:pPr>
        <w:autoSpaceDE w:val="0"/>
        <w:autoSpaceDN w:val="0"/>
        <w:adjustRightInd w:val="0"/>
        <w:jc w:val="both"/>
        <w:rPr>
          <w:rFonts w:ascii="Arial" w:hAnsi="Arial" w:cs="Arial"/>
        </w:rPr>
      </w:pPr>
    </w:p>
    <w:p w:rsidR="003A596A" w:rsidRDefault="003A596A" w:rsidP="004F4EC5">
      <w:pPr>
        <w:autoSpaceDE w:val="0"/>
        <w:autoSpaceDN w:val="0"/>
        <w:adjustRightInd w:val="0"/>
        <w:jc w:val="both"/>
        <w:rPr>
          <w:rFonts w:ascii="Arial" w:hAnsi="Arial" w:cs="Arial"/>
        </w:rPr>
      </w:pPr>
      <w:r w:rsidRPr="00A17E25">
        <w:rPr>
          <w:rFonts w:ascii="Arial" w:hAnsi="Arial" w:cs="Arial"/>
        </w:rPr>
        <w:t>Dans le cas de la CC, la mission a constaté au moment de l’évaluation un retard dans les opérations de rapprochement entre le trésorier et l’AFC</w:t>
      </w:r>
      <w:r w:rsidRPr="00A17E25">
        <w:rPr>
          <w:rStyle w:val="FootnoteReference"/>
          <w:rFonts w:ascii="Arial" w:hAnsi="Arial" w:cs="Arial"/>
        </w:rPr>
        <w:footnoteReference w:id="48"/>
      </w:r>
      <w:r w:rsidRPr="00A17E25">
        <w:rPr>
          <w:rFonts w:ascii="Arial" w:hAnsi="Arial" w:cs="Arial"/>
        </w:rPr>
        <w:t>.</w:t>
      </w:r>
      <w:r w:rsidR="004F4EC5">
        <w:rPr>
          <w:rFonts w:ascii="Arial" w:hAnsi="Arial" w:cs="Arial"/>
        </w:rPr>
        <w:t xml:space="preserve"> </w:t>
      </w:r>
      <w:r w:rsidRPr="00A17E25">
        <w:rPr>
          <w:rFonts w:ascii="Arial" w:hAnsi="Arial" w:cs="Arial"/>
        </w:rPr>
        <w:t>Par ailleurs, les opérations de rapprochement concernent uniquement les recettes et ne couvrent pas systématiquement les arriérés et les informations sur les évaluations de l’impôt, des taxes et droits.</w:t>
      </w:r>
    </w:p>
    <w:p w:rsidR="004F4EC5" w:rsidRPr="004F4EC5" w:rsidRDefault="004F4EC5" w:rsidP="004F4EC5">
      <w:pPr>
        <w:autoSpaceDE w:val="0"/>
        <w:autoSpaceDN w:val="0"/>
        <w:adjustRightInd w:val="0"/>
        <w:jc w:val="both"/>
        <w:rPr>
          <w:rFonts w:ascii="Arial" w:hAnsi="Arial" w:cs="Arial"/>
        </w:rPr>
      </w:pPr>
    </w:p>
    <w:p w:rsidR="003A596A" w:rsidRPr="00A17E25" w:rsidRDefault="003A596A" w:rsidP="003A596A">
      <w:pPr>
        <w:pStyle w:val="PJ"/>
        <w:rPr>
          <w:rFonts w:ascii="Arial" w:hAnsi="Arial" w:cs="Arial"/>
        </w:rPr>
      </w:pPr>
      <w:r w:rsidRPr="00A17E25">
        <w:rPr>
          <w:rFonts w:ascii="Arial" w:hAnsi="Arial" w:cs="Arial"/>
        </w:rPr>
        <w:t>En résumé, toutes les opérations comptables sont centralisées et comptabilisées à  J+30, mais le rapprochement complet n’est pas effectué de manière systématique et exhaustive.</w:t>
      </w:r>
    </w:p>
    <w:p w:rsidR="003A596A" w:rsidRPr="00A17E25" w:rsidRDefault="003A596A" w:rsidP="003A596A">
      <w:pPr>
        <w:pStyle w:val="FootnoteText"/>
        <w:jc w:val="both"/>
        <w:rPr>
          <w:rFonts w:ascii="Arial" w:hAnsi="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720"/>
        <w:gridCol w:w="4675"/>
      </w:tblGrid>
      <w:tr w:rsidR="003A596A" w:rsidRPr="00A17E25" w:rsidTr="002A24D6">
        <w:tc>
          <w:tcPr>
            <w:tcW w:w="396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sz w:val="20"/>
                <w:szCs w:val="20"/>
              </w:rPr>
              <w:br w:type="page"/>
            </w:r>
            <w:r w:rsidRPr="00A17E25">
              <w:rPr>
                <w:rFonts w:ascii="Arial" w:hAnsi="Arial"/>
                <w:b/>
                <w:bCs/>
                <w:color w:val="FFFFFF"/>
                <w:sz w:val="20"/>
                <w:szCs w:val="20"/>
              </w:rPr>
              <w:t>Indicateur</w:t>
            </w:r>
          </w:p>
        </w:tc>
        <w:tc>
          <w:tcPr>
            <w:tcW w:w="72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675"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2A24D6">
        <w:tc>
          <w:tcPr>
            <w:tcW w:w="3960" w:type="dxa"/>
          </w:tcPr>
          <w:p w:rsidR="003A596A" w:rsidRPr="00A17E25" w:rsidRDefault="003A596A" w:rsidP="003A596A">
            <w:pPr>
              <w:rPr>
                <w:rFonts w:ascii="Arial" w:hAnsi="Arial"/>
                <w:b/>
                <w:bCs/>
                <w:sz w:val="20"/>
                <w:szCs w:val="20"/>
              </w:rPr>
            </w:pPr>
          </w:p>
          <w:p w:rsidR="003A596A" w:rsidRPr="00A17E25" w:rsidRDefault="003A596A" w:rsidP="003A596A">
            <w:pPr>
              <w:rPr>
                <w:rFonts w:ascii="Arial" w:hAnsi="Arial"/>
                <w:b/>
                <w:bCs/>
                <w:sz w:val="20"/>
                <w:szCs w:val="20"/>
              </w:rPr>
            </w:pPr>
            <w:r w:rsidRPr="00A17E25">
              <w:rPr>
                <w:rFonts w:ascii="Arial" w:hAnsi="Arial"/>
                <w:b/>
                <w:bCs/>
                <w:sz w:val="20"/>
                <w:szCs w:val="20"/>
              </w:rPr>
              <w:t>PI-20  Comptabilisation des recettes</w:t>
            </w:r>
          </w:p>
          <w:p w:rsidR="003A596A" w:rsidRPr="00A17E25" w:rsidRDefault="003A596A" w:rsidP="003A596A">
            <w:pPr>
              <w:rPr>
                <w:rFonts w:ascii="Arial" w:hAnsi="Arial"/>
                <w:sz w:val="20"/>
                <w:szCs w:val="20"/>
              </w:rPr>
            </w:pPr>
          </w:p>
        </w:tc>
        <w:tc>
          <w:tcPr>
            <w:tcW w:w="720" w:type="dxa"/>
          </w:tcPr>
          <w:p w:rsidR="003A596A" w:rsidRPr="00A17E25" w:rsidRDefault="003A596A" w:rsidP="003A596A">
            <w:pPr>
              <w:jc w:val="cente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D</w:t>
            </w:r>
            <w:r w:rsidR="004425D8" w:rsidRPr="00A17E25">
              <w:rPr>
                <w:rFonts w:ascii="Arial" w:hAnsi="Arial"/>
                <w:b/>
                <w:bCs/>
                <w:sz w:val="20"/>
                <w:szCs w:val="20"/>
              </w:rPr>
              <w:t>+</w:t>
            </w:r>
          </w:p>
        </w:tc>
        <w:tc>
          <w:tcPr>
            <w:tcW w:w="4675" w:type="dxa"/>
          </w:tcPr>
          <w:p w:rsidR="003A596A" w:rsidRPr="00A17E25" w:rsidRDefault="003A596A" w:rsidP="003A596A">
            <w:pPr>
              <w:jc w:val="cente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2A24D6">
        <w:tc>
          <w:tcPr>
            <w:tcW w:w="3960" w:type="dxa"/>
          </w:tcPr>
          <w:p w:rsidR="003A596A" w:rsidRPr="00A17E25" w:rsidRDefault="003A596A" w:rsidP="003A596A">
            <w:pPr>
              <w:autoSpaceDE w:val="0"/>
              <w:autoSpaceDN w:val="0"/>
              <w:adjustRightInd w:val="0"/>
              <w:jc w:val="both"/>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 Couverture et actualité des informations sur les recettes recouvrées </w:t>
            </w:r>
          </w:p>
        </w:tc>
        <w:tc>
          <w:tcPr>
            <w:tcW w:w="720" w:type="dxa"/>
          </w:tcPr>
          <w:p w:rsidR="003A596A" w:rsidRPr="00A17E25" w:rsidRDefault="003A596A" w:rsidP="003A596A">
            <w:pPr>
              <w:jc w:val="center"/>
              <w:rPr>
                <w:rFonts w:ascii="Arial" w:hAnsi="Arial" w:cs="Arial"/>
                <w:sz w:val="20"/>
                <w:szCs w:val="20"/>
              </w:rPr>
            </w:pPr>
          </w:p>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4675" w:type="dxa"/>
          </w:tcPr>
          <w:p w:rsidR="003A596A" w:rsidRPr="00A17E25" w:rsidRDefault="003A596A" w:rsidP="003A1530">
            <w:pPr>
              <w:jc w:val="both"/>
              <w:rPr>
                <w:rFonts w:ascii="Arial" w:hAnsi="Arial" w:cs="Arial"/>
                <w:sz w:val="20"/>
                <w:szCs w:val="20"/>
              </w:rPr>
            </w:pPr>
            <w:r w:rsidRPr="00A17E25">
              <w:rPr>
                <w:rFonts w:ascii="Arial" w:hAnsi="Arial" w:cs="Arial"/>
                <w:sz w:val="20"/>
                <w:szCs w:val="20"/>
              </w:rPr>
              <w:t xml:space="preserve">Au moins une fois par mois, </w:t>
            </w:r>
            <w:r w:rsidR="00FB2AD5">
              <w:rPr>
                <w:rFonts w:ascii="Arial" w:hAnsi="Arial" w:cs="Arial"/>
                <w:sz w:val="20"/>
                <w:szCs w:val="20"/>
              </w:rPr>
              <w:t>la CC</w:t>
            </w:r>
            <w:r w:rsidRPr="00A17E25">
              <w:rPr>
                <w:rFonts w:ascii="Arial" w:hAnsi="Arial" w:cs="Arial"/>
                <w:sz w:val="20"/>
                <w:szCs w:val="20"/>
              </w:rPr>
              <w:t xml:space="preserve"> </w:t>
            </w:r>
            <w:r w:rsidR="004F5D6B">
              <w:rPr>
                <w:rFonts w:ascii="Arial" w:hAnsi="Arial" w:cs="Arial"/>
                <w:sz w:val="20"/>
                <w:szCs w:val="20"/>
              </w:rPr>
              <w:t>collecte</w:t>
            </w:r>
            <w:r w:rsidR="004F5D6B" w:rsidRPr="00A17E25">
              <w:rPr>
                <w:rFonts w:ascii="Arial" w:hAnsi="Arial" w:cs="Arial"/>
                <w:sz w:val="20"/>
                <w:szCs w:val="20"/>
              </w:rPr>
              <w:t xml:space="preserve"> </w:t>
            </w:r>
            <w:r w:rsidRPr="00A17E25">
              <w:rPr>
                <w:rFonts w:ascii="Arial" w:hAnsi="Arial" w:cs="Arial"/>
                <w:sz w:val="20"/>
                <w:szCs w:val="20"/>
              </w:rPr>
              <w:t xml:space="preserve">des données sur les recettes ventilées par catégorie de recettes et par période auprès des entités qui recouvrent la totalité des recettes </w:t>
            </w:r>
            <w:r w:rsidR="004F5D6B">
              <w:rPr>
                <w:rFonts w:ascii="Arial" w:hAnsi="Arial" w:cs="Arial"/>
                <w:sz w:val="20"/>
                <w:szCs w:val="20"/>
              </w:rPr>
              <w:t>locales</w:t>
            </w:r>
            <w:r w:rsidR="003A1530">
              <w:rPr>
                <w:rFonts w:ascii="Arial" w:hAnsi="Arial" w:cs="Arial"/>
                <w:sz w:val="20"/>
                <w:szCs w:val="20"/>
              </w:rPr>
              <w:t>, y compris les taxes gérés par la DGI</w:t>
            </w:r>
            <w:r w:rsidRPr="00A17E25">
              <w:rPr>
                <w:rFonts w:ascii="Arial" w:hAnsi="Arial" w:cs="Arial"/>
                <w:sz w:val="20"/>
                <w:szCs w:val="20"/>
              </w:rPr>
              <w:t>, et regroupe ces données dans un rapport</w:t>
            </w:r>
            <w:r w:rsidR="003A1530">
              <w:rPr>
                <w:rFonts w:ascii="Arial" w:hAnsi="Arial" w:cs="Arial"/>
                <w:sz w:val="20"/>
                <w:szCs w:val="20"/>
              </w:rPr>
              <w:t>.</w:t>
            </w:r>
            <w:r w:rsidRPr="00A17E25">
              <w:rPr>
                <w:rFonts w:ascii="Arial" w:hAnsi="Arial" w:cs="Arial"/>
                <w:sz w:val="20"/>
                <w:szCs w:val="20"/>
              </w:rPr>
              <w:t xml:space="preserve"> </w:t>
            </w:r>
          </w:p>
        </w:tc>
      </w:tr>
      <w:tr w:rsidR="003A596A" w:rsidRPr="00A17E25" w:rsidTr="002A24D6">
        <w:tc>
          <w:tcPr>
            <w:tcW w:w="3960" w:type="dxa"/>
          </w:tcPr>
          <w:p w:rsidR="003A596A" w:rsidRPr="00A17E25" w:rsidRDefault="003A596A" w:rsidP="003A596A">
            <w:pPr>
              <w:autoSpaceDE w:val="0"/>
              <w:autoSpaceDN w:val="0"/>
              <w:adjustRightInd w:val="0"/>
              <w:jc w:val="both"/>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(ii) Efficacité du transfert des recettes recouvrées au Trésor ou aux autres organismes désignés.  </w:t>
            </w:r>
          </w:p>
          <w:p w:rsidR="003A596A" w:rsidRPr="00A17E25" w:rsidRDefault="003A596A" w:rsidP="003A596A">
            <w:pPr>
              <w:jc w:val="both"/>
              <w:rPr>
                <w:rFonts w:ascii="Arial" w:hAnsi="Arial" w:cs="Arial"/>
                <w:sz w:val="20"/>
                <w:szCs w:val="20"/>
              </w:rPr>
            </w:pPr>
          </w:p>
        </w:tc>
        <w:tc>
          <w:tcPr>
            <w:tcW w:w="720" w:type="dxa"/>
          </w:tcPr>
          <w:p w:rsidR="003A596A" w:rsidRPr="00A17E25" w:rsidRDefault="003A596A" w:rsidP="003A596A">
            <w:pPr>
              <w:jc w:val="center"/>
              <w:rPr>
                <w:rFonts w:ascii="Arial" w:hAnsi="Arial" w:cs="Arial"/>
                <w:sz w:val="20"/>
                <w:szCs w:val="20"/>
              </w:rPr>
            </w:pPr>
          </w:p>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4675"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Toutes des recettes fiscales sont versées dans les comptes gérés par le Trésor ou les transferts au Trésor sont effectués tous les jours.</w:t>
            </w:r>
          </w:p>
        </w:tc>
      </w:tr>
      <w:tr w:rsidR="003A596A" w:rsidRPr="00A17E25" w:rsidTr="002A24D6">
        <w:tc>
          <w:tcPr>
            <w:tcW w:w="3960" w:type="dxa"/>
          </w:tcPr>
          <w:p w:rsidR="003A596A" w:rsidRPr="00A17E25" w:rsidRDefault="003A596A" w:rsidP="003A596A">
            <w:pPr>
              <w:tabs>
                <w:tab w:val="left" w:pos="470"/>
              </w:tabs>
              <w:jc w:val="both"/>
              <w:rPr>
                <w:rFonts w:ascii="Arial" w:hAnsi="Arial" w:cs="Arial"/>
                <w:sz w:val="20"/>
                <w:szCs w:val="20"/>
              </w:rPr>
            </w:pPr>
            <w:r w:rsidRPr="00A17E25">
              <w:rPr>
                <w:rFonts w:ascii="Arial" w:eastAsiaTheme="minorHAnsi" w:hAnsi="Arial" w:cs="Arial"/>
                <w:color w:val="000000"/>
                <w:sz w:val="20"/>
                <w:szCs w:val="20"/>
              </w:rPr>
              <w:t>(iii) Fréquence du rapprochement intégral des comptes entre l’évaluation des montants à payer, le recouvrement des recettes, l’enregistrement des arriérés et la réception des recettes par le Trésor ou les autres organismes désignés.</w:t>
            </w:r>
          </w:p>
        </w:tc>
        <w:tc>
          <w:tcPr>
            <w:tcW w:w="720" w:type="dxa"/>
          </w:tcPr>
          <w:p w:rsidR="003A596A" w:rsidRPr="00A17E25" w:rsidRDefault="003A596A" w:rsidP="003A596A">
            <w:pPr>
              <w:jc w:val="center"/>
              <w:rPr>
                <w:rFonts w:ascii="Arial" w:hAnsi="Arial" w:cs="Arial"/>
                <w:sz w:val="20"/>
                <w:szCs w:val="20"/>
              </w:rPr>
            </w:pPr>
          </w:p>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5"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Le rapprochement complet des évaluations d’impôt, des recouvrements, des arriérés et des transferts ne se fait pas de manière systématique.</w:t>
            </w:r>
          </w:p>
        </w:tc>
      </w:tr>
    </w:tbl>
    <w:p w:rsidR="003A596A" w:rsidRPr="00A17E25" w:rsidRDefault="003A596A" w:rsidP="003A596A">
      <w:pPr>
        <w:jc w:val="both"/>
        <w:rPr>
          <w:rFonts w:ascii="Arial" w:hAnsi="Arial"/>
          <w:b/>
        </w:rPr>
      </w:pPr>
    </w:p>
    <w:p w:rsidR="003A596A" w:rsidRPr="00BB7E15" w:rsidRDefault="003A596A" w:rsidP="003A596A">
      <w:pPr>
        <w:jc w:val="both"/>
        <w:rPr>
          <w:rFonts w:ascii="Arial" w:hAnsi="Arial"/>
          <w:b/>
          <w:bCs/>
        </w:rPr>
      </w:pPr>
      <w:r w:rsidRPr="00BB7E15">
        <w:rPr>
          <w:rFonts w:ascii="Arial" w:hAnsi="Arial"/>
          <w:b/>
          <w:bCs/>
        </w:rPr>
        <w:t>PI-21 Prévisibilité de la disponibilité des fonds pour financer les prestations de services</w:t>
      </w:r>
    </w:p>
    <w:p w:rsidR="004F4EC5" w:rsidRDefault="004F4EC5" w:rsidP="003A596A">
      <w:pPr>
        <w:jc w:val="both"/>
        <w:rPr>
          <w:rFonts w:ascii="Arial" w:hAnsi="Arial"/>
          <w:b/>
          <w:bCs/>
          <w:color w:val="1F497D" w:themeColor="text2"/>
        </w:rPr>
      </w:pPr>
    </w:p>
    <w:p w:rsidR="004F4EC5" w:rsidRPr="003A29CD" w:rsidRDefault="004F4EC5" w:rsidP="003A596A">
      <w:pPr>
        <w:jc w:val="both"/>
        <w:rPr>
          <w:rFonts w:ascii="Arial" w:eastAsia="Arial Unicode MS" w:hAnsi="Arial" w:cs="Arial"/>
          <w:color w:val="000000" w:themeColor="text1"/>
          <w:sz w:val="20"/>
          <w:szCs w:val="20"/>
        </w:rPr>
      </w:pPr>
      <w:r w:rsidRPr="003A29CD">
        <w:rPr>
          <w:rFonts w:ascii="Arial" w:hAnsi="Arial"/>
          <w:bCs/>
          <w:color w:val="000000" w:themeColor="text1"/>
        </w:rPr>
        <w:t>Pour la notation de la composante (i) de cet indicateur, les données et informations prises en compte sont celles qui sont disponibles au moment de l’évaluation et au trimestre précédent. Pour les composantes (ii), (iii) et (iv) les informations et données utilisées sont celles du dernier exercice budgétaire clôturé (2014</w:t>
      </w:r>
      <w:r w:rsidR="00D20B98" w:rsidRPr="003A29CD">
        <w:rPr>
          <w:rFonts w:ascii="Arial" w:hAnsi="Arial"/>
          <w:bCs/>
          <w:color w:val="000000" w:themeColor="text1"/>
        </w:rPr>
        <w:t>).</w:t>
      </w:r>
    </w:p>
    <w:p w:rsidR="003A596A" w:rsidRPr="003A29CD" w:rsidRDefault="003A596A" w:rsidP="00151AD3">
      <w:pPr>
        <w:pStyle w:val="Comp"/>
        <w:numPr>
          <w:ilvl w:val="0"/>
          <w:numId w:val="83"/>
        </w:numPr>
        <w:rPr>
          <w:rFonts w:ascii="Arial" w:hAnsi="Arial" w:cs="Arial"/>
          <w:b w:val="0"/>
          <w:color w:val="0070C0"/>
          <w:sz w:val="24"/>
          <w:szCs w:val="24"/>
        </w:rPr>
      </w:pPr>
      <w:bookmarkStart w:id="248" w:name="_Toc432501844"/>
      <w:bookmarkStart w:id="249" w:name="_Toc434916151"/>
      <w:bookmarkStart w:id="250" w:name="_Toc434918365"/>
      <w:r w:rsidRPr="003A29CD">
        <w:rPr>
          <w:rFonts w:ascii="Arial" w:hAnsi="Arial" w:cs="Arial"/>
          <w:b w:val="0"/>
          <w:color w:val="0070C0"/>
          <w:sz w:val="24"/>
          <w:szCs w:val="24"/>
        </w:rPr>
        <w:t>Étendue et fréquence de la consolidation des soldes de trésorerie de la CC.</w:t>
      </w:r>
      <w:bookmarkEnd w:id="248"/>
      <w:bookmarkEnd w:id="249"/>
      <w:bookmarkEnd w:id="250"/>
    </w:p>
    <w:p w:rsidR="00782A0E" w:rsidRDefault="003A596A" w:rsidP="003A1530">
      <w:pPr>
        <w:pStyle w:val="PJ"/>
        <w:rPr>
          <w:rFonts w:ascii="Arial" w:hAnsi="Arial" w:cs="Arial"/>
        </w:rPr>
      </w:pPr>
      <w:r w:rsidRPr="00A17E25">
        <w:rPr>
          <w:rFonts w:ascii="Arial" w:hAnsi="Arial" w:cs="Arial"/>
        </w:rPr>
        <w:t xml:space="preserve">La Trésorerie Générale du Royaume  procède à la centralisation et la consolidation selon une procédure en cascade. D’abord les comptes des percepteurs au niveau </w:t>
      </w:r>
      <w:r w:rsidR="00FB2AD5">
        <w:rPr>
          <w:rFonts w:ascii="Arial" w:hAnsi="Arial" w:cs="Arial"/>
        </w:rPr>
        <w:t>de leurs trésoriers de rattachement</w:t>
      </w:r>
      <w:r w:rsidR="003A1530">
        <w:rPr>
          <w:rFonts w:ascii="Arial" w:hAnsi="Arial" w:cs="Arial"/>
        </w:rPr>
        <w:t xml:space="preserve">, </w:t>
      </w:r>
      <w:r w:rsidR="00FB2AD5">
        <w:rPr>
          <w:rFonts w:ascii="Arial" w:hAnsi="Arial" w:cs="Arial"/>
        </w:rPr>
        <w:t>ensuite au</w:t>
      </w:r>
      <w:r w:rsidRPr="00A17E25">
        <w:rPr>
          <w:rFonts w:ascii="Arial" w:hAnsi="Arial" w:cs="Arial"/>
        </w:rPr>
        <w:t xml:space="preserve"> </w:t>
      </w:r>
      <w:r w:rsidR="003A1530">
        <w:rPr>
          <w:rFonts w:ascii="Arial" w:hAnsi="Arial" w:cs="Arial"/>
        </w:rPr>
        <w:t xml:space="preserve">niveau du </w:t>
      </w:r>
      <w:r w:rsidRPr="00A17E25">
        <w:rPr>
          <w:rFonts w:ascii="Arial" w:hAnsi="Arial" w:cs="Arial"/>
        </w:rPr>
        <w:t>Trésorier Communal</w:t>
      </w:r>
      <w:r w:rsidR="003A1530">
        <w:rPr>
          <w:rFonts w:ascii="Arial" w:hAnsi="Arial" w:cs="Arial"/>
        </w:rPr>
        <w:t>,</w:t>
      </w:r>
      <w:r w:rsidRPr="00A17E25">
        <w:rPr>
          <w:rFonts w:ascii="Arial" w:hAnsi="Arial" w:cs="Arial"/>
        </w:rPr>
        <w:t xml:space="preserve"> et </w:t>
      </w:r>
      <w:r w:rsidR="003A1530">
        <w:rPr>
          <w:rFonts w:ascii="Arial" w:hAnsi="Arial" w:cs="Arial"/>
        </w:rPr>
        <w:t xml:space="preserve">enfin </w:t>
      </w:r>
      <w:r w:rsidRPr="00A17E25">
        <w:rPr>
          <w:rFonts w:ascii="Arial" w:hAnsi="Arial" w:cs="Arial"/>
        </w:rPr>
        <w:t xml:space="preserve">le compte de ce dernier au niveau du compte du Trésorier </w:t>
      </w:r>
      <w:r w:rsidR="00FB2AD5">
        <w:rPr>
          <w:rFonts w:ascii="Arial" w:hAnsi="Arial" w:cs="Arial"/>
        </w:rPr>
        <w:t>Général</w:t>
      </w:r>
      <w:r w:rsidRPr="00A17E25">
        <w:rPr>
          <w:rFonts w:ascii="Arial" w:hAnsi="Arial" w:cs="Arial"/>
        </w:rPr>
        <w:t xml:space="preserve"> qui se trouve à la Banque Centrale où sont inscrites toutes les opérations.  </w:t>
      </w:r>
      <w:r w:rsidR="00782A0E">
        <w:rPr>
          <w:rFonts w:ascii="Arial" w:hAnsi="Arial" w:cs="Arial"/>
        </w:rPr>
        <w:t>Quant aux régisseurs de l’AFC, ils versent quotidiennement les recettes recouvrées sur le compte de la Trésorerie Communale</w:t>
      </w:r>
    </w:p>
    <w:p w:rsidR="001D2EB4" w:rsidRPr="00581667" w:rsidRDefault="003A1530" w:rsidP="003A596A">
      <w:pPr>
        <w:pStyle w:val="PJ"/>
        <w:rPr>
          <w:rFonts w:ascii="Arial" w:hAnsi="Arial" w:cs="Arial"/>
        </w:rPr>
      </w:pPr>
      <w:r w:rsidRPr="00A17E25">
        <w:rPr>
          <w:rFonts w:ascii="Arial" w:hAnsi="Arial" w:cs="Arial"/>
        </w:rPr>
        <w:t xml:space="preserve">Le compte du Trésor à la Banque Centrale et tous les soldes bancaires des </w:t>
      </w:r>
      <w:r w:rsidR="00962141" w:rsidRPr="00A17E25">
        <w:rPr>
          <w:rFonts w:ascii="Arial" w:hAnsi="Arial" w:cs="Arial"/>
        </w:rPr>
        <w:t>sous-comités</w:t>
      </w:r>
      <w:r w:rsidRPr="00A17E25">
        <w:rPr>
          <w:rFonts w:ascii="Arial" w:hAnsi="Arial" w:cs="Arial"/>
        </w:rPr>
        <w:t xml:space="preserve"> de la CC sont consolidés sur une base mensuelle.</w:t>
      </w:r>
    </w:p>
    <w:p w:rsidR="003A596A" w:rsidRPr="003A29CD" w:rsidRDefault="003A596A" w:rsidP="00151AD3">
      <w:pPr>
        <w:pStyle w:val="Comp"/>
        <w:numPr>
          <w:ilvl w:val="0"/>
          <w:numId w:val="20"/>
        </w:numPr>
        <w:rPr>
          <w:rFonts w:ascii="Arial" w:hAnsi="Arial" w:cs="Arial"/>
          <w:b w:val="0"/>
          <w:color w:val="0070C0"/>
          <w:sz w:val="24"/>
          <w:szCs w:val="24"/>
        </w:rPr>
      </w:pPr>
      <w:bookmarkStart w:id="251" w:name="_Toc432501845"/>
      <w:bookmarkStart w:id="252" w:name="_Toc434916152"/>
      <w:bookmarkStart w:id="253" w:name="_Toc434918366"/>
      <w:r w:rsidRPr="003A29CD">
        <w:rPr>
          <w:rFonts w:ascii="Arial" w:hAnsi="Arial" w:cs="Arial"/>
          <w:b w:val="0"/>
          <w:color w:val="0070C0"/>
          <w:sz w:val="24"/>
          <w:szCs w:val="24"/>
        </w:rPr>
        <w:t>Mesure dans laquelle les flux de trésorerie font l’objet de prévisions et d’un suivi.</w:t>
      </w:r>
      <w:bookmarkEnd w:id="251"/>
      <w:bookmarkEnd w:id="252"/>
      <w:bookmarkEnd w:id="253"/>
    </w:p>
    <w:p w:rsidR="003A596A" w:rsidRPr="00A17E25" w:rsidRDefault="003A596A" w:rsidP="003A596A">
      <w:pPr>
        <w:jc w:val="both"/>
        <w:rPr>
          <w:rFonts w:ascii="Arial" w:hAnsi="Arial" w:cs="Arial"/>
        </w:rPr>
      </w:pPr>
      <w:r w:rsidRPr="00A17E25">
        <w:rPr>
          <w:rFonts w:ascii="Arial" w:hAnsi="Arial" w:cs="Arial"/>
          <w:iCs/>
        </w:rPr>
        <w:t>Après chaque arrêté de fin de mois, le trésorier payeur est tenu de notifier à l'ordonnateur, avant le 10 du mois suivant, une situation résumée des opérations de recettes et de dépenses et une situation consolidée des disponibilités</w:t>
      </w:r>
      <w:r w:rsidRPr="00A17E25">
        <w:rPr>
          <w:rStyle w:val="FootnoteReference"/>
          <w:rFonts w:ascii="Arial" w:hAnsi="Arial" w:cs="Arial"/>
          <w:iCs/>
        </w:rPr>
        <w:footnoteReference w:id="49"/>
      </w:r>
      <w:r w:rsidRPr="00A17E25">
        <w:rPr>
          <w:rFonts w:ascii="Arial" w:hAnsi="Arial" w:cs="Arial"/>
        </w:rPr>
        <w: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rPr>
      </w:pPr>
      <w:r w:rsidRPr="00A17E25">
        <w:rPr>
          <w:rFonts w:ascii="Arial" w:hAnsi="Arial"/>
        </w:rPr>
        <w:t xml:space="preserve">Hormis cette information sur les soldes réels de trésorerie de la fin de chaque mois, la </w:t>
      </w:r>
      <w:r w:rsidR="00DE5B35">
        <w:rPr>
          <w:rFonts w:ascii="Arial" w:hAnsi="Arial"/>
        </w:rPr>
        <w:t>CC</w:t>
      </w:r>
      <w:r w:rsidRPr="00A17E25">
        <w:rPr>
          <w:rFonts w:ascii="Arial" w:hAnsi="Arial"/>
        </w:rPr>
        <w:t xml:space="preserve"> ne procède pas à une gestion des prévisionnelle de sa trésorerie du fait que c’est la Trésorerie Communale de Casablanca qui gère cette situation. Selon les informations recueillies par l’équipe PEFA, il ressort qu’aucune actualisation régulière des prévisions de trésorerie n’est effectuée. Il semble que cette actualisation ne s’avère pas nécessaire du fait que les fonds disponibles sont suffisants pour couvrir la totalité des dépenses. </w:t>
      </w:r>
    </w:p>
    <w:p w:rsidR="003A596A" w:rsidRPr="00A17E25" w:rsidRDefault="003A596A" w:rsidP="003A596A">
      <w:pPr>
        <w:jc w:val="both"/>
        <w:rPr>
          <w:rFonts w:ascii="Arial" w:hAnsi="Arial"/>
        </w:rPr>
      </w:pPr>
    </w:p>
    <w:p w:rsidR="003A596A" w:rsidRPr="00A17E25" w:rsidRDefault="003A596A" w:rsidP="003A596A">
      <w:pPr>
        <w:jc w:val="both"/>
        <w:rPr>
          <w:rFonts w:ascii="Arial" w:hAnsi="Arial"/>
        </w:rPr>
      </w:pPr>
      <w:r w:rsidRPr="00A17E25">
        <w:rPr>
          <w:rFonts w:ascii="Arial" w:hAnsi="Arial"/>
        </w:rPr>
        <w:t>En résumé, il n’existe pas de procédure formelle et de processus d’actualisation des prévisions de trésorerie au cours de l’année.</w:t>
      </w:r>
    </w:p>
    <w:p w:rsidR="003A596A" w:rsidRPr="003A29CD" w:rsidRDefault="003A596A" w:rsidP="00151AD3">
      <w:pPr>
        <w:pStyle w:val="Comp"/>
        <w:numPr>
          <w:ilvl w:val="0"/>
          <w:numId w:val="20"/>
        </w:numPr>
        <w:rPr>
          <w:rFonts w:ascii="Arial" w:hAnsi="Arial" w:cs="Arial"/>
          <w:b w:val="0"/>
          <w:color w:val="0070C0"/>
          <w:sz w:val="24"/>
          <w:szCs w:val="24"/>
        </w:rPr>
      </w:pPr>
      <w:bookmarkStart w:id="254" w:name="_Toc432501846"/>
      <w:bookmarkStart w:id="255" w:name="_Toc434916153"/>
      <w:bookmarkStart w:id="256" w:name="_Toc434918367"/>
      <w:r w:rsidRPr="003A29CD">
        <w:rPr>
          <w:rFonts w:ascii="Arial" w:hAnsi="Arial" w:cs="Arial"/>
          <w:b w:val="0"/>
          <w:color w:val="0070C0"/>
          <w:sz w:val="24"/>
          <w:szCs w:val="24"/>
        </w:rPr>
        <w:t xml:space="preserve">Fiabilité et horizon des informations périodiques fournies en cours d’année à la </w:t>
      </w:r>
      <w:r w:rsidR="00DE5B35" w:rsidRPr="003A29CD">
        <w:rPr>
          <w:rFonts w:ascii="Arial" w:hAnsi="Arial" w:cs="Arial"/>
          <w:b w:val="0"/>
          <w:color w:val="0070C0"/>
          <w:sz w:val="24"/>
          <w:szCs w:val="24"/>
        </w:rPr>
        <w:t>CC</w:t>
      </w:r>
      <w:r w:rsidRPr="003A29CD">
        <w:rPr>
          <w:rFonts w:ascii="Arial" w:hAnsi="Arial" w:cs="Arial"/>
          <w:b w:val="0"/>
          <w:color w:val="0070C0"/>
          <w:sz w:val="24"/>
          <w:szCs w:val="24"/>
        </w:rPr>
        <w:t xml:space="preserve"> sur les plafonds d’engagement de dépenses.</w:t>
      </w:r>
      <w:bookmarkEnd w:id="254"/>
      <w:bookmarkEnd w:id="255"/>
      <w:bookmarkEnd w:id="256"/>
    </w:p>
    <w:p w:rsidR="003A596A" w:rsidRPr="00A17E25" w:rsidRDefault="003A596A" w:rsidP="003A596A">
      <w:pPr>
        <w:jc w:val="both"/>
        <w:rPr>
          <w:rFonts w:ascii="Arial" w:hAnsi="Arial" w:cs="Arial"/>
        </w:rPr>
      </w:pPr>
      <w:r w:rsidRPr="00A17E25">
        <w:rPr>
          <w:rFonts w:ascii="Arial" w:hAnsi="Arial" w:cs="Arial"/>
        </w:rPr>
        <w:t>Le Conseil Communal examine et vote le budget</w:t>
      </w:r>
      <w:r w:rsidRPr="00A17E25">
        <w:rPr>
          <w:rStyle w:val="FootnoteReference"/>
          <w:rFonts w:ascii="Arial" w:hAnsi="Arial" w:cs="Arial"/>
        </w:rPr>
        <w:footnoteReference w:id="50"/>
      </w:r>
      <w:r w:rsidRPr="00A17E25">
        <w:rPr>
          <w:rFonts w:ascii="Arial" w:hAnsi="Arial" w:cs="Arial"/>
        </w:rPr>
        <w:t>. Le Président exécute les délibérations du conseil, prend les mesures nécessaires à cet effet et en assure le contrôle. A ce titre il exécute le budget</w:t>
      </w:r>
      <w:r w:rsidRPr="00A17E25">
        <w:rPr>
          <w:rStyle w:val="FootnoteReference"/>
          <w:rFonts w:ascii="Arial" w:hAnsi="Arial" w:cs="Arial"/>
        </w:rPr>
        <w:footnoteReference w:id="51"/>
      </w:r>
      <w:r w:rsidRPr="00A17E25">
        <w:rPr>
          <w:rFonts w:ascii="Arial" w:hAnsi="Arial" w:cs="Arial"/>
        </w:rPr>
        <w:t>.</w:t>
      </w:r>
      <w:r w:rsidR="00D20B98">
        <w:rPr>
          <w:rFonts w:ascii="Arial" w:hAnsi="Arial" w:cs="Arial"/>
        </w:rPr>
        <w:t xml:space="preserve"> </w:t>
      </w:r>
    </w:p>
    <w:p w:rsidR="003A596A" w:rsidRPr="00A17E25" w:rsidRDefault="003A596A" w:rsidP="003A596A">
      <w:pPr>
        <w:jc w:val="both"/>
        <w:rPr>
          <w:rFonts w:ascii="Arial" w:hAnsi="Arial" w:cs="Arial"/>
        </w:rPr>
      </w:pPr>
    </w:p>
    <w:p w:rsidR="001D2EB4" w:rsidRDefault="00D20B98" w:rsidP="001D2EB4">
      <w:pPr>
        <w:jc w:val="both"/>
        <w:rPr>
          <w:rFonts w:ascii="Arial" w:hAnsi="Arial" w:cs="Arial"/>
        </w:rPr>
      </w:pPr>
      <w:r>
        <w:rPr>
          <w:rFonts w:ascii="Arial" w:hAnsi="Arial" w:cs="Arial"/>
        </w:rPr>
        <w:t>Les services de la</w:t>
      </w:r>
      <w:r w:rsidR="003A596A" w:rsidRPr="00A17E25">
        <w:rPr>
          <w:rFonts w:ascii="Arial" w:hAnsi="Arial" w:cs="Arial"/>
        </w:rPr>
        <w:t xml:space="preserve"> </w:t>
      </w:r>
      <w:r w:rsidR="00DE5B35">
        <w:rPr>
          <w:rFonts w:ascii="Arial" w:hAnsi="Arial" w:cs="Arial"/>
        </w:rPr>
        <w:t>CC</w:t>
      </w:r>
      <w:r w:rsidR="003A596A" w:rsidRPr="00A17E25">
        <w:rPr>
          <w:rFonts w:ascii="Arial" w:hAnsi="Arial" w:cs="Arial"/>
        </w:rPr>
        <w:t xml:space="preserve"> </w:t>
      </w:r>
      <w:r>
        <w:rPr>
          <w:rFonts w:ascii="Arial" w:hAnsi="Arial" w:cs="Arial"/>
        </w:rPr>
        <w:t>ont</w:t>
      </w:r>
      <w:r w:rsidR="003A596A" w:rsidRPr="00A17E25">
        <w:rPr>
          <w:rFonts w:ascii="Arial" w:hAnsi="Arial" w:cs="Arial"/>
        </w:rPr>
        <w:t xml:space="preserve"> la possibilité d’engager les dépenses sur les crédits inscrits à leur budget </w:t>
      </w:r>
      <w:r w:rsidR="001D2EB4">
        <w:rPr>
          <w:rFonts w:ascii="Arial" w:hAnsi="Arial" w:cs="Arial"/>
        </w:rPr>
        <w:t xml:space="preserve">de fonctionnement </w:t>
      </w:r>
      <w:r w:rsidR="003A596A" w:rsidRPr="00A17E25">
        <w:rPr>
          <w:rFonts w:ascii="Arial" w:hAnsi="Arial" w:cs="Arial"/>
        </w:rPr>
        <w:t>dès le début de l’année</w:t>
      </w:r>
      <w:r w:rsidR="00782A0E">
        <w:rPr>
          <w:rFonts w:ascii="Arial" w:hAnsi="Arial" w:cs="Arial"/>
        </w:rPr>
        <w:t xml:space="preserve"> et pour le budget d’investissement, dès l’inscription des crédits correspondant en cours d’année</w:t>
      </w:r>
      <w:r w:rsidR="003A596A" w:rsidRPr="00A17E25">
        <w:rPr>
          <w:rFonts w:ascii="Arial" w:hAnsi="Arial" w:cs="Arial"/>
        </w:rPr>
        <w:t>. Au cours de la période sous revue, les budgets votés ont été exécutés sans nécessiter des mesures de régulation des dépenses.</w:t>
      </w:r>
    </w:p>
    <w:p w:rsidR="003A596A" w:rsidRPr="00A17E25" w:rsidRDefault="003A596A" w:rsidP="003A596A">
      <w:pPr>
        <w:pStyle w:val="PJ"/>
        <w:rPr>
          <w:rFonts w:ascii="Arial" w:hAnsi="Arial" w:cs="Arial"/>
        </w:rPr>
      </w:pPr>
    </w:p>
    <w:p w:rsidR="003A596A" w:rsidRPr="00A17E25" w:rsidRDefault="003A596A" w:rsidP="003A596A">
      <w:pPr>
        <w:jc w:val="both"/>
        <w:rPr>
          <w:rFonts w:ascii="Arial" w:hAnsi="Arial" w:cs="Arial"/>
          <w:i/>
        </w:rPr>
      </w:pPr>
      <w:r w:rsidRPr="00A17E25">
        <w:rPr>
          <w:rFonts w:ascii="Arial" w:hAnsi="Arial" w:cs="Arial"/>
        </w:rPr>
        <w:t xml:space="preserve">Par conséquent, Les différentes entités de la </w:t>
      </w:r>
      <w:r w:rsidR="00DE5B35">
        <w:rPr>
          <w:rFonts w:ascii="Arial" w:hAnsi="Arial" w:cs="Arial"/>
        </w:rPr>
        <w:t>CC</w:t>
      </w:r>
      <w:r w:rsidRPr="00A17E25">
        <w:rPr>
          <w:rFonts w:ascii="Arial" w:hAnsi="Arial" w:cs="Arial"/>
        </w:rPr>
        <w:t xml:space="preserve"> sont en mesure de planifier et d’engager des dépenses au moins six mois à l’avance sur la base des crédits inscrits au budget.</w:t>
      </w:r>
    </w:p>
    <w:p w:rsidR="003A596A" w:rsidRPr="003A29CD" w:rsidRDefault="003A596A" w:rsidP="003A596A">
      <w:pPr>
        <w:pStyle w:val="Comp"/>
        <w:numPr>
          <w:ilvl w:val="0"/>
          <w:numId w:val="20"/>
        </w:numPr>
        <w:rPr>
          <w:rFonts w:ascii="Arial" w:hAnsi="Arial" w:cs="Arial"/>
          <w:b w:val="0"/>
          <w:color w:val="0070C0"/>
          <w:sz w:val="24"/>
          <w:szCs w:val="24"/>
        </w:rPr>
      </w:pPr>
      <w:bookmarkStart w:id="257" w:name="_Toc432501847"/>
      <w:bookmarkStart w:id="258" w:name="_Toc434916154"/>
      <w:bookmarkStart w:id="259" w:name="_Toc434918368"/>
      <w:r w:rsidRPr="003A29CD">
        <w:rPr>
          <w:rFonts w:ascii="Arial" w:hAnsi="Arial" w:cs="Arial"/>
          <w:b w:val="0"/>
          <w:color w:val="0070C0"/>
          <w:sz w:val="24"/>
          <w:szCs w:val="24"/>
        </w:rPr>
        <w:t xml:space="preserve">Fréquence et transparence des ajustements apportés aux affectations budgétaires, qui sont décidés à un échelon supérieur à celui de la </w:t>
      </w:r>
      <w:r w:rsidR="00DE5B35" w:rsidRPr="003A29CD">
        <w:rPr>
          <w:rFonts w:ascii="Arial" w:hAnsi="Arial" w:cs="Arial"/>
          <w:b w:val="0"/>
          <w:color w:val="0070C0"/>
          <w:sz w:val="24"/>
          <w:szCs w:val="24"/>
        </w:rPr>
        <w:t>CC</w:t>
      </w:r>
      <w:r w:rsidRPr="003A29CD">
        <w:rPr>
          <w:rFonts w:ascii="Arial" w:hAnsi="Arial" w:cs="Arial"/>
          <w:b w:val="0"/>
          <w:color w:val="0070C0"/>
          <w:sz w:val="24"/>
          <w:szCs w:val="24"/>
        </w:rPr>
        <w:t>.</w:t>
      </w:r>
      <w:bookmarkEnd w:id="257"/>
      <w:bookmarkEnd w:id="258"/>
      <w:bookmarkEnd w:id="259"/>
    </w:p>
    <w:p w:rsidR="003A596A" w:rsidRPr="00A17E25" w:rsidRDefault="003A596A" w:rsidP="003A596A">
      <w:pPr>
        <w:jc w:val="both"/>
        <w:rPr>
          <w:rFonts w:ascii="Arial" w:hAnsi="Arial" w:cs="Arial"/>
        </w:rPr>
      </w:pPr>
      <w:r w:rsidRPr="00A17E25">
        <w:rPr>
          <w:rFonts w:ascii="Arial" w:hAnsi="Arial" w:cs="Arial"/>
          <w:lang w:eastAsia="fr-FR"/>
        </w:rPr>
        <w:t xml:space="preserve">Le budget </w:t>
      </w:r>
      <w:r w:rsidRPr="00A17E25">
        <w:rPr>
          <w:rFonts w:ascii="Arial" w:hAnsi="Arial" w:cs="Arial"/>
        </w:rPr>
        <w:t xml:space="preserve">ne </w:t>
      </w:r>
      <w:r w:rsidRPr="00A17E25">
        <w:rPr>
          <w:rFonts w:ascii="Arial" w:hAnsi="Arial" w:cs="Arial"/>
          <w:lang w:eastAsia="fr-FR"/>
        </w:rPr>
        <w:t>peut être</w:t>
      </w:r>
      <w:r w:rsidRPr="00A17E25">
        <w:rPr>
          <w:rFonts w:ascii="Arial" w:hAnsi="Arial" w:cs="Arial"/>
        </w:rPr>
        <w:t xml:space="preserve"> modifié</w:t>
      </w:r>
      <w:r w:rsidRPr="00A17E25">
        <w:rPr>
          <w:rFonts w:ascii="Arial" w:hAnsi="Arial" w:cs="Arial"/>
          <w:lang w:eastAsia="fr-FR"/>
        </w:rPr>
        <w:t xml:space="preserve"> en cours d’</w:t>
      </w:r>
      <w:r w:rsidRPr="00A17E25">
        <w:rPr>
          <w:rFonts w:ascii="Arial" w:hAnsi="Arial" w:cs="Arial"/>
        </w:rPr>
        <w:t>année que</w:t>
      </w:r>
      <w:r w:rsidRPr="00A17E25">
        <w:rPr>
          <w:rFonts w:ascii="Arial" w:hAnsi="Arial" w:cs="Arial"/>
          <w:lang w:eastAsia="fr-FR"/>
        </w:rPr>
        <w:t xml:space="preserve"> par l’</w:t>
      </w:r>
      <w:r w:rsidRPr="00A17E25">
        <w:rPr>
          <w:rFonts w:ascii="Arial" w:hAnsi="Arial" w:cs="Arial"/>
        </w:rPr>
        <w:t>établissement de budgets modifi</w:t>
      </w:r>
      <w:r w:rsidRPr="00A17E25">
        <w:rPr>
          <w:rFonts w:ascii="Arial" w:hAnsi="Arial" w:cs="Arial"/>
          <w:lang w:eastAsia="fr-FR"/>
        </w:rPr>
        <w:t>catifs.</w:t>
      </w:r>
      <w:r w:rsidRPr="00A17E25">
        <w:rPr>
          <w:rFonts w:ascii="Arial" w:hAnsi="Arial" w:cs="Arial"/>
        </w:rPr>
        <w:t xml:space="preserve"> Les modifi</w:t>
      </w:r>
      <w:r w:rsidRPr="00A17E25">
        <w:rPr>
          <w:rFonts w:ascii="Arial" w:hAnsi="Arial" w:cs="Arial"/>
          <w:lang w:eastAsia="fr-FR"/>
        </w:rPr>
        <w:t>cations du budget doivent intervenir dans les mêmes formes et conditions suivies pour son adoption et</w:t>
      </w:r>
      <w:r w:rsidRPr="00A17E25">
        <w:rPr>
          <w:rFonts w:ascii="Arial" w:hAnsi="Arial" w:cs="Arial"/>
        </w:rPr>
        <w:t xml:space="preserve"> son approbation</w:t>
      </w:r>
      <w:r w:rsidRPr="00A17E25">
        <w:rPr>
          <w:rStyle w:val="FootnoteReference"/>
          <w:rFonts w:ascii="Arial" w:hAnsi="Arial" w:cs="Arial"/>
        </w:rPr>
        <w:footnoteReference w:id="52"/>
      </w:r>
      <w:r w:rsidRPr="00A17E25">
        <w:rPr>
          <w:rFonts w:ascii="Arial" w:hAnsi="Arial" w:cs="Arial"/>
        </w:rPr>
        <w:t>.</w:t>
      </w:r>
    </w:p>
    <w:p w:rsidR="003A596A" w:rsidRPr="00A17E25" w:rsidRDefault="003A596A" w:rsidP="003A596A">
      <w:pPr>
        <w:jc w:val="both"/>
        <w:rPr>
          <w:rFonts w:ascii="Arial" w:hAnsi="Arial" w:cs="Arial"/>
        </w:rPr>
      </w:pPr>
      <w:r w:rsidRPr="00A17E25">
        <w:rPr>
          <w:rFonts w:ascii="Arial" w:hAnsi="Arial" w:cs="Arial"/>
        </w:rPr>
        <w:t>Ce principe est atténué par l’autorisation donnée au président de la commune de procéder à des :</w:t>
      </w:r>
    </w:p>
    <w:p w:rsidR="003A596A" w:rsidRPr="00DB625D" w:rsidRDefault="003A596A" w:rsidP="00151AD3">
      <w:pPr>
        <w:pStyle w:val="ListParagraph"/>
        <w:numPr>
          <w:ilvl w:val="0"/>
          <w:numId w:val="8"/>
        </w:numPr>
        <w:autoSpaceDE w:val="0"/>
        <w:autoSpaceDN w:val="0"/>
        <w:adjustRightInd w:val="0"/>
        <w:contextualSpacing/>
        <w:rPr>
          <w:rFonts w:ascii="Arial" w:eastAsia="Calibri" w:hAnsi="Arial" w:cs="Arial"/>
        </w:rPr>
      </w:pPr>
      <w:r w:rsidRPr="00DB625D">
        <w:rPr>
          <w:rFonts w:ascii="Arial" w:eastAsia="Calibri" w:hAnsi="Arial" w:cs="Arial"/>
        </w:rPr>
        <w:t>virements de crédits de fonctionnement, à l’intérieur du même article,</w:t>
      </w:r>
    </w:p>
    <w:p w:rsidR="003A596A" w:rsidRPr="00DB625D" w:rsidRDefault="003A596A" w:rsidP="00151AD3">
      <w:pPr>
        <w:pStyle w:val="ListParagraph"/>
        <w:numPr>
          <w:ilvl w:val="0"/>
          <w:numId w:val="8"/>
        </w:numPr>
        <w:autoSpaceDE w:val="0"/>
        <w:autoSpaceDN w:val="0"/>
        <w:adjustRightInd w:val="0"/>
        <w:contextualSpacing/>
        <w:rPr>
          <w:rFonts w:ascii="Arial" w:eastAsia="Calibri" w:hAnsi="Arial" w:cs="Arial"/>
        </w:rPr>
      </w:pPr>
      <w:r w:rsidRPr="00DB625D">
        <w:rPr>
          <w:rFonts w:ascii="Arial" w:eastAsia="Calibri" w:hAnsi="Arial" w:cs="Arial"/>
        </w:rPr>
        <w:t>virements de crédits de fonctionnement, à l’intérieur du même chapitre, après délibérations du conseil.</w:t>
      </w:r>
    </w:p>
    <w:p w:rsidR="003A596A" w:rsidRPr="00A17E25" w:rsidRDefault="003A596A" w:rsidP="003A596A">
      <w:pPr>
        <w:jc w:val="both"/>
        <w:rPr>
          <w:rFonts w:ascii="Arial" w:hAnsi="Arial"/>
          <w:iCs/>
        </w:rPr>
      </w:pPr>
    </w:p>
    <w:p w:rsidR="003A596A" w:rsidRPr="00A17E25" w:rsidRDefault="003A596A" w:rsidP="003A596A">
      <w:pPr>
        <w:jc w:val="both"/>
        <w:rPr>
          <w:rFonts w:ascii="Arial" w:hAnsi="Arial"/>
          <w:iCs/>
        </w:rPr>
      </w:pPr>
      <w:r w:rsidRPr="00A17E25">
        <w:rPr>
          <w:rFonts w:ascii="Arial" w:hAnsi="Arial"/>
          <w:iCs/>
        </w:rPr>
        <w:t xml:space="preserve">Les modifications du budget des communes (et de la </w:t>
      </w:r>
      <w:r w:rsidR="00DE5B35">
        <w:rPr>
          <w:rFonts w:ascii="Arial" w:hAnsi="Arial"/>
          <w:iCs/>
        </w:rPr>
        <w:t>CC</w:t>
      </w:r>
      <w:r w:rsidRPr="00A17E25">
        <w:rPr>
          <w:rFonts w:ascii="Arial" w:hAnsi="Arial"/>
          <w:iCs/>
        </w:rPr>
        <w:t xml:space="preserve">) sont bien règlementées par  la législation en vigueur. </w:t>
      </w:r>
    </w:p>
    <w:p w:rsidR="003A596A" w:rsidRPr="00A17E25" w:rsidRDefault="003A596A" w:rsidP="003A596A">
      <w:pPr>
        <w:ind w:left="1080"/>
        <w:jc w:val="both"/>
        <w:rPr>
          <w:rFonts w:ascii="Arial" w:hAnsi="Arial"/>
          <w:iCs/>
        </w:rPr>
      </w:pPr>
    </w:p>
    <w:p w:rsidR="003A596A" w:rsidRDefault="003A596A" w:rsidP="003A596A">
      <w:pPr>
        <w:jc w:val="both"/>
        <w:rPr>
          <w:rFonts w:ascii="Arial" w:hAnsi="Arial"/>
          <w:iCs/>
        </w:rPr>
      </w:pPr>
      <w:r w:rsidRPr="00A17E25">
        <w:rPr>
          <w:rFonts w:ascii="Arial" w:hAnsi="Arial"/>
          <w:iCs/>
        </w:rPr>
        <w:t>En 2014, dernière année pour laquelle les données sont disponibles, il n’y a pas eu de modifications du budget global. Par contre il y a eu de nombreux virements de crédits.</w:t>
      </w:r>
      <w:r w:rsidR="00D20B98">
        <w:rPr>
          <w:rFonts w:ascii="Arial" w:hAnsi="Arial"/>
          <w:iCs/>
        </w:rPr>
        <w:t xml:space="preserve"> </w:t>
      </w:r>
      <w:r w:rsidRPr="00A17E25">
        <w:rPr>
          <w:rFonts w:ascii="Arial" w:hAnsi="Arial"/>
          <w:iCs/>
        </w:rPr>
        <w:t>Dans l’ensemble il y a eu des modifications importantes (2014) et pour des montants relativement élevés (+10% du budget)</w:t>
      </w:r>
      <w:r w:rsidRPr="00A17E25">
        <w:rPr>
          <w:rStyle w:val="FootnoteReference"/>
          <w:rFonts w:ascii="Arial" w:hAnsi="Arial"/>
          <w:iCs/>
        </w:rPr>
        <w:footnoteReference w:id="53"/>
      </w:r>
      <w:r w:rsidRPr="00A17E25">
        <w:rPr>
          <w:rFonts w:ascii="Arial" w:hAnsi="Arial"/>
          <w:iCs/>
        </w:rPr>
        <w:t xml:space="preserve"> . Il convient de signaler que ces modifications ont été effectuées de manière assez transparente.  </w:t>
      </w:r>
    </w:p>
    <w:p w:rsidR="0044265E" w:rsidRPr="00A17E25" w:rsidRDefault="0044265E" w:rsidP="003A596A">
      <w:pPr>
        <w:jc w:val="both"/>
        <w:rPr>
          <w:rFonts w:ascii="Arial" w:hAnsi="Arial"/>
          <w:iCs/>
        </w:rPr>
      </w:pPr>
    </w:p>
    <w:p w:rsidR="003A596A" w:rsidRPr="00A17E25" w:rsidRDefault="003A596A" w:rsidP="003A596A">
      <w:pPr>
        <w:jc w:val="center"/>
        <w:rPr>
          <w:rFonts w:ascii="Arial" w:hAnsi="Arial"/>
        </w:rPr>
      </w:pPr>
    </w:p>
    <w:tbl>
      <w:tblPr>
        <w:tblW w:w="92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720"/>
        <w:gridCol w:w="4073"/>
      </w:tblGrid>
      <w:tr w:rsidR="003A596A" w:rsidRPr="00A17E25" w:rsidTr="002A24D6">
        <w:tc>
          <w:tcPr>
            <w:tcW w:w="441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Indicateur</w:t>
            </w:r>
          </w:p>
        </w:tc>
        <w:tc>
          <w:tcPr>
            <w:tcW w:w="72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073"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2A24D6">
        <w:trPr>
          <w:trHeight w:val="1043"/>
        </w:trPr>
        <w:tc>
          <w:tcPr>
            <w:tcW w:w="4410" w:type="dxa"/>
          </w:tcPr>
          <w:p w:rsidR="003A596A" w:rsidRPr="00A17E25" w:rsidRDefault="003A596A" w:rsidP="003A596A">
            <w:pPr>
              <w:jc w:val="both"/>
              <w:rPr>
                <w:rFonts w:ascii="Arial" w:hAnsi="Arial"/>
                <w:b/>
                <w:bCs/>
                <w:sz w:val="20"/>
                <w:szCs w:val="20"/>
              </w:rPr>
            </w:pPr>
          </w:p>
          <w:p w:rsidR="003A596A" w:rsidRPr="002A24D6" w:rsidRDefault="003A596A" w:rsidP="003A596A">
            <w:pPr>
              <w:jc w:val="both"/>
              <w:rPr>
                <w:rFonts w:ascii="Arial" w:hAnsi="Arial"/>
                <w:b/>
                <w:bCs/>
                <w:sz w:val="20"/>
                <w:szCs w:val="20"/>
              </w:rPr>
            </w:pPr>
            <w:r w:rsidRPr="00A17E25">
              <w:rPr>
                <w:rFonts w:ascii="Arial" w:hAnsi="Arial"/>
                <w:b/>
                <w:bCs/>
                <w:sz w:val="20"/>
                <w:szCs w:val="20"/>
              </w:rPr>
              <w:t>PI-21  Prévisibilité de la disponibilité des fonds pour financer les prestations de services</w:t>
            </w:r>
          </w:p>
        </w:tc>
        <w:tc>
          <w:tcPr>
            <w:tcW w:w="720" w:type="dxa"/>
          </w:tcPr>
          <w:p w:rsidR="003A596A" w:rsidRPr="00A17E25" w:rsidRDefault="003A596A" w:rsidP="003A596A">
            <w:pPr>
              <w:jc w:val="cente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C+</w:t>
            </w:r>
          </w:p>
        </w:tc>
        <w:tc>
          <w:tcPr>
            <w:tcW w:w="4073" w:type="dxa"/>
          </w:tcPr>
          <w:p w:rsidR="003A596A" w:rsidRPr="00A17E25" w:rsidRDefault="003A596A" w:rsidP="003A596A">
            <w:pP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M2</w:t>
            </w:r>
          </w:p>
        </w:tc>
      </w:tr>
      <w:tr w:rsidR="003A596A" w:rsidRPr="00A17E25" w:rsidTr="002A24D6">
        <w:tc>
          <w:tcPr>
            <w:tcW w:w="4410" w:type="dxa"/>
          </w:tcPr>
          <w:p w:rsidR="003A596A" w:rsidRPr="00A17E25" w:rsidRDefault="003A596A" w:rsidP="003A596A">
            <w:pPr>
              <w:spacing w:line="256" w:lineRule="auto"/>
              <w:ind w:left="2"/>
              <w:jc w:val="both"/>
              <w:rPr>
                <w:rFonts w:ascii="Arial" w:hAnsi="Arial" w:cs="Arial"/>
                <w:sz w:val="20"/>
                <w:szCs w:val="20"/>
              </w:rPr>
            </w:pPr>
            <w:r w:rsidRPr="00A17E25">
              <w:rPr>
                <w:rFonts w:ascii="Arial" w:hAnsi="Arial" w:cs="Arial"/>
                <w:sz w:val="20"/>
                <w:szCs w:val="20"/>
              </w:rPr>
              <w:t xml:space="preserve">i) Étendue et fréquence de la consolidation des soldes de trésorerie de l’administration centrale </w:t>
            </w:r>
          </w:p>
        </w:tc>
        <w:tc>
          <w:tcPr>
            <w:tcW w:w="720" w:type="dxa"/>
          </w:tcPr>
          <w:p w:rsidR="003A596A" w:rsidRPr="00A17E25" w:rsidRDefault="003A596A" w:rsidP="003A596A">
            <w:pPr>
              <w:jc w:val="center"/>
              <w:rPr>
                <w:rFonts w:ascii="Arial" w:hAnsi="Arial"/>
                <w:sz w:val="20"/>
                <w:szCs w:val="20"/>
              </w:rPr>
            </w:pPr>
            <w:r w:rsidRPr="00A17E25">
              <w:rPr>
                <w:rFonts w:ascii="Arial" w:hAnsi="Arial"/>
                <w:sz w:val="20"/>
                <w:szCs w:val="20"/>
              </w:rPr>
              <w:t>C</w:t>
            </w:r>
          </w:p>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p>
        </w:tc>
        <w:tc>
          <w:tcPr>
            <w:tcW w:w="4073" w:type="dxa"/>
          </w:tcPr>
          <w:p w:rsidR="003A596A" w:rsidRPr="00A17E25" w:rsidRDefault="003A596A" w:rsidP="003A596A">
            <w:pPr>
              <w:spacing w:after="6" w:line="235" w:lineRule="auto"/>
              <w:ind w:left="36"/>
              <w:jc w:val="both"/>
              <w:rPr>
                <w:rFonts w:ascii="Arial" w:hAnsi="Arial" w:cs="Arial"/>
                <w:sz w:val="20"/>
                <w:szCs w:val="20"/>
              </w:rPr>
            </w:pPr>
            <w:r w:rsidRPr="00A17E25">
              <w:rPr>
                <w:rFonts w:ascii="Arial" w:hAnsi="Arial" w:cs="Arial"/>
                <w:sz w:val="20"/>
                <w:szCs w:val="20"/>
              </w:rPr>
              <w:t xml:space="preserve">Tous les soldes de trésorerie de la </w:t>
            </w:r>
            <w:r w:rsidR="00DE5B35">
              <w:rPr>
                <w:rFonts w:ascii="Arial" w:hAnsi="Arial" w:cs="Arial"/>
                <w:sz w:val="20"/>
                <w:szCs w:val="20"/>
              </w:rPr>
              <w:t>CC</w:t>
            </w:r>
            <w:r w:rsidRPr="00A17E25">
              <w:rPr>
                <w:rFonts w:ascii="Arial" w:hAnsi="Arial" w:cs="Arial"/>
                <w:sz w:val="20"/>
                <w:szCs w:val="20"/>
              </w:rPr>
              <w:t xml:space="preserve"> sont consolidés sur une base mensuelle. </w:t>
            </w:r>
          </w:p>
          <w:p w:rsidR="003A596A" w:rsidRPr="00A17E25" w:rsidRDefault="003A596A" w:rsidP="003A596A">
            <w:pPr>
              <w:spacing w:line="256" w:lineRule="auto"/>
              <w:jc w:val="both"/>
              <w:rPr>
                <w:rFonts w:ascii="Arial" w:hAnsi="Arial" w:cs="Arial"/>
                <w:sz w:val="20"/>
                <w:szCs w:val="20"/>
              </w:rPr>
            </w:pPr>
          </w:p>
        </w:tc>
      </w:tr>
      <w:tr w:rsidR="003A596A" w:rsidRPr="00A17E25" w:rsidTr="002A24D6">
        <w:trPr>
          <w:trHeight w:val="665"/>
        </w:trPr>
        <w:tc>
          <w:tcPr>
            <w:tcW w:w="4410" w:type="dxa"/>
          </w:tcPr>
          <w:p w:rsidR="003A596A" w:rsidRPr="00A17E25" w:rsidRDefault="003A596A" w:rsidP="003A596A">
            <w:pPr>
              <w:spacing w:line="256" w:lineRule="auto"/>
              <w:ind w:left="2"/>
              <w:jc w:val="both"/>
              <w:rPr>
                <w:rFonts w:ascii="Arial" w:hAnsi="Arial" w:cs="Arial"/>
                <w:sz w:val="20"/>
                <w:szCs w:val="20"/>
              </w:rPr>
            </w:pPr>
            <w:r w:rsidRPr="00A17E25">
              <w:rPr>
                <w:rFonts w:ascii="Arial" w:hAnsi="Arial" w:cs="Arial"/>
                <w:sz w:val="20"/>
                <w:szCs w:val="20"/>
              </w:rPr>
              <w:t xml:space="preserve">ii) Mesure dans laquelle les flux de trésorerie font l’objet de prévisions et d’un suivi </w:t>
            </w:r>
          </w:p>
        </w:tc>
        <w:tc>
          <w:tcPr>
            <w:tcW w:w="720" w:type="dxa"/>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sz w:val="20"/>
                <w:szCs w:val="20"/>
              </w:rPr>
            </w:pPr>
            <w:r w:rsidRPr="00A17E25">
              <w:rPr>
                <w:rFonts w:ascii="Arial" w:hAnsi="Arial"/>
                <w:sz w:val="20"/>
                <w:szCs w:val="20"/>
              </w:rPr>
              <w:t>D</w:t>
            </w:r>
          </w:p>
        </w:tc>
        <w:tc>
          <w:tcPr>
            <w:tcW w:w="4073" w:type="dxa"/>
          </w:tcPr>
          <w:p w:rsidR="003A596A" w:rsidRPr="00A17E25" w:rsidRDefault="003A596A" w:rsidP="002A24D6">
            <w:pPr>
              <w:spacing w:after="1" w:line="237" w:lineRule="auto"/>
              <w:ind w:right="55"/>
              <w:jc w:val="both"/>
              <w:rPr>
                <w:rFonts w:ascii="Arial" w:hAnsi="Arial" w:cs="Arial"/>
                <w:sz w:val="20"/>
                <w:szCs w:val="20"/>
              </w:rPr>
            </w:pPr>
            <w:r w:rsidRPr="00A17E25">
              <w:rPr>
                <w:rFonts w:ascii="Arial" w:hAnsi="Arial" w:cs="Arial"/>
                <w:sz w:val="20"/>
                <w:szCs w:val="20"/>
              </w:rPr>
              <w:t xml:space="preserve">Les prévisions des flux de trésorerie ne sont préparées et  mises à jour au cours de l’exercice. </w:t>
            </w:r>
          </w:p>
        </w:tc>
      </w:tr>
      <w:tr w:rsidR="003A596A" w:rsidRPr="00A17E25" w:rsidTr="002A24D6">
        <w:tc>
          <w:tcPr>
            <w:tcW w:w="4410" w:type="dxa"/>
          </w:tcPr>
          <w:p w:rsidR="003A596A" w:rsidRPr="00A17E25" w:rsidRDefault="003A596A" w:rsidP="003A596A">
            <w:pPr>
              <w:spacing w:line="256" w:lineRule="auto"/>
              <w:ind w:left="2"/>
              <w:jc w:val="both"/>
              <w:rPr>
                <w:rFonts w:ascii="Arial" w:hAnsi="Arial" w:cs="Arial"/>
                <w:sz w:val="20"/>
                <w:szCs w:val="20"/>
              </w:rPr>
            </w:pPr>
            <w:r w:rsidRPr="00A17E25">
              <w:rPr>
                <w:rFonts w:ascii="Arial" w:hAnsi="Arial" w:cs="Arial"/>
                <w:sz w:val="20"/>
                <w:szCs w:val="20"/>
              </w:rPr>
              <w:t xml:space="preserve">iii) Fiabilité et horizon des informations périodiques fournies en cours d’année aux MDA sur les plafonds d’engagement de dépenses </w:t>
            </w:r>
          </w:p>
        </w:tc>
        <w:tc>
          <w:tcPr>
            <w:tcW w:w="720" w:type="dxa"/>
          </w:tcPr>
          <w:p w:rsidR="003A596A" w:rsidRPr="00A17E25" w:rsidRDefault="003A596A" w:rsidP="003A596A">
            <w:pPr>
              <w:jc w:val="center"/>
              <w:rPr>
                <w:rFonts w:ascii="Arial" w:hAnsi="Arial"/>
                <w:sz w:val="20"/>
                <w:szCs w:val="20"/>
              </w:rPr>
            </w:pPr>
            <w:r w:rsidRPr="00A17E25">
              <w:rPr>
                <w:rFonts w:ascii="Arial" w:hAnsi="Arial"/>
                <w:sz w:val="20"/>
                <w:szCs w:val="20"/>
              </w:rPr>
              <w:t>A</w:t>
            </w:r>
          </w:p>
        </w:tc>
        <w:tc>
          <w:tcPr>
            <w:tcW w:w="4073" w:type="dxa"/>
          </w:tcPr>
          <w:p w:rsidR="003A596A" w:rsidRPr="00A17E25" w:rsidRDefault="003A596A" w:rsidP="003A596A">
            <w:pPr>
              <w:spacing w:after="3" w:line="237" w:lineRule="auto"/>
              <w:ind w:left="36" w:right="55" w:hanging="36"/>
              <w:jc w:val="both"/>
              <w:rPr>
                <w:rFonts w:ascii="Arial" w:hAnsi="Arial" w:cs="Arial"/>
                <w:sz w:val="20"/>
                <w:szCs w:val="20"/>
              </w:rPr>
            </w:pPr>
            <w:r w:rsidRPr="00A17E25">
              <w:rPr>
                <w:rFonts w:ascii="Arial" w:hAnsi="Arial" w:cs="Arial"/>
                <w:sz w:val="20"/>
                <w:szCs w:val="20"/>
              </w:rPr>
              <w:t xml:space="preserve">Les entités de la </w:t>
            </w:r>
            <w:r w:rsidR="00DE5B35">
              <w:rPr>
                <w:rFonts w:ascii="Arial" w:hAnsi="Arial" w:cs="Arial"/>
                <w:sz w:val="20"/>
                <w:szCs w:val="20"/>
              </w:rPr>
              <w:t>CC</w:t>
            </w:r>
            <w:r w:rsidRPr="00A17E25">
              <w:rPr>
                <w:rFonts w:ascii="Arial" w:hAnsi="Arial" w:cs="Arial"/>
                <w:sz w:val="20"/>
                <w:szCs w:val="20"/>
              </w:rPr>
              <w:t xml:space="preserve"> sont en mesure de planifier et d’engager des dépenses au moins six mois à l’avance sur la base des crédits inscrits au budget. </w:t>
            </w:r>
          </w:p>
          <w:p w:rsidR="003A596A" w:rsidRPr="00A17E25" w:rsidRDefault="003A596A" w:rsidP="003A596A">
            <w:pPr>
              <w:spacing w:line="256" w:lineRule="auto"/>
              <w:jc w:val="both"/>
              <w:rPr>
                <w:rFonts w:ascii="Arial" w:hAnsi="Arial" w:cs="Arial"/>
                <w:sz w:val="20"/>
                <w:szCs w:val="20"/>
              </w:rPr>
            </w:pPr>
          </w:p>
        </w:tc>
      </w:tr>
      <w:tr w:rsidR="003A596A" w:rsidRPr="00A17E25" w:rsidTr="002A24D6">
        <w:trPr>
          <w:trHeight w:val="998"/>
        </w:trPr>
        <w:tc>
          <w:tcPr>
            <w:tcW w:w="4410" w:type="dxa"/>
          </w:tcPr>
          <w:p w:rsidR="003A596A" w:rsidRPr="00A17E25" w:rsidRDefault="003A596A" w:rsidP="002A24D6">
            <w:pPr>
              <w:spacing w:line="235" w:lineRule="auto"/>
              <w:ind w:left="2" w:right="4"/>
              <w:jc w:val="both"/>
              <w:rPr>
                <w:rFonts w:ascii="Arial" w:hAnsi="Arial" w:cs="Arial"/>
                <w:sz w:val="20"/>
                <w:szCs w:val="20"/>
              </w:rPr>
            </w:pPr>
            <w:r w:rsidRPr="00A17E25">
              <w:rPr>
                <w:rFonts w:ascii="Arial" w:hAnsi="Arial" w:cs="Arial"/>
                <w:sz w:val="20"/>
                <w:szCs w:val="20"/>
              </w:rPr>
              <w:t xml:space="preserve">iv) Fréquence et transparence des ajustements apportés aux affectations budgétaires, qui sont décidés à un échelon supérieur à celui de la direction des MDA </w:t>
            </w:r>
          </w:p>
        </w:tc>
        <w:tc>
          <w:tcPr>
            <w:tcW w:w="720" w:type="dxa"/>
          </w:tcPr>
          <w:p w:rsidR="003A596A" w:rsidRPr="00A17E25" w:rsidRDefault="003A596A" w:rsidP="003A596A">
            <w:pPr>
              <w:jc w:val="center"/>
              <w:rPr>
                <w:rFonts w:ascii="Arial" w:hAnsi="Arial"/>
                <w:sz w:val="20"/>
                <w:szCs w:val="20"/>
              </w:rPr>
            </w:pPr>
            <w:r w:rsidRPr="00A17E25">
              <w:rPr>
                <w:rFonts w:ascii="Arial" w:hAnsi="Arial"/>
                <w:sz w:val="20"/>
                <w:szCs w:val="20"/>
              </w:rPr>
              <w:t>C</w:t>
            </w:r>
          </w:p>
        </w:tc>
        <w:tc>
          <w:tcPr>
            <w:tcW w:w="4073" w:type="dxa"/>
          </w:tcPr>
          <w:p w:rsidR="003A596A" w:rsidRPr="00A17E25" w:rsidRDefault="003A596A" w:rsidP="002A24D6">
            <w:pPr>
              <w:spacing w:after="1" w:line="237" w:lineRule="auto"/>
              <w:ind w:left="36"/>
              <w:jc w:val="both"/>
              <w:rPr>
                <w:rFonts w:ascii="Arial" w:hAnsi="Arial" w:cs="Arial"/>
                <w:sz w:val="20"/>
                <w:szCs w:val="20"/>
              </w:rPr>
            </w:pPr>
            <w:r w:rsidRPr="00A17E25">
              <w:rPr>
                <w:rFonts w:ascii="Arial" w:hAnsi="Arial" w:cs="Arial"/>
                <w:sz w:val="20"/>
                <w:szCs w:val="20"/>
              </w:rPr>
              <w:t xml:space="preserve">Des ajustements importants sont fréquemment apportés aux affectations budgétaires en cours d’année, mais ils sont effectués de manière assez transparente. </w:t>
            </w:r>
          </w:p>
        </w:tc>
      </w:tr>
    </w:tbl>
    <w:p w:rsidR="00366EE5" w:rsidRDefault="00366EE5" w:rsidP="003A596A">
      <w:pPr>
        <w:jc w:val="both"/>
        <w:rPr>
          <w:rFonts w:ascii="Arial" w:hAnsi="Arial" w:cs="Arial"/>
          <w:b/>
        </w:rPr>
      </w:pPr>
    </w:p>
    <w:p w:rsidR="002A24D6" w:rsidRDefault="002A24D6" w:rsidP="003A596A">
      <w:pPr>
        <w:jc w:val="both"/>
        <w:rPr>
          <w:rFonts w:ascii="Arial" w:hAnsi="Arial" w:cs="Arial"/>
          <w:b/>
        </w:rPr>
      </w:pPr>
    </w:p>
    <w:p w:rsidR="003A596A" w:rsidRPr="00A17E25" w:rsidRDefault="003A596A" w:rsidP="003A596A">
      <w:pPr>
        <w:jc w:val="both"/>
        <w:rPr>
          <w:rFonts w:ascii="Arial" w:hAnsi="Arial" w:cs="Arial"/>
          <w:b/>
        </w:rPr>
      </w:pPr>
      <w:r w:rsidRPr="00A17E25">
        <w:rPr>
          <w:rFonts w:ascii="Arial" w:hAnsi="Arial" w:cs="Arial"/>
          <w:b/>
        </w:rPr>
        <w:t>PI-22 : Efficacité des contrôles des états de paie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des trois premières composantes de cet indicateur (i, ii &amp; iii) l’information est celle disponible au moment de l’évaluation. Pour la composante iv les 3 derniers exercices budgétaires avant l’évaluation (2012-2014) ont été considérés.</w:t>
      </w:r>
    </w:p>
    <w:p w:rsidR="003A596A" w:rsidRPr="00A17E25" w:rsidRDefault="003A596A" w:rsidP="003A596A">
      <w:pPr>
        <w:jc w:val="both"/>
        <w:rPr>
          <w:rFonts w:ascii="Arial" w:hAnsi="Arial" w:cs="Arial"/>
        </w:rPr>
      </w:pPr>
    </w:p>
    <w:p w:rsidR="003A596A" w:rsidRPr="003A29CD" w:rsidRDefault="003A596A" w:rsidP="00151AD3">
      <w:pPr>
        <w:pStyle w:val="ListParagraph"/>
        <w:numPr>
          <w:ilvl w:val="0"/>
          <w:numId w:val="84"/>
        </w:numPr>
        <w:contextualSpacing/>
        <w:jc w:val="both"/>
        <w:rPr>
          <w:rFonts w:ascii="Arial" w:hAnsi="Arial" w:cs="Arial"/>
          <w:i/>
          <w:color w:val="0070C0"/>
        </w:rPr>
      </w:pPr>
      <w:r w:rsidRPr="003A29CD">
        <w:rPr>
          <w:rFonts w:ascii="Arial" w:hAnsi="Arial" w:cs="Arial"/>
          <w:i/>
          <w:color w:val="0070C0"/>
        </w:rPr>
        <w:t>Degré d’intégration et de rapprochement entre les tableaux d’effectifs agréés, les dossiers du personnel et les données des états de paie</w:t>
      </w:r>
    </w:p>
    <w:p w:rsidR="003A596A" w:rsidRPr="00A17E25" w:rsidRDefault="003A596A" w:rsidP="003A596A">
      <w:pPr>
        <w:jc w:val="both"/>
        <w:rPr>
          <w:rFonts w:ascii="Arial" w:hAnsi="Arial" w:cs="Arial"/>
        </w:rPr>
      </w:pPr>
      <w:r w:rsidRPr="00A17E25">
        <w:rPr>
          <w:rFonts w:ascii="Arial" w:hAnsi="Arial" w:cs="Arial"/>
        </w:rPr>
        <w:t xml:space="preserve">La Division des ressources humaines (DRH) de la </w:t>
      </w:r>
      <w:r w:rsidR="00DE5B35">
        <w:rPr>
          <w:rFonts w:ascii="Arial" w:hAnsi="Arial" w:cs="Arial"/>
        </w:rPr>
        <w:t>CC</w:t>
      </w:r>
      <w:r w:rsidRPr="00A17E25">
        <w:rPr>
          <w:rFonts w:ascii="Arial" w:hAnsi="Arial" w:cs="Arial"/>
        </w:rPr>
        <w:t xml:space="preserve"> est chargée notamment de la gestion du personnel de la commune. A ce titre, son service gestion des carrières tient de façon manuelle un fichier nominatif du personnel. Ce fichier, tenu sur des feuilles Excel est censé répertorié tout le personnel de la ville. Toutefois, ce fichier nominatif du personnel tenu manuellement ne sert pas au paiement des salaires du personnel. Les salaires du personnel sont plutôt payés à partir de la base de données de l’application GIPE installée chez l’ordonnateur (Gestion intégrée du personnel de l’Etat) qui est conçue pour le niveau central mais qui est déployée également au niveau des collectivités locales. Les états de paie sont produits par l’application « </w:t>
      </w:r>
      <w:r w:rsidR="00A07D79">
        <w:rPr>
          <w:rFonts w:ascii="Arial" w:hAnsi="Arial" w:cs="Arial"/>
        </w:rPr>
        <w:t>O</w:t>
      </w:r>
      <w:r w:rsidRPr="00A17E25">
        <w:rPr>
          <w:rFonts w:ascii="Arial" w:hAnsi="Arial" w:cs="Arial"/>
        </w:rPr>
        <w:t xml:space="preserve">ujour » qui est gérée par la TGR et interfacée avec GIPE.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Toutes les modifications concernant la situation administrative du personnel et ayant un impact sur le salaire sont enregistrées dans GIPE par le Service paie de la DRH sur la base de la documentation les justifiant. Les applications GIPE et « </w:t>
      </w:r>
      <w:r w:rsidR="00A07D79">
        <w:rPr>
          <w:rFonts w:ascii="Arial" w:hAnsi="Arial" w:cs="Arial"/>
        </w:rPr>
        <w:t>O</w:t>
      </w:r>
      <w:r w:rsidRPr="00A17E25">
        <w:rPr>
          <w:rFonts w:ascii="Arial" w:hAnsi="Arial" w:cs="Arial"/>
        </w:rPr>
        <w:t>ujour » étant interfacées, la TGR est informée automatiquement de ces modifications. Cependant, pour des raisons techniques, le Service paie de la DRH n’arrive pas parfois à enregistrer dans GIPE certaines modifications. Dans ce cas, les actes justificatifs des modifications à apporter à la base de données sont transmis à la TGR qui se charge de les saisir</w:t>
      </w:r>
      <w:r w:rsidR="008D6134">
        <w:rPr>
          <w:rFonts w:ascii="Arial" w:hAnsi="Arial" w:cs="Arial"/>
        </w:rPr>
        <w:t xml:space="preserve"> dans GIPE</w:t>
      </w:r>
      <w:r w:rsidRPr="00A17E25">
        <w:rPr>
          <w:rFonts w:ascii="Arial" w:hAnsi="Arial" w:cs="Arial"/>
        </w:rPr>
        <w:t>. Que les modifications soient saisies ou non par le service paie de la DRH dans GIPE, ce service, à chaque fois qu’il apporte des modifications à la base de données, transmet à la TGR un état récapitulatif des modifications appuyé des actes justificatifs et toute la documentation devant justifier les modifications à saisir par la TGR.</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Après vérification, la TGR procède à la saisie des modifications que la DRH n’a pas pu effectuer et valide celles qu’elle a effectuées, et transmet les fichiers au Centre National de Traitement (CNT) pour la liquidation des salaires. Après liquidation, le CNT transmet à la TGR le fichier des salaires liquidés qui les vérifie à nouveau avant de les envoyer à la DRH. La DRH procède au contrôle de l’exactitude des modifications du salaire du mois concerné par rapport aux états récapitulatifs et actes transmis à la TGR avant d’enclencher la procédure d’engagement et de mandatement dans le système GID.</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Un tableau des emplois dûment approuvé par le ministère de l’intérieur, autorité de tutelle de la </w:t>
      </w:r>
      <w:r w:rsidR="00DE5B35">
        <w:rPr>
          <w:rFonts w:ascii="Arial" w:hAnsi="Arial" w:cs="Arial"/>
        </w:rPr>
        <w:t>CC</w:t>
      </w:r>
      <w:r w:rsidRPr="00A17E25">
        <w:rPr>
          <w:rFonts w:ascii="Arial" w:hAnsi="Arial" w:cs="Arial"/>
        </w:rPr>
        <w:t xml:space="preserve"> est annexé au budget </w:t>
      </w:r>
      <w:r w:rsidR="00D8102C">
        <w:rPr>
          <w:rFonts w:ascii="Arial" w:hAnsi="Arial" w:cs="Arial"/>
        </w:rPr>
        <w:t>initial</w:t>
      </w:r>
      <w:r w:rsidRPr="00A17E25">
        <w:rPr>
          <w:rFonts w:ascii="Arial" w:hAnsi="Arial" w:cs="Arial"/>
        </w:rPr>
        <w:t xml:space="preserve"> de chaque année. Ce tableau indique par emploi l’effectif du personnel ainsi que les transformations et les créations autorisées. Ainsi, les avancements et les promotions à effectuer doivent restent dans les limites fixées par le tableau des emplois et les recrutements sont contraints par les autorisations de création d’emplois. Cependant, il importe de faire remarquer que le tableau des emplois n’est pas chargé dans l’application « </w:t>
      </w:r>
      <w:r w:rsidR="002A24D6">
        <w:rPr>
          <w:rFonts w:ascii="Arial" w:hAnsi="Arial" w:cs="Arial"/>
        </w:rPr>
        <w:t>A</w:t>
      </w:r>
      <w:r w:rsidRPr="00A17E25">
        <w:rPr>
          <w:rFonts w:ascii="Arial" w:hAnsi="Arial" w:cs="Arial"/>
        </w:rPr>
        <w:t xml:space="preserve">ujour » afin de permettre une gestion informatisée des postes ouverts. </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données sur l’effectif du personnel de la </w:t>
      </w:r>
      <w:r w:rsidR="00DE5B35">
        <w:rPr>
          <w:rFonts w:ascii="Arial" w:hAnsi="Arial" w:cs="Arial"/>
        </w:rPr>
        <w:t>CC</w:t>
      </w:r>
      <w:r w:rsidRPr="00A17E25">
        <w:rPr>
          <w:rFonts w:ascii="Arial" w:hAnsi="Arial" w:cs="Arial"/>
        </w:rPr>
        <w:t xml:space="preserve"> ne sont pas fiables. L’effectif total qui ressort du tableau des emplois de 2014 approuvé par le ministère de l’intérieur et annexé au budget est 19995. Au moment de l’évaluation,  l’effectif total du personnel de la </w:t>
      </w:r>
      <w:r w:rsidR="00DE5B35">
        <w:rPr>
          <w:rFonts w:ascii="Arial" w:hAnsi="Arial" w:cs="Arial"/>
        </w:rPr>
        <w:t>CC</w:t>
      </w:r>
      <w:r w:rsidRPr="00A17E25">
        <w:rPr>
          <w:rFonts w:ascii="Arial" w:hAnsi="Arial" w:cs="Arial"/>
        </w:rPr>
        <w:t xml:space="preserve"> communiqué par la TGR est de 19883 agents et l’effectif des agents payés est de 14916 agents, ce qui fait ressortir une différence de 4967 agents. Des informations obtenues auprès du bureau des rémunérations de la TGR, cet effectif différentiel est constitué :</w:t>
      </w:r>
    </w:p>
    <w:p w:rsidR="003A596A" w:rsidRPr="00A17E25" w:rsidRDefault="003A596A" w:rsidP="002A24D6">
      <w:pPr>
        <w:pStyle w:val="ListParagraph"/>
        <w:numPr>
          <w:ilvl w:val="0"/>
          <w:numId w:val="44"/>
        </w:numPr>
        <w:spacing w:before="240"/>
        <w:jc w:val="both"/>
        <w:rPr>
          <w:rFonts w:ascii="Arial" w:hAnsi="Arial" w:cs="Arial"/>
        </w:rPr>
      </w:pPr>
      <w:r w:rsidRPr="00A17E25">
        <w:rPr>
          <w:rFonts w:ascii="Arial" w:hAnsi="Arial" w:cs="Arial"/>
        </w:rPr>
        <w:t xml:space="preserve">Des agents qui sont dans des positions prévus par les statuts (détachement, disponibilité etc.) et qui n’émargent plus au budget de la </w:t>
      </w:r>
      <w:r w:rsidR="00DE5B35">
        <w:rPr>
          <w:rFonts w:ascii="Arial" w:hAnsi="Arial" w:cs="Arial"/>
        </w:rPr>
        <w:t>CC</w:t>
      </w:r>
      <w:r w:rsidRPr="00A17E25">
        <w:rPr>
          <w:rFonts w:ascii="Arial" w:hAnsi="Arial" w:cs="Arial"/>
        </w:rPr>
        <w:t> ;</w:t>
      </w:r>
    </w:p>
    <w:p w:rsidR="003A596A" w:rsidRPr="00A17E25" w:rsidRDefault="003A596A" w:rsidP="002A24D6">
      <w:pPr>
        <w:pStyle w:val="ListParagraph"/>
        <w:numPr>
          <w:ilvl w:val="0"/>
          <w:numId w:val="44"/>
        </w:numPr>
        <w:spacing w:before="240"/>
        <w:jc w:val="both"/>
        <w:rPr>
          <w:rFonts w:ascii="Arial" w:hAnsi="Arial" w:cs="Arial"/>
        </w:rPr>
      </w:pPr>
      <w:r w:rsidRPr="00A17E25">
        <w:rPr>
          <w:rFonts w:ascii="Arial" w:hAnsi="Arial" w:cs="Arial"/>
        </w:rPr>
        <w:t xml:space="preserve">Des agents décédés, radiés, admis à la retraite ou qui ont abandonné leur poste etc. </w:t>
      </w:r>
    </w:p>
    <w:p w:rsidR="003A596A" w:rsidRPr="00A17E25" w:rsidRDefault="003A596A" w:rsidP="003A596A">
      <w:pPr>
        <w:jc w:val="both"/>
        <w:rPr>
          <w:rFonts w:ascii="Arial" w:hAnsi="Arial" w:cs="Arial"/>
        </w:rPr>
      </w:pPr>
      <w:r w:rsidRPr="00A17E25">
        <w:rPr>
          <w:rFonts w:ascii="Arial" w:hAnsi="Arial" w:cs="Arial"/>
        </w:rPr>
        <w:t xml:space="preserve">Les postes de ces agents restent ouverts sur le tableau des emplois et peuvent être pourvus en cas de besoin sans que la </w:t>
      </w:r>
      <w:r w:rsidR="00DE5B35">
        <w:rPr>
          <w:rFonts w:ascii="Arial" w:hAnsi="Arial" w:cs="Arial"/>
        </w:rPr>
        <w:t>CC</w:t>
      </w:r>
      <w:r w:rsidRPr="00A17E25">
        <w:rPr>
          <w:rFonts w:ascii="Arial" w:hAnsi="Arial" w:cs="Arial"/>
        </w:rPr>
        <w:t xml:space="preserve"> ne soit obligée d’obtenir une autorisation préalable de l’autorité de tutelle. Le fait que le fichier du personnel de l’application GIPE ne soit pas apuré n’est pas de nature à favoriser une gestion saine des dépenses salariales.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 tableau des emplois n’est pas cohérent avec les prévisions budgétaires faites au titre des dépenses salariales. En effet, l’effectif indiqué dans ce tableau ne sert pas à l’estimation desdites dépenses, ce qui fait perdre à cet outil toute son utilité en matière de prévision et de contrôle budgétaires des dépenses salariales. En outre, la base de données de GIPE qui tient lieu de fichier nominatif informatisé du personnel de la </w:t>
      </w:r>
      <w:r w:rsidR="00DE5B35">
        <w:rPr>
          <w:rFonts w:ascii="Arial" w:hAnsi="Arial" w:cs="Arial"/>
        </w:rPr>
        <w:t>CC</w:t>
      </w:r>
      <w:r w:rsidRPr="00A17E25">
        <w:rPr>
          <w:rFonts w:ascii="Arial" w:hAnsi="Arial" w:cs="Arial"/>
        </w:rPr>
        <w:t xml:space="preserve"> ne comporte pas toutes les informations nécessaires à la gestion de la carrière du personnel de la </w:t>
      </w:r>
      <w:r w:rsidR="00DE5B35">
        <w:rPr>
          <w:rFonts w:ascii="Arial" w:hAnsi="Arial" w:cs="Arial"/>
        </w:rPr>
        <w:t>CC</w:t>
      </w:r>
      <w:r w:rsidRPr="00A17E25">
        <w:rPr>
          <w:rFonts w:ascii="Arial" w:hAnsi="Arial" w:cs="Arial"/>
        </w:rPr>
        <w:t xml:space="preserve"> telles que les dates de naissance des agents qui sont essentielles pour la détermination de leur date d’admission à la retraite.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La TGR ne tient pas la comptabilité des effectifs budgétaires ouverts par le tableau des emplois conformément aux dispositions de l’article 128 du règlement sur la comptabilité publique des collectivités locales et de leurs groupements. Aux termes des dispositions de cet article, le trésorier-payeur doit tenir une comptabilité faisant ressortir :</w:t>
      </w:r>
    </w:p>
    <w:p w:rsidR="003A596A" w:rsidRPr="00A17E25" w:rsidRDefault="003A596A" w:rsidP="002A24D6">
      <w:pPr>
        <w:pStyle w:val="ListParagraph"/>
        <w:numPr>
          <w:ilvl w:val="0"/>
          <w:numId w:val="45"/>
        </w:numPr>
        <w:spacing w:before="240"/>
        <w:jc w:val="both"/>
        <w:rPr>
          <w:rFonts w:ascii="Arial" w:hAnsi="Arial" w:cs="Arial"/>
        </w:rPr>
      </w:pPr>
      <w:r w:rsidRPr="00A17E25">
        <w:rPr>
          <w:rFonts w:ascii="Arial" w:hAnsi="Arial" w:cs="Arial"/>
        </w:rPr>
        <w:t>Les effectifs budgétaires ouverts ;</w:t>
      </w:r>
    </w:p>
    <w:p w:rsidR="003A596A" w:rsidRPr="00A17E25" w:rsidRDefault="003A596A" w:rsidP="002A24D6">
      <w:pPr>
        <w:pStyle w:val="ListParagraph"/>
        <w:numPr>
          <w:ilvl w:val="0"/>
          <w:numId w:val="45"/>
        </w:numPr>
        <w:spacing w:before="240"/>
        <w:jc w:val="both"/>
        <w:rPr>
          <w:rFonts w:ascii="Arial" w:hAnsi="Arial" w:cs="Arial"/>
        </w:rPr>
      </w:pPr>
      <w:r w:rsidRPr="00A17E25">
        <w:rPr>
          <w:rFonts w:ascii="Arial" w:hAnsi="Arial" w:cs="Arial"/>
        </w:rPr>
        <w:t>Les emplois budgétaires occupés ;</w:t>
      </w:r>
    </w:p>
    <w:p w:rsidR="003A596A" w:rsidRPr="00A17E25" w:rsidRDefault="003A596A" w:rsidP="002A24D6">
      <w:pPr>
        <w:pStyle w:val="ListParagraph"/>
        <w:numPr>
          <w:ilvl w:val="0"/>
          <w:numId w:val="45"/>
        </w:numPr>
        <w:spacing w:before="240"/>
        <w:jc w:val="both"/>
        <w:rPr>
          <w:rFonts w:ascii="Arial" w:hAnsi="Arial" w:cs="Arial"/>
        </w:rPr>
      </w:pPr>
      <w:r w:rsidRPr="00A17E25">
        <w:rPr>
          <w:rFonts w:ascii="Arial" w:hAnsi="Arial" w:cs="Arial"/>
        </w:rPr>
        <w:t>Les emplois budgétaires vacants.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Des échanges que la mission a eus avec la TGR, il ressort que cette dernière n’arrive pas à suivre convenablement les transformations d’emplois en général, et les promotions du personnel en particulier par rapport aux autorisations contenues dans les tableaux des emplois approuvés.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Par ailleurs, l’exécution des dépenses salariales se fait dans l’application GID qui n’est pas reliée à GIPE, et les dotations budgétaires au titre des dépenses salariales ne sont pas chargées dans GIPE. Aussi, les vérifications faites par la DRH et la TGR lors des modifications à apporter aux états de paie ne se réfèrent-elles pas aux dotations budgétaires autorisées. L’engagement comptable des modifications apportées au fichier du personnel n’est pas concomitant de l’engagement juridique, c’est-à-dire de la prise des actes.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En conclusion, le fichier nominatif du personnel de la </w:t>
      </w:r>
      <w:r w:rsidR="00DE5B35">
        <w:rPr>
          <w:rFonts w:ascii="Arial" w:hAnsi="Arial" w:cs="Arial"/>
        </w:rPr>
        <w:t>CC</w:t>
      </w:r>
      <w:r w:rsidRPr="00A17E25">
        <w:rPr>
          <w:rFonts w:ascii="Arial" w:hAnsi="Arial" w:cs="Arial"/>
        </w:rPr>
        <w:t xml:space="preserve"> tenu par la DRH n’est pas relié aux états de paie qui sont générés par GIPE et « </w:t>
      </w:r>
      <w:r w:rsidR="00A07D79">
        <w:rPr>
          <w:rFonts w:ascii="Arial" w:hAnsi="Arial" w:cs="Arial"/>
        </w:rPr>
        <w:t>O</w:t>
      </w:r>
      <w:r w:rsidRPr="00A17E25">
        <w:rPr>
          <w:rFonts w:ascii="Arial" w:hAnsi="Arial" w:cs="Arial"/>
        </w:rPr>
        <w:t xml:space="preserve">ujour ». La base de données de l’effectif de la </w:t>
      </w:r>
      <w:r w:rsidR="00DE5B35">
        <w:rPr>
          <w:rFonts w:ascii="Arial" w:hAnsi="Arial" w:cs="Arial"/>
        </w:rPr>
        <w:t>CC</w:t>
      </w:r>
      <w:r w:rsidRPr="00A17E25">
        <w:rPr>
          <w:rFonts w:ascii="Arial" w:hAnsi="Arial" w:cs="Arial"/>
        </w:rPr>
        <w:t xml:space="preserve"> issue de GIPE n’est pas exhaustive et fiable. Les tableaux des emplois approuvés par l’autorité de tutelle et annexés aux budgets ne sont pas cohérents avec les dotations budgétaires au titre des dépenses salariales. La comptabilité des effectifs budgétaires prescrite par le règlement de la comptabilité publique des collectivités locales n’est pas tenue par la TGR. Aussi, la gestion budgétaire des dépenses salariales par référence aux effectifs autorisés par le tableau des emplois n’est-elle pas assurée. Les modifications apportées au fichier nominatif sont justifiées par des actes administratifs qui sont présentés à la TGR en charge du contrôle des états de paie. Le contrôle budgétaire des actes administratifs constatant les modifications que doit exercer la TGR en référence aux dotations budgétaires ne se fait pas préalablement à la prise desdits actes, mais au moment du paiement de l’incidence financière des modifications. </w:t>
      </w:r>
    </w:p>
    <w:p w:rsidR="003A596A" w:rsidRPr="003A29CD" w:rsidRDefault="003A596A" w:rsidP="003A596A">
      <w:pPr>
        <w:jc w:val="both"/>
        <w:rPr>
          <w:rFonts w:ascii="Arial" w:hAnsi="Arial" w:cs="Arial"/>
          <w:color w:val="0070C0"/>
        </w:rPr>
      </w:pPr>
    </w:p>
    <w:p w:rsidR="003A596A" w:rsidRPr="003A29CD" w:rsidRDefault="003A596A" w:rsidP="00151AD3">
      <w:pPr>
        <w:pStyle w:val="ListParagraph"/>
        <w:numPr>
          <w:ilvl w:val="0"/>
          <w:numId w:val="84"/>
        </w:numPr>
        <w:contextualSpacing/>
        <w:jc w:val="both"/>
        <w:rPr>
          <w:rFonts w:ascii="Arial" w:hAnsi="Arial" w:cs="Arial"/>
          <w:i/>
          <w:color w:val="0070C0"/>
        </w:rPr>
      </w:pPr>
      <w:r w:rsidRPr="003A29CD">
        <w:rPr>
          <w:rFonts w:ascii="Arial" w:hAnsi="Arial" w:cs="Arial"/>
          <w:i/>
          <w:color w:val="0070C0"/>
        </w:rPr>
        <w:t>Rapidité avec laquelle les modifications sont apportées aux dossiers du personnel et aux états de paie</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La rapidité avec laquelle les modifications de la situation administrative du personnel ou des événements ayant une incidence sur les salaires des agents concernés sont constatées est variable en fonction des faits générateurs et de l’organisation administrative en place.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les promotions par exemple, sur la base de l’organisation en place, celles se rapportant à une année donnée sont constatées au cours de l’année suivante, soit donc plus d’un an après la naissance du droit. S’agissant des avancements, ils sont constatés par vagues au cours de l’année de naissance du droit à l’avancement. Pour les admissions à la retraite, l’application « </w:t>
      </w:r>
      <w:r w:rsidR="00A07D79">
        <w:rPr>
          <w:rFonts w:ascii="Arial" w:hAnsi="Arial" w:cs="Arial"/>
        </w:rPr>
        <w:t>O</w:t>
      </w:r>
      <w:r w:rsidRPr="00A17E25">
        <w:rPr>
          <w:rFonts w:ascii="Arial" w:hAnsi="Arial" w:cs="Arial"/>
        </w:rPr>
        <w:t>ujour » est paramétrée de façon à ce que six (06) mois avant la date d’admission à la retraite de l’agent, les dispositions soient prises pour cesser le mandatement de son salaire au jour de son départ effectif. Mais cette règle générale n’est pas pleinement observée en raison de l’incomplétude des informations contenues dans la base de données de GIPE. En ce qui concerne les cas d’abandon ou de décès, la rapidité de la prise en compte de l’événement dépend de la rapidité avec laquelle l’information est communiquée à la DRH.</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Suivant les échanges que la mission a eus avec la DRH de la </w:t>
      </w:r>
      <w:r w:rsidR="00DE5B35">
        <w:rPr>
          <w:rFonts w:ascii="Arial" w:hAnsi="Arial" w:cs="Arial"/>
        </w:rPr>
        <w:t>CC</w:t>
      </w:r>
      <w:r w:rsidRPr="00A17E25">
        <w:rPr>
          <w:rFonts w:ascii="Arial" w:hAnsi="Arial" w:cs="Arial"/>
        </w:rPr>
        <w:t>, une fois que les nouvelles situations administratives du personnel sont constatées, elles sont prises en compte dans un délai d’au plus trois (3) mois sur les états de paie. Il s’agit du délai nécessaire pour la modification de la situation de l’agent dans GIPE et dans « </w:t>
      </w:r>
      <w:r w:rsidR="00A07D79">
        <w:rPr>
          <w:rFonts w:ascii="Arial" w:hAnsi="Arial" w:cs="Arial"/>
        </w:rPr>
        <w:t>O</w:t>
      </w:r>
      <w:r w:rsidRPr="00A17E25">
        <w:rPr>
          <w:rFonts w:ascii="Arial" w:hAnsi="Arial" w:cs="Arial"/>
        </w:rPr>
        <w:t xml:space="preserve">ujour », les vérifications à faire par la TGR, la liquidation des salaires par le CNT, du mandatement et du paiement. Du fait du long délai mis pour prendre les actes d’une part, et du temps mis pour leur prise en compte sur les états de paie d’autre part,  les ajustements rétroactifs engendrés par ces modifications sont relativement significatifs. En 2014, le montant des rappels sur salaire payés s’est élevé à 72 321 132,12 dirhams. Rapportés au montant total des salaires payés au titre de 2014 qui se chiffrent à 1 186 315 454,02 dirhams, les rappels représentent 6,1%. </w:t>
      </w:r>
    </w:p>
    <w:p w:rsidR="003A596A" w:rsidRPr="00A17E25" w:rsidRDefault="003A596A" w:rsidP="003A596A">
      <w:pPr>
        <w:jc w:val="both"/>
        <w:rPr>
          <w:rFonts w:ascii="Arial" w:hAnsi="Arial" w:cs="Arial"/>
        </w:rPr>
      </w:pPr>
      <w:r w:rsidRPr="00A17E25">
        <w:rPr>
          <w:rFonts w:ascii="Arial" w:hAnsi="Arial" w:cs="Arial"/>
        </w:rPr>
        <w:t xml:space="preserve">Au total, sur la base de l’organisation actuelle, les modifications sont apportées aux dossiers du personnel peuvent intervenir plus d’un an après la naissance du droit (cas des promotions), et après la prise des actes, les états de paie sont modifiés dans un délai maximum de trois mois. Il en résulte donc que par exemple pour les promotions, il faut environ plus d’un an trois mois pour constater les modifications sur les états de paie. Les ajustements rétroactifs sont significatifs. </w:t>
      </w:r>
    </w:p>
    <w:p w:rsidR="003A596A" w:rsidRPr="00A17E25" w:rsidRDefault="003A596A" w:rsidP="003A596A">
      <w:pPr>
        <w:ind w:left="1080"/>
        <w:jc w:val="both"/>
        <w:rPr>
          <w:rFonts w:ascii="Arial" w:hAnsi="Arial" w:cs="Arial"/>
        </w:rPr>
      </w:pPr>
    </w:p>
    <w:p w:rsidR="003A596A" w:rsidRPr="003A29CD" w:rsidRDefault="003A596A" w:rsidP="00151AD3">
      <w:pPr>
        <w:pStyle w:val="ListParagraph"/>
        <w:numPr>
          <w:ilvl w:val="0"/>
          <w:numId w:val="84"/>
        </w:numPr>
        <w:contextualSpacing/>
        <w:jc w:val="both"/>
        <w:rPr>
          <w:rFonts w:ascii="Arial" w:hAnsi="Arial" w:cs="Arial"/>
          <w:i/>
          <w:color w:val="0070C0"/>
        </w:rPr>
      </w:pPr>
      <w:r w:rsidRPr="003A29CD">
        <w:rPr>
          <w:rFonts w:ascii="Arial" w:hAnsi="Arial" w:cs="Arial"/>
          <w:i/>
          <w:color w:val="0070C0"/>
        </w:rPr>
        <w:t>Contrôles internes des modifications apportées au dossier du personnel et aux états de paie</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deux principaux services qui interviennent pour les modifications à apporter au fichier du personnel et aux états de paie sont le service de la paie de la DRH et le bureau des rémunérations de la TGR. Au sein du service de la paie de la DRH, les modifications sont faites et validées par </w:t>
      </w:r>
      <w:r w:rsidR="00932617">
        <w:rPr>
          <w:rFonts w:ascii="Arial" w:hAnsi="Arial" w:cs="Arial"/>
        </w:rPr>
        <w:t>des agents différents</w:t>
      </w:r>
      <w:r w:rsidRPr="00A17E25">
        <w:rPr>
          <w:rFonts w:ascii="Arial" w:hAnsi="Arial" w:cs="Arial"/>
        </w:rPr>
        <w:t>. La séparation entre la fonction d’initiation et celle d’approbation des modifications nécessaires pour garantir l’intégrité des opérations est donc assurée</w:t>
      </w:r>
      <w:r w:rsidR="00932617">
        <w:rPr>
          <w:rFonts w:ascii="Arial" w:hAnsi="Arial" w:cs="Arial"/>
        </w:rPr>
        <w:t xml:space="preserve"> aussi bien au niveau de la TGR que de la DRH.</w:t>
      </w:r>
      <w:r w:rsidRPr="00A17E25">
        <w:rPr>
          <w:rFonts w:ascii="Arial" w:hAnsi="Arial" w:cs="Arial"/>
        </w:rPr>
        <w:t xml:space="preserve"> En outre, le contrôle qu’exerce la TGR sur toutes les modifications à apporter aux états de paie qui sont initiées par la DRH permet d’assurer l’intégrité des données des états de paie. Enfin, les contrôles effectués par la DRH après la liquidation des salaires induits par les modifications et le contrôle budgétaire exercé par la TGR au moment de l’exécution de la dépense salariale permettent de renforcer l’intégrité des données des états de paie.</w:t>
      </w:r>
    </w:p>
    <w:p w:rsidR="003A596A" w:rsidRPr="00A17E25" w:rsidRDefault="003A596A" w:rsidP="003A596A">
      <w:pPr>
        <w:jc w:val="both"/>
        <w:rPr>
          <w:rFonts w:ascii="Arial" w:hAnsi="Arial" w:cs="Arial"/>
        </w:rPr>
      </w:pPr>
    </w:p>
    <w:p w:rsidR="003A596A" w:rsidRPr="003A29CD" w:rsidRDefault="003A596A" w:rsidP="00151AD3">
      <w:pPr>
        <w:pStyle w:val="ListParagraph"/>
        <w:numPr>
          <w:ilvl w:val="0"/>
          <w:numId w:val="84"/>
        </w:numPr>
        <w:contextualSpacing/>
        <w:jc w:val="both"/>
        <w:rPr>
          <w:rFonts w:ascii="Arial" w:hAnsi="Arial" w:cs="Arial"/>
          <w:i/>
          <w:color w:val="0070C0"/>
        </w:rPr>
      </w:pPr>
      <w:r w:rsidRPr="003A29CD">
        <w:rPr>
          <w:rFonts w:ascii="Arial" w:hAnsi="Arial" w:cs="Arial"/>
          <w:i/>
          <w:color w:val="0070C0"/>
        </w:rPr>
        <w:t>Réalisation d’audits des états de paie pour identifier les carences des contrôles et les travailleurs fictifs</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En 2014, la </w:t>
      </w:r>
      <w:r w:rsidR="00DE5B35">
        <w:rPr>
          <w:rFonts w:ascii="Arial" w:hAnsi="Arial" w:cs="Arial"/>
        </w:rPr>
        <w:t>CC</w:t>
      </w:r>
      <w:r w:rsidRPr="00A17E25">
        <w:rPr>
          <w:rFonts w:ascii="Arial" w:hAnsi="Arial" w:cs="Arial"/>
        </w:rPr>
        <w:t xml:space="preserve"> de concert avec le ministère de l’intérieur a procédé à un contrôle des états d’effectifs produits par les différents services et arrondissements de la commune. Ce contrôle a consisté à rapprocher sur le terrain les effectifs du fichier de la DRH aux effectifs réels détenus par les services. Ces rapprochements ont été effectués sur le terrain au niveau le plus bas de l’organisation administrative. Ces contrôles ont couvert toutes les entités de la </w:t>
      </w:r>
      <w:r w:rsidR="00DE5B35">
        <w:rPr>
          <w:rFonts w:ascii="Arial" w:hAnsi="Arial" w:cs="Arial"/>
        </w:rPr>
        <w:t>CC</w:t>
      </w:r>
      <w:r w:rsidRPr="00A17E25">
        <w:rPr>
          <w:rFonts w:ascii="Arial" w:hAnsi="Arial" w:cs="Arial"/>
        </w:rPr>
        <w:t>.</w:t>
      </w:r>
    </w:p>
    <w:p w:rsidR="003A596A" w:rsidRPr="00A17E25" w:rsidRDefault="003A596A" w:rsidP="003A596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10"/>
        <w:gridCol w:w="6115"/>
      </w:tblGrid>
      <w:tr w:rsidR="00140732" w:rsidRPr="00A17E25" w:rsidTr="003A29CD">
        <w:trPr>
          <w:tblHeader/>
        </w:trPr>
        <w:tc>
          <w:tcPr>
            <w:tcW w:w="1297" w:type="pct"/>
            <w:shd w:val="clear" w:color="auto" w:fill="0070C0"/>
          </w:tcPr>
          <w:p w:rsidR="00140732" w:rsidRPr="00A17E25" w:rsidRDefault="00140732" w:rsidP="00140732">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433" w:type="pct"/>
            <w:shd w:val="clear" w:color="auto" w:fill="0070C0"/>
          </w:tcPr>
          <w:p w:rsidR="00140732" w:rsidRPr="00A17E25" w:rsidRDefault="00140732" w:rsidP="00140732">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3270" w:type="pct"/>
            <w:shd w:val="clear" w:color="auto" w:fill="0070C0"/>
          </w:tcPr>
          <w:p w:rsidR="00140732" w:rsidRPr="00A17E25" w:rsidRDefault="00140732" w:rsidP="00140732">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140732" w:rsidRPr="00A17E25" w:rsidTr="002A24D6">
        <w:tc>
          <w:tcPr>
            <w:tcW w:w="1297" w:type="pct"/>
          </w:tcPr>
          <w:p w:rsidR="00140732" w:rsidRPr="00A17E25" w:rsidRDefault="00140732" w:rsidP="00140732">
            <w:pPr>
              <w:rPr>
                <w:rFonts w:ascii="Arial" w:hAnsi="Arial" w:cs="Arial"/>
                <w:b/>
                <w:bCs/>
                <w:sz w:val="20"/>
                <w:szCs w:val="20"/>
              </w:rPr>
            </w:pPr>
          </w:p>
          <w:p w:rsidR="00140732" w:rsidRPr="00A17E25" w:rsidRDefault="00140732" w:rsidP="00140732">
            <w:pPr>
              <w:rPr>
                <w:rFonts w:ascii="Arial" w:hAnsi="Arial" w:cs="Arial"/>
                <w:sz w:val="20"/>
                <w:szCs w:val="20"/>
              </w:rPr>
            </w:pPr>
            <w:r w:rsidRPr="00A17E25">
              <w:rPr>
                <w:rFonts w:ascii="Arial" w:hAnsi="Arial" w:cs="Arial"/>
                <w:b/>
                <w:bCs/>
                <w:sz w:val="20"/>
                <w:szCs w:val="20"/>
              </w:rPr>
              <w:t>PI-22 Efficacité des contrôles des états de paie</w:t>
            </w:r>
          </w:p>
        </w:tc>
        <w:tc>
          <w:tcPr>
            <w:tcW w:w="433" w:type="pct"/>
            <w:vAlign w:val="center"/>
          </w:tcPr>
          <w:p w:rsidR="00140732" w:rsidRPr="00A17E25" w:rsidRDefault="00140732" w:rsidP="00140732">
            <w:pPr>
              <w:jc w:val="center"/>
              <w:rPr>
                <w:rFonts w:ascii="Arial" w:hAnsi="Arial" w:cs="Arial"/>
                <w:b/>
                <w:bCs/>
                <w:sz w:val="20"/>
                <w:szCs w:val="20"/>
              </w:rPr>
            </w:pPr>
            <w:r w:rsidRPr="00A17E25">
              <w:rPr>
                <w:rFonts w:ascii="Arial" w:hAnsi="Arial" w:cs="Arial"/>
                <w:b/>
                <w:bCs/>
                <w:sz w:val="20"/>
                <w:szCs w:val="20"/>
              </w:rPr>
              <w:t>D+</w:t>
            </w:r>
          </w:p>
        </w:tc>
        <w:tc>
          <w:tcPr>
            <w:tcW w:w="3270" w:type="pct"/>
            <w:vAlign w:val="center"/>
          </w:tcPr>
          <w:p w:rsidR="00140732" w:rsidRPr="00A17E25" w:rsidRDefault="00140732" w:rsidP="00140732">
            <w:pPr>
              <w:jc w:val="center"/>
              <w:rPr>
                <w:rFonts w:ascii="Arial" w:hAnsi="Arial" w:cs="Arial"/>
                <w:b/>
                <w:bCs/>
                <w:sz w:val="20"/>
                <w:szCs w:val="20"/>
              </w:rPr>
            </w:pPr>
            <w:r w:rsidRPr="00A17E25">
              <w:rPr>
                <w:rFonts w:ascii="Arial" w:hAnsi="Arial" w:cs="Arial"/>
                <w:b/>
                <w:bCs/>
                <w:sz w:val="20"/>
                <w:szCs w:val="20"/>
              </w:rPr>
              <w:t>Méthode de Notation M1</w:t>
            </w:r>
          </w:p>
        </w:tc>
      </w:tr>
      <w:tr w:rsidR="00140732" w:rsidRPr="00A17E25" w:rsidTr="002A24D6">
        <w:tc>
          <w:tcPr>
            <w:tcW w:w="1297" w:type="pct"/>
            <w:vAlign w:val="center"/>
          </w:tcPr>
          <w:p w:rsidR="00140732" w:rsidRPr="00A17E25" w:rsidRDefault="00140732" w:rsidP="00140732">
            <w:pPr>
              <w:rPr>
                <w:rFonts w:ascii="Arial" w:hAnsi="Arial" w:cs="Arial"/>
                <w:sz w:val="20"/>
                <w:szCs w:val="20"/>
              </w:rPr>
            </w:pPr>
            <w:r w:rsidRPr="00A17E25">
              <w:rPr>
                <w:rFonts w:ascii="Arial" w:hAnsi="Arial" w:cs="Arial"/>
                <w:sz w:val="20"/>
                <w:szCs w:val="20"/>
              </w:rPr>
              <w:t>i) Degré d’intégration et de rapprochement entre les tableaux d’effectifs agréés, les dossiers du personnel et les données de la paie</w:t>
            </w:r>
          </w:p>
        </w:tc>
        <w:tc>
          <w:tcPr>
            <w:tcW w:w="433" w:type="pct"/>
            <w:vAlign w:val="center"/>
          </w:tcPr>
          <w:p w:rsidR="00140732" w:rsidRPr="00A17E25" w:rsidRDefault="00140732" w:rsidP="00140732">
            <w:pPr>
              <w:jc w:val="center"/>
              <w:rPr>
                <w:rFonts w:ascii="Arial" w:hAnsi="Arial" w:cs="Arial"/>
                <w:sz w:val="20"/>
                <w:szCs w:val="20"/>
              </w:rPr>
            </w:pPr>
            <w:r w:rsidRPr="00A17E25">
              <w:rPr>
                <w:rFonts w:ascii="Arial" w:hAnsi="Arial" w:cs="Arial"/>
                <w:sz w:val="20"/>
                <w:szCs w:val="20"/>
              </w:rPr>
              <w:t>D</w:t>
            </w:r>
          </w:p>
        </w:tc>
        <w:tc>
          <w:tcPr>
            <w:tcW w:w="3270" w:type="pct"/>
          </w:tcPr>
          <w:p w:rsidR="00140732" w:rsidRPr="00A17E25" w:rsidRDefault="00140732" w:rsidP="00F85295">
            <w:pPr>
              <w:jc w:val="both"/>
              <w:rPr>
                <w:rFonts w:ascii="Arial" w:hAnsi="Arial" w:cs="Arial"/>
                <w:sz w:val="20"/>
                <w:szCs w:val="20"/>
              </w:rPr>
            </w:pPr>
            <w:r w:rsidRPr="00A17E25">
              <w:rPr>
                <w:rFonts w:ascii="Arial" w:hAnsi="Arial" w:cs="Arial"/>
                <w:sz w:val="20"/>
                <w:szCs w:val="20"/>
              </w:rPr>
              <w:t>Le tableau des emplois, le fichier nominatif du personnel et les états de paie ne sont pas directement liés. Les états de paie sont basés sur les états récapitulatifs des modifications de la situation administrative du personnel transmis à la TGR par la DRH et sur les modifications apportées directement par la TGR sur la base des documents communiqués par la DRH. Les vérifications à effectuer par la TGR à l’occasion de la situation administrative du personnel découlant notamment des transformations d’emplois (promotion) ne sont convenablement assurées ni par rapport aux autorisations du tableau des emplois, ni par référence aux dotations budgétaires.</w:t>
            </w:r>
          </w:p>
        </w:tc>
      </w:tr>
      <w:tr w:rsidR="00140732" w:rsidRPr="00A17E25" w:rsidTr="002A24D6">
        <w:tc>
          <w:tcPr>
            <w:tcW w:w="1297" w:type="pct"/>
            <w:vAlign w:val="center"/>
          </w:tcPr>
          <w:p w:rsidR="00140732" w:rsidRPr="00A17E25" w:rsidRDefault="00140732" w:rsidP="00140732">
            <w:pPr>
              <w:rPr>
                <w:rFonts w:ascii="Arial" w:hAnsi="Arial" w:cs="Arial"/>
                <w:sz w:val="20"/>
                <w:szCs w:val="20"/>
              </w:rPr>
            </w:pPr>
            <w:r w:rsidRPr="00A17E25">
              <w:rPr>
                <w:rFonts w:ascii="Arial" w:hAnsi="Arial" w:cs="Arial"/>
                <w:sz w:val="20"/>
                <w:szCs w:val="20"/>
              </w:rPr>
              <w:t>ii) Rapidité avec laquelle les modifications sont apportées aux dossiers du personnel et aux états de paie</w:t>
            </w:r>
          </w:p>
        </w:tc>
        <w:tc>
          <w:tcPr>
            <w:tcW w:w="433" w:type="pct"/>
            <w:vAlign w:val="center"/>
          </w:tcPr>
          <w:p w:rsidR="00140732" w:rsidRPr="00A17E25" w:rsidRDefault="00140732" w:rsidP="00140732">
            <w:pPr>
              <w:jc w:val="center"/>
              <w:rPr>
                <w:rFonts w:ascii="Arial" w:hAnsi="Arial" w:cs="Arial"/>
                <w:sz w:val="20"/>
                <w:szCs w:val="20"/>
              </w:rPr>
            </w:pPr>
            <w:r w:rsidRPr="00A17E25">
              <w:rPr>
                <w:rFonts w:ascii="Arial" w:hAnsi="Arial" w:cs="Arial"/>
                <w:sz w:val="20"/>
                <w:szCs w:val="20"/>
              </w:rPr>
              <w:t>D</w:t>
            </w:r>
          </w:p>
        </w:tc>
        <w:tc>
          <w:tcPr>
            <w:tcW w:w="3270" w:type="pct"/>
          </w:tcPr>
          <w:p w:rsidR="00140732" w:rsidRPr="00A17E25" w:rsidRDefault="00140732" w:rsidP="00F85295">
            <w:pPr>
              <w:jc w:val="both"/>
              <w:rPr>
                <w:rFonts w:ascii="Arial" w:hAnsi="Arial" w:cs="Arial"/>
                <w:sz w:val="20"/>
                <w:szCs w:val="20"/>
              </w:rPr>
            </w:pPr>
            <w:r w:rsidRPr="00A17E25">
              <w:rPr>
                <w:rFonts w:ascii="Arial" w:hAnsi="Arial" w:cs="Arial"/>
                <w:sz w:val="20"/>
                <w:szCs w:val="20"/>
              </w:rPr>
              <w:t>Les modifications des dossiers du personnel et des états de paie sont effectués dans un délai pouvant aller jusqu’à 15 mois et les rappels de salaires découlant de ces modifications sont significatifs (6,1% des dépenses salariales en 2014).</w:t>
            </w:r>
          </w:p>
        </w:tc>
      </w:tr>
      <w:tr w:rsidR="00140732" w:rsidRPr="00A17E25" w:rsidTr="002A24D6">
        <w:tc>
          <w:tcPr>
            <w:tcW w:w="1297" w:type="pct"/>
            <w:vAlign w:val="center"/>
          </w:tcPr>
          <w:p w:rsidR="00140732" w:rsidRPr="00A17E25" w:rsidRDefault="00140732" w:rsidP="00140732">
            <w:pPr>
              <w:rPr>
                <w:rFonts w:ascii="Arial" w:hAnsi="Arial" w:cs="Arial"/>
                <w:sz w:val="20"/>
                <w:szCs w:val="20"/>
              </w:rPr>
            </w:pPr>
            <w:r w:rsidRPr="00A17E25">
              <w:rPr>
                <w:rFonts w:ascii="Arial" w:hAnsi="Arial" w:cs="Arial"/>
                <w:sz w:val="20"/>
                <w:szCs w:val="20"/>
              </w:rPr>
              <w:t xml:space="preserve">iii) Contrôles internes des modifications apportées au dossier du personnel et aux états de paie  </w:t>
            </w:r>
          </w:p>
        </w:tc>
        <w:tc>
          <w:tcPr>
            <w:tcW w:w="433" w:type="pct"/>
            <w:vAlign w:val="center"/>
          </w:tcPr>
          <w:p w:rsidR="00140732" w:rsidRPr="00A17E25" w:rsidRDefault="00140732" w:rsidP="00140732">
            <w:pPr>
              <w:jc w:val="center"/>
              <w:rPr>
                <w:rFonts w:ascii="Arial" w:hAnsi="Arial" w:cs="Arial"/>
                <w:sz w:val="20"/>
                <w:szCs w:val="20"/>
              </w:rPr>
            </w:pPr>
            <w:r w:rsidRPr="00A17E25">
              <w:rPr>
                <w:rFonts w:ascii="Arial" w:hAnsi="Arial" w:cs="Arial"/>
                <w:sz w:val="20"/>
                <w:szCs w:val="20"/>
              </w:rPr>
              <w:t>C</w:t>
            </w:r>
          </w:p>
        </w:tc>
        <w:tc>
          <w:tcPr>
            <w:tcW w:w="3270" w:type="pct"/>
          </w:tcPr>
          <w:p w:rsidR="00140732" w:rsidRPr="00A17E25" w:rsidRDefault="00140732" w:rsidP="00F85295">
            <w:pPr>
              <w:jc w:val="both"/>
              <w:rPr>
                <w:rFonts w:ascii="Arial" w:hAnsi="Arial" w:cs="Arial"/>
                <w:sz w:val="20"/>
                <w:szCs w:val="20"/>
              </w:rPr>
            </w:pPr>
            <w:r w:rsidRPr="00A17E25">
              <w:rPr>
                <w:rFonts w:ascii="Arial" w:hAnsi="Arial" w:cs="Arial"/>
                <w:sz w:val="20"/>
                <w:szCs w:val="20"/>
              </w:rPr>
              <w:t>Un système de contrôle est en place et permet d’assurer l’intégrité des états de paie.</w:t>
            </w:r>
          </w:p>
        </w:tc>
      </w:tr>
      <w:tr w:rsidR="00140732" w:rsidRPr="00A17E25" w:rsidTr="002A24D6">
        <w:tc>
          <w:tcPr>
            <w:tcW w:w="1297" w:type="pct"/>
            <w:vAlign w:val="center"/>
          </w:tcPr>
          <w:p w:rsidR="00140732" w:rsidRPr="00A17E25" w:rsidRDefault="00140732" w:rsidP="00140732">
            <w:pPr>
              <w:rPr>
                <w:rFonts w:ascii="Arial" w:hAnsi="Arial" w:cs="Arial"/>
                <w:sz w:val="20"/>
                <w:szCs w:val="20"/>
              </w:rPr>
            </w:pPr>
            <w:r w:rsidRPr="00A17E25">
              <w:rPr>
                <w:rFonts w:ascii="Arial" w:hAnsi="Arial" w:cs="Arial"/>
                <w:sz w:val="20"/>
                <w:szCs w:val="20"/>
              </w:rPr>
              <w:t>iv) Réalisation d’audits des états de paie pour identifier les carences des contrôles et les travailleurs fictifs</w:t>
            </w:r>
          </w:p>
        </w:tc>
        <w:tc>
          <w:tcPr>
            <w:tcW w:w="433" w:type="pct"/>
            <w:vAlign w:val="center"/>
          </w:tcPr>
          <w:p w:rsidR="00140732" w:rsidRPr="00A17E25" w:rsidRDefault="00140732" w:rsidP="00140732">
            <w:pPr>
              <w:jc w:val="center"/>
              <w:rPr>
                <w:rFonts w:ascii="Arial" w:hAnsi="Arial" w:cs="Arial"/>
                <w:sz w:val="20"/>
                <w:szCs w:val="20"/>
              </w:rPr>
            </w:pPr>
            <w:r w:rsidRPr="00A17E25">
              <w:rPr>
                <w:rFonts w:ascii="Arial" w:hAnsi="Arial" w:cs="Arial"/>
                <w:sz w:val="20"/>
                <w:szCs w:val="20"/>
              </w:rPr>
              <w:t>C</w:t>
            </w:r>
          </w:p>
        </w:tc>
        <w:tc>
          <w:tcPr>
            <w:tcW w:w="3270" w:type="pct"/>
          </w:tcPr>
          <w:p w:rsidR="00140732" w:rsidRPr="00A17E25" w:rsidRDefault="00140732" w:rsidP="00F85295">
            <w:pPr>
              <w:jc w:val="both"/>
              <w:rPr>
                <w:rFonts w:ascii="Arial" w:hAnsi="Arial" w:cs="Arial"/>
                <w:sz w:val="20"/>
                <w:szCs w:val="20"/>
              </w:rPr>
            </w:pPr>
            <w:r w:rsidRPr="00A17E25">
              <w:rPr>
                <w:rFonts w:ascii="Arial" w:hAnsi="Arial" w:cs="Arial"/>
                <w:sz w:val="20"/>
                <w:szCs w:val="20"/>
              </w:rPr>
              <w:t xml:space="preserve">Un contrôle des effectifs du personnel de la </w:t>
            </w:r>
            <w:r w:rsidR="00DE5B35">
              <w:rPr>
                <w:rFonts w:ascii="Arial" w:hAnsi="Arial" w:cs="Arial"/>
                <w:sz w:val="20"/>
                <w:szCs w:val="20"/>
              </w:rPr>
              <w:t>CC</w:t>
            </w:r>
            <w:r w:rsidRPr="00A17E25">
              <w:rPr>
                <w:rFonts w:ascii="Arial" w:hAnsi="Arial" w:cs="Arial"/>
                <w:sz w:val="20"/>
                <w:szCs w:val="20"/>
              </w:rPr>
              <w:t xml:space="preserve"> a été organisé de concert avec le ministère de l’intérieur en 2014.</w:t>
            </w:r>
          </w:p>
        </w:tc>
      </w:tr>
    </w:tbl>
    <w:p w:rsidR="003A596A" w:rsidRPr="00A17E25" w:rsidRDefault="003A596A" w:rsidP="003A596A">
      <w:pPr>
        <w:jc w:val="both"/>
        <w:rPr>
          <w:rFonts w:ascii="Arial" w:hAnsi="Arial"/>
          <w:b/>
        </w:rPr>
      </w:pPr>
    </w:p>
    <w:p w:rsidR="003A596A" w:rsidRPr="00A17E25" w:rsidRDefault="003A596A" w:rsidP="003A596A">
      <w:pPr>
        <w:jc w:val="both"/>
        <w:rPr>
          <w:rFonts w:ascii="Arial" w:hAnsi="Arial" w:cs="Arial"/>
          <w:b/>
        </w:rPr>
      </w:pPr>
      <w:r w:rsidRPr="00A17E25">
        <w:rPr>
          <w:rFonts w:ascii="Arial" w:hAnsi="Arial" w:cs="Arial"/>
          <w:b/>
        </w:rPr>
        <w:t>PI-23: Passation des marchés publics : efficacité, transparence,  concurrence et mécanisme de dépôt de plaintes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Pour l’évaluation des deux premières composantes de cet indicateur (i, ii),  les informations et les données utilisées sont celles de 2014, le dernier exercice clôturé et pour les composantes (iii) et (iv) les informations et données disponibles au moment de l’évaluation.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 cadre juridique de passation des marchés publics des collectivités locales est constitué au moment de l’évaluation (juillet-septembre 2015) du décret n° 2-12-349 du 20 mars 2013 relatifs aux marchés publics et de ses textes d’application. Ce texte mis en vigueur en janvier 2014, est venu </w:t>
      </w:r>
      <w:r w:rsidR="00A07D79" w:rsidRPr="00A17E25">
        <w:rPr>
          <w:rFonts w:ascii="Arial" w:hAnsi="Arial" w:cs="Arial"/>
        </w:rPr>
        <w:t>remplacer</w:t>
      </w:r>
      <w:r w:rsidRPr="00A17E25">
        <w:rPr>
          <w:rFonts w:ascii="Arial" w:hAnsi="Arial" w:cs="Arial"/>
        </w:rPr>
        <w:t xml:space="preserve"> le décret n° 2-06-388 du 05 février 2007 fixant les conditions et les formes de passation des marchés de l’Etat ainsi que certaines règles relatives à leur gestion et à leur contrôle. </w:t>
      </w:r>
    </w:p>
    <w:p w:rsidR="003A596A" w:rsidRPr="003A29CD" w:rsidRDefault="003A596A" w:rsidP="003A596A">
      <w:pPr>
        <w:jc w:val="both"/>
        <w:rPr>
          <w:rFonts w:ascii="Arial" w:hAnsi="Arial" w:cs="Arial"/>
          <w:color w:val="0070C0"/>
        </w:rPr>
      </w:pPr>
    </w:p>
    <w:p w:rsidR="003A596A" w:rsidRPr="003A29CD" w:rsidRDefault="003A596A" w:rsidP="00151AD3">
      <w:pPr>
        <w:pStyle w:val="ListParagraph"/>
        <w:numPr>
          <w:ilvl w:val="0"/>
          <w:numId w:val="46"/>
        </w:numPr>
        <w:contextualSpacing/>
        <w:jc w:val="both"/>
        <w:rPr>
          <w:rFonts w:ascii="Arial" w:hAnsi="Arial" w:cs="Arial"/>
          <w:i/>
          <w:color w:val="0070C0"/>
        </w:rPr>
      </w:pPr>
      <w:r w:rsidRPr="003A29CD">
        <w:rPr>
          <w:rFonts w:ascii="Arial" w:hAnsi="Arial" w:cs="Arial"/>
          <w:i/>
          <w:color w:val="0070C0"/>
        </w:rPr>
        <w:t xml:space="preserve">Suivi de l’efficience et de l’efficacité du système de passation des marchés </w:t>
      </w:r>
    </w:p>
    <w:p w:rsidR="002A24D6" w:rsidRDefault="002A24D6" w:rsidP="003A596A">
      <w:pPr>
        <w:jc w:val="both"/>
        <w:rPr>
          <w:rFonts w:ascii="Arial" w:hAnsi="Arial" w:cs="Arial"/>
        </w:rPr>
      </w:pPr>
    </w:p>
    <w:p w:rsidR="009426F8" w:rsidRDefault="009426F8" w:rsidP="003A596A">
      <w:pPr>
        <w:jc w:val="both"/>
        <w:rPr>
          <w:rFonts w:ascii="Arial" w:hAnsi="Arial" w:cs="Arial"/>
        </w:rPr>
      </w:pPr>
      <w:r>
        <w:rPr>
          <w:rFonts w:ascii="Arial" w:hAnsi="Arial" w:cs="Arial"/>
        </w:rPr>
        <w:t>La division de gestion budgétaire de la CC établit, en vue du suivi des marchés, un état détaillé faisant ressortir notamment l’objet du marché, son numéro, l</w:t>
      </w:r>
      <w:r w:rsidR="00851660">
        <w:rPr>
          <w:rFonts w:ascii="Arial" w:hAnsi="Arial" w:cs="Arial"/>
        </w:rPr>
        <w:t>es dates de son attribution, de son visa et de son approbation, son montant, le montant engagé, le montant payé et le reste à payé. Il s</w:t>
      </w:r>
      <w:r w:rsidR="0078320D">
        <w:rPr>
          <w:rFonts w:ascii="Arial" w:hAnsi="Arial" w:cs="Arial"/>
        </w:rPr>
        <w:t>’</w:t>
      </w:r>
      <w:r w:rsidR="00851660">
        <w:rPr>
          <w:rFonts w:ascii="Arial" w:hAnsi="Arial" w:cs="Arial"/>
        </w:rPr>
        <w:t>agit donc d’un état de suivi financier des marchés.</w:t>
      </w:r>
    </w:p>
    <w:p w:rsidR="003A596A" w:rsidRPr="00A17E25" w:rsidRDefault="003A596A" w:rsidP="003A596A">
      <w:pPr>
        <w:jc w:val="both"/>
        <w:rPr>
          <w:rFonts w:ascii="Arial" w:hAnsi="Arial" w:cs="Arial"/>
        </w:rPr>
      </w:pPr>
      <w:r w:rsidRPr="00851660">
        <w:rPr>
          <w:rFonts w:ascii="Arial" w:hAnsi="Arial" w:cs="Arial"/>
        </w:rPr>
        <w:t xml:space="preserve">Chaque gestionnaire suit les marchés qu’il passe dans le cadre de ses attributions. Chaque division (gestionnaire) établit suivant une périodicité variable, la situation financière des marchés dont elle a la charge. </w:t>
      </w:r>
      <w:r w:rsidR="00851660">
        <w:rPr>
          <w:rFonts w:ascii="Arial" w:hAnsi="Arial" w:cs="Arial"/>
        </w:rPr>
        <w:t>Ainsi par exemple,</w:t>
      </w:r>
      <w:r w:rsidR="00851660" w:rsidRPr="00851660">
        <w:rPr>
          <w:rFonts w:ascii="Arial" w:hAnsi="Arial" w:cs="Arial"/>
        </w:rPr>
        <w:t xml:space="preserve"> </w:t>
      </w:r>
      <w:r w:rsidRPr="00851660">
        <w:rPr>
          <w:rFonts w:ascii="Arial" w:hAnsi="Arial" w:cs="Arial"/>
        </w:rPr>
        <w:t>division de la voirie qui exécute la quasi-totalité des principaux investissements de la ville établit un état qui fait ressortir pour chaque marché: le numéro du; l’objet; l’entreprise titulaire; le montant; la date d’attribution ; la date d’approbation ; le délai d’exécution contractuel ; la date de l’ordre de service</w:t>
      </w:r>
      <w:r w:rsidRPr="006C7735">
        <w:rPr>
          <w:rFonts w:ascii="Arial" w:hAnsi="Arial" w:cs="Arial"/>
        </w:rPr>
        <w:t xml:space="preserve"> de commencer ; les dates de l’ordre de service d’a</w:t>
      </w:r>
      <w:r w:rsidRPr="00851660">
        <w:rPr>
          <w:rFonts w:ascii="Arial" w:hAnsi="Arial" w:cs="Arial"/>
        </w:rPr>
        <w:t xml:space="preserve">rrêt et de l’ordre de service de reprise le cas échéant ; les références, les montants et les dates des décomptes réglés. Mais cet état ne fait l’objet d’analyse dans un rapport périodique à l’adresse des autorités et des organes de la </w:t>
      </w:r>
      <w:r w:rsidR="00DE5B35" w:rsidRPr="00851660">
        <w:rPr>
          <w:rFonts w:ascii="Arial" w:hAnsi="Arial" w:cs="Arial"/>
        </w:rPr>
        <w:t>CC</w:t>
      </w:r>
      <w:r w:rsidRPr="00851660">
        <w:rPr>
          <w:rFonts w:ascii="Arial" w:hAnsi="Arial" w:cs="Arial"/>
        </w:rPr>
        <w: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Au début de chaque exercice, tous les gestionnaires élaborent des plans prévisionnels de passation des marchés qui leur incombent. Ces plans sont centralisés et consolidés par la division de gestion budgétaire (service de passation des marchés) dans un document unique qui est  publié notamment dans des journaux de la place. Le plan prévisionnel de 2014 a été publié sur le portail marocain des marchés publics, au journal Rissalataloumma (arabe) et au journal Al Bayane (français). Cependant, à la clôture de l’exercice, ce plan de passation des marchés de la </w:t>
      </w:r>
      <w:r w:rsidR="00DE5B35">
        <w:rPr>
          <w:rFonts w:ascii="Arial" w:hAnsi="Arial" w:cs="Arial"/>
        </w:rPr>
        <w:t>CC</w:t>
      </w:r>
      <w:r w:rsidRPr="00A17E25">
        <w:rPr>
          <w:rFonts w:ascii="Arial" w:hAnsi="Arial" w:cs="Arial"/>
        </w:rPr>
        <w:t xml:space="preserve"> ne fait pas l’objet d’évaluation afin de faire ressortir le nombre et les montants des marchés effectivement passés au cours de l’exercice.</w:t>
      </w:r>
    </w:p>
    <w:p w:rsidR="003A596A" w:rsidRPr="00A17E25" w:rsidRDefault="003A596A"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 xml:space="preserve">En outre, dans le cadre du suivi de la situation financière des marchés que </w:t>
      </w:r>
      <w:r w:rsidR="00A07D79" w:rsidRPr="00A17E25">
        <w:rPr>
          <w:rFonts w:ascii="Arial" w:hAnsi="Arial" w:cs="Arial"/>
        </w:rPr>
        <w:t>font</w:t>
      </w:r>
      <w:r w:rsidRPr="00A17E25">
        <w:rPr>
          <w:rFonts w:ascii="Arial" w:hAnsi="Arial" w:cs="Arial"/>
        </w:rPr>
        <w:t xml:space="preserve"> les gestionnaires, les coûts définitifs des marchés achevés ne sont pas rapprochés des valeurs initiales des marchés attribués.</w:t>
      </w:r>
    </w:p>
    <w:p w:rsidR="001F44B5" w:rsidRDefault="001F44B5" w:rsidP="003A596A">
      <w:pPr>
        <w:jc w:val="both"/>
        <w:rPr>
          <w:rFonts w:ascii="Arial" w:hAnsi="Arial" w:cs="Arial"/>
        </w:rPr>
      </w:pPr>
    </w:p>
    <w:p w:rsidR="001F44B5" w:rsidRPr="00A17E25" w:rsidRDefault="001F44B5" w:rsidP="003A596A">
      <w:pPr>
        <w:jc w:val="both"/>
        <w:rPr>
          <w:rFonts w:ascii="Arial" w:hAnsi="Arial" w:cs="Arial"/>
        </w:rPr>
      </w:pPr>
      <w:r>
        <w:rPr>
          <w:rFonts w:ascii="Arial" w:hAnsi="Arial" w:cs="Arial"/>
        </w:rPr>
        <w:t xml:space="preserve">Par ailleurs, chaque arrondissement suit les marchés qu’il passe. Les informations relatives aux marchés publics passés par les arrondissements ne sont ni consolidées pour les seize arrondissements que compte la </w:t>
      </w:r>
      <w:r w:rsidR="00DE5B35">
        <w:rPr>
          <w:rFonts w:ascii="Arial" w:hAnsi="Arial" w:cs="Arial"/>
        </w:rPr>
        <w:t>CC</w:t>
      </w:r>
      <w:r>
        <w:rPr>
          <w:rFonts w:ascii="Arial" w:hAnsi="Arial" w:cs="Arial"/>
        </w:rPr>
        <w:t xml:space="preserve">, ni avec ceux qui sont passés par la </w:t>
      </w:r>
      <w:r w:rsidR="00DE5B35">
        <w:rPr>
          <w:rFonts w:ascii="Arial" w:hAnsi="Arial" w:cs="Arial"/>
        </w:rPr>
        <w:t>CC</w:t>
      </w:r>
      <w:r>
        <w:rPr>
          <w:rFonts w:ascii="Arial" w:hAnsi="Arial" w:cs="Arial"/>
        </w:rPr>
        <w:t>.</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Au total, la </w:t>
      </w:r>
      <w:r w:rsidR="00DE5B35">
        <w:rPr>
          <w:rFonts w:ascii="Arial" w:hAnsi="Arial" w:cs="Arial"/>
        </w:rPr>
        <w:t>CC</w:t>
      </w:r>
      <w:r w:rsidRPr="00A17E25">
        <w:rPr>
          <w:rFonts w:ascii="Arial" w:hAnsi="Arial" w:cs="Arial"/>
        </w:rPr>
        <w:t xml:space="preserve"> ne dispose pas d’une base de données consolidée des marchés passés. Les informations relatives aux marchés conclus sont tenues par chaque gestionnaire et donnent lieu périodiquement à l’établissement d’une situation de l’exécution financière des marchés dont ils ont la charge. Mais cette situation ne donne pas lieu à un rapport qui analyse les résultats obtenus, n’évalue pas la mise en œuvre des plans prévisionnels de passation des marchés et ne fait pas ressortir les coûts définitifs des marchés pour les comparer aux valeurs initiales des marchés attribués. </w:t>
      </w:r>
    </w:p>
    <w:p w:rsidR="003A596A" w:rsidRPr="003A29CD" w:rsidRDefault="003A596A" w:rsidP="003A596A">
      <w:pPr>
        <w:jc w:val="both"/>
        <w:rPr>
          <w:rFonts w:ascii="Arial" w:hAnsi="Arial" w:cs="Arial"/>
          <w:color w:val="0070C0"/>
        </w:rPr>
      </w:pPr>
    </w:p>
    <w:p w:rsidR="003A596A" w:rsidRPr="003A29CD" w:rsidRDefault="003A596A" w:rsidP="00151AD3">
      <w:pPr>
        <w:pStyle w:val="ListParagraph"/>
        <w:numPr>
          <w:ilvl w:val="0"/>
          <w:numId w:val="46"/>
        </w:numPr>
        <w:contextualSpacing/>
        <w:jc w:val="both"/>
        <w:rPr>
          <w:rFonts w:ascii="Arial" w:hAnsi="Arial" w:cs="Arial"/>
          <w:i/>
          <w:color w:val="0070C0"/>
        </w:rPr>
      </w:pPr>
      <w:r w:rsidRPr="003A29CD">
        <w:rPr>
          <w:rFonts w:ascii="Arial" w:hAnsi="Arial" w:cs="Arial"/>
          <w:i/>
          <w:color w:val="0070C0"/>
        </w:rPr>
        <w:t>Recours à des méthodes de passation des marchés faisant appel à la concurrence</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modes de passation de marchés publics fixés par le décret n° 2-12-349 du 20 mars 2013 relatif aux marchés publics sont : l’appel d’offres ouvert ; l’appel d’offres restreint ; les marchés négociés et les prestations sur bons de commande. Dans le cas d’un appel d’offres ouvert, la mise en concurrence est obligatoire et totale. S’agissant de l’appel d’offres restreint, la concurrence est limitée à un nombre de concurrents du fait de la nature des prestations, de leur particularité, des compétences et des ressources à mobiliser, de l’outillage à utiliser et le montant du marché doit être inférieur à 2000 000 de dirhams TTC. Pour ce qui est des marchés négociés, ils peuvent être passés avec ou sans publicité et mise en concurrence. Dans le cas des prestations sur bons de commande, le maître d’ouvrage est tenu de consulter au moins trois prestataires sauf en cas d’impossibilité.</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Pour l’évaluation de cette composante, en raison des limites apportées à la concurrence par le cadre juridique des marchés publics applicable, seuls les appels d’offres ouverts sont considérés comme mode de passation des marchés publics faisant appel à la concurrence.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statistiques relatives aux marchés publics passés par la ville en 2014 recueillies auprès des services de la </w:t>
      </w:r>
      <w:r w:rsidR="00DE5B35">
        <w:rPr>
          <w:rFonts w:ascii="Arial" w:hAnsi="Arial" w:cs="Arial"/>
        </w:rPr>
        <w:t>CC</w:t>
      </w:r>
      <w:r w:rsidRPr="00A17E25">
        <w:rPr>
          <w:rFonts w:ascii="Arial" w:hAnsi="Arial" w:cs="Arial"/>
        </w:rPr>
        <w:t xml:space="preserve"> sont présentées dans le tableau ci-dessous.</w:t>
      </w:r>
    </w:p>
    <w:p w:rsidR="00C92388" w:rsidRDefault="00C92388">
      <w:pPr>
        <w:rPr>
          <w:rFonts w:ascii="Arial Narrow" w:hAnsi="Arial Narrow"/>
          <w:b/>
          <w:sz w:val="20"/>
          <w:szCs w:val="20"/>
          <w:u w:val="single"/>
        </w:rPr>
      </w:pPr>
    </w:p>
    <w:p w:rsidR="003A596A" w:rsidRPr="00A17E25" w:rsidRDefault="00BB7E15" w:rsidP="003A596A">
      <w:pPr>
        <w:jc w:val="center"/>
        <w:rPr>
          <w:rFonts w:ascii="Arial Narrow" w:hAnsi="Arial Narrow"/>
          <w:sz w:val="20"/>
          <w:szCs w:val="20"/>
        </w:rPr>
      </w:pPr>
      <w:r w:rsidRPr="00BB7E15">
        <w:rPr>
          <w:rFonts w:ascii="Arial Narrow" w:hAnsi="Arial Narrow"/>
          <w:b/>
          <w:sz w:val="20"/>
          <w:szCs w:val="20"/>
          <w:u w:val="single"/>
        </w:rPr>
        <w:t>TABLEAU</w:t>
      </w:r>
      <w:r>
        <w:rPr>
          <w:rFonts w:ascii="Arial Narrow" w:hAnsi="Arial Narrow"/>
          <w:b/>
          <w:sz w:val="20"/>
          <w:szCs w:val="20"/>
        </w:rPr>
        <w:t xml:space="preserve"> 3.26</w:t>
      </w:r>
      <w:r w:rsidR="003A596A" w:rsidRPr="00A17E25">
        <w:rPr>
          <w:rFonts w:ascii="Arial Narrow" w:hAnsi="Arial Narrow"/>
          <w:b/>
          <w:sz w:val="20"/>
          <w:szCs w:val="20"/>
        </w:rPr>
        <w:t xml:space="preserve"> : Marchés publics passés en 2014 par la </w:t>
      </w:r>
      <w:r w:rsidR="00DE5B35">
        <w:rPr>
          <w:rFonts w:ascii="Arial Narrow" w:hAnsi="Arial Narrow"/>
          <w:b/>
          <w:sz w:val="20"/>
          <w:szCs w:val="20"/>
        </w:rPr>
        <w:t>CC</w:t>
      </w:r>
      <w:r w:rsidR="0034021B">
        <w:rPr>
          <w:rFonts w:ascii="Arial Narrow" w:hAnsi="Arial Narrow"/>
          <w:b/>
          <w:sz w:val="20"/>
          <w:szCs w:val="20"/>
        </w:rPr>
        <w:t xml:space="preserve"> </w:t>
      </w:r>
      <w:r w:rsidR="003A596A" w:rsidRPr="00A17E25">
        <w:rPr>
          <w:rFonts w:ascii="Arial Narrow" w:hAnsi="Arial Narrow"/>
          <w:sz w:val="20"/>
          <w:szCs w:val="20"/>
        </w:rPr>
        <w:t>(en dirhams)</w:t>
      </w:r>
    </w:p>
    <w:p w:rsidR="003A596A" w:rsidRPr="00A17E25" w:rsidRDefault="003A596A" w:rsidP="003A596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2427"/>
        <w:gridCol w:w="1958"/>
      </w:tblGrid>
      <w:tr w:rsidR="003A596A" w:rsidRPr="0044265E" w:rsidTr="003A29CD">
        <w:trPr>
          <w:tblHeader/>
        </w:trPr>
        <w:tc>
          <w:tcPr>
            <w:tcW w:w="2655" w:type="pct"/>
            <w:shd w:val="clear" w:color="auto" w:fill="0070C0"/>
          </w:tcPr>
          <w:p w:rsidR="003A596A" w:rsidRPr="0044265E" w:rsidRDefault="003A596A" w:rsidP="003A596A">
            <w:pPr>
              <w:jc w:val="center"/>
              <w:rPr>
                <w:rFonts w:ascii="Arial" w:hAnsi="Arial" w:cs="Arial"/>
                <w:b/>
                <w:bCs/>
                <w:color w:val="FFFFFF"/>
                <w:sz w:val="20"/>
                <w:szCs w:val="20"/>
              </w:rPr>
            </w:pPr>
            <w:r w:rsidRPr="0044265E">
              <w:rPr>
                <w:rFonts w:ascii="Arial" w:hAnsi="Arial" w:cs="Arial"/>
                <w:b/>
                <w:bCs/>
                <w:color w:val="FFFFFF"/>
                <w:sz w:val="20"/>
                <w:szCs w:val="20"/>
              </w:rPr>
              <w:t>Modes de passation</w:t>
            </w:r>
          </w:p>
        </w:tc>
        <w:tc>
          <w:tcPr>
            <w:tcW w:w="1298" w:type="pct"/>
            <w:shd w:val="clear" w:color="auto" w:fill="0070C0"/>
          </w:tcPr>
          <w:p w:rsidR="003A596A" w:rsidRPr="0044265E" w:rsidRDefault="003A596A" w:rsidP="003A596A">
            <w:pPr>
              <w:jc w:val="center"/>
              <w:rPr>
                <w:rFonts w:ascii="Arial" w:hAnsi="Arial" w:cs="Arial"/>
                <w:b/>
                <w:bCs/>
                <w:color w:val="FFFFFF"/>
                <w:sz w:val="20"/>
                <w:szCs w:val="20"/>
              </w:rPr>
            </w:pPr>
            <w:r w:rsidRPr="0044265E">
              <w:rPr>
                <w:rFonts w:ascii="Arial" w:hAnsi="Arial" w:cs="Arial"/>
                <w:b/>
                <w:bCs/>
                <w:color w:val="FFFFFF"/>
                <w:sz w:val="20"/>
                <w:szCs w:val="20"/>
              </w:rPr>
              <w:t>Montants</w:t>
            </w:r>
          </w:p>
        </w:tc>
        <w:tc>
          <w:tcPr>
            <w:tcW w:w="1047" w:type="pct"/>
            <w:shd w:val="clear" w:color="auto" w:fill="0070C0"/>
          </w:tcPr>
          <w:p w:rsidR="003A596A" w:rsidRPr="0044265E" w:rsidRDefault="003A596A" w:rsidP="003A596A">
            <w:pPr>
              <w:jc w:val="center"/>
              <w:rPr>
                <w:rFonts w:ascii="Arial" w:hAnsi="Arial" w:cs="Arial"/>
                <w:b/>
                <w:bCs/>
                <w:color w:val="FFFFFF"/>
                <w:sz w:val="20"/>
                <w:szCs w:val="20"/>
              </w:rPr>
            </w:pPr>
            <w:r w:rsidRPr="0044265E">
              <w:rPr>
                <w:rFonts w:ascii="Arial" w:hAnsi="Arial" w:cs="Arial"/>
                <w:b/>
                <w:bCs/>
                <w:color w:val="FFFFFF"/>
                <w:sz w:val="20"/>
                <w:szCs w:val="20"/>
              </w:rPr>
              <w:t>Pourcentage</w:t>
            </w:r>
          </w:p>
        </w:tc>
      </w:tr>
      <w:tr w:rsidR="003A596A" w:rsidRPr="0044265E" w:rsidTr="003A596A">
        <w:tc>
          <w:tcPr>
            <w:tcW w:w="2655" w:type="pct"/>
          </w:tcPr>
          <w:p w:rsidR="003A596A" w:rsidRPr="0044265E" w:rsidRDefault="003A596A" w:rsidP="003A596A">
            <w:pPr>
              <w:rPr>
                <w:rFonts w:ascii="Arial" w:hAnsi="Arial" w:cs="Arial"/>
                <w:sz w:val="20"/>
                <w:szCs w:val="20"/>
              </w:rPr>
            </w:pPr>
            <w:r w:rsidRPr="0044265E">
              <w:rPr>
                <w:rFonts w:ascii="Arial" w:hAnsi="Arial" w:cs="Arial"/>
                <w:sz w:val="20"/>
                <w:szCs w:val="20"/>
              </w:rPr>
              <w:t>Appel d’offres ouvert</w:t>
            </w:r>
          </w:p>
        </w:tc>
        <w:tc>
          <w:tcPr>
            <w:tcW w:w="1298" w:type="pct"/>
            <w:vAlign w:val="center"/>
          </w:tcPr>
          <w:p w:rsidR="003A596A" w:rsidRPr="0044265E" w:rsidRDefault="003A596A" w:rsidP="003A596A">
            <w:pPr>
              <w:jc w:val="right"/>
              <w:rPr>
                <w:rFonts w:ascii="Arial" w:hAnsi="Arial" w:cs="Arial"/>
                <w:bCs/>
                <w:sz w:val="20"/>
                <w:szCs w:val="20"/>
              </w:rPr>
            </w:pPr>
            <w:r w:rsidRPr="0044265E">
              <w:rPr>
                <w:rFonts w:ascii="Arial" w:hAnsi="Arial" w:cs="Arial"/>
                <w:bCs/>
                <w:sz w:val="20"/>
                <w:szCs w:val="20"/>
              </w:rPr>
              <w:t>503 560 601</w:t>
            </w:r>
          </w:p>
        </w:tc>
        <w:tc>
          <w:tcPr>
            <w:tcW w:w="1047" w:type="pct"/>
            <w:vAlign w:val="center"/>
          </w:tcPr>
          <w:p w:rsidR="003A596A" w:rsidRPr="0044265E" w:rsidRDefault="003A596A" w:rsidP="003A596A">
            <w:pPr>
              <w:jc w:val="center"/>
              <w:rPr>
                <w:rFonts w:ascii="Arial" w:hAnsi="Arial" w:cs="Arial"/>
                <w:bCs/>
                <w:sz w:val="20"/>
                <w:szCs w:val="20"/>
              </w:rPr>
            </w:pPr>
            <w:r w:rsidRPr="0044265E">
              <w:rPr>
                <w:rFonts w:ascii="Arial" w:hAnsi="Arial" w:cs="Arial"/>
                <w:bCs/>
                <w:sz w:val="20"/>
                <w:szCs w:val="20"/>
              </w:rPr>
              <w:t>99,42%</w:t>
            </w:r>
          </w:p>
        </w:tc>
      </w:tr>
      <w:tr w:rsidR="003A596A" w:rsidRPr="0044265E" w:rsidTr="003A596A">
        <w:tc>
          <w:tcPr>
            <w:tcW w:w="2655" w:type="pct"/>
            <w:vAlign w:val="center"/>
          </w:tcPr>
          <w:p w:rsidR="003A596A" w:rsidRPr="0044265E" w:rsidRDefault="003A596A" w:rsidP="003A596A">
            <w:pPr>
              <w:rPr>
                <w:rFonts w:ascii="Arial" w:hAnsi="Arial" w:cs="Arial"/>
                <w:sz w:val="20"/>
                <w:szCs w:val="20"/>
              </w:rPr>
            </w:pPr>
            <w:r w:rsidRPr="0044265E">
              <w:rPr>
                <w:rFonts w:ascii="Arial" w:hAnsi="Arial" w:cs="Arial"/>
                <w:sz w:val="20"/>
                <w:szCs w:val="20"/>
              </w:rPr>
              <w:t>Appel d’offres restreint</w:t>
            </w:r>
          </w:p>
        </w:tc>
        <w:tc>
          <w:tcPr>
            <w:tcW w:w="1298" w:type="pct"/>
            <w:vAlign w:val="center"/>
          </w:tcPr>
          <w:p w:rsidR="003A596A" w:rsidRPr="0044265E" w:rsidRDefault="003A596A" w:rsidP="003A596A">
            <w:pPr>
              <w:jc w:val="right"/>
              <w:rPr>
                <w:rFonts w:ascii="Arial" w:hAnsi="Arial" w:cs="Arial"/>
                <w:sz w:val="20"/>
                <w:szCs w:val="20"/>
              </w:rPr>
            </w:pPr>
            <w:r w:rsidRPr="0044265E">
              <w:rPr>
                <w:rFonts w:ascii="Arial" w:hAnsi="Arial" w:cs="Arial"/>
                <w:sz w:val="20"/>
                <w:szCs w:val="20"/>
              </w:rPr>
              <w:t>Néant</w:t>
            </w:r>
          </w:p>
        </w:tc>
        <w:tc>
          <w:tcPr>
            <w:tcW w:w="1047" w:type="pct"/>
          </w:tcPr>
          <w:p w:rsidR="003A596A" w:rsidRPr="0044265E" w:rsidRDefault="003A596A" w:rsidP="003A596A">
            <w:pPr>
              <w:jc w:val="center"/>
              <w:rPr>
                <w:rFonts w:ascii="Arial" w:hAnsi="Arial" w:cs="Arial"/>
                <w:sz w:val="20"/>
                <w:szCs w:val="20"/>
              </w:rPr>
            </w:pPr>
            <w:r w:rsidRPr="0044265E">
              <w:rPr>
                <w:rFonts w:ascii="Arial" w:hAnsi="Arial" w:cs="Arial"/>
                <w:sz w:val="20"/>
                <w:szCs w:val="20"/>
              </w:rPr>
              <w:t>Néant</w:t>
            </w:r>
          </w:p>
        </w:tc>
      </w:tr>
      <w:tr w:rsidR="003A596A" w:rsidRPr="0044265E" w:rsidTr="003A596A">
        <w:tc>
          <w:tcPr>
            <w:tcW w:w="2655" w:type="pct"/>
            <w:vAlign w:val="center"/>
          </w:tcPr>
          <w:p w:rsidR="003A596A" w:rsidRPr="0044265E" w:rsidRDefault="003A596A" w:rsidP="003A596A">
            <w:pPr>
              <w:rPr>
                <w:rFonts w:ascii="Arial" w:hAnsi="Arial" w:cs="Arial"/>
                <w:sz w:val="20"/>
                <w:szCs w:val="20"/>
              </w:rPr>
            </w:pPr>
            <w:r w:rsidRPr="0044265E">
              <w:rPr>
                <w:rFonts w:ascii="Arial" w:hAnsi="Arial" w:cs="Arial"/>
                <w:sz w:val="20"/>
                <w:szCs w:val="20"/>
              </w:rPr>
              <w:t>Marchés négociés</w:t>
            </w:r>
          </w:p>
        </w:tc>
        <w:tc>
          <w:tcPr>
            <w:tcW w:w="1298" w:type="pct"/>
            <w:vAlign w:val="center"/>
          </w:tcPr>
          <w:p w:rsidR="003A596A" w:rsidRPr="0044265E" w:rsidRDefault="003A596A" w:rsidP="003A596A">
            <w:pPr>
              <w:jc w:val="right"/>
              <w:rPr>
                <w:rFonts w:ascii="Arial" w:hAnsi="Arial" w:cs="Arial"/>
                <w:sz w:val="20"/>
                <w:szCs w:val="20"/>
              </w:rPr>
            </w:pPr>
            <w:r w:rsidRPr="0044265E">
              <w:rPr>
                <w:rFonts w:ascii="Arial" w:hAnsi="Arial" w:cs="Arial"/>
                <w:sz w:val="20"/>
                <w:szCs w:val="20"/>
              </w:rPr>
              <w:t>Néant</w:t>
            </w:r>
          </w:p>
        </w:tc>
        <w:tc>
          <w:tcPr>
            <w:tcW w:w="1047" w:type="pct"/>
          </w:tcPr>
          <w:p w:rsidR="003A596A" w:rsidRPr="0044265E" w:rsidRDefault="003A596A" w:rsidP="003A596A">
            <w:pPr>
              <w:jc w:val="center"/>
              <w:rPr>
                <w:rFonts w:ascii="Arial" w:hAnsi="Arial" w:cs="Arial"/>
                <w:sz w:val="20"/>
                <w:szCs w:val="20"/>
              </w:rPr>
            </w:pPr>
            <w:r w:rsidRPr="0044265E">
              <w:rPr>
                <w:rFonts w:ascii="Arial" w:hAnsi="Arial" w:cs="Arial"/>
                <w:sz w:val="20"/>
                <w:szCs w:val="20"/>
              </w:rPr>
              <w:t>Néant</w:t>
            </w:r>
          </w:p>
        </w:tc>
      </w:tr>
      <w:tr w:rsidR="003A596A" w:rsidRPr="0044265E" w:rsidTr="003A596A">
        <w:tc>
          <w:tcPr>
            <w:tcW w:w="2655" w:type="pct"/>
            <w:vAlign w:val="center"/>
          </w:tcPr>
          <w:p w:rsidR="003A596A" w:rsidRPr="0044265E" w:rsidRDefault="003A596A" w:rsidP="003A596A">
            <w:pPr>
              <w:rPr>
                <w:rFonts w:ascii="Arial" w:hAnsi="Arial" w:cs="Arial"/>
                <w:sz w:val="20"/>
                <w:szCs w:val="20"/>
              </w:rPr>
            </w:pPr>
            <w:r w:rsidRPr="0044265E">
              <w:rPr>
                <w:rFonts w:ascii="Arial" w:hAnsi="Arial" w:cs="Arial"/>
                <w:sz w:val="20"/>
                <w:szCs w:val="20"/>
              </w:rPr>
              <w:t>Prestations sur bons de commande</w:t>
            </w:r>
          </w:p>
        </w:tc>
        <w:tc>
          <w:tcPr>
            <w:tcW w:w="1298" w:type="pct"/>
            <w:vAlign w:val="center"/>
          </w:tcPr>
          <w:p w:rsidR="003A596A" w:rsidRPr="0044265E" w:rsidRDefault="003A596A" w:rsidP="003A596A">
            <w:pPr>
              <w:jc w:val="right"/>
              <w:rPr>
                <w:rFonts w:ascii="Arial" w:hAnsi="Arial" w:cs="Arial"/>
                <w:sz w:val="20"/>
                <w:szCs w:val="20"/>
              </w:rPr>
            </w:pPr>
            <w:r w:rsidRPr="0044265E">
              <w:rPr>
                <w:rFonts w:ascii="Arial" w:hAnsi="Arial" w:cs="Arial"/>
                <w:sz w:val="20"/>
                <w:szCs w:val="20"/>
              </w:rPr>
              <w:t>2 894 612</w:t>
            </w:r>
          </w:p>
        </w:tc>
        <w:tc>
          <w:tcPr>
            <w:tcW w:w="1047" w:type="pct"/>
          </w:tcPr>
          <w:p w:rsidR="003A596A" w:rsidRPr="0044265E" w:rsidRDefault="003A596A" w:rsidP="003A596A">
            <w:pPr>
              <w:jc w:val="center"/>
              <w:rPr>
                <w:rFonts w:ascii="Arial" w:hAnsi="Arial" w:cs="Arial"/>
                <w:sz w:val="20"/>
                <w:szCs w:val="20"/>
              </w:rPr>
            </w:pPr>
            <w:r w:rsidRPr="0044265E">
              <w:rPr>
                <w:rFonts w:ascii="Arial" w:hAnsi="Arial" w:cs="Arial"/>
                <w:sz w:val="20"/>
                <w:szCs w:val="20"/>
              </w:rPr>
              <w:t>0,58%</w:t>
            </w:r>
          </w:p>
        </w:tc>
      </w:tr>
      <w:tr w:rsidR="003A596A" w:rsidRPr="0044265E" w:rsidTr="003A596A">
        <w:tc>
          <w:tcPr>
            <w:tcW w:w="2655" w:type="pct"/>
            <w:vAlign w:val="center"/>
          </w:tcPr>
          <w:p w:rsidR="003A596A" w:rsidRPr="0044265E" w:rsidRDefault="003A596A" w:rsidP="003A596A">
            <w:pPr>
              <w:rPr>
                <w:rFonts w:ascii="Arial" w:hAnsi="Arial" w:cs="Arial"/>
                <w:sz w:val="20"/>
                <w:szCs w:val="20"/>
              </w:rPr>
            </w:pPr>
            <w:r w:rsidRPr="0044265E">
              <w:rPr>
                <w:rFonts w:ascii="Arial" w:hAnsi="Arial" w:cs="Arial"/>
                <w:sz w:val="20"/>
                <w:szCs w:val="20"/>
              </w:rPr>
              <w:t>TOTAL</w:t>
            </w:r>
          </w:p>
        </w:tc>
        <w:tc>
          <w:tcPr>
            <w:tcW w:w="1298" w:type="pct"/>
            <w:vAlign w:val="center"/>
          </w:tcPr>
          <w:p w:rsidR="003A596A" w:rsidRPr="0044265E" w:rsidRDefault="003A596A" w:rsidP="003A596A">
            <w:pPr>
              <w:jc w:val="right"/>
              <w:rPr>
                <w:rFonts w:ascii="Arial" w:hAnsi="Arial" w:cs="Arial"/>
                <w:sz w:val="20"/>
                <w:szCs w:val="20"/>
              </w:rPr>
            </w:pPr>
            <w:r w:rsidRPr="0044265E">
              <w:rPr>
                <w:rFonts w:ascii="Arial" w:hAnsi="Arial" w:cs="Arial"/>
                <w:sz w:val="20"/>
                <w:szCs w:val="20"/>
              </w:rPr>
              <w:t>506 455 213</w:t>
            </w:r>
          </w:p>
        </w:tc>
        <w:tc>
          <w:tcPr>
            <w:tcW w:w="1047" w:type="pct"/>
          </w:tcPr>
          <w:p w:rsidR="003A596A" w:rsidRPr="0044265E" w:rsidRDefault="003A596A" w:rsidP="003A596A">
            <w:pPr>
              <w:jc w:val="center"/>
              <w:rPr>
                <w:rFonts w:ascii="Arial" w:hAnsi="Arial" w:cs="Arial"/>
                <w:sz w:val="20"/>
                <w:szCs w:val="20"/>
              </w:rPr>
            </w:pPr>
            <w:r w:rsidRPr="0044265E">
              <w:rPr>
                <w:rFonts w:ascii="Arial" w:hAnsi="Arial" w:cs="Arial"/>
                <w:sz w:val="20"/>
                <w:szCs w:val="20"/>
              </w:rPr>
              <w:t>100%</w:t>
            </w:r>
          </w:p>
        </w:tc>
      </w:tr>
    </w:tbl>
    <w:p w:rsidR="003A596A" w:rsidRPr="0044265E" w:rsidRDefault="003A596A" w:rsidP="003A596A">
      <w:pPr>
        <w:jc w:val="center"/>
        <w:rPr>
          <w:rFonts w:ascii="Arial" w:hAnsi="Arial" w:cs="Arial"/>
        </w:rPr>
      </w:pPr>
      <w:r w:rsidRPr="0044265E">
        <w:rPr>
          <w:rFonts w:ascii="Arial" w:hAnsi="Arial" w:cs="Arial"/>
          <w:sz w:val="20"/>
          <w:szCs w:val="20"/>
          <w:u w:val="single"/>
        </w:rPr>
        <w:t>Source </w:t>
      </w:r>
      <w:r w:rsidRPr="0044265E">
        <w:rPr>
          <w:rFonts w:ascii="Arial" w:hAnsi="Arial" w:cs="Arial"/>
          <w:sz w:val="20"/>
          <w:szCs w:val="20"/>
        </w:rPr>
        <w:t>: Division gestion budgétaire/</w:t>
      </w:r>
      <w:r w:rsidR="00DE5B35" w:rsidRPr="0044265E">
        <w:rPr>
          <w:rFonts w:ascii="Arial" w:hAnsi="Arial" w:cs="Arial"/>
          <w:sz w:val="20"/>
          <w:szCs w:val="20"/>
        </w:rPr>
        <w:t>CC</w:t>
      </w:r>
    </w:p>
    <w:p w:rsidR="003A596A" w:rsidRPr="0044265E" w:rsidRDefault="003A596A" w:rsidP="003A596A">
      <w:pPr>
        <w:ind w:left="1080"/>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De ce tableau, il ressort qu’en 2014, 99,42% des marchés de la </w:t>
      </w:r>
      <w:r w:rsidR="00DE5B35">
        <w:rPr>
          <w:rFonts w:ascii="Arial" w:hAnsi="Arial" w:cs="Arial"/>
        </w:rPr>
        <w:t>CC</w:t>
      </w:r>
      <w:r w:rsidRPr="00A17E25">
        <w:rPr>
          <w:rFonts w:ascii="Arial" w:hAnsi="Arial" w:cs="Arial"/>
        </w:rPr>
        <w:t xml:space="preserve"> sont passés par appel d’offres ouvert qui requiert la mise en concurrence sans limite des concurrents.</w:t>
      </w:r>
    </w:p>
    <w:p w:rsidR="003A596A" w:rsidRPr="00581667" w:rsidRDefault="003A596A" w:rsidP="003A596A">
      <w:pPr>
        <w:jc w:val="both"/>
        <w:rPr>
          <w:rFonts w:ascii="Arial" w:hAnsi="Arial" w:cs="Arial"/>
          <w:color w:val="0070C0"/>
        </w:rPr>
      </w:pPr>
    </w:p>
    <w:p w:rsidR="003A596A" w:rsidRPr="00581667" w:rsidRDefault="003A596A" w:rsidP="00151AD3">
      <w:pPr>
        <w:pStyle w:val="ListParagraph"/>
        <w:numPr>
          <w:ilvl w:val="0"/>
          <w:numId w:val="46"/>
        </w:numPr>
        <w:contextualSpacing/>
        <w:jc w:val="both"/>
        <w:rPr>
          <w:rFonts w:ascii="Arial" w:hAnsi="Arial" w:cs="Arial"/>
          <w:i/>
          <w:color w:val="0070C0"/>
        </w:rPr>
      </w:pPr>
      <w:r w:rsidRPr="00581667">
        <w:rPr>
          <w:rFonts w:ascii="Arial" w:hAnsi="Arial" w:cs="Arial"/>
          <w:i/>
          <w:color w:val="0070C0"/>
        </w:rPr>
        <w:t>Accès du public à des informations complètes, fiables et à jour sur la passation des marchés</w:t>
      </w:r>
    </w:p>
    <w:p w:rsidR="00581667" w:rsidRPr="009001D0" w:rsidRDefault="00581667" w:rsidP="00581667">
      <w:pPr>
        <w:pStyle w:val="ListParagraph"/>
        <w:ind w:left="1080"/>
        <w:contextualSpacing/>
        <w:jc w:val="both"/>
        <w:rPr>
          <w:rFonts w:ascii="Arial" w:hAnsi="Arial" w:cs="Arial"/>
          <w:i/>
          <w:color w:val="3366FF"/>
        </w:rPr>
      </w:pPr>
    </w:p>
    <w:p w:rsidR="003A596A" w:rsidRPr="00A17E25" w:rsidRDefault="003A596A" w:rsidP="003A596A">
      <w:pPr>
        <w:jc w:val="both"/>
        <w:rPr>
          <w:rFonts w:ascii="Arial" w:hAnsi="Arial" w:cs="Arial"/>
        </w:rPr>
      </w:pPr>
      <w:r w:rsidRPr="00A17E25">
        <w:rPr>
          <w:rFonts w:ascii="Arial" w:hAnsi="Arial" w:cs="Arial"/>
        </w:rPr>
        <w:t>Le cadre PEFA que cinq éléments d’information soit mis à la disposition du public. Pour chacun de ces éléments d’information, la situation de la Commune de Casablanca est présentée dans le tableau ci-dessous.</w:t>
      </w:r>
    </w:p>
    <w:p w:rsidR="003A596A" w:rsidRPr="00A17E25" w:rsidRDefault="003A596A" w:rsidP="003A596A"/>
    <w:p w:rsidR="003A596A" w:rsidRPr="00A17E25" w:rsidRDefault="00BB7E15" w:rsidP="003A596A">
      <w:pPr>
        <w:ind w:left="709"/>
        <w:jc w:val="center"/>
        <w:rPr>
          <w:rFonts w:ascii="Arial Narrow" w:hAnsi="Arial Narrow"/>
          <w:b/>
          <w:sz w:val="20"/>
          <w:szCs w:val="20"/>
        </w:rPr>
      </w:pPr>
      <w:r w:rsidRPr="00A17E25">
        <w:rPr>
          <w:rFonts w:ascii="Arial Narrow" w:hAnsi="Arial Narrow"/>
          <w:b/>
          <w:sz w:val="20"/>
          <w:szCs w:val="20"/>
          <w:u w:val="single"/>
        </w:rPr>
        <w:t>TABLEAU</w:t>
      </w:r>
      <w:r w:rsidRPr="00A17E25">
        <w:rPr>
          <w:rFonts w:ascii="Arial Narrow" w:hAnsi="Arial Narrow"/>
          <w:b/>
          <w:sz w:val="20"/>
          <w:szCs w:val="20"/>
        </w:rPr>
        <w:t> </w:t>
      </w:r>
      <w:r>
        <w:rPr>
          <w:rFonts w:ascii="Arial Narrow" w:hAnsi="Arial Narrow"/>
          <w:b/>
          <w:sz w:val="20"/>
          <w:szCs w:val="20"/>
        </w:rPr>
        <w:t>3.27</w:t>
      </w:r>
      <w:r w:rsidR="003A596A" w:rsidRPr="00A17E25">
        <w:rPr>
          <w:rFonts w:ascii="Arial Narrow" w:hAnsi="Arial Narrow"/>
          <w:b/>
          <w:sz w:val="20"/>
          <w:szCs w:val="20"/>
        </w:rPr>
        <w:t xml:space="preserve"> Situation des informations sur les marchés publics à mettre à la disposition du public</w:t>
      </w:r>
    </w:p>
    <w:p w:rsidR="003A596A" w:rsidRPr="00C92388" w:rsidRDefault="003A596A" w:rsidP="003A596A">
      <w:pPr>
        <w:ind w:left="709"/>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67"/>
        <w:gridCol w:w="1350"/>
        <w:gridCol w:w="4167"/>
      </w:tblGrid>
      <w:tr w:rsidR="003A596A" w:rsidRPr="00C92388" w:rsidTr="003A596A">
        <w:trPr>
          <w:jc w:val="center"/>
        </w:trPr>
        <w:tc>
          <w:tcPr>
            <w:tcW w:w="338" w:type="pct"/>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N°</w:t>
            </w:r>
          </w:p>
        </w:tc>
        <w:tc>
          <w:tcPr>
            <w:tcW w:w="1782" w:type="pct"/>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Informations</w:t>
            </w:r>
          </w:p>
        </w:tc>
        <w:tc>
          <w:tcPr>
            <w:tcW w:w="616" w:type="pct"/>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Satisfaction</w:t>
            </w:r>
          </w:p>
        </w:tc>
        <w:tc>
          <w:tcPr>
            <w:tcW w:w="2263" w:type="pct"/>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Justifications</w:t>
            </w:r>
          </w:p>
        </w:tc>
      </w:tr>
      <w:tr w:rsidR="003A596A" w:rsidRPr="00C92388" w:rsidTr="003A596A">
        <w:trPr>
          <w:jc w:val="center"/>
        </w:trPr>
        <w:tc>
          <w:tcPr>
            <w:tcW w:w="338"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(1)</w:t>
            </w:r>
          </w:p>
        </w:tc>
        <w:tc>
          <w:tcPr>
            <w:tcW w:w="1782" w:type="pct"/>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Le cadre juridique et règlementaire de passation des marchés publics</w:t>
            </w:r>
          </w:p>
        </w:tc>
        <w:tc>
          <w:tcPr>
            <w:tcW w:w="616" w:type="pct"/>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tc>
        <w:tc>
          <w:tcPr>
            <w:tcW w:w="2263" w:type="pct"/>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Tous les textes constitutifs du cadre juridique régissant la passation des marchés publics sont publiés au Bulletin officiel du Maroc et sur le portail marocain des marchés publics.</w:t>
            </w:r>
          </w:p>
        </w:tc>
      </w:tr>
      <w:tr w:rsidR="003A596A" w:rsidRPr="00C92388" w:rsidTr="003A596A">
        <w:trPr>
          <w:jc w:val="center"/>
        </w:trPr>
        <w:tc>
          <w:tcPr>
            <w:tcW w:w="338"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(2)</w:t>
            </w:r>
          </w:p>
        </w:tc>
        <w:tc>
          <w:tcPr>
            <w:tcW w:w="1782" w:type="pct"/>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Les plans de passation de marchés publics</w:t>
            </w:r>
          </w:p>
        </w:tc>
        <w:tc>
          <w:tcPr>
            <w:tcW w:w="616" w:type="pct"/>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tc>
        <w:tc>
          <w:tcPr>
            <w:tcW w:w="2263" w:type="pct"/>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Conformément aux dispositions de l’article 14 du décret n° 2_12-349 relatif aux marchés publics, les programmes prévisionnels des marchés sont publiés au plus tard à la fin du premier trimestre de chaque exercice. Ceux de l’année 2014 ont été publiés le 28 mars 2014 sur le portail marocain des marchés publics et le 29 mars 2014 dans les journaux RissalatAloumma (arabe) et Al Bayane (français).</w:t>
            </w:r>
          </w:p>
        </w:tc>
      </w:tr>
      <w:tr w:rsidR="003A596A" w:rsidRPr="00C92388" w:rsidTr="003A596A">
        <w:trPr>
          <w:jc w:val="center"/>
        </w:trPr>
        <w:tc>
          <w:tcPr>
            <w:tcW w:w="338"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(3)</w:t>
            </w:r>
          </w:p>
        </w:tc>
        <w:tc>
          <w:tcPr>
            <w:tcW w:w="1782" w:type="pct"/>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Les opportunités de soumission</w:t>
            </w:r>
          </w:p>
        </w:tc>
        <w:tc>
          <w:tcPr>
            <w:tcW w:w="616"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p w:rsidR="003A596A" w:rsidRPr="00C92388" w:rsidRDefault="003A596A" w:rsidP="003A596A">
            <w:pPr>
              <w:jc w:val="center"/>
              <w:rPr>
                <w:rFonts w:ascii="Arial" w:eastAsia="Calibri" w:hAnsi="Arial" w:cs="Arial"/>
                <w:b/>
                <w:sz w:val="20"/>
                <w:szCs w:val="20"/>
              </w:rPr>
            </w:pPr>
          </w:p>
        </w:tc>
        <w:tc>
          <w:tcPr>
            <w:tcW w:w="2263" w:type="pct"/>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Les avis d’appel d’offres et les avis à manifestation d’intérêt sont publiés par les mêmes voies que les programmes prévisionnels des marchés.</w:t>
            </w:r>
          </w:p>
        </w:tc>
      </w:tr>
      <w:tr w:rsidR="003A596A" w:rsidRPr="00C92388" w:rsidTr="003A596A">
        <w:trPr>
          <w:jc w:val="center"/>
        </w:trPr>
        <w:tc>
          <w:tcPr>
            <w:tcW w:w="338"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(4)</w:t>
            </w:r>
          </w:p>
        </w:tc>
        <w:tc>
          <w:tcPr>
            <w:tcW w:w="1782" w:type="pct"/>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Les marchés attribués</w:t>
            </w:r>
          </w:p>
        </w:tc>
        <w:tc>
          <w:tcPr>
            <w:tcW w:w="616" w:type="pct"/>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p w:rsidR="003A596A" w:rsidRPr="00C92388" w:rsidRDefault="003A596A" w:rsidP="003A596A">
            <w:pPr>
              <w:jc w:val="center"/>
              <w:rPr>
                <w:rFonts w:ascii="Arial" w:eastAsia="Calibri" w:hAnsi="Arial" w:cs="Arial"/>
                <w:b/>
                <w:sz w:val="20"/>
                <w:szCs w:val="20"/>
              </w:rPr>
            </w:pPr>
          </w:p>
        </w:tc>
        <w:tc>
          <w:tcPr>
            <w:tcW w:w="2263" w:type="pct"/>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 xml:space="preserve">Les attributions de marchés sont publiées sur le portail marocain des marchés publics et par affichage à la division de gestion budgétaire de la </w:t>
            </w:r>
            <w:r w:rsidR="00DE5B35" w:rsidRPr="00C92388">
              <w:rPr>
                <w:rFonts w:ascii="Arial" w:eastAsia="Calibri" w:hAnsi="Arial" w:cs="Arial"/>
                <w:sz w:val="20"/>
                <w:szCs w:val="20"/>
              </w:rPr>
              <w:t>CC</w:t>
            </w:r>
            <w:r w:rsidRPr="00C92388">
              <w:rPr>
                <w:rFonts w:ascii="Arial" w:eastAsia="Calibri" w:hAnsi="Arial" w:cs="Arial"/>
                <w:sz w:val="20"/>
                <w:szCs w:val="20"/>
              </w:rPr>
              <w:t>.</w:t>
            </w:r>
          </w:p>
        </w:tc>
      </w:tr>
      <w:tr w:rsidR="003A596A" w:rsidRPr="00C92388" w:rsidTr="003A596A">
        <w:trPr>
          <w:jc w:val="center"/>
        </w:trPr>
        <w:tc>
          <w:tcPr>
            <w:tcW w:w="338" w:type="pct"/>
          </w:tcPr>
          <w:p w:rsidR="003A596A" w:rsidRPr="00C92388" w:rsidRDefault="003A596A" w:rsidP="003A596A">
            <w:pPr>
              <w:jc w:val="center"/>
              <w:rPr>
                <w:rFonts w:ascii="Arial" w:eastAsia="Calibri" w:hAnsi="Arial" w:cs="Arial"/>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(5)</w:t>
            </w:r>
          </w:p>
        </w:tc>
        <w:tc>
          <w:tcPr>
            <w:tcW w:w="1782" w:type="pct"/>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Les informations sur le règlement des plaintes concernant la passation des marchés</w:t>
            </w:r>
          </w:p>
        </w:tc>
        <w:tc>
          <w:tcPr>
            <w:tcW w:w="616" w:type="pct"/>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NON</w:t>
            </w:r>
          </w:p>
        </w:tc>
        <w:tc>
          <w:tcPr>
            <w:tcW w:w="2263" w:type="pct"/>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Les informations sur le règlement des plaintes relatives à la passation des marchés publics ne sont pas mises à la disposition du public.</w:t>
            </w:r>
          </w:p>
        </w:tc>
      </w:tr>
    </w:tbl>
    <w:p w:rsidR="003A596A" w:rsidRDefault="003A596A" w:rsidP="003A596A">
      <w:pPr>
        <w:jc w:val="both"/>
        <w:rPr>
          <w:rFonts w:ascii="Arial" w:hAnsi="Arial" w:cs="Arial"/>
        </w:rPr>
      </w:pPr>
      <w:r w:rsidRPr="00A17E25">
        <w:rPr>
          <w:rFonts w:ascii="Arial" w:hAnsi="Arial" w:cs="Arial"/>
        </w:rPr>
        <w:t xml:space="preserve">Au total, quatre (4) informations sur les cinq (5) requises par le cadre PEFA sont mises à la disposition du public par la </w:t>
      </w:r>
      <w:r w:rsidR="00DE5B35">
        <w:rPr>
          <w:rFonts w:ascii="Arial" w:hAnsi="Arial" w:cs="Arial"/>
        </w:rPr>
        <w:t>CC</w:t>
      </w:r>
      <w:r w:rsidRPr="00A17E25">
        <w:rPr>
          <w:rFonts w:ascii="Arial" w:hAnsi="Arial" w:cs="Arial"/>
        </w:rPr>
        <w:t xml:space="preserve">. Ces informations concernent tous les marchés passés par appel d’offres ouvert qui représentent près de 99,5% des marchés de la </w:t>
      </w:r>
      <w:r w:rsidR="00DE5B35">
        <w:rPr>
          <w:rFonts w:ascii="Arial" w:hAnsi="Arial" w:cs="Arial"/>
        </w:rPr>
        <w:t>CC</w:t>
      </w:r>
      <w:r w:rsidRPr="00A17E25">
        <w:rPr>
          <w:rFonts w:ascii="Arial" w:hAnsi="Arial" w:cs="Arial"/>
        </w:rPr>
        <w:t>.</w:t>
      </w:r>
    </w:p>
    <w:p w:rsidR="002A24D6" w:rsidRPr="00A17E25" w:rsidRDefault="002A24D6" w:rsidP="003A596A">
      <w:pPr>
        <w:jc w:val="both"/>
        <w:rPr>
          <w:rFonts w:ascii="Arial" w:hAnsi="Arial" w:cs="Arial"/>
        </w:rPr>
      </w:pPr>
    </w:p>
    <w:p w:rsidR="003A596A" w:rsidRPr="003A29CD" w:rsidRDefault="003A596A" w:rsidP="00151AD3">
      <w:pPr>
        <w:pStyle w:val="ListParagraph"/>
        <w:numPr>
          <w:ilvl w:val="0"/>
          <w:numId w:val="46"/>
        </w:numPr>
        <w:contextualSpacing/>
        <w:jc w:val="both"/>
        <w:rPr>
          <w:rFonts w:ascii="Arial" w:hAnsi="Arial" w:cs="Arial"/>
          <w:i/>
          <w:color w:val="0070C0"/>
        </w:rPr>
      </w:pPr>
      <w:r w:rsidRPr="003A29CD">
        <w:rPr>
          <w:rFonts w:ascii="Arial" w:hAnsi="Arial" w:cs="Arial"/>
          <w:i/>
          <w:color w:val="0070C0"/>
        </w:rPr>
        <w:t>Efficacité d’un organe administratif indépendant chargé de l’instruction des plaintes liées à la passation des marchés</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 cadre juridique de passation des marchés publics ne prévoit pas un organe administratif indépendant chargé de l’instruction des plaintes liées à la passation des marchés publics. La procédure à suivre en cas de recours est prescrite par le décret n° 2-12-349 relatif aux marchés publics en son article 169. En cas de contestation, tout concurrent à un appel d’offres peut saisir le maître d’ouvrage dans des délais bien spécifiés. Si le plaignant n’est pas satisfait, il peut saisir le ministre de l’intérieur. Ce dernier peut décider d’annuler ou de suspendre la procédure.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tableau ci-dessous présente la situation du cadre juridique régissant les marchés publics par rapport aux critères auxquels doit satisfaire l’organe chargé de l’instruction des plaintes relatives aux marchés publics.</w:t>
      </w:r>
    </w:p>
    <w:p w:rsidR="003A596A" w:rsidRPr="00A17E25" w:rsidRDefault="003A596A" w:rsidP="003A596A"/>
    <w:p w:rsidR="003A596A" w:rsidRDefault="00BB7E15" w:rsidP="003A596A">
      <w:pPr>
        <w:ind w:left="709"/>
        <w:jc w:val="center"/>
        <w:rPr>
          <w:rFonts w:ascii="Arial Narrow" w:hAnsi="Arial Narrow"/>
          <w:b/>
          <w:sz w:val="20"/>
          <w:szCs w:val="20"/>
        </w:rPr>
      </w:pPr>
      <w:r w:rsidRPr="00A17E25">
        <w:rPr>
          <w:rFonts w:ascii="Arial Narrow" w:hAnsi="Arial Narrow"/>
          <w:b/>
          <w:sz w:val="20"/>
          <w:szCs w:val="20"/>
          <w:u w:val="single"/>
        </w:rPr>
        <w:t>TABLEAU</w:t>
      </w:r>
      <w:r w:rsidRPr="00A17E25">
        <w:rPr>
          <w:rFonts w:ascii="Arial Narrow" w:hAnsi="Arial Narrow"/>
          <w:b/>
          <w:sz w:val="20"/>
          <w:szCs w:val="20"/>
        </w:rPr>
        <w:t xml:space="preserve"> </w:t>
      </w:r>
      <w:r>
        <w:rPr>
          <w:rFonts w:ascii="Arial Narrow" w:hAnsi="Arial Narrow"/>
          <w:b/>
          <w:sz w:val="20"/>
          <w:szCs w:val="20"/>
        </w:rPr>
        <w:t>3.28 :</w:t>
      </w:r>
      <w:r w:rsidR="003A596A" w:rsidRPr="00A17E25">
        <w:rPr>
          <w:rFonts w:ascii="Arial Narrow" w:hAnsi="Arial Narrow"/>
          <w:b/>
          <w:sz w:val="20"/>
          <w:szCs w:val="20"/>
        </w:rPr>
        <w:t xml:space="preserve"> Critères à remplir par l’organe chargé de l’instruction des plaintes</w:t>
      </w:r>
    </w:p>
    <w:p w:rsidR="0044265E" w:rsidRPr="00A17E25" w:rsidRDefault="0044265E" w:rsidP="003A596A">
      <w:pPr>
        <w:ind w:left="709"/>
        <w:jc w:val="center"/>
        <w:rPr>
          <w:rFonts w:ascii="Arial Narrow" w:hAnsi="Arial Narrow"/>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62"/>
        <w:gridCol w:w="1350"/>
        <w:gridCol w:w="3783"/>
      </w:tblGrid>
      <w:tr w:rsidR="003A596A" w:rsidRPr="00A17E25" w:rsidTr="003A596A">
        <w:trPr>
          <w:jc w:val="center"/>
        </w:trPr>
        <w:tc>
          <w:tcPr>
            <w:tcW w:w="655" w:type="dxa"/>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N°</w:t>
            </w:r>
          </w:p>
        </w:tc>
        <w:tc>
          <w:tcPr>
            <w:tcW w:w="3564" w:type="dxa"/>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Critères</w:t>
            </w:r>
          </w:p>
        </w:tc>
        <w:tc>
          <w:tcPr>
            <w:tcW w:w="1276" w:type="dxa"/>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Satisfaction</w:t>
            </w:r>
          </w:p>
        </w:tc>
        <w:tc>
          <w:tcPr>
            <w:tcW w:w="3787" w:type="dxa"/>
            <w:shd w:val="clear" w:color="auto" w:fill="0070C0"/>
          </w:tcPr>
          <w:p w:rsidR="003A596A" w:rsidRPr="00C92388" w:rsidRDefault="003A596A" w:rsidP="003A596A">
            <w:pPr>
              <w:jc w:val="center"/>
              <w:rPr>
                <w:rFonts w:ascii="Arial" w:eastAsia="Calibri" w:hAnsi="Arial" w:cs="Arial"/>
                <w:b/>
                <w:color w:val="FFFFFF"/>
                <w:sz w:val="20"/>
                <w:szCs w:val="20"/>
              </w:rPr>
            </w:pPr>
            <w:r w:rsidRPr="00C92388">
              <w:rPr>
                <w:rFonts w:ascii="Arial" w:eastAsia="Calibri" w:hAnsi="Arial" w:cs="Arial"/>
                <w:b/>
                <w:color w:val="FFFFFF"/>
                <w:sz w:val="20"/>
                <w:szCs w:val="20"/>
              </w:rPr>
              <w:t>Justification</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(i)</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Composé de professionnels expérimentés ayant une bonne connaissance du cadre juridique régissant la passation des marchés publics et comprend des représentants du secteur privé, de la société civile, ainsi que des pouvoirs publics</w:t>
            </w:r>
          </w:p>
        </w:tc>
        <w:tc>
          <w:tcPr>
            <w:tcW w:w="1276" w:type="dxa"/>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NON</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 décret n° 2-12-349 relatif aux marchés publics ne prévoit pas un organe administratif indépendant pour l’instruction des plaintes liées aux marchés publics. Les recours sont instruits par le maître d’ouvrage ou par le ministre de l’intérieur. Le secteur privé et la société civile ne sont associés.</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(ii)</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Ne participe à aucun titre aux opérations de passation des marchés publics ou au processus décisionnel concernant l’attribution des marchés</w:t>
            </w:r>
          </w:p>
        </w:tc>
        <w:tc>
          <w:tcPr>
            <w:tcW w:w="1276" w:type="dxa"/>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NON</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 xml:space="preserve">Le maître d’ouvrage chargé de l’instruction des plaintes participe au processus d’attribution des marchés et le ministre de l’intérieur est l’autorité approbatrice des marchés des communes dont le montant est supérieur à 10 millions de dirhams. </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(iii)</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Ne facture aucune charge interdisant l’accès des parties concernées</w:t>
            </w:r>
          </w:p>
        </w:tc>
        <w:tc>
          <w:tcPr>
            <w:tcW w:w="1276" w:type="dxa"/>
          </w:tcPr>
          <w:p w:rsidR="003A596A" w:rsidRPr="00C92388" w:rsidRDefault="003A596A" w:rsidP="003A596A">
            <w:pPr>
              <w:jc w:val="center"/>
              <w:rPr>
                <w:rFonts w:ascii="Arial" w:eastAsia="Calibri" w:hAnsi="Arial" w:cs="Arial"/>
                <w:sz w:val="20"/>
                <w:szCs w:val="20"/>
              </w:rPr>
            </w:pPr>
            <w:r w:rsidRPr="006803C2">
              <w:rPr>
                <w:rFonts w:ascii="Arial" w:eastAsia="Calibri" w:hAnsi="Arial" w:cs="Arial"/>
                <w:sz w:val="20"/>
                <w:szCs w:val="20"/>
              </w:rPr>
              <w:t>OUI</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Les autorités chargées de l’instruction des recours relatifs aux marchés publics ne facturent rien aux plaignants.</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(iv)</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Suit des procédures de dépôt et de règlement des plaintes clairement définies et mises à la disposition du public</w:t>
            </w:r>
          </w:p>
        </w:tc>
        <w:tc>
          <w:tcPr>
            <w:tcW w:w="1276"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 xml:space="preserve">Les procédures de dépôt et de règlement des recours sont clairement </w:t>
            </w:r>
            <w:r w:rsidR="00A07D79" w:rsidRPr="00C92388">
              <w:rPr>
                <w:rFonts w:ascii="Arial" w:eastAsia="Calibri" w:hAnsi="Arial" w:cs="Arial"/>
                <w:sz w:val="20"/>
                <w:szCs w:val="20"/>
              </w:rPr>
              <w:t>définies</w:t>
            </w:r>
            <w:r w:rsidRPr="00C92388">
              <w:rPr>
                <w:rFonts w:ascii="Arial" w:eastAsia="Calibri" w:hAnsi="Arial" w:cs="Arial"/>
                <w:sz w:val="20"/>
                <w:szCs w:val="20"/>
              </w:rPr>
              <w:t xml:space="preserve"> par le décret n° 2-12-349 qui est accessible au public.</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(v)</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A le pouvoir de suspendre le processus de passation des marchés</w:t>
            </w:r>
          </w:p>
        </w:tc>
        <w:tc>
          <w:tcPr>
            <w:tcW w:w="1276"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 ministre de l’intérieur a le pouvoir de suspendre la procédure de passation des marchés.</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(vi)</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Rend des décisions dans les délais spécifiés par les règles/règlementation</w:t>
            </w:r>
          </w:p>
        </w:tc>
        <w:tc>
          <w:tcPr>
            <w:tcW w:w="1276"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Non apprécié</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Les délais d’instruction des plaintes sont spécifiés par le décret n° 2-12-349. Mais la mission n’a pas pu obtenir des données pour juger de leur respect.</w:t>
            </w:r>
          </w:p>
        </w:tc>
      </w:tr>
      <w:tr w:rsidR="003A596A" w:rsidRPr="00A17E25" w:rsidTr="003A596A">
        <w:trPr>
          <w:jc w:val="center"/>
        </w:trPr>
        <w:tc>
          <w:tcPr>
            <w:tcW w:w="655" w:type="dxa"/>
          </w:tcPr>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 xml:space="preserve"> (vii)</w:t>
            </w:r>
          </w:p>
        </w:tc>
        <w:tc>
          <w:tcPr>
            <w:tcW w:w="3564" w:type="dxa"/>
          </w:tcPr>
          <w:p w:rsidR="003A596A" w:rsidRPr="00C92388" w:rsidRDefault="003A596A" w:rsidP="003A596A">
            <w:pPr>
              <w:spacing w:line="276" w:lineRule="auto"/>
              <w:rPr>
                <w:rFonts w:ascii="Arial" w:eastAsia="Calibri" w:hAnsi="Arial" w:cs="Arial"/>
                <w:sz w:val="20"/>
                <w:szCs w:val="20"/>
              </w:rPr>
            </w:pPr>
            <w:r w:rsidRPr="00C92388">
              <w:rPr>
                <w:rFonts w:ascii="Arial" w:eastAsia="Calibri" w:hAnsi="Arial" w:cs="Arial"/>
                <w:sz w:val="20"/>
                <w:szCs w:val="20"/>
              </w:rPr>
              <w:t>Rend des décisions ayant force exécutoire pour toutes les parties (sans exclure la possibilité d’un éventuel recours ultérieur auprès d’une autorité supérieure externe)</w:t>
            </w:r>
          </w:p>
        </w:tc>
        <w:tc>
          <w:tcPr>
            <w:tcW w:w="1276" w:type="dxa"/>
          </w:tcPr>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b/>
                <w:sz w:val="20"/>
                <w:szCs w:val="20"/>
              </w:rPr>
            </w:pPr>
          </w:p>
          <w:p w:rsidR="003A596A" w:rsidRPr="00C92388" w:rsidRDefault="003A596A" w:rsidP="003A596A">
            <w:pPr>
              <w:jc w:val="center"/>
              <w:rPr>
                <w:rFonts w:ascii="Arial" w:eastAsia="Calibri" w:hAnsi="Arial" w:cs="Arial"/>
                <w:sz w:val="20"/>
                <w:szCs w:val="20"/>
              </w:rPr>
            </w:pPr>
            <w:r w:rsidRPr="00C92388">
              <w:rPr>
                <w:rFonts w:ascii="Arial" w:eastAsia="Calibri" w:hAnsi="Arial" w:cs="Arial"/>
                <w:sz w:val="20"/>
                <w:szCs w:val="20"/>
              </w:rPr>
              <w:t>OUI</w:t>
            </w:r>
          </w:p>
        </w:tc>
        <w:tc>
          <w:tcPr>
            <w:tcW w:w="3787" w:type="dxa"/>
          </w:tcPr>
          <w:p w:rsidR="003A596A" w:rsidRPr="00C92388" w:rsidRDefault="003A596A" w:rsidP="003A596A">
            <w:pPr>
              <w:rPr>
                <w:rFonts w:ascii="Arial" w:eastAsia="Calibri" w:hAnsi="Arial" w:cs="Arial"/>
                <w:sz w:val="20"/>
                <w:szCs w:val="20"/>
              </w:rPr>
            </w:pPr>
            <w:r w:rsidRPr="00C92388">
              <w:rPr>
                <w:rFonts w:ascii="Arial" w:eastAsia="Calibri" w:hAnsi="Arial" w:cs="Arial"/>
                <w:sz w:val="20"/>
                <w:szCs w:val="20"/>
              </w:rPr>
              <w:t>Les décisions rendues par le ministre de l’intérieur ont force exécutoire.</w:t>
            </w:r>
          </w:p>
        </w:tc>
      </w:tr>
    </w:tbl>
    <w:p w:rsidR="003A596A" w:rsidRPr="00A17E25" w:rsidRDefault="003A596A" w:rsidP="003A596A"/>
    <w:p w:rsidR="003A596A" w:rsidRPr="00A17E25" w:rsidRDefault="003A596A" w:rsidP="003A596A">
      <w:pPr>
        <w:jc w:val="both"/>
        <w:rPr>
          <w:rFonts w:ascii="Arial" w:hAnsi="Arial" w:cs="Arial"/>
        </w:rPr>
      </w:pPr>
      <w:r w:rsidRPr="00A17E25">
        <w:rPr>
          <w:rFonts w:ascii="Arial" w:hAnsi="Arial" w:cs="Arial"/>
        </w:rPr>
        <w:t xml:space="preserve">Il ressort de ce tableau que le mécanisme d’instruction des plaintes relatives à la passation des marchés publics ne remplit pas le critère (i) qui est déterminant, ainsi que le critère (ii). Par contre, il satisfait aux critères (iii), (iv), (v) et (vii). Le défaut de données n’a pas permis à la mission d’apprécier la satisfaction du critère (vi). Malgré cette insuffisance d’informations relatives au respect des délais d’instruction des plaintes, la composante est notée car le critère (i) qui est déterminant n’est pas satisfait. </w:t>
      </w:r>
    </w:p>
    <w:p w:rsidR="00777B8D" w:rsidRDefault="00777B8D" w:rsidP="00777B8D">
      <w:pPr>
        <w:jc w:val="both"/>
      </w:pPr>
    </w:p>
    <w:p w:rsidR="00777B8D" w:rsidRPr="00581667" w:rsidRDefault="00777B8D" w:rsidP="00581667">
      <w:pPr>
        <w:spacing w:after="1" w:line="237" w:lineRule="auto"/>
        <w:ind w:right="55"/>
        <w:jc w:val="both"/>
        <w:rPr>
          <w:rFonts w:ascii="Arial" w:hAnsi="Arial" w:cs="Arial"/>
        </w:rPr>
      </w:pPr>
      <w:r w:rsidRPr="00E72257">
        <w:rPr>
          <w:rFonts w:ascii="Arial" w:hAnsi="Arial" w:cs="Arial"/>
        </w:rPr>
        <w:t xml:space="preserve">Sur le plan des réformes </w:t>
      </w:r>
      <w:r w:rsidR="00E72257" w:rsidRPr="00E72257">
        <w:rPr>
          <w:rFonts w:ascii="Arial" w:hAnsi="Arial" w:cs="Arial"/>
        </w:rPr>
        <w:t>le</w:t>
      </w:r>
      <w:r w:rsidR="00E72257" w:rsidRPr="00C02FA2">
        <w:rPr>
          <w:rFonts w:ascii="Arial" w:hAnsi="Arial" w:cs="Arial"/>
        </w:rPr>
        <w:t xml:space="preserve"> nouveau code des marchés publics prévoit une commission de recours auprès de la Direction Générale des collectivités territoriales, mais elle n’est pas encore mise en place.</w:t>
      </w:r>
      <w:r w:rsidR="00E72257">
        <w:rPr>
          <w:rFonts w:ascii="Arial" w:hAnsi="Arial" w:cs="Arial"/>
        </w:rPr>
        <w:t xml:space="preserve"> </w:t>
      </w:r>
    </w:p>
    <w:p w:rsidR="003A596A" w:rsidRPr="00A17E25" w:rsidRDefault="003A596A" w:rsidP="003A59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89"/>
        <w:gridCol w:w="4316"/>
      </w:tblGrid>
      <w:tr w:rsidR="003A596A" w:rsidRPr="00A17E25" w:rsidTr="003A29CD">
        <w:trPr>
          <w:tblHeader/>
        </w:trPr>
        <w:tc>
          <w:tcPr>
            <w:tcW w:w="1896"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796"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2308"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3A596A">
        <w:tc>
          <w:tcPr>
            <w:tcW w:w="1896" w:type="pct"/>
          </w:tcPr>
          <w:p w:rsidR="003A596A" w:rsidRPr="00A17E25" w:rsidRDefault="003A596A" w:rsidP="003A596A">
            <w:pPr>
              <w:rPr>
                <w:rFonts w:ascii="Arial" w:hAnsi="Arial" w:cs="Arial"/>
                <w:sz w:val="20"/>
                <w:szCs w:val="20"/>
              </w:rPr>
            </w:pPr>
            <w:r w:rsidRPr="00A17E25">
              <w:rPr>
                <w:rFonts w:ascii="Arial" w:hAnsi="Arial" w:cs="Arial"/>
                <w:b/>
                <w:bCs/>
                <w:sz w:val="20"/>
                <w:szCs w:val="20"/>
              </w:rPr>
              <w:t>PI-23 Passation des marchés : efficacité, transparence, concurrence et mécanisme de dépôt de plaintes</w:t>
            </w:r>
          </w:p>
        </w:tc>
        <w:tc>
          <w:tcPr>
            <w:tcW w:w="796" w:type="pct"/>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C+</w:t>
            </w:r>
          </w:p>
        </w:tc>
        <w:tc>
          <w:tcPr>
            <w:tcW w:w="2308" w:type="pct"/>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 Suivi de l’efficience et de l’efficacité du système de passation des marchés </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2308" w:type="pct"/>
          </w:tcPr>
          <w:p w:rsidR="003A596A" w:rsidRPr="00A17E25" w:rsidRDefault="00851660" w:rsidP="006C7735">
            <w:pPr>
              <w:jc w:val="both"/>
              <w:rPr>
                <w:rFonts w:ascii="Arial" w:hAnsi="Arial" w:cs="Arial"/>
                <w:sz w:val="20"/>
                <w:szCs w:val="20"/>
              </w:rPr>
            </w:pPr>
            <w:r>
              <w:rPr>
                <w:rFonts w:ascii="Arial" w:hAnsi="Arial" w:cs="Arial"/>
                <w:sz w:val="20"/>
                <w:szCs w:val="20"/>
              </w:rPr>
              <w:t>La division gestion budgétaire de l</w:t>
            </w:r>
            <w:r w:rsidR="003A596A" w:rsidRPr="00A17E25">
              <w:rPr>
                <w:rFonts w:ascii="Arial" w:hAnsi="Arial" w:cs="Arial"/>
                <w:sz w:val="20"/>
                <w:szCs w:val="20"/>
              </w:rPr>
              <w:t xml:space="preserve">a </w:t>
            </w:r>
            <w:r w:rsidR="00DE5B35">
              <w:rPr>
                <w:rFonts w:ascii="Arial" w:hAnsi="Arial" w:cs="Arial"/>
                <w:sz w:val="20"/>
                <w:szCs w:val="20"/>
              </w:rPr>
              <w:t>CC</w:t>
            </w:r>
            <w:r w:rsidR="003A596A" w:rsidRPr="00A17E25">
              <w:rPr>
                <w:rFonts w:ascii="Arial" w:hAnsi="Arial" w:cs="Arial"/>
                <w:sz w:val="20"/>
                <w:szCs w:val="20"/>
              </w:rPr>
              <w:t xml:space="preserve"> </w:t>
            </w:r>
            <w:r>
              <w:rPr>
                <w:rFonts w:ascii="Arial" w:hAnsi="Arial" w:cs="Arial"/>
                <w:sz w:val="20"/>
                <w:szCs w:val="20"/>
              </w:rPr>
              <w:t>établit un état détaillé</w:t>
            </w:r>
            <w:r w:rsidR="003A596A" w:rsidRPr="00A17E25">
              <w:rPr>
                <w:rFonts w:ascii="Arial" w:hAnsi="Arial" w:cs="Arial"/>
                <w:sz w:val="20"/>
                <w:szCs w:val="20"/>
              </w:rPr>
              <w:t xml:space="preserve"> </w:t>
            </w:r>
            <w:r>
              <w:rPr>
                <w:rFonts w:ascii="Arial" w:hAnsi="Arial" w:cs="Arial"/>
                <w:sz w:val="20"/>
                <w:szCs w:val="20"/>
              </w:rPr>
              <w:t xml:space="preserve">et </w:t>
            </w:r>
            <w:r w:rsidR="003A596A" w:rsidRPr="00A17E25">
              <w:rPr>
                <w:rFonts w:ascii="Arial" w:hAnsi="Arial" w:cs="Arial"/>
                <w:sz w:val="20"/>
                <w:szCs w:val="20"/>
              </w:rPr>
              <w:t>consolidé des marchés passés</w:t>
            </w:r>
            <w:r>
              <w:rPr>
                <w:rFonts w:ascii="Arial" w:hAnsi="Arial" w:cs="Arial"/>
                <w:sz w:val="20"/>
                <w:szCs w:val="20"/>
              </w:rPr>
              <w:t xml:space="preserve"> passés par les différents gestionnaires qui lui permet de suivre </w:t>
            </w:r>
            <w:r w:rsidR="006C7735">
              <w:rPr>
                <w:rFonts w:ascii="Arial" w:hAnsi="Arial" w:cs="Arial"/>
                <w:sz w:val="20"/>
                <w:szCs w:val="20"/>
              </w:rPr>
              <w:t xml:space="preserve">régulièrement </w:t>
            </w:r>
            <w:r>
              <w:rPr>
                <w:rFonts w:ascii="Arial" w:hAnsi="Arial" w:cs="Arial"/>
                <w:sz w:val="20"/>
                <w:szCs w:val="20"/>
              </w:rPr>
              <w:t>leur exécution financière</w:t>
            </w:r>
            <w:r w:rsidR="003A596A" w:rsidRPr="00A17E25">
              <w:rPr>
                <w:rFonts w:ascii="Arial" w:hAnsi="Arial" w:cs="Arial"/>
                <w:sz w:val="20"/>
                <w:szCs w:val="20"/>
              </w:rPr>
              <w:t xml:space="preserve">. </w:t>
            </w:r>
            <w:r w:rsidR="006C7735">
              <w:rPr>
                <w:rFonts w:ascii="Arial" w:hAnsi="Arial" w:cs="Arial"/>
                <w:sz w:val="20"/>
                <w:szCs w:val="20"/>
              </w:rPr>
              <w:t>C</w:t>
            </w:r>
            <w:r w:rsidR="003A596A" w:rsidRPr="00A17E25">
              <w:rPr>
                <w:rFonts w:ascii="Arial" w:hAnsi="Arial" w:cs="Arial"/>
                <w:sz w:val="20"/>
                <w:szCs w:val="20"/>
              </w:rPr>
              <w:t>haque gestionnaire produit périodiquement la situation de l’exécution financière des marchés dont ils ont la charge. Mais un rapport n’est pas produit pour rendre compte  de la mise en œuvre des plans prévisionnels de passation des marchés et des coûts définitifs des marchés comparés aux montants initiaux des marchés attribués.</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 Recours à des méthodes de passation des marchés faisant appel à la concurrence</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2308" w:type="pct"/>
          </w:tcPr>
          <w:p w:rsidR="003A596A" w:rsidRPr="00A17E25" w:rsidRDefault="003A596A" w:rsidP="005664CE">
            <w:pPr>
              <w:jc w:val="both"/>
              <w:rPr>
                <w:rFonts w:ascii="Arial" w:hAnsi="Arial" w:cs="Arial"/>
                <w:sz w:val="20"/>
                <w:szCs w:val="20"/>
              </w:rPr>
            </w:pPr>
            <w:r w:rsidRPr="00A17E25">
              <w:rPr>
                <w:rFonts w:ascii="Arial" w:hAnsi="Arial" w:cs="Arial"/>
                <w:sz w:val="20"/>
                <w:szCs w:val="20"/>
              </w:rPr>
              <w:t xml:space="preserve">En 2014, près de 99,5% des marchés de la </w:t>
            </w:r>
            <w:r w:rsidR="00DE5B35">
              <w:rPr>
                <w:rFonts w:ascii="Arial" w:hAnsi="Arial" w:cs="Arial"/>
                <w:sz w:val="20"/>
                <w:szCs w:val="20"/>
              </w:rPr>
              <w:t>CC</w:t>
            </w:r>
            <w:r w:rsidRPr="00A17E25">
              <w:rPr>
                <w:rFonts w:ascii="Arial" w:hAnsi="Arial" w:cs="Arial"/>
                <w:sz w:val="20"/>
                <w:szCs w:val="20"/>
              </w:rPr>
              <w:t xml:space="preserve"> sont passés par appel d’offres ouvert.</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iii) Accès du public à des informations complètes, fiables et à jour sur la passation des marchés  </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B</w:t>
            </w:r>
          </w:p>
        </w:tc>
        <w:tc>
          <w:tcPr>
            <w:tcW w:w="2308" w:type="pct"/>
          </w:tcPr>
          <w:p w:rsidR="003A596A" w:rsidRPr="00A17E25" w:rsidRDefault="003A596A" w:rsidP="005664CE">
            <w:pPr>
              <w:jc w:val="both"/>
              <w:rPr>
                <w:rFonts w:ascii="Arial" w:hAnsi="Arial" w:cs="Arial"/>
                <w:sz w:val="20"/>
                <w:szCs w:val="20"/>
              </w:rPr>
            </w:pPr>
            <w:r w:rsidRPr="00A17E25">
              <w:rPr>
                <w:rFonts w:ascii="Arial" w:hAnsi="Arial" w:cs="Arial"/>
                <w:sz w:val="20"/>
                <w:szCs w:val="20"/>
              </w:rPr>
              <w:t xml:space="preserve">Quatre (4) informations sur les cinq (5) requises par le cadre PEFA sont mises à la disposition du public par la </w:t>
            </w:r>
            <w:r w:rsidR="00DE5B35">
              <w:rPr>
                <w:rFonts w:ascii="Arial" w:hAnsi="Arial" w:cs="Arial"/>
                <w:sz w:val="20"/>
                <w:szCs w:val="20"/>
              </w:rPr>
              <w:t>CC</w:t>
            </w:r>
            <w:r w:rsidRPr="00A17E25">
              <w:rPr>
                <w:rFonts w:ascii="Arial" w:hAnsi="Arial" w:cs="Arial"/>
                <w:sz w:val="20"/>
                <w:szCs w:val="20"/>
              </w:rPr>
              <w:t xml:space="preserve">. Ces informations concernent tous les marchés passés par appel d’offres ouvert qui représentent près de 99,5% des marchés de la </w:t>
            </w:r>
            <w:r w:rsidR="00DE5B35">
              <w:rPr>
                <w:rFonts w:ascii="Arial" w:hAnsi="Arial" w:cs="Arial"/>
                <w:sz w:val="20"/>
                <w:szCs w:val="20"/>
              </w:rPr>
              <w:t>CC</w:t>
            </w:r>
            <w:r w:rsidRPr="00A17E25">
              <w:rPr>
                <w:rFonts w:ascii="Arial" w:hAnsi="Arial" w:cs="Arial"/>
                <w:sz w:val="20"/>
                <w:szCs w:val="20"/>
              </w:rPr>
              <w:t xml:space="preserve">. </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iv) Efficacité d’un organe administratif indépendant chargé de l’instruction des plaintes liées à la passation des marchés</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2308" w:type="pct"/>
          </w:tcPr>
          <w:p w:rsidR="003A596A" w:rsidRPr="00A17E25" w:rsidRDefault="003A596A" w:rsidP="005664CE">
            <w:pPr>
              <w:jc w:val="both"/>
              <w:rPr>
                <w:rFonts w:ascii="Arial" w:hAnsi="Arial" w:cs="Arial"/>
                <w:sz w:val="20"/>
                <w:szCs w:val="20"/>
              </w:rPr>
            </w:pPr>
            <w:r w:rsidRPr="00A17E25">
              <w:rPr>
                <w:rFonts w:ascii="Arial" w:hAnsi="Arial" w:cs="Arial"/>
                <w:sz w:val="20"/>
                <w:szCs w:val="20"/>
              </w:rPr>
              <w:t>Le mécanisme mis en place pour l’instruction des plaintes liées à la passation des marchés publics ne satisfait pas au critère (i) requis par le cadre PEFA.</w:t>
            </w:r>
          </w:p>
        </w:tc>
      </w:tr>
    </w:tbl>
    <w:p w:rsidR="003A596A" w:rsidRPr="00A17E25" w:rsidRDefault="003A596A" w:rsidP="003A596A">
      <w:pPr>
        <w:jc w:val="both"/>
        <w:rPr>
          <w:rFonts w:ascii="Arial" w:hAnsi="Arial"/>
          <w:b/>
        </w:rPr>
      </w:pPr>
    </w:p>
    <w:p w:rsidR="002A24D6" w:rsidRDefault="002A24D6" w:rsidP="003A596A">
      <w:pPr>
        <w:jc w:val="both"/>
        <w:rPr>
          <w:rFonts w:ascii="Arial" w:hAnsi="Arial" w:cs="Arial"/>
          <w:b/>
        </w:rPr>
      </w:pPr>
    </w:p>
    <w:p w:rsidR="0034021B" w:rsidRDefault="0034021B">
      <w:pPr>
        <w:rPr>
          <w:rFonts w:ascii="Arial" w:hAnsi="Arial" w:cs="Arial"/>
          <w:b/>
        </w:rPr>
      </w:pPr>
      <w:r>
        <w:rPr>
          <w:rFonts w:ascii="Arial" w:hAnsi="Arial" w:cs="Arial"/>
          <w:b/>
        </w:rPr>
        <w:br w:type="page"/>
      </w:r>
    </w:p>
    <w:p w:rsidR="003A596A" w:rsidRPr="00A17E25" w:rsidRDefault="003A596A" w:rsidP="003A596A">
      <w:pPr>
        <w:jc w:val="both"/>
        <w:rPr>
          <w:rFonts w:ascii="Arial" w:hAnsi="Arial" w:cs="Arial"/>
          <w:b/>
        </w:rPr>
      </w:pPr>
      <w:r w:rsidRPr="00A17E25">
        <w:rPr>
          <w:rFonts w:ascii="Arial" w:hAnsi="Arial" w:cs="Arial"/>
          <w:b/>
        </w:rPr>
        <w:t>PI-24: Efficacité des contrôles internes pour les dépenses non salariales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Pour l’évaluation des trois composantes de cet indicateur) les informations et les données exploitées sont celles qui sont disponibles au moment de l’évaluation.</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règles régissant l’exécution, le contrôle et la comptabilisation des opérations budgétaires des collectivités locales et de leurs groupements sont fixées par la décret n° 2-09-441 du 03 janvier 2010 portant règlement de la comptabilité publique des collectivités locales et de leurs groupements.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L’exécution des dépenses non salariales suit les étapes d’engagement, de liquidation, d’ordonnancement et de paiement. Les trois premières étapes qui constituent la phase administrative sont de la compétence du président du conseil communal, ordonnateur du budget de la commune. Le paiement est du ressort du Trésorier, comptable de la commune. Le contrôle budgétaire des opérations de dépenses est assuré par le Trésorier. Il n’existe donc pas au niveau local un service distinct </w:t>
      </w:r>
      <w:r w:rsidR="002E0F27">
        <w:rPr>
          <w:rFonts w:ascii="Arial" w:hAnsi="Arial" w:cs="Arial"/>
        </w:rPr>
        <w:t xml:space="preserve">de la Division de la gestion budgétaire </w:t>
      </w:r>
      <w:r w:rsidRPr="00A17E25">
        <w:rPr>
          <w:rFonts w:ascii="Arial" w:hAnsi="Arial" w:cs="Arial"/>
        </w:rPr>
        <w:t>en charge du contrôle des dépenses engagées.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L’exécution des dépenses est informatisée et se fait au moyen de l’application GID (Gestion intégrée des dépenses). Cette application, conçue au départ et mise en œuvre pour l’exécution des dépenses budgétaires de l’Etat a été adaptée et déployée à partir de 201</w:t>
      </w:r>
      <w:r w:rsidR="002E0F27">
        <w:rPr>
          <w:rFonts w:ascii="Arial" w:hAnsi="Arial" w:cs="Arial"/>
        </w:rPr>
        <w:t>4</w:t>
      </w:r>
      <w:r w:rsidRPr="00A17E25">
        <w:rPr>
          <w:rFonts w:ascii="Arial" w:hAnsi="Arial" w:cs="Arial"/>
        </w:rPr>
        <w:t xml:space="preserve"> au niveau des collectivités locales dont la </w:t>
      </w:r>
      <w:r w:rsidR="00DE5B35">
        <w:rPr>
          <w:rFonts w:ascii="Arial" w:hAnsi="Arial" w:cs="Arial"/>
        </w:rPr>
        <w:t>CC</w:t>
      </w:r>
      <w:r w:rsidRPr="00A17E25">
        <w:rPr>
          <w:rFonts w:ascii="Arial" w:hAnsi="Arial" w:cs="Arial"/>
        </w:rPr>
        <w:t>. Toutes les opérations de la phase administrative y sont exécutées.</w:t>
      </w:r>
    </w:p>
    <w:p w:rsidR="003A596A" w:rsidRPr="00A17E25" w:rsidRDefault="003A596A" w:rsidP="003A596A">
      <w:pPr>
        <w:jc w:val="both"/>
        <w:rPr>
          <w:rFonts w:ascii="Arial" w:hAnsi="Arial" w:cs="Arial"/>
        </w:rPr>
      </w:pPr>
    </w:p>
    <w:p w:rsidR="003A596A" w:rsidRPr="009001D0" w:rsidRDefault="003A596A" w:rsidP="00151AD3">
      <w:pPr>
        <w:pStyle w:val="ListParagraph"/>
        <w:numPr>
          <w:ilvl w:val="0"/>
          <w:numId w:val="85"/>
        </w:numPr>
        <w:contextualSpacing/>
        <w:jc w:val="both"/>
        <w:rPr>
          <w:rFonts w:ascii="Arial" w:hAnsi="Arial" w:cs="Arial"/>
          <w:i/>
          <w:color w:val="3366FF"/>
        </w:rPr>
      </w:pPr>
      <w:r w:rsidRPr="003A29CD">
        <w:rPr>
          <w:rFonts w:ascii="Arial" w:hAnsi="Arial" w:cs="Arial"/>
          <w:i/>
          <w:color w:val="0070C0"/>
        </w:rPr>
        <w:t xml:space="preserve">Séparation des fonctions </w:t>
      </w:r>
    </w:p>
    <w:p w:rsidR="002A24D6" w:rsidRDefault="002A24D6"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 xml:space="preserve">Le règlement de la comptabilité publique des collectivités locales et de leurs groupements consacre en son article 4 la séparation des fonctions d’ordonnateur et de comptable. En effet, cet article dispose que « </w:t>
      </w:r>
      <w:r w:rsidRPr="00A17E25">
        <w:rPr>
          <w:rFonts w:ascii="Arial" w:hAnsi="Arial" w:cs="Arial"/>
          <w:i/>
        </w:rPr>
        <w:t xml:space="preserve">Sauf dispositions contraires, la fonction d’ordonnateur d’une collectivité locale ou d’un groupement est incompatible avec celle de comptable public ». </w:t>
      </w:r>
      <w:r w:rsidRPr="00A17E25">
        <w:rPr>
          <w:rFonts w:ascii="Arial" w:hAnsi="Arial" w:cs="Arial"/>
        </w:rPr>
        <w:t>Et dans la pratique, cette séparation est bien assurée sauf dans les cas des dépenses exécutées par les régies de dépenses qui constituent des exceptions à cette règle.</w:t>
      </w:r>
    </w:p>
    <w:p w:rsidR="00861864" w:rsidRDefault="00861864" w:rsidP="003A596A">
      <w:pPr>
        <w:jc w:val="both"/>
        <w:rPr>
          <w:rFonts w:ascii="Arial" w:hAnsi="Arial" w:cs="Arial"/>
        </w:rPr>
      </w:pPr>
    </w:p>
    <w:p w:rsidR="00861864" w:rsidRPr="00A17E25" w:rsidRDefault="00861864" w:rsidP="003A596A">
      <w:pPr>
        <w:jc w:val="both"/>
        <w:rPr>
          <w:rFonts w:ascii="Arial" w:hAnsi="Arial" w:cs="Arial"/>
        </w:rPr>
      </w:pPr>
      <w:r>
        <w:rPr>
          <w:rFonts w:ascii="Arial" w:hAnsi="Arial" w:cs="Arial"/>
        </w:rPr>
        <w:t xml:space="preserve">Au sein de la division de la gestion budgétaire de la CC qui est chargée de l’exécution de toutes les opérations relatives à la phase administrative de l’exécution de la dépense, l’organisation administrative en place permet un contrôle interne efficace des opérations de dépenses. Il en est de même au niveau des services du comptable </w:t>
      </w:r>
      <w:r w:rsidR="00896A43">
        <w:rPr>
          <w:rFonts w:ascii="Arial" w:hAnsi="Arial" w:cs="Arial"/>
        </w:rPr>
        <w:t>public où, outre l’organisation administrative, le Trésorier exerce un contrôle hiérarchique systématique et effectue des rapprochements entre les opérations effectuées par les services impliqués dans l’exécution de la dépense.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 contrôle budgétaire a priori de toutes les opérations de dépenses initiées par l’ordonnateur est exercé par le Trésorier.</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Les responsabilités des principaux acteurs de l’exécution des dépenses sont fixées par la loi n° 61-99 relative à la responsabilité des ordonnateurs, des contrôleurs et des comptables publics de l’Etat, des collectivités locales et de leurs groupements, ainsi que ceux de leurs établissements publics et des entreprises publiques soumises au contrôle financier de l’Etat.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Au sein des structures chargées de la gestion du matériel de la </w:t>
      </w:r>
      <w:r w:rsidR="00DE5B35">
        <w:rPr>
          <w:rFonts w:ascii="Arial" w:hAnsi="Arial" w:cs="Arial"/>
        </w:rPr>
        <w:t>CC</w:t>
      </w:r>
      <w:r w:rsidRPr="00A17E25">
        <w:rPr>
          <w:rFonts w:ascii="Arial" w:hAnsi="Arial" w:cs="Arial"/>
        </w:rPr>
        <w:t>, la division des moyens généraux, la division des affaires sociales et la division de l’informatique, les achats et la tenue des registres sont assurés par des services distincts. Au niveau de la division des moyens généraux, les achats sont du ressort du service des achats et la tenue des registres, de la c</w:t>
      </w:r>
      <w:r w:rsidR="009001D0">
        <w:rPr>
          <w:rFonts w:ascii="Arial" w:hAnsi="Arial" w:cs="Arial"/>
        </w:rPr>
        <w:t>ompétence du service logistique.</w:t>
      </w:r>
    </w:p>
    <w:p w:rsidR="003A596A" w:rsidRPr="00A17E25" w:rsidRDefault="003A596A" w:rsidP="003A596A">
      <w:pPr>
        <w:jc w:val="both"/>
        <w:rPr>
          <w:rFonts w:ascii="Arial" w:hAnsi="Arial" w:cs="Arial"/>
        </w:rPr>
      </w:pPr>
    </w:p>
    <w:p w:rsidR="003A596A" w:rsidRPr="003A29CD" w:rsidRDefault="003A596A" w:rsidP="00151AD3">
      <w:pPr>
        <w:pStyle w:val="ListParagraph"/>
        <w:numPr>
          <w:ilvl w:val="0"/>
          <w:numId w:val="85"/>
        </w:numPr>
        <w:contextualSpacing/>
        <w:jc w:val="both"/>
        <w:rPr>
          <w:rFonts w:ascii="Arial" w:hAnsi="Arial" w:cs="Arial"/>
          <w:i/>
          <w:color w:val="0070C0"/>
        </w:rPr>
      </w:pPr>
      <w:r w:rsidRPr="003A29CD">
        <w:rPr>
          <w:rFonts w:ascii="Arial" w:hAnsi="Arial" w:cs="Arial"/>
          <w:i/>
          <w:color w:val="0070C0"/>
        </w:rPr>
        <w:t>Efficacité des contrôles des engagements de dépenses</w:t>
      </w:r>
    </w:p>
    <w:p w:rsidR="002A24D6" w:rsidRDefault="002A24D6"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Aux termes des dispositions de l’article 9 de la loi 45-08 relative à l’organisation des finances des collectivités locales et de leurs groupements, les engagements de dépenses pour l’acquisition des biens et services doivent rester dans la limite des autorisations budgétaires. Cette prescription est rappelée par le règlement sur la comptabilité publique applicable aux collectivités locales en son article 49. Le contrôle budgétaire des engagements en vue du respect de cette règle est assuré par le Trésorier. Ainsi, toute proposition d’engagement doit être soumise à la certification du Trésorier. Le contrôle des engagements de dépenses relatives aux biens et services est convenablement bien exercé par le Trésorier qui est aidé pour ce faire par l’application GID qui est conçue de façon à ce que tout dépassement de crédit soit systématiquement rejeté.</w:t>
      </w:r>
    </w:p>
    <w:p w:rsidR="00DD6228" w:rsidRPr="00A17E25" w:rsidRDefault="00DD6228"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Par contre, le contrôle des engagements des dépenses d’acquisition de biens et services par rapport aux ressources disponibles ne se fait pas. Ce contrôle n’intervient qu’au moment de l’ordonnancement et du paiement de la dépense, c’est-à-dire à la dernière étape de la phase administrative et du règlement, donc ultérieurement à la naissance de la dette de la collectivité locale.  Ce contrôle de la disponibilité des fonds se fait concomitamment aux vérifications de la validité de la dépense effectuée par le Trésorier en sa qualité de payeur. En cas d’indisponibilité de fonds, le Trésorier refuse de payer même si l’ordonnateur lui demande de passer outre.</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En conclusion, le contrôle des engagements de dépenses de biens et services par rapport aux dotations budgétaires est convenablement assuré par le Trésorier, mais le système en place ne permet contrôler les propositions d’engagement de ces dépenses par rapport aux ressources disponibles au stade de l’engagement.</w:t>
      </w:r>
    </w:p>
    <w:p w:rsidR="003A596A" w:rsidRPr="003A29CD" w:rsidRDefault="003A596A" w:rsidP="003A596A">
      <w:pPr>
        <w:ind w:left="1080"/>
        <w:jc w:val="both"/>
        <w:rPr>
          <w:rFonts w:ascii="Arial" w:hAnsi="Arial" w:cs="Arial"/>
          <w:color w:val="0070C0"/>
        </w:rPr>
      </w:pPr>
    </w:p>
    <w:p w:rsidR="003A596A" w:rsidRPr="003A29CD" w:rsidRDefault="003A596A" w:rsidP="00151AD3">
      <w:pPr>
        <w:pStyle w:val="ListParagraph"/>
        <w:numPr>
          <w:ilvl w:val="0"/>
          <w:numId w:val="85"/>
        </w:numPr>
        <w:contextualSpacing/>
        <w:jc w:val="both"/>
        <w:rPr>
          <w:rFonts w:ascii="Arial" w:hAnsi="Arial" w:cs="Arial"/>
          <w:i/>
          <w:color w:val="0070C0"/>
        </w:rPr>
      </w:pPr>
      <w:r w:rsidRPr="003A29CD">
        <w:rPr>
          <w:rFonts w:ascii="Arial" w:hAnsi="Arial" w:cs="Arial"/>
          <w:i/>
          <w:color w:val="0070C0"/>
        </w:rPr>
        <w:t>Respect des dispositions des systèmes de contrôle établis pour les paiements</w:t>
      </w:r>
    </w:p>
    <w:p w:rsidR="002A24D6" w:rsidRDefault="002A24D6"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Les exceptions à la procédure normale d’exécution des dépenses d’acquisition des biens et services identifiées par la mission concernent :</w:t>
      </w:r>
    </w:p>
    <w:p w:rsidR="003A596A" w:rsidRPr="00A17E25" w:rsidRDefault="003A596A" w:rsidP="00151AD3">
      <w:pPr>
        <w:pStyle w:val="ListParagraph"/>
        <w:numPr>
          <w:ilvl w:val="0"/>
          <w:numId w:val="47"/>
        </w:numPr>
        <w:jc w:val="both"/>
        <w:rPr>
          <w:rFonts w:ascii="Arial" w:hAnsi="Arial" w:cs="Arial"/>
        </w:rPr>
      </w:pPr>
      <w:r w:rsidRPr="00A17E25">
        <w:rPr>
          <w:rFonts w:ascii="Arial" w:hAnsi="Arial" w:cs="Arial"/>
        </w:rPr>
        <w:t>Le paiement des factures d’électricité, d’eau, d’éclairage public et des points d’eau potable ;</w:t>
      </w:r>
    </w:p>
    <w:p w:rsidR="003A596A" w:rsidRPr="00A17E25" w:rsidRDefault="003A596A" w:rsidP="00151AD3">
      <w:pPr>
        <w:pStyle w:val="ListParagraph"/>
        <w:numPr>
          <w:ilvl w:val="0"/>
          <w:numId w:val="47"/>
        </w:numPr>
        <w:jc w:val="both"/>
        <w:rPr>
          <w:rFonts w:ascii="Arial" w:hAnsi="Arial" w:cs="Arial"/>
        </w:rPr>
      </w:pPr>
      <w:r w:rsidRPr="00A17E25">
        <w:rPr>
          <w:rFonts w:ascii="Arial" w:hAnsi="Arial" w:cs="Arial"/>
        </w:rPr>
        <w:t xml:space="preserve">Les dépenses payées par la seule régie de dépenses de la </w:t>
      </w:r>
      <w:r w:rsidR="00DE5B35">
        <w:rPr>
          <w:rFonts w:ascii="Arial" w:hAnsi="Arial" w:cs="Arial"/>
        </w:rPr>
        <w:t>CC</w:t>
      </w:r>
      <w:r w:rsidRPr="00A17E25">
        <w:rPr>
          <w:rFonts w:ascii="Arial" w:hAnsi="Arial" w:cs="Arial"/>
        </w:rPr>
        <w:t>« Frais de procédures et d’instance »</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 xml:space="preserve">Sur la base d’une convention conclue entre la </w:t>
      </w:r>
      <w:r w:rsidR="00DE5B35">
        <w:rPr>
          <w:rFonts w:ascii="Arial" w:hAnsi="Arial" w:cs="Arial"/>
        </w:rPr>
        <w:t>CC</w:t>
      </w:r>
      <w:r w:rsidRPr="00A17E25">
        <w:rPr>
          <w:rFonts w:ascii="Arial" w:hAnsi="Arial" w:cs="Arial"/>
        </w:rPr>
        <w:t xml:space="preserve"> et l’Office National d’Electricité et d’Eau Potable (ONE</w:t>
      </w:r>
      <w:r w:rsidR="00737AFE">
        <w:rPr>
          <w:rFonts w:ascii="Arial" w:hAnsi="Arial" w:cs="Arial"/>
        </w:rPr>
        <w:t>E</w:t>
      </w:r>
      <w:r w:rsidRPr="00A17E25">
        <w:rPr>
          <w:rFonts w:ascii="Arial" w:hAnsi="Arial" w:cs="Arial"/>
        </w:rPr>
        <w:t>P), les crédits ouverts en vue du paiement des factures d’électricité, d’eau, d’éclairage public et de points d’eau potable font l’objet d’un engagement et d’un mandatement globaux au début de chaque année au profit de l’ONE</w:t>
      </w:r>
      <w:r w:rsidR="00737AFE">
        <w:rPr>
          <w:rFonts w:ascii="Arial" w:hAnsi="Arial" w:cs="Arial"/>
        </w:rPr>
        <w:t>E</w:t>
      </w:r>
      <w:r w:rsidRPr="00A17E25">
        <w:rPr>
          <w:rFonts w:ascii="Arial" w:hAnsi="Arial" w:cs="Arial"/>
        </w:rPr>
        <w:t>P. En contrepartie des sommes ainsi payées à cet office avant même que les services ne soient faits, l’ONE</w:t>
      </w:r>
      <w:r w:rsidR="00737AFE">
        <w:rPr>
          <w:rFonts w:ascii="Arial" w:hAnsi="Arial" w:cs="Arial"/>
        </w:rPr>
        <w:t>E</w:t>
      </w:r>
      <w:r w:rsidRPr="00A17E25">
        <w:rPr>
          <w:rFonts w:ascii="Arial" w:hAnsi="Arial" w:cs="Arial"/>
        </w:rPr>
        <w:t xml:space="preserve">P procure à la </w:t>
      </w:r>
      <w:r w:rsidR="00DE5B35">
        <w:rPr>
          <w:rFonts w:ascii="Arial" w:hAnsi="Arial" w:cs="Arial"/>
        </w:rPr>
        <w:t>CC</w:t>
      </w:r>
      <w:r w:rsidRPr="00A17E25">
        <w:rPr>
          <w:rFonts w:ascii="Arial" w:hAnsi="Arial" w:cs="Arial"/>
        </w:rPr>
        <w:t xml:space="preserve"> des vignettes. Ces vignettes sont utilisées en cours d’année par la </w:t>
      </w:r>
      <w:r w:rsidR="00DE5B35">
        <w:rPr>
          <w:rFonts w:ascii="Arial" w:hAnsi="Arial" w:cs="Arial"/>
        </w:rPr>
        <w:t>CC</w:t>
      </w:r>
      <w:r w:rsidRPr="00A17E25">
        <w:rPr>
          <w:rFonts w:ascii="Arial" w:hAnsi="Arial" w:cs="Arial"/>
        </w:rPr>
        <w:t xml:space="preserve"> pour payer les factures de la LYDEC et de l’Office national d’électricité (ONE). Les vignettes non utilisées à la fin de l’année sont reprises par l’ONE</w:t>
      </w:r>
      <w:r w:rsidR="00737AFE">
        <w:rPr>
          <w:rFonts w:ascii="Arial" w:hAnsi="Arial" w:cs="Arial"/>
        </w:rPr>
        <w:t>E</w:t>
      </w:r>
      <w:r w:rsidRPr="00A17E25">
        <w:rPr>
          <w:rFonts w:ascii="Arial" w:hAnsi="Arial" w:cs="Arial"/>
        </w:rPr>
        <w:t>P pour le compte de l’année suivante. En 2014, les dépenses exécutées suivant cette procédure se sont élevées à 220 millions de dirhams.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S’agissant des dépenses exécutées par régie, elles se sont chiffrées en 2014 à 30000 dirhams sur une prévision de 2 000 000 de dirhams.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rPr>
      </w:pPr>
      <w:r w:rsidRPr="00A17E25">
        <w:rPr>
          <w:rFonts w:ascii="Arial" w:hAnsi="Arial" w:cs="Arial"/>
        </w:rPr>
        <w:t>Au total, les dépenses exécutées en 2014 suivant les procédures exceptionnelles se sont élevées en tout à 220 030 000 dirhams, représentant 6,74% des dépenses totales qui sont de 3265,9 millions de dirhams. Il en découle que les dépenses exécutées suivant la procédure normale ont représenté en 2014 93,26% des dépenses totales.</w:t>
      </w:r>
    </w:p>
    <w:p w:rsidR="003A596A" w:rsidRDefault="003A596A" w:rsidP="003A596A"/>
    <w:p w:rsidR="00366EE5" w:rsidRPr="00A17E25" w:rsidRDefault="00366EE5" w:rsidP="003A59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89"/>
        <w:gridCol w:w="4316"/>
      </w:tblGrid>
      <w:tr w:rsidR="003A596A" w:rsidRPr="00A17E25" w:rsidTr="003A29CD">
        <w:trPr>
          <w:tblHeader/>
        </w:trPr>
        <w:tc>
          <w:tcPr>
            <w:tcW w:w="1896"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796"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2308" w:type="pct"/>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3A596A">
        <w:tc>
          <w:tcPr>
            <w:tcW w:w="1896" w:type="pct"/>
          </w:tcPr>
          <w:p w:rsidR="003A596A" w:rsidRPr="00A17E25" w:rsidRDefault="003A596A" w:rsidP="003A596A">
            <w:pPr>
              <w:rPr>
                <w:rFonts w:ascii="Arial" w:hAnsi="Arial" w:cs="Arial"/>
                <w:sz w:val="20"/>
                <w:szCs w:val="20"/>
              </w:rPr>
            </w:pPr>
            <w:r w:rsidRPr="00A17E25">
              <w:rPr>
                <w:rFonts w:ascii="Arial" w:hAnsi="Arial" w:cs="Arial"/>
                <w:b/>
                <w:bCs/>
                <w:sz w:val="20"/>
                <w:szCs w:val="20"/>
              </w:rPr>
              <w:t>PI-24 Efficacité des contrôles internes pour les dépenses non salariales</w:t>
            </w:r>
          </w:p>
        </w:tc>
        <w:tc>
          <w:tcPr>
            <w:tcW w:w="796" w:type="pct"/>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B</w:t>
            </w:r>
            <w:r w:rsidR="001D2EB4">
              <w:rPr>
                <w:rFonts w:ascii="Arial" w:hAnsi="Arial" w:cs="Arial"/>
                <w:b/>
                <w:bCs/>
                <w:sz w:val="20"/>
                <w:szCs w:val="20"/>
              </w:rPr>
              <w:t>+</w:t>
            </w:r>
          </w:p>
        </w:tc>
        <w:tc>
          <w:tcPr>
            <w:tcW w:w="2308" w:type="pct"/>
            <w:vAlign w:val="center"/>
          </w:tcPr>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 Séparation des fonctions </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2308" w:type="pct"/>
          </w:tcPr>
          <w:p w:rsidR="003A596A" w:rsidRPr="00A17E25" w:rsidRDefault="003A596A" w:rsidP="005664CE">
            <w:pPr>
              <w:jc w:val="both"/>
              <w:rPr>
                <w:rFonts w:ascii="Arial" w:hAnsi="Arial" w:cs="Arial"/>
                <w:sz w:val="20"/>
                <w:szCs w:val="20"/>
              </w:rPr>
            </w:pPr>
            <w:r w:rsidRPr="00A17E25">
              <w:rPr>
                <w:rFonts w:ascii="Arial" w:hAnsi="Arial" w:cs="Arial"/>
                <w:sz w:val="20"/>
                <w:szCs w:val="20"/>
              </w:rPr>
              <w:t>Les fonctions sont dûment séparées tout au long du processus et les responsabilités sont clairement définies.</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ii) Efficacité des contrôles des engagements de dépenses</w:t>
            </w:r>
          </w:p>
        </w:tc>
        <w:tc>
          <w:tcPr>
            <w:tcW w:w="796" w:type="pct"/>
            <w:vAlign w:val="center"/>
          </w:tcPr>
          <w:p w:rsidR="003A596A" w:rsidRPr="00A17E25" w:rsidRDefault="001D2EB4" w:rsidP="003A596A">
            <w:pPr>
              <w:jc w:val="center"/>
              <w:rPr>
                <w:rFonts w:ascii="Arial" w:hAnsi="Arial" w:cs="Arial"/>
                <w:sz w:val="20"/>
                <w:szCs w:val="20"/>
              </w:rPr>
            </w:pPr>
            <w:r>
              <w:rPr>
                <w:rFonts w:ascii="Arial" w:hAnsi="Arial" w:cs="Arial"/>
                <w:sz w:val="20"/>
                <w:szCs w:val="20"/>
              </w:rPr>
              <w:t>C</w:t>
            </w:r>
          </w:p>
        </w:tc>
        <w:tc>
          <w:tcPr>
            <w:tcW w:w="2308" w:type="pct"/>
          </w:tcPr>
          <w:p w:rsidR="003A596A" w:rsidRPr="00A17E25" w:rsidRDefault="003A596A" w:rsidP="001D2EB4">
            <w:pPr>
              <w:jc w:val="both"/>
              <w:rPr>
                <w:rFonts w:ascii="Arial" w:hAnsi="Arial" w:cs="Arial"/>
                <w:sz w:val="20"/>
                <w:szCs w:val="20"/>
              </w:rPr>
            </w:pPr>
            <w:r w:rsidRPr="00A17E25">
              <w:rPr>
                <w:rFonts w:ascii="Arial" w:hAnsi="Arial" w:cs="Arial"/>
                <w:sz w:val="20"/>
                <w:szCs w:val="20"/>
              </w:rPr>
              <w:t xml:space="preserve">Le contrôle des engagements de dépenses par rapport aux dotations budgétaires est convenablement assuré. </w:t>
            </w:r>
          </w:p>
        </w:tc>
      </w:tr>
      <w:tr w:rsidR="003A596A" w:rsidRPr="00A17E25" w:rsidTr="003A596A">
        <w:tc>
          <w:tcPr>
            <w:tcW w:w="1896" w:type="pct"/>
            <w:vAlign w:val="center"/>
          </w:tcPr>
          <w:p w:rsidR="003A596A" w:rsidRPr="00A17E25" w:rsidRDefault="003A596A" w:rsidP="003A596A">
            <w:pPr>
              <w:rPr>
                <w:rFonts w:ascii="Arial" w:hAnsi="Arial" w:cs="Arial"/>
                <w:sz w:val="20"/>
                <w:szCs w:val="20"/>
              </w:rPr>
            </w:pPr>
            <w:r w:rsidRPr="00A17E25">
              <w:rPr>
                <w:rFonts w:ascii="Arial" w:hAnsi="Arial" w:cs="Arial"/>
                <w:sz w:val="20"/>
                <w:szCs w:val="20"/>
              </w:rPr>
              <w:t xml:space="preserve">iii) Respect des dispositions des systèmes de contrôle établis  </w:t>
            </w:r>
          </w:p>
        </w:tc>
        <w:tc>
          <w:tcPr>
            <w:tcW w:w="796" w:type="pct"/>
            <w:vAlign w:val="center"/>
          </w:tcPr>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2308" w:type="pct"/>
          </w:tcPr>
          <w:p w:rsidR="003A596A" w:rsidRPr="00A17E25" w:rsidRDefault="003A596A" w:rsidP="005664CE">
            <w:pPr>
              <w:jc w:val="both"/>
              <w:rPr>
                <w:rFonts w:ascii="Arial" w:hAnsi="Arial" w:cs="Arial"/>
                <w:sz w:val="20"/>
                <w:szCs w:val="20"/>
              </w:rPr>
            </w:pPr>
            <w:r w:rsidRPr="00A17E25">
              <w:rPr>
                <w:rFonts w:ascii="Arial" w:hAnsi="Arial" w:cs="Arial"/>
                <w:sz w:val="20"/>
                <w:szCs w:val="20"/>
              </w:rPr>
              <w:t>Près de 93,26% des dépenses non salariales sont exécutées suivant la procédure normale, et les procédures exceptionnelles sont bien établies et justifiées.</w:t>
            </w:r>
          </w:p>
        </w:tc>
      </w:tr>
    </w:tbl>
    <w:p w:rsidR="003A596A" w:rsidRPr="00A17E25" w:rsidRDefault="003A596A" w:rsidP="003A596A">
      <w:pPr>
        <w:jc w:val="both"/>
        <w:rPr>
          <w:rFonts w:ascii="Arial" w:hAnsi="Arial"/>
          <w:color w:val="0000FF"/>
        </w:rPr>
      </w:pPr>
    </w:p>
    <w:p w:rsidR="003A596A" w:rsidRPr="003A29CD" w:rsidRDefault="003A596A" w:rsidP="00CC3ED7">
      <w:pPr>
        <w:pStyle w:val="Heading2"/>
        <w:rPr>
          <w:i w:val="0"/>
          <w:color w:val="0070C0"/>
        </w:rPr>
      </w:pPr>
      <w:bookmarkStart w:id="260" w:name="_Toc434916155"/>
      <w:bookmarkStart w:id="261" w:name="_Toc434918369"/>
      <w:bookmarkStart w:id="262" w:name="_Toc180757533"/>
      <w:bookmarkStart w:id="263" w:name="_Toc260257273"/>
      <w:bookmarkStart w:id="264" w:name="_Toc412839442"/>
      <w:r w:rsidRPr="003A29CD">
        <w:rPr>
          <w:i w:val="0"/>
          <w:color w:val="0070C0"/>
        </w:rPr>
        <w:t>3.6 Comptabilité, enregistrement de données et établissement  de rapports</w:t>
      </w:r>
      <w:bookmarkEnd w:id="260"/>
      <w:bookmarkEnd w:id="261"/>
      <w:r w:rsidRPr="003A29CD">
        <w:rPr>
          <w:i w:val="0"/>
          <w:color w:val="0070C0"/>
        </w:rPr>
        <w:t xml:space="preserve"> </w:t>
      </w:r>
      <w:bookmarkEnd w:id="262"/>
      <w:bookmarkEnd w:id="263"/>
      <w:bookmarkEnd w:id="264"/>
    </w:p>
    <w:p w:rsidR="003A596A" w:rsidRPr="003A29CD" w:rsidRDefault="003A596A" w:rsidP="003A596A">
      <w:pPr>
        <w:jc w:val="both"/>
        <w:rPr>
          <w:rFonts w:ascii="Arial" w:hAnsi="Arial" w:cs="Arial"/>
          <w:b/>
          <w:color w:val="0070C0"/>
        </w:rPr>
      </w:pPr>
    </w:p>
    <w:p w:rsidR="003A596A" w:rsidRPr="003A29CD" w:rsidRDefault="003A596A" w:rsidP="003A596A">
      <w:pPr>
        <w:jc w:val="both"/>
        <w:rPr>
          <w:rFonts w:ascii="Arial" w:hAnsi="Arial" w:cs="Arial"/>
          <w:b/>
          <w:color w:val="0070C0"/>
        </w:rPr>
      </w:pPr>
      <w:bookmarkStart w:id="265" w:name="_Toc215492672"/>
      <w:bookmarkStart w:id="266" w:name="_Toc174348938"/>
      <w:bookmarkStart w:id="267" w:name="_Toc174357449"/>
      <w:bookmarkStart w:id="268" w:name="_Toc180757538"/>
      <w:bookmarkStart w:id="269" w:name="_Toc215818908"/>
      <w:bookmarkStart w:id="270" w:name="_Toc216878497"/>
      <w:bookmarkStart w:id="271" w:name="_Toc217142325"/>
      <w:bookmarkStart w:id="272" w:name="_Toc217142707"/>
      <w:bookmarkStart w:id="273" w:name="_Toc217144893"/>
      <w:bookmarkStart w:id="274" w:name="_Toc217146132"/>
      <w:bookmarkStart w:id="275" w:name="_Toc221276229"/>
      <w:bookmarkStart w:id="276" w:name="_Toc221350239"/>
      <w:r w:rsidRPr="003A29CD">
        <w:rPr>
          <w:rFonts w:ascii="Arial" w:hAnsi="Arial" w:cs="Arial"/>
          <w:b/>
          <w:color w:val="0070C0"/>
        </w:rPr>
        <w:t>PI-25 Efficacité de l’audit interne</w:t>
      </w:r>
    </w:p>
    <w:p w:rsidR="003A596A" w:rsidRDefault="003A596A" w:rsidP="003A596A">
      <w:pPr>
        <w:pStyle w:val="Default"/>
        <w:rPr>
          <w:rFonts w:ascii="Arial" w:hAnsi="Arial" w:cs="Arial"/>
          <w:b/>
          <w:lang w:val="fr-FR"/>
        </w:rPr>
      </w:pPr>
    </w:p>
    <w:p w:rsidR="009001D0" w:rsidRDefault="009001D0" w:rsidP="009001D0">
      <w:pPr>
        <w:pStyle w:val="Default"/>
        <w:jc w:val="both"/>
        <w:rPr>
          <w:rFonts w:ascii="Arial" w:hAnsi="Arial" w:cs="Arial"/>
          <w:lang w:val="fr-FR"/>
        </w:rPr>
      </w:pPr>
      <w:r>
        <w:rPr>
          <w:rFonts w:ascii="Arial" w:hAnsi="Arial" w:cs="Arial"/>
          <w:lang w:val="fr-FR"/>
        </w:rPr>
        <w:t>La notation des quatre composantes de cet indicateur est basée sur les dernières informations et données disponibles au moment de l’évaluation.</w:t>
      </w:r>
    </w:p>
    <w:p w:rsidR="003A596A" w:rsidRPr="003A29CD" w:rsidRDefault="003A596A" w:rsidP="00151AD3">
      <w:pPr>
        <w:pStyle w:val="Default"/>
        <w:numPr>
          <w:ilvl w:val="0"/>
          <w:numId w:val="48"/>
        </w:numPr>
        <w:rPr>
          <w:rFonts w:ascii="Arial" w:hAnsi="Arial" w:cs="Arial"/>
          <w:i/>
          <w:color w:val="0070C0"/>
          <w:lang w:val="fr-FR"/>
        </w:rPr>
      </w:pPr>
      <w:r w:rsidRPr="003A29CD">
        <w:rPr>
          <w:rFonts w:ascii="Arial" w:hAnsi="Arial" w:cs="Arial"/>
          <w:i/>
          <w:color w:val="0070C0"/>
          <w:lang w:val="fr-FR"/>
        </w:rPr>
        <w:t xml:space="preserve">Couverture de la fonction d’audit interne (les pourcentages indiqués dénotent cette couverture). </w:t>
      </w:r>
    </w:p>
    <w:p w:rsidR="003A596A" w:rsidRPr="00A17E25" w:rsidRDefault="003A596A" w:rsidP="003A596A">
      <w:pPr>
        <w:jc w:val="both"/>
        <w:rPr>
          <w:rFonts w:ascii="Arial" w:hAnsi="Arial" w:cs="Arial"/>
          <w:b/>
          <w:i/>
        </w:rPr>
      </w:pPr>
    </w:p>
    <w:p w:rsidR="003A596A" w:rsidRPr="00A17E25" w:rsidRDefault="003A596A" w:rsidP="009001D0">
      <w:pPr>
        <w:jc w:val="both"/>
        <w:rPr>
          <w:rFonts w:ascii="Arial" w:hAnsi="Arial" w:cs="Arial"/>
        </w:rPr>
      </w:pPr>
      <w:r w:rsidRPr="00A17E25">
        <w:rPr>
          <w:rFonts w:ascii="Arial" w:hAnsi="Arial" w:cs="Arial"/>
        </w:rPr>
        <w:t xml:space="preserve">Il n’existe pas de service d’audit interne opérationnel à la </w:t>
      </w:r>
      <w:r w:rsidR="00DE5B35">
        <w:rPr>
          <w:rFonts w:ascii="Arial" w:hAnsi="Arial" w:cs="Arial"/>
        </w:rPr>
        <w:t>CC</w:t>
      </w:r>
      <w:r w:rsidRPr="00A17E25">
        <w:rPr>
          <w:rFonts w:ascii="Arial" w:hAnsi="Arial" w:cs="Arial"/>
        </w:rPr>
        <w:t xml:space="preserve"> au moment de l’évaluation PEFA (août 2015).</w:t>
      </w:r>
    </w:p>
    <w:p w:rsidR="003A596A" w:rsidRPr="00A17E25" w:rsidRDefault="003A596A" w:rsidP="003A596A">
      <w:pPr>
        <w:pStyle w:val="Default"/>
        <w:ind w:left="1080"/>
        <w:rPr>
          <w:rFonts w:ascii="Arial" w:hAnsi="Arial" w:cs="Arial"/>
          <w:b/>
          <w:lang w:val="fr-FR"/>
        </w:rPr>
      </w:pPr>
    </w:p>
    <w:p w:rsidR="003A596A" w:rsidRPr="003A29CD" w:rsidRDefault="003A596A" w:rsidP="00151AD3">
      <w:pPr>
        <w:pStyle w:val="Default"/>
        <w:numPr>
          <w:ilvl w:val="0"/>
          <w:numId w:val="48"/>
        </w:numPr>
        <w:rPr>
          <w:rFonts w:ascii="Arial" w:hAnsi="Arial" w:cs="Arial"/>
          <w:i/>
          <w:color w:val="0070C0"/>
          <w:lang w:val="fr-FR"/>
        </w:rPr>
      </w:pPr>
      <w:r w:rsidRPr="003A29CD">
        <w:rPr>
          <w:rFonts w:ascii="Arial" w:hAnsi="Arial" w:cs="Arial"/>
          <w:i/>
          <w:color w:val="0070C0"/>
          <w:lang w:val="fr-FR"/>
        </w:rPr>
        <w:t>Réalisation des audits et diffusion des rapports (les pourcentages indiqués dénotent le taux moyen d’achèvement des plans d’audits pour toutes les entités auditées).</w:t>
      </w:r>
    </w:p>
    <w:p w:rsidR="003A596A" w:rsidRPr="00A17E25" w:rsidRDefault="003A596A" w:rsidP="009001D0">
      <w:pPr>
        <w:jc w:val="both"/>
        <w:rPr>
          <w:rFonts w:ascii="Arial" w:hAnsi="Arial" w:cs="Arial"/>
          <w:iCs/>
        </w:rPr>
      </w:pPr>
    </w:p>
    <w:p w:rsidR="003A596A" w:rsidRPr="00A17E25" w:rsidRDefault="003A596A" w:rsidP="003A596A">
      <w:pPr>
        <w:jc w:val="both"/>
        <w:rPr>
          <w:rFonts w:ascii="Arial" w:hAnsi="Arial" w:cs="Arial"/>
          <w:iCs/>
        </w:rPr>
      </w:pPr>
      <w:r w:rsidRPr="00A17E25">
        <w:rPr>
          <w:rFonts w:ascii="Arial" w:hAnsi="Arial" w:cs="Arial"/>
          <w:iCs/>
        </w:rPr>
        <w:t xml:space="preserve">Étant donné que la fonction d’audit interne n’est pas opérationnelle, les rapports d’audit ne sont pas élaborés. </w:t>
      </w:r>
    </w:p>
    <w:p w:rsidR="003A596A" w:rsidRPr="003A29CD" w:rsidRDefault="003A596A" w:rsidP="009001D0">
      <w:pPr>
        <w:pStyle w:val="Default"/>
        <w:rPr>
          <w:rFonts w:ascii="Arial" w:hAnsi="Arial" w:cs="Arial"/>
          <w:b/>
          <w:color w:val="0070C0"/>
          <w:lang w:val="fr-FR"/>
        </w:rPr>
      </w:pPr>
    </w:p>
    <w:p w:rsidR="003A596A" w:rsidRPr="003A29CD" w:rsidRDefault="003A596A" w:rsidP="00151AD3">
      <w:pPr>
        <w:pStyle w:val="Default"/>
        <w:numPr>
          <w:ilvl w:val="0"/>
          <w:numId w:val="48"/>
        </w:numPr>
        <w:rPr>
          <w:rFonts w:ascii="Arial" w:hAnsi="Arial" w:cs="Arial"/>
          <w:i/>
          <w:color w:val="0070C0"/>
          <w:lang w:val="fr-FR"/>
        </w:rPr>
      </w:pPr>
      <w:r w:rsidRPr="003A29CD">
        <w:rPr>
          <w:rFonts w:ascii="Arial" w:hAnsi="Arial" w:cs="Arial"/>
          <w:i/>
          <w:color w:val="0070C0"/>
          <w:lang w:val="fr-FR"/>
        </w:rPr>
        <w:t>Mesure dans laquelle la direction répond aux conclusions des audits internes.</w:t>
      </w:r>
    </w:p>
    <w:p w:rsidR="003A596A" w:rsidRPr="00A17E25" w:rsidRDefault="003A596A" w:rsidP="003A596A">
      <w:pPr>
        <w:jc w:val="both"/>
        <w:rPr>
          <w:rFonts w:ascii="Arial" w:hAnsi="Arial"/>
        </w:rPr>
      </w:pPr>
    </w:p>
    <w:p w:rsidR="00106354" w:rsidRDefault="003A596A" w:rsidP="00581667">
      <w:pPr>
        <w:jc w:val="both"/>
        <w:rPr>
          <w:rFonts w:ascii="Arial" w:hAnsi="Arial"/>
        </w:rPr>
      </w:pPr>
      <w:r w:rsidRPr="00A17E25">
        <w:rPr>
          <w:rFonts w:ascii="Arial" w:hAnsi="Arial"/>
        </w:rPr>
        <w:t>Étant donné que les rapports d’audit ne sont pas élaborés car la fonction d’audit n’est pas opérationnelle, aucune conclusion n’est formulée. Par conséquent aucune suite n’est donnée aux conclusions.</w:t>
      </w:r>
      <w:r w:rsidRPr="00A17E25">
        <w:rPr>
          <w:rFonts w:ascii="Arial" w:hAnsi="Arial"/>
        </w:rPr>
        <w:tab/>
      </w:r>
    </w:p>
    <w:p w:rsidR="00581667" w:rsidRPr="00581667" w:rsidRDefault="00581667" w:rsidP="00581667">
      <w:pPr>
        <w:jc w:val="both"/>
        <w:rPr>
          <w:rFonts w:ascii="Arial" w:hAnsi="Arial"/>
        </w:rPr>
      </w:pPr>
    </w:p>
    <w:p w:rsidR="003A596A" w:rsidRPr="003A29CD" w:rsidRDefault="003A596A" w:rsidP="00151AD3">
      <w:pPr>
        <w:pStyle w:val="Default"/>
        <w:numPr>
          <w:ilvl w:val="0"/>
          <w:numId w:val="48"/>
        </w:numPr>
        <w:rPr>
          <w:rFonts w:ascii="Arial" w:hAnsi="Arial" w:cs="Arial"/>
          <w:i/>
          <w:color w:val="0070C0"/>
          <w:lang w:val="fr-FR"/>
        </w:rPr>
      </w:pPr>
      <w:r w:rsidRPr="003A29CD">
        <w:rPr>
          <w:rFonts w:ascii="Arial" w:hAnsi="Arial" w:cs="Arial"/>
          <w:i/>
          <w:color w:val="0070C0"/>
          <w:lang w:val="fr-FR"/>
        </w:rPr>
        <w:t xml:space="preserve">Nature des audits réalisés et respect des normes professionnelles. </w:t>
      </w:r>
    </w:p>
    <w:p w:rsidR="003A596A" w:rsidRPr="00A17E25" w:rsidRDefault="003A596A" w:rsidP="003A596A">
      <w:pPr>
        <w:jc w:val="both"/>
        <w:rPr>
          <w:rFonts w:ascii="Arial" w:hAnsi="Arial" w:cs="Arial"/>
          <w:color w:val="0000FF"/>
        </w:rPr>
      </w:pPr>
    </w:p>
    <w:p w:rsidR="003A596A" w:rsidRPr="007E2273" w:rsidRDefault="003A596A" w:rsidP="007E2273">
      <w:pPr>
        <w:jc w:val="both"/>
        <w:rPr>
          <w:rFonts w:ascii="Arial" w:hAnsi="Arial" w:cs="Arial"/>
        </w:rPr>
      </w:pPr>
      <w:r w:rsidRPr="00A17E25">
        <w:rPr>
          <w:rFonts w:ascii="Arial" w:hAnsi="Arial" w:cs="Arial"/>
        </w:rPr>
        <w:t xml:space="preserve">Il n’existe pas de service d’audit interne opérationnel à la </w:t>
      </w:r>
      <w:r w:rsidR="00DE5B35">
        <w:rPr>
          <w:rFonts w:ascii="Arial" w:hAnsi="Arial" w:cs="Arial"/>
        </w:rPr>
        <w:t>CC</w:t>
      </w:r>
      <w:r w:rsidRPr="00A17E25">
        <w:rPr>
          <w:rFonts w:ascii="Arial" w:hAnsi="Arial" w:cs="Arial"/>
        </w:rPr>
        <w:t xml:space="preserve"> au moment de l’évaluation PEFA (août 2015).</w:t>
      </w:r>
    </w:p>
    <w:p w:rsidR="003A0980" w:rsidRDefault="003A0980" w:rsidP="003A596A">
      <w:pPr>
        <w:jc w:val="both"/>
        <w:rPr>
          <w:rFonts w:ascii="Arial" w:hAnsi="Arial"/>
          <w:u w:val="single"/>
        </w:rPr>
      </w:pPr>
      <w:r>
        <w:rPr>
          <w:rFonts w:ascii="Arial" w:hAnsi="Arial"/>
          <w:u w:val="single"/>
        </w:rPr>
        <w:t>Réformes en cours</w:t>
      </w:r>
    </w:p>
    <w:p w:rsidR="000C0E94" w:rsidRDefault="003A596A" w:rsidP="003A596A">
      <w:pPr>
        <w:jc w:val="both"/>
        <w:rPr>
          <w:rFonts w:ascii="Arial" w:hAnsi="Arial" w:cs="Arial"/>
        </w:rPr>
      </w:pPr>
      <w:r w:rsidRPr="00A17E25">
        <w:rPr>
          <w:rFonts w:ascii="Arial" w:hAnsi="Arial"/>
        </w:rPr>
        <w:t xml:space="preserve">La nouvelle Loi 113.14, contrairement à la Charte en vigueur pendant la période sous revue prévoit la mise en place des fonctions d’audit interne au niveau des communes du </w:t>
      </w:r>
      <w:r w:rsidR="007D6791" w:rsidRPr="00A17E25">
        <w:rPr>
          <w:rFonts w:ascii="Arial" w:hAnsi="Arial"/>
        </w:rPr>
        <w:t>Maroc.</w:t>
      </w:r>
      <w:r w:rsidR="007D6791">
        <w:rPr>
          <w:rFonts w:ascii="Arial" w:hAnsi="Arial" w:cs="Arial"/>
        </w:rPr>
        <w:t xml:space="preserve"> En</w:t>
      </w:r>
      <w:r w:rsidR="000C0E94">
        <w:rPr>
          <w:rFonts w:ascii="Arial" w:hAnsi="Arial" w:cs="Arial"/>
        </w:rPr>
        <w:t xml:space="preserve"> effet, la nouvelle loi organique</w:t>
      </w:r>
      <w:r w:rsidR="000C0E94" w:rsidRPr="00A17E25">
        <w:rPr>
          <w:rFonts w:ascii="Arial" w:hAnsi="Arial" w:cs="Arial"/>
        </w:rPr>
        <w:t xml:space="preserve"> vient renforcer les disposi</w:t>
      </w:r>
      <w:r w:rsidR="000C0E94">
        <w:rPr>
          <w:rFonts w:ascii="Arial" w:hAnsi="Arial" w:cs="Arial"/>
        </w:rPr>
        <w:t xml:space="preserve">tifs de gouvernance en introduisant </w:t>
      </w:r>
      <w:r w:rsidR="000C0E94" w:rsidRPr="00A17E25">
        <w:rPr>
          <w:rFonts w:ascii="Arial" w:hAnsi="Arial" w:cs="Arial"/>
        </w:rPr>
        <w:t>pour la première fois les concepts</w:t>
      </w:r>
      <w:r w:rsidR="000C0E94">
        <w:rPr>
          <w:rFonts w:ascii="Arial" w:hAnsi="Arial" w:cs="Arial"/>
        </w:rPr>
        <w:t xml:space="preserve"> d’évaluation, d’audit interne et en consacrant le principe de publication</w:t>
      </w:r>
      <w:r w:rsidR="000C0E94" w:rsidRPr="00A17E25">
        <w:rPr>
          <w:rFonts w:ascii="Arial" w:hAnsi="Arial" w:cs="Arial"/>
        </w:rPr>
        <w:t xml:space="preserve"> des rapports d’évaluation et d’audit</w:t>
      </w:r>
      <w:r w:rsidR="000C0E94">
        <w:rPr>
          <w:rFonts w:ascii="Arial" w:hAnsi="Arial" w:cs="Arial"/>
        </w:rPr>
        <w:t>.</w:t>
      </w:r>
    </w:p>
    <w:p w:rsidR="005D39B7" w:rsidRDefault="005D39B7" w:rsidP="003A596A">
      <w:pPr>
        <w:jc w:val="both"/>
        <w:rPr>
          <w:rFonts w:ascii="Arial" w:hAnsi="Arial" w:cs="Arial"/>
        </w:rPr>
      </w:pPr>
    </w:p>
    <w:p w:rsidR="007D6791" w:rsidRPr="00E9783A" w:rsidRDefault="007D6791" w:rsidP="007D6791">
      <w:pPr>
        <w:jc w:val="both"/>
        <w:rPr>
          <w:rFonts w:ascii="Arial" w:hAnsi="Arial" w:cs="Arial"/>
          <w:sz w:val="20"/>
          <w:szCs w:val="20"/>
        </w:rPr>
      </w:pPr>
      <w:r>
        <w:rPr>
          <w:rFonts w:ascii="Arial" w:hAnsi="Arial" w:cs="Arial"/>
        </w:rPr>
        <w:t>Par ailleurs, l</w:t>
      </w:r>
      <w:r w:rsidRPr="00E9783A">
        <w:rPr>
          <w:rFonts w:ascii="Arial" w:hAnsi="Arial" w:cs="Arial"/>
        </w:rPr>
        <w:t>e nouveau code des marchés publics en application à compter du 1</w:t>
      </w:r>
      <w:r w:rsidRPr="00E9783A">
        <w:rPr>
          <w:rFonts w:ascii="Arial" w:hAnsi="Arial" w:cs="Arial"/>
          <w:vertAlign w:val="superscript"/>
        </w:rPr>
        <w:t>er</w:t>
      </w:r>
      <w:r w:rsidRPr="00E9783A">
        <w:rPr>
          <w:rFonts w:ascii="Arial" w:hAnsi="Arial" w:cs="Arial"/>
        </w:rPr>
        <w:t xml:space="preserve"> janvier 2014 (article 165 contrôle et audit) prévoit que « Les contrôles et audits sont obligatoires pour les marchés dont les montants excèdent cinq millions (5.000.000,00) de dirhams, toutes taxes comprises, et pour les marchés négociés dont les montants excèdent un million (1.000.000,00) de dirhams, toutes taxes comprises. Cette disposition n’est pas encore mise en œuvre</w:t>
      </w:r>
      <w:r>
        <w:rPr>
          <w:rFonts w:ascii="Arial" w:hAnsi="Arial" w:cs="Arial"/>
        </w:rPr>
        <w:t xml:space="preserve"> par la </w:t>
      </w:r>
      <w:r w:rsidR="00DE5B35">
        <w:rPr>
          <w:rFonts w:ascii="Arial" w:hAnsi="Arial" w:cs="Arial"/>
        </w:rPr>
        <w:t>CC</w:t>
      </w:r>
      <w:r w:rsidRPr="00E9783A">
        <w:rPr>
          <w:rFonts w:ascii="Arial" w:hAnsi="Arial" w:cs="Arial"/>
        </w:rPr>
        <w:t xml:space="preserve">. </w:t>
      </w:r>
    </w:p>
    <w:p w:rsidR="007D6791" w:rsidRPr="00E9783A" w:rsidRDefault="007D6791" w:rsidP="007D6791">
      <w:pPr>
        <w:rPr>
          <w:rFonts w:ascii="Arial" w:hAnsi="Arial" w:cs="Arial"/>
        </w:rPr>
      </w:pPr>
    </w:p>
    <w:p w:rsidR="005D39B7" w:rsidRPr="005D39B7" w:rsidRDefault="005D39B7" w:rsidP="00B84D19">
      <w:pPr>
        <w:pStyle w:val="PJ"/>
        <w:rPr>
          <w:rFonts w:ascii="Arial" w:hAnsi="Arial" w:cs="Arial"/>
          <w:iCs/>
        </w:rPr>
      </w:pPr>
      <w:r>
        <w:rPr>
          <w:rStyle w:val="Emphasis"/>
          <w:rFonts w:ascii="Arial" w:hAnsi="Arial" w:cs="Arial"/>
          <w:i w:val="0"/>
        </w:rPr>
        <w:t>Sur un plan plus global, les r</w:t>
      </w:r>
      <w:r w:rsidRPr="005D39B7">
        <w:rPr>
          <w:rStyle w:val="Emphasis"/>
          <w:rFonts w:ascii="Arial" w:hAnsi="Arial" w:cs="Arial"/>
          <w:i w:val="0"/>
        </w:rPr>
        <w:t xml:space="preserve">éformes </w:t>
      </w:r>
      <w:r>
        <w:rPr>
          <w:rStyle w:val="Emphasis"/>
          <w:rFonts w:ascii="Arial" w:hAnsi="Arial" w:cs="Arial"/>
          <w:i w:val="0"/>
        </w:rPr>
        <w:t xml:space="preserve">des finances publiques </w:t>
      </w:r>
      <w:r w:rsidRPr="005D39B7">
        <w:rPr>
          <w:rStyle w:val="Emphasis"/>
          <w:rFonts w:ascii="Arial" w:hAnsi="Arial" w:cs="Arial"/>
          <w:i w:val="0"/>
        </w:rPr>
        <w:t>en cours</w:t>
      </w:r>
      <w:r>
        <w:rPr>
          <w:rStyle w:val="Emphasis"/>
          <w:rFonts w:ascii="Arial" w:hAnsi="Arial" w:cs="Arial"/>
          <w:i w:val="0"/>
        </w:rPr>
        <w:t xml:space="preserve"> au Maroc </w:t>
      </w:r>
      <w:r w:rsidRPr="005D39B7">
        <w:rPr>
          <w:rFonts w:ascii="Arial" w:hAnsi="Arial" w:cs="Arial"/>
        </w:rPr>
        <w:t>consiste</w:t>
      </w:r>
      <w:r>
        <w:rPr>
          <w:rFonts w:ascii="Arial" w:hAnsi="Arial" w:cs="Arial"/>
        </w:rPr>
        <w:t>nt notamment</w:t>
      </w:r>
      <w:r w:rsidRPr="005D39B7">
        <w:rPr>
          <w:rFonts w:ascii="Arial" w:hAnsi="Arial" w:cs="Arial"/>
        </w:rPr>
        <w:t xml:space="preserve"> à orienter progressivement l'action administrative vers l'optimisation et la rationalisation des procédures c'est-à-dire la recherche de la performance et des résultats assortie d'un dispositif d'évaluation sous forme d'audit. </w:t>
      </w:r>
    </w:p>
    <w:p w:rsidR="005D39B7" w:rsidRPr="00A17E25" w:rsidRDefault="005D39B7" w:rsidP="003A596A">
      <w:pPr>
        <w:jc w:val="both"/>
        <w:rPr>
          <w:rFonts w:ascii="Arial" w:hAnsi="Arial"/>
          <w:color w:val="0070C0"/>
        </w:rPr>
      </w:pPr>
    </w:p>
    <w:p w:rsidR="003A596A" w:rsidRPr="00A17E25" w:rsidRDefault="003A596A" w:rsidP="003A596A">
      <w:pPr>
        <w:jc w:val="both"/>
        <w:rPr>
          <w:rFonts w:ascii="Arial" w:hAnsi="Arial"/>
          <w:color w:val="0000FF"/>
        </w:rPr>
      </w:pPr>
    </w:p>
    <w:p w:rsidR="0034021B" w:rsidRDefault="0034021B">
      <w:r>
        <w:br w:type="page"/>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10"/>
        <w:gridCol w:w="4676"/>
      </w:tblGrid>
      <w:tr w:rsidR="003A596A" w:rsidRPr="00A17E25" w:rsidTr="003A596A">
        <w:tc>
          <w:tcPr>
            <w:tcW w:w="378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Indicateur</w:t>
            </w:r>
          </w:p>
        </w:tc>
        <w:tc>
          <w:tcPr>
            <w:tcW w:w="81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676"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3A596A">
        <w:tc>
          <w:tcPr>
            <w:tcW w:w="3780" w:type="dxa"/>
          </w:tcPr>
          <w:p w:rsidR="003A596A" w:rsidRPr="00A17E25" w:rsidRDefault="003A596A" w:rsidP="003A596A">
            <w:pPr>
              <w:rPr>
                <w:rFonts w:ascii="Arial" w:hAnsi="Arial"/>
                <w:b/>
                <w:bCs/>
                <w:sz w:val="20"/>
                <w:szCs w:val="20"/>
              </w:rPr>
            </w:pPr>
          </w:p>
          <w:p w:rsidR="003A596A" w:rsidRPr="00A17E25" w:rsidRDefault="003A596A" w:rsidP="003A596A">
            <w:pPr>
              <w:jc w:val="both"/>
              <w:rPr>
                <w:rFonts w:ascii="Arial" w:hAnsi="Arial" w:cs="Arial"/>
                <w:b/>
                <w:sz w:val="20"/>
                <w:szCs w:val="20"/>
              </w:rPr>
            </w:pPr>
            <w:r w:rsidRPr="00A17E25">
              <w:rPr>
                <w:rFonts w:ascii="Arial" w:hAnsi="Arial"/>
                <w:b/>
                <w:bCs/>
                <w:sz w:val="20"/>
                <w:szCs w:val="20"/>
              </w:rPr>
              <w:t xml:space="preserve">PI-25 </w:t>
            </w:r>
            <w:r w:rsidRPr="00A17E25">
              <w:rPr>
                <w:rFonts w:ascii="Arial" w:hAnsi="Arial" w:cs="Arial"/>
                <w:b/>
                <w:sz w:val="20"/>
                <w:szCs w:val="20"/>
              </w:rPr>
              <w:t>Efficacité de l’audit interne</w:t>
            </w:r>
          </w:p>
          <w:p w:rsidR="003A596A" w:rsidRPr="00A17E25" w:rsidRDefault="003A596A" w:rsidP="003A596A">
            <w:pPr>
              <w:jc w:val="both"/>
              <w:rPr>
                <w:rFonts w:ascii="Arial" w:hAnsi="Arial"/>
                <w:sz w:val="20"/>
                <w:szCs w:val="20"/>
              </w:rPr>
            </w:pPr>
          </w:p>
        </w:tc>
        <w:tc>
          <w:tcPr>
            <w:tcW w:w="810" w:type="dxa"/>
          </w:tcPr>
          <w:p w:rsidR="003A596A" w:rsidRPr="00A17E25" w:rsidRDefault="003A596A" w:rsidP="003A596A">
            <w:pPr>
              <w:jc w:val="cente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D</w:t>
            </w:r>
          </w:p>
          <w:p w:rsidR="003A596A" w:rsidRPr="00A17E25" w:rsidRDefault="003A596A" w:rsidP="003A596A">
            <w:pPr>
              <w:jc w:val="center"/>
              <w:rPr>
                <w:rFonts w:ascii="Arial" w:hAnsi="Arial"/>
                <w:b/>
                <w:bCs/>
                <w:sz w:val="20"/>
                <w:szCs w:val="20"/>
              </w:rPr>
            </w:pPr>
          </w:p>
        </w:tc>
        <w:tc>
          <w:tcPr>
            <w:tcW w:w="4676" w:type="dxa"/>
          </w:tcPr>
          <w:p w:rsidR="003A596A" w:rsidRPr="00A17E25" w:rsidRDefault="003A596A" w:rsidP="003A596A">
            <w:pPr>
              <w:jc w:val="both"/>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c>
          <w:tcPr>
            <w:tcW w:w="3780" w:type="dxa"/>
          </w:tcPr>
          <w:p w:rsidR="003A596A" w:rsidRPr="00A17E25" w:rsidRDefault="003A596A" w:rsidP="003A596A">
            <w:pPr>
              <w:pStyle w:val="Comp"/>
              <w:numPr>
                <w:ilvl w:val="0"/>
                <w:numId w:val="0"/>
              </w:numPr>
              <w:spacing w:after="0" w:line="256" w:lineRule="auto"/>
              <w:rPr>
                <w:rFonts w:ascii="Arial" w:eastAsiaTheme="minorEastAsia" w:hAnsi="Arial" w:cs="Arial"/>
                <w:b w:val="0"/>
                <w:i w:val="0"/>
                <w:sz w:val="20"/>
                <w:szCs w:val="20"/>
              </w:rPr>
            </w:pPr>
            <w:bookmarkStart w:id="277" w:name="_Toc434916156"/>
            <w:bookmarkStart w:id="278" w:name="_Toc434918370"/>
            <w:r w:rsidRPr="00A17E25">
              <w:rPr>
                <w:rFonts w:ascii="Arial" w:hAnsi="Arial" w:cs="Arial"/>
                <w:b w:val="0"/>
                <w:i w:val="0"/>
                <w:sz w:val="20"/>
                <w:szCs w:val="20"/>
              </w:rPr>
              <w:t>i) Couverture de la fonction d’audit interne</w:t>
            </w:r>
            <w:bookmarkEnd w:id="277"/>
            <w:bookmarkEnd w:id="278"/>
          </w:p>
        </w:tc>
        <w:tc>
          <w:tcPr>
            <w:tcW w:w="81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La fonction d’audit n’est pas opérationnelle  à la </w:t>
            </w:r>
            <w:r w:rsidR="00DE5B35">
              <w:rPr>
                <w:rFonts w:ascii="Arial" w:hAnsi="Arial" w:cs="Arial"/>
                <w:sz w:val="20"/>
                <w:szCs w:val="20"/>
              </w:rPr>
              <w:t>CC</w:t>
            </w:r>
            <w:r w:rsidRPr="00A17E25">
              <w:rPr>
                <w:rFonts w:ascii="Arial" w:hAnsi="Arial" w:cs="Arial"/>
                <w:sz w:val="20"/>
                <w:szCs w:val="20"/>
              </w:rPr>
              <w:t>.</w:t>
            </w:r>
          </w:p>
        </w:tc>
      </w:tr>
      <w:tr w:rsidR="003A596A" w:rsidRPr="00A17E25" w:rsidTr="003A596A">
        <w:tc>
          <w:tcPr>
            <w:tcW w:w="3780" w:type="dxa"/>
          </w:tcPr>
          <w:p w:rsidR="003A596A" w:rsidRPr="00A17E25" w:rsidRDefault="003A596A" w:rsidP="003A596A">
            <w:pPr>
              <w:spacing w:line="256" w:lineRule="auto"/>
              <w:rPr>
                <w:rFonts w:ascii="Arial" w:hAnsi="Arial" w:cs="Arial"/>
                <w:sz w:val="20"/>
                <w:szCs w:val="20"/>
              </w:rPr>
            </w:pPr>
            <w:r w:rsidRPr="00A17E25">
              <w:rPr>
                <w:rFonts w:ascii="Arial" w:hAnsi="Arial" w:cs="Arial"/>
                <w:sz w:val="20"/>
                <w:szCs w:val="20"/>
              </w:rPr>
              <w:t>ii) Réalisation des audits et diffusion des rapports</w:t>
            </w:r>
          </w:p>
        </w:tc>
        <w:tc>
          <w:tcPr>
            <w:tcW w:w="81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Les rapports d’audit ne sont pas élaborés car la fonction d’audit n’est pas opérationnelle</w:t>
            </w:r>
          </w:p>
          <w:p w:rsidR="003A596A" w:rsidRPr="00A17E25" w:rsidRDefault="003A596A" w:rsidP="003A596A">
            <w:pPr>
              <w:jc w:val="both"/>
              <w:rPr>
                <w:rFonts w:ascii="Arial" w:hAnsi="Arial" w:cs="Arial"/>
                <w:sz w:val="20"/>
                <w:szCs w:val="20"/>
              </w:rPr>
            </w:pPr>
          </w:p>
        </w:tc>
      </w:tr>
      <w:tr w:rsidR="003A596A" w:rsidRPr="00A17E25" w:rsidTr="003A596A">
        <w:tc>
          <w:tcPr>
            <w:tcW w:w="3780" w:type="dxa"/>
          </w:tcPr>
          <w:p w:rsidR="003A596A" w:rsidRPr="00A17E25" w:rsidRDefault="003A596A" w:rsidP="003A596A">
            <w:pPr>
              <w:spacing w:line="256" w:lineRule="auto"/>
              <w:rPr>
                <w:rFonts w:ascii="Arial" w:hAnsi="Arial" w:cs="Arial"/>
                <w:sz w:val="20"/>
                <w:szCs w:val="20"/>
              </w:rPr>
            </w:pPr>
            <w:r w:rsidRPr="00A17E25">
              <w:rPr>
                <w:rFonts w:ascii="Arial" w:hAnsi="Arial" w:cs="Arial"/>
                <w:sz w:val="20"/>
                <w:szCs w:val="20"/>
              </w:rPr>
              <w:t>(iii) Mesure dans laquelle la direction répond aux conclusions des audits internes.</w:t>
            </w:r>
          </w:p>
        </w:tc>
        <w:tc>
          <w:tcPr>
            <w:tcW w:w="81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Aucune suite ne peut être donnée aux conclusions car elles ne sont pas formulées faute de rapport et faute d’audit interne  opérationnel</w:t>
            </w:r>
          </w:p>
        </w:tc>
      </w:tr>
      <w:tr w:rsidR="003A596A" w:rsidRPr="00A17E25" w:rsidTr="003A596A">
        <w:tc>
          <w:tcPr>
            <w:tcW w:w="3780" w:type="dxa"/>
          </w:tcPr>
          <w:p w:rsidR="003A596A" w:rsidRPr="00A17E25" w:rsidRDefault="003A596A" w:rsidP="003A596A">
            <w:pPr>
              <w:spacing w:line="256" w:lineRule="auto"/>
              <w:rPr>
                <w:rFonts w:ascii="Arial" w:hAnsi="Arial" w:cs="Arial"/>
                <w:sz w:val="20"/>
                <w:szCs w:val="20"/>
              </w:rPr>
            </w:pPr>
            <w:r w:rsidRPr="00A17E25">
              <w:rPr>
                <w:rFonts w:ascii="Arial" w:hAnsi="Arial" w:cs="Arial"/>
                <w:sz w:val="20"/>
                <w:szCs w:val="20"/>
              </w:rPr>
              <w:t>iv) Nature des audits réalisés et respect des normes professionnelles</w:t>
            </w:r>
          </w:p>
        </w:tc>
        <w:tc>
          <w:tcPr>
            <w:tcW w:w="81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La fonction d’audit n’est pas opérationnelle  à la </w:t>
            </w:r>
            <w:r w:rsidR="00DE5B35">
              <w:rPr>
                <w:rFonts w:ascii="Arial" w:hAnsi="Arial" w:cs="Arial"/>
                <w:sz w:val="20"/>
                <w:szCs w:val="20"/>
              </w:rPr>
              <w:t>CC</w:t>
            </w:r>
            <w:r w:rsidRPr="00A17E25">
              <w:rPr>
                <w:rFonts w:ascii="Arial" w:hAnsi="Arial" w:cs="Arial"/>
                <w:sz w:val="20"/>
                <w:szCs w:val="20"/>
              </w:rPr>
              <w:t>.</w:t>
            </w:r>
          </w:p>
        </w:tc>
      </w:tr>
    </w:tbl>
    <w:p w:rsidR="002A24D6" w:rsidRDefault="002A24D6" w:rsidP="003A596A">
      <w:pPr>
        <w:pStyle w:val="Heading1"/>
        <w:rPr>
          <w:rFonts w:cs="Arial"/>
          <w:sz w:val="24"/>
          <w:szCs w:val="24"/>
        </w:rPr>
      </w:pPr>
      <w:bookmarkStart w:id="279" w:name="_Toc432501868"/>
      <w:bookmarkStart w:id="280" w:name="_Toc434916157"/>
      <w:bookmarkStart w:id="281" w:name="_Toc434918371"/>
      <w:bookmarkStart w:id="282" w:name="_Toc215818918"/>
      <w:bookmarkStart w:id="283" w:name="_Toc216878505"/>
      <w:bookmarkStart w:id="284" w:name="_Toc260257319"/>
      <w:bookmarkStart w:id="285" w:name="_Toc412839446"/>
      <w:bookmarkEnd w:id="265"/>
      <w:bookmarkEnd w:id="266"/>
      <w:bookmarkEnd w:id="267"/>
      <w:bookmarkEnd w:id="268"/>
      <w:bookmarkEnd w:id="269"/>
      <w:bookmarkEnd w:id="270"/>
      <w:bookmarkEnd w:id="271"/>
      <w:bookmarkEnd w:id="272"/>
      <w:bookmarkEnd w:id="273"/>
      <w:bookmarkEnd w:id="274"/>
      <w:bookmarkEnd w:id="275"/>
      <w:bookmarkEnd w:id="276"/>
    </w:p>
    <w:p w:rsidR="003A596A" w:rsidRDefault="003A596A" w:rsidP="003A596A">
      <w:pPr>
        <w:pStyle w:val="Heading1"/>
        <w:rPr>
          <w:rFonts w:cs="Arial"/>
          <w:sz w:val="24"/>
          <w:szCs w:val="24"/>
        </w:rPr>
      </w:pPr>
      <w:r w:rsidRPr="00A17E25">
        <w:rPr>
          <w:rFonts w:cs="Arial"/>
          <w:sz w:val="24"/>
          <w:szCs w:val="24"/>
        </w:rPr>
        <w:t>PI-26: Rapprochement des comptes et intégrité des données financières</w:t>
      </w:r>
      <w:bookmarkEnd w:id="279"/>
      <w:bookmarkEnd w:id="280"/>
      <w:bookmarkEnd w:id="281"/>
    </w:p>
    <w:p w:rsidR="00AA62A9" w:rsidRDefault="00AA62A9" w:rsidP="00AA62A9">
      <w:pPr>
        <w:jc w:val="both"/>
      </w:pPr>
    </w:p>
    <w:p w:rsidR="00AA62A9" w:rsidRPr="00AA62A9" w:rsidRDefault="00AA62A9" w:rsidP="00AA62A9">
      <w:pPr>
        <w:jc w:val="both"/>
        <w:rPr>
          <w:rFonts w:ascii="Arial" w:hAnsi="Arial" w:cs="Arial"/>
        </w:rPr>
      </w:pPr>
      <w:r>
        <w:rPr>
          <w:rFonts w:ascii="Arial" w:hAnsi="Arial" w:cs="Arial"/>
        </w:rPr>
        <w:t>Pour la notation des trois premières composantes (i, ii et iii) de cet indicateur, les informations et données utilisées sont celles qui sont disponibles au moment de l’évaluation et couvrant les 12 derniers mois. En ce qui concerne la composante (iv), sa notation est basée sur les informations disponibles au moment de l’évaluation.</w:t>
      </w:r>
    </w:p>
    <w:p w:rsidR="003A596A" w:rsidRPr="003A29CD" w:rsidRDefault="003A596A" w:rsidP="003A596A">
      <w:pPr>
        <w:pStyle w:val="Comp"/>
        <w:numPr>
          <w:ilvl w:val="0"/>
          <w:numId w:val="99"/>
        </w:numPr>
        <w:rPr>
          <w:rFonts w:ascii="Arial" w:hAnsi="Arial" w:cs="Arial"/>
          <w:b w:val="0"/>
          <w:color w:val="0070C0"/>
          <w:sz w:val="24"/>
          <w:szCs w:val="24"/>
        </w:rPr>
      </w:pPr>
      <w:bookmarkStart w:id="286" w:name="_Toc432501869"/>
      <w:bookmarkStart w:id="287" w:name="_Toc434916158"/>
      <w:bookmarkStart w:id="288" w:name="_Toc434918372"/>
      <w:r w:rsidRPr="003A29CD">
        <w:rPr>
          <w:rFonts w:ascii="Arial" w:hAnsi="Arial" w:cs="Arial"/>
          <w:b w:val="0"/>
          <w:color w:val="0070C0"/>
          <w:sz w:val="24"/>
          <w:szCs w:val="24"/>
        </w:rPr>
        <w:t>Régularité des opérations de rapprochement des comptes bancaires.</w:t>
      </w:r>
      <w:bookmarkEnd w:id="286"/>
      <w:bookmarkEnd w:id="287"/>
      <w:bookmarkEnd w:id="288"/>
    </w:p>
    <w:p w:rsidR="003A596A" w:rsidRPr="00A17E25" w:rsidRDefault="003A596A" w:rsidP="003A596A">
      <w:pPr>
        <w:jc w:val="both"/>
        <w:rPr>
          <w:rFonts w:ascii="Arial" w:hAnsi="Arial" w:cs="Arial"/>
        </w:rPr>
      </w:pPr>
      <w:r w:rsidRPr="00A17E25">
        <w:rPr>
          <w:rFonts w:ascii="Arial" w:hAnsi="Arial" w:cs="Arial"/>
        </w:rPr>
        <w:t xml:space="preserve">Tous les soldes </w:t>
      </w:r>
      <w:r w:rsidR="00896A43">
        <w:rPr>
          <w:rFonts w:ascii="Arial" w:hAnsi="Arial" w:cs="Arial"/>
        </w:rPr>
        <w:t xml:space="preserve">de trésorerie </w:t>
      </w:r>
      <w:r w:rsidRPr="00A17E25">
        <w:rPr>
          <w:rFonts w:ascii="Arial" w:hAnsi="Arial" w:cs="Arial"/>
        </w:rPr>
        <w:t xml:space="preserve">de la </w:t>
      </w:r>
      <w:r w:rsidR="00DE5B35">
        <w:rPr>
          <w:rFonts w:ascii="Arial" w:hAnsi="Arial" w:cs="Arial"/>
        </w:rPr>
        <w:t>CC</w:t>
      </w:r>
      <w:r w:rsidRPr="00A17E25">
        <w:rPr>
          <w:rFonts w:ascii="Arial" w:hAnsi="Arial" w:cs="Arial"/>
        </w:rPr>
        <w:t xml:space="preserve"> sont détenus dans le Trésor </w:t>
      </w:r>
      <w:r w:rsidR="001D2EB4">
        <w:rPr>
          <w:rFonts w:ascii="Arial" w:hAnsi="Arial" w:cs="Arial"/>
        </w:rPr>
        <w:t xml:space="preserve">et intégrés </w:t>
      </w:r>
      <w:r w:rsidRPr="00A17E25">
        <w:rPr>
          <w:rFonts w:ascii="Arial" w:hAnsi="Arial" w:cs="Arial"/>
        </w:rPr>
        <w:t xml:space="preserve">dans un compte </w:t>
      </w:r>
      <w:r w:rsidR="001D2EB4">
        <w:rPr>
          <w:rFonts w:ascii="Arial" w:hAnsi="Arial" w:cs="Arial"/>
        </w:rPr>
        <w:t xml:space="preserve">unique </w:t>
      </w:r>
      <w:r w:rsidRPr="00A17E25">
        <w:rPr>
          <w:rFonts w:ascii="Arial" w:hAnsi="Arial" w:cs="Arial"/>
        </w:rPr>
        <w:t xml:space="preserve">tenu à la Banque Centrale « Bank Al-Maghrib ». </w:t>
      </w:r>
    </w:p>
    <w:p w:rsidR="003A596A" w:rsidRPr="00A17E25" w:rsidRDefault="003A596A" w:rsidP="003A596A">
      <w:pPr>
        <w:jc w:val="both"/>
        <w:rPr>
          <w:rFonts w:ascii="Arial" w:hAnsi="Arial" w:cs="Arial"/>
        </w:rPr>
      </w:pPr>
    </w:p>
    <w:p w:rsidR="003A596A" w:rsidRPr="00A17E25" w:rsidRDefault="003A596A" w:rsidP="003A596A">
      <w:pPr>
        <w:pStyle w:val="PJ"/>
        <w:rPr>
          <w:rFonts w:ascii="Arial" w:hAnsi="Arial" w:cs="Arial"/>
        </w:rPr>
      </w:pPr>
      <w:r w:rsidRPr="00A17E25">
        <w:rPr>
          <w:rFonts w:ascii="Arial" w:hAnsi="Arial" w:cs="Arial"/>
        </w:rPr>
        <w:t xml:space="preserve">Chaque Trésorier Préfectoral reçoit de la Banque Centrale du Maroc un état mensuel des opérations retracées au débit et au crédit du compte courant du Trésor. Sur la base de cette information, le Trésorier Préfectoral fait le rapprochement des opérations de dépenses initiées par ses services pour son propre compte ou pour le compte des comptables sous son contrôle. </w:t>
      </w:r>
    </w:p>
    <w:p w:rsidR="003A596A" w:rsidRPr="00A17E25" w:rsidRDefault="003A596A" w:rsidP="003A596A">
      <w:pPr>
        <w:pStyle w:val="PJ"/>
        <w:rPr>
          <w:rFonts w:ascii="Arial" w:hAnsi="Arial" w:cs="Arial"/>
        </w:rPr>
      </w:pPr>
      <w:r w:rsidRPr="00A17E25">
        <w:rPr>
          <w:rFonts w:ascii="Arial" w:hAnsi="Arial" w:cs="Arial"/>
        </w:rPr>
        <w:t>L’information de la Banque Centrale est comparée avec l’information comptable du Trésorier Préfectoral dans les moindres détails. Ce dernier procède également aux rapprochements de toutes les opérations de recettes (versées par des tiers et opérations de recettes initiées par les comptables subordonnés). La comparaison détaillée est faite entre les pièces justificatives correspondantes aux recettes et l’information de l’état mensuel.</w:t>
      </w:r>
      <w:r w:rsidRPr="00A17E25">
        <w:rPr>
          <w:rFonts w:ascii="Arial" w:hAnsi="Arial" w:cs="Arial"/>
        </w:rPr>
        <w:tab/>
      </w:r>
    </w:p>
    <w:p w:rsidR="003A596A" w:rsidRPr="00A17E25" w:rsidRDefault="003A596A" w:rsidP="003A596A">
      <w:pPr>
        <w:pStyle w:val="PJ"/>
        <w:rPr>
          <w:rFonts w:ascii="Arial" w:hAnsi="Arial" w:cs="Arial"/>
        </w:rPr>
      </w:pPr>
      <w:r w:rsidRPr="00A17E25">
        <w:rPr>
          <w:rFonts w:ascii="Arial" w:hAnsi="Arial" w:cs="Arial"/>
        </w:rPr>
        <w:t xml:space="preserve">Le rapprochement de tous les comptes bancaires de la </w:t>
      </w:r>
      <w:r w:rsidR="00DE5B35">
        <w:rPr>
          <w:rFonts w:ascii="Arial" w:hAnsi="Arial" w:cs="Arial"/>
        </w:rPr>
        <w:t>CC</w:t>
      </w:r>
      <w:r w:rsidRPr="00A17E25">
        <w:rPr>
          <w:rFonts w:ascii="Arial" w:hAnsi="Arial" w:cs="Arial"/>
        </w:rPr>
        <w:t xml:space="preserve"> est donc réalisé une fois par mois dans un délai d’un mois à compter de la fin du mois. </w:t>
      </w:r>
    </w:p>
    <w:p w:rsidR="003A596A" w:rsidRPr="003A29CD" w:rsidRDefault="003A596A" w:rsidP="003A596A">
      <w:pPr>
        <w:pStyle w:val="Comp"/>
        <w:numPr>
          <w:ilvl w:val="0"/>
          <w:numId w:val="99"/>
        </w:numPr>
        <w:rPr>
          <w:rFonts w:ascii="Arial" w:hAnsi="Arial" w:cs="Arial"/>
          <w:b w:val="0"/>
          <w:color w:val="0070C0"/>
          <w:sz w:val="24"/>
          <w:szCs w:val="24"/>
        </w:rPr>
      </w:pPr>
      <w:bookmarkStart w:id="289" w:name="_Toc432501870"/>
      <w:bookmarkStart w:id="290" w:name="_Toc434916159"/>
      <w:bookmarkStart w:id="291" w:name="_Toc434918373"/>
      <w:r w:rsidRPr="003A29CD">
        <w:rPr>
          <w:rFonts w:ascii="Arial" w:hAnsi="Arial" w:cs="Arial"/>
          <w:b w:val="0"/>
          <w:color w:val="0070C0"/>
          <w:sz w:val="24"/>
          <w:szCs w:val="24"/>
        </w:rPr>
        <w:t>Régularité des opérations de rapprochement et d’apurement des comptes d’attente.</w:t>
      </w:r>
      <w:bookmarkEnd w:id="289"/>
      <w:bookmarkEnd w:id="290"/>
      <w:bookmarkEnd w:id="291"/>
    </w:p>
    <w:p w:rsidR="003A596A" w:rsidRPr="00A17E25" w:rsidRDefault="003A596A" w:rsidP="003A596A">
      <w:pPr>
        <w:jc w:val="both"/>
        <w:rPr>
          <w:rFonts w:ascii="Arial" w:hAnsi="Arial" w:cs="Arial"/>
          <w:iCs/>
        </w:rPr>
      </w:pPr>
      <w:r w:rsidRPr="00A17E25">
        <w:rPr>
          <w:rFonts w:ascii="Arial" w:hAnsi="Arial" w:cs="Arial"/>
          <w:iCs/>
        </w:rPr>
        <w:t xml:space="preserve">L’imputation provisoire d’une dépense ou d’une recette faute d’indications suffisantes ou lorsque l’opération enregistrée est en attente de transfert est pratiquée à la </w:t>
      </w:r>
      <w:r w:rsidR="00DE5B35">
        <w:rPr>
          <w:rFonts w:ascii="Arial" w:hAnsi="Arial" w:cs="Arial"/>
          <w:iCs/>
        </w:rPr>
        <w:t>CC</w:t>
      </w:r>
      <w:r w:rsidRPr="00A17E25">
        <w:rPr>
          <w:rFonts w:ascii="Arial" w:hAnsi="Arial" w:cs="Arial"/>
          <w:iCs/>
        </w:rPr>
        <w:t xml:space="preserve">. </w:t>
      </w:r>
    </w:p>
    <w:p w:rsidR="003A596A" w:rsidRPr="00A17E25" w:rsidRDefault="003A596A" w:rsidP="003A596A">
      <w:pPr>
        <w:jc w:val="both"/>
        <w:rPr>
          <w:rFonts w:ascii="Arial" w:eastAsiaTheme="minorHAnsi" w:hAnsi="Arial" w:cs="Arial"/>
        </w:rPr>
      </w:pPr>
    </w:p>
    <w:p w:rsidR="003A596A" w:rsidRPr="00A17E25" w:rsidRDefault="003A596A" w:rsidP="003A596A">
      <w:pPr>
        <w:pStyle w:val="PJ"/>
        <w:rPr>
          <w:rFonts w:ascii="Arial" w:hAnsi="Arial" w:cs="Arial"/>
        </w:rPr>
      </w:pPr>
      <w:r w:rsidRPr="00A17E25">
        <w:rPr>
          <w:rFonts w:ascii="Arial" w:hAnsi="Arial" w:cs="Arial"/>
        </w:rPr>
        <w:t>Tous les comptes d'imputation provisoire doivent légalement être apurés au bout de 3 mois. Les opérations d'imputations sont réalisées au travers des systèmes informatiques GID et GIR. Un délai de prescription s’applique si l’imputation provisoire ne peut être retracée.</w:t>
      </w:r>
    </w:p>
    <w:p w:rsidR="003A596A" w:rsidRDefault="003A596A" w:rsidP="003A596A">
      <w:pPr>
        <w:jc w:val="both"/>
        <w:rPr>
          <w:rFonts w:ascii="Arial" w:hAnsi="Arial" w:cs="Arial"/>
        </w:rPr>
      </w:pPr>
      <w:r w:rsidRPr="00A17E25">
        <w:rPr>
          <w:rFonts w:ascii="Arial" w:hAnsi="Arial" w:cs="Arial"/>
        </w:rPr>
        <w:t xml:space="preserve">Suffisamment de données sont collectées sur toutes les transactions de recettes et de paiements pour éviter toute utilisation importante des comptes d'attente. Cependant la revue des comptes d’imputation provisoire de la </w:t>
      </w:r>
      <w:r w:rsidR="00DE5B35">
        <w:rPr>
          <w:rFonts w:ascii="Arial" w:hAnsi="Arial" w:cs="Arial"/>
        </w:rPr>
        <w:t>CC</w:t>
      </w:r>
      <w:r w:rsidRPr="00A17E25">
        <w:rPr>
          <w:rFonts w:ascii="Arial" w:hAnsi="Arial" w:cs="Arial"/>
        </w:rPr>
        <w:t xml:space="preserve"> fait ressortir les données suivantes :</w:t>
      </w:r>
    </w:p>
    <w:p w:rsidR="00F02CFF" w:rsidRDefault="00F02CFF" w:rsidP="003A596A">
      <w:pPr>
        <w:jc w:val="both"/>
        <w:rPr>
          <w:rFonts w:ascii="Arial" w:hAnsi="Arial" w:cs="Arial"/>
        </w:rPr>
      </w:pPr>
    </w:p>
    <w:p w:rsidR="00BB7E15" w:rsidRPr="00A17E25" w:rsidRDefault="00BB7E15" w:rsidP="003A596A">
      <w:pPr>
        <w:jc w:val="both"/>
        <w:rPr>
          <w:rFonts w:ascii="Arial" w:hAnsi="Arial" w:cs="Arial"/>
        </w:rPr>
      </w:pPr>
    </w:p>
    <w:p w:rsidR="003A596A" w:rsidRPr="00BB7E15" w:rsidRDefault="002A6208" w:rsidP="002A6208">
      <w:pPr>
        <w:jc w:val="center"/>
        <w:rPr>
          <w:rFonts w:ascii="Arial Narrow" w:hAnsi="Arial Narrow" w:cs="Arial"/>
          <w:b/>
          <w:sz w:val="20"/>
          <w:szCs w:val="20"/>
        </w:rPr>
      </w:pPr>
      <w:r w:rsidRPr="00BB7E15">
        <w:rPr>
          <w:rFonts w:ascii="Arial Narrow" w:hAnsi="Arial Narrow" w:cs="Arial"/>
          <w:b/>
          <w:sz w:val="20"/>
          <w:szCs w:val="20"/>
          <w:u w:val="single"/>
        </w:rPr>
        <w:t>TABLEAU </w:t>
      </w:r>
      <w:r w:rsidR="00BB7E15" w:rsidRPr="00BB7E15">
        <w:rPr>
          <w:rFonts w:ascii="Arial Narrow" w:hAnsi="Arial Narrow" w:cs="Arial"/>
          <w:b/>
          <w:sz w:val="20"/>
          <w:szCs w:val="20"/>
        </w:rPr>
        <w:t>3.29</w:t>
      </w:r>
      <w:r w:rsidRPr="00BB7E15">
        <w:rPr>
          <w:rFonts w:ascii="Arial Narrow" w:hAnsi="Arial Narrow" w:cs="Arial"/>
          <w:b/>
          <w:sz w:val="20"/>
          <w:szCs w:val="20"/>
        </w:rPr>
        <w:t>: Situation des comptes d’imputation provisoire à fin 2014</w:t>
      </w:r>
    </w:p>
    <w:p w:rsidR="003A596A" w:rsidRPr="00BB7E15" w:rsidRDefault="002A6208" w:rsidP="002A6208">
      <w:pPr>
        <w:jc w:val="center"/>
        <w:rPr>
          <w:rFonts w:ascii="Arial Narrow" w:hAnsi="Arial Narrow" w:cs="Arial"/>
          <w:sz w:val="20"/>
          <w:szCs w:val="20"/>
        </w:rPr>
      </w:pPr>
      <w:r w:rsidRPr="00BB7E15">
        <w:rPr>
          <w:rFonts w:ascii="Arial Narrow" w:hAnsi="Arial Narrow" w:cs="Arial"/>
          <w:sz w:val="20"/>
          <w:szCs w:val="20"/>
        </w:rPr>
        <w:t>(En Milliers de dirhams)</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3A596A" w:rsidRPr="00581667" w:rsidTr="003A29CD">
        <w:tc>
          <w:tcPr>
            <w:tcW w:w="1535" w:type="dxa"/>
            <w:shd w:val="clear" w:color="auto" w:fill="0070C0"/>
          </w:tcPr>
          <w:p w:rsidR="003A596A" w:rsidRPr="00581667" w:rsidRDefault="003A596A" w:rsidP="003A596A">
            <w:pPr>
              <w:jc w:val="center"/>
              <w:rPr>
                <w:rFonts w:ascii="Arial" w:hAnsi="Arial" w:cs="Arial"/>
                <w:b/>
                <w:color w:val="FFFFFF" w:themeColor="background1"/>
                <w:sz w:val="20"/>
              </w:rPr>
            </w:pPr>
            <w:r w:rsidRPr="00581667">
              <w:rPr>
                <w:rFonts w:ascii="Arial" w:hAnsi="Arial" w:cs="Arial"/>
                <w:b/>
                <w:color w:val="FFFFFF" w:themeColor="background1"/>
                <w:sz w:val="20"/>
              </w:rPr>
              <w:t>Compte</w:t>
            </w:r>
          </w:p>
        </w:tc>
        <w:tc>
          <w:tcPr>
            <w:tcW w:w="1535" w:type="dxa"/>
            <w:shd w:val="clear" w:color="auto" w:fill="0070C0"/>
          </w:tcPr>
          <w:p w:rsidR="003A596A" w:rsidRPr="00581667" w:rsidRDefault="003A596A" w:rsidP="003A596A">
            <w:pPr>
              <w:jc w:val="center"/>
              <w:rPr>
                <w:rFonts w:ascii="Arial" w:hAnsi="Arial" w:cs="Arial"/>
                <w:b/>
                <w:color w:val="FFFFFF" w:themeColor="background1"/>
                <w:sz w:val="20"/>
              </w:rPr>
            </w:pPr>
            <w:r w:rsidRPr="00581667">
              <w:rPr>
                <w:rFonts w:ascii="Arial" w:hAnsi="Arial" w:cs="Arial"/>
                <w:b/>
                <w:color w:val="FFFFFF" w:themeColor="background1"/>
                <w:sz w:val="20"/>
              </w:rPr>
              <w:t>Solde fin 2013</w:t>
            </w:r>
          </w:p>
        </w:tc>
        <w:tc>
          <w:tcPr>
            <w:tcW w:w="1535" w:type="dxa"/>
            <w:shd w:val="clear" w:color="auto" w:fill="0070C0"/>
          </w:tcPr>
          <w:p w:rsidR="003A596A" w:rsidRPr="00581667" w:rsidRDefault="003A596A" w:rsidP="003A596A">
            <w:pPr>
              <w:jc w:val="center"/>
              <w:rPr>
                <w:rFonts w:ascii="Arial" w:hAnsi="Arial" w:cs="Arial"/>
                <w:b/>
                <w:color w:val="FFFFFF" w:themeColor="background1"/>
                <w:sz w:val="20"/>
              </w:rPr>
            </w:pPr>
            <w:r w:rsidRPr="00581667">
              <w:rPr>
                <w:rFonts w:ascii="Arial" w:hAnsi="Arial" w:cs="Arial"/>
                <w:b/>
                <w:color w:val="FFFFFF" w:themeColor="background1"/>
                <w:sz w:val="20"/>
              </w:rPr>
              <w:t>Entrées</w:t>
            </w:r>
          </w:p>
          <w:p w:rsidR="002A6208" w:rsidRPr="00581667" w:rsidRDefault="002A6208" w:rsidP="003A596A">
            <w:pPr>
              <w:jc w:val="center"/>
              <w:rPr>
                <w:rFonts w:ascii="Arial" w:hAnsi="Arial" w:cs="Arial"/>
                <w:b/>
                <w:color w:val="FFFFFF" w:themeColor="background1"/>
                <w:sz w:val="20"/>
              </w:rPr>
            </w:pPr>
            <w:r w:rsidRPr="00581667">
              <w:rPr>
                <w:rFonts w:ascii="Arial" w:hAnsi="Arial" w:cs="Arial"/>
                <w:b/>
                <w:color w:val="FFFFFF" w:themeColor="background1"/>
                <w:sz w:val="20"/>
              </w:rPr>
              <w:t>2014</w:t>
            </w:r>
          </w:p>
        </w:tc>
        <w:tc>
          <w:tcPr>
            <w:tcW w:w="1535" w:type="dxa"/>
            <w:shd w:val="clear" w:color="auto" w:fill="0070C0"/>
          </w:tcPr>
          <w:p w:rsidR="003A596A" w:rsidRPr="00581667" w:rsidRDefault="003A596A" w:rsidP="003A596A">
            <w:pPr>
              <w:jc w:val="center"/>
              <w:rPr>
                <w:rFonts w:ascii="Arial" w:hAnsi="Arial" w:cs="Arial"/>
                <w:b/>
                <w:color w:val="FFFFFF" w:themeColor="background1"/>
                <w:sz w:val="20"/>
              </w:rPr>
            </w:pPr>
            <w:r w:rsidRPr="00581667">
              <w:rPr>
                <w:rFonts w:ascii="Arial" w:hAnsi="Arial" w:cs="Arial"/>
                <w:b/>
                <w:color w:val="FFFFFF" w:themeColor="background1"/>
                <w:sz w:val="20"/>
              </w:rPr>
              <w:t>Sorties</w:t>
            </w:r>
          </w:p>
          <w:p w:rsidR="002A6208" w:rsidRPr="00581667" w:rsidRDefault="002A6208" w:rsidP="003A596A">
            <w:pPr>
              <w:jc w:val="center"/>
              <w:rPr>
                <w:rFonts w:ascii="Arial" w:hAnsi="Arial" w:cs="Arial"/>
                <w:b/>
                <w:color w:val="FFFFFF" w:themeColor="background1"/>
                <w:sz w:val="20"/>
              </w:rPr>
            </w:pPr>
            <w:r w:rsidRPr="00581667">
              <w:rPr>
                <w:rFonts w:ascii="Arial" w:hAnsi="Arial" w:cs="Arial"/>
                <w:b/>
                <w:color w:val="FFFFFF" w:themeColor="background1"/>
                <w:sz w:val="20"/>
              </w:rPr>
              <w:t>2014</w:t>
            </w:r>
          </w:p>
        </w:tc>
        <w:tc>
          <w:tcPr>
            <w:tcW w:w="1536" w:type="dxa"/>
            <w:shd w:val="clear" w:color="auto" w:fill="0070C0"/>
          </w:tcPr>
          <w:p w:rsidR="003A596A" w:rsidRPr="00581667" w:rsidRDefault="003A596A" w:rsidP="002A6208">
            <w:pPr>
              <w:jc w:val="center"/>
              <w:rPr>
                <w:rFonts w:ascii="Arial" w:hAnsi="Arial" w:cs="Arial"/>
                <w:b/>
                <w:color w:val="FFFFFF" w:themeColor="background1"/>
                <w:sz w:val="20"/>
              </w:rPr>
            </w:pPr>
            <w:r w:rsidRPr="00581667">
              <w:rPr>
                <w:rFonts w:ascii="Arial" w:hAnsi="Arial" w:cs="Arial"/>
                <w:b/>
                <w:color w:val="FFFFFF" w:themeColor="background1"/>
                <w:sz w:val="20"/>
              </w:rPr>
              <w:t xml:space="preserve">Solde débiteur </w:t>
            </w:r>
          </w:p>
        </w:tc>
        <w:tc>
          <w:tcPr>
            <w:tcW w:w="1536" w:type="dxa"/>
            <w:shd w:val="clear" w:color="auto" w:fill="0070C0"/>
          </w:tcPr>
          <w:p w:rsidR="003A596A" w:rsidRPr="00581667" w:rsidRDefault="003A596A" w:rsidP="002A6208">
            <w:pPr>
              <w:jc w:val="center"/>
              <w:rPr>
                <w:rFonts w:ascii="Arial" w:hAnsi="Arial" w:cs="Arial"/>
                <w:b/>
                <w:color w:val="FFFFFF" w:themeColor="background1"/>
                <w:sz w:val="20"/>
              </w:rPr>
            </w:pPr>
            <w:r w:rsidRPr="00581667">
              <w:rPr>
                <w:rFonts w:ascii="Arial" w:hAnsi="Arial" w:cs="Arial"/>
                <w:b/>
                <w:color w:val="FFFFFF" w:themeColor="background1"/>
                <w:sz w:val="20"/>
              </w:rPr>
              <w:t xml:space="preserve">Solde créditeur </w:t>
            </w:r>
          </w:p>
        </w:tc>
      </w:tr>
      <w:tr w:rsidR="003A596A" w:rsidRPr="00581667" w:rsidTr="003A596A">
        <w:tc>
          <w:tcPr>
            <w:tcW w:w="1535" w:type="dxa"/>
          </w:tcPr>
          <w:p w:rsidR="003A596A" w:rsidRPr="00581667" w:rsidRDefault="003A596A" w:rsidP="003A596A">
            <w:pPr>
              <w:jc w:val="both"/>
              <w:rPr>
                <w:rFonts w:ascii="Arial" w:hAnsi="Arial" w:cs="Arial"/>
                <w:sz w:val="20"/>
              </w:rPr>
            </w:pPr>
            <w:r w:rsidRPr="00581667">
              <w:rPr>
                <w:rFonts w:ascii="Arial" w:hAnsi="Arial" w:cs="Arial"/>
                <w:sz w:val="20"/>
              </w:rPr>
              <w:t>8035</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43 049</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163 577</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100 255</w:t>
            </w:r>
          </w:p>
        </w:tc>
        <w:tc>
          <w:tcPr>
            <w:tcW w:w="1536" w:type="dxa"/>
          </w:tcPr>
          <w:p w:rsidR="003A596A" w:rsidRPr="00581667" w:rsidRDefault="003A596A" w:rsidP="003A596A">
            <w:pPr>
              <w:jc w:val="center"/>
              <w:rPr>
                <w:rFonts w:ascii="Arial" w:hAnsi="Arial" w:cs="Arial"/>
                <w:sz w:val="20"/>
              </w:rPr>
            </w:pPr>
          </w:p>
        </w:tc>
        <w:tc>
          <w:tcPr>
            <w:tcW w:w="1536" w:type="dxa"/>
          </w:tcPr>
          <w:p w:rsidR="003A596A" w:rsidRPr="00581667" w:rsidRDefault="003A596A" w:rsidP="003A596A">
            <w:pPr>
              <w:jc w:val="center"/>
              <w:rPr>
                <w:rFonts w:ascii="Arial" w:hAnsi="Arial" w:cs="Arial"/>
                <w:sz w:val="20"/>
              </w:rPr>
            </w:pPr>
            <w:r w:rsidRPr="00581667">
              <w:rPr>
                <w:rFonts w:ascii="Arial" w:hAnsi="Arial" w:cs="Arial"/>
                <w:sz w:val="20"/>
              </w:rPr>
              <w:t>106 372</w:t>
            </w:r>
          </w:p>
        </w:tc>
      </w:tr>
      <w:tr w:rsidR="003A596A" w:rsidRPr="00581667" w:rsidTr="003A596A">
        <w:tc>
          <w:tcPr>
            <w:tcW w:w="1535" w:type="dxa"/>
          </w:tcPr>
          <w:p w:rsidR="003A596A" w:rsidRPr="00581667" w:rsidRDefault="003A596A" w:rsidP="003A596A">
            <w:pPr>
              <w:jc w:val="both"/>
              <w:rPr>
                <w:rFonts w:ascii="Arial" w:hAnsi="Arial" w:cs="Arial"/>
                <w:sz w:val="20"/>
              </w:rPr>
            </w:pPr>
            <w:r w:rsidRPr="00581667">
              <w:rPr>
                <w:rFonts w:ascii="Arial" w:hAnsi="Arial" w:cs="Arial"/>
                <w:sz w:val="20"/>
              </w:rPr>
              <w:t>8115</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17 959</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58 212</w:t>
            </w:r>
          </w:p>
        </w:tc>
        <w:tc>
          <w:tcPr>
            <w:tcW w:w="1535" w:type="dxa"/>
          </w:tcPr>
          <w:p w:rsidR="003A596A" w:rsidRPr="00581667" w:rsidRDefault="003A596A" w:rsidP="003A596A">
            <w:pPr>
              <w:jc w:val="center"/>
              <w:rPr>
                <w:rFonts w:ascii="Arial" w:hAnsi="Arial" w:cs="Arial"/>
                <w:sz w:val="20"/>
              </w:rPr>
            </w:pPr>
            <w:r w:rsidRPr="00581667">
              <w:rPr>
                <w:rFonts w:ascii="Arial" w:hAnsi="Arial" w:cs="Arial"/>
                <w:sz w:val="20"/>
              </w:rPr>
              <w:t>44 730</w:t>
            </w:r>
          </w:p>
        </w:tc>
        <w:tc>
          <w:tcPr>
            <w:tcW w:w="1536" w:type="dxa"/>
          </w:tcPr>
          <w:p w:rsidR="003A596A" w:rsidRPr="00581667" w:rsidRDefault="003A596A" w:rsidP="003A596A">
            <w:pPr>
              <w:jc w:val="center"/>
              <w:rPr>
                <w:rFonts w:ascii="Arial" w:hAnsi="Arial" w:cs="Arial"/>
                <w:sz w:val="20"/>
              </w:rPr>
            </w:pPr>
            <w:r w:rsidRPr="00581667">
              <w:rPr>
                <w:rFonts w:ascii="Arial" w:hAnsi="Arial" w:cs="Arial"/>
                <w:sz w:val="20"/>
              </w:rPr>
              <w:t>31 440</w:t>
            </w:r>
          </w:p>
        </w:tc>
        <w:tc>
          <w:tcPr>
            <w:tcW w:w="1536" w:type="dxa"/>
          </w:tcPr>
          <w:p w:rsidR="003A596A" w:rsidRPr="00581667" w:rsidRDefault="003A596A" w:rsidP="003A596A">
            <w:pPr>
              <w:jc w:val="center"/>
              <w:rPr>
                <w:rFonts w:ascii="Arial" w:hAnsi="Arial" w:cs="Arial"/>
                <w:sz w:val="20"/>
              </w:rPr>
            </w:pPr>
          </w:p>
        </w:tc>
      </w:tr>
    </w:tbl>
    <w:p w:rsidR="003A596A" w:rsidRPr="00581667" w:rsidRDefault="003A596A" w:rsidP="003A596A">
      <w:pPr>
        <w:jc w:val="both"/>
        <w:rPr>
          <w:rFonts w:ascii="Arial" w:hAnsi="Arial" w:cs="Arial"/>
          <w:sz w:val="28"/>
        </w:rPr>
      </w:pPr>
    </w:p>
    <w:p w:rsidR="0033454F" w:rsidRPr="00A17E25" w:rsidRDefault="0033454F" w:rsidP="003A596A">
      <w:pPr>
        <w:jc w:val="both"/>
        <w:rPr>
          <w:rFonts w:ascii="Arial" w:hAnsi="Arial" w:cs="Arial"/>
        </w:rPr>
      </w:pPr>
      <w:r>
        <w:rPr>
          <w:rFonts w:ascii="Arial" w:hAnsi="Arial" w:cs="Arial"/>
        </w:rPr>
        <w:t xml:space="preserve"> </w:t>
      </w:r>
      <w:r w:rsidR="001F5AD3">
        <w:rPr>
          <w:rFonts w:ascii="Arial" w:hAnsi="Arial" w:cs="Arial"/>
        </w:rPr>
        <w:t xml:space="preserve">L’existence de solde de fin de période traduit le non apurement de ces comptes avant la clôture de l’exercice budgétaire concerné. </w:t>
      </w:r>
      <w:r w:rsidR="00BB06BC">
        <w:rPr>
          <w:rFonts w:ascii="Arial" w:hAnsi="Arial" w:cs="Arial"/>
        </w:rPr>
        <w:t>De plus, l</w:t>
      </w:r>
      <w:r w:rsidRPr="0033454F">
        <w:rPr>
          <w:rFonts w:ascii="Arial" w:hAnsi="Arial" w:cs="Arial"/>
        </w:rPr>
        <w:t xml:space="preserve">es soldes en fin de période comprennent des reports à nouveau </w:t>
      </w:r>
      <w:r>
        <w:rPr>
          <w:rFonts w:ascii="Arial" w:hAnsi="Arial" w:cs="Arial"/>
        </w:rPr>
        <w:t>des exercices antérieurs et donc les comptes n’ont pas</w:t>
      </w:r>
      <w:r w:rsidRPr="0033454F">
        <w:rPr>
          <w:rFonts w:ascii="Arial" w:hAnsi="Arial" w:cs="Arial"/>
        </w:rPr>
        <w:t xml:space="preserve"> </w:t>
      </w:r>
      <w:r>
        <w:rPr>
          <w:rFonts w:ascii="Arial" w:hAnsi="Arial" w:cs="Arial"/>
        </w:rPr>
        <w:t xml:space="preserve">été </w:t>
      </w:r>
      <w:r w:rsidRPr="0033454F">
        <w:rPr>
          <w:rFonts w:ascii="Arial" w:hAnsi="Arial" w:cs="Arial"/>
        </w:rPr>
        <w:t>apurés</w:t>
      </w:r>
      <w:r>
        <w:rPr>
          <w:rFonts w:ascii="Arial" w:hAnsi="Arial" w:cs="Arial"/>
        </w:rPr>
        <w:t xml:space="preserve"> en fin d’année.</w:t>
      </w:r>
    </w:p>
    <w:p w:rsidR="003A596A" w:rsidRPr="003A29CD" w:rsidRDefault="003A596A" w:rsidP="003A596A">
      <w:pPr>
        <w:pStyle w:val="Comp"/>
        <w:numPr>
          <w:ilvl w:val="0"/>
          <w:numId w:val="99"/>
        </w:numPr>
        <w:rPr>
          <w:rFonts w:ascii="Arial" w:hAnsi="Arial" w:cs="Arial"/>
          <w:b w:val="0"/>
          <w:color w:val="0070C0"/>
          <w:sz w:val="24"/>
          <w:szCs w:val="24"/>
        </w:rPr>
      </w:pPr>
      <w:bookmarkStart w:id="292" w:name="_Toc432501871"/>
      <w:bookmarkStart w:id="293" w:name="_Toc434916160"/>
      <w:bookmarkStart w:id="294" w:name="_Toc434918374"/>
      <w:r w:rsidRPr="003A29CD">
        <w:rPr>
          <w:rFonts w:ascii="Arial" w:hAnsi="Arial" w:cs="Arial"/>
          <w:b w:val="0"/>
          <w:color w:val="0070C0"/>
          <w:sz w:val="24"/>
          <w:szCs w:val="24"/>
        </w:rPr>
        <w:t>Régularité des opérations de rapprochement et d’apurement des comptes d’avance.</w:t>
      </w:r>
      <w:bookmarkEnd w:id="292"/>
      <w:bookmarkEnd w:id="293"/>
      <w:bookmarkEnd w:id="294"/>
    </w:p>
    <w:p w:rsidR="003A596A" w:rsidRPr="00A17E25" w:rsidRDefault="003A596A" w:rsidP="003A596A">
      <w:pPr>
        <w:jc w:val="both"/>
        <w:rPr>
          <w:rFonts w:ascii="Arial" w:hAnsi="Arial" w:cs="Arial"/>
          <w:iCs/>
        </w:rPr>
      </w:pPr>
      <w:r w:rsidRPr="00A17E25">
        <w:rPr>
          <w:rFonts w:ascii="Arial" w:hAnsi="Arial" w:cs="Arial"/>
          <w:iCs/>
        </w:rPr>
        <w:t>Les avances par régisseur se réalisent seulement pour la fête du mouton (</w:t>
      </w:r>
      <w:r w:rsidRPr="00A17E25">
        <w:rPr>
          <w:rFonts w:ascii="Arial" w:hAnsi="Arial" w:cs="Arial"/>
          <w:i/>
        </w:rPr>
        <w:t>adha</w:t>
      </w:r>
      <w:r w:rsidRPr="00A17E25">
        <w:rPr>
          <w:rFonts w:ascii="Arial" w:hAnsi="Arial" w:cs="Arial"/>
          <w:iCs/>
        </w:rPr>
        <w:t>).</w:t>
      </w:r>
      <w:r w:rsidR="002A6208">
        <w:rPr>
          <w:rFonts w:ascii="Arial" w:hAnsi="Arial" w:cs="Arial"/>
          <w:iCs/>
        </w:rPr>
        <w:t xml:space="preserve"> </w:t>
      </w:r>
      <w:r w:rsidRPr="00A17E25">
        <w:rPr>
          <w:rFonts w:ascii="Arial" w:hAnsi="Arial" w:cs="Arial"/>
          <w:iCs/>
        </w:rPr>
        <w:t xml:space="preserve">La régularisation (rapprochement et ajustement) de ces avances est effectuée de façon régulière </w:t>
      </w:r>
      <w:r w:rsidR="0033454F">
        <w:rPr>
          <w:rFonts w:ascii="Arial" w:hAnsi="Arial" w:cs="Arial"/>
          <w:iCs/>
        </w:rPr>
        <w:t xml:space="preserve">une fois par trimestre </w:t>
      </w:r>
      <w:r w:rsidRPr="00A17E25">
        <w:rPr>
          <w:rFonts w:ascii="Arial" w:hAnsi="Arial" w:cs="Arial"/>
          <w:iCs/>
        </w:rPr>
        <w:t>et finalisée en fin d’année (il n’y a pas de report de solde).</w:t>
      </w:r>
    </w:p>
    <w:p w:rsidR="003A596A" w:rsidRPr="00A17E25" w:rsidRDefault="003A596A" w:rsidP="003A596A">
      <w:pPr>
        <w:jc w:val="both"/>
        <w:rPr>
          <w:rFonts w:ascii="Arial" w:hAnsi="Arial" w:cs="Arial"/>
          <w:iCs/>
        </w:rPr>
      </w:pPr>
    </w:p>
    <w:p w:rsidR="003A596A" w:rsidRPr="00A17E25" w:rsidRDefault="003A596A" w:rsidP="003A596A">
      <w:pPr>
        <w:jc w:val="both"/>
        <w:rPr>
          <w:rFonts w:ascii="Arial" w:hAnsi="Arial" w:cs="Arial"/>
          <w:iCs/>
        </w:rPr>
      </w:pPr>
      <w:r w:rsidRPr="00A17E25">
        <w:rPr>
          <w:rFonts w:ascii="Arial" w:hAnsi="Arial" w:cs="Arial"/>
        </w:rPr>
        <w:t xml:space="preserve">En résumé, le rapprochement des comptes d’avance est effectué au moins une fois par trimestre, dans un délai de deux mois à compter de la fin de la période. Les comptes d’avance sont généralement apurés en fin d’exercice. </w:t>
      </w:r>
    </w:p>
    <w:p w:rsidR="003A596A" w:rsidRPr="003A29CD" w:rsidRDefault="003A596A" w:rsidP="003A596A">
      <w:pPr>
        <w:pStyle w:val="Comp"/>
        <w:numPr>
          <w:ilvl w:val="0"/>
          <w:numId w:val="99"/>
        </w:numPr>
        <w:rPr>
          <w:rFonts w:ascii="Arial" w:hAnsi="Arial" w:cs="Arial"/>
          <w:b w:val="0"/>
          <w:color w:val="0070C0"/>
          <w:sz w:val="24"/>
          <w:szCs w:val="24"/>
        </w:rPr>
      </w:pPr>
      <w:bookmarkStart w:id="295" w:name="_Toc432501872"/>
      <w:bookmarkStart w:id="296" w:name="_Toc434916161"/>
      <w:bookmarkStart w:id="297" w:name="_Toc434918375"/>
      <w:r w:rsidRPr="003A29CD">
        <w:rPr>
          <w:rFonts w:ascii="Arial" w:hAnsi="Arial" w:cs="Arial"/>
          <w:b w:val="0"/>
          <w:color w:val="0070C0"/>
          <w:sz w:val="24"/>
          <w:szCs w:val="24"/>
        </w:rPr>
        <w:t>Processus mis en place pour appuyer l’intégrité des données financières.</w:t>
      </w:r>
      <w:bookmarkEnd w:id="295"/>
      <w:bookmarkEnd w:id="296"/>
      <w:bookmarkEnd w:id="297"/>
    </w:p>
    <w:p w:rsidR="00581667" w:rsidRPr="00A17E25" w:rsidRDefault="003A596A" w:rsidP="003A596A">
      <w:pPr>
        <w:pStyle w:val="PJ"/>
        <w:rPr>
          <w:rFonts w:ascii="Arial" w:hAnsi="Arial" w:cs="Arial"/>
        </w:rPr>
      </w:pPr>
      <w:r w:rsidRPr="00A17E25">
        <w:rPr>
          <w:rFonts w:ascii="Arial" w:hAnsi="Arial" w:cs="Arial"/>
        </w:rPr>
        <w:t>La TGR a accordé beaucoup d'attention à l'intégrité des données et les systèmes existants permettent de définir les responsabilités pour l'entrée des données dans le système GID, ainsi qu’au niveau de la comptabilité publique. L’accès aux fichiers est autorisé uniquement à certaines personnes et les modifications apportées à ces données enregistrées dans des fichiers log peuvent être vérifié</w:t>
      </w:r>
      <w:r w:rsidR="002A6208">
        <w:rPr>
          <w:rFonts w:ascii="Arial" w:hAnsi="Arial" w:cs="Arial"/>
        </w:rPr>
        <w:t>e</w:t>
      </w:r>
      <w:r w:rsidRPr="00A17E25">
        <w:rPr>
          <w:rFonts w:ascii="Arial" w:hAnsi="Arial" w:cs="Arial"/>
        </w:rPr>
        <w:t>s lors des audits effectués par des équipes de supervision chargée</w:t>
      </w:r>
      <w:r w:rsidR="002A6208">
        <w:rPr>
          <w:rFonts w:ascii="Arial" w:hAnsi="Arial" w:cs="Arial"/>
        </w:rPr>
        <w:t>s</w:t>
      </w:r>
      <w:r w:rsidRPr="00A17E25">
        <w:rPr>
          <w:rFonts w:ascii="Arial" w:hAnsi="Arial" w:cs="Arial"/>
        </w:rPr>
        <w:t xml:space="preserve"> de vérifier l’intégrité des données financières. Cependant, aucune disposition n’a encore été prise pour attribuer la responsabilité de l'intégrité des do</w:t>
      </w:r>
      <w:r w:rsidR="0044265E">
        <w:rPr>
          <w:rFonts w:ascii="Arial" w:hAnsi="Arial" w:cs="Arial"/>
        </w:rPr>
        <w:t>nnées à une équipe spécialisée.</w:t>
      </w:r>
    </w:p>
    <w:p w:rsidR="003A596A" w:rsidRPr="00A17E25" w:rsidRDefault="003A596A" w:rsidP="003A596A">
      <w:pPr>
        <w:pStyle w:val="PJ"/>
        <w:rPr>
          <w:rFonts w:ascii="Arial" w:hAnsi="Arial" w:cs="Aria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1"/>
        <w:gridCol w:w="5298"/>
      </w:tblGrid>
      <w:tr w:rsidR="003A596A" w:rsidRPr="00A17E25" w:rsidTr="002A24D6">
        <w:tc>
          <w:tcPr>
            <w:tcW w:w="3510"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661"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5298" w:type="dxa"/>
            <w:shd w:val="clear" w:color="auto" w:fill="0070C0"/>
          </w:tcPr>
          <w:p w:rsidR="003A596A" w:rsidRPr="00A17E25" w:rsidRDefault="003A596A" w:rsidP="003A596A">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3A596A" w:rsidRPr="00A17E25" w:rsidTr="002A24D6">
        <w:tc>
          <w:tcPr>
            <w:tcW w:w="3510" w:type="dxa"/>
          </w:tcPr>
          <w:p w:rsidR="003A596A" w:rsidRPr="00A17E25" w:rsidRDefault="003A596A" w:rsidP="003A596A">
            <w:pPr>
              <w:pStyle w:val="Heading1"/>
              <w:rPr>
                <w:rFonts w:cs="Arial"/>
                <w:b w:val="0"/>
                <w:sz w:val="20"/>
                <w:szCs w:val="20"/>
              </w:rPr>
            </w:pPr>
            <w:bookmarkStart w:id="298" w:name="_Toc434916162"/>
            <w:bookmarkStart w:id="299" w:name="_Toc434918376"/>
            <w:r w:rsidRPr="00A17E25">
              <w:rPr>
                <w:rFonts w:cs="Arial"/>
                <w:sz w:val="20"/>
                <w:szCs w:val="20"/>
              </w:rPr>
              <w:t>PI-26: Rapprochement des comptes et intégrité des données financières</w:t>
            </w:r>
            <w:bookmarkEnd w:id="298"/>
            <w:bookmarkEnd w:id="299"/>
          </w:p>
          <w:p w:rsidR="003A596A" w:rsidRPr="00A17E25" w:rsidRDefault="003A596A" w:rsidP="003A596A">
            <w:pPr>
              <w:jc w:val="both"/>
              <w:rPr>
                <w:rFonts w:ascii="Arial" w:hAnsi="Arial" w:cs="Arial"/>
                <w:b/>
                <w:sz w:val="20"/>
                <w:szCs w:val="20"/>
              </w:rPr>
            </w:pPr>
          </w:p>
        </w:tc>
        <w:tc>
          <w:tcPr>
            <w:tcW w:w="661" w:type="dxa"/>
          </w:tcPr>
          <w:p w:rsidR="003A596A" w:rsidRPr="00A17E25" w:rsidRDefault="003A596A" w:rsidP="003A596A">
            <w:pPr>
              <w:jc w:val="center"/>
              <w:rPr>
                <w:rFonts w:ascii="Arial" w:hAnsi="Arial" w:cs="Arial"/>
                <w:b/>
                <w:bCs/>
                <w:sz w:val="20"/>
                <w:szCs w:val="20"/>
              </w:rPr>
            </w:pPr>
          </w:p>
          <w:p w:rsidR="003A596A" w:rsidRPr="00A17E25" w:rsidRDefault="003A596A" w:rsidP="003A596A">
            <w:pPr>
              <w:jc w:val="center"/>
              <w:rPr>
                <w:rFonts w:ascii="Arial" w:hAnsi="Arial" w:cs="Arial"/>
                <w:b/>
                <w:bCs/>
                <w:sz w:val="20"/>
                <w:szCs w:val="20"/>
              </w:rPr>
            </w:pPr>
          </w:p>
          <w:p w:rsidR="003A596A" w:rsidRPr="00A17E25" w:rsidRDefault="000C0B95" w:rsidP="003A596A">
            <w:pPr>
              <w:jc w:val="center"/>
              <w:rPr>
                <w:rFonts w:ascii="Arial" w:hAnsi="Arial" w:cs="Arial"/>
                <w:b/>
                <w:bCs/>
                <w:sz w:val="20"/>
                <w:szCs w:val="20"/>
              </w:rPr>
            </w:pPr>
            <w:r w:rsidRPr="00A17E25">
              <w:rPr>
                <w:rFonts w:ascii="Arial" w:hAnsi="Arial" w:cs="Arial"/>
                <w:b/>
                <w:bCs/>
                <w:sz w:val="20"/>
                <w:szCs w:val="20"/>
              </w:rPr>
              <w:t>C+</w:t>
            </w:r>
          </w:p>
        </w:tc>
        <w:tc>
          <w:tcPr>
            <w:tcW w:w="5298" w:type="dxa"/>
          </w:tcPr>
          <w:p w:rsidR="003A596A" w:rsidRPr="00A17E25" w:rsidRDefault="003A596A" w:rsidP="003A596A">
            <w:pPr>
              <w:jc w:val="both"/>
              <w:rPr>
                <w:rFonts w:ascii="Arial" w:hAnsi="Arial" w:cs="Arial"/>
                <w:b/>
                <w:bCs/>
                <w:sz w:val="20"/>
                <w:szCs w:val="20"/>
              </w:rPr>
            </w:pPr>
          </w:p>
          <w:p w:rsidR="003A596A" w:rsidRPr="00A17E25" w:rsidRDefault="003A596A" w:rsidP="003A596A">
            <w:pPr>
              <w:jc w:val="center"/>
              <w:rPr>
                <w:rFonts w:ascii="Arial" w:hAnsi="Arial" w:cs="Arial"/>
                <w:b/>
                <w:bCs/>
                <w:sz w:val="20"/>
                <w:szCs w:val="20"/>
              </w:rPr>
            </w:pPr>
          </w:p>
          <w:p w:rsidR="003A596A" w:rsidRPr="00A17E25" w:rsidRDefault="003A596A" w:rsidP="003A596A">
            <w:pPr>
              <w:jc w:val="center"/>
              <w:rPr>
                <w:rFonts w:ascii="Arial" w:hAnsi="Arial" w:cs="Arial"/>
                <w:b/>
                <w:bCs/>
                <w:sz w:val="20"/>
                <w:szCs w:val="20"/>
              </w:rPr>
            </w:pPr>
            <w:r w:rsidRPr="00A17E25">
              <w:rPr>
                <w:rFonts w:ascii="Arial" w:hAnsi="Arial" w:cs="Arial"/>
                <w:b/>
                <w:bCs/>
                <w:sz w:val="20"/>
                <w:szCs w:val="20"/>
              </w:rPr>
              <w:t>Méthode de Notation M2</w:t>
            </w:r>
          </w:p>
        </w:tc>
      </w:tr>
      <w:tr w:rsidR="003A596A" w:rsidRPr="00A17E25" w:rsidTr="002A24D6">
        <w:tc>
          <w:tcPr>
            <w:tcW w:w="3510" w:type="dxa"/>
          </w:tcPr>
          <w:p w:rsidR="003A596A" w:rsidRPr="00A17E25" w:rsidRDefault="003A596A" w:rsidP="003A596A">
            <w:pPr>
              <w:spacing w:line="237" w:lineRule="auto"/>
              <w:ind w:left="108" w:right="57"/>
              <w:jc w:val="both"/>
              <w:rPr>
                <w:rFonts w:ascii="Arial" w:hAnsi="Arial" w:cs="Arial"/>
                <w:sz w:val="20"/>
                <w:szCs w:val="20"/>
              </w:rPr>
            </w:pPr>
            <w:r w:rsidRPr="00A17E25">
              <w:rPr>
                <w:rFonts w:ascii="Arial" w:hAnsi="Arial" w:cs="Arial"/>
                <w:sz w:val="20"/>
                <w:szCs w:val="20"/>
              </w:rPr>
              <w:t xml:space="preserve">i) Régularité des opérations de rapprochement des comptes bancaires </w:t>
            </w:r>
          </w:p>
        </w:tc>
        <w:tc>
          <w:tcPr>
            <w:tcW w:w="661" w:type="dxa"/>
            <w:shd w:val="clear" w:color="auto" w:fill="auto"/>
          </w:tcPr>
          <w:p w:rsidR="003A596A" w:rsidRPr="00A17E25" w:rsidRDefault="003A596A" w:rsidP="003A596A">
            <w:pPr>
              <w:jc w:val="center"/>
              <w:rPr>
                <w:rFonts w:ascii="Arial" w:hAnsi="Arial" w:cs="Arial"/>
                <w:sz w:val="20"/>
                <w:szCs w:val="20"/>
              </w:rPr>
            </w:pPr>
            <w:r w:rsidRPr="00A17E25">
              <w:rPr>
                <w:rFonts w:ascii="Arial" w:hAnsi="Arial" w:cs="Arial"/>
                <w:sz w:val="20"/>
                <w:szCs w:val="20"/>
              </w:rPr>
              <w:t>B</w:t>
            </w:r>
          </w:p>
        </w:tc>
        <w:tc>
          <w:tcPr>
            <w:tcW w:w="5298" w:type="dxa"/>
          </w:tcPr>
          <w:p w:rsidR="003A596A" w:rsidRPr="00A17E25" w:rsidRDefault="003A596A" w:rsidP="000C0B95">
            <w:pPr>
              <w:jc w:val="both"/>
              <w:rPr>
                <w:rFonts w:ascii="Arial" w:hAnsi="Arial" w:cs="Arial"/>
                <w:sz w:val="20"/>
                <w:szCs w:val="20"/>
              </w:rPr>
            </w:pPr>
            <w:r w:rsidRPr="00A17E25">
              <w:rPr>
                <w:rFonts w:ascii="Arial" w:hAnsi="Arial" w:cs="Arial"/>
                <w:sz w:val="20"/>
                <w:szCs w:val="20"/>
              </w:rPr>
              <w:t xml:space="preserve">Un rapprochement bancaire de tous les comptes bancaires actifs de </w:t>
            </w:r>
            <w:r w:rsidR="000C0B95" w:rsidRPr="00A17E25">
              <w:rPr>
                <w:rFonts w:ascii="Arial" w:hAnsi="Arial" w:cs="Arial"/>
                <w:sz w:val="20"/>
                <w:szCs w:val="20"/>
              </w:rPr>
              <w:t xml:space="preserve">la </w:t>
            </w:r>
            <w:r w:rsidR="00DE5B35">
              <w:rPr>
                <w:rFonts w:ascii="Arial" w:hAnsi="Arial" w:cs="Arial"/>
                <w:sz w:val="20"/>
                <w:szCs w:val="20"/>
              </w:rPr>
              <w:t>CC</w:t>
            </w:r>
            <w:r w:rsidRPr="00A17E25">
              <w:rPr>
                <w:rFonts w:ascii="Arial" w:hAnsi="Arial" w:cs="Arial"/>
                <w:sz w:val="20"/>
                <w:szCs w:val="20"/>
              </w:rPr>
              <w:t xml:space="preserve"> est effectué au moins une fois par mois, généralement dans un délai de quatre semaines à compter de la fin du mois.</w:t>
            </w:r>
          </w:p>
        </w:tc>
      </w:tr>
      <w:tr w:rsidR="003A596A" w:rsidRPr="00A17E25" w:rsidTr="002A24D6">
        <w:tc>
          <w:tcPr>
            <w:tcW w:w="3510" w:type="dxa"/>
          </w:tcPr>
          <w:p w:rsidR="003A596A" w:rsidRPr="00A17E25" w:rsidRDefault="003A596A" w:rsidP="003A596A">
            <w:pPr>
              <w:spacing w:line="237" w:lineRule="auto"/>
              <w:ind w:left="108" w:right="57"/>
              <w:jc w:val="both"/>
              <w:rPr>
                <w:rFonts w:ascii="Arial" w:hAnsi="Arial" w:cs="Arial"/>
                <w:sz w:val="20"/>
                <w:szCs w:val="20"/>
              </w:rPr>
            </w:pPr>
            <w:r w:rsidRPr="00A17E25">
              <w:rPr>
                <w:rFonts w:ascii="Arial" w:hAnsi="Arial" w:cs="Arial"/>
                <w:sz w:val="20"/>
                <w:szCs w:val="20"/>
              </w:rPr>
              <w:t>ii) Régularité des opérations de rapprochement et d’apurement des comptes d’attente</w:t>
            </w:r>
          </w:p>
        </w:tc>
        <w:tc>
          <w:tcPr>
            <w:tcW w:w="661"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5298" w:type="dxa"/>
          </w:tcPr>
          <w:p w:rsidR="003A596A" w:rsidRPr="00A17E25" w:rsidRDefault="003A596A" w:rsidP="003A596A">
            <w:pPr>
              <w:pStyle w:val="Default"/>
              <w:jc w:val="both"/>
              <w:rPr>
                <w:rFonts w:ascii="Arial" w:hAnsi="Arial" w:cs="Arial"/>
                <w:sz w:val="20"/>
                <w:szCs w:val="20"/>
                <w:lang w:val="fr-FR"/>
              </w:rPr>
            </w:pPr>
            <w:r w:rsidRPr="00A17E25">
              <w:rPr>
                <w:rFonts w:ascii="Arial" w:hAnsi="Arial" w:cs="Arial"/>
                <w:sz w:val="20"/>
                <w:szCs w:val="20"/>
                <w:lang w:val="fr-FR"/>
              </w:rPr>
              <w:t xml:space="preserve"> Il n’est pas possible d’affirmer que les comptes d’attente sont apurés en temps voulu, au plus tard à la fin de l’exercice à moins que le report de cette opération ne soit dûment justifié. </w:t>
            </w:r>
          </w:p>
        </w:tc>
      </w:tr>
      <w:tr w:rsidR="003A596A" w:rsidRPr="00A17E25" w:rsidTr="002A24D6">
        <w:tc>
          <w:tcPr>
            <w:tcW w:w="3510" w:type="dxa"/>
          </w:tcPr>
          <w:p w:rsidR="003A596A" w:rsidRPr="00A17E25" w:rsidRDefault="003A596A" w:rsidP="003A596A">
            <w:pPr>
              <w:spacing w:line="237" w:lineRule="auto"/>
              <w:ind w:left="108" w:right="57"/>
              <w:jc w:val="both"/>
              <w:rPr>
                <w:rFonts w:ascii="Arial" w:hAnsi="Arial" w:cs="Arial"/>
                <w:sz w:val="20"/>
                <w:szCs w:val="20"/>
              </w:rPr>
            </w:pPr>
            <w:r w:rsidRPr="00A17E25">
              <w:rPr>
                <w:rFonts w:ascii="Arial" w:hAnsi="Arial" w:cs="Arial"/>
                <w:sz w:val="20"/>
                <w:szCs w:val="20"/>
              </w:rPr>
              <w:t xml:space="preserve">iii) Régularité des opérations de rapprochement et d’apurement des comptes d’avance </w:t>
            </w:r>
          </w:p>
        </w:tc>
        <w:tc>
          <w:tcPr>
            <w:tcW w:w="661"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B</w:t>
            </w:r>
          </w:p>
        </w:tc>
        <w:tc>
          <w:tcPr>
            <w:tcW w:w="5298"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Le rapprochement des comptes d’avance est effectué au moins une fois par trimestre, dans un délai de deux mois à compter de la fin de la période. Les comptes d’avance sont généralement apurés en temps voulu.</w:t>
            </w:r>
          </w:p>
        </w:tc>
      </w:tr>
      <w:tr w:rsidR="003A596A" w:rsidRPr="00A17E25" w:rsidTr="002A24D6">
        <w:tc>
          <w:tcPr>
            <w:tcW w:w="3510" w:type="dxa"/>
          </w:tcPr>
          <w:p w:rsidR="003A596A" w:rsidRPr="00A17E25" w:rsidRDefault="003A596A" w:rsidP="003A596A">
            <w:pPr>
              <w:spacing w:after="160" w:line="256" w:lineRule="auto"/>
              <w:jc w:val="both"/>
              <w:rPr>
                <w:rFonts w:ascii="Arial" w:hAnsi="Arial" w:cs="Arial"/>
                <w:sz w:val="20"/>
                <w:szCs w:val="20"/>
              </w:rPr>
            </w:pPr>
            <w:r w:rsidRPr="00A17E25">
              <w:rPr>
                <w:rFonts w:ascii="Arial" w:hAnsi="Arial" w:cs="Arial"/>
                <w:sz w:val="20"/>
                <w:szCs w:val="20"/>
              </w:rPr>
              <w:t>iv) Processus mis en place pour appuyer l’intégrité des données financières</w:t>
            </w:r>
          </w:p>
        </w:tc>
        <w:tc>
          <w:tcPr>
            <w:tcW w:w="661" w:type="dxa"/>
          </w:tcPr>
          <w:p w:rsidR="003A596A" w:rsidRPr="00A17E25" w:rsidRDefault="0033454F" w:rsidP="003A596A">
            <w:pPr>
              <w:jc w:val="center"/>
              <w:rPr>
                <w:rFonts w:ascii="Arial" w:hAnsi="Arial" w:cs="Arial"/>
                <w:sz w:val="20"/>
                <w:szCs w:val="20"/>
              </w:rPr>
            </w:pPr>
            <w:r>
              <w:rPr>
                <w:rFonts w:ascii="Arial" w:hAnsi="Arial" w:cs="Arial"/>
                <w:sz w:val="20"/>
                <w:szCs w:val="20"/>
              </w:rPr>
              <w:t>B</w:t>
            </w:r>
          </w:p>
        </w:tc>
        <w:tc>
          <w:tcPr>
            <w:tcW w:w="5298" w:type="dxa"/>
          </w:tcPr>
          <w:p w:rsidR="003A596A" w:rsidRPr="00A17E25" w:rsidRDefault="003A596A" w:rsidP="00BB06BC">
            <w:pPr>
              <w:jc w:val="both"/>
              <w:rPr>
                <w:rFonts w:ascii="Arial" w:hAnsi="Arial" w:cs="Arial"/>
                <w:sz w:val="20"/>
                <w:szCs w:val="20"/>
              </w:rPr>
            </w:pPr>
            <w:r w:rsidRPr="00A17E25">
              <w:rPr>
                <w:rFonts w:ascii="Arial" w:hAnsi="Arial" w:cs="Arial"/>
                <w:sz w:val="20"/>
                <w:szCs w:val="20"/>
              </w:rPr>
              <w:t>L’accès aux fichiers est accordé sur une base limitée et le</w:t>
            </w:r>
            <w:r w:rsidR="00B44011">
              <w:rPr>
                <w:rFonts w:ascii="Arial" w:hAnsi="Arial" w:cs="Arial"/>
                <w:sz w:val="20"/>
                <w:szCs w:val="20"/>
              </w:rPr>
              <w:t xml:space="preserve">s </w:t>
            </w:r>
            <w:r w:rsidRPr="00A17E25">
              <w:rPr>
                <w:rFonts w:ascii="Arial" w:hAnsi="Arial" w:cs="Arial"/>
                <w:sz w:val="20"/>
                <w:szCs w:val="20"/>
              </w:rPr>
              <w:t xml:space="preserve">modifications apportées </w:t>
            </w:r>
            <w:r w:rsidR="00BB06BC">
              <w:rPr>
                <w:rFonts w:ascii="Arial" w:hAnsi="Arial" w:cs="Arial"/>
                <w:sz w:val="20"/>
                <w:szCs w:val="20"/>
              </w:rPr>
              <w:t>aux</w:t>
            </w:r>
            <w:r w:rsidRPr="00A17E25">
              <w:rPr>
                <w:rFonts w:ascii="Arial" w:hAnsi="Arial" w:cs="Arial"/>
                <w:sz w:val="20"/>
                <w:szCs w:val="20"/>
              </w:rPr>
              <w:t xml:space="preserve"> données sont enregistrées. </w:t>
            </w:r>
            <w:r w:rsidR="0033454F">
              <w:rPr>
                <w:rFonts w:ascii="Arial" w:hAnsi="Arial" w:cs="Arial"/>
                <w:sz w:val="20"/>
                <w:szCs w:val="20"/>
              </w:rPr>
              <w:t>Ces activités génèrent une piste d’audit.</w:t>
            </w:r>
            <w:r w:rsidRPr="00A17E25">
              <w:rPr>
                <w:rFonts w:ascii="Arial" w:hAnsi="Arial" w:cs="Arial"/>
                <w:sz w:val="20"/>
                <w:szCs w:val="20"/>
              </w:rPr>
              <w:t xml:space="preserve"> </w:t>
            </w:r>
          </w:p>
        </w:tc>
      </w:tr>
    </w:tbl>
    <w:p w:rsidR="003A596A" w:rsidRPr="00A17E25" w:rsidRDefault="003A596A" w:rsidP="003A596A">
      <w:pPr>
        <w:spacing w:after="200" w:line="276" w:lineRule="auto"/>
        <w:rPr>
          <w:rFonts w:ascii="Arial" w:hAnsi="Arial" w:cs="Arial"/>
        </w:rPr>
      </w:pPr>
    </w:p>
    <w:p w:rsidR="003A596A" w:rsidRDefault="003A596A" w:rsidP="003A596A">
      <w:pPr>
        <w:pStyle w:val="Heading1"/>
        <w:rPr>
          <w:rFonts w:cs="Arial"/>
          <w:sz w:val="24"/>
          <w:szCs w:val="24"/>
        </w:rPr>
      </w:pPr>
      <w:bookmarkStart w:id="300" w:name="_Toc432501873"/>
      <w:bookmarkStart w:id="301" w:name="_Toc434916163"/>
      <w:bookmarkStart w:id="302" w:name="_Toc434918377"/>
      <w:r w:rsidRPr="00A17E25">
        <w:rPr>
          <w:rFonts w:cs="Arial"/>
          <w:sz w:val="24"/>
          <w:szCs w:val="24"/>
        </w:rPr>
        <w:t>PI-27 : Qualité et ponctualité des rapports budgétaires en cours d’année</w:t>
      </w:r>
      <w:bookmarkEnd w:id="300"/>
      <w:bookmarkEnd w:id="301"/>
      <w:bookmarkEnd w:id="302"/>
    </w:p>
    <w:p w:rsidR="00D3669F" w:rsidRDefault="00D3669F" w:rsidP="00D3669F"/>
    <w:p w:rsidR="00D3669F" w:rsidRPr="00D3669F" w:rsidRDefault="00D3669F" w:rsidP="00D3669F">
      <w:pPr>
        <w:jc w:val="both"/>
        <w:rPr>
          <w:rFonts w:ascii="Arial" w:hAnsi="Arial" w:cs="Arial"/>
        </w:rPr>
      </w:pPr>
      <w:r w:rsidRPr="00D3669F">
        <w:rPr>
          <w:rFonts w:ascii="Arial" w:hAnsi="Arial" w:cs="Arial"/>
        </w:rPr>
        <w:t xml:space="preserve">Les données et informations considérées </w:t>
      </w:r>
      <w:r>
        <w:rPr>
          <w:rFonts w:ascii="Arial" w:hAnsi="Arial" w:cs="Arial"/>
        </w:rPr>
        <w:t>pour la notation des trois composantes de cet indicateur sont celles du dernier exercice clôturé (2014).</w:t>
      </w:r>
    </w:p>
    <w:p w:rsidR="003A596A" w:rsidRPr="003A29CD" w:rsidRDefault="003A596A" w:rsidP="00151AD3">
      <w:pPr>
        <w:pStyle w:val="Comp"/>
        <w:numPr>
          <w:ilvl w:val="0"/>
          <w:numId w:val="51"/>
        </w:numPr>
        <w:rPr>
          <w:rFonts w:ascii="Arial" w:hAnsi="Arial" w:cs="Arial"/>
          <w:b w:val="0"/>
          <w:color w:val="0070C0"/>
          <w:sz w:val="24"/>
          <w:szCs w:val="24"/>
        </w:rPr>
      </w:pPr>
      <w:bookmarkStart w:id="303" w:name="_Toc432501874"/>
      <w:bookmarkStart w:id="304" w:name="_Toc434916164"/>
      <w:bookmarkStart w:id="305" w:name="_Toc434918378"/>
      <w:r w:rsidRPr="003A29CD">
        <w:rPr>
          <w:rFonts w:ascii="Arial" w:hAnsi="Arial" w:cs="Arial"/>
          <w:b w:val="0"/>
          <w:color w:val="0070C0"/>
          <w:sz w:val="24"/>
          <w:szCs w:val="24"/>
        </w:rPr>
        <w:t>Couverture et comparabilité des rapports.</w:t>
      </w:r>
      <w:bookmarkEnd w:id="303"/>
      <w:bookmarkEnd w:id="304"/>
      <w:bookmarkEnd w:id="305"/>
    </w:p>
    <w:p w:rsidR="003A596A" w:rsidRPr="00A17E25" w:rsidRDefault="003A596A" w:rsidP="003A596A">
      <w:pPr>
        <w:jc w:val="both"/>
        <w:rPr>
          <w:rFonts w:ascii="Arial" w:hAnsi="Arial" w:cs="Arial"/>
        </w:rPr>
      </w:pPr>
      <w:r w:rsidRPr="00A17E25">
        <w:rPr>
          <w:rFonts w:ascii="Arial" w:hAnsi="Arial" w:cs="Arial"/>
        </w:rPr>
        <w:t>Le suivi de l’exécution budgétaire est réalisé au moyen des systèmes GID (Gestion Intégrée des Dépenses) et GIR (Gestion Intégrée des Recettes). Dans ces deux systèmes, l’information sur l’exécution est disponible en temps réel et la classification des données permet une comparaison directe avec le budget initial. L’information porte sur tous les postes des prévisions budgétaires (chapitre, paragraphe et article). Les dépenses sont couvertes aux phases de l’engagement, de l’ordonnancement et du paiement.</w:t>
      </w:r>
      <w:r w:rsidRPr="00A17E25">
        <w:rPr>
          <w:rFonts w:ascii="Arial" w:hAnsi="Arial" w:cs="Arial"/>
        </w:rPr>
        <w:tab/>
      </w:r>
    </w:p>
    <w:p w:rsidR="00D3669F" w:rsidRDefault="00D3669F" w:rsidP="003A596A">
      <w:pPr>
        <w:jc w:val="both"/>
        <w:rPr>
          <w:rFonts w:ascii="Arial" w:hAnsi="Arial" w:cs="Arial"/>
        </w:rPr>
      </w:pPr>
    </w:p>
    <w:p w:rsidR="003A596A" w:rsidRDefault="003A596A" w:rsidP="003A596A">
      <w:pPr>
        <w:jc w:val="both"/>
        <w:rPr>
          <w:rFonts w:ascii="Arial" w:hAnsi="Arial" w:cs="Arial"/>
        </w:rPr>
      </w:pPr>
      <w:r w:rsidRPr="00A17E25">
        <w:rPr>
          <w:rFonts w:ascii="Arial" w:hAnsi="Arial" w:cs="Arial"/>
        </w:rPr>
        <w:t>Les données stockées dans les systèmes GID et  GIR rendent donc théoriquement possible la comparaison entre le budget initial et l'exécution en cours d'exercice des recettes et des dépenses, aussi bien sur la base de la nomenclature administrative, économique, que fonctionnelle</w:t>
      </w:r>
      <w:r w:rsidR="00D3669F">
        <w:rPr>
          <w:rFonts w:ascii="Arial" w:hAnsi="Arial" w:cs="Arial"/>
        </w:rPr>
        <w:t>,</w:t>
      </w:r>
      <w:r w:rsidRPr="00A17E25">
        <w:rPr>
          <w:rFonts w:ascii="Arial" w:hAnsi="Arial" w:cs="Arial"/>
        </w:rPr>
        <w:t xml:space="preserve"> et des « reporting » peuvent être produits à la demande à partir des systèmes GID et GIR. </w:t>
      </w:r>
      <w:r w:rsidR="00CB5B2C">
        <w:rPr>
          <w:rFonts w:ascii="Arial" w:hAnsi="Arial" w:cs="Arial"/>
        </w:rPr>
        <w:t>En effet, GID permet de :</w:t>
      </w:r>
    </w:p>
    <w:p w:rsidR="00CB5B2C" w:rsidRDefault="00CB5B2C" w:rsidP="003A596A">
      <w:pPr>
        <w:jc w:val="both"/>
        <w:rPr>
          <w:rFonts w:ascii="Arial" w:hAnsi="Arial" w:cs="Arial"/>
        </w:rPr>
      </w:pPr>
    </w:p>
    <w:p w:rsidR="00CB5B2C" w:rsidRPr="0089336B" w:rsidRDefault="00CB5B2C" w:rsidP="00CB5B2C">
      <w:pPr>
        <w:pStyle w:val="Paragraphedeliste1"/>
        <w:rPr>
          <w:rFonts w:ascii="Arial" w:hAnsi="Arial" w:cs="Arial"/>
        </w:rPr>
      </w:pPr>
      <w:r w:rsidRPr="0089336B">
        <w:rPr>
          <w:rFonts w:ascii="Arial" w:hAnsi="Arial" w:cs="Arial"/>
        </w:rPr>
        <w:t>connaître, en temps réel, l’état d’exécution de la dépense effectuée par chacun des acteurs intervenant (ordonnateur, contrôleur et comptable) et à chaque étape du cycle budgétaire (engagement, liquidation, ordonnancement)</w:t>
      </w:r>
    </w:p>
    <w:p w:rsidR="00CB5B2C" w:rsidRPr="0089336B" w:rsidRDefault="00CB5B2C" w:rsidP="00CB5B2C">
      <w:pPr>
        <w:pStyle w:val="Paragraphedeliste1"/>
        <w:rPr>
          <w:rFonts w:ascii="Arial" w:hAnsi="Arial" w:cs="Arial"/>
        </w:rPr>
      </w:pPr>
      <w:r w:rsidRPr="0089336B">
        <w:rPr>
          <w:rFonts w:ascii="Arial" w:hAnsi="Arial" w:cs="Arial"/>
        </w:rPr>
        <w:t>localiser immédiatement les points de blocage dans l’état d’avancement de l’exécution du budget ;</w:t>
      </w:r>
    </w:p>
    <w:p w:rsidR="00CB5B2C" w:rsidRPr="0089336B" w:rsidRDefault="00CB5B2C" w:rsidP="00CB5B2C">
      <w:pPr>
        <w:pStyle w:val="Paragraphedeliste1"/>
        <w:rPr>
          <w:rFonts w:ascii="Arial" w:hAnsi="Arial" w:cs="Arial"/>
        </w:rPr>
      </w:pPr>
      <w:r w:rsidRPr="0089336B">
        <w:rPr>
          <w:rFonts w:ascii="Arial" w:hAnsi="Arial" w:cs="Arial"/>
        </w:rPr>
        <w:t>réaliser à la demande les rapprochements des écritures et identifier facilement les points de divergence ;</w:t>
      </w:r>
    </w:p>
    <w:p w:rsidR="00CB5B2C" w:rsidRPr="0089336B" w:rsidRDefault="00CB5B2C" w:rsidP="00CB5B2C">
      <w:pPr>
        <w:pStyle w:val="Paragraphedeliste1"/>
        <w:rPr>
          <w:rFonts w:ascii="Arial" w:hAnsi="Arial" w:cs="Arial"/>
        </w:rPr>
      </w:pPr>
      <w:r w:rsidRPr="0089336B">
        <w:rPr>
          <w:rFonts w:ascii="Arial" w:hAnsi="Arial" w:cs="Arial"/>
        </w:rPr>
        <w:t>suivre en temps réel l’état de consommation des crédits (tableau de bord)</w:t>
      </w:r>
    </w:p>
    <w:p w:rsidR="00CB5B2C" w:rsidRPr="0089336B" w:rsidRDefault="00CB5B2C" w:rsidP="00CB5B2C">
      <w:pPr>
        <w:pStyle w:val="Paragraphedeliste1"/>
        <w:rPr>
          <w:rFonts w:ascii="Arial" w:hAnsi="Arial" w:cs="Arial"/>
        </w:rPr>
      </w:pPr>
      <w:r w:rsidRPr="0089336B">
        <w:rPr>
          <w:rFonts w:ascii="Arial" w:hAnsi="Arial" w:cs="Arial"/>
        </w:rPr>
        <w:t>produire automatiquement les données nécessaires à la production de la loi de règlement (au niveau des dépenses) ;</w:t>
      </w:r>
    </w:p>
    <w:p w:rsidR="00CB5B2C" w:rsidRPr="00B84D19" w:rsidRDefault="00CB5B2C" w:rsidP="00B84D19">
      <w:pPr>
        <w:pStyle w:val="Paragraphedeliste1"/>
        <w:rPr>
          <w:rFonts w:ascii="Arial" w:hAnsi="Arial" w:cs="Arial"/>
        </w:rPr>
      </w:pPr>
      <w:r w:rsidRPr="0089336B">
        <w:rPr>
          <w:rFonts w:ascii="Arial" w:hAnsi="Arial" w:cs="Arial"/>
        </w:rPr>
        <w:t>suivre l’exécution des dépenses jusqu’aux traitements comptables par addition de logiciels spécifiques en bout de chaîne (prise en charge comptable, ordre de paiement, paiement effectif)</w:t>
      </w:r>
    </w:p>
    <w:p w:rsidR="00D3669F" w:rsidRDefault="00D3669F" w:rsidP="003A596A">
      <w:pPr>
        <w:jc w:val="both"/>
        <w:rPr>
          <w:rFonts w:ascii="Arial" w:hAnsi="Arial" w:cs="Arial"/>
        </w:rPr>
      </w:pPr>
    </w:p>
    <w:p w:rsidR="003A596A" w:rsidRPr="00A17E25" w:rsidRDefault="003A596A" w:rsidP="003A596A">
      <w:pPr>
        <w:jc w:val="both"/>
        <w:rPr>
          <w:rFonts w:ascii="Arial" w:hAnsi="Arial" w:cs="Arial"/>
          <w:i/>
        </w:rPr>
      </w:pPr>
      <w:r w:rsidRPr="00A17E25">
        <w:rPr>
          <w:rFonts w:ascii="Arial" w:hAnsi="Arial" w:cs="Arial"/>
        </w:rPr>
        <w:t xml:space="preserve">Cependant, les rapports mensuels ne sont pas produits de manière systématique. </w:t>
      </w:r>
    </w:p>
    <w:p w:rsidR="003A596A" w:rsidRPr="003A29CD" w:rsidRDefault="003A596A" w:rsidP="00151AD3">
      <w:pPr>
        <w:pStyle w:val="Comp"/>
        <w:numPr>
          <w:ilvl w:val="0"/>
          <w:numId w:val="20"/>
        </w:numPr>
        <w:rPr>
          <w:rFonts w:ascii="Arial" w:hAnsi="Arial" w:cs="Arial"/>
          <w:b w:val="0"/>
          <w:color w:val="0070C0"/>
          <w:sz w:val="24"/>
          <w:szCs w:val="24"/>
        </w:rPr>
      </w:pPr>
      <w:bookmarkStart w:id="306" w:name="_Toc432501875"/>
      <w:bookmarkStart w:id="307" w:name="_Toc434916165"/>
      <w:bookmarkStart w:id="308" w:name="_Toc434918379"/>
      <w:r w:rsidRPr="003A29CD">
        <w:rPr>
          <w:rFonts w:ascii="Arial" w:hAnsi="Arial" w:cs="Arial"/>
          <w:b w:val="0"/>
          <w:color w:val="0070C0"/>
          <w:sz w:val="24"/>
          <w:szCs w:val="24"/>
        </w:rPr>
        <w:t>Publication en temps voulu des rapports.</w:t>
      </w:r>
      <w:bookmarkEnd w:id="306"/>
      <w:bookmarkEnd w:id="307"/>
      <w:bookmarkEnd w:id="308"/>
    </w:p>
    <w:p w:rsidR="003A596A" w:rsidRPr="00A17E25" w:rsidRDefault="003A596A" w:rsidP="003A596A">
      <w:pPr>
        <w:jc w:val="both"/>
        <w:rPr>
          <w:rFonts w:ascii="Arial" w:hAnsi="Arial" w:cs="Arial"/>
        </w:rPr>
      </w:pPr>
      <w:r w:rsidRPr="00A17E25">
        <w:rPr>
          <w:rFonts w:ascii="Arial" w:hAnsi="Arial" w:cs="Arial"/>
        </w:rPr>
        <w:t>L’information sur l’exécution budgétaire est disponible en temps réel. Cependant les différents services ne sont pas invités par la direction des finances (une fois par mois) à expliquer les écarts éventuels entre leurs réalisations et les prévisions budgétaires</w:t>
      </w:r>
    </w:p>
    <w:p w:rsidR="003A596A" w:rsidRPr="00A17E25" w:rsidRDefault="003A596A" w:rsidP="003A596A">
      <w:pPr>
        <w:pStyle w:val="PJ"/>
        <w:rPr>
          <w:rFonts w:ascii="Arial" w:hAnsi="Arial" w:cs="Arial"/>
        </w:rPr>
      </w:pPr>
      <w:r w:rsidRPr="00A17E25">
        <w:rPr>
          <w:rFonts w:ascii="Arial" w:hAnsi="Arial" w:cs="Arial"/>
        </w:rPr>
        <w:t>Aucun rapport budgétaire n’est établi en cours d’année ni pour les Divisions techniques, ni pour l’exécutif ou le Conseil Communal.</w:t>
      </w:r>
    </w:p>
    <w:p w:rsidR="003A596A" w:rsidRPr="003A29CD" w:rsidRDefault="003A596A" w:rsidP="00151AD3">
      <w:pPr>
        <w:pStyle w:val="Comp"/>
        <w:numPr>
          <w:ilvl w:val="0"/>
          <w:numId w:val="20"/>
        </w:numPr>
        <w:rPr>
          <w:rFonts w:ascii="Arial" w:hAnsi="Arial" w:cs="Arial"/>
          <w:b w:val="0"/>
          <w:color w:val="0070C0"/>
          <w:sz w:val="24"/>
          <w:szCs w:val="24"/>
        </w:rPr>
      </w:pPr>
      <w:bookmarkStart w:id="309" w:name="_Toc432501876"/>
      <w:bookmarkStart w:id="310" w:name="_Toc434916166"/>
      <w:bookmarkStart w:id="311" w:name="_Toc434918380"/>
      <w:r w:rsidRPr="003A29CD">
        <w:rPr>
          <w:rFonts w:ascii="Arial" w:hAnsi="Arial" w:cs="Arial"/>
          <w:b w:val="0"/>
          <w:color w:val="0070C0"/>
          <w:sz w:val="24"/>
          <w:szCs w:val="24"/>
        </w:rPr>
        <w:t>Qualité de l’information présentée dans les rapports</w:t>
      </w:r>
      <w:bookmarkEnd w:id="309"/>
      <w:bookmarkEnd w:id="310"/>
      <w:bookmarkEnd w:id="311"/>
    </w:p>
    <w:p w:rsidR="00834741" w:rsidRPr="00581667" w:rsidRDefault="003A596A" w:rsidP="00834741">
      <w:pPr>
        <w:pStyle w:val="PI"/>
      </w:pPr>
      <w:r w:rsidRPr="00A17E25">
        <w:rPr>
          <w:rFonts w:ascii="Arial" w:hAnsi="Arial" w:cs="Arial"/>
        </w:rPr>
        <w:t>La qualité de l’information est solidement basée sur l’ensemble des contrôles effectués durant l’exécution de la dépense. Cependant, cette information n’est pas produite dans les rapports budgétaires en cours d’année.</w:t>
      </w:r>
      <w:r w:rsidR="00834741" w:rsidRPr="00834741">
        <w:t xml:space="preserve"> </w:t>
      </w:r>
    </w:p>
    <w:p w:rsidR="003A596A" w:rsidRPr="00A17E25" w:rsidRDefault="003A596A" w:rsidP="003A596A">
      <w:pPr>
        <w:pStyle w:val="PJ"/>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50"/>
        <w:gridCol w:w="4820"/>
      </w:tblGrid>
      <w:tr w:rsidR="003A596A" w:rsidRPr="00A17E25" w:rsidTr="003A596A">
        <w:trPr>
          <w:jc w:val="center"/>
        </w:trPr>
        <w:tc>
          <w:tcPr>
            <w:tcW w:w="3544"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Indicateur</w:t>
            </w:r>
          </w:p>
        </w:tc>
        <w:tc>
          <w:tcPr>
            <w:tcW w:w="85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82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3A596A">
        <w:trPr>
          <w:jc w:val="center"/>
        </w:trPr>
        <w:tc>
          <w:tcPr>
            <w:tcW w:w="3544" w:type="dxa"/>
          </w:tcPr>
          <w:p w:rsidR="003A596A" w:rsidRPr="00A17E25" w:rsidRDefault="003A596A" w:rsidP="003A596A">
            <w:pPr>
              <w:rPr>
                <w:rFonts w:ascii="Arial" w:hAnsi="Arial"/>
                <w:b/>
                <w:bCs/>
                <w:sz w:val="20"/>
                <w:szCs w:val="20"/>
              </w:rPr>
            </w:pPr>
            <w:r w:rsidRPr="00A17E25">
              <w:rPr>
                <w:rFonts w:ascii="Arial" w:hAnsi="Arial"/>
                <w:b/>
                <w:bCs/>
                <w:sz w:val="20"/>
                <w:szCs w:val="20"/>
              </w:rPr>
              <w:t>PI-27 : Qualité et ponctualité des rapports budgétaires en cours d’année</w:t>
            </w:r>
          </w:p>
        </w:tc>
        <w:tc>
          <w:tcPr>
            <w:tcW w:w="850" w:type="dxa"/>
          </w:tcPr>
          <w:p w:rsidR="003A596A" w:rsidRPr="00A17E25" w:rsidRDefault="003A596A" w:rsidP="003A596A">
            <w:pPr>
              <w:jc w:val="center"/>
              <w:rPr>
                <w:rFonts w:ascii="Arial" w:hAnsi="Arial"/>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D</w:t>
            </w:r>
          </w:p>
          <w:p w:rsidR="003A596A" w:rsidRPr="00A17E25" w:rsidRDefault="003A596A" w:rsidP="003A596A">
            <w:pPr>
              <w:jc w:val="center"/>
              <w:rPr>
                <w:rFonts w:ascii="Arial" w:hAnsi="Arial"/>
                <w:b/>
                <w:bCs/>
                <w:sz w:val="20"/>
                <w:szCs w:val="20"/>
              </w:rPr>
            </w:pPr>
          </w:p>
        </w:tc>
        <w:tc>
          <w:tcPr>
            <w:tcW w:w="4820" w:type="dxa"/>
          </w:tcPr>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rPr>
          <w:jc w:val="center"/>
        </w:trPr>
        <w:tc>
          <w:tcPr>
            <w:tcW w:w="3544" w:type="dxa"/>
          </w:tcPr>
          <w:p w:rsidR="003A596A" w:rsidRPr="00A17E25" w:rsidRDefault="003A596A" w:rsidP="003A596A">
            <w:pPr>
              <w:jc w:val="both"/>
              <w:rPr>
                <w:rFonts w:ascii="Arial" w:hAnsi="Arial" w:cs="Arial"/>
                <w:iCs/>
                <w:sz w:val="20"/>
                <w:szCs w:val="20"/>
              </w:rPr>
            </w:pPr>
            <w:r w:rsidRPr="00A17E25">
              <w:rPr>
                <w:rFonts w:ascii="Arial" w:hAnsi="Arial"/>
                <w:sz w:val="20"/>
                <w:szCs w:val="20"/>
              </w:rPr>
              <w:t xml:space="preserve">i) </w:t>
            </w:r>
            <w:r w:rsidRPr="00A17E25">
              <w:rPr>
                <w:rFonts w:ascii="Arial" w:hAnsi="Arial" w:cs="Arial"/>
                <w:iCs/>
                <w:sz w:val="20"/>
                <w:szCs w:val="20"/>
              </w:rPr>
              <w:t xml:space="preserve"> Couverture et comparabilité des rapports</w:t>
            </w:r>
          </w:p>
          <w:p w:rsidR="003A596A" w:rsidRPr="00A17E25" w:rsidRDefault="003A596A" w:rsidP="003A596A">
            <w:pPr>
              <w:jc w:val="both"/>
              <w:rPr>
                <w:rFonts w:ascii="Arial" w:hAnsi="Arial"/>
                <w:sz w:val="20"/>
                <w:szCs w:val="20"/>
              </w:rPr>
            </w:pPr>
          </w:p>
        </w:tc>
        <w:tc>
          <w:tcPr>
            <w:tcW w:w="850" w:type="dxa"/>
          </w:tcPr>
          <w:p w:rsidR="003A596A" w:rsidRPr="00A17E25" w:rsidRDefault="003A596A" w:rsidP="003A596A">
            <w:pPr>
              <w:jc w:val="center"/>
              <w:rPr>
                <w:rFonts w:ascii="Arial" w:hAnsi="Arial"/>
                <w:sz w:val="20"/>
                <w:szCs w:val="20"/>
              </w:rPr>
            </w:pPr>
            <w:r w:rsidRPr="00A17E25">
              <w:rPr>
                <w:rFonts w:ascii="Arial" w:hAnsi="Arial"/>
                <w:sz w:val="20"/>
                <w:szCs w:val="20"/>
              </w:rPr>
              <w:t>D</w:t>
            </w:r>
          </w:p>
        </w:tc>
        <w:tc>
          <w:tcPr>
            <w:tcW w:w="4820" w:type="dxa"/>
          </w:tcPr>
          <w:p w:rsidR="003A596A" w:rsidRPr="00A17E25" w:rsidRDefault="003A596A" w:rsidP="003A596A">
            <w:pPr>
              <w:jc w:val="both"/>
              <w:rPr>
                <w:rFonts w:ascii="Arial" w:hAnsi="Arial"/>
                <w:sz w:val="20"/>
                <w:szCs w:val="20"/>
              </w:rPr>
            </w:pPr>
            <w:r w:rsidRPr="00A17E25">
              <w:rPr>
                <w:rFonts w:ascii="Arial" w:hAnsi="Arial" w:cs="Arial"/>
                <w:sz w:val="20"/>
                <w:szCs w:val="20"/>
              </w:rPr>
              <w:t>Les rapports d’exécution du budget ne sont pas préparés sur une base périodique et ne sont publiés.</w:t>
            </w:r>
          </w:p>
        </w:tc>
      </w:tr>
      <w:tr w:rsidR="003A596A" w:rsidRPr="00A17E25" w:rsidTr="003A596A">
        <w:trPr>
          <w:jc w:val="center"/>
        </w:trPr>
        <w:tc>
          <w:tcPr>
            <w:tcW w:w="3544" w:type="dxa"/>
          </w:tcPr>
          <w:p w:rsidR="003A596A" w:rsidRPr="00A17E25" w:rsidRDefault="003A596A" w:rsidP="003A596A">
            <w:pPr>
              <w:jc w:val="both"/>
              <w:rPr>
                <w:rFonts w:ascii="Arial" w:hAnsi="Arial" w:cs="Arial"/>
                <w:i/>
                <w:color w:val="0000FF"/>
                <w:sz w:val="20"/>
                <w:szCs w:val="20"/>
              </w:rPr>
            </w:pPr>
            <w:r w:rsidRPr="00A17E25">
              <w:rPr>
                <w:rFonts w:ascii="Arial" w:hAnsi="Arial"/>
                <w:sz w:val="20"/>
                <w:szCs w:val="20"/>
              </w:rPr>
              <w:t xml:space="preserve">ii) </w:t>
            </w:r>
            <w:r w:rsidRPr="00A17E25">
              <w:rPr>
                <w:rFonts w:ascii="Arial" w:hAnsi="Arial" w:cs="Arial"/>
                <w:iCs/>
                <w:sz w:val="20"/>
                <w:szCs w:val="20"/>
              </w:rPr>
              <w:t>Publication en temps voulu des rapports</w:t>
            </w:r>
          </w:p>
        </w:tc>
        <w:tc>
          <w:tcPr>
            <w:tcW w:w="850" w:type="dxa"/>
          </w:tcPr>
          <w:p w:rsidR="003A596A" w:rsidRPr="00A17E25" w:rsidRDefault="003A596A" w:rsidP="003A596A">
            <w:pPr>
              <w:jc w:val="center"/>
              <w:rPr>
                <w:rFonts w:ascii="Arial" w:hAnsi="Arial"/>
                <w:sz w:val="20"/>
                <w:szCs w:val="20"/>
              </w:rPr>
            </w:pPr>
            <w:r w:rsidRPr="00A17E25">
              <w:rPr>
                <w:rFonts w:ascii="Arial" w:hAnsi="Arial"/>
                <w:sz w:val="20"/>
                <w:szCs w:val="20"/>
              </w:rPr>
              <w:t>D</w:t>
            </w:r>
          </w:p>
        </w:tc>
        <w:tc>
          <w:tcPr>
            <w:tcW w:w="4820"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Les rapports d’exécution du budget ne sont pas préparés sur une base périodique et ne sont publiés. </w:t>
            </w:r>
          </w:p>
        </w:tc>
      </w:tr>
      <w:tr w:rsidR="003A596A" w:rsidRPr="00A17E25" w:rsidTr="003A596A">
        <w:trPr>
          <w:jc w:val="center"/>
        </w:trPr>
        <w:tc>
          <w:tcPr>
            <w:tcW w:w="3544" w:type="dxa"/>
          </w:tcPr>
          <w:p w:rsidR="003A596A" w:rsidRPr="00A17E25" w:rsidRDefault="003A596A" w:rsidP="003A596A">
            <w:pPr>
              <w:jc w:val="both"/>
              <w:rPr>
                <w:rFonts w:ascii="Arial" w:hAnsi="Arial"/>
                <w:sz w:val="20"/>
                <w:szCs w:val="20"/>
              </w:rPr>
            </w:pPr>
            <w:r w:rsidRPr="00A17E25">
              <w:rPr>
                <w:rFonts w:ascii="Arial" w:hAnsi="Arial"/>
                <w:sz w:val="20"/>
                <w:szCs w:val="20"/>
              </w:rPr>
              <w:t xml:space="preserve">iii) </w:t>
            </w:r>
            <w:r w:rsidRPr="00A17E25">
              <w:rPr>
                <w:rFonts w:ascii="Arial" w:hAnsi="Arial" w:cs="Arial"/>
                <w:iCs/>
                <w:sz w:val="20"/>
                <w:szCs w:val="20"/>
              </w:rPr>
              <w:t>Qualité de l’information présentée dans les rapports</w:t>
            </w:r>
          </w:p>
        </w:tc>
        <w:tc>
          <w:tcPr>
            <w:tcW w:w="850" w:type="dxa"/>
          </w:tcPr>
          <w:p w:rsidR="003A596A" w:rsidRPr="00A17E25" w:rsidRDefault="003A596A" w:rsidP="003A596A">
            <w:pPr>
              <w:jc w:val="center"/>
              <w:rPr>
                <w:rFonts w:ascii="Arial" w:hAnsi="Arial"/>
                <w:sz w:val="20"/>
                <w:szCs w:val="20"/>
              </w:rPr>
            </w:pPr>
            <w:r w:rsidRPr="00A17E25">
              <w:rPr>
                <w:rFonts w:ascii="Arial" w:hAnsi="Arial"/>
                <w:sz w:val="20"/>
                <w:szCs w:val="20"/>
              </w:rPr>
              <w:t>D</w:t>
            </w:r>
          </w:p>
          <w:p w:rsidR="003A596A" w:rsidRPr="00A17E25" w:rsidRDefault="003A596A" w:rsidP="003A596A">
            <w:pPr>
              <w:jc w:val="center"/>
              <w:rPr>
                <w:rFonts w:ascii="Arial" w:hAnsi="Arial"/>
                <w:sz w:val="20"/>
                <w:szCs w:val="20"/>
              </w:rPr>
            </w:pPr>
          </w:p>
        </w:tc>
        <w:tc>
          <w:tcPr>
            <w:tcW w:w="4820" w:type="dxa"/>
          </w:tcPr>
          <w:p w:rsidR="003A596A" w:rsidRPr="00A17E25" w:rsidRDefault="003A596A" w:rsidP="003A596A">
            <w:pPr>
              <w:jc w:val="both"/>
              <w:rPr>
                <w:rFonts w:ascii="Arial" w:hAnsi="Arial"/>
                <w:sz w:val="20"/>
                <w:szCs w:val="20"/>
              </w:rPr>
            </w:pPr>
            <w:r w:rsidRPr="00A17E25">
              <w:rPr>
                <w:rFonts w:ascii="Arial" w:hAnsi="Arial" w:cs="Arial"/>
                <w:sz w:val="20"/>
                <w:szCs w:val="20"/>
              </w:rPr>
              <w:t>Les rapports d’exécution du budget ne sont pas préparés sur une base périodique et ne sont publiés.</w:t>
            </w:r>
          </w:p>
        </w:tc>
      </w:tr>
    </w:tbl>
    <w:p w:rsidR="003A596A" w:rsidRPr="00A17E25" w:rsidRDefault="003A596A" w:rsidP="003A596A">
      <w:pPr>
        <w:jc w:val="both"/>
        <w:rPr>
          <w:rFonts w:ascii="Arial" w:hAnsi="Arial" w:cs="Arial"/>
          <w:iCs/>
        </w:rPr>
      </w:pPr>
    </w:p>
    <w:p w:rsidR="003A596A" w:rsidRPr="003A29CD" w:rsidRDefault="003A596A" w:rsidP="003A596A">
      <w:pPr>
        <w:rPr>
          <w:rFonts w:ascii="Arial" w:hAnsi="Arial" w:cs="Arial"/>
          <w:b/>
          <w:color w:val="0070C0"/>
        </w:rPr>
      </w:pPr>
      <w:r w:rsidRPr="003A29CD">
        <w:rPr>
          <w:rFonts w:ascii="Arial" w:hAnsi="Arial" w:cs="Arial"/>
          <w:b/>
          <w:color w:val="0070C0"/>
        </w:rPr>
        <w:t>PI-28. Qualité et respect des délais des états financiers annuels</w:t>
      </w:r>
    </w:p>
    <w:p w:rsidR="003A596A" w:rsidRDefault="003A596A" w:rsidP="003A596A">
      <w:pPr>
        <w:jc w:val="both"/>
        <w:rPr>
          <w:rFonts w:ascii="Arial" w:hAnsi="Arial"/>
          <w:iCs/>
          <w:color w:val="0000FF"/>
        </w:rPr>
      </w:pPr>
    </w:p>
    <w:p w:rsidR="00372EA2" w:rsidRPr="004B3562" w:rsidRDefault="004B3562" w:rsidP="003A596A">
      <w:pPr>
        <w:jc w:val="both"/>
        <w:rPr>
          <w:rFonts w:ascii="Arial" w:hAnsi="Arial"/>
          <w:iCs/>
        </w:rPr>
      </w:pPr>
      <w:r>
        <w:rPr>
          <w:rFonts w:ascii="Arial" w:hAnsi="Arial"/>
          <w:iCs/>
        </w:rPr>
        <w:t>Les informations et données prises en compte pour la notation de la composante (i) de cet indicateur sont les derniers états financiers préparés, pour la composante (ii), les derniers états financiers soumis à la Cour régionale des comptes et, pour la composante (iii) les états financiers des trois derniers exercices (2012, 2013 et 2014).</w:t>
      </w:r>
    </w:p>
    <w:p w:rsidR="003A596A" w:rsidRPr="003A29CD" w:rsidRDefault="003A596A" w:rsidP="003A596A">
      <w:pPr>
        <w:pStyle w:val="Comp"/>
        <w:numPr>
          <w:ilvl w:val="0"/>
          <w:numId w:val="52"/>
        </w:numPr>
        <w:rPr>
          <w:rFonts w:ascii="Arial" w:hAnsi="Arial" w:cs="Arial"/>
          <w:b w:val="0"/>
          <w:color w:val="0070C0"/>
          <w:sz w:val="24"/>
          <w:szCs w:val="24"/>
        </w:rPr>
      </w:pPr>
      <w:bookmarkStart w:id="312" w:name="_Toc432501878"/>
      <w:bookmarkStart w:id="313" w:name="_Toc434916167"/>
      <w:bookmarkStart w:id="314" w:name="_Toc434918381"/>
      <w:r w:rsidRPr="003A29CD">
        <w:rPr>
          <w:rFonts w:ascii="Arial" w:hAnsi="Arial" w:cs="Arial"/>
          <w:b w:val="0"/>
          <w:color w:val="0070C0"/>
          <w:sz w:val="24"/>
          <w:szCs w:val="24"/>
        </w:rPr>
        <w:t>Exhaustivité des rapports financiers.</w:t>
      </w:r>
      <w:bookmarkEnd w:id="312"/>
      <w:bookmarkEnd w:id="313"/>
      <w:bookmarkEnd w:id="314"/>
    </w:p>
    <w:p w:rsidR="003A596A" w:rsidRPr="00A17E25" w:rsidRDefault="003A596A" w:rsidP="003A596A">
      <w:pPr>
        <w:jc w:val="both"/>
        <w:rPr>
          <w:rFonts w:ascii="Arial" w:hAnsi="Arial" w:cs="Arial"/>
          <w:iCs/>
        </w:rPr>
      </w:pPr>
      <w:r w:rsidRPr="00A17E25">
        <w:rPr>
          <w:rFonts w:ascii="Arial" w:hAnsi="Arial" w:cs="Arial"/>
          <w:iCs/>
        </w:rPr>
        <w:t xml:space="preserve">Les derniers états financiers préparés </w:t>
      </w:r>
      <w:r w:rsidR="00C609E5">
        <w:rPr>
          <w:rFonts w:ascii="Arial" w:hAnsi="Arial" w:cs="Arial"/>
          <w:iCs/>
        </w:rPr>
        <w:t>se rapportent à</w:t>
      </w:r>
      <w:r w:rsidRPr="00A17E25">
        <w:rPr>
          <w:rFonts w:ascii="Arial" w:hAnsi="Arial" w:cs="Arial"/>
          <w:iCs/>
        </w:rPr>
        <w:t xml:space="preserve"> l’exercice 2014. Deux états financiers annuels sont préparés pour la </w:t>
      </w:r>
      <w:r w:rsidR="00DE5B35">
        <w:rPr>
          <w:rFonts w:ascii="Arial" w:hAnsi="Arial" w:cs="Arial"/>
          <w:iCs/>
        </w:rPr>
        <w:t>CC</w:t>
      </w:r>
      <w:r w:rsidRPr="00A17E25">
        <w:rPr>
          <w:rFonts w:ascii="Arial" w:hAnsi="Arial" w:cs="Arial"/>
          <w:iCs/>
        </w:rPr>
        <w:t> : La division du Budget et de la Comptabilité élabore des comptes administratifs</w:t>
      </w:r>
      <w:r w:rsidRPr="00A17E25">
        <w:rPr>
          <w:rStyle w:val="FootnoteReference"/>
          <w:rFonts w:ascii="Arial" w:hAnsi="Arial" w:cs="Arial"/>
          <w:iCs/>
        </w:rPr>
        <w:footnoteReference w:id="54"/>
      </w:r>
      <w:r w:rsidR="00C609E5">
        <w:rPr>
          <w:rFonts w:ascii="Arial" w:hAnsi="Arial" w:cs="Arial"/>
          <w:iCs/>
        </w:rPr>
        <w:t xml:space="preserve"> où</w:t>
      </w:r>
      <w:r w:rsidRPr="00A17E25">
        <w:rPr>
          <w:rFonts w:ascii="Arial" w:hAnsi="Arial" w:cs="Arial"/>
          <w:iCs/>
        </w:rPr>
        <w:t xml:space="preserve"> la dépense est saisie à la phase de l’engagement et de l’ordonnancement tandis que le Trésorier élabore des comptes de gestion</w:t>
      </w:r>
      <w:r w:rsidRPr="00A17E25">
        <w:rPr>
          <w:rStyle w:val="FootnoteReference"/>
          <w:rFonts w:ascii="Arial" w:hAnsi="Arial" w:cs="Arial"/>
          <w:iCs/>
        </w:rPr>
        <w:footnoteReference w:id="55"/>
      </w:r>
      <w:r w:rsidR="00C609E5">
        <w:rPr>
          <w:rFonts w:ascii="Arial" w:hAnsi="Arial" w:cs="Arial"/>
          <w:iCs/>
        </w:rPr>
        <w:t xml:space="preserve"> où</w:t>
      </w:r>
      <w:r w:rsidRPr="00A17E25">
        <w:rPr>
          <w:rFonts w:ascii="Arial" w:hAnsi="Arial" w:cs="Arial"/>
          <w:iCs/>
        </w:rPr>
        <w:t xml:space="preserve"> la dépense est saisie aux mêmes phases plus celle du paiement. Le compte administratif </w:t>
      </w:r>
      <w:r w:rsidR="00222094">
        <w:rPr>
          <w:rFonts w:ascii="Arial" w:hAnsi="Arial" w:cs="Arial"/>
          <w:iCs/>
        </w:rPr>
        <w:t>et</w:t>
      </w:r>
      <w:r w:rsidRPr="00A17E25">
        <w:rPr>
          <w:rFonts w:ascii="Arial" w:hAnsi="Arial" w:cs="Arial"/>
          <w:iCs/>
        </w:rPr>
        <w:t xml:space="preserve"> le compte de gestion comprennent des informations complètes sur les recettes et les dépenses. Toutefois il n’y a aucune information sur l’actif (solde du compte de la </w:t>
      </w:r>
      <w:r w:rsidR="00DE5B35">
        <w:rPr>
          <w:rFonts w:ascii="Arial" w:hAnsi="Arial" w:cs="Arial"/>
          <w:iCs/>
        </w:rPr>
        <w:t>CC</w:t>
      </w:r>
      <w:r w:rsidRPr="00A17E25">
        <w:rPr>
          <w:rFonts w:ascii="Arial" w:hAnsi="Arial" w:cs="Arial"/>
          <w:iCs/>
        </w:rPr>
        <w:t xml:space="preserve"> au trésor, participations dans les sociétés de développement local) et le passif financier (dettes de la </w:t>
      </w:r>
      <w:r w:rsidR="00DE5B35">
        <w:rPr>
          <w:rFonts w:ascii="Arial" w:hAnsi="Arial" w:cs="Arial"/>
          <w:iCs/>
        </w:rPr>
        <w:t>CC</w:t>
      </w:r>
      <w:r w:rsidRPr="00A17E25">
        <w:rPr>
          <w:rFonts w:ascii="Arial" w:hAnsi="Arial" w:cs="Arial"/>
          <w:iCs/>
        </w:rPr>
        <w:t>) ainsi que</w:t>
      </w:r>
      <w:r w:rsidR="00C609E5">
        <w:rPr>
          <w:rFonts w:ascii="Arial" w:hAnsi="Arial" w:cs="Arial"/>
          <w:iCs/>
        </w:rPr>
        <w:t xml:space="preserve"> les engagements reçus ou donné</w:t>
      </w:r>
      <w:r w:rsidRPr="00A17E25">
        <w:rPr>
          <w:rFonts w:ascii="Arial" w:hAnsi="Arial" w:cs="Arial"/>
          <w:iCs/>
        </w:rPr>
        <w:t xml:space="preserve">s (au titre de la dette et des contrats de gestion déléguée). </w:t>
      </w:r>
    </w:p>
    <w:p w:rsidR="003A596A" w:rsidRPr="003A29CD" w:rsidRDefault="003A596A" w:rsidP="003A596A">
      <w:pPr>
        <w:pStyle w:val="Comp"/>
        <w:numPr>
          <w:ilvl w:val="0"/>
          <w:numId w:val="20"/>
        </w:numPr>
        <w:rPr>
          <w:rFonts w:ascii="Arial" w:hAnsi="Arial" w:cs="Arial"/>
          <w:b w:val="0"/>
          <w:color w:val="0070C0"/>
          <w:sz w:val="24"/>
          <w:szCs w:val="24"/>
        </w:rPr>
      </w:pPr>
      <w:bookmarkStart w:id="315" w:name="_Toc432501879"/>
      <w:bookmarkStart w:id="316" w:name="_Toc434916168"/>
      <w:bookmarkStart w:id="317" w:name="_Toc434918382"/>
      <w:r w:rsidRPr="003A29CD">
        <w:rPr>
          <w:rFonts w:ascii="Arial" w:hAnsi="Arial" w:cs="Arial"/>
          <w:b w:val="0"/>
          <w:color w:val="0070C0"/>
          <w:sz w:val="24"/>
          <w:szCs w:val="24"/>
        </w:rPr>
        <w:t>Ponctualité de la soumission des rapports financiers.</w:t>
      </w:r>
      <w:bookmarkEnd w:id="315"/>
      <w:bookmarkEnd w:id="316"/>
      <w:bookmarkEnd w:id="317"/>
    </w:p>
    <w:p w:rsidR="003A596A" w:rsidRPr="00A17E25" w:rsidRDefault="003A596A" w:rsidP="003A596A">
      <w:pPr>
        <w:pStyle w:val="Default"/>
        <w:jc w:val="both"/>
        <w:rPr>
          <w:rFonts w:ascii="Arial" w:hAnsi="Arial" w:cs="Arial"/>
          <w:iCs/>
          <w:lang w:val="fr-FR"/>
        </w:rPr>
      </w:pPr>
      <w:r w:rsidRPr="00A17E25">
        <w:rPr>
          <w:rFonts w:ascii="Arial" w:hAnsi="Arial" w:cs="Arial"/>
          <w:iCs/>
          <w:lang w:val="fr-FR"/>
        </w:rPr>
        <w:t xml:space="preserve">Le compte </w:t>
      </w:r>
      <w:r w:rsidR="00C609E5">
        <w:rPr>
          <w:rFonts w:ascii="Arial" w:hAnsi="Arial" w:cs="Arial"/>
          <w:iCs/>
          <w:lang w:val="fr-FR"/>
        </w:rPr>
        <w:t>administratif une fois finalisé</w:t>
      </w:r>
      <w:r w:rsidRPr="00A17E25">
        <w:rPr>
          <w:rFonts w:ascii="Arial" w:hAnsi="Arial" w:cs="Arial"/>
          <w:iCs/>
          <w:lang w:val="fr-FR"/>
        </w:rPr>
        <w:t xml:space="preserve"> doit être présenté au Conseil Communal dans les trois mois suivant la fin de l’exercice. Après son adoption par le Conseil, le compte administratif est envoyé à la Tutelle (Wilaya). Un mois après son adoption par le Conseil, le compte administratif est également envoyé à la Cour Régionale des Comptes pour être examiné. </w:t>
      </w:r>
    </w:p>
    <w:p w:rsidR="003A596A" w:rsidRPr="00A17E25" w:rsidRDefault="003A596A" w:rsidP="003A596A">
      <w:pPr>
        <w:pStyle w:val="Default"/>
        <w:jc w:val="both"/>
        <w:rPr>
          <w:rFonts w:ascii="Arial" w:hAnsi="Arial" w:cs="Arial"/>
          <w:iCs/>
          <w:lang w:val="fr-FR"/>
        </w:rPr>
      </w:pPr>
    </w:p>
    <w:p w:rsidR="003A596A" w:rsidRPr="00A17E25" w:rsidRDefault="003A596A" w:rsidP="003A596A">
      <w:pPr>
        <w:pStyle w:val="Default"/>
        <w:jc w:val="both"/>
        <w:rPr>
          <w:rFonts w:ascii="Arial" w:hAnsi="Arial" w:cs="Arial"/>
          <w:iCs/>
          <w:lang w:val="fr-FR"/>
        </w:rPr>
      </w:pPr>
      <w:r w:rsidRPr="00A17E25">
        <w:rPr>
          <w:rFonts w:ascii="Arial" w:hAnsi="Arial" w:cs="Arial"/>
          <w:iCs/>
          <w:lang w:val="fr-FR"/>
        </w:rPr>
        <w:t xml:space="preserve">Le compte de gestion n’est pas soumis au Conseil Communal. Il est élaboré au plus tard le 31 mars de l'année qui suit celle à laquelle il se rapporte et il est communiqué directement à la cour régionale des comptes par le trésorier payeur communal et ce avant le 31 juillet. </w:t>
      </w:r>
    </w:p>
    <w:p w:rsidR="003A596A" w:rsidRPr="00A17E25" w:rsidRDefault="003A596A" w:rsidP="003A596A">
      <w:pPr>
        <w:jc w:val="both"/>
        <w:rPr>
          <w:rFonts w:ascii="Arial" w:hAnsi="Arial" w:cs="Arial"/>
          <w:iCs/>
        </w:rPr>
      </w:pPr>
    </w:p>
    <w:p w:rsidR="003A596A" w:rsidRPr="00A17E25" w:rsidRDefault="003A596A" w:rsidP="003A596A">
      <w:pPr>
        <w:jc w:val="both"/>
        <w:rPr>
          <w:rFonts w:ascii="Arial" w:hAnsi="Arial" w:cs="Arial"/>
          <w:iCs/>
        </w:rPr>
      </w:pPr>
      <w:r w:rsidRPr="00A17E25">
        <w:rPr>
          <w:rFonts w:ascii="Arial" w:hAnsi="Arial" w:cs="Arial"/>
          <w:iCs/>
        </w:rPr>
        <w:t xml:space="preserve">Le compte administratif de l’exercice 2014 a été soumis au Conseil Communal en février 2015 et </w:t>
      </w:r>
      <w:r w:rsidR="00C609E5">
        <w:rPr>
          <w:rFonts w:ascii="Arial" w:hAnsi="Arial" w:cs="Arial"/>
          <w:iCs/>
        </w:rPr>
        <w:t>a</w:t>
      </w:r>
      <w:r w:rsidRPr="00A17E25">
        <w:rPr>
          <w:rFonts w:ascii="Arial" w:hAnsi="Arial" w:cs="Arial"/>
          <w:iCs/>
        </w:rPr>
        <w:t xml:space="preserve"> été soumis dans le délai d’un mois à Cour Régionale des Comptes.</w:t>
      </w:r>
    </w:p>
    <w:p w:rsidR="003A596A" w:rsidRPr="00A17E25" w:rsidRDefault="003A596A" w:rsidP="003A596A">
      <w:pPr>
        <w:jc w:val="both"/>
        <w:rPr>
          <w:rFonts w:ascii="Arial" w:hAnsi="Arial" w:cs="Arial"/>
          <w:iCs/>
        </w:rPr>
      </w:pPr>
    </w:p>
    <w:p w:rsidR="003A596A" w:rsidRPr="00581667" w:rsidRDefault="003A596A" w:rsidP="00581667">
      <w:pPr>
        <w:jc w:val="both"/>
        <w:rPr>
          <w:rFonts w:ascii="Arial" w:hAnsi="Arial" w:cs="Arial"/>
          <w:iCs/>
        </w:rPr>
      </w:pPr>
      <w:r w:rsidRPr="00A17E25">
        <w:rPr>
          <w:rFonts w:ascii="Arial" w:hAnsi="Arial" w:cs="Arial"/>
          <w:iCs/>
        </w:rPr>
        <w:t>Le compte de gestion de l’exercice 201</w:t>
      </w:r>
      <w:r w:rsidR="00586C6E">
        <w:rPr>
          <w:rFonts w:ascii="Arial" w:hAnsi="Arial" w:cs="Arial"/>
          <w:iCs/>
        </w:rPr>
        <w:t>5</w:t>
      </w:r>
      <w:r w:rsidRPr="00A17E25">
        <w:rPr>
          <w:rFonts w:ascii="Arial" w:hAnsi="Arial" w:cs="Arial"/>
          <w:iCs/>
        </w:rPr>
        <w:t xml:space="preserve"> </w:t>
      </w:r>
      <w:r w:rsidR="00586C6E">
        <w:rPr>
          <w:rFonts w:ascii="Arial" w:hAnsi="Arial" w:cs="Arial"/>
          <w:iCs/>
        </w:rPr>
        <w:t xml:space="preserve">a été </w:t>
      </w:r>
      <w:r w:rsidRPr="00A17E25">
        <w:rPr>
          <w:rFonts w:ascii="Arial" w:hAnsi="Arial" w:cs="Arial"/>
          <w:iCs/>
        </w:rPr>
        <w:t xml:space="preserve"> soumis par le Trésorier à la Cour Régionale des Comptes </w:t>
      </w:r>
      <w:r w:rsidR="00586C6E">
        <w:rPr>
          <w:rFonts w:ascii="Arial" w:hAnsi="Arial" w:cs="Arial"/>
          <w:iCs/>
        </w:rPr>
        <w:t>le 28 mars</w:t>
      </w:r>
      <w:r w:rsidR="00B06980">
        <w:rPr>
          <w:rFonts w:ascii="Arial" w:hAnsi="Arial" w:cs="Arial"/>
          <w:iCs/>
        </w:rPr>
        <w:t xml:space="preserve"> 2016</w:t>
      </w:r>
      <w:r w:rsidR="00222094">
        <w:rPr>
          <w:rFonts w:ascii="Arial" w:hAnsi="Arial" w:cs="Arial"/>
          <w:iCs/>
        </w:rPr>
        <w:t xml:space="preserve">, soit </w:t>
      </w:r>
      <w:r w:rsidR="00586C6E">
        <w:rPr>
          <w:rFonts w:ascii="Arial" w:hAnsi="Arial" w:cs="Arial"/>
          <w:iCs/>
        </w:rPr>
        <w:t xml:space="preserve">moins de </w:t>
      </w:r>
      <w:r w:rsidR="00222094">
        <w:rPr>
          <w:rFonts w:ascii="Arial" w:hAnsi="Arial" w:cs="Arial"/>
          <w:iCs/>
        </w:rPr>
        <w:t xml:space="preserve"> 3 mois après la clôture de l’exercice.</w:t>
      </w:r>
    </w:p>
    <w:p w:rsidR="003A596A" w:rsidRPr="003A29CD" w:rsidRDefault="003A596A" w:rsidP="003A596A">
      <w:pPr>
        <w:pStyle w:val="Comp"/>
        <w:numPr>
          <w:ilvl w:val="0"/>
          <w:numId w:val="20"/>
        </w:numPr>
        <w:rPr>
          <w:rFonts w:ascii="Arial" w:hAnsi="Arial" w:cs="Arial"/>
          <w:b w:val="0"/>
          <w:color w:val="0070C0"/>
          <w:sz w:val="24"/>
          <w:szCs w:val="24"/>
        </w:rPr>
      </w:pPr>
      <w:bookmarkStart w:id="318" w:name="_Toc432501880"/>
      <w:bookmarkStart w:id="319" w:name="_Toc434916169"/>
      <w:bookmarkStart w:id="320" w:name="_Toc434918383"/>
      <w:r w:rsidRPr="003A29CD">
        <w:rPr>
          <w:rFonts w:ascii="Arial" w:hAnsi="Arial" w:cs="Arial"/>
          <w:b w:val="0"/>
          <w:color w:val="0070C0"/>
          <w:sz w:val="24"/>
          <w:szCs w:val="24"/>
        </w:rPr>
        <w:t>Transparence, exhaustivité et cohérence des normes comptables</w:t>
      </w:r>
      <w:r w:rsidRPr="003A29CD">
        <w:rPr>
          <w:rFonts w:ascii="Arial" w:hAnsi="Arial" w:cs="Arial"/>
          <w:color w:val="0070C0"/>
          <w:sz w:val="24"/>
          <w:szCs w:val="24"/>
        </w:rPr>
        <w:t xml:space="preserve"> </w:t>
      </w:r>
      <w:r w:rsidRPr="003A29CD">
        <w:rPr>
          <w:rFonts w:ascii="Arial" w:hAnsi="Arial" w:cs="Arial"/>
          <w:b w:val="0"/>
          <w:color w:val="0070C0"/>
          <w:sz w:val="24"/>
          <w:szCs w:val="24"/>
        </w:rPr>
        <w:t>appliquées</w:t>
      </w:r>
      <w:bookmarkEnd w:id="318"/>
      <w:bookmarkEnd w:id="319"/>
      <w:bookmarkEnd w:id="320"/>
    </w:p>
    <w:p w:rsidR="003A596A" w:rsidRDefault="003A596A" w:rsidP="007E2273">
      <w:pPr>
        <w:jc w:val="both"/>
        <w:rPr>
          <w:rFonts w:ascii="Arial" w:hAnsi="Arial" w:cs="Arial"/>
          <w:iCs/>
        </w:rPr>
      </w:pPr>
      <w:r w:rsidRPr="00A17E25">
        <w:rPr>
          <w:rFonts w:ascii="Arial" w:hAnsi="Arial" w:cs="Arial"/>
          <w:iCs/>
        </w:rPr>
        <w:t>Le compte administratif et le compte de gestion ne sont pas élaborés selon des normes IPSAS (ou normes nationales équivalentes). Depuis 2010 ces deux comptes sont présentés selon le même format d’une année à l’autre conformément à la législation en vigueur</w:t>
      </w:r>
      <w:r w:rsidRPr="00A17E25">
        <w:rPr>
          <w:rStyle w:val="FootnoteReference"/>
          <w:rFonts w:ascii="Arial" w:hAnsi="Arial" w:cs="Arial"/>
          <w:iCs/>
        </w:rPr>
        <w:footnoteReference w:id="56"/>
      </w:r>
      <w:r w:rsidRPr="00A17E25">
        <w:rPr>
          <w:rFonts w:ascii="Arial" w:hAnsi="Arial" w:cs="Arial"/>
          <w:iCs/>
        </w:rPr>
        <w:t xml:space="preserve"> (comptabilité de caisse en attendant l’adoption d’une comptabilité d’engagement comme prévue par la même loi mais qui n’a pas encore été mise en œuvre).</w:t>
      </w:r>
    </w:p>
    <w:p w:rsidR="007E2273" w:rsidRDefault="007E2273" w:rsidP="007E2273">
      <w:pPr>
        <w:jc w:val="both"/>
        <w:rPr>
          <w:rFonts w:ascii="Arial" w:hAnsi="Arial" w:cs="Arial"/>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840"/>
        <w:gridCol w:w="4676"/>
      </w:tblGrid>
      <w:tr w:rsidR="003A596A" w:rsidRPr="00A17E25" w:rsidTr="003A596A">
        <w:trPr>
          <w:jc w:val="center"/>
        </w:trPr>
        <w:tc>
          <w:tcPr>
            <w:tcW w:w="3556"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cs="Arial"/>
                <w:iCs/>
                <w:sz w:val="20"/>
                <w:szCs w:val="20"/>
              </w:rPr>
              <w:tab/>
            </w:r>
            <w:r w:rsidRPr="00A17E25">
              <w:rPr>
                <w:rFonts w:ascii="Arial" w:hAnsi="Arial"/>
                <w:b/>
                <w:bCs/>
                <w:color w:val="FFFFFF"/>
                <w:sz w:val="20"/>
                <w:szCs w:val="20"/>
              </w:rPr>
              <w:t>Indicateur</w:t>
            </w:r>
          </w:p>
        </w:tc>
        <w:tc>
          <w:tcPr>
            <w:tcW w:w="84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4676"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3A596A">
        <w:trPr>
          <w:jc w:val="center"/>
        </w:trPr>
        <w:tc>
          <w:tcPr>
            <w:tcW w:w="3556" w:type="dxa"/>
          </w:tcPr>
          <w:p w:rsidR="003A596A" w:rsidRPr="00A17E25" w:rsidRDefault="003A596A" w:rsidP="003A596A">
            <w:pPr>
              <w:rPr>
                <w:rFonts w:ascii="Arial" w:hAnsi="Arial"/>
                <w:b/>
                <w:bCs/>
                <w:sz w:val="20"/>
                <w:szCs w:val="20"/>
              </w:rPr>
            </w:pPr>
          </w:p>
          <w:p w:rsidR="003A596A" w:rsidRPr="00A17E25" w:rsidRDefault="003A596A" w:rsidP="003A596A">
            <w:pPr>
              <w:rPr>
                <w:rFonts w:ascii="Arial" w:hAnsi="Arial"/>
                <w:b/>
                <w:bCs/>
                <w:sz w:val="20"/>
                <w:szCs w:val="20"/>
              </w:rPr>
            </w:pPr>
            <w:r w:rsidRPr="00A17E25">
              <w:rPr>
                <w:rFonts w:ascii="Arial" w:hAnsi="Arial"/>
                <w:b/>
                <w:bCs/>
                <w:sz w:val="20"/>
                <w:szCs w:val="20"/>
              </w:rPr>
              <w:t xml:space="preserve">PI-28 </w:t>
            </w:r>
            <w:r w:rsidRPr="00A17E25">
              <w:rPr>
                <w:rFonts w:ascii="Arial" w:hAnsi="Arial" w:cs="Arial"/>
                <w:b/>
                <w:sz w:val="20"/>
                <w:szCs w:val="20"/>
              </w:rPr>
              <w:t>Qualité et respect des délais des états financiers annuels</w:t>
            </w:r>
          </w:p>
          <w:p w:rsidR="003A596A" w:rsidRPr="00A17E25" w:rsidRDefault="003A596A" w:rsidP="003A596A">
            <w:pPr>
              <w:jc w:val="both"/>
              <w:rPr>
                <w:rFonts w:ascii="Arial" w:hAnsi="Arial"/>
                <w:sz w:val="20"/>
                <w:szCs w:val="20"/>
              </w:rPr>
            </w:pPr>
          </w:p>
        </w:tc>
        <w:tc>
          <w:tcPr>
            <w:tcW w:w="840" w:type="dxa"/>
          </w:tcPr>
          <w:p w:rsidR="003A596A" w:rsidRPr="00A17E25" w:rsidRDefault="003A596A" w:rsidP="003A596A">
            <w:pPr>
              <w:jc w:val="center"/>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D</w:t>
            </w:r>
            <w:r w:rsidR="00EA30C2" w:rsidRPr="00A17E25">
              <w:rPr>
                <w:rFonts w:ascii="Arial" w:hAnsi="Arial"/>
                <w:b/>
                <w:bCs/>
                <w:sz w:val="20"/>
                <w:szCs w:val="20"/>
              </w:rPr>
              <w:t>+</w:t>
            </w:r>
          </w:p>
        </w:tc>
        <w:tc>
          <w:tcPr>
            <w:tcW w:w="4676" w:type="dxa"/>
          </w:tcPr>
          <w:p w:rsidR="003A596A" w:rsidRPr="00A17E25" w:rsidRDefault="003A596A" w:rsidP="003A596A">
            <w:pPr>
              <w:jc w:val="both"/>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3A596A">
        <w:trPr>
          <w:jc w:val="center"/>
        </w:trPr>
        <w:tc>
          <w:tcPr>
            <w:tcW w:w="3556" w:type="dxa"/>
          </w:tcPr>
          <w:p w:rsidR="003A596A" w:rsidRPr="00A17E25" w:rsidRDefault="003A596A" w:rsidP="003A596A">
            <w:pPr>
              <w:spacing w:line="256" w:lineRule="auto"/>
              <w:ind w:left="108"/>
              <w:rPr>
                <w:rFonts w:ascii="Arial" w:hAnsi="Arial" w:cs="Arial"/>
                <w:sz w:val="20"/>
                <w:szCs w:val="20"/>
              </w:rPr>
            </w:pPr>
            <w:r w:rsidRPr="00A17E25">
              <w:rPr>
                <w:rFonts w:ascii="Arial" w:hAnsi="Arial" w:cs="Arial"/>
                <w:sz w:val="20"/>
                <w:szCs w:val="20"/>
              </w:rPr>
              <w:t>(i)Exhaustivité des rapports financiers.</w:t>
            </w:r>
          </w:p>
        </w:tc>
        <w:tc>
          <w:tcPr>
            <w:tcW w:w="84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D</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Des informations essentielles sur les actifs et les passifs comme le solde bancaire de la </w:t>
            </w:r>
            <w:r w:rsidR="00DE5B35">
              <w:rPr>
                <w:rFonts w:ascii="Arial" w:hAnsi="Arial" w:cs="Arial"/>
                <w:sz w:val="20"/>
                <w:szCs w:val="20"/>
              </w:rPr>
              <w:t>CC</w:t>
            </w:r>
            <w:r w:rsidRPr="00A17E25">
              <w:rPr>
                <w:rFonts w:ascii="Arial" w:hAnsi="Arial" w:cs="Arial"/>
                <w:sz w:val="20"/>
                <w:szCs w:val="20"/>
              </w:rPr>
              <w:t xml:space="preserve"> de même que les dettes de cette dernière ne figurent ni dans le compte administratif ni dans le compte de gestion.</w:t>
            </w:r>
          </w:p>
        </w:tc>
      </w:tr>
      <w:tr w:rsidR="003A596A" w:rsidRPr="00A17E25" w:rsidTr="003A596A">
        <w:trPr>
          <w:jc w:val="center"/>
        </w:trPr>
        <w:tc>
          <w:tcPr>
            <w:tcW w:w="3556" w:type="dxa"/>
          </w:tcPr>
          <w:p w:rsidR="003A596A" w:rsidRPr="00A17E25" w:rsidRDefault="003A596A" w:rsidP="003A596A">
            <w:pPr>
              <w:spacing w:line="256" w:lineRule="auto"/>
              <w:ind w:left="108"/>
              <w:rPr>
                <w:rFonts w:ascii="Arial" w:hAnsi="Arial" w:cs="Arial"/>
                <w:sz w:val="20"/>
                <w:szCs w:val="20"/>
              </w:rPr>
            </w:pPr>
            <w:r w:rsidRPr="00A17E25">
              <w:rPr>
                <w:rFonts w:ascii="Arial" w:hAnsi="Arial" w:cs="Arial"/>
                <w:sz w:val="20"/>
                <w:szCs w:val="20"/>
              </w:rPr>
              <w:t>(ii)Ponctualité de la soumission des rapports financiers.</w:t>
            </w:r>
          </w:p>
        </w:tc>
        <w:tc>
          <w:tcPr>
            <w:tcW w:w="84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A</w:t>
            </w:r>
          </w:p>
        </w:tc>
        <w:tc>
          <w:tcPr>
            <w:tcW w:w="4676" w:type="dxa"/>
          </w:tcPr>
          <w:p w:rsidR="003A596A" w:rsidRPr="00A17E25" w:rsidRDefault="003A596A" w:rsidP="009B753D">
            <w:pPr>
              <w:jc w:val="both"/>
              <w:rPr>
                <w:rFonts w:ascii="Arial" w:hAnsi="Arial" w:cs="Arial"/>
                <w:sz w:val="20"/>
                <w:szCs w:val="20"/>
              </w:rPr>
            </w:pPr>
            <w:r w:rsidRPr="00A17E25">
              <w:rPr>
                <w:rFonts w:ascii="Arial" w:hAnsi="Arial" w:cs="Arial"/>
                <w:sz w:val="20"/>
                <w:szCs w:val="20"/>
              </w:rPr>
              <w:t xml:space="preserve">Le dernier compte </w:t>
            </w:r>
            <w:r w:rsidR="00F718D4" w:rsidRPr="00A17E25">
              <w:rPr>
                <w:rFonts w:ascii="Arial" w:hAnsi="Arial" w:cs="Arial"/>
                <w:sz w:val="20"/>
                <w:szCs w:val="20"/>
              </w:rPr>
              <w:t>de gestion</w:t>
            </w:r>
            <w:r w:rsidRPr="00A17E25">
              <w:rPr>
                <w:rFonts w:ascii="Arial" w:hAnsi="Arial" w:cs="Arial"/>
                <w:sz w:val="20"/>
                <w:szCs w:val="20"/>
              </w:rPr>
              <w:t xml:space="preserve"> </w:t>
            </w:r>
            <w:r w:rsidR="00222094">
              <w:rPr>
                <w:rFonts w:ascii="Arial" w:hAnsi="Arial" w:cs="Arial"/>
                <w:sz w:val="20"/>
                <w:szCs w:val="20"/>
              </w:rPr>
              <w:t>(celui de l’exercice 201</w:t>
            </w:r>
            <w:r w:rsidR="00586C6E">
              <w:rPr>
                <w:rFonts w:ascii="Arial" w:hAnsi="Arial" w:cs="Arial"/>
                <w:sz w:val="20"/>
                <w:szCs w:val="20"/>
              </w:rPr>
              <w:t>5</w:t>
            </w:r>
            <w:r w:rsidR="00222094">
              <w:rPr>
                <w:rFonts w:ascii="Arial" w:hAnsi="Arial" w:cs="Arial"/>
                <w:sz w:val="20"/>
                <w:szCs w:val="20"/>
              </w:rPr>
              <w:t xml:space="preserve">) </w:t>
            </w:r>
            <w:r w:rsidRPr="00A17E25">
              <w:rPr>
                <w:rFonts w:ascii="Arial" w:hAnsi="Arial" w:cs="Arial"/>
                <w:sz w:val="20"/>
                <w:szCs w:val="20"/>
              </w:rPr>
              <w:t xml:space="preserve">a été soumis à la Cour Régionale des Comptes pour examen  </w:t>
            </w:r>
            <w:r w:rsidR="009B753D">
              <w:rPr>
                <w:rFonts w:ascii="Arial" w:hAnsi="Arial" w:cs="Arial"/>
                <w:sz w:val="20"/>
                <w:szCs w:val="20"/>
              </w:rPr>
              <w:t xml:space="preserve"> </w:t>
            </w:r>
            <w:r w:rsidR="001E766C">
              <w:rPr>
                <w:rFonts w:ascii="Arial" w:hAnsi="Arial" w:cs="Arial"/>
                <w:sz w:val="20"/>
                <w:szCs w:val="20"/>
              </w:rPr>
              <w:t xml:space="preserve">moins de 3 </w:t>
            </w:r>
            <w:r w:rsidRPr="00A17E25">
              <w:rPr>
                <w:rFonts w:ascii="Arial" w:hAnsi="Arial" w:cs="Arial"/>
                <w:sz w:val="20"/>
                <w:szCs w:val="20"/>
              </w:rPr>
              <w:t>mois suivant la fin de l’exercice.</w:t>
            </w:r>
          </w:p>
        </w:tc>
      </w:tr>
      <w:tr w:rsidR="003A596A" w:rsidRPr="00A17E25" w:rsidTr="003A596A">
        <w:trPr>
          <w:jc w:val="center"/>
        </w:trPr>
        <w:tc>
          <w:tcPr>
            <w:tcW w:w="3556" w:type="dxa"/>
          </w:tcPr>
          <w:p w:rsidR="003A596A" w:rsidRPr="00A17E25" w:rsidRDefault="003A596A" w:rsidP="003A596A">
            <w:pPr>
              <w:spacing w:line="256" w:lineRule="auto"/>
              <w:ind w:left="108"/>
              <w:rPr>
                <w:rFonts w:ascii="Arial" w:hAnsi="Arial" w:cs="Arial"/>
                <w:sz w:val="20"/>
                <w:szCs w:val="20"/>
              </w:rPr>
            </w:pPr>
            <w:r w:rsidRPr="00A17E25">
              <w:rPr>
                <w:rFonts w:ascii="Arial" w:hAnsi="Arial" w:cs="Arial"/>
                <w:sz w:val="20"/>
                <w:szCs w:val="20"/>
              </w:rPr>
              <w:t>(iii)Transparence, exhaustivité et cohérence des normes comptables appliquées.</w:t>
            </w:r>
          </w:p>
        </w:tc>
        <w:tc>
          <w:tcPr>
            <w:tcW w:w="840" w:type="dxa"/>
          </w:tcPr>
          <w:p w:rsidR="003A596A" w:rsidRPr="00A17E25" w:rsidRDefault="003A596A" w:rsidP="003A596A">
            <w:pPr>
              <w:jc w:val="center"/>
              <w:rPr>
                <w:rFonts w:ascii="Arial" w:hAnsi="Arial" w:cs="Arial"/>
                <w:sz w:val="20"/>
                <w:szCs w:val="20"/>
              </w:rPr>
            </w:pPr>
            <w:r w:rsidRPr="00A17E25">
              <w:rPr>
                <w:rFonts w:ascii="Arial" w:hAnsi="Arial" w:cs="Arial"/>
                <w:sz w:val="20"/>
                <w:szCs w:val="20"/>
              </w:rPr>
              <w:t>C</w:t>
            </w:r>
          </w:p>
        </w:tc>
        <w:tc>
          <w:tcPr>
            <w:tcW w:w="4676"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 xml:space="preserve">Les normes comptables utilisées dans tous les rapports financiers sont basées sur le cadre juridique national et assurent la cohérence des rapports dans le temps. </w:t>
            </w:r>
          </w:p>
        </w:tc>
      </w:tr>
    </w:tbl>
    <w:p w:rsidR="003A596A" w:rsidRPr="00A17E25" w:rsidRDefault="003A596A" w:rsidP="003A596A">
      <w:pPr>
        <w:spacing w:after="200" w:line="276" w:lineRule="auto"/>
        <w:rPr>
          <w:rFonts w:ascii="Arial" w:hAnsi="Arial" w:cs="Arial"/>
          <w:i/>
        </w:rPr>
      </w:pPr>
    </w:p>
    <w:p w:rsidR="002A24D6" w:rsidRPr="00581667" w:rsidRDefault="003A596A" w:rsidP="00581667">
      <w:pPr>
        <w:pStyle w:val="Heading2"/>
        <w:rPr>
          <w:i w:val="0"/>
          <w:color w:val="0070C0"/>
        </w:rPr>
      </w:pPr>
      <w:bookmarkStart w:id="321" w:name="_Toc434916170"/>
      <w:bookmarkStart w:id="322" w:name="_Toc434918384"/>
      <w:r w:rsidRPr="003A29CD">
        <w:rPr>
          <w:i w:val="0"/>
          <w:color w:val="0070C0"/>
        </w:rPr>
        <w:t xml:space="preserve">3.7 </w:t>
      </w:r>
      <w:r w:rsidR="00F718D4" w:rsidRPr="003A29CD">
        <w:rPr>
          <w:i w:val="0"/>
          <w:color w:val="0070C0"/>
        </w:rPr>
        <w:t>Surveillance</w:t>
      </w:r>
      <w:r w:rsidRPr="003A29CD">
        <w:rPr>
          <w:i w:val="0"/>
          <w:color w:val="0070C0"/>
        </w:rPr>
        <w:t xml:space="preserve"> et audits externes</w:t>
      </w:r>
      <w:bookmarkEnd w:id="321"/>
      <w:bookmarkEnd w:id="322"/>
      <w:r w:rsidRPr="003A29CD">
        <w:rPr>
          <w:i w:val="0"/>
          <w:color w:val="0070C0"/>
        </w:rPr>
        <w:t xml:space="preserve"> </w:t>
      </w:r>
      <w:bookmarkStart w:id="323" w:name="_Toc432501881"/>
      <w:bookmarkStart w:id="324" w:name="_Toc434916171"/>
      <w:bookmarkStart w:id="325" w:name="_Toc434918385"/>
    </w:p>
    <w:p w:rsidR="003A596A" w:rsidRPr="00A17E25" w:rsidRDefault="003A596A" w:rsidP="003A596A">
      <w:pPr>
        <w:pStyle w:val="Heading1"/>
        <w:jc w:val="both"/>
        <w:rPr>
          <w:rFonts w:cs="Arial"/>
          <w:b w:val="0"/>
          <w:sz w:val="24"/>
          <w:szCs w:val="24"/>
        </w:rPr>
      </w:pPr>
      <w:r w:rsidRPr="00A17E25">
        <w:rPr>
          <w:rFonts w:cs="Arial"/>
          <w:sz w:val="24"/>
          <w:szCs w:val="24"/>
        </w:rPr>
        <w:t>PI-29 Indépendance de l’ISC et efficacité de l’audit externe des rapports financiers des administrations publiques</w:t>
      </w:r>
      <w:bookmarkEnd w:id="323"/>
      <w:bookmarkEnd w:id="324"/>
      <w:bookmarkEnd w:id="325"/>
    </w:p>
    <w:p w:rsidR="003A596A" w:rsidRPr="00A17E25" w:rsidRDefault="003A596A" w:rsidP="003A596A">
      <w:pPr>
        <w:spacing w:line="256" w:lineRule="auto"/>
        <w:jc w:val="both"/>
        <w:rPr>
          <w:rFonts w:ascii="Arial" w:hAnsi="Arial" w:cs="Arial"/>
        </w:rPr>
      </w:pPr>
    </w:p>
    <w:p w:rsidR="003A596A" w:rsidRPr="00A17E25" w:rsidRDefault="003A596A" w:rsidP="003A596A">
      <w:pPr>
        <w:spacing w:line="256" w:lineRule="auto"/>
        <w:jc w:val="both"/>
        <w:rPr>
          <w:rFonts w:ascii="Arial" w:hAnsi="Arial" w:cs="Arial"/>
        </w:rPr>
      </w:pPr>
      <w:r w:rsidRPr="00A17E25">
        <w:rPr>
          <w:rFonts w:ascii="Arial" w:hAnsi="Arial" w:cs="Arial"/>
        </w:rPr>
        <w:t xml:space="preserve">La Cour des comptes du Maroc qui est une ISC de type juridictionnel. Ses compétences sont très larges et portent sur toutes les institutions gérant ou bénéficiant de fonds publics. Elle juge les comptes des comptables publics, vérifie la régularité financière et budgétaire des actes des ordonnateurs et contrôle le bon usage des fonds publics. Elle est aussi chargée d’évaluer les politiques publiques. </w:t>
      </w:r>
    </w:p>
    <w:p w:rsidR="003A596A" w:rsidRPr="00A17E25" w:rsidRDefault="003A596A" w:rsidP="003A596A">
      <w:pPr>
        <w:spacing w:line="256" w:lineRule="auto"/>
        <w:jc w:val="both"/>
        <w:rPr>
          <w:rFonts w:ascii="Arial" w:hAnsi="Arial" w:cs="Arial"/>
        </w:rPr>
      </w:pPr>
    </w:p>
    <w:p w:rsidR="003A596A" w:rsidRDefault="003A596A" w:rsidP="003A596A">
      <w:pPr>
        <w:spacing w:line="256" w:lineRule="auto"/>
        <w:jc w:val="both"/>
        <w:rPr>
          <w:rFonts w:ascii="Arial" w:hAnsi="Arial" w:cs="Arial"/>
        </w:rPr>
      </w:pPr>
      <w:r w:rsidRPr="00A17E25">
        <w:rPr>
          <w:rFonts w:ascii="Arial" w:hAnsi="Arial" w:cs="Arial"/>
        </w:rPr>
        <w:t xml:space="preserve">Cet indicateur vise à apprécier dans quelle mesure la Cour </w:t>
      </w:r>
      <w:r w:rsidR="009B753D">
        <w:rPr>
          <w:rFonts w:ascii="Arial" w:hAnsi="Arial" w:cs="Arial"/>
        </w:rPr>
        <w:t xml:space="preserve">Régionale des Comptes </w:t>
      </w:r>
      <w:r w:rsidRPr="00A17E25">
        <w:rPr>
          <w:rFonts w:ascii="Arial" w:hAnsi="Arial" w:cs="Arial"/>
        </w:rPr>
        <w:t xml:space="preserve">exerce ces missions et est dotée de l’indépendance nécessaire à leur bonne exécution. </w:t>
      </w:r>
    </w:p>
    <w:p w:rsidR="00C609E5" w:rsidRDefault="00C609E5" w:rsidP="003A596A">
      <w:pPr>
        <w:spacing w:line="256" w:lineRule="auto"/>
        <w:jc w:val="both"/>
        <w:rPr>
          <w:rFonts w:ascii="Arial" w:hAnsi="Arial" w:cs="Arial"/>
        </w:rPr>
      </w:pPr>
    </w:p>
    <w:p w:rsidR="00C609E5" w:rsidRPr="00A17E25" w:rsidRDefault="00C609E5" w:rsidP="003A596A">
      <w:pPr>
        <w:spacing w:line="256" w:lineRule="auto"/>
        <w:jc w:val="both"/>
        <w:rPr>
          <w:rFonts w:ascii="Arial" w:hAnsi="Arial" w:cs="Arial"/>
        </w:rPr>
      </w:pPr>
      <w:r>
        <w:rPr>
          <w:rFonts w:ascii="Arial" w:hAnsi="Arial" w:cs="Arial"/>
        </w:rPr>
        <w:t>Les données et informations prises en compte pour la notation de</w:t>
      </w:r>
      <w:r w:rsidR="004657FD">
        <w:rPr>
          <w:rFonts w:ascii="Arial" w:hAnsi="Arial" w:cs="Arial"/>
        </w:rPr>
        <w:t>s</w:t>
      </w:r>
      <w:r>
        <w:rPr>
          <w:rFonts w:ascii="Arial" w:hAnsi="Arial" w:cs="Arial"/>
        </w:rPr>
        <w:t xml:space="preserve"> composante</w:t>
      </w:r>
      <w:r w:rsidR="004657FD">
        <w:rPr>
          <w:rFonts w:ascii="Arial" w:hAnsi="Arial" w:cs="Arial"/>
        </w:rPr>
        <w:t>s</w:t>
      </w:r>
      <w:r>
        <w:rPr>
          <w:rFonts w:ascii="Arial" w:hAnsi="Arial" w:cs="Arial"/>
        </w:rPr>
        <w:t xml:space="preserve"> (i) </w:t>
      </w:r>
      <w:r w:rsidR="004657FD">
        <w:rPr>
          <w:rFonts w:ascii="Arial" w:hAnsi="Arial" w:cs="Arial"/>
        </w:rPr>
        <w:t xml:space="preserve">et (iv) </w:t>
      </w:r>
      <w:r>
        <w:rPr>
          <w:rFonts w:ascii="Arial" w:hAnsi="Arial" w:cs="Arial"/>
        </w:rPr>
        <w:t xml:space="preserve">sont celles du dernier exercice clôturé (2014), </w:t>
      </w:r>
      <w:r w:rsidR="004657FD">
        <w:rPr>
          <w:rFonts w:ascii="Arial" w:hAnsi="Arial" w:cs="Arial"/>
        </w:rPr>
        <w:t>pour la composante (ii), le dernier rapport d’audit soumis au conseil communal, et pour la composante (iii) celles des trois derniers exercices clôturés (2012, 2013 et 2014</w:t>
      </w:r>
      <w:r w:rsidR="000C0E94">
        <w:rPr>
          <w:rFonts w:ascii="Arial" w:hAnsi="Arial" w:cs="Arial"/>
        </w:rPr>
        <w:t>)</w:t>
      </w:r>
      <w:r w:rsidR="004657FD">
        <w:rPr>
          <w:rFonts w:ascii="Arial" w:hAnsi="Arial" w:cs="Arial"/>
        </w:rPr>
        <w:t xml:space="preserve">. </w:t>
      </w:r>
    </w:p>
    <w:p w:rsidR="003A596A" w:rsidRPr="003A29CD" w:rsidRDefault="003A596A" w:rsidP="004657FD">
      <w:pPr>
        <w:pStyle w:val="Comp"/>
        <w:numPr>
          <w:ilvl w:val="0"/>
          <w:numId w:val="86"/>
        </w:numPr>
        <w:rPr>
          <w:rFonts w:ascii="Arial" w:hAnsi="Arial" w:cs="Arial"/>
          <w:b w:val="0"/>
          <w:color w:val="0070C0"/>
          <w:sz w:val="24"/>
          <w:szCs w:val="24"/>
        </w:rPr>
      </w:pPr>
      <w:bookmarkStart w:id="326" w:name="_Toc432501882"/>
      <w:bookmarkStart w:id="327" w:name="_Toc434916172"/>
      <w:bookmarkStart w:id="328" w:name="_Toc434918386"/>
      <w:r w:rsidRPr="003A29CD">
        <w:rPr>
          <w:rFonts w:ascii="Arial" w:hAnsi="Arial" w:cs="Arial"/>
          <w:b w:val="0"/>
          <w:color w:val="0070C0"/>
          <w:sz w:val="24"/>
          <w:szCs w:val="24"/>
        </w:rPr>
        <w:t>Couverture et normes des audits effectués.</w:t>
      </w:r>
      <w:bookmarkEnd w:id="326"/>
      <w:bookmarkEnd w:id="327"/>
      <w:bookmarkEnd w:id="328"/>
    </w:p>
    <w:p w:rsidR="003A596A" w:rsidRPr="00A17E25" w:rsidRDefault="003A596A" w:rsidP="003A596A">
      <w:pPr>
        <w:autoSpaceDE w:val="0"/>
        <w:autoSpaceDN w:val="0"/>
        <w:adjustRightInd w:val="0"/>
        <w:jc w:val="both"/>
        <w:rPr>
          <w:rFonts w:ascii="Arial" w:hAnsi="Arial" w:cs="Arial"/>
          <w:color w:val="141414"/>
        </w:rPr>
      </w:pPr>
      <w:r w:rsidRPr="00A17E25">
        <w:rPr>
          <w:rFonts w:ascii="Arial" w:hAnsi="Arial" w:cs="Arial"/>
          <w:color w:val="141414"/>
        </w:rPr>
        <w:t>La nouvelle Constitution consolide le contrôle de proximité effectué par les Cours Régionales des Comptes (CRC) sur les finances publiques locales, pour le renforcement du processus de décentralisation et de déconcentration mené par le Maroc</w:t>
      </w:r>
      <w:r w:rsidRPr="00A17E25">
        <w:rPr>
          <w:rStyle w:val="FootnoteReference"/>
          <w:rFonts w:ascii="Arial" w:hAnsi="Arial" w:cs="Arial"/>
          <w:color w:val="141414"/>
        </w:rPr>
        <w:footnoteReference w:id="57"/>
      </w:r>
      <w:r w:rsidRPr="00A17E25">
        <w:rPr>
          <w:rFonts w:ascii="Arial" w:hAnsi="Arial" w:cs="Arial"/>
          <w:color w:val="141414"/>
        </w:rPr>
        <w:t>.</w:t>
      </w:r>
    </w:p>
    <w:p w:rsidR="003A596A" w:rsidRPr="00A17E25" w:rsidRDefault="003A596A" w:rsidP="003A596A">
      <w:pPr>
        <w:autoSpaceDE w:val="0"/>
        <w:autoSpaceDN w:val="0"/>
        <w:adjustRightInd w:val="0"/>
        <w:jc w:val="both"/>
        <w:rPr>
          <w:rFonts w:ascii="Arial" w:hAnsi="Arial" w:cs="Arial"/>
          <w:color w:val="141414"/>
        </w:rPr>
      </w:pPr>
      <w:r w:rsidRPr="00A17E25">
        <w:rPr>
          <w:rFonts w:ascii="Arial" w:hAnsi="Arial" w:cs="Arial"/>
          <w:color w:val="141414"/>
        </w:rPr>
        <w:t>En 2012, les Cours régionales des comptes ont réalisé 95 missions de contrôle de la gestion notamment auprès de 20 communes urbaines, trois (3) gestions déléguées,  et 64 communes rurales, deux (2) services publics locaux et une mission thématique</w:t>
      </w:r>
      <w:r w:rsidRPr="00A17E25">
        <w:rPr>
          <w:rFonts w:ascii="Arial" w:hAnsi="Arial" w:cs="Arial"/>
          <w:color w:val="141414"/>
        </w:rPr>
        <w:footnoteReference w:id="58"/>
      </w:r>
      <w:r w:rsidR="004657FD">
        <w:rPr>
          <w:rFonts w:ascii="Arial" w:hAnsi="Arial" w:cs="Arial"/>
          <w:color w:val="141414"/>
        </w:rPr>
        <w:t>. Certaines de ces</w:t>
      </w:r>
      <w:r w:rsidRPr="00A17E25">
        <w:rPr>
          <w:rFonts w:ascii="Arial" w:hAnsi="Arial" w:cs="Arial"/>
          <w:color w:val="141414"/>
        </w:rPr>
        <w:t xml:space="preserve"> in</w:t>
      </w:r>
      <w:r w:rsidR="004657FD">
        <w:rPr>
          <w:rFonts w:ascii="Arial" w:hAnsi="Arial" w:cs="Arial"/>
          <w:color w:val="141414"/>
        </w:rPr>
        <w:t xml:space="preserve">terventions ont concerné la </w:t>
      </w:r>
      <w:r w:rsidR="00DE5B35">
        <w:rPr>
          <w:rFonts w:ascii="Arial" w:hAnsi="Arial" w:cs="Arial"/>
          <w:color w:val="141414"/>
        </w:rPr>
        <w:t>CC</w:t>
      </w:r>
      <w:r w:rsidR="004657FD">
        <w:rPr>
          <w:rFonts w:ascii="Arial" w:hAnsi="Arial" w:cs="Arial"/>
          <w:color w:val="141414"/>
        </w:rPr>
        <w:t xml:space="preserve"> et consisté notamment en :</w:t>
      </w:r>
    </w:p>
    <w:p w:rsidR="003A596A" w:rsidRPr="00A17E25" w:rsidRDefault="003A596A" w:rsidP="003A596A">
      <w:pPr>
        <w:autoSpaceDE w:val="0"/>
        <w:autoSpaceDN w:val="0"/>
        <w:adjustRightInd w:val="0"/>
        <w:jc w:val="both"/>
        <w:rPr>
          <w:rFonts w:ascii="Arial" w:hAnsi="Arial" w:cs="Arial"/>
          <w:color w:val="141414"/>
        </w:rPr>
      </w:pPr>
      <w:r w:rsidRPr="00A17E25">
        <w:rPr>
          <w:rFonts w:ascii="Arial" w:hAnsi="Arial" w:cs="Arial"/>
          <w:color w:val="141414"/>
        </w:rPr>
        <w:t xml:space="preserve"> </w:t>
      </w:r>
    </w:p>
    <w:p w:rsidR="003A596A" w:rsidRPr="00A17E25" w:rsidRDefault="003A596A" w:rsidP="002A24D6">
      <w:pPr>
        <w:pStyle w:val="ListParagraph"/>
        <w:numPr>
          <w:ilvl w:val="0"/>
          <w:numId w:val="53"/>
        </w:numPr>
        <w:autoSpaceDE w:val="0"/>
        <w:autoSpaceDN w:val="0"/>
        <w:adjustRightInd w:val="0"/>
        <w:spacing w:before="120"/>
        <w:jc w:val="both"/>
        <w:rPr>
          <w:rFonts w:ascii="Arial" w:hAnsi="Arial" w:cs="Arial"/>
          <w:bCs/>
        </w:rPr>
      </w:pPr>
      <w:r w:rsidRPr="00A17E25">
        <w:rPr>
          <w:rFonts w:ascii="Arial" w:hAnsi="Arial" w:cs="Arial"/>
          <w:color w:val="141414"/>
        </w:rPr>
        <w:t>une mission de contrôle de la gestion</w:t>
      </w:r>
      <w:r w:rsidRPr="00A17E25">
        <w:rPr>
          <w:rFonts w:ascii="Arial" w:hAnsi="Arial" w:cs="Arial"/>
          <w:bCs/>
        </w:rPr>
        <w:t xml:space="preserve"> déléguée des services de distribution d’eau, d’électricité, d’éclairage public et d’assainissement liquide au niveau du Grand Casablanca </w:t>
      </w:r>
      <w:r w:rsidRPr="00A17E25">
        <w:rPr>
          <w:rFonts w:ascii="Arial" w:hAnsi="Arial" w:cs="Arial"/>
          <w:color w:val="141414"/>
        </w:rPr>
        <w:t>qui a porté sur l’appréciation des aspects de la gestion liés à la facturation par type de prestation, les facturations effectuées par le délégataire au profit de l’autorité délégante, le suivi et le contrôle de l’application des clauses du contrat, ainsi que le suivi de la mise en œuvre des recommandations.</w:t>
      </w:r>
    </w:p>
    <w:p w:rsidR="003A596A" w:rsidRPr="00A17E25" w:rsidRDefault="003A596A" w:rsidP="002A24D6">
      <w:pPr>
        <w:pStyle w:val="ListParagraph"/>
        <w:numPr>
          <w:ilvl w:val="0"/>
          <w:numId w:val="53"/>
        </w:numPr>
        <w:autoSpaceDE w:val="0"/>
        <w:autoSpaceDN w:val="0"/>
        <w:adjustRightInd w:val="0"/>
        <w:spacing w:before="120"/>
        <w:jc w:val="both"/>
        <w:rPr>
          <w:rFonts w:ascii="Arial" w:hAnsi="Arial" w:cs="Arial"/>
          <w:color w:val="141414"/>
        </w:rPr>
      </w:pPr>
      <w:r w:rsidRPr="00A17E25">
        <w:rPr>
          <w:rFonts w:ascii="Arial" w:hAnsi="Arial" w:cs="Arial"/>
          <w:color w:val="141414"/>
        </w:rPr>
        <w:t>une mission de contrôle de la gestion qui a porté sur les projets de construction et d’aménagement de la voirie et de ses abords et dépendances réalisés par la commune  de Casablanca entre 2004 et 2012.</w:t>
      </w:r>
    </w:p>
    <w:p w:rsidR="003A596A" w:rsidRPr="00A17E25" w:rsidRDefault="003A596A" w:rsidP="003A596A">
      <w:pPr>
        <w:autoSpaceDE w:val="0"/>
        <w:autoSpaceDN w:val="0"/>
        <w:adjustRightInd w:val="0"/>
        <w:jc w:val="both"/>
        <w:rPr>
          <w:rFonts w:ascii="Arial" w:hAnsi="Arial" w:cs="Arial"/>
          <w:color w:val="141414"/>
        </w:rPr>
      </w:pPr>
    </w:p>
    <w:p w:rsidR="003A596A" w:rsidRPr="00A17E25" w:rsidRDefault="003A596A" w:rsidP="002A24D6">
      <w:pPr>
        <w:spacing w:before="240"/>
        <w:jc w:val="both"/>
        <w:rPr>
          <w:rFonts w:ascii="Arial" w:hAnsi="Arial" w:cs="Arial"/>
        </w:rPr>
      </w:pPr>
      <w:r w:rsidRPr="00A17E25">
        <w:rPr>
          <w:rFonts w:ascii="Arial" w:hAnsi="Arial" w:cs="Arial"/>
        </w:rPr>
        <w:t xml:space="preserve">En 2013, la Cour régionale des comptes de Casablanca a réalisé dans le cadre de son programme annuel 2013, deux missions qui ont concerné le contrôle de deux gestions déléguées : la décharge et les abattoirs de la </w:t>
      </w:r>
      <w:r w:rsidR="00DE5B35">
        <w:rPr>
          <w:rFonts w:ascii="Arial" w:hAnsi="Arial" w:cs="Arial"/>
        </w:rPr>
        <w:t>CC</w:t>
      </w:r>
      <w:r w:rsidRPr="00A17E25">
        <w:rPr>
          <w:rFonts w:ascii="Arial" w:hAnsi="Arial" w:cs="Arial"/>
        </w:rPr>
        <w:t>.</w:t>
      </w:r>
    </w:p>
    <w:p w:rsidR="003A596A" w:rsidRPr="00A17E25" w:rsidRDefault="003A596A" w:rsidP="002A24D6">
      <w:pPr>
        <w:autoSpaceDE w:val="0"/>
        <w:autoSpaceDN w:val="0"/>
        <w:adjustRightInd w:val="0"/>
        <w:spacing w:before="240"/>
        <w:jc w:val="both"/>
        <w:rPr>
          <w:rFonts w:ascii="Arial" w:hAnsi="Arial" w:cs="Arial"/>
          <w:color w:val="141414"/>
        </w:rPr>
      </w:pPr>
      <w:r w:rsidRPr="00A17E25">
        <w:rPr>
          <w:rFonts w:ascii="Arial" w:hAnsi="Arial" w:cs="Arial"/>
          <w:color w:val="141414"/>
        </w:rPr>
        <w:t>Il ressort que le mandat la Cour des Comptes couvre le contrôle de gestion des communes, que les missions effectuées sont orientées vers les zones de risques et que les diligences effectuées sont conformes aux normes internationales notamment en ce qui concerne la publication des rapports.</w:t>
      </w:r>
    </w:p>
    <w:p w:rsidR="003A596A" w:rsidRPr="00A17E25" w:rsidRDefault="003A596A" w:rsidP="002A24D6">
      <w:pPr>
        <w:autoSpaceDE w:val="0"/>
        <w:autoSpaceDN w:val="0"/>
        <w:adjustRightInd w:val="0"/>
        <w:spacing w:before="240"/>
        <w:jc w:val="both"/>
        <w:rPr>
          <w:rFonts w:ascii="Arial" w:hAnsi="Arial" w:cs="Arial"/>
          <w:color w:val="141414"/>
        </w:rPr>
      </w:pPr>
      <w:r w:rsidRPr="00A17E25">
        <w:rPr>
          <w:rFonts w:ascii="Arial" w:hAnsi="Arial" w:cs="Arial"/>
          <w:color w:val="141414"/>
        </w:rPr>
        <w:t xml:space="preserve">Cependant, la fréquence des missions individuelles des Cours Régionales des comptes dans les collectivités locales demeure faible. De même, l’entendue des missions réalisées notamment à la </w:t>
      </w:r>
      <w:r w:rsidR="00DE5B35">
        <w:rPr>
          <w:rFonts w:ascii="Arial" w:hAnsi="Arial" w:cs="Arial"/>
          <w:color w:val="141414"/>
        </w:rPr>
        <w:t>CC</w:t>
      </w:r>
      <w:r w:rsidRPr="00A17E25">
        <w:rPr>
          <w:rFonts w:ascii="Arial" w:hAnsi="Arial" w:cs="Arial"/>
          <w:color w:val="141414"/>
        </w:rPr>
        <w:t xml:space="preserve"> a été limitée à des questions thématiques et ne couvre pas tous les aspects systémiques et importants de la gestion des finances de la commune notamment le fonctionnement des systèmes de contrôle interne et de la passation des marchés, la performance des dépenses et le potentiel fiscal.</w:t>
      </w:r>
    </w:p>
    <w:p w:rsidR="003A596A" w:rsidRPr="003A29CD" w:rsidRDefault="003A596A" w:rsidP="00260CB9">
      <w:pPr>
        <w:pStyle w:val="Comp"/>
        <w:numPr>
          <w:ilvl w:val="0"/>
          <w:numId w:val="20"/>
        </w:numPr>
        <w:rPr>
          <w:rFonts w:ascii="Arial" w:hAnsi="Arial" w:cs="Arial"/>
          <w:b w:val="0"/>
          <w:color w:val="0070C0"/>
          <w:sz w:val="24"/>
          <w:szCs w:val="24"/>
        </w:rPr>
      </w:pPr>
      <w:bookmarkStart w:id="329" w:name="_Toc432501883"/>
      <w:bookmarkStart w:id="330" w:name="_Toc434916173"/>
      <w:bookmarkStart w:id="331" w:name="_Toc434918387"/>
      <w:r w:rsidRPr="003A29CD">
        <w:rPr>
          <w:rFonts w:ascii="Arial" w:hAnsi="Arial" w:cs="Arial"/>
          <w:b w:val="0"/>
          <w:color w:val="0070C0"/>
          <w:sz w:val="24"/>
          <w:szCs w:val="24"/>
        </w:rPr>
        <w:t xml:space="preserve">Rapidité de la soumission des rapports d’audit sur les rapports financiers de la </w:t>
      </w:r>
      <w:r w:rsidR="00DE5B35" w:rsidRPr="003A29CD">
        <w:rPr>
          <w:rFonts w:ascii="Arial" w:hAnsi="Arial" w:cs="Arial"/>
          <w:b w:val="0"/>
          <w:color w:val="0070C0"/>
          <w:sz w:val="24"/>
          <w:szCs w:val="24"/>
        </w:rPr>
        <w:t>CC</w:t>
      </w:r>
      <w:r w:rsidRPr="003A29CD">
        <w:rPr>
          <w:rFonts w:ascii="Arial" w:hAnsi="Arial" w:cs="Arial"/>
          <w:b w:val="0"/>
          <w:color w:val="0070C0"/>
          <w:sz w:val="24"/>
          <w:szCs w:val="24"/>
        </w:rPr>
        <w:t xml:space="preserve"> au pouvoir législatif.</w:t>
      </w:r>
      <w:bookmarkEnd w:id="329"/>
      <w:bookmarkEnd w:id="330"/>
      <w:bookmarkEnd w:id="331"/>
    </w:p>
    <w:p w:rsidR="003A596A" w:rsidRPr="00A17E25" w:rsidRDefault="003A596A" w:rsidP="003A596A">
      <w:pPr>
        <w:shd w:val="clear" w:color="auto" w:fill="FFFFFF"/>
        <w:jc w:val="both"/>
        <w:rPr>
          <w:rFonts w:ascii="Arial" w:hAnsi="Arial" w:cs="Arial"/>
          <w:iCs/>
        </w:rPr>
      </w:pPr>
      <w:r w:rsidRPr="00A17E25">
        <w:rPr>
          <w:rFonts w:ascii="Arial" w:hAnsi="Arial" w:cs="Arial"/>
          <w:iCs/>
        </w:rPr>
        <w:t>Les rapports de la Cour des Comptes</w:t>
      </w:r>
      <w:r w:rsidR="00260CB9">
        <w:rPr>
          <w:rFonts w:ascii="Arial" w:hAnsi="Arial" w:cs="Arial"/>
          <w:iCs/>
        </w:rPr>
        <w:t xml:space="preserve"> au titre du dernier exercice (</w:t>
      </w:r>
      <w:r w:rsidRPr="00A17E25">
        <w:rPr>
          <w:rFonts w:ascii="Arial" w:hAnsi="Arial" w:cs="Arial"/>
          <w:iCs/>
        </w:rPr>
        <w:t xml:space="preserve">2014) </w:t>
      </w:r>
      <w:r w:rsidR="00A07D79" w:rsidRPr="00A17E25">
        <w:rPr>
          <w:rFonts w:ascii="Arial" w:hAnsi="Arial" w:cs="Arial"/>
          <w:iCs/>
        </w:rPr>
        <w:t>ne sont</w:t>
      </w:r>
      <w:r w:rsidRPr="00A17E25">
        <w:rPr>
          <w:rFonts w:ascii="Arial" w:hAnsi="Arial" w:cs="Arial"/>
          <w:iCs/>
        </w:rPr>
        <w:t xml:space="preserve"> pas encore </w:t>
      </w:r>
      <w:r w:rsidR="00A07D79" w:rsidRPr="00A17E25">
        <w:rPr>
          <w:rFonts w:ascii="Arial" w:hAnsi="Arial" w:cs="Arial"/>
          <w:iCs/>
        </w:rPr>
        <w:t>publiés</w:t>
      </w:r>
      <w:r w:rsidRPr="00A17E25">
        <w:rPr>
          <w:rFonts w:ascii="Arial" w:hAnsi="Arial" w:cs="Arial"/>
          <w:iCs/>
        </w:rPr>
        <w:t>. Le dernier rapport publié concerne l’exercice 2013 (publié en 2015).</w:t>
      </w:r>
    </w:p>
    <w:p w:rsidR="003A596A" w:rsidRPr="00A17E25" w:rsidRDefault="003A596A" w:rsidP="003A596A">
      <w:pPr>
        <w:shd w:val="clear" w:color="auto" w:fill="FFFFFF"/>
        <w:jc w:val="both"/>
        <w:rPr>
          <w:rFonts w:ascii="Arial" w:hAnsi="Arial" w:cs="Arial"/>
          <w:iCs/>
        </w:rPr>
      </w:pPr>
      <w:r w:rsidRPr="00A17E25">
        <w:rPr>
          <w:rFonts w:ascii="Arial" w:hAnsi="Arial" w:cs="Arial"/>
          <w:iCs/>
        </w:rPr>
        <w:t>La dernière mission de la Cour Régionale des Comptes de  Casablanca a été présentée dans ce rapport.</w:t>
      </w:r>
    </w:p>
    <w:p w:rsidR="003A596A" w:rsidRPr="00A17E25" w:rsidRDefault="00260CB9" w:rsidP="003A596A">
      <w:pPr>
        <w:shd w:val="clear" w:color="auto" w:fill="FFFFFF"/>
        <w:jc w:val="both"/>
        <w:rPr>
          <w:rFonts w:ascii="Arial" w:hAnsi="Arial" w:cs="Arial"/>
          <w:iCs/>
        </w:rPr>
      </w:pPr>
      <w:r>
        <w:rPr>
          <w:rFonts w:ascii="Arial" w:hAnsi="Arial" w:cs="Arial"/>
          <w:iCs/>
        </w:rPr>
        <w:t>Par ailleurs</w:t>
      </w:r>
      <w:r w:rsidR="003A596A" w:rsidRPr="00A17E25">
        <w:rPr>
          <w:rFonts w:ascii="Arial" w:hAnsi="Arial" w:cs="Arial"/>
          <w:iCs/>
        </w:rPr>
        <w:t>, il n’est pas prévu dans la législation nationale de rapports annuels d’audit préparés par les Cours Régionales des comptes à l’attention des Conseils communaux.</w:t>
      </w:r>
    </w:p>
    <w:p w:rsidR="003A596A" w:rsidRPr="003A29CD" w:rsidRDefault="003A596A" w:rsidP="00260CB9">
      <w:pPr>
        <w:pStyle w:val="Comp"/>
        <w:numPr>
          <w:ilvl w:val="0"/>
          <w:numId w:val="20"/>
        </w:numPr>
        <w:rPr>
          <w:rFonts w:ascii="Arial" w:hAnsi="Arial" w:cs="Arial"/>
          <w:b w:val="0"/>
          <w:color w:val="0070C0"/>
          <w:sz w:val="24"/>
          <w:szCs w:val="24"/>
        </w:rPr>
      </w:pPr>
      <w:bookmarkStart w:id="332" w:name="_Toc432501884"/>
      <w:bookmarkStart w:id="333" w:name="_Toc434916174"/>
      <w:bookmarkStart w:id="334" w:name="_Toc434918388"/>
      <w:r w:rsidRPr="003A29CD">
        <w:rPr>
          <w:rFonts w:ascii="Arial" w:hAnsi="Arial" w:cs="Arial"/>
          <w:b w:val="0"/>
          <w:color w:val="0070C0"/>
          <w:sz w:val="24"/>
          <w:szCs w:val="24"/>
        </w:rPr>
        <w:t>Preuve de l’adoption par le pouvoir exécutif ou par l’entité auditée de mesures pour donner suite aux recommandations et aux observations de l’audit.</w:t>
      </w:r>
      <w:bookmarkEnd w:id="332"/>
      <w:bookmarkEnd w:id="333"/>
      <w:bookmarkEnd w:id="334"/>
    </w:p>
    <w:p w:rsidR="003A596A" w:rsidRPr="00A17E25" w:rsidRDefault="003A596A" w:rsidP="003A596A">
      <w:pPr>
        <w:spacing w:line="256" w:lineRule="auto"/>
        <w:jc w:val="both"/>
        <w:rPr>
          <w:rFonts w:ascii="Arial" w:hAnsi="Arial" w:cs="Arial"/>
        </w:rPr>
      </w:pPr>
      <w:r w:rsidRPr="00A17E25">
        <w:rPr>
          <w:rFonts w:ascii="Arial" w:hAnsi="Arial" w:cs="Arial"/>
        </w:rPr>
        <w:t xml:space="preserve">La Cour </w:t>
      </w:r>
      <w:r w:rsidR="00260CB9">
        <w:rPr>
          <w:rFonts w:ascii="Arial" w:hAnsi="Arial" w:cs="Arial"/>
        </w:rPr>
        <w:t xml:space="preserve">des comptes </w:t>
      </w:r>
      <w:r w:rsidRPr="00A17E25">
        <w:rPr>
          <w:rFonts w:ascii="Arial" w:hAnsi="Arial" w:cs="Arial"/>
        </w:rPr>
        <w:t>fait des recommandations et elle a mis en place, pour elle et les Cours régionales, un dispositif de suivi systématique de ses recommandations.</w:t>
      </w:r>
    </w:p>
    <w:p w:rsidR="003A596A" w:rsidRPr="00A17E25" w:rsidRDefault="003A596A" w:rsidP="003A596A">
      <w:pPr>
        <w:spacing w:line="256" w:lineRule="auto"/>
        <w:jc w:val="both"/>
        <w:rPr>
          <w:rFonts w:ascii="Arial" w:hAnsi="Arial" w:cs="Arial"/>
          <w:iCs/>
        </w:rPr>
      </w:pPr>
    </w:p>
    <w:p w:rsidR="003A596A" w:rsidRPr="00A17E25" w:rsidRDefault="00A07D79" w:rsidP="003A596A">
      <w:pPr>
        <w:spacing w:line="256" w:lineRule="auto"/>
        <w:jc w:val="both"/>
        <w:rPr>
          <w:rFonts w:ascii="Arial" w:hAnsi="Arial" w:cs="Arial"/>
        </w:rPr>
      </w:pPr>
      <w:r w:rsidRPr="00A17E25">
        <w:rPr>
          <w:rFonts w:ascii="Arial" w:hAnsi="Arial" w:cs="Arial"/>
          <w:iCs/>
        </w:rPr>
        <w:t>Il</w:t>
      </w:r>
      <w:r w:rsidR="003A596A" w:rsidRPr="00A17E25">
        <w:rPr>
          <w:rFonts w:ascii="Arial" w:hAnsi="Arial" w:cs="Arial"/>
          <w:iCs/>
        </w:rPr>
        <w:t xml:space="preserve"> est à préciser la que Cour Régionale des Compte</w:t>
      </w:r>
      <w:r w:rsidR="00260CB9">
        <w:rPr>
          <w:rFonts w:ascii="Arial" w:hAnsi="Arial" w:cs="Arial"/>
          <w:iCs/>
        </w:rPr>
        <w:t>s de Casablanca considère dans l</w:t>
      </w:r>
      <w:r w:rsidR="003A596A" w:rsidRPr="00A17E25">
        <w:rPr>
          <w:rFonts w:ascii="Arial" w:hAnsi="Arial" w:cs="Arial"/>
          <w:iCs/>
        </w:rPr>
        <w:t xml:space="preserve">e rapport de 2012 que ces recommandations concernant la </w:t>
      </w:r>
      <w:r w:rsidR="00DE5B35">
        <w:rPr>
          <w:rFonts w:ascii="Arial" w:hAnsi="Arial" w:cs="Arial"/>
          <w:iCs/>
        </w:rPr>
        <w:t>CC</w:t>
      </w:r>
      <w:r w:rsidR="003A596A" w:rsidRPr="00A17E25">
        <w:rPr>
          <w:rFonts w:ascii="Arial" w:hAnsi="Arial" w:cs="Arial"/>
          <w:iCs/>
        </w:rPr>
        <w:t xml:space="preserve"> au titre de la mission précédente n’ont pas été toutes satisfaites.</w:t>
      </w:r>
      <w:r w:rsidR="003A596A" w:rsidRPr="00A17E25">
        <w:rPr>
          <w:rStyle w:val="FootnoteReference"/>
          <w:rFonts w:ascii="Arial" w:hAnsi="Arial" w:cs="Arial"/>
          <w:iCs/>
        </w:rPr>
        <w:footnoteReference w:id="59"/>
      </w:r>
    </w:p>
    <w:p w:rsidR="003A596A" w:rsidRPr="00A17E25" w:rsidRDefault="003A596A" w:rsidP="003A596A">
      <w:pPr>
        <w:spacing w:line="256" w:lineRule="auto"/>
        <w:jc w:val="both"/>
        <w:rPr>
          <w:rFonts w:ascii="Arial" w:hAnsi="Arial" w:cs="Arial"/>
        </w:rPr>
      </w:pPr>
      <w:r w:rsidRPr="00A17E25">
        <w:rPr>
          <w:rFonts w:ascii="Arial" w:hAnsi="Arial" w:cs="Arial"/>
        </w:rPr>
        <w:t>Le rapport de 2013 ne fait pas état du suivi des recommandations précédentes.</w:t>
      </w:r>
    </w:p>
    <w:p w:rsidR="003A596A" w:rsidRPr="003A29CD" w:rsidRDefault="003A596A" w:rsidP="00151AD3">
      <w:pPr>
        <w:pStyle w:val="Comp"/>
        <w:numPr>
          <w:ilvl w:val="0"/>
          <w:numId w:val="20"/>
        </w:numPr>
        <w:rPr>
          <w:rFonts w:ascii="Arial" w:hAnsi="Arial" w:cs="Arial"/>
          <w:b w:val="0"/>
          <w:color w:val="0070C0"/>
          <w:sz w:val="24"/>
          <w:szCs w:val="24"/>
        </w:rPr>
      </w:pPr>
      <w:bookmarkStart w:id="335" w:name="_Toc432501885"/>
      <w:bookmarkStart w:id="336" w:name="_Toc434916175"/>
      <w:bookmarkStart w:id="337" w:name="_Toc434918389"/>
      <w:r w:rsidRPr="003A29CD">
        <w:rPr>
          <w:rFonts w:ascii="Arial" w:hAnsi="Arial" w:cs="Arial"/>
          <w:b w:val="0"/>
          <w:color w:val="0070C0"/>
          <w:sz w:val="24"/>
          <w:szCs w:val="24"/>
        </w:rPr>
        <w:t>Indépendance de l’ISC et accès à l’information.</w:t>
      </w:r>
      <w:bookmarkEnd w:id="335"/>
      <w:bookmarkEnd w:id="336"/>
      <w:bookmarkEnd w:id="337"/>
    </w:p>
    <w:p w:rsidR="003A596A" w:rsidRPr="00A17E25" w:rsidRDefault="003A596A" w:rsidP="00260CB9">
      <w:pPr>
        <w:spacing w:after="200" w:line="276" w:lineRule="auto"/>
        <w:jc w:val="both"/>
        <w:rPr>
          <w:rFonts w:ascii="Arial" w:hAnsi="Arial" w:cs="Arial"/>
        </w:rPr>
      </w:pPr>
      <w:r w:rsidRPr="00A17E25">
        <w:rPr>
          <w:rFonts w:ascii="Arial" w:hAnsi="Arial" w:cs="Arial"/>
        </w:rPr>
        <w:t xml:space="preserve">L’indépendance de la Cour </w:t>
      </w:r>
      <w:r w:rsidR="009B753D">
        <w:rPr>
          <w:rFonts w:ascii="Arial" w:hAnsi="Arial" w:cs="Arial"/>
        </w:rPr>
        <w:t xml:space="preserve">des Comptes </w:t>
      </w:r>
      <w:r w:rsidRPr="00A17E25">
        <w:rPr>
          <w:rFonts w:ascii="Arial" w:hAnsi="Arial" w:cs="Arial"/>
        </w:rPr>
        <w:t xml:space="preserve">par rapport à l’exécutif est entière (notamment au regard des 8 critères de la déclaration de Mexico. Elle est garantie juridiquement par la constitution (article 147). </w:t>
      </w:r>
    </w:p>
    <w:p w:rsidR="00260CB9" w:rsidRDefault="003A596A" w:rsidP="003A596A">
      <w:pPr>
        <w:jc w:val="both"/>
        <w:rPr>
          <w:rFonts w:ascii="Arial" w:hAnsi="Arial" w:cs="Arial"/>
        </w:rPr>
      </w:pPr>
      <w:r w:rsidRPr="00A17E25">
        <w:rPr>
          <w:rFonts w:ascii="Arial" w:hAnsi="Arial" w:cs="Arial"/>
        </w:rPr>
        <w:t>Sa liberté de rédaction de ses publications ne semble pas avoir été limitée par des pressions de l’exécutif d’après les entretiens et le contenu des rapports. Les règles de procédure suivies pour la rédaction des rapports (insertions au rapport public) est conforme au modèle collégial propre au système juridictionnel et constitue une garantie de cette liberté.</w:t>
      </w:r>
    </w:p>
    <w:p w:rsidR="0034021B" w:rsidRDefault="0034021B"/>
    <w:p w:rsidR="009625DB" w:rsidRDefault="009625DB"/>
    <w:p w:rsidR="009625DB" w:rsidRDefault="009625DB"/>
    <w:p w:rsidR="009625DB" w:rsidRDefault="009625DB"/>
    <w:p w:rsidR="009625DB" w:rsidRDefault="009625DB"/>
    <w:p w:rsidR="009625DB" w:rsidRDefault="009625DB"/>
    <w:p w:rsidR="009625DB" w:rsidRDefault="009625DB"/>
    <w:p w:rsidR="009625DB" w:rsidRDefault="009625DB"/>
    <w:p w:rsidR="009625DB" w:rsidRDefault="009625DB"/>
    <w:p w:rsidR="009625DB" w:rsidRDefault="009625DB"/>
    <w:p w:rsidR="009625DB" w:rsidRDefault="009625DB"/>
    <w:tbl>
      <w:tblPr>
        <w:tblpPr w:leftFromText="141" w:rightFromText="141" w:vertAnchor="text" w:tblpY="3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866"/>
        <w:gridCol w:w="4658"/>
      </w:tblGrid>
      <w:tr w:rsidR="00503816" w:rsidRPr="00A17E25" w:rsidTr="00503816">
        <w:tc>
          <w:tcPr>
            <w:tcW w:w="2046" w:type="pct"/>
            <w:shd w:val="clear" w:color="auto" w:fill="0070C0"/>
          </w:tcPr>
          <w:p w:rsidR="00503816" w:rsidRPr="00A17E25" w:rsidRDefault="00503816" w:rsidP="00503816">
            <w:pPr>
              <w:jc w:val="center"/>
              <w:rPr>
                <w:rFonts w:ascii="Arial" w:hAnsi="Arial" w:cs="Arial"/>
                <w:b/>
                <w:bCs/>
                <w:color w:val="FFFFFF"/>
                <w:sz w:val="20"/>
                <w:szCs w:val="20"/>
              </w:rPr>
            </w:pPr>
            <w:r w:rsidRPr="00A17E25">
              <w:rPr>
                <w:rFonts w:ascii="Arial" w:hAnsi="Arial" w:cs="Arial"/>
                <w:b/>
                <w:bCs/>
                <w:color w:val="FFFFFF"/>
                <w:sz w:val="20"/>
                <w:szCs w:val="20"/>
              </w:rPr>
              <w:t>Indicateur</w:t>
            </w:r>
          </w:p>
        </w:tc>
        <w:tc>
          <w:tcPr>
            <w:tcW w:w="463" w:type="pct"/>
            <w:shd w:val="clear" w:color="auto" w:fill="0070C0"/>
          </w:tcPr>
          <w:p w:rsidR="00503816" w:rsidRPr="00A17E25" w:rsidRDefault="00503816" w:rsidP="00503816">
            <w:pPr>
              <w:jc w:val="center"/>
              <w:rPr>
                <w:rFonts w:ascii="Arial" w:hAnsi="Arial" w:cs="Arial"/>
                <w:b/>
                <w:bCs/>
                <w:color w:val="FFFFFF"/>
                <w:sz w:val="20"/>
                <w:szCs w:val="20"/>
              </w:rPr>
            </w:pPr>
            <w:r w:rsidRPr="00A17E25">
              <w:rPr>
                <w:rFonts w:ascii="Arial" w:hAnsi="Arial" w:cs="Arial"/>
                <w:b/>
                <w:bCs/>
                <w:color w:val="FFFFFF"/>
                <w:sz w:val="20"/>
                <w:szCs w:val="20"/>
              </w:rPr>
              <w:t>Note</w:t>
            </w:r>
          </w:p>
        </w:tc>
        <w:tc>
          <w:tcPr>
            <w:tcW w:w="2491" w:type="pct"/>
            <w:shd w:val="clear" w:color="auto" w:fill="0070C0"/>
          </w:tcPr>
          <w:p w:rsidR="00503816" w:rsidRPr="00A17E25" w:rsidRDefault="00503816" w:rsidP="00503816">
            <w:pPr>
              <w:jc w:val="center"/>
              <w:rPr>
                <w:rFonts w:ascii="Arial" w:hAnsi="Arial" w:cs="Arial"/>
                <w:b/>
                <w:bCs/>
                <w:color w:val="FFFFFF"/>
                <w:sz w:val="20"/>
                <w:szCs w:val="20"/>
              </w:rPr>
            </w:pPr>
            <w:r w:rsidRPr="00A17E25">
              <w:rPr>
                <w:rFonts w:ascii="Arial" w:hAnsi="Arial" w:cs="Arial"/>
                <w:b/>
                <w:bCs/>
                <w:color w:val="FFFFFF"/>
                <w:sz w:val="20"/>
                <w:szCs w:val="20"/>
              </w:rPr>
              <w:t>Explication</w:t>
            </w:r>
          </w:p>
        </w:tc>
      </w:tr>
      <w:tr w:rsidR="00503816" w:rsidRPr="00A17E25" w:rsidTr="00503816">
        <w:tc>
          <w:tcPr>
            <w:tcW w:w="2046" w:type="pct"/>
            <w:vAlign w:val="center"/>
          </w:tcPr>
          <w:p w:rsidR="00503816" w:rsidRPr="00A17E25" w:rsidRDefault="00503816" w:rsidP="00503816">
            <w:pPr>
              <w:pStyle w:val="Heading1"/>
              <w:rPr>
                <w:rFonts w:cs="Arial"/>
                <w:b w:val="0"/>
                <w:sz w:val="20"/>
                <w:szCs w:val="20"/>
              </w:rPr>
            </w:pPr>
            <w:bookmarkStart w:id="338" w:name="_Toc434916176"/>
            <w:bookmarkStart w:id="339" w:name="_Toc434918390"/>
            <w:r w:rsidRPr="00A17E25">
              <w:rPr>
                <w:rFonts w:cs="Arial"/>
                <w:sz w:val="20"/>
                <w:szCs w:val="20"/>
              </w:rPr>
              <w:t>PI-29 Indépendance de l’ISC et efficacité de l’audit externe des rapports financiers des administrations publiques</w:t>
            </w:r>
            <w:bookmarkEnd w:id="338"/>
            <w:bookmarkEnd w:id="339"/>
          </w:p>
          <w:p w:rsidR="00503816" w:rsidRPr="00A17E25" w:rsidRDefault="00503816" w:rsidP="00503816">
            <w:pPr>
              <w:rPr>
                <w:rFonts w:ascii="Arial" w:hAnsi="Arial" w:cs="Arial"/>
                <w:b/>
                <w:bCs/>
                <w:sz w:val="20"/>
                <w:szCs w:val="20"/>
              </w:rPr>
            </w:pPr>
          </w:p>
        </w:tc>
        <w:tc>
          <w:tcPr>
            <w:tcW w:w="463" w:type="pct"/>
            <w:vAlign w:val="center"/>
          </w:tcPr>
          <w:p w:rsidR="00503816" w:rsidRPr="00A17E25" w:rsidRDefault="00503816" w:rsidP="00503816">
            <w:pPr>
              <w:rPr>
                <w:rFonts w:ascii="Arial" w:hAnsi="Arial" w:cs="Arial"/>
                <w:b/>
                <w:bCs/>
                <w:sz w:val="20"/>
                <w:szCs w:val="20"/>
              </w:rPr>
            </w:pPr>
          </w:p>
          <w:p w:rsidR="00503816" w:rsidRPr="00A17E25" w:rsidRDefault="00503816" w:rsidP="00503816">
            <w:pPr>
              <w:rPr>
                <w:rFonts w:ascii="Arial" w:hAnsi="Arial" w:cs="Arial"/>
                <w:b/>
                <w:bCs/>
                <w:sz w:val="20"/>
                <w:szCs w:val="20"/>
              </w:rPr>
            </w:pPr>
            <w:r w:rsidRPr="00A17E25">
              <w:rPr>
                <w:rFonts w:ascii="Arial" w:hAnsi="Arial" w:cs="Arial"/>
                <w:b/>
                <w:bCs/>
                <w:sz w:val="20"/>
                <w:szCs w:val="20"/>
              </w:rPr>
              <w:t>D+</w:t>
            </w:r>
          </w:p>
        </w:tc>
        <w:tc>
          <w:tcPr>
            <w:tcW w:w="2491" w:type="pct"/>
            <w:vAlign w:val="center"/>
          </w:tcPr>
          <w:p w:rsidR="00503816" w:rsidRPr="00A17E25" w:rsidRDefault="00503816" w:rsidP="00503816">
            <w:pPr>
              <w:rPr>
                <w:rFonts w:ascii="Arial" w:hAnsi="Arial" w:cs="Arial"/>
                <w:b/>
                <w:bCs/>
                <w:sz w:val="20"/>
                <w:szCs w:val="20"/>
              </w:rPr>
            </w:pPr>
            <w:r w:rsidRPr="00A17E25">
              <w:rPr>
                <w:rFonts w:ascii="Arial" w:hAnsi="Arial" w:cs="Arial"/>
                <w:b/>
                <w:bCs/>
                <w:sz w:val="20"/>
                <w:szCs w:val="20"/>
              </w:rPr>
              <w:t>Méthode de Notation M1</w:t>
            </w:r>
          </w:p>
        </w:tc>
      </w:tr>
      <w:tr w:rsidR="00503816" w:rsidRPr="00A17E25" w:rsidTr="00503816">
        <w:tc>
          <w:tcPr>
            <w:tcW w:w="2046" w:type="pct"/>
            <w:vAlign w:val="center"/>
          </w:tcPr>
          <w:p w:rsidR="00503816" w:rsidRPr="00A17E25" w:rsidRDefault="00503816" w:rsidP="00503816">
            <w:pPr>
              <w:pStyle w:val="Comp"/>
              <w:numPr>
                <w:ilvl w:val="0"/>
                <w:numId w:val="0"/>
              </w:numPr>
              <w:ind w:left="284"/>
              <w:jc w:val="left"/>
              <w:rPr>
                <w:rFonts w:ascii="Arial" w:hAnsi="Arial" w:cs="Arial"/>
                <w:sz w:val="20"/>
                <w:szCs w:val="20"/>
              </w:rPr>
            </w:pPr>
            <w:bookmarkStart w:id="340" w:name="_Toc434916177"/>
            <w:bookmarkStart w:id="341" w:name="_Toc434918391"/>
            <w:r>
              <w:rPr>
                <w:rFonts w:ascii="Arial" w:hAnsi="Arial" w:cs="Arial"/>
                <w:b w:val="0"/>
                <w:i w:val="0"/>
                <w:sz w:val="20"/>
                <w:szCs w:val="20"/>
              </w:rPr>
              <w:t xml:space="preserve">i) </w:t>
            </w:r>
            <w:r w:rsidRPr="00A17E25">
              <w:rPr>
                <w:rFonts w:ascii="Arial" w:hAnsi="Arial" w:cs="Arial"/>
                <w:b w:val="0"/>
                <w:i w:val="0"/>
                <w:sz w:val="20"/>
                <w:szCs w:val="20"/>
              </w:rPr>
              <w:t>Couverture et normes des audits effectués.</w:t>
            </w:r>
            <w:bookmarkEnd w:id="340"/>
            <w:bookmarkEnd w:id="341"/>
          </w:p>
        </w:tc>
        <w:tc>
          <w:tcPr>
            <w:tcW w:w="463"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D</w:t>
            </w:r>
          </w:p>
        </w:tc>
        <w:tc>
          <w:tcPr>
            <w:tcW w:w="2491"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Les vérifications externes ont une fréquence et une portée qui ne permettent pas de mettre en évidence les questions d’importance majeure.</w:t>
            </w:r>
            <w:r>
              <w:rPr>
                <w:rFonts w:ascii="Arial" w:hAnsi="Arial" w:cs="Arial"/>
                <w:sz w:val="20"/>
                <w:szCs w:val="20"/>
              </w:rPr>
              <w:t xml:space="preserve"> </w:t>
            </w:r>
          </w:p>
        </w:tc>
      </w:tr>
      <w:tr w:rsidR="00503816" w:rsidRPr="00A17E25" w:rsidTr="00503816">
        <w:tc>
          <w:tcPr>
            <w:tcW w:w="2046" w:type="pct"/>
            <w:vAlign w:val="center"/>
          </w:tcPr>
          <w:p w:rsidR="00503816" w:rsidRPr="00A17E25" w:rsidRDefault="00503816" w:rsidP="00503816">
            <w:pPr>
              <w:pStyle w:val="Comp"/>
              <w:numPr>
                <w:ilvl w:val="0"/>
                <w:numId w:val="0"/>
              </w:numPr>
              <w:ind w:left="284"/>
              <w:jc w:val="left"/>
              <w:rPr>
                <w:rFonts w:ascii="Arial" w:hAnsi="Arial" w:cs="Arial"/>
                <w:sz w:val="20"/>
                <w:szCs w:val="20"/>
              </w:rPr>
            </w:pPr>
            <w:bookmarkStart w:id="342" w:name="_Toc434916178"/>
            <w:bookmarkStart w:id="343" w:name="_Toc434918392"/>
            <w:r>
              <w:rPr>
                <w:rFonts w:ascii="Arial" w:hAnsi="Arial" w:cs="Arial"/>
                <w:b w:val="0"/>
                <w:i w:val="0"/>
                <w:sz w:val="20"/>
                <w:szCs w:val="20"/>
              </w:rPr>
              <w:t xml:space="preserve">ii) </w:t>
            </w:r>
            <w:r w:rsidRPr="00A17E25">
              <w:rPr>
                <w:rFonts w:ascii="Arial" w:hAnsi="Arial" w:cs="Arial"/>
                <w:b w:val="0"/>
                <w:i w:val="0"/>
                <w:sz w:val="20"/>
                <w:szCs w:val="20"/>
              </w:rPr>
              <w:t xml:space="preserve">Rapidité de la soumission des rapports d’audit sur les rapports financiers de la </w:t>
            </w:r>
            <w:r>
              <w:rPr>
                <w:rFonts w:ascii="Arial" w:hAnsi="Arial" w:cs="Arial"/>
                <w:b w:val="0"/>
                <w:i w:val="0"/>
                <w:sz w:val="20"/>
                <w:szCs w:val="20"/>
              </w:rPr>
              <w:t>CC</w:t>
            </w:r>
            <w:r w:rsidRPr="00A17E25">
              <w:rPr>
                <w:rFonts w:ascii="Arial" w:hAnsi="Arial" w:cs="Arial"/>
                <w:b w:val="0"/>
                <w:i w:val="0"/>
                <w:sz w:val="20"/>
                <w:szCs w:val="20"/>
              </w:rPr>
              <w:t xml:space="preserve"> au pouvoir législatif.</w:t>
            </w:r>
            <w:bookmarkEnd w:id="342"/>
            <w:bookmarkEnd w:id="343"/>
          </w:p>
        </w:tc>
        <w:tc>
          <w:tcPr>
            <w:tcW w:w="463"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D</w:t>
            </w:r>
          </w:p>
        </w:tc>
        <w:tc>
          <w:tcPr>
            <w:tcW w:w="2491" w:type="pct"/>
            <w:vAlign w:val="center"/>
          </w:tcPr>
          <w:p w:rsidR="00503816" w:rsidRPr="00A17E25" w:rsidRDefault="00503816" w:rsidP="00503816">
            <w:pPr>
              <w:rPr>
                <w:rFonts w:ascii="Arial" w:hAnsi="Arial" w:cs="Arial"/>
                <w:sz w:val="20"/>
                <w:szCs w:val="20"/>
              </w:rPr>
            </w:pPr>
            <w:r w:rsidRPr="00A17E25">
              <w:rPr>
                <w:rFonts w:ascii="Arial" w:hAnsi="Arial" w:cs="Arial"/>
                <w:iCs/>
                <w:sz w:val="20"/>
                <w:szCs w:val="20"/>
              </w:rPr>
              <w:t>il n’est pas prévu dans la législation nationale de rapports annuels de vérification préparés par les Cours Régionales à l’attention des Conseils communaux.</w:t>
            </w:r>
          </w:p>
        </w:tc>
      </w:tr>
      <w:tr w:rsidR="00503816" w:rsidRPr="00A17E25" w:rsidTr="00503816">
        <w:tc>
          <w:tcPr>
            <w:tcW w:w="2046" w:type="pct"/>
            <w:vAlign w:val="center"/>
          </w:tcPr>
          <w:p w:rsidR="00503816" w:rsidRPr="00A17E25" w:rsidRDefault="00503816" w:rsidP="00503816">
            <w:pPr>
              <w:pStyle w:val="Comp"/>
              <w:numPr>
                <w:ilvl w:val="0"/>
                <w:numId w:val="0"/>
              </w:numPr>
              <w:ind w:left="284"/>
              <w:jc w:val="left"/>
              <w:rPr>
                <w:rFonts w:ascii="Arial" w:hAnsi="Arial" w:cs="Arial"/>
                <w:b w:val="0"/>
                <w:i w:val="0"/>
                <w:sz w:val="20"/>
                <w:szCs w:val="20"/>
              </w:rPr>
            </w:pPr>
            <w:bookmarkStart w:id="344" w:name="_Toc434916179"/>
            <w:bookmarkStart w:id="345" w:name="_Toc434918393"/>
            <w:r>
              <w:rPr>
                <w:rFonts w:ascii="Arial" w:hAnsi="Arial" w:cs="Arial"/>
                <w:b w:val="0"/>
                <w:i w:val="0"/>
                <w:sz w:val="20"/>
                <w:szCs w:val="20"/>
              </w:rPr>
              <w:t xml:space="preserve">iii) </w:t>
            </w:r>
            <w:r w:rsidRPr="00A17E25">
              <w:rPr>
                <w:rFonts w:ascii="Arial" w:hAnsi="Arial" w:cs="Arial"/>
                <w:b w:val="0"/>
                <w:i w:val="0"/>
                <w:sz w:val="20"/>
                <w:szCs w:val="20"/>
              </w:rPr>
              <w:t>Preuve de l’adoption par le pouvoir exécutif ou par l’entité auditée de mesures pour donner suite aux recommandations et aux observations de l’audit.</w:t>
            </w:r>
            <w:bookmarkEnd w:id="344"/>
            <w:bookmarkEnd w:id="345"/>
          </w:p>
        </w:tc>
        <w:tc>
          <w:tcPr>
            <w:tcW w:w="463"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D</w:t>
            </w:r>
          </w:p>
        </w:tc>
        <w:tc>
          <w:tcPr>
            <w:tcW w:w="2491"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Pas de mission de vérification externe lors des trois derniers exercices et pas de recommandations</w:t>
            </w:r>
          </w:p>
        </w:tc>
      </w:tr>
      <w:tr w:rsidR="00503816" w:rsidRPr="00A17E25" w:rsidTr="00503816">
        <w:tc>
          <w:tcPr>
            <w:tcW w:w="2046" w:type="pct"/>
            <w:vAlign w:val="center"/>
          </w:tcPr>
          <w:p w:rsidR="00503816" w:rsidRPr="00A17E25" w:rsidRDefault="00503816" w:rsidP="00503816">
            <w:pPr>
              <w:pStyle w:val="Comp"/>
              <w:numPr>
                <w:ilvl w:val="0"/>
                <w:numId w:val="0"/>
              </w:numPr>
              <w:ind w:left="284"/>
              <w:jc w:val="left"/>
              <w:rPr>
                <w:rFonts w:ascii="Arial" w:hAnsi="Arial" w:cs="Arial"/>
                <w:sz w:val="20"/>
                <w:szCs w:val="20"/>
              </w:rPr>
            </w:pPr>
            <w:bookmarkStart w:id="346" w:name="_Toc434916180"/>
            <w:bookmarkStart w:id="347" w:name="_Toc434918394"/>
            <w:r>
              <w:rPr>
                <w:rFonts w:ascii="Arial" w:hAnsi="Arial" w:cs="Arial"/>
                <w:b w:val="0"/>
                <w:i w:val="0"/>
                <w:sz w:val="20"/>
                <w:szCs w:val="20"/>
              </w:rPr>
              <w:t xml:space="preserve">iv) </w:t>
            </w:r>
            <w:r w:rsidRPr="00A17E25">
              <w:rPr>
                <w:rFonts w:ascii="Arial" w:hAnsi="Arial" w:cs="Arial"/>
                <w:b w:val="0"/>
                <w:i w:val="0"/>
                <w:sz w:val="20"/>
                <w:szCs w:val="20"/>
              </w:rPr>
              <w:t>Indépendance de l’ISC et accès à l’information.</w:t>
            </w:r>
            <w:bookmarkEnd w:id="346"/>
            <w:bookmarkEnd w:id="347"/>
          </w:p>
        </w:tc>
        <w:tc>
          <w:tcPr>
            <w:tcW w:w="463"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A</w:t>
            </w:r>
          </w:p>
        </w:tc>
        <w:tc>
          <w:tcPr>
            <w:tcW w:w="2491" w:type="pct"/>
            <w:vAlign w:val="center"/>
          </w:tcPr>
          <w:p w:rsidR="00503816" w:rsidRPr="00A17E25" w:rsidRDefault="00503816" w:rsidP="00503816">
            <w:pPr>
              <w:rPr>
                <w:rFonts w:ascii="Arial" w:hAnsi="Arial" w:cs="Arial"/>
                <w:sz w:val="20"/>
                <w:szCs w:val="20"/>
              </w:rPr>
            </w:pPr>
            <w:r w:rsidRPr="00A17E25">
              <w:rPr>
                <w:rFonts w:ascii="Arial" w:hAnsi="Arial" w:cs="Arial"/>
                <w:sz w:val="20"/>
                <w:szCs w:val="20"/>
              </w:rPr>
              <w:t>L’ISC opère de manière indépendante du pouvoir exécutif, et cette indépendance est assurée par la législation, les procédures de nomination/de relèvement des fonctions du président de l’ISC, la planification des missions d’audit, les modalités de publication des rapports et l’approbation et l’exécution du budget de l’ISC.  L’ISC a un accès illimité et rapide aux dossiers, aux documents et aux informations.</w:t>
            </w:r>
          </w:p>
        </w:tc>
      </w:tr>
    </w:tbl>
    <w:p w:rsidR="009625DB" w:rsidRDefault="009625DB" w:rsidP="003A596A">
      <w:pPr>
        <w:jc w:val="both"/>
        <w:rPr>
          <w:rFonts w:ascii="Arial" w:hAnsi="Arial" w:cs="Arial"/>
        </w:rPr>
      </w:pPr>
    </w:p>
    <w:p w:rsidR="009625DB" w:rsidRDefault="009625DB" w:rsidP="003A596A">
      <w:pPr>
        <w:jc w:val="both"/>
        <w:rPr>
          <w:rFonts w:ascii="Arial" w:hAnsi="Arial" w:cs="Arial"/>
        </w:rPr>
      </w:pPr>
    </w:p>
    <w:p w:rsidR="00C00E59" w:rsidRDefault="003A596A" w:rsidP="003A596A">
      <w:pPr>
        <w:jc w:val="both"/>
        <w:rPr>
          <w:rFonts w:ascii="Arial" w:hAnsi="Arial" w:cs="Arial"/>
        </w:rPr>
      </w:pPr>
      <w:r w:rsidRPr="00A17E25">
        <w:rPr>
          <w:rFonts w:ascii="Arial" w:hAnsi="Arial" w:cs="Arial"/>
        </w:rPr>
        <w:t xml:space="preserve">Le budget de la Cour </w:t>
      </w:r>
      <w:r w:rsidR="009B753D">
        <w:rPr>
          <w:rFonts w:ascii="Arial" w:hAnsi="Arial" w:cs="Arial"/>
        </w:rPr>
        <w:t xml:space="preserve">des Comptes </w:t>
      </w:r>
      <w:r w:rsidRPr="00A17E25">
        <w:rPr>
          <w:rFonts w:ascii="Arial" w:hAnsi="Arial" w:cs="Arial"/>
        </w:rPr>
        <w:t xml:space="preserve">est inscrit au budget général voté par le </w:t>
      </w:r>
      <w:r w:rsidR="00F37B06">
        <w:rPr>
          <w:rFonts w:ascii="Arial" w:hAnsi="Arial" w:cs="Arial"/>
        </w:rPr>
        <w:t>conseil communal</w:t>
      </w:r>
      <w:r w:rsidRPr="00A17E25">
        <w:rPr>
          <w:rFonts w:ascii="Arial" w:hAnsi="Arial" w:cs="Arial"/>
        </w:rPr>
        <w:t>. Il ne fait pas l’objet d’un contrôle a priori. Il est préparé et exécuté par le Premier président qui en est l’ordonnateur. Un comptable public est détaché auprès de la Cour</w:t>
      </w:r>
      <w:r w:rsidR="009B753D">
        <w:rPr>
          <w:rFonts w:ascii="Arial" w:hAnsi="Arial" w:cs="Arial"/>
        </w:rPr>
        <w:t xml:space="preserve"> des Comptes</w:t>
      </w:r>
      <w:r w:rsidRPr="00A17E25">
        <w:rPr>
          <w:rFonts w:ascii="Arial" w:hAnsi="Arial" w:cs="Arial"/>
        </w:rPr>
        <w:t xml:space="preserve">.  La Cour </w:t>
      </w:r>
      <w:r w:rsidR="00115815">
        <w:rPr>
          <w:rFonts w:ascii="Arial" w:hAnsi="Arial" w:cs="Arial"/>
        </w:rPr>
        <w:t xml:space="preserve">des Comptes </w:t>
      </w:r>
      <w:r w:rsidRPr="00A17E25">
        <w:rPr>
          <w:rFonts w:ascii="Arial" w:hAnsi="Arial" w:cs="Arial"/>
        </w:rPr>
        <w:t>dispose de toute liberté pour mener les contrôles. Ses membres bénéficient du statut de magistrat sous la protection d’un conseil supérieur de la magistrature. Le Premier président de la Cour des comptes est nommé</w:t>
      </w:r>
      <w:r w:rsidR="00C00E59">
        <w:rPr>
          <w:rFonts w:ascii="Arial" w:hAnsi="Arial" w:cs="Arial"/>
        </w:rPr>
        <w:t xml:space="preserve"> </w:t>
      </w:r>
      <w:r w:rsidRPr="00A17E25">
        <w:rPr>
          <w:rFonts w:ascii="Arial" w:hAnsi="Arial" w:cs="Arial"/>
        </w:rPr>
        <w:t xml:space="preserve"> par le Roi</w:t>
      </w:r>
      <w:r w:rsidR="00C00E59">
        <w:rPr>
          <w:rFonts w:ascii="Arial" w:hAnsi="Arial" w:cs="Arial"/>
        </w:rPr>
        <w:t xml:space="preserve"> tout comme les Présidents des Cours Régionales qui sont proposés par le Premier président et nommés par le Roi pour un mandat à durée non déterminée d’avance</w:t>
      </w:r>
      <w:r w:rsidRPr="00A17E25">
        <w:rPr>
          <w:rFonts w:ascii="Arial" w:hAnsi="Arial" w:cs="Arial"/>
        </w:rPr>
        <w:t>.</w:t>
      </w:r>
      <w:r w:rsidR="00260CB9">
        <w:rPr>
          <w:rFonts w:ascii="Arial" w:hAnsi="Arial" w:cs="Arial"/>
        </w:rPr>
        <w:t xml:space="preserve"> </w:t>
      </w:r>
      <w:r w:rsidR="00C00E59">
        <w:rPr>
          <w:rFonts w:ascii="Arial" w:hAnsi="Arial" w:cs="Arial"/>
        </w:rPr>
        <w:t>Les conditions de successions et de départ interviennent également sur décision royale.</w:t>
      </w:r>
    </w:p>
    <w:p w:rsidR="00C00E59" w:rsidRDefault="00C00E59" w:rsidP="003A596A">
      <w:pPr>
        <w:jc w:val="both"/>
        <w:rPr>
          <w:rFonts w:ascii="Arial" w:hAnsi="Arial" w:cs="Arial"/>
        </w:rPr>
      </w:pPr>
      <w:r>
        <w:rPr>
          <w:rFonts w:ascii="Arial" w:hAnsi="Arial" w:cs="Arial"/>
        </w:rPr>
        <w:t xml:space="preserve"> </w:t>
      </w:r>
    </w:p>
    <w:p w:rsidR="003A596A" w:rsidRPr="00A17E25" w:rsidRDefault="00C00E59" w:rsidP="003A596A">
      <w:pPr>
        <w:jc w:val="both"/>
        <w:rPr>
          <w:rFonts w:ascii="Arial" w:hAnsi="Arial" w:cs="Arial"/>
        </w:rPr>
      </w:pPr>
      <w:r>
        <w:rPr>
          <w:rFonts w:ascii="Arial" w:hAnsi="Arial" w:cs="Arial"/>
        </w:rPr>
        <w:t>L</w:t>
      </w:r>
      <w:r w:rsidR="003A596A" w:rsidRPr="00A17E25">
        <w:rPr>
          <w:rFonts w:ascii="Arial" w:hAnsi="Arial" w:cs="Arial"/>
        </w:rPr>
        <w:t>a liberté d’accès aux informations est totale et garantie par des sanctions en cas d’opposition. D’après les entretiens aucune entrave n’a jamais fait obstacle à cette liberté.</w:t>
      </w:r>
      <w:r>
        <w:rPr>
          <w:rFonts w:ascii="Arial" w:hAnsi="Arial" w:cs="Arial"/>
        </w:rPr>
        <w:t xml:space="preserve"> Il en est de même de la liberté dans la planification des audits et la publication des rapports</w:t>
      </w:r>
    </w:p>
    <w:p w:rsidR="003A596A" w:rsidRPr="00A17E25" w:rsidRDefault="003A596A" w:rsidP="003A596A">
      <w:pPr>
        <w:jc w:val="both"/>
        <w:rPr>
          <w:rFonts w:ascii="Arial" w:hAnsi="Arial" w:cs="Arial"/>
        </w:rPr>
      </w:pPr>
    </w:p>
    <w:p w:rsidR="003A596A" w:rsidRPr="00A17E25" w:rsidRDefault="003A596A" w:rsidP="003A596A">
      <w:pPr>
        <w:jc w:val="both"/>
        <w:rPr>
          <w:rFonts w:ascii="Arial" w:hAnsi="Arial" w:cs="Arial"/>
          <w:b/>
        </w:rPr>
      </w:pPr>
      <w:r w:rsidRPr="00A17E25">
        <w:rPr>
          <w:rFonts w:ascii="Arial" w:hAnsi="Arial" w:cs="Arial"/>
          <w:b/>
        </w:rPr>
        <w:t>PI-30 Examen des rapports d’audit externe par le pouvoir législatif</w:t>
      </w:r>
    </w:p>
    <w:p w:rsidR="003A596A" w:rsidRPr="00A17E25" w:rsidRDefault="003A596A" w:rsidP="003A596A">
      <w:pPr>
        <w:autoSpaceDE w:val="0"/>
        <w:autoSpaceDN w:val="0"/>
        <w:adjustRightInd w:val="0"/>
        <w:jc w:val="both"/>
        <w:rPr>
          <w:rFonts w:ascii="Arial" w:hAnsi="Arial" w:cs="Arial"/>
          <w:lang w:eastAsia="fr-FR"/>
        </w:rPr>
      </w:pPr>
    </w:p>
    <w:p w:rsidR="00260CB9" w:rsidRDefault="00260CB9" w:rsidP="003A596A">
      <w:pPr>
        <w:autoSpaceDE w:val="0"/>
        <w:autoSpaceDN w:val="0"/>
        <w:adjustRightInd w:val="0"/>
        <w:jc w:val="both"/>
        <w:rPr>
          <w:rFonts w:ascii="Arial" w:hAnsi="Arial" w:cs="Arial"/>
          <w:lang w:eastAsia="fr-FR"/>
        </w:rPr>
      </w:pPr>
      <w:r>
        <w:rPr>
          <w:rFonts w:ascii="Arial" w:hAnsi="Arial" w:cs="Arial"/>
          <w:lang w:eastAsia="fr-FR"/>
        </w:rPr>
        <w:t>Pour la notation de cet indicateur, les données et informations utilisées sont : pour la composante (i) les rapports d’audit soumis au conseil communal au cours des tr</w:t>
      </w:r>
      <w:r w:rsidR="00AF6451">
        <w:rPr>
          <w:rFonts w:ascii="Arial" w:hAnsi="Arial" w:cs="Arial"/>
          <w:lang w:eastAsia="fr-FR"/>
        </w:rPr>
        <w:t>ois derniers exercices ; pour les</w:t>
      </w:r>
      <w:r>
        <w:rPr>
          <w:rFonts w:ascii="Arial" w:hAnsi="Arial" w:cs="Arial"/>
          <w:lang w:eastAsia="fr-FR"/>
        </w:rPr>
        <w:t xml:space="preserve"> composante</w:t>
      </w:r>
      <w:r w:rsidR="00AF6451">
        <w:rPr>
          <w:rFonts w:ascii="Arial" w:hAnsi="Arial" w:cs="Arial"/>
          <w:lang w:eastAsia="fr-FR"/>
        </w:rPr>
        <w:t>s</w:t>
      </w:r>
      <w:r>
        <w:rPr>
          <w:rFonts w:ascii="Arial" w:hAnsi="Arial" w:cs="Arial"/>
          <w:lang w:eastAsia="fr-FR"/>
        </w:rPr>
        <w:t xml:space="preserve"> (ii) </w:t>
      </w:r>
      <w:r w:rsidR="00AF6451">
        <w:rPr>
          <w:rFonts w:ascii="Arial" w:hAnsi="Arial" w:cs="Arial"/>
          <w:lang w:eastAsia="fr-FR"/>
        </w:rPr>
        <w:t>et (iii) les données des 12 derniers mois ; pour la composante (iv) les données du dernier exercice clôturé (2014).</w:t>
      </w:r>
    </w:p>
    <w:p w:rsidR="00260CB9" w:rsidRDefault="00260CB9" w:rsidP="003A596A">
      <w:pPr>
        <w:autoSpaceDE w:val="0"/>
        <w:autoSpaceDN w:val="0"/>
        <w:adjustRightInd w:val="0"/>
        <w:jc w:val="both"/>
        <w:rPr>
          <w:rFonts w:ascii="Arial" w:hAnsi="Arial" w:cs="Arial"/>
          <w:lang w:eastAsia="fr-FR"/>
        </w:rPr>
      </w:pPr>
    </w:p>
    <w:p w:rsidR="003A596A" w:rsidRPr="00A17E25" w:rsidRDefault="003A596A" w:rsidP="003A596A">
      <w:pPr>
        <w:autoSpaceDE w:val="0"/>
        <w:autoSpaceDN w:val="0"/>
        <w:adjustRightInd w:val="0"/>
        <w:jc w:val="both"/>
        <w:rPr>
          <w:rFonts w:ascii="Arial" w:hAnsi="Arial" w:cs="Arial"/>
          <w:lang w:eastAsia="fr-FR"/>
        </w:rPr>
      </w:pPr>
      <w:r w:rsidRPr="00A17E25">
        <w:rPr>
          <w:rFonts w:ascii="Arial" w:hAnsi="Arial" w:cs="Arial"/>
          <w:lang w:eastAsia="fr-FR"/>
        </w:rPr>
        <w:t>A la fin de chaque année budgétaire, le président du Conseil Communal  prépare le compte administratif des dépenses et des recettes et le présente à l’examen de la commission permanente compétente du conseil dans un délai n’excédant pas 10 jours avant de le présenter au vote du conseil délibérant au cours de la première session ordinaire suivante</w:t>
      </w:r>
      <w:r w:rsidRPr="00A17E25">
        <w:rPr>
          <w:rStyle w:val="FootnoteReference"/>
          <w:rFonts w:ascii="Arial" w:hAnsi="Arial" w:cs="Arial"/>
          <w:lang w:eastAsia="fr-FR"/>
        </w:rPr>
        <w:footnoteReference w:id="60"/>
      </w:r>
      <w:r w:rsidRPr="00A17E25">
        <w:rPr>
          <w:rFonts w:ascii="Arial" w:hAnsi="Arial" w:cs="Arial"/>
          <w:lang w:eastAsia="fr-FR"/>
        </w:rPr>
        <w:t>.</w:t>
      </w:r>
    </w:p>
    <w:p w:rsidR="003A596A" w:rsidRPr="00A17E25" w:rsidRDefault="003A596A" w:rsidP="003A596A">
      <w:pPr>
        <w:autoSpaceDE w:val="0"/>
        <w:autoSpaceDN w:val="0"/>
        <w:adjustRightInd w:val="0"/>
        <w:jc w:val="both"/>
        <w:rPr>
          <w:rFonts w:ascii="Arial" w:hAnsi="Arial" w:cs="Arial"/>
          <w:lang w:eastAsia="fr-FR"/>
        </w:rPr>
      </w:pPr>
    </w:p>
    <w:p w:rsidR="003A596A" w:rsidRPr="00A17E25" w:rsidRDefault="003A596A" w:rsidP="003A596A">
      <w:pPr>
        <w:pStyle w:val="Default"/>
        <w:jc w:val="both"/>
        <w:rPr>
          <w:rFonts w:ascii="Arial" w:hAnsi="Arial" w:cs="Arial"/>
          <w:lang w:val="fr-FR" w:eastAsia="fr-FR"/>
        </w:rPr>
      </w:pPr>
      <w:r w:rsidRPr="00A17E25">
        <w:rPr>
          <w:rFonts w:ascii="Arial" w:hAnsi="Arial" w:cs="Arial"/>
          <w:lang w:val="fr-FR" w:eastAsia="fr-FR"/>
        </w:rPr>
        <w:t xml:space="preserve">Les derniers comptes administratifs des exercices récents ont été approuvés par le Conseil de la </w:t>
      </w:r>
      <w:r w:rsidR="00DE5B35">
        <w:rPr>
          <w:rFonts w:ascii="Arial" w:hAnsi="Arial" w:cs="Arial"/>
          <w:lang w:val="fr-FR" w:eastAsia="fr-FR"/>
        </w:rPr>
        <w:t>CC</w:t>
      </w:r>
      <w:r w:rsidRPr="00A17E25">
        <w:rPr>
          <w:rFonts w:ascii="Arial" w:hAnsi="Arial" w:cs="Arial"/>
          <w:lang w:val="fr-FR" w:eastAsia="fr-FR"/>
        </w:rPr>
        <w:t> : le 27 février 2013, le 27 février 2014 et le 26 février 2015.</w:t>
      </w:r>
    </w:p>
    <w:p w:rsidR="003A596A" w:rsidRPr="00A17E25" w:rsidRDefault="003A596A" w:rsidP="003A596A">
      <w:pPr>
        <w:pStyle w:val="Default"/>
        <w:jc w:val="both"/>
        <w:rPr>
          <w:rFonts w:ascii="Arial" w:hAnsi="Arial" w:cs="Arial"/>
          <w:lang w:val="fr-FR" w:eastAsia="fr-FR" w:bidi="ar-SA"/>
        </w:rPr>
      </w:pPr>
    </w:p>
    <w:p w:rsidR="003A596A" w:rsidRDefault="003A596A" w:rsidP="003A596A">
      <w:pPr>
        <w:pStyle w:val="Default"/>
        <w:jc w:val="both"/>
        <w:rPr>
          <w:rFonts w:ascii="Arial" w:hAnsi="Arial" w:cs="Arial"/>
          <w:lang w:val="fr-FR" w:eastAsia="fr-FR"/>
        </w:rPr>
      </w:pPr>
      <w:r w:rsidRPr="00A17E25">
        <w:rPr>
          <w:rFonts w:ascii="Arial" w:hAnsi="Arial" w:cs="Arial"/>
          <w:lang w:val="fr-FR" w:eastAsia="fr-FR"/>
        </w:rPr>
        <w:t xml:space="preserve">Le trésorier payeur établit le compte de la collectivité locale, Après la clôture des opérations de l'année budgétaire. </w:t>
      </w:r>
      <w:r w:rsidRPr="00A17E25">
        <w:rPr>
          <w:rFonts w:ascii="Arial" w:hAnsi="Arial" w:cs="Arial"/>
          <w:color w:val="auto"/>
          <w:lang w:val="fr-FR" w:eastAsia="fr-FR" w:bidi="ar-SA"/>
        </w:rPr>
        <w:t>Ce compte est présenté par le Trésorier à la Cour Régionale des comptes au plus tard avant le 31 juillet de l’année N+1. Il doit inclure en</w:t>
      </w:r>
      <w:r w:rsidR="00AF6451">
        <w:rPr>
          <w:rFonts w:ascii="Arial" w:hAnsi="Arial" w:cs="Arial"/>
          <w:color w:val="auto"/>
          <w:lang w:val="fr-FR" w:eastAsia="fr-FR" w:bidi="ar-SA"/>
        </w:rPr>
        <w:t>tre</w:t>
      </w:r>
      <w:r w:rsidRPr="00A17E25">
        <w:rPr>
          <w:rFonts w:ascii="Arial" w:hAnsi="Arial" w:cs="Arial"/>
          <w:color w:val="auto"/>
          <w:lang w:val="fr-FR" w:eastAsia="fr-FR" w:bidi="ar-SA"/>
        </w:rPr>
        <w:t xml:space="preserve"> autres </w:t>
      </w:r>
      <w:r w:rsidRPr="00A17E25">
        <w:rPr>
          <w:rFonts w:ascii="Arial" w:hAnsi="Arial" w:cs="Arial"/>
          <w:lang w:val="fr-FR" w:eastAsia="fr-FR"/>
        </w:rPr>
        <w:t xml:space="preserve">l'extrait du procès-verbal de la séance au cours de laquelle l'assemblée délibérante a procédé au vote relatif au le compte administratif et une copie certifiée conforme du compte administratif. A la date de la </w:t>
      </w:r>
      <w:r w:rsidR="002650E5" w:rsidRPr="00A17E25">
        <w:rPr>
          <w:rFonts w:ascii="Arial" w:hAnsi="Arial" w:cs="Arial"/>
          <w:lang w:val="fr-FR" w:eastAsia="fr-FR"/>
        </w:rPr>
        <w:t>mission</w:t>
      </w:r>
      <w:r w:rsidR="002650E5">
        <w:rPr>
          <w:rFonts w:ascii="Arial" w:hAnsi="Arial" w:cs="Arial"/>
          <w:lang w:val="fr-FR" w:eastAsia="fr-FR"/>
        </w:rPr>
        <w:t xml:space="preserve"> mars 2016)</w:t>
      </w:r>
      <w:r w:rsidRPr="00A17E25">
        <w:rPr>
          <w:rFonts w:ascii="Arial" w:hAnsi="Arial" w:cs="Arial"/>
          <w:lang w:val="fr-FR" w:eastAsia="fr-FR"/>
        </w:rPr>
        <w:t xml:space="preserve"> le compte de gestion du trésorie</w:t>
      </w:r>
      <w:r w:rsidR="00DB625D">
        <w:rPr>
          <w:rFonts w:ascii="Arial" w:hAnsi="Arial" w:cs="Arial"/>
          <w:lang w:val="fr-FR" w:eastAsia="fr-FR"/>
        </w:rPr>
        <w:t xml:space="preserve">r </w:t>
      </w:r>
      <w:r w:rsidR="00AF6451">
        <w:rPr>
          <w:rFonts w:ascii="Arial" w:hAnsi="Arial" w:cs="Arial"/>
          <w:lang w:val="fr-FR" w:eastAsia="fr-FR"/>
        </w:rPr>
        <w:t>au titre de 201</w:t>
      </w:r>
      <w:r w:rsidR="002650E5">
        <w:rPr>
          <w:rFonts w:ascii="Arial" w:hAnsi="Arial" w:cs="Arial"/>
          <w:lang w:val="fr-FR" w:eastAsia="fr-FR"/>
        </w:rPr>
        <w:t>5</w:t>
      </w:r>
      <w:r w:rsidR="00AF6451">
        <w:rPr>
          <w:rFonts w:ascii="Arial" w:hAnsi="Arial" w:cs="Arial"/>
          <w:lang w:val="fr-FR" w:eastAsia="fr-FR"/>
        </w:rPr>
        <w:t xml:space="preserve"> </w:t>
      </w:r>
      <w:r w:rsidR="00DB625D">
        <w:rPr>
          <w:rFonts w:ascii="Arial" w:hAnsi="Arial" w:cs="Arial"/>
          <w:lang w:val="fr-FR" w:eastAsia="fr-FR"/>
        </w:rPr>
        <w:t xml:space="preserve">était  </w:t>
      </w:r>
      <w:r w:rsidR="002650E5">
        <w:rPr>
          <w:rFonts w:ascii="Arial" w:hAnsi="Arial" w:cs="Arial"/>
          <w:lang w:val="fr-FR" w:eastAsia="fr-FR"/>
        </w:rPr>
        <w:t xml:space="preserve">déjà </w:t>
      </w:r>
      <w:r w:rsidR="00DB625D">
        <w:rPr>
          <w:rFonts w:ascii="Arial" w:hAnsi="Arial" w:cs="Arial"/>
          <w:lang w:val="fr-FR" w:eastAsia="fr-FR"/>
        </w:rPr>
        <w:t>communiqué</w:t>
      </w:r>
      <w:r w:rsidRPr="00A17E25">
        <w:rPr>
          <w:rFonts w:ascii="Arial" w:hAnsi="Arial" w:cs="Arial"/>
          <w:lang w:val="fr-FR" w:eastAsia="fr-FR"/>
        </w:rPr>
        <w:t xml:space="preserve"> à la Cour Régionale des Comptes.</w:t>
      </w:r>
    </w:p>
    <w:p w:rsidR="00AD062F" w:rsidRDefault="00AD062F" w:rsidP="003A596A">
      <w:pPr>
        <w:pStyle w:val="Default"/>
        <w:jc w:val="both"/>
        <w:rPr>
          <w:rFonts w:ascii="Arial" w:hAnsi="Arial" w:cs="Arial"/>
          <w:lang w:val="fr-FR" w:eastAsia="fr-FR"/>
        </w:rPr>
      </w:pPr>
    </w:p>
    <w:p w:rsidR="00AD062F" w:rsidRPr="00A17E25" w:rsidRDefault="00ED65D0" w:rsidP="00ED65D0">
      <w:pPr>
        <w:pStyle w:val="Default"/>
        <w:jc w:val="both"/>
        <w:rPr>
          <w:rFonts w:ascii="Arial" w:hAnsi="Arial" w:cs="Arial"/>
          <w:lang w:val="fr-FR" w:eastAsia="fr-FR"/>
        </w:rPr>
      </w:pPr>
      <w:r w:rsidRPr="00ED65D0">
        <w:rPr>
          <w:rFonts w:ascii="Arial" w:hAnsi="Arial" w:cs="Arial"/>
          <w:lang w:val="fr-FR" w:eastAsia="fr-FR"/>
        </w:rPr>
        <w:t>Selon le cadre du PEFA, les collectivités</w:t>
      </w:r>
      <w:r>
        <w:rPr>
          <w:rFonts w:ascii="Arial" w:hAnsi="Arial" w:cs="Arial"/>
          <w:lang w:val="fr-FR" w:eastAsia="fr-FR"/>
        </w:rPr>
        <w:t xml:space="preserve"> </w:t>
      </w:r>
      <w:r w:rsidRPr="00ED65D0">
        <w:rPr>
          <w:rFonts w:ascii="Arial" w:hAnsi="Arial" w:cs="Arial"/>
          <w:lang w:val="fr-FR" w:eastAsia="fr-FR"/>
        </w:rPr>
        <w:t>locales ne sont toutefois concernées que si une loi oblige l'administration communale à</w:t>
      </w:r>
      <w:r>
        <w:rPr>
          <w:rFonts w:ascii="Arial" w:hAnsi="Arial" w:cs="Arial"/>
          <w:lang w:val="fr-FR" w:eastAsia="fr-FR"/>
        </w:rPr>
        <w:t xml:space="preserve"> </w:t>
      </w:r>
      <w:r w:rsidRPr="00ED65D0">
        <w:rPr>
          <w:rFonts w:ascii="Arial" w:hAnsi="Arial" w:cs="Arial"/>
          <w:lang w:val="fr-FR" w:eastAsia="fr-FR"/>
        </w:rPr>
        <w:t>présenter au Conseil les rapports de vérification</w:t>
      </w:r>
      <w:r>
        <w:rPr>
          <w:rFonts w:ascii="Arial" w:hAnsi="Arial" w:cs="Arial"/>
          <w:lang w:val="fr-FR" w:eastAsia="fr-FR"/>
        </w:rPr>
        <w:t xml:space="preserve"> externe</w:t>
      </w:r>
      <w:r w:rsidRPr="00ED65D0">
        <w:rPr>
          <w:rFonts w:ascii="Arial" w:hAnsi="Arial" w:cs="Arial"/>
          <w:lang w:val="fr-FR" w:eastAsia="fr-FR"/>
        </w:rPr>
        <w:t xml:space="preserve">, ce qui n'est pas le cas </w:t>
      </w:r>
      <w:r>
        <w:rPr>
          <w:rFonts w:ascii="Arial" w:hAnsi="Arial" w:cs="Arial"/>
          <w:lang w:val="fr-FR" w:eastAsia="fr-FR"/>
        </w:rPr>
        <w:t>a</w:t>
      </w:r>
      <w:r w:rsidR="00AD062F">
        <w:rPr>
          <w:rFonts w:ascii="Arial" w:hAnsi="Arial" w:cs="Arial"/>
          <w:lang w:val="fr-FR" w:eastAsia="fr-FR"/>
        </w:rPr>
        <w:t>u Maroc</w:t>
      </w:r>
      <w:r>
        <w:rPr>
          <w:rFonts w:ascii="Arial" w:hAnsi="Arial" w:cs="Arial"/>
          <w:lang w:val="fr-FR" w:eastAsia="fr-FR"/>
        </w:rPr>
        <w:t xml:space="preserve">. En conséquence cet indicateur ne peut être noté. </w:t>
      </w:r>
      <w:r w:rsidR="00AD062F">
        <w:rPr>
          <w:rFonts w:ascii="Arial" w:hAnsi="Arial" w:cs="Arial"/>
          <w:lang w:val="fr-FR" w:eastAsia="fr-FR"/>
        </w:rPr>
        <w:t xml:space="preserve"> </w:t>
      </w:r>
    </w:p>
    <w:p w:rsidR="003A596A" w:rsidRPr="00AF6451" w:rsidRDefault="003A596A" w:rsidP="00AF6451">
      <w:pPr>
        <w:pStyle w:val="Comp"/>
        <w:numPr>
          <w:ilvl w:val="0"/>
          <w:numId w:val="54"/>
        </w:numPr>
        <w:rPr>
          <w:rFonts w:ascii="Arial" w:hAnsi="Arial" w:cs="Arial"/>
          <w:b w:val="0"/>
          <w:color w:val="3366FF"/>
          <w:sz w:val="24"/>
          <w:szCs w:val="24"/>
        </w:rPr>
      </w:pPr>
      <w:bookmarkStart w:id="348" w:name="_Toc432501887"/>
      <w:bookmarkStart w:id="349" w:name="_Toc434916181"/>
      <w:bookmarkStart w:id="350" w:name="_Toc434918395"/>
      <w:r w:rsidRPr="00F92FF8">
        <w:rPr>
          <w:rFonts w:ascii="Arial" w:hAnsi="Arial" w:cs="Arial"/>
          <w:b w:val="0"/>
          <w:color w:val="0070C0"/>
          <w:sz w:val="24"/>
          <w:szCs w:val="24"/>
        </w:rPr>
        <w:t>Ponctualité de l’examen des rapports d’audit par le pouvoir législatif</w:t>
      </w:r>
      <w:bookmarkEnd w:id="348"/>
      <w:bookmarkEnd w:id="349"/>
      <w:bookmarkEnd w:id="350"/>
    </w:p>
    <w:p w:rsidR="003A596A" w:rsidRPr="00A17E25" w:rsidRDefault="00ED65D0" w:rsidP="003A596A">
      <w:pPr>
        <w:jc w:val="both"/>
        <w:rPr>
          <w:rFonts w:ascii="Arial" w:hAnsi="Arial" w:cs="Arial"/>
          <w:iCs/>
        </w:rPr>
      </w:pPr>
      <w:r>
        <w:rPr>
          <w:rFonts w:ascii="Arial" w:hAnsi="Arial" w:cs="Arial"/>
          <w:iCs/>
        </w:rPr>
        <w:t xml:space="preserve">Non applicable. Cependant il y a lieu de noter qu’il </w:t>
      </w:r>
      <w:r w:rsidR="003A596A" w:rsidRPr="00A17E25">
        <w:rPr>
          <w:rFonts w:ascii="Arial" w:hAnsi="Arial" w:cs="Arial"/>
          <w:iCs/>
        </w:rPr>
        <w:t xml:space="preserve">n’y a pas </w:t>
      </w:r>
      <w:r>
        <w:rPr>
          <w:rFonts w:ascii="Arial" w:hAnsi="Arial" w:cs="Arial"/>
          <w:iCs/>
        </w:rPr>
        <w:t xml:space="preserve">eu </w:t>
      </w:r>
      <w:r w:rsidR="003A596A" w:rsidRPr="00A17E25">
        <w:rPr>
          <w:rFonts w:ascii="Arial" w:hAnsi="Arial" w:cs="Arial"/>
          <w:iCs/>
        </w:rPr>
        <w:t>de vérification des entités de la Commune par la Cour des Comptes</w:t>
      </w:r>
      <w:r w:rsidRPr="00ED65D0">
        <w:rPr>
          <w:rFonts w:ascii="Arial" w:hAnsi="Arial" w:cs="Arial"/>
          <w:iCs/>
        </w:rPr>
        <w:t xml:space="preserve"> </w:t>
      </w:r>
      <w:r>
        <w:rPr>
          <w:rFonts w:ascii="Arial" w:hAnsi="Arial" w:cs="Arial"/>
          <w:iCs/>
        </w:rPr>
        <w:t>depuis plus de quatre ans</w:t>
      </w:r>
      <w:r w:rsidR="003A596A" w:rsidRPr="00A17E25">
        <w:rPr>
          <w:rFonts w:ascii="Arial" w:hAnsi="Arial" w:cs="Arial"/>
          <w:iCs/>
        </w:rPr>
        <w:t xml:space="preserve">. Par conséquent il n’y a pas de rapport d’audit externe. </w:t>
      </w:r>
    </w:p>
    <w:p w:rsidR="003A596A" w:rsidRPr="00F92FF8" w:rsidRDefault="003A596A" w:rsidP="003A596A">
      <w:pPr>
        <w:pStyle w:val="Comp"/>
        <w:numPr>
          <w:ilvl w:val="0"/>
          <w:numId w:val="20"/>
        </w:numPr>
        <w:rPr>
          <w:rFonts w:ascii="Arial" w:hAnsi="Arial" w:cs="Arial"/>
          <w:b w:val="0"/>
          <w:color w:val="0070C0"/>
          <w:sz w:val="24"/>
          <w:szCs w:val="24"/>
        </w:rPr>
      </w:pPr>
      <w:bookmarkStart w:id="351" w:name="_Toc432501888"/>
      <w:bookmarkStart w:id="352" w:name="_Toc434916182"/>
      <w:bookmarkStart w:id="353" w:name="_Toc434918396"/>
      <w:r w:rsidRPr="00F92FF8">
        <w:rPr>
          <w:rFonts w:ascii="Arial" w:hAnsi="Arial" w:cs="Arial"/>
          <w:b w:val="0"/>
          <w:color w:val="0070C0"/>
          <w:sz w:val="24"/>
          <w:szCs w:val="24"/>
        </w:rPr>
        <w:t>Envergure des audiences consacrées aux principales conclusions par</w:t>
      </w:r>
      <w:r w:rsidRPr="00F92FF8">
        <w:rPr>
          <w:rFonts w:ascii="Arial" w:hAnsi="Arial" w:cs="Arial"/>
          <w:color w:val="0070C0"/>
          <w:sz w:val="24"/>
          <w:szCs w:val="24"/>
        </w:rPr>
        <w:t xml:space="preserve"> </w:t>
      </w:r>
      <w:r w:rsidR="00AF6451" w:rsidRPr="00F92FF8">
        <w:rPr>
          <w:rFonts w:ascii="Arial" w:hAnsi="Arial" w:cs="Arial"/>
          <w:b w:val="0"/>
          <w:color w:val="0070C0"/>
          <w:sz w:val="24"/>
          <w:szCs w:val="24"/>
        </w:rPr>
        <w:t xml:space="preserve">le </w:t>
      </w:r>
      <w:r w:rsidRPr="00F92FF8">
        <w:rPr>
          <w:rFonts w:ascii="Arial" w:hAnsi="Arial" w:cs="Arial"/>
          <w:b w:val="0"/>
          <w:color w:val="0070C0"/>
          <w:sz w:val="24"/>
          <w:szCs w:val="24"/>
        </w:rPr>
        <w:t>pouvoir législatif.</w:t>
      </w:r>
      <w:bookmarkEnd w:id="351"/>
      <w:bookmarkEnd w:id="352"/>
      <w:bookmarkEnd w:id="353"/>
    </w:p>
    <w:p w:rsidR="003A596A" w:rsidRPr="00A17E25" w:rsidRDefault="00ED65D0" w:rsidP="003A596A">
      <w:pPr>
        <w:jc w:val="both"/>
        <w:rPr>
          <w:rFonts w:ascii="Arial" w:hAnsi="Arial" w:cs="Arial"/>
        </w:rPr>
      </w:pPr>
      <w:r>
        <w:rPr>
          <w:rFonts w:ascii="Arial" w:hAnsi="Arial" w:cs="Arial"/>
        </w:rPr>
        <w:t xml:space="preserve">Non applicable en l’absence de mandat et de rapport. </w:t>
      </w:r>
    </w:p>
    <w:p w:rsidR="003A596A" w:rsidRPr="00F92FF8" w:rsidRDefault="003A596A" w:rsidP="003A596A">
      <w:pPr>
        <w:pStyle w:val="Comp"/>
        <w:numPr>
          <w:ilvl w:val="0"/>
          <w:numId w:val="20"/>
        </w:numPr>
        <w:rPr>
          <w:rFonts w:ascii="Arial" w:hAnsi="Arial" w:cs="Arial"/>
          <w:b w:val="0"/>
          <w:color w:val="0070C0"/>
          <w:sz w:val="24"/>
          <w:szCs w:val="24"/>
        </w:rPr>
      </w:pPr>
      <w:bookmarkStart w:id="354" w:name="_Toc432501889"/>
      <w:bookmarkStart w:id="355" w:name="_Toc434916183"/>
      <w:bookmarkStart w:id="356" w:name="_Toc434918397"/>
      <w:r w:rsidRPr="00F92FF8">
        <w:rPr>
          <w:rFonts w:ascii="Arial" w:hAnsi="Arial" w:cs="Arial"/>
          <w:b w:val="0"/>
          <w:color w:val="0070C0"/>
          <w:sz w:val="24"/>
          <w:szCs w:val="24"/>
        </w:rPr>
        <w:t>Recommandations de mesures par le pouvoir législatif et suivi de leur exécution.</w:t>
      </w:r>
      <w:bookmarkEnd w:id="354"/>
      <w:bookmarkEnd w:id="355"/>
      <w:bookmarkEnd w:id="356"/>
    </w:p>
    <w:p w:rsidR="003A596A" w:rsidRPr="00F92FF8" w:rsidRDefault="003A596A" w:rsidP="003A596A">
      <w:pPr>
        <w:pStyle w:val="Comp"/>
        <w:numPr>
          <w:ilvl w:val="0"/>
          <w:numId w:val="20"/>
        </w:numPr>
        <w:rPr>
          <w:rFonts w:ascii="Arial" w:hAnsi="Arial" w:cs="Arial"/>
          <w:b w:val="0"/>
          <w:color w:val="0070C0"/>
          <w:sz w:val="24"/>
          <w:szCs w:val="24"/>
        </w:rPr>
      </w:pPr>
      <w:bookmarkStart w:id="357" w:name="_Toc432501890"/>
      <w:bookmarkStart w:id="358" w:name="_Toc434916184"/>
      <w:bookmarkStart w:id="359" w:name="_Toc434918398"/>
      <w:r w:rsidRPr="00F92FF8">
        <w:rPr>
          <w:rFonts w:ascii="Arial" w:hAnsi="Arial" w:cs="Arial"/>
          <w:b w:val="0"/>
          <w:color w:val="0070C0"/>
          <w:sz w:val="24"/>
          <w:szCs w:val="24"/>
        </w:rPr>
        <w:t>Transparence de la fonction d’examen du pouvoir législatif.</w:t>
      </w:r>
      <w:bookmarkEnd w:id="357"/>
      <w:bookmarkEnd w:id="358"/>
      <w:bookmarkEnd w:id="359"/>
    </w:p>
    <w:p w:rsidR="00D5136A" w:rsidRDefault="00ED65D0" w:rsidP="00D5136A">
      <w:pPr>
        <w:jc w:val="both"/>
        <w:rPr>
          <w:rFonts w:ascii="Arial" w:hAnsi="Arial" w:cs="Arial"/>
        </w:rPr>
      </w:pPr>
      <w:r>
        <w:rPr>
          <w:rFonts w:ascii="Arial" w:hAnsi="Arial" w:cs="Arial"/>
        </w:rPr>
        <w:t xml:space="preserve">Non applicable en l’absence de mandat et de rapport. </w:t>
      </w:r>
    </w:p>
    <w:p w:rsidR="00D5136A" w:rsidRPr="00A17E25" w:rsidRDefault="00D5136A" w:rsidP="003A596A">
      <w:pPr>
        <w:jc w:val="both"/>
        <w:rPr>
          <w:rFonts w:ascii="Arial" w:hAnsi="Arial" w:cs="Arial"/>
          <w:iCs/>
          <w:color w:val="0000FF"/>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1080"/>
        <w:gridCol w:w="3720"/>
      </w:tblGrid>
      <w:tr w:rsidR="003A596A" w:rsidRPr="00A17E25" w:rsidTr="002A24D6">
        <w:trPr>
          <w:jc w:val="center"/>
        </w:trPr>
        <w:tc>
          <w:tcPr>
            <w:tcW w:w="4414"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Indicateur</w:t>
            </w:r>
          </w:p>
        </w:tc>
        <w:tc>
          <w:tcPr>
            <w:tcW w:w="108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Note</w:t>
            </w:r>
          </w:p>
        </w:tc>
        <w:tc>
          <w:tcPr>
            <w:tcW w:w="3720" w:type="dxa"/>
            <w:shd w:val="clear" w:color="auto" w:fill="0070C0"/>
          </w:tcPr>
          <w:p w:rsidR="003A596A" w:rsidRPr="00A17E25" w:rsidRDefault="003A596A" w:rsidP="003A596A">
            <w:pPr>
              <w:jc w:val="center"/>
              <w:rPr>
                <w:rFonts w:ascii="Arial" w:hAnsi="Arial"/>
                <w:b/>
                <w:bCs/>
                <w:color w:val="FFFFFF"/>
                <w:sz w:val="20"/>
                <w:szCs w:val="20"/>
              </w:rPr>
            </w:pPr>
            <w:r w:rsidRPr="00A17E25">
              <w:rPr>
                <w:rFonts w:ascii="Arial" w:hAnsi="Arial"/>
                <w:b/>
                <w:bCs/>
                <w:color w:val="FFFFFF"/>
                <w:sz w:val="20"/>
                <w:szCs w:val="20"/>
              </w:rPr>
              <w:t>Explication</w:t>
            </w:r>
          </w:p>
        </w:tc>
      </w:tr>
      <w:tr w:rsidR="003A596A" w:rsidRPr="00A17E25" w:rsidTr="002A24D6">
        <w:trPr>
          <w:jc w:val="center"/>
        </w:trPr>
        <w:tc>
          <w:tcPr>
            <w:tcW w:w="4414" w:type="dxa"/>
          </w:tcPr>
          <w:p w:rsidR="003A596A" w:rsidRPr="00A17E25" w:rsidRDefault="003A596A" w:rsidP="003A596A">
            <w:pPr>
              <w:jc w:val="both"/>
              <w:rPr>
                <w:rFonts w:ascii="Arial" w:hAnsi="Arial" w:cs="Arial"/>
                <w:b/>
                <w:sz w:val="20"/>
                <w:szCs w:val="20"/>
              </w:rPr>
            </w:pPr>
            <w:r w:rsidRPr="00A17E25">
              <w:rPr>
                <w:rFonts w:ascii="Arial" w:hAnsi="Arial"/>
                <w:b/>
                <w:bCs/>
                <w:sz w:val="20"/>
                <w:szCs w:val="20"/>
              </w:rPr>
              <w:t xml:space="preserve">PI-30 </w:t>
            </w:r>
            <w:r w:rsidRPr="00A17E25">
              <w:rPr>
                <w:rFonts w:ascii="Arial" w:hAnsi="Arial" w:cs="Arial"/>
                <w:b/>
                <w:sz w:val="20"/>
                <w:szCs w:val="20"/>
              </w:rPr>
              <w:t>Examen des rapports d’audit externe par le pouvoir législatif</w:t>
            </w:r>
          </w:p>
          <w:p w:rsidR="003A596A" w:rsidRPr="00A17E25" w:rsidRDefault="003A596A" w:rsidP="003A596A">
            <w:pPr>
              <w:jc w:val="both"/>
              <w:rPr>
                <w:rFonts w:ascii="Arial" w:hAnsi="Arial"/>
                <w:sz w:val="20"/>
                <w:szCs w:val="20"/>
              </w:rPr>
            </w:pPr>
          </w:p>
        </w:tc>
        <w:tc>
          <w:tcPr>
            <w:tcW w:w="1080" w:type="dxa"/>
          </w:tcPr>
          <w:p w:rsidR="003A596A" w:rsidRPr="00A17E25" w:rsidRDefault="003A596A" w:rsidP="003A596A">
            <w:pPr>
              <w:jc w:val="center"/>
              <w:rPr>
                <w:rFonts w:ascii="Arial" w:hAnsi="Arial"/>
                <w:b/>
                <w:bCs/>
                <w:sz w:val="20"/>
                <w:szCs w:val="20"/>
              </w:rPr>
            </w:pPr>
          </w:p>
          <w:p w:rsidR="003A596A" w:rsidRPr="00A17E25" w:rsidRDefault="00AD062F" w:rsidP="00AD062F">
            <w:pPr>
              <w:jc w:val="center"/>
              <w:rPr>
                <w:rFonts w:ascii="Arial" w:hAnsi="Arial"/>
                <w:b/>
                <w:bCs/>
                <w:sz w:val="20"/>
                <w:szCs w:val="20"/>
              </w:rPr>
            </w:pPr>
            <w:r>
              <w:rPr>
                <w:rFonts w:ascii="Arial" w:hAnsi="Arial"/>
                <w:b/>
                <w:bCs/>
                <w:sz w:val="20"/>
                <w:szCs w:val="20"/>
              </w:rPr>
              <w:t>NA</w:t>
            </w:r>
          </w:p>
        </w:tc>
        <w:tc>
          <w:tcPr>
            <w:tcW w:w="3720" w:type="dxa"/>
          </w:tcPr>
          <w:p w:rsidR="003A596A" w:rsidRPr="00A17E25" w:rsidRDefault="003A596A" w:rsidP="003A596A">
            <w:pPr>
              <w:jc w:val="both"/>
              <w:rPr>
                <w:rFonts w:ascii="Arial" w:hAnsi="Arial"/>
                <w:b/>
                <w:bCs/>
                <w:sz w:val="20"/>
                <w:szCs w:val="20"/>
              </w:rPr>
            </w:pPr>
          </w:p>
          <w:p w:rsidR="003A596A" w:rsidRPr="00A17E25" w:rsidRDefault="003A596A" w:rsidP="003A596A">
            <w:pPr>
              <w:jc w:val="center"/>
              <w:rPr>
                <w:rFonts w:ascii="Arial" w:hAnsi="Arial"/>
                <w:b/>
                <w:bCs/>
                <w:sz w:val="20"/>
                <w:szCs w:val="20"/>
              </w:rPr>
            </w:pPr>
            <w:r w:rsidRPr="00A17E25">
              <w:rPr>
                <w:rFonts w:ascii="Arial" w:hAnsi="Arial"/>
                <w:b/>
                <w:bCs/>
                <w:sz w:val="20"/>
                <w:szCs w:val="20"/>
              </w:rPr>
              <w:t>Méthode de Notation M1</w:t>
            </w:r>
          </w:p>
        </w:tc>
      </w:tr>
      <w:tr w:rsidR="003A596A" w:rsidRPr="00A17E25" w:rsidTr="002A24D6">
        <w:trPr>
          <w:jc w:val="center"/>
        </w:trPr>
        <w:tc>
          <w:tcPr>
            <w:tcW w:w="4414" w:type="dxa"/>
          </w:tcPr>
          <w:p w:rsidR="003A596A" w:rsidRPr="00A17E25" w:rsidRDefault="003A596A" w:rsidP="003A596A">
            <w:pPr>
              <w:autoSpaceDE w:val="0"/>
              <w:autoSpaceDN w:val="0"/>
              <w:adjustRightInd w:val="0"/>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 Ponctualité de l’examen des rapports d’audit par le pouvoir législatif (pour les rapports reçus au cours des trois derniers exercices). </w:t>
            </w:r>
          </w:p>
        </w:tc>
        <w:tc>
          <w:tcPr>
            <w:tcW w:w="1080" w:type="dxa"/>
          </w:tcPr>
          <w:p w:rsidR="003A596A" w:rsidRPr="00A17E25" w:rsidRDefault="00AD062F" w:rsidP="003A596A">
            <w:pPr>
              <w:jc w:val="center"/>
              <w:rPr>
                <w:rFonts w:ascii="Arial" w:hAnsi="Arial" w:cs="Arial"/>
                <w:sz w:val="20"/>
                <w:szCs w:val="20"/>
              </w:rPr>
            </w:pPr>
            <w:r>
              <w:rPr>
                <w:rFonts w:ascii="Arial" w:hAnsi="Arial" w:cs="Arial"/>
                <w:sz w:val="20"/>
                <w:szCs w:val="20"/>
              </w:rPr>
              <w:t>NA</w:t>
            </w:r>
          </w:p>
        </w:tc>
        <w:tc>
          <w:tcPr>
            <w:tcW w:w="3720"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L’examen des rapports de vérification par le Conseil communal ne se fait pas.</w:t>
            </w:r>
          </w:p>
        </w:tc>
      </w:tr>
      <w:tr w:rsidR="003A596A" w:rsidRPr="00A17E25" w:rsidTr="002A24D6">
        <w:trPr>
          <w:jc w:val="center"/>
        </w:trPr>
        <w:tc>
          <w:tcPr>
            <w:tcW w:w="4414" w:type="dxa"/>
          </w:tcPr>
          <w:p w:rsidR="003A596A" w:rsidRPr="00A17E25" w:rsidRDefault="003A596A" w:rsidP="003A596A">
            <w:pPr>
              <w:autoSpaceDE w:val="0"/>
              <w:autoSpaceDN w:val="0"/>
              <w:adjustRightInd w:val="0"/>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(ii) Envergure des audiences consacrées aux principales conclusions par le pouvoir législatif. </w:t>
            </w:r>
          </w:p>
        </w:tc>
        <w:tc>
          <w:tcPr>
            <w:tcW w:w="1080" w:type="dxa"/>
          </w:tcPr>
          <w:p w:rsidR="003A596A" w:rsidRPr="00A17E25" w:rsidRDefault="00AD062F" w:rsidP="003A596A">
            <w:pPr>
              <w:jc w:val="center"/>
              <w:rPr>
                <w:rFonts w:ascii="Arial" w:hAnsi="Arial" w:cs="Arial"/>
                <w:sz w:val="20"/>
                <w:szCs w:val="20"/>
              </w:rPr>
            </w:pPr>
            <w:r>
              <w:rPr>
                <w:rFonts w:ascii="Arial" w:hAnsi="Arial" w:cs="Arial"/>
                <w:sz w:val="20"/>
                <w:szCs w:val="20"/>
              </w:rPr>
              <w:t>NA</w:t>
            </w:r>
          </w:p>
        </w:tc>
        <w:tc>
          <w:tcPr>
            <w:tcW w:w="3720" w:type="dxa"/>
          </w:tcPr>
          <w:p w:rsidR="003A596A" w:rsidRPr="00A17E25" w:rsidRDefault="003A596A" w:rsidP="003A596A">
            <w:pPr>
              <w:jc w:val="both"/>
              <w:rPr>
                <w:rFonts w:ascii="Arial" w:hAnsi="Arial" w:cs="Arial"/>
                <w:sz w:val="20"/>
                <w:szCs w:val="20"/>
              </w:rPr>
            </w:pPr>
            <w:r w:rsidRPr="00A17E25">
              <w:rPr>
                <w:rFonts w:ascii="Arial" w:hAnsi="Arial" w:cs="Arial"/>
                <w:iCs/>
                <w:sz w:val="20"/>
                <w:szCs w:val="20"/>
              </w:rPr>
              <w:t>Le Conseil communal ne conduit aucune audition.</w:t>
            </w:r>
          </w:p>
          <w:p w:rsidR="003A596A" w:rsidRPr="00A17E25" w:rsidRDefault="003A596A" w:rsidP="003A596A">
            <w:pPr>
              <w:jc w:val="both"/>
              <w:rPr>
                <w:rFonts w:ascii="Arial" w:hAnsi="Arial" w:cs="Arial"/>
                <w:sz w:val="20"/>
                <w:szCs w:val="20"/>
              </w:rPr>
            </w:pPr>
          </w:p>
        </w:tc>
      </w:tr>
      <w:tr w:rsidR="003A596A" w:rsidRPr="00A17E25" w:rsidTr="002A24D6">
        <w:trPr>
          <w:jc w:val="center"/>
        </w:trPr>
        <w:tc>
          <w:tcPr>
            <w:tcW w:w="4414" w:type="dxa"/>
          </w:tcPr>
          <w:p w:rsidR="003A596A" w:rsidRPr="00A17E25" w:rsidRDefault="003A596A" w:rsidP="003A596A">
            <w:pPr>
              <w:autoSpaceDE w:val="0"/>
              <w:autoSpaceDN w:val="0"/>
              <w:adjustRightInd w:val="0"/>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(iii) Recommandations de mesures par le pouvoir législatif et suivi de leur exécution. </w:t>
            </w:r>
          </w:p>
        </w:tc>
        <w:tc>
          <w:tcPr>
            <w:tcW w:w="1080" w:type="dxa"/>
          </w:tcPr>
          <w:p w:rsidR="003A596A" w:rsidRPr="00A17E25" w:rsidRDefault="00AD062F" w:rsidP="003A596A">
            <w:pPr>
              <w:jc w:val="center"/>
              <w:rPr>
                <w:rFonts w:ascii="Arial" w:hAnsi="Arial" w:cs="Arial"/>
                <w:sz w:val="20"/>
                <w:szCs w:val="20"/>
              </w:rPr>
            </w:pPr>
            <w:r>
              <w:rPr>
                <w:rFonts w:ascii="Arial" w:hAnsi="Arial" w:cs="Arial"/>
                <w:sz w:val="20"/>
                <w:szCs w:val="20"/>
              </w:rPr>
              <w:t>NA</w:t>
            </w:r>
          </w:p>
        </w:tc>
        <w:tc>
          <w:tcPr>
            <w:tcW w:w="3720" w:type="dxa"/>
          </w:tcPr>
          <w:p w:rsidR="003A596A" w:rsidRPr="00A17E25" w:rsidRDefault="003A596A" w:rsidP="003A596A">
            <w:pPr>
              <w:jc w:val="both"/>
              <w:rPr>
                <w:rFonts w:ascii="Arial" w:hAnsi="Arial" w:cs="Arial"/>
                <w:iCs/>
                <w:sz w:val="20"/>
                <w:szCs w:val="20"/>
              </w:rPr>
            </w:pPr>
            <w:r w:rsidRPr="00A17E25">
              <w:rPr>
                <w:rFonts w:ascii="Arial" w:hAnsi="Arial" w:cs="Arial"/>
                <w:iCs/>
                <w:sz w:val="20"/>
                <w:szCs w:val="20"/>
              </w:rPr>
              <w:t>Le Conseil communal ne formule aucune recommandation.</w:t>
            </w:r>
          </w:p>
          <w:p w:rsidR="003A596A" w:rsidRPr="00A17E25" w:rsidRDefault="003A596A" w:rsidP="003A596A">
            <w:pPr>
              <w:jc w:val="both"/>
              <w:rPr>
                <w:rFonts w:ascii="Arial" w:hAnsi="Arial" w:cs="Arial"/>
                <w:sz w:val="20"/>
                <w:szCs w:val="20"/>
              </w:rPr>
            </w:pPr>
          </w:p>
        </w:tc>
      </w:tr>
      <w:tr w:rsidR="003A596A" w:rsidRPr="00A17E25" w:rsidTr="002A24D6">
        <w:trPr>
          <w:jc w:val="center"/>
        </w:trPr>
        <w:tc>
          <w:tcPr>
            <w:tcW w:w="4414" w:type="dxa"/>
          </w:tcPr>
          <w:p w:rsidR="003A596A" w:rsidRPr="00A17E25" w:rsidRDefault="003A596A" w:rsidP="003A596A">
            <w:pPr>
              <w:autoSpaceDE w:val="0"/>
              <w:autoSpaceDN w:val="0"/>
              <w:adjustRightInd w:val="0"/>
              <w:rPr>
                <w:rFonts w:ascii="Arial" w:eastAsiaTheme="minorHAnsi" w:hAnsi="Arial" w:cs="Arial"/>
                <w:color w:val="000000"/>
                <w:sz w:val="20"/>
                <w:szCs w:val="20"/>
              </w:rPr>
            </w:pPr>
            <w:r w:rsidRPr="00A17E25">
              <w:rPr>
                <w:rFonts w:ascii="Arial" w:eastAsiaTheme="minorHAnsi" w:hAnsi="Arial" w:cs="Arial"/>
                <w:color w:val="000000"/>
                <w:sz w:val="20"/>
                <w:szCs w:val="20"/>
              </w:rPr>
              <w:t xml:space="preserve">(iv) Transparence de la fonction d’examen du pouvoir législatif. </w:t>
            </w:r>
          </w:p>
        </w:tc>
        <w:tc>
          <w:tcPr>
            <w:tcW w:w="1080" w:type="dxa"/>
          </w:tcPr>
          <w:p w:rsidR="003A596A" w:rsidRPr="00A17E25" w:rsidRDefault="00AD062F" w:rsidP="003A596A">
            <w:pPr>
              <w:jc w:val="center"/>
              <w:rPr>
                <w:rFonts w:ascii="Arial" w:hAnsi="Arial" w:cs="Arial"/>
                <w:sz w:val="20"/>
                <w:szCs w:val="20"/>
              </w:rPr>
            </w:pPr>
            <w:r>
              <w:rPr>
                <w:rFonts w:ascii="Arial" w:hAnsi="Arial" w:cs="Arial"/>
                <w:sz w:val="20"/>
                <w:szCs w:val="20"/>
              </w:rPr>
              <w:t>NA</w:t>
            </w:r>
          </w:p>
        </w:tc>
        <w:tc>
          <w:tcPr>
            <w:tcW w:w="3720" w:type="dxa"/>
          </w:tcPr>
          <w:p w:rsidR="003A596A" w:rsidRPr="00A17E25" w:rsidRDefault="003A596A" w:rsidP="003A596A">
            <w:pPr>
              <w:jc w:val="both"/>
              <w:rPr>
                <w:rFonts w:ascii="Arial" w:hAnsi="Arial" w:cs="Arial"/>
                <w:sz w:val="20"/>
                <w:szCs w:val="20"/>
              </w:rPr>
            </w:pPr>
            <w:r w:rsidRPr="00A17E25">
              <w:rPr>
                <w:rFonts w:ascii="Arial" w:hAnsi="Arial" w:cs="Arial"/>
                <w:sz w:val="20"/>
                <w:szCs w:val="20"/>
              </w:rPr>
              <w:t>Le Conseil communal ne tient aucune audience à ce sujet.</w:t>
            </w:r>
          </w:p>
          <w:p w:rsidR="003A596A" w:rsidRPr="00A17E25" w:rsidRDefault="003A596A" w:rsidP="003A596A">
            <w:pPr>
              <w:jc w:val="both"/>
              <w:rPr>
                <w:rFonts w:ascii="Arial" w:hAnsi="Arial" w:cs="Arial"/>
                <w:iCs/>
                <w:sz w:val="20"/>
                <w:szCs w:val="20"/>
              </w:rPr>
            </w:pPr>
          </w:p>
        </w:tc>
      </w:tr>
    </w:tbl>
    <w:p w:rsidR="007E2273" w:rsidRDefault="007E2273" w:rsidP="00CC3ED7">
      <w:pPr>
        <w:pStyle w:val="Heading1"/>
        <w:rPr>
          <w:color w:val="0070C0"/>
        </w:rPr>
      </w:pPr>
      <w:bookmarkStart w:id="360" w:name="_Toc434916185"/>
      <w:bookmarkStart w:id="361" w:name="_Toc434918399"/>
    </w:p>
    <w:p w:rsidR="003A596A" w:rsidRPr="00F92FF8" w:rsidRDefault="003A596A" w:rsidP="00CC3ED7">
      <w:pPr>
        <w:pStyle w:val="Heading1"/>
        <w:rPr>
          <w:color w:val="0070C0"/>
        </w:rPr>
      </w:pPr>
      <w:r w:rsidRPr="00F92FF8">
        <w:rPr>
          <w:color w:val="0070C0"/>
        </w:rPr>
        <w:t xml:space="preserve">4. </w:t>
      </w:r>
      <w:bookmarkEnd w:id="282"/>
      <w:bookmarkEnd w:id="283"/>
      <w:bookmarkEnd w:id="284"/>
      <w:bookmarkEnd w:id="285"/>
      <w:r w:rsidRPr="00F92FF8">
        <w:rPr>
          <w:color w:val="0070C0"/>
        </w:rPr>
        <w:t>Analyse des systèmes disponibles pour produire les résultats budgétaires</w:t>
      </w:r>
      <w:bookmarkEnd w:id="360"/>
      <w:bookmarkEnd w:id="361"/>
    </w:p>
    <w:p w:rsidR="003A596A" w:rsidRPr="00F92FF8" w:rsidRDefault="003A596A" w:rsidP="003A596A">
      <w:pPr>
        <w:rPr>
          <w:color w:val="0070C0"/>
        </w:rPr>
      </w:pPr>
    </w:p>
    <w:p w:rsidR="003A596A" w:rsidRPr="00F92FF8" w:rsidRDefault="00913D5F" w:rsidP="00CC3ED7">
      <w:pPr>
        <w:pStyle w:val="Heading2"/>
        <w:rPr>
          <w:i w:val="0"/>
          <w:color w:val="0070C0"/>
        </w:rPr>
      </w:pPr>
      <w:bookmarkStart w:id="362" w:name="_Toc434916186"/>
      <w:bookmarkStart w:id="363" w:name="_Toc434918400"/>
      <w:r w:rsidRPr="00F92FF8">
        <w:rPr>
          <w:i w:val="0"/>
          <w:color w:val="0070C0"/>
        </w:rPr>
        <w:t xml:space="preserve">4.1 </w:t>
      </w:r>
      <w:r w:rsidR="00366EE5" w:rsidRPr="00F92FF8">
        <w:rPr>
          <w:i w:val="0"/>
          <w:color w:val="0070C0"/>
        </w:rPr>
        <w:t>Évaluation</w:t>
      </w:r>
      <w:r w:rsidR="003A596A" w:rsidRPr="00F92FF8">
        <w:rPr>
          <w:i w:val="0"/>
          <w:color w:val="0070C0"/>
        </w:rPr>
        <w:t xml:space="preserve"> intégrée des différents indicateurs de performance</w:t>
      </w:r>
      <w:bookmarkEnd w:id="362"/>
      <w:bookmarkEnd w:id="363"/>
    </w:p>
    <w:p w:rsidR="001F44B5" w:rsidRDefault="001F44B5" w:rsidP="001F44B5">
      <w:pPr>
        <w:jc w:val="both"/>
        <w:rPr>
          <w:rFonts w:ascii="Arial" w:hAnsi="Arial" w:cs="Arial"/>
          <w:b/>
          <w:bCs/>
          <w:iCs/>
        </w:rPr>
      </w:pPr>
    </w:p>
    <w:p w:rsidR="001F44B5" w:rsidRDefault="001F44B5" w:rsidP="001F44B5">
      <w:pPr>
        <w:jc w:val="both"/>
        <w:rPr>
          <w:rFonts w:ascii="Arial" w:hAnsi="Arial" w:cs="Arial"/>
          <w:b/>
          <w:bCs/>
          <w:iCs/>
        </w:rPr>
      </w:pPr>
      <w:r w:rsidRPr="008C4BE7">
        <w:rPr>
          <w:rFonts w:ascii="Arial" w:hAnsi="Arial" w:cs="Arial"/>
          <w:b/>
          <w:bCs/>
          <w:iCs/>
        </w:rPr>
        <w:t>Crédibilité de la stratégie des finances publiques et du budget</w:t>
      </w:r>
    </w:p>
    <w:p w:rsidR="00581667" w:rsidRPr="008C4BE7" w:rsidRDefault="00581667" w:rsidP="001F44B5">
      <w:pPr>
        <w:jc w:val="both"/>
        <w:rPr>
          <w:rFonts w:ascii="Arial" w:hAnsi="Arial" w:cs="Arial"/>
          <w:b/>
          <w:bCs/>
          <w:iCs/>
        </w:rPr>
      </w:pPr>
    </w:p>
    <w:p w:rsidR="001F44B5" w:rsidRDefault="001F44B5" w:rsidP="001F44B5">
      <w:pPr>
        <w:jc w:val="both"/>
        <w:rPr>
          <w:rFonts w:ascii="Arial" w:hAnsi="Arial" w:cs="Arial"/>
          <w:bCs/>
          <w:iCs/>
        </w:rPr>
      </w:pPr>
      <w:r>
        <w:rPr>
          <w:rFonts w:ascii="Arial" w:hAnsi="Arial" w:cs="Arial"/>
          <w:bCs/>
          <w:iCs/>
        </w:rPr>
        <w:t xml:space="preserve">La crédibilité du budget de la </w:t>
      </w:r>
      <w:r w:rsidR="00DE5B35">
        <w:rPr>
          <w:rFonts w:ascii="Arial" w:hAnsi="Arial" w:cs="Arial"/>
          <w:bCs/>
          <w:iCs/>
        </w:rPr>
        <w:t>CC</w:t>
      </w:r>
      <w:r>
        <w:rPr>
          <w:rFonts w:ascii="Arial" w:hAnsi="Arial" w:cs="Arial"/>
          <w:bCs/>
          <w:iCs/>
        </w:rPr>
        <w:t xml:space="preserve"> est amoindrie par le fait que son budget </w:t>
      </w:r>
      <w:r w:rsidR="00D8102C">
        <w:rPr>
          <w:rFonts w:ascii="Arial" w:hAnsi="Arial" w:cs="Arial"/>
          <w:bCs/>
          <w:iCs/>
        </w:rPr>
        <w:t xml:space="preserve">initial </w:t>
      </w:r>
      <w:r>
        <w:rPr>
          <w:rFonts w:ascii="Arial" w:hAnsi="Arial" w:cs="Arial"/>
          <w:bCs/>
          <w:iCs/>
        </w:rPr>
        <w:t xml:space="preserve">ne couvre que les dépenses de fonctionnement (première partie) et l’amortissement des emprunts, les dépenses d’équipement n’étant programmées qu’au coup par coup en cours d’année. Elle est aussi affectée par les prévisions des CAS </w:t>
      </w:r>
      <w:r w:rsidR="00B12179">
        <w:rPr>
          <w:rFonts w:ascii="Arial" w:hAnsi="Arial" w:cs="Arial"/>
          <w:bCs/>
          <w:iCs/>
        </w:rPr>
        <w:t xml:space="preserve">de la commune </w:t>
      </w:r>
      <w:r>
        <w:rPr>
          <w:rFonts w:ascii="Arial" w:hAnsi="Arial" w:cs="Arial"/>
          <w:bCs/>
          <w:iCs/>
        </w:rPr>
        <w:t xml:space="preserve">qui ne sont pas réalistes. En effet, la liste des CAS n’est pas apurée conformément aux dispositions de la loi relative aux finances locales et, de ce fait, contient de nombreux comptes qui ne sont plus opérationnels depuis plusieurs années, mais qui continuent de faire l’objet de prévisions budgétaires. Ce qui affecte considérablement la crédibilité des prévisions budgétaires. Les résultats budgétaires globaux obtenus au cours des trois exercices couverts par l’évaluation ainsi que les fortes variations de la composition des dépenses aussi bien par domaine que par nature corroborent le manque de crédibilité du budget de la </w:t>
      </w:r>
      <w:r w:rsidR="00DE5B35">
        <w:rPr>
          <w:rFonts w:ascii="Arial" w:hAnsi="Arial" w:cs="Arial"/>
          <w:bCs/>
          <w:iCs/>
        </w:rPr>
        <w:t>CC</w:t>
      </w:r>
      <w:r>
        <w:rPr>
          <w:rFonts w:ascii="Arial" w:hAnsi="Arial" w:cs="Arial"/>
          <w:bCs/>
          <w:iCs/>
        </w:rPr>
        <w:t>.</w:t>
      </w:r>
    </w:p>
    <w:p w:rsidR="001F44B5" w:rsidRDefault="001F44B5" w:rsidP="001F44B5">
      <w:pPr>
        <w:jc w:val="both"/>
        <w:rPr>
          <w:rFonts w:ascii="Arial" w:hAnsi="Arial" w:cs="Arial"/>
          <w:bCs/>
          <w:iCs/>
        </w:rPr>
      </w:pPr>
    </w:p>
    <w:p w:rsidR="001F44B5" w:rsidRDefault="001F44B5" w:rsidP="001F44B5">
      <w:pPr>
        <w:jc w:val="both"/>
        <w:rPr>
          <w:rFonts w:ascii="Arial" w:hAnsi="Arial" w:cs="Arial"/>
          <w:b/>
          <w:bCs/>
          <w:iCs/>
        </w:rPr>
      </w:pPr>
      <w:r w:rsidRPr="008C4BE7">
        <w:rPr>
          <w:rFonts w:ascii="Arial" w:hAnsi="Arial" w:cs="Arial"/>
          <w:b/>
          <w:bCs/>
          <w:iCs/>
        </w:rPr>
        <w:t>Exhaustivité et transparence</w:t>
      </w:r>
    </w:p>
    <w:p w:rsidR="00581667" w:rsidRPr="008C4BE7" w:rsidRDefault="00581667" w:rsidP="001F44B5">
      <w:pPr>
        <w:jc w:val="both"/>
        <w:rPr>
          <w:rFonts w:ascii="Arial" w:hAnsi="Arial" w:cs="Arial"/>
          <w:b/>
          <w:bCs/>
          <w:iCs/>
        </w:rPr>
      </w:pPr>
    </w:p>
    <w:p w:rsidR="001F44B5" w:rsidRDefault="001F44B5" w:rsidP="001F44B5">
      <w:pPr>
        <w:jc w:val="both"/>
        <w:rPr>
          <w:rFonts w:ascii="Arial" w:hAnsi="Arial" w:cs="Arial"/>
          <w:color w:val="000000"/>
        </w:rPr>
      </w:pPr>
      <w:r>
        <w:rPr>
          <w:rFonts w:ascii="Arial" w:hAnsi="Arial" w:cs="Arial"/>
          <w:color w:val="000000"/>
        </w:rPr>
        <w:t xml:space="preserve">L’exhaustivité et la transparence budgétaires sont confortées par le fait que la documentation documentaire transmise au conseil communal en vue du vote du budget contient les quatre éléments d’information de base prescrits par le cadre PEFA. </w:t>
      </w:r>
      <w:r w:rsidR="00B12179">
        <w:rPr>
          <w:rFonts w:ascii="Arial" w:hAnsi="Arial" w:cs="Arial"/>
          <w:color w:val="000000"/>
        </w:rPr>
        <w:t>De plus les sessions plénière</w:t>
      </w:r>
      <w:r w:rsidR="00777B8D">
        <w:rPr>
          <w:rFonts w:ascii="Arial" w:hAnsi="Arial" w:cs="Arial"/>
          <w:color w:val="000000"/>
        </w:rPr>
        <w:t>s</w:t>
      </w:r>
      <w:r w:rsidR="00B12179">
        <w:rPr>
          <w:rFonts w:ascii="Arial" w:hAnsi="Arial" w:cs="Arial"/>
          <w:color w:val="000000"/>
        </w:rPr>
        <w:t xml:space="preserve"> du conseil </w:t>
      </w:r>
      <w:r w:rsidR="00A4778F">
        <w:rPr>
          <w:rFonts w:ascii="Arial" w:hAnsi="Arial" w:cs="Arial"/>
          <w:color w:val="000000"/>
        </w:rPr>
        <w:t>communal</w:t>
      </w:r>
      <w:r w:rsidR="00B12179">
        <w:rPr>
          <w:rFonts w:ascii="Arial" w:hAnsi="Arial" w:cs="Arial"/>
          <w:color w:val="000000"/>
        </w:rPr>
        <w:t xml:space="preserve"> sont ouvertes au public. </w:t>
      </w:r>
      <w:r>
        <w:rPr>
          <w:rFonts w:ascii="Arial" w:hAnsi="Arial" w:cs="Arial"/>
          <w:color w:val="000000"/>
        </w:rPr>
        <w:t xml:space="preserve">Cependant, elle est affaiblie par la non communication au conseil communal d’aucun des éléments d’information supplémentaire exigés par le cadre PEFA, les classifications budgétaires de la nomenclature budgétaire qui ne sont pas conformes aux normes SFP et par l’accès du public à très peu d’informations budgétaires. De même, </w:t>
      </w:r>
      <w:r w:rsidR="00777B8D">
        <w:rPr>
          <w:rFonts w:ascii="Arial" w:hAnsi="Arial" w:cs="Arial"/>
          <w:color w:val="000000"/>
        </w:rPr>
        <w:t xml:space="preserve">la </w:t>
      </w:r>
      <w:r>
        <w:rPr>
          <w:rFonts w:ascii="Arial" w:hAnsi="Arial" w:cs="Arial"/>
          <w:color w:val="000000"/>
        </w:rPr>
        <w:t xml:space="preserve">non production de rapport sur l’utilisation des ressources mises à la disposition des unités de prestation de service affecte également l’exhaustivité et la transparence budgétaires.  </w:t>
      </w:r>
    </w:p>
    <w:p w:rsidR="001F44B5" w:rsidRDefault="001F44B5" w:rsidP="001F44B5">
      <w:pPr>
        <w:jc w:val="both"/>
        <w:rPr>
          <w:rFonts w:ascii="Arial" w:hAnsi="Arial" w:cs="Arial"/>
          <w:bCs/>
          <w:iCs/>
        </w:rPr>
      </w:pPr>
    </w:p>
    <w:p w:rsidR="001F44B5" w:rsidRDefault="001F44B5" w:rsidP="001F44B5">
      <w:pPr>
        <w:jc w:val="both"/>
        <w:rPr>
          <w:rFonts w:ascii="Arial" w:hAnsi="Arial" w:cs="Arial"/>
          <w:bCs/>
          <w:iCs/>
        </w:rPr>
      </w:pPr>
      <w:r>
        <w:rPr>
          <w:rFonts w:ascii="Arial" w:hAnsi="Arial" w:cs="Arial"/>
          <w:b/>
          <w:bCs/>
          <w:iCs/>
        </w:rPr>
        <w:t>Gestion des actifs et des passifs</w:t>
      </w:r>
      <w:r>
        <w:rPr>
          <w:rFonts w:ascii="Arial" w:hAnsi="Arial" w:cs="Arial"/>
          <w:bCs/>
          <w:iCs/>
        </w:rPr>
        <w:t xml:space="preserve"> </w:t>
      </w:r>
    </w:p>
    <w:p w:rsidR="00581667" w:rsidRPr="00301FD2" w:rsidRDefault="00581667" w:rsidP="001F44B5">
      <w:pPr>
        <w:jc w:val="both"/>
        <w:rPr>
          <w:rFonts w:ascii="Arial" w:hAnsi="Arial" w:cs="Arial"/>
          <w:bCs/>
          <w:iCs/>
        </w:rPr>
      </w:pPr>
    </w:p>
    <w:p w:rsidR="001F44B5" w:rsidRDefault="001F44B5" w:rsidP="001F44B5">
      <w:pPr>
        <w:jc w:val="both"/>
        <w:rPr>
          <w:rFonts w:ascii="Arial" w:hAnsi="Arial" w:cs="Arial"/>
        </w:rPr>
      </w:pPr>
      <w:r>
        <w:rPr>
          <w:rFonts w:ascii="Arial" w:hAnsi="Arial"/>
          <w:bCs/>
          <w:iCs/>
        </w:rPr>
        <w:t xml:space="preserve">La gestion des actifs et des passifs de la </w:t>
      </w:r>
      <w:r w:rsidR="00DE5B35">
        <w:rPr>
          <w:rFonts w:ascii="Arial" w:hAnsi="Arial"/>
          <w:bCs/>
          <w:iCs/>
        </w:rPr>
        <w:t>CC</w:t>
      </w:r>
      <w:r>
        <w:rPr>
          <w:rFonts w:ascii="Arial" w:hAnsi="Arial"/>
          <w:bCs/>
          <w:iCs/>
        </w:rPr>
        <w:t xml:space="preserve"> </w:t>
      </w:r>
      <w:r w:rsidR="00191A1A">
        <w:rPr>
          <w:rFonts w:ascii="Arial" w:hAnsi="Arial"/>
          <w:bCs/>
          <w:iCs/>
        </w:rPr>
        <w:t>est à améliorer</w:t>
      </w:r>
      <w:r>
        <w:rPr>
          <w:rFonts w:ascii="Arial" w:hAnsi="Arial"/>
          <w:bCs/>
          <w:iCs/>
        </w:rPr>
        <w:t>. Le suivi de la situation financière des sociétés de développement local (SDL)</w:t>
      </w:r>
      <w:r w:rsidR="00B12179">
        <w:rPr>
          <w:rFonts w:ascii="Arial" w:hAnsi="Arial"/>
          <w:bCs/>
          <w:iCs/>
        </w:rPr>
        <w:t>, récemment créées,</w:t>
      </w:r>
      <w:r>
        <w:rPr>
          <w:rFonts w:ascii="Arial" w:hAnsi="Arial"/>
          <w:bCs/>
          <w:iCs/>
        </w:rPr>
        <w:t xml:space="preserve"> n’est pas </w:t>
      </w:r>
      <w:r w:rsidR="008714A0">
        <w:rPr>
          <w:rFonts w:ascii="Arial" w:hAnsi="Arial"/>
          <w:bCs/>
          <w:iCs/>
        </w:rPr>
        <w:t xml:space="preserve">encore </w:t>
      </w:r>
      <w:r>
        <w:rPr>
          <w:rFonts w:ascii="Arial" w:hAnsi="Arial"/>
          <w:bCs/>
          <w:iCs/>
        </w:rPr>
        <w:t xml:space="preserve">convenablement assuré par la ville afin de prévenir les risques budgétaires liés à leur gestion. </w:t>
      </w:r>
      <w:r w:rsidRPr="006827EB">
        <w:rPr>
          <w:rFonts w:ascii="Arial" w:hAnsi="Arial" w:cs="Arial"/>
        </w:rPr>
        <w:t xml:space="preserve">Les passifs conditionnels </w:t>
      </w:r>
      <w:r>
        <w:rPr>
          <w:rFonts w:ascii="Arial" w:hAnsi="Arial" w:cs="Arial"/>
        </w:rPr>
        <w:t xml:space="preserve">liés aux activités de la </w:t>
      </w:r>
      <w:r w:rsidR="00DE5B35">
        <w:rPr>
          <w:rFonts w:ascii="Arial" w:hAnsi="Arial" w:cs="Arial"/>
        </w:rPr>
        <w:t>CC</w:t>
      </w:r>
      <w:r w:rsidRPr="006827EB">
        <w:rPr>
          <w:rFonts w:ascii="Arial" w:hAnsi="Arial" w:cs="Arial"/>
        </w:rPr>
        <w:t xml:space="preserve"> </w:t>
      </w:r>
      <w:r>
        <w:rPr>
          <w:rFonts w:ascii="Arial" w:hAnsi="Arial" w:cs="Arial"/>
        </w:rPr>
        <w:t>ne sont pas tous quantifiés, consolidés et suivis. Les projets d’investissements programmés ne font pas systématiquement l’objet d’</w:t>
      </w:r>
      <w:r w:rsidR="008714A0">
        <w:rPr>
          <w:rFonts w:ascii="Arial" w:hAnsi="Arial" w:cs="Arial"/>
        </w:rPr>
        <w:t>analyses économiques objectives</w:t>
      </w:r>
      <w:r>
        <w:rPr>
          <w:rFonts w:ascii="Arial" w:hAnsi="Arial" w:cs="Arial"/>
        </w:rPr>
        <w:t>. Les projets d’investissement</w:t>
      </w:r>
      <w:r w:rsidRPr="003925E8">
        <w:rPr>
          <w:rFonts w:ascii="Arial" w:hAnsi="Arial" w:cs="Arial"/>
        </w:rPr>
        <w:t xml:space="preserve"> ne font pas l’objet d’une programmation budgétaire p</w:t>
      </w:r>
      <w:r>
        <w:rPr>
          <w:rFonts w:ascii="Arial" w:hAnsi="Arial" w:cs="Arial"/>
        </w:rPr>
        <w:t>luriannuelle.</w:t>
      </w:r>
      <w:r w:rsidRPr="003925E8">
        <w:rPr>
          <w:rFonts w:ascii="Arial" w:hAnsi="Arial" w:cs="Arial"/>
        </w:rPr>
        <w:t xml:space="preserve"> Le mécanisme d’autorisation de programme et de crédit de paiement n’est convenablement mis en œuvre. Les charges récurrentes ne sont pas estimées et prises en compte.</w:t>
      </w:r>
      <w:r>
        <w:rPr>
          <w:rFonts w:ascii="Arial" w:hAnsi="Arial" w:cs="Arial"/>
        </w:rPr>
        <w:t xml:space="preserve"> </w:t>
      </w:r>
      <w:r w:rsidRPr="003925E8">
        <w:rPr>
          <w:rFonts w:ascii="Arial" w:hAnsi="Arial" w:cs="Arial"/>
        </w:rPr>
        <w:t xml:space="preserve">Les états de suivi des projets élaborés </w:t>
      </w:r>
      <w:r>
        <w:rPr>
          <w:rFonts w:ascii="Arial" w:hAnsi="Arial" w:cs="Arial"/>
        </w:rPr>
        <w:t xml:space="preserve">et </w:t>
      </w:r>
      <w:r w:rsidRPr="003925E8">
        <w:rPr>
          <w:rFonts w:ascii="Arial" w:hAnsi="Arial" w:cs="Arial"/>
        </w:rPr>
        <w:t>ne portent que sur l’exécution financière des projets</w:t>
      </w:r>
      <w:r>
        <w:rPr>
          <w:rFonts w:ascii="Arial" w:hAnsi="Arial" w:cs="Arial"/>
        </w:rPr>
        <w:t>,</w:t>
      </w:r>
      <w:r w:rsidRPr="003925E8">
        <w:rPr>
          <w:rFonts w:ascii="Arial" w:hAnsi="Arial" w:cs="Arial"/>
        </w:rPr>
        <w:t xml:space="preserve"> et ne contiennent pas de données sur l’état d’avancement physique des projets.</w:t>
      </w:r>
    </w:p>
    <w:p w:rsidR="00DD6228" w:rsidRPr="003925E8" w:rsidRDefault="00DD6228" w:rsidP="001F44B5">
      <w:pPr>
        <w:jc w:val="both"/>
        <w:rPr>
          <w:rFonts w:ascii="Arial" w:hAnsi="Arial" w:cs="Arial"/>
        </w:rPr>
      </w:pPr>
    </w:p>
    <w:p w:rsidR="001F44B5" w:rsidRDefault="001F44B5" w:rsidP="001F44B5">
      <w:pPr>
        <w:jc w:val="both"/>
        <w:rPr>
          <w:rFonts w:ascii="Arial" w:hAnsi="Arial" w:cs="Arial"/>
        </w:rPr>
      </w:pPr>
      <w:r w:rsidRPr="00BA0126">
        <w:rPr>
          <w:rFonts w:ascii="Arial" w:hAnsi="Arial" w:cs="Arial"/>
        </w:rPr>
        <w:t>La performance des actifs financiers ne fait pas l’objet d’un suivi et de rapports annuels</w:t>
      </w:r>
      <w:r>
        <w:rPr>
          <w:rFonts w:ascii="Arial" w:hAnsi="Arial" w:cs="Arial"/>
        </w:rPr>
        <w:t xml:space="preserve">. </w:t>
      </w:r>
    </w:p>
    <w:p w:rsidR="00DD6228" w:rsidRDefault="00DD6228" w:rsidP="001F44B5">
      <w:pPr>
        <w:jc w:val="both"/>
        <w:rPr>
          <w:rFonts w:ascii="Arial" w:hAnsi="Arial" w:cs="Arial"/>
        </w:rPr>
      </w:pPr>
    </w:p>
    <w:p w:rsidR="001F44B5" w:rsidRDefault="001F44B5" w:rsidP="001F44B5">
      <w:pPr>
        <w:jc w:val="both"/>
        <w:rPr>
          <w:rFonts w:ascii="Arial" w:hAnsi="Arial" w:cs="Arial"/>
        </w:rPr>
      </w:pPr>
      <w:r>
        <w:rPr>
          <w:rFonts w:ascii="Arial" w:hAnsi="Arial" w:cs="Arial"/>
        </w:rPr>
        <w:t xml:space="preserve">La gestion des actifs non financiers du domaine public et du domaine privé de la </w:t>
      </w:r>
      <w:r w:rsidR="00DE5B35">
        <w:rPr>
          <w:rFonts w:ascii="Arial" w:hAnsi="Arial" w:cs="Arial"/>
        </w:rPr>
        <w:t>CC</w:t>
      </w:r>
      <w:r>
        <w:rPr>
          <w:rFonts w:ascii="Arial" w:hAnsi="Arial" w:cs="Arial"/>
        </w:rPr>
        <w:t xml:space="preserve"> </w:t>
      </w:r>
      <w:r w:rsidRPr="00BA0126">
        <w:rPr>
          <w:rFonts w:ascii="Arial" w:hAnsi="Arial" w:cs="Arial"/>
        </w:rPr>
        <w:t xml:space="preserve">souffrent </w:t>
      </w:r>
      <w:r>
        <w:rPr>
          <w:rFonts w:ascii="Arial" w:hAnsi="Arial" w:cs="Arial"/>
        </w:rPr>
        <w:t>aussi d</w:t>
      </w:r>
      <w:r w:rsidR="008714A0">
        <w:rPr>
          <w:rFonts w:ascii="Arial" w:hAnsi="Arial" w:cs="Arial"/>
        </w:rPr>
        <w:t>’</w:t>
      </w:r>
      <w:r>
        <w:rPr>
          <w:rFonts w:ascii="Arial" w:hAnsi="Arial" w:cs="Arial"/>
        </w:rPr>
        <w:t xml:space="preserve">imperfections. La gestion du matériel est fragmentée du fait que chaque division de la </w:t>
      </w:r>
      <w:r w:rsidR="00DE5B35">
        <w:rPr>
          <w:rFonts w:ascii="Arial" w:hAnsi="Arial" w:cs="Arial"/>
        </w:rPr>
        <w:t>CC</w:t>
      </w:r>
      <w:r>
        <w:rPr>
          <w:rFonts w:ascii="Arial" w:hAnsi="Arial" w:cs="Arial"/>
        </w:rPr>
        <w:t xml:space="preserve"> tient son propre registre qui est manuel, non valorisé et non confirmé par un inventaire physique. Le matériel roulant n’est pas intégré dans ces registres. </w:t>
      </w:r>
    </w:p>
    <w:p w:rsidR="001F44B5" w:rsidRDefault="001F44B5" w:rsidP="001F44B5">
      <w:pPr>
        <w:jc w:val="both"/>
        <w:rPr>
          <w:rFonts w:ascii="Arial" w:hAnsi="Arial" w:cs="Arial"/>
        </w:rPr>
      </w:pPr>
    </w:p>
    <w:p w:rsidR="001F44B5" w:rsidRPr="00C25049" w:rsidRDefault="001F44B5" w:rsidP="001F44B5">
      <w:pPr>
        <w:jc w:val="both"/>
        <w:rPr>
          <w:rFonts w:ascii="Arial" w:hAnsi="Arial" w:cs="Arial"/>
        </w:rPr>
      </w:pPr>
      <w:r w:rsidRPr="000874BD">
        <w:rPr>
          <w:rFonts w:ascii="Arial" w:hAnsi="Arial" w:cs="Arial"/>
        </w:rPr>
        <w:t xml:space="preserve">Les données sur la dette intérieure et extérieure de la </w:t>
      </w:r>
      <w:r w:rsidR="00DE5B35">
        <w:rPr>
          <w:rFonts w:ascii="Arial" w:hAnsi="Arial" w:cs="Arial"/>
        </w:rPr>
        <w:t>CC</w:t>
      </w:r>
      <w:r w:rsidRPr="000874BD">
        <w:rPr>
          <w:rFonts w:ascii="Arial" w:hAnsi="Arial" w:cs="Arial"/>
        </w:rPr>
        <w:t xml:space="preserve"> sont de qualité relativement satisfaisante, mais </w:t>
      </w:r>
      <w:r w:rsidR="00191A1A">
        <w:rPr>
          <w:rFonts w:ascii="Arial" w:hAnsi="Arial" w:cs="Arial"/>
        </w:rPr>
        <w:t>les</w:t>
      </w:r>
      <w:r w:rsidRPr="000874BD">
        <w:rPr>
          <w:rFonts w:ascii="Arial" w:hAnsi="Arial" w:cs="Arial"/>
        </w:rPr>
        <w:t xml:space="preserve"> rapprochement</w:t>
      </w:r>
      <w:r w:rsidR="00191A1A">
        <w:rPr>
          <w:rFonts w:ascii="Arial" w:hAnsi="Arial" w:cs="Arial"/>
        </w:rPr>
        <w:t>s</w:t>
      </w:r>
      <w:r w:rsidRPr="000874BD">
        <w:rPr>
          <w:rFonts w:ascii="Arial" w:hAnsi="Arial" w:cs="Arial"/>
        </w:rPr>
        <w:t xml:space="preserve"> de ces données </w:t>
      </w:r>
      <w:r w:rsidR="00191A1A">
        <w:rPr>
          <w:rFonts w:ascii="Arial" w:hAnsi="Arial" w:cs="Arial"/>
        </w:rPr>
        <w:t xml:space="preserve">avec cecelles des bailleurs ne se font pas systématiquement </w:t>
      </w:r>
      <w:r w:rsidRPr="000874BD">
        <w:rPr>
          <w:rFonts w:ascii="Arial" w:hAnsi="Arial" w:cs="Arial"/>
        </w:rPr>
        <w:t xml:space="preserve">et des rapports périodiques sur la dette ne sont pas produits. </w:t>
      </w:r>
      <w:r>
        <w:rPr>
          <w:rFonts w:ascii="Arial" w:hAnsi="Arial" w:cs="Arial"/>
        </w:rPr>
        <w:t xml:space="preserve">La </w:t>
      </w:r>
      <w:r w:rsidR="00DE5B35">
        <w:rPr>
          <w:rFonts w:ascii="Arial" w:hAnsi="Arial" w:cs="Arial"/>
        </w:rPr>
        <w:t>CC</w:t>
      </w:r>
      <w:r w:rsidRPr="00C25049">
        <w:rPr>
          <w:rFonts w:ascii="Arial" w:hAnsi="Arial" w:cs="Arial"/>
        </w:rPr>
        <w:t xml:space="preserve"> ne dispose pas d’une stratégie de gestion de la dette à moyen terme La décision de contracter des emprunts et d’émettre des garanties n’est pas prise sur la base de critères précis et de plafonds préalablement fixés.</w:t>
      </w:r>
      <w:r>
        <w:rPr>
          <w:rFonts w:ascii="Arial" w:hAnsi="Arial" w:cs="Arial"/>
        </w:rPr>
        <w:t xml:space="preserve"> </w:t>
      </w:r>
      <w:r w:rsidRPr="00C25049">
        <w:rPr>
          <w:rFonts w:ascii="Arial" w:hAnsi="Arial" w:cs="Arial"/>
        </w:rPr>
        <w:t>Les procédures d’exécution des dépenses et d’enregistrement des opérations budgétaires en place ne permettent pas de générer les données sur les a</w:t>
      </w:r>
      <w:r>
        <w:rPr>
          <w:rFonts w:ascii="Arial" w:hAnsi="Arial" w:cs="Arial"/>
        </w:rPr>
        <w:t>rriérés de paiement de dépenses qui ont été importants sur les trois exercices couverts par l’évaluation.</w:t>
      </w:r>
    </w:p>
    <w:p w:rsidR="001F44B5" w:rsidRDefault="001F44B5" w:rsidP="001F44B5">
      <w:pPr>
        <w:jc w:val="both"/>
        <w:rPr>
          <w:sz w:val="20"/>
          <w:szCs w:val="20"/>
        </w:rPr>
      </w:pPr>
    </w:p>
    <w:p w:rsidR="001F44B5" w:rsidRDefault="001F44B5" w:rsidP="001F44B5">
      <w:pPr>
        <w:jc w:val="both"/>
        <w:rPr>
          <w:rFonts w:ascii="Arial" w:hAnsi="Arial" w:cs="Arial"/>
          <w:b/>
        </w:rPr>
      </w:pPr>
      <w:r w:rsidRPr="008C4BE7">
        <w:rPr>
          <w:rFonts w:ascii="Arial" w:hAnsi="Arial" w:cs="Arial"/>
          <w:b/>
        </w:rPr>
        <w:t>Planification et budgétisation fondées sur les politiques publiques</w:t>
      </w:r>
    </w:p>
    <w:p w:rsidR="00581667" w:rsidRPr="008C4BE7" w:rsidRDefault="00581667" w:rsidP="001F44B5">
      <w:pPr>
        <w:jc w:val="both"/>
        <w:rPr>
          <w:rFonts w:ascii="Arial" w:hAnsi="Arial" w:cs="Arial"/>
          <w:b/>
        </w:rPr>
      </w:pPr>
    </w:p>
    <w:p w:rsidR="001F44B5" w:rsidRDefault="001F44B5" w:rsidP="001F44B5">
      <w:pPr>
        <w:jc w:val="both"/>
        <w:rPr>
          <w:rFonts w:ascii="Arial" w:hAnsi="Arial" w:cs="Arial"/>
        </w:rPr>
      </w:pPr>
      <w:r>
        <w:rPr>
          <w:rFonts w:ascii="Arial" w:hAnsi="Arial" w:cs="Arial"/>
        </w:rPr>
        <w:t xml:space="preserve">La planification et la budgétisation sont affaiblies par </w:t>
      </w:r>
      <w:r w:rsidR="00B12179">
        <w:rPr>
          <w:rFonts w:ascii="Arial" w:hAnsi="Arial" w:cs="Arial"/>
        </w:rPr>
        <w:t xml:space="preserve">l’impossibilité pour la commune d’avoir une </w:t>
      </w:r>
      <w:r>
        <w:rPr>
          <w:rFonts w:ascii="Arial" w:hAnsi="Arial" w:cs="Arial"/>
        </w:rPr>
        <w:t xml:space="preserve">stratégie budgétaire à moyen terme </w:t>
      </w:r>
      <w:r w:rsidR="00B12179">
        <w:rPr>
          <w:rFonts w:ascii="Arial" w:hAnsi="Arial" w:cs="Arial"/>
        </w:rPr>
        <w:t xml:space="preserve">ni </w:t>
      </w:r>
      <w:r>
        <w:rPr>
          <w:rFonts w:ascii="Arial" w:hAnsi="Arial" w:cs="Arial"/>
        </w:rPr>
        <w:t xml:space="preserve"> de stratégies sectorielles, </w:t>
      </w:r>
      <w:r w:rsidR="00B12179">
        <w:rPr>
          <w:rFonts w:ascii="Arial" w:hAnsi="Arial" w:cs="Arial"/>
        </w:rPr>
        <w:t xml:space="preserve">qui relèvent de l’Etat. L’absence de réglementation sur la programmation pluriannuelle et sur les prévisions pluriannuelles des transferts de l’Etat, ne permettent pas à la commune d’inscrire son budget </w:t>
      </w:r>
      <w:r>
        <w:rPr>
          <w:rFonts w:ascii="Arial" w:hAnsi="Arial" w:cs="Arial"/>
        </w:rPr>
        <w:t>dans une perspective pluriannuelle. Le processus de préparation du budget est affecté par l’inexistence d’un</w:t>
      </w:r>
      <w:r w:rsidRPr="00E41017">
        <w:rPr>
          <w:rFonts w:ascii="Arial" w:hAnsi="Arial" w:cs="Arial"/>
        </w:rPr>
        <w:t xml:space="preserve"> calendrier budgétaire</w:t>
      </w:r>
      <w:r>
        <w:rPr>
          <w:rFonts w:ascii="Arial" w:hAnsi="Arial" w:cs="Arial"/>
        </w:rPr>
        <w:t>,</w:t>
      </w:r>
      <w:r w:rsidRPr="00E41017">
        <w:rPr>
          <w:rFonts w:ascii="Arial" w:hAnsi="Arial" w:cs="Arial"/>
        </w:rPr>
        <w:t xml:space="preserve"> </w:t>
      </w:r>
      <w:r>
        <w:rPr>
          <w:rFonts w:ascii="Arial" w:hAnsi="Arial" w:cs="Arial"/>
        </w:rPr>
        <w:t xml:space="preserve">par la non indication dans la circulaire budgétaire des directives et des plafonds de dépenses à observer par les services pour l’établissement des prévisions budgétaires et par l’absence d’un débat au conseil communal sur les grandes orientations budgétaires. Mais le processus de planification et de budgétisation est conforté par le vote des budgets des trois derniers exercices avant le début des années auxquelles ils se rapportent et par le respect des autorisations budgétaires sous réserve des modifications apportées en cours d’année conformément aux dispositions légales. </w:t>
      </w:r>
    </w:p>
    <w:p w:rsidR="001F44B5" w:rsidRDefault="001F44B5" w:rsidP="001F44B5">
      <w:pPr>
        <w:jc w:val="both"/>
        <w:rPr>
          <w:rFonts w:ascii="Arial" w:hAnsi="Arial" w:cs="Arial"/>
        </w:rPr>
      </w:pPr>
    </w:p>
    <w:p w:rsidR="001F44B5" w:rsidRDefault="001F44B5" w:rsidP="001F44B5">
      <w:pPr>
        <w:jc w:val="both"/>
        <w:rPr>
          <w:rFonts w:ascii="Arial" w:hAnsi="Arial" w:cs="Arial"/>
          <w:b/>
        </w:rPr>
      </w:pPr>
      <w:r w:rsidRPr="008C4BE7">
        <w:rPr>
          <w:rFonts w:ascii="Arial" w:hAnsi="Arial" w:cs="Arial"/>
          <w:b/>
        </w:rPr>
        <w:t>Prévisibilité et contrôle de l’exécution du budget</w:t>
      </w:r>
    </w:p>
    <w:p w:rsidR="00581667" w:rsidRPr="008C4BE7" w:rsidRDefault="00581667" w:rsidP="001F44B5">
      <w:pPr>
        <w:jc w:val="both"/>
        <w:rPr>
          <w:rFonts w:ascii="Arial" w:hAnsi="Arial" w:cs="Arial"/>
          <w:b/>
        </w:rPr>
      </w:pPr>
    </w:p>
    <w:p w:rsidR="001F44B5" w:rsidRDefault="001F44B5" w:rsidP="001F44B5">
      <w:pPr>
        <w:jc w:val="both"/>
        <w:rPr>
          <w:rFonts w:ascii="Arial" w:hAnsi="Arial" w:cs="Arial"/>
        </w:rPr>
      </w:pPr>
      <w:r>
        <w:rPr>
          <w:rFonts w:ascii="Arial" w:hAnsi="Arial" w:cs="Arial"/>
        </w:rPr>
        <w:t>La prévisibilité et le contrôle de l’exécution du budget sont confortés par un bon suivi des recettes recouvrées, un accès facile des contribuables aux principales informations fiscales, l’observance de la séparation des fonctions tout au long du processus d’exécution du budget, le respect de la procédure normale d’exécution des dépenses et le recours dans la quasi-totalité des cas à des procédures de passation de marchés faisant appel à la concurrence. Toutefois la prévisibilité et le contrôle de l’exécution du budget sont affectés par l’absence d’un processus de gestion des risques auxquels sont exposées les recettes, la non maîtrise des arriérés fiscaux, et la non réalisation de</w:t>
      </w:r>
      <w:r w:rsidRPr="007C2BA3">
        <w:rPr>
          <w:rFonts w:ascii="Arial" w:hAnsi="Arial" w:cs="Arial"/>
        </w:rPr>
        <w:t xml:space="preserve"> rapprochement</w:t>
      </w:r>
      <w:r>
        <w:rPr>
          <w:rFonts w:ascii="Arial" w:hAnsi="Arial" w:cs="Arial"/>
        </w:rPr>
        <w:t>s</w:t>
      </w:r>
      <w:r w:rsidRPr="007C2BA3">
        <w:rPr>
          <w:rFonts w:ascii="Arial" w:hAnsi="Arial" w:cs="Arial"/>
        </w:rPr>
        <w:t xml:space="preserve"> complet</w:t>
      </w:r>
      <w:r>
        <w:rPr>
          <w:rFonts w:ascii="Arial" w:hAnsi="Arial" w:cs="Arial"/>
        </w:rPr>
        <w:t>s</w:t>
      </w:r>
      <w:r w:rsidRPr="007C2BA3">
        <w:rPr>
          <w:rFonts w:ascii="Arial" w:hAnsi="Arial" w:cs="Arial"/>
        </w:rPr>
        <w:t xml:space="preserve"> des évaluations d’impôt, des recouvrements, des arriérés et des transferts ne se </w:t>
      </w:r>
      <w:r>
        <w:rPr>
          <w:rFonts w:ascii="Arial" w:hAnsi="Arial" w:cs="Arial"/>
        </w:rPr>
        <w:t>fait pas de manière systématique</w:t>
      </w:r>
      <w:r w:rsidRPr="007C2BA3">
        <w:rPr>
          <w:rFonts w:ascii="Arial" w:hAnsi="Arial" w:cs="Arial"/>
        </w:rPr>
        <w:t>.</w:t>
      </w:r>
      <w:r>
        <w:rPr>
          <w:rFonts w:ascii="Arial" w:hAnsi="Arial" w:cs="Arial"/>
        </w:rPr>
        <w:t xml:space="preserve"> La prévisibilité du budget est aussi affectée par le fait que d</w:t>
      </w:r>
      <w:r w:rsidRPr="00CE3481">
        <w:rPr>
          <w:rFonts w:ascii="Arial" w:hAnsi="Arial" w:cs="Arial"/>
        </w:rPr>
        <w:t xml:space="preserve">es prévisions des flux de trésorerie </w:t>
      </w:r>
      <w:r>
        <w:rPr>
          <w:rFonts w:ascii="Arial" w:hAnsi="Arial" w:cs="Arial"/>
        </w:rPr>
        <w:t xml:space="preserve">ne </w:t>
      </w:r>
      <w:r w:rsidRPr="00CE3481">
        <w:rPr>
          <w:rFonts w:ascii="Arial" w:hAnsi="Arial" w:cs="Arial"/>
        </w:rPr>
        <w:t xml:space="preserve">sont préparées </w:t>
      </w:r>
      <w:r>
        <w:rPr>
          <w:rFonts w:ascii="Arial" w:hAnsi="Arial" w:cs="Arial"/>
        </w:rPr>
        <w:t>et  mises à jour au cours de l’exercice</w:t>
      </w:r>
      <w:r w:rsidRPr="00CE3481">
        <w:rPr>
          <w:rFonts w:ascii="Arial" w:hAnsi="Arial" w:cs="Arial"/>
        </w:rPr>
        <w:t xml:space="preserve">. </w:t>
      </w:r>
    </w:p>
    <w:p w:rsidR="001F44B5" w:rsidRDefault="001F44B5" w:rsidP="001F44B5">
      <w:pPr>
        <w:spacing w:after="1" w:line="237" w:lineRule="auto"/>
        <w:ind w:right="55"/>
        <w:jc w:val="both"/>
        <w:rPr>
          <w:rFonts w:ascii="Arial" w:hAnsi="Arial" w:cs="Arial"/>
        </w:rPr>
      </w:pPr>
    </w:p>
    <w:p w:rsidR="001F44B5" w:rsidRDefault="001F44B5" w:rsidP="001F44B5">
      <w:pPr>
        <w:spacing w:after="1" w:line="237" w:lineRule="auto"/>
        <w:ind w:right="55"/>
        <w:jc w:val="both"/>
        <w:rPr>
          <w:rFonts w:ascii="Arial" w:hAnsi="Arial" w:cs="Arial"/>
        </w:rPr>
      </w:pPr>
      <w:r>
        <w:rPr>
          <w:rFonts w:ascii="Arial" w:hAnsi="Arial" w:cs="Arial"/>
        </w:rPr>
        <w:t>Le contrôle des états de paie souffre de la non intégration du fichier nominatif et des états de paie et de</w:t>
      </w:r>
      <w:r w:rsidR="00581667">
        <w:rPr>
          <w:rFonts w:ascii="Arial" w:hAnsi="Arial" w:cs="Arial"/>
        </w:rPr>
        <w:t xml:space="preserve"> </w:t>
      </w:r>
      <w:r>
        <w:rPr>
          <w:rFonts w:ascii="Arial" w:hAnsi="Arial" w:cs="Arial"/>
        </w:rPr>
        <w:t xml:space="preserve">la non fiabilité des tableaux des emplois. </w:t>
      </w:r>
      <w:r w:rsidRPr="00AE7005">
        <w:rPr>
          <w:rFonts w:ascii="Arial" w:hAnsi="Arial" w:cs="Arial"/>
        </w:rPr>
        <w:t xml:space="preserve">Les vérifications </w:t>
      </w:r>
      <w:r>
        <w:rPr>
          <w:rFonts w:ascii="Arial" w:hAnsi="Arial" w:cs="Arial"/>
        </w:rPr>
        <w:t>effectuées à</w:t>
      </w:r>
      <w:r w:rsidRPr="00AE7005">
        <w:rPr>
          <w:rFonts w:ascii="Arial" w:hAnsi="Arial" w:cs="Arial"/>
        </w:rPr>
        <w:t xml:space="preserve"> l’occasion </w:t>
      </w:r>
      <w:r>
        <w:rPr>
          <w:rFonts w:ascii="Arial" w:hAnsi="Arial" w:cs="Arial"/>
        </w:rPr>
        <w:t xml:space="preserve">de la modification </w:t>
      </w:r>
      <w:r w:rsidRPr="00AE7005">
        <w:rPr>
          <w:rFonts w:ascii="Arial" w:hAnsi="Arial" w:cs="Arial"/>
        </w:rPr>
        <w:t>de la situation administrative du personnel découlant notamment des transformations d’emplois ne sont convenablement assurées ni par rapport aux autorisations du tableau des emplois, ni par référence aux dotations budgétaires.</w:t>
      </w:r>
      <w:r>
        <w:rPr>
          <w:rFonts w:ascii="Arial" w:hAnsi="Arial" w:cs="Arial"/>
        </w:rPr>
        <w:t xml:space="preserve"> </w:t>
      </w:r>
      <w:r w:rsidRPr="0022016B">
        <w:rPr>
          <w:rFonts w:ascii="Arial" w:hAnsi="Arial" w:cs="Arial"/>
        </w:rPr>
        <w:t>Les modifications des dossiers du personnel et des états de paie sont effectué</w:t>
      </w:r>
      <w:r>
        <w:rPr>
          <w:rFonts w:ascii="Arial" w:hAnsi="Arial" w:cs="Arial"/>
        </w:rPr>
        <w:t>e</w:t>
      </w:r>
      <w:r w:rsidRPr="0022016B">
        <w:rPr>
          <w:rFonts w:ascii="Arial" w:hAnsi="Arial" w:cs="Arial"/>
        </w:rPr>
        <w:t>s dans un délai pouvant aller jusqu’à 15 mois et les rappels de salaires découlant de ces modifications sont significatifs</w:t>
      </w:r>
      <w:r>
        <w:rPr>
          <w:rFonts w:ascii="Arial" w:hAnsi="Arial" w:cs="Arial"/>
        </w:rPr>
        <w:t xml:space="preserve">. </w:t>
      </w:r>
      <w:r w:rsidRPr="0022016B">
        <w:rPr>
          <w:rFonts w:ascii="Arial" w:hAnsi="Arial" w:cs="Arial"/>
        </w:rPr>
        <w:t>Le contrôle des engagements de</w:t>
      </w:r>
      <w:r>
        <w:rPr>
          <w:rFonts w:ascii="Arial" w:hAnsi="Arial" w:cs="Arial"/>
        </w:rPr>
        <w:t>s</w:t>
      </w:r>
      <w:r w:rsidRPr="0022016B">
        <w:rPr>
          <w:rFonts w:ascii="Arial" w:hAnsi="Arial" w:cs="Arial"/>
        </w:rPr>
        <w:t xml:space="preserve"> dépenses </w:t>
      </w:r>
      <w:r>
        <w:rPr>
          <w:rFonts w:ascii="Arial" w:hAnsi="Arial" w:cs="Arial"/>
        </w:rPr>
        <w:t xml:space="preserve">non salariales </w:t>
      </w:r>
      <w:r w:rsidRPr="0022016B">
        <w:rPr>
          <w:rFonts w:ascii="Arial" w:hAnsi="Arial" w:cs="Arial"/>
        </w:rPr>
        <w:t>par rapport aux dotations budgét</w:t>
      </w:r>
      <w:r>
        <w:rPr>
          <w:rFonts w:ascii="Arial" w:hAnsi="Arial" w:cs="Arial"/>
        </w:rPr>
        <w:t>aires est convenablement assuré, m</w:t>
      </w:r>
      <w:r w:rsidRPr="0022016B">
        <w:rPr>
          <w:rFonts w:ascii="Arial" w:hAnsi="Arial" w:cs="Arial"/>
        </w:rPr>
        <w:t xml:space="preserve">ais le contrôle de la disponibilité des fonds est exercé aux stades de l’ordonnancement et du </w:t>
      </w:r>
      <w:r>
        <w:rPr>
          <w:rFonts w:ascii="Arial" w:hAnsi="Arial" w:cs="Arial"/>
        </w:rPr>
        <w:t xml:space="preserve">paiement et non de l’engagement ce qui ne permet pas d’éviter l’accumulation d’arriérés de paiement. La fonction d’audit interne n’est pas opérationnelle à la </w:t>
      </w:r>
      <w:r w:rsidR="00DE5B35">
        <w:rPr>
          <w:rFonts w:ascii="Arial" w:hAnsi="Arial" w:cs="Arial"/>
        </w:rPr>
        <w:t>CC</w:t>
      </w:r>
      <w:r>
        <w:rPr>
          <w:rFonts w:ascii="Arial" w:hAnsi="Arial" w:cs="Arial"/>
        </w:rPr>
        <w:t xml:space="preserve">. </w:t>
      </w:r>
    </w:p>
    <w:p w:rsidR="001F44B5" w:rsidRDefault="001F44B5" w:rsidP="001F44B5">
      <w:pPr>
        <w:spacing w:after="1" w:line="237" w:lineRule="auto"/>
        <w:ind w:right="55"/>
        <w:jc w:val="both"/>
        <w:rPr>
          <w:rFonts w:ascii="Arial" w:hAnsi="Arial" w:cs="Arial"/>
        </w:rPr>
      </w:pPr>
    </w:p>
    <w:p w:rsidR="001F44B5" w:rsidRDefault="001F44B5" w:rsidP="001F44B5">
      <w:pPr>
        <w:spacing w:after="1" w:line="237" w:lineRule="auto"/>
        <w:ind w:right="55"/>
        <w:jc w:val="both"/>
        <w:rPr>
          <w:rFonts w:ascii="Arial" w:hAnsi="Arial" w:cs="Arial"/>
        </w:rPr>
      </w:pPr>
      <w:r w:rsidRPr="008714A0">
        <w:rPr>
          <w:rFonts w:ascii="Arial" w:hAnsi="Arial" w:cs="Arial"/>
        </w:rPr>
        <w:t xml:space="preserve">Les règles de passation de marchés faisant appel à la concurrence sont respectées dans la quasi-totalité des cas. Toutefois, la </w:t>
      </w:r>
      <w:r w:rsidR="00DE5B35" w:rsidRPr="008714A0">
        <w:rPr>
          <w:rFonts w:ascii="Arial" w:hAnsi="Arial" w:cs="Arial"/>
        </w:rPr>
        <w:t>CC</w:t>
      </w:r>
      <w:r w:rsidRPr="008714A0">
        <w:rPr>
          <w:rFonts w:ascii="Arial" w:hAnsi="Arial" w:cs="Arial"/>
        </w:rPr>
        <w:t xml:space="preserve"> ne</w:t>
      </w:r>
      <w:r w:rsidRPr="00E72257">
        <w:rPr>
          <w:rFonts w:ascii="Arial" w:hAnsi="Arial" w:cs="Arial"/>
        </w:rPr>
        <w:t xml:space="preserve"> produit pas de rapport pour rendre compte  de la mise en œuvre des plans prévisionnels de passation des marchés et des coûts définitifs des marchés comparés aux montants initi</w:t>
      </w:r>
      <w:r w:rsidRPr="00A607E4">
        <w:rPr>
          <w:rFonts w:ascii="Arial" w:hAnsi="Arial" w:cs="Arial"/>
        </w:rPr>
        <w:t>aux des marchés attribués. Le mécanisme mis en place pour l’instruction des plaintes liées à la passation des marchés publics n’est pas  satisfaisant eu égard aux critères du cadre PEFA.</w:t>
      </w:r>
      <w:r w:rsidR="008B5F97" w:rsidRPr="00A607E4">
        <w:rPr>
          <w:rFonts w:ascii="Arial" w:hAnsi="Arial" w:cs="Arial"/>
        </w:rPr>
        <w:t xml:space="preserve"> Le nouveau code des marchés publics prévoit une commission de recours</w:t>
      </w:r>
      <w:r w:rsidR="008B5F97" w:rsidRPr="008714A0">
        <w:rPr>
          <w:rFonts w:ascii="Arial" w:hAnsi="Arial" w:cs="Arial"/>
        </w:rPr>
        <w:t xml:space="preserve"> auprès de la Direction Générale des collectivités territoriales, mais elle n’est pas encore mise en place.</w:t>
      </w:r>
      <w:r w:rsidR="008B5F97">
        <w:rPr>
          <w:rFonts w:ascii="Arial" w:hAnsi="Arial" w:cs="Arial"/>
        </w:rPr>
        <w:t xml:space="preserve"> </w:t>
      </w:r>
    </w:p>
    <w:p w:rsidR="001F44B5" w:rsidRDefault="001F44B5" w:rsidP="001F44B5">
      <w:pPr>
        <w:spacing w:after="1" w:line="237" w:lineRule="auto"/>
        <w:ind w:right="55"/>
        <w:jc w:val="both"/>
        <w:rPr>
          <w:rFonts w:ascii="Arial" w:hAnsi="Arial" w:cs="Arial"/>
        </w:rPr>
      </w:pPr>
    </w:p>
    <w:p w:rsidR="001F44B5" w:rsidRDefault="001F44B5" w:rsidP="001F44B5">
      <w:pPr>
        <w:spacing w:after="1" w:line="237" w:lineRule="auto"/>
        <w:ind w:right="55"/>
        <w:jc w:val="both"/>
        <w:rPr>
          <w:rFonts w:ascii="Arial" w:hAnsi="Arial" w:cs="Arial"/>
          <w:b/>
        </w:rPr>
      </w:pPr>
      <w:r w:rsidRPr="008C4BE7">
        <w:rPr>
          <w:rFonts w:ascii="Arial" w:hAnsi="Arial" w:cs="Arial"/>
          <w:b/>
        </w:rPr>
        <w:t>Comptabilité, enregistrement des données et établissement de rapports</w:t>
      </w:r>
    </w:p>
    <w:p w:rsidR="00581667" w:rsidRPr="008C4BE7" w:rsidRDefault="00581667" w:rsidP="001F44B5">
      <w:pPr>
        <w:spacing w:after="1" w:line="237" w:lineRule="auto"/>
        <w:ind w:right="55"/>
        <w:jc w:val="both"/>
        <w:rPr>
          <w:rFonts w:ascii="Arial" w:hAnsi="Arial" w:cs="Arial"/>
          <w:b/>
        </w:rPr>
      </w:pPr>
    </w:p>
    <w:p w:rsidR="001F44B5" w:rsidRDefault="001F44B5" w:rsidP="001F44B5">
      <w:pPr>
        <w:spacing w:after="1" w:line="237" w:lineRule="auto"/>
        <w:ind w:right="55"/>
        <w:jc w:val="both"/>
        <w:rPr>
          <w:rFonts w:ascii="Arial" w:hAnsi="Arial" w:cs="Arial"/>
        </w:rPr>
      </w:pPr>
      <w:r>
        <w:rPr>
          <w:rFonts w:ascii="Arial" w:hAnsi="Arial" w:cs="Arial"/>
        </w:rPr>
        <w:t xml:space="preserve">Les points forts révélés par l’évaluation au niveau de ce pilier sont : les rapprochements des comptes bancaires de la </w:t>
      </w:r>
      <w:r w:rsidR="00DE5B35">
        <w:rPr>
          <w:rFonts w:ascii="Arial" w:hAnsi="Arial" w:cs="Arial"/>
        </w:rPr>
        <w:t>CC</w:t>
      </w:r>
      <w:r>
        <w:rPr>
          <w:rFonts w:ascii="Arial" w:hAnsi="Arial" w:cs="Arial"/>
        </w:rPr>
        <w:t xml:space="preserve"> se font de façon régulière et suivant une fréquence mensuelle ; les comptes d’avance sont aussi rapprochés et apurés régulièrement ; le dernier compte de gestion a été soumis à la Cour régionale des comptes trois mois au plus tard après la clôture de l’exercice.</w:t>
      </w:r>
    </w:p>
    <w:p w:rsidR="001F44B5" w:rsidRDefault="001F44B5" w:rsidP="001F44B5">
      <w:pPr>
        <w:spacing w:after="1" w:line="237" w:lineRule="auto"/>
        <w:ind w:right="55"/>
        <w:jc w:val="both"/>
        <w:rPr>
          <w:rFonts w:ascii="Arial" w:hAnsi="Arial" w:cs="Arial"/>
        </w:rPr>
      </w:pPr>
    </w:p>
    <w:p w:rsidR="001F44B5" w:rsidRDefault="001F44B5" w:rsidP="001F44B5">
      <w:pPr>
        <w:spacing w:after="1" w:line="237" w:lineRule="auto"/>
        <w:ind w:right="55"/>
        <w:jc w:val="both"/>
        <w:rPr>
          <w:rFonts w:ascii="Arial" w:hAnsi="Arial" w:cs="Arial"/>
        </w:rPr>
      </w:pPr>
      <w:r>
        <w:rPr>
          <w:rFonts w:ascii="Arial" w:hAnsi="Arial" w:cs="Arial"/>
        </w:rPr>
        <w:t xml:space="preserve">Les </w:t>
      </w:r>
      <w:r w:rsidR="00191A1A">
        <w:rPr>
          <w:rFonts w:ascii="Arial" w:hAnsi="Arial" w:cs="Arial"/>
        </w:rPr>
        <w:t>aspects à améliorer</w:t>
      </w:r>
      <w:r>
        <w:rPr>
          <w:rFonts w:ascii="Arial" w:hAnsi="Arial" w:cs="Arial"/>
        </w:rPr>
        <w:t xml:space="preserve"> concernent l’apurement et le rapprochement des comptes d’attente qui ne sont pas régulièrement assurés, l</w:t>
      </w:r>
      <w:r w:rsidRPr="00690599">
        <w:rPr>
          <w:rFonts w:ascii="Arial" w:hAnsi="Arial" w:cs="Arial"/>
        </w:rPr>
        <w:t xml:space="preserve">es rapports d’exécution du budget </w:t>
      </w:r>
      <w:r>
        <w:rPr>
          <w:rFonts w:ascii="Arial" w:hAnsi="Arial" w:cs="Arial"/>
        </w:rPr>
        <w:t xml:space="preserve">qui ne </w:t>
      </w:r>
      <w:r w:rsidRPr="00690599">
        <w:rPr>
          <w:rFonts w:ascii="Arial" w:hAnsi="Arial" w:cs="Arial"/>
        </w:rPr>
        <w:t>sont</w:t>
      </w:r>
      <w:r>
        <w:rPr>
          <w:rFonts w:ascii="Arial" w:hAnsi="Arial" w:cs="Arial"/>
        </w:rPr>
        <w:t xml:space="preserve"> pas préparés sur une base périodique</w:t>
      </w:r>
      <w:r w:rsidRPr="00690599">
        <w:rPr>
          <w:rFonts w:ascii="Arial" w:hAnsi="Arial" w:cs="Arial"/>
        </w:rPr>
        <w:t xml:space="preserve"> et </w:t>
      </w:r>
      <w:r>
        <w:rPr>
          <w:rFonts w:ascii="Arial" w:hAnsi="Arial" w:cs="Arial"/>
        </w:rPr>
        <w:t xml:space="preserve">ne sont pas publiés, et l’absence dans la documentation des comptes de gestion d’informations sur les actifs et les passifs de la </w:t>
      </w:r>
      <w:r w:rsidR="00DE5B35">
        <w:rPr>
          <w:rFonts w:ascii="Arial" w:hAnsi="Arial" w:cs="Arial"/>
        </w:rPr>
        <w:t>CC</w:t>
      </w:r>
      <w:r>
        <w:rPr>
          <w:rFonts w:ascii="Arial" w:hAnsi="Arial" w:cs="Arial"/>
        </w:rPr>
        <w:t xml:space="preserve">. </w:t>
      </w:r>
    </w:p>
    <w:p w:rsidR="001F44B5" w:rsidRDefault="001F44B5" w:rsidP="001F44B5">
      <w:pPr>
        <w:spacing w:after="1" w:line="237" w:lineRule="auto"/>
        <w:ind w:right="55"/>
        <w:jc w:val="both"/>
        <w:rPr>
          <w:rFonts w:ascii="Arial" w:hAnsi="Arial" w:cs="Arial"/>
        </w:rPr>
      </w:pPr>
    </w:p>
    <w:p w:rsidR="001F44B5" w:rsidRDefault="001F44B5" w:rsidP="001F44B5">
      <w:pPr>
        <w:spacing w:after="1" w:line="237" w:lineRule="auto"/>
        <w:ind w:right="55"/>
        <w:jc w:val="both"/>
        <w:rPr>
          <w:rFonts w:ascii="Arial" w:hAnsi="Arial" w:cs="Arial"/>
          <w:b/>
        </w:rPr>
      </w:pPr>
      <w:r w:rsidRPr="008C4BE7">
        <w:rPr>
          <w:rFonts w:ascii="Arial" w:hAnsi="Arial" w:cs="Arial"/>
          <w:b/>
        </w:rPr>
        <w:t>Surveillance et audit externes</w:t>
      </w:r>
    </w:p>
    <w:p w:rsidR="00581667" w:rsidRPr="008C4BE7" w:rsidRDefault="00581667" w:rsidP="001F44B5">
      <w:pPr>
        <w:spacing w:after="1" w:line="237" w:lineRule="auto"/>
        <w:ind w:right="55"/>
        <w:jc w:val="both"/>
        <w:rPr>
          <w:rFonts w:ascii="Arial" w:hAnsi="Arial" w:cs="Arial"/>
          <w:b/>
        </w:rPr>
      </w:pPr>
    </w:p>
    <w:p w:rsidR="001F44B5" w:rsidRDefault="001F44B5" w:rsidP="003A596A">
      <w:pPr>
        <w:jc w:val="both"/>
        <w:rPr>
          <w:rFonts w:ascii="Arial" w:hAnsi="Arial" w:cs="Arial"/>
        </w:rPr>
      </w:pPr>
      <w:r>
        <w:rPr>
          <w:rFonts w:ascii="Arial" w:hAnsi="Arial" w:cs="Arial"/>
        </w:rPr>
        <w:t>L’indépendance de la Cour régionale des comptes qui est l’Institution supérieure de contrôle (ISC) est assurée par la législation qui régit cette institution. . Des missions de vérification externe n’ont pas été réalisées au cours des trois exercices couverts par l’évaluation.</w:t>
      </w:r>
    </w:p>
    <w:p w:rsidR="007E2273" w:rsidRPr="007E2273" w:rsidRDefault="007E2273" w:rsidP="003A596A">
      <w:pPr>
        <w:jc w:val="both"/>
        <w:rPr>
          <w:rFonts w:ascii="Arial" w:hAnsi="Arial" w:cs="Arial"/>
          <w:b/>
          <w:sz w:val="28"/>
          <w:szCs w:val="28"/>
        </w:rPr>
      </w:pPr>
    </w:p>
    <w:p w:rsidR="003A596A" w:rsidRPr="00F92FF8" w:rsidRDefault="00913D5F" w:rsidP="00CC3ED7">
      <w:pPr>
        <w:pStyle w:val="Heading2"/>
        <w:rPr>
          <w:i w:val="0"/>
          <w:color w:val="0070C0"/>
        </w:rPr>
      </w:pPr>
      <w:bookmarkStart w:id="364" w:name="_Toc434916187"/>
      <w:bookmarkStart w:id="365" w:name="_Toc434918401"/>
      <w:r w:rsidRPr="00F92FF8">
        <w:rPr>
          <w:i w:val="0"/>
          <w:color w:val="0070C0"/>
        </w:rPr>
        <w:t xml:space="preserve">4.2 </w:t>
      </w:r>
      <w:r w:rsidR="003A596A" w:rsidRPr="00F92FF8">
        <w:rPr>
          <w:i w:val="0"/>
          <w:color w:val="0070C0"/>
        </w:rPr>
        <w:t>Efficacité du cadre des contrôles internes</w:t>
      </w:r>
      <w:bookmarkEnd w:id="364"/>
      <w:bookmarkEnd w:id="365"/>
    </w:p>
    <w:p w:rsidR="003A596A" w:rsidRDefault="003A596A" w:rsidP="003A596A">
      <w:pPr>
        <w:jc w:val="both"/>
        <w:rPr>
          <w:rFonts w:ascii="Arial" w:hAnsi="Arial" w:cs="Arial"/>
          <w:b/>
          <w:sz w:val="28"/>
          <w:szCs w:val="28"/>
        </w:rPr>
      </w:pPr>
    </w:p>
    <w:p w:rsidR="001F44B5" w:rsidRDefault="001F44B5" w:rsidP="001F44B5">
      <w:pPr>
        <w:autoSpaceDE w:val="0"/>
        <w:autoSpaceDN w:val="0"/>
        <w:adjustRightInd w:val="0"/>
        <w:jc w:val="both"/>
        <w:rPr>
          <w:rFonts w:ascii="Arial" w:hAnsi="Arial" w:cs="Arial"/>
          <w:color w:val="141414"/>
        </w:rPr>
      </w:pPr>
      <w:r>
        <w:rPr>
          <w:rFonts w:ascii="Arial" w:hAnsi="Arial" w:cs="Arial"/>
          <w:color w:val="141414"/>
        </w:rPr>
        <w:t xml:space="preserve">Les contrôles internes à exercer sur l’exécution du budget des collectivités locales au Maroc sont définis par le décret n° 2-09-441 du 03 janvier 2010 portant règlement général de la comptabilité publique des collectivités locales et de leurs groupements. Aux termes des dispositions de l’article 55 de ce décret, les dépenses des collectivités locales sont soumises à un contrôle budgétaire au stade de l’engagement et à un contrôle de validité au stade du paiement. Ces contrôles sont exercés par le Trésorier payeur. </w:t>
      </w:r>
    </w:p>
    <w:p w:rsidR="001F44B5" w:rsidRDefault="001F44B5" w:rsidP="001F44B5">
      <w:pPr>
        <w:autoSpaceDE w:val="0"/>
        <w:autoSpaceDN w:val="0"/>
        <w:adjustRightInd w:val="0"/>
        <w:jc w:val="both"/>
        <w:rPr>
          <w:rFonts w:ascii="Arial" w:hAnsi="Arial" w:cs="Arial"/>
          <w:color w:val="141414"/>
        </w:rPr>
      </w:pPr>
    </w:p>
    <w:p w:rsidR="001F44B5" w:rsidRPr="000D6F30" w:rsidRDefault="001F44B5" w:rsidP="00151AD3">
      <w:pPr>
        <w:pStyle w:val="ListParagraph"/>
        <w:numPr>
          <w:ilvl w:val="0"/>
          <w:numId w:val="87"/>
        </w:numPr>
        <w:autoSpaceDE w:val="0"/>
        <w:autoSpaceDN w:val="0"/>
        <w:adjustRightInd w:val="0"/>
        <w:jc w:val="both"/>
        <w:rPr>
          <w:rFonts w:ascii="Arial" w:hAnsi="Arial" w:cs="Arial"/>
          <w:color w:val="141414"/>
        </w:rPr>
      </w:pPr>
      <w:r w:rsidRPr="000D6F30">
        <w:rPr>
          <w:rFonts w:ascii="Arial" w:hAnsi="Arial" w:cs="Arial"/>
          <w:color w:val="141414"/>
        </w:rPr>
        <w:t>Le contrôle budgétaire porte sur :</w:t>
      </w:r>
    </w:p>
    <w:p w:rsidR="001F44B5" w:rsidRPr="000D6F30" w:rsidRDefault="001F44B5" w:rsidP="00151AD3">
      <w:pPr>
        <w:pStyle w:val="ListParagraph"/>
        <w:numPr>
          <w:ilvl w:val="0"/>
          <w:numId w:val="87"/>
        </w:numPr>
        <w:autoSpaceDE w:val="0"/>
        <w:autoSpaceDN w:val="0"/>
        <w:adjustRightInd w:val="0"/>
        <w:jc w:val="both"/>
        <w:rPr>
          <w:rFonts w:ascii="Arial" w:hAnsi="Arial" w:cs="Arial"/>
          <w:color w:val="141414"/>
        </w:rPr>
      </w:pPr>
      <w:r w:rsidRPr="000D6F30">
        <w:rPr>
          <w:rFonts w:ascii="Arial" w:hAnsi="Arial" w:cs="Arial"/>
          <w:color w:val="141414"/>
        </w:rPr>
        <w:t>La disponibilité des crédits et des postes budgétaires ;</w:t>
      </w:r>
    </w:p>
    <w:p w:rsidR="001F44B5" w:rsidRPr="000D6F30" w:rsidRDefault="001F44B5" w:rsidP="00151AD3">
      <w:pPr>
        <w:pStyle w:val="ListParagraph"/>
        <w:numPr>
          <w:ilvl w:val="0"/>
          <w:numId w:val="87"/>
        </w:numPr>
        <w:autoSpaceDE w:val="0"/>
        <w:autoSpaceDN w:val="0"/>
        <w:adjustRightInd w:val="0"/>
        <w:jc w:val="both"/>
        <w:rPr>
          <w:rFonts w:ascii="Arial" w:hAnsi="Arial" w:cs="Arial"/>
          <w:color w:val="141414"/>
        </w:rPr>
      </w:pPr>
      <w:r w:rsidRPr="000D6F30">
        <w:rPr>
          <w:rFonts w:ascii="Arial" w:hAnsi="Arial" w:cs="Arial"/>
          <w:color w:val="141414"/>
        </w:rPr>
        <w:t>L’imputation budgétaire ;</w:t>
      </w:r>
    </w:p>
    <w:p w:rsidR="001F44B5" w:rsidRPr="000D6F30" w:rsidRDefault="001F44B5" w:rsidP="00151AD3">
      <w:pPr>
        <w:pStyle w:val="ListParagraph"/>
        <w:numPr>
          <w:ilvl w:val="0"/>
          <w:numId w:val="87"/>
        </w:numPr>
        <w:autoSpaceDE w:val="0"/>
        <w:autoSpaceDN w:val="0"/>
        <w:adjustRightInd w:val="0"/>
        <w:jc w:val="both"/>
        <w:rPr>
          <w:rFonts w:ascii="Arial" w:hAnsi="Arial" w:cs="Arial"/>
          <w:color w:val="141414"/>
        </w:rPr>
      </w:pPr>
      <w:r w:rsidRPr="000D6F30">
        <w:rPr>
          <w:rFonts w:ascii="Arial" w:hAnsi="Arial" w:cs="Arial"/>
          <w:color w:val="141414"/>
        </w:rPr>
        <w:t>L’exactitude des calculs du montant de l’engagement ;</w:t>
      </w:r>
    </w:p>
    <w:p w:rsidR="001F44B5" w:rsidRPr="000D6F30" w:rsidRDefault="001F44B5" w:rsidP="00151AD3">
      <w:pPr>
        <w:pStyle w:val="ListParagraph"/>
        <w:numPr>
          <w:ilvl w:val="0"/>
          <w:numId w:val="87"/>
        </w:numPr>
        <w:autoSpaceDE w:val="0"/>
        <w:autoSpaceDN w:val="0"/>
        <w:adjustRightInd w:val="0"/>
        <w:jc w:val="both"/>
        <w:rPr>
          <w:rFonts w:ascii="Arial" w:hAnsi="Arial" w:cs="Arial"/>
          <w:color w:val="141414"/>
        </w:rPr>
      </w:pPr>
      <w:r w:rsidRPr="000D6F30">
        <w:rPr>
          <w:rFonts w:ascii="Arial" w:hAnsi="Arial" w:cs="Arial"/>
          <w:color w:val="141414"/>
        </w:rPr>
        <w:t>Le total de la dépense à laquelle la collectivité s’oblige pour toute l’année.</w:t>
      </w:r>
    </w:p>
    <w:p w:rsidR="001F44B5" w:rsidRDefault="001F44B5" w:rsidP="001F44B5">
      <w:pPr>
        <w:autoSpaceDE w:val="0"/>
        <w:autoSpaceDN w:val="0"/>
        <w:adjustRightInd w:val="0"/>
        <w:jc w:val="both"/>
        <w:rPr>
          <w:rFonts w:ascii="Arial" w:hAnsi="Arial" w:cs="Arial"/>
          <w:color w:val="141414"/>
        </w:rPr>
      </w:pPr>
    </w:p>
    <w:p w:rsidR="001F44B5" w:rsidRDefault="001F44B5" w:rsidP="001F44B5">
      <w:pPr>
        <w:autoSpaceDE w:val="0"/>
        <w:autoSpaceDN w:val="0"/>
        <w:adjustRightInd w:val="0"/>
        <w:jc w:val="both"/>
        <w:rPr>
          <w:rFonts w:ascii="Arial" w:hAnsi="Arial" w:cs="Arial"/>
          <w:color w:val="141414"/>
        </w:rPr>
      </w:pPr>
      <w:r>
        <w:rPr>
          <w:rFonts w:ascii="Arial" w:hAnsi="Arial" w:cs="Arial"/>
          <w:color w:val="141414"/>
        </w:rPr>
        <w:t>Le contrôle de validité porte sur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L’exactitude du calcul de la liquidation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L’existence de la certification préalable de l’engagement budgétaire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Le caractère libératoire du règlement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La qualité de l’ordonnateur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La disponibilité des crédits et des fonds ;</w:t>
      </w:r>
    </w:p>
    <w:p w:rsidR="001F44B5" w:rsidRPr="000D6F30" w:rsidRDefault="001F44B5" w:rsidP="00151AD3">
      <w:pPr>
        <w:pStyle w:val="ListParagraph"/>
        <w:numPr>
          <w:ilvl w:val="0"/>
          <w:numId w:val="88"/>
        </w:numPr>
        <w:autoSpaceDE w:val="0"/>
        <w:autoSpaceDN w:val="0"/>
        <w:adjustRightInd w:val="0"/>
        <w:jc w:val="both"/>
        <w:rPr>
          <w:rFonts w:ascii="Arial" w:hAnsi="Arial" w:cs="Arial"/>
          <w:color w:val="141414"/>
        </w:rPr>
      </w:pPr>
      <w:r w:rsidRPr="000D6F30">
        <w:rPr>
          <w:rFonts w:ascii="Arial" w:hAnsi="Arial" w:cs="Arial"/>
          <w:color w:val="141414"/>
        </w:rPr>
        <w:t>Les pièces justificatives de la dépense.</w:t>
      </w:r>
    </w:p>
    <w:p w:rsidR="001F44B5" w:rsidRDefault="001F44B5" w:rsidP="001F44B5">
      <w:pPr>
        <w:jc w:val="both"/>
        <w:rPr>
          <w:rFonts w:ascii="Arial" w:hAnsi="Arial" w:cs="Arial"/>
        </w:rPr>
      </w:pPr>
    </w:p>
    <w:p w:rsidR="001F44B5" w:rsidRDefault="001F44B5" w:rsidP="001F44B5">
      <w:pPr>
        <w:jc w:val="both"/>
        <w:rPr>
          <w:rFonts w:ascii="Arial" w:hAnsi="Arial" w:cs="Arial"/>
        </w:rPr>
      </w:pPr>
      <w:r>
        <w:rPr>
          <w:rFonts w:ascii="Arial" w:hAnsi="Arial" w:cs="Arial"/>
        </w:rPr>
        <w:t xml:space="preserve">La mise en œuvre de ces contrôles à la </w:t>
      </w:r>
      <w:r w:rsidR="00DE5B35">
        <w:rPr>
          <w:rFonts w:ascii="Arial" w:hAnsi="Arial" w:cs="Arial"/>
        </w:rPr>
        <w:t>CC</w:t>
      </w:r>
      <w:r>
        <w:rPr>
          <w:rFonts w:ascii="Arial" w:hAnsi="Arial" w:cs="Arial"/>
        </w:rPr>
        <w:t xml:space="preserve"> appelle de la part de la mission d’évaluation les observations suivantes par grandes natures de dépenses : dépenses salariales et dépenses non salariales.</w:t>
      </w:r>
    </w:p>
    <w:p w:rsidR="001F44B5" w:rsidRDefault="001F44B5" w:rsidP="001F44B5">
      <w:pPr>
        <w:jc w:val="both"/>
        <w:rPr>
          <w:rFonts w:ascii="Arial" w:hAnsi="Arial" w:cs="Arial"/>
        </w:rPr>
      </w:pPr>
    </w:p>
    <w:p w:rsidR="001F44B5" w:rsidRDefault="001F44B5" w:rsidP="001F44B5">
      <w:pPr>
        <w:jc w:val="both"/>
        <w:rPr>
          <w:rFonts w:ascii="Arial" w:hAnsi="Arial" w:cs="Arial"/>
        </w:rPr>
      </w:pPr>
      <w:r>
        <w:rPr>
          <w:rFonts w:ascii="Arial" w:hAnsi="Arial" w:cs="Arial"/>
        </w:rPr>
        <w:t xml:space="preserve">En ce qui concerne les dépenses salariales, la mission a constaté que les actes constitutifs de l’engagement juridique de la </w:t>
      </w:r>
      <w:r w:rsidR="00DE5B35">
        <w:rPr>
          <w:rFonts w:ascii="Arial" w:hAnsi="Arial" w:cs="Arial"/>
        </w:rPr>
        <w:t>CC</w:t>
      </w:r>
      <w:r>
        <w:rPr>
          <w:rFonts w:ascii="Arial" w:hAnsi="Arial" w:cs="Arial"/>
        </w:rPr>
        <w:t xml:space="preserve"> (actes d’engagement, actes d’avancement, actes de promotion et autres) ne sont pas soumis au contrôle préalable du Trésorier opérant en tant que contrôleur financier. De plus, le Trésorier n’effectue pas un contrôle budgétaire avant la signature des actes administratifs du personnel emportant incidence financière pour la </w:t>
      </w:r>
      <w:r w:rsidR="00DE5B35">
        <w:rPr>
          <w:rFonts w:ascii="Arial" w:hAnsi="Arial" w:cs="Arial"/>
        </w:rPr>
        <w:t>CC</w:t>
      </w:r>
      <w:r>
        <w:rPr>
          <w:rFonts w:ascii="Arial" w:hAnsi="Arial" w:cs="Arial"/>
        </w:rPr>
        <w:t xml:space="preserve">. Les vérifications qu’il effectue lorsque les états de modification de la situation administrative et financière du personnel lui sont soumis portent sur la conformité des modifications apportées au fichier par rapport aux actes déjà signés, mais ne lui ont pas été préalablement soumis conformément au règlement général de la comptabilité publique. Par ailleurs, les vérifications que le Trésorier doit effectuer par rapport aux postes budgétaires ouverts par le tableau des emplois ne sont pas convenablement assurées, le tableau des emplois approuvés qui est annexé au budget lui-même n’étant pas fiable. Les contrôles internes a priori des dépenses salariales ne sont donc pas exercés par le Trésorier au stade de l’engagement, mais au stade du paiement.  Cette manière de procéder comporte des risques de dépassement des autorisations budgétaires (dotations budgétaires et postes ouverts). </w:t>
      </w:r>
    </w:p>
    <w:p w:rsidR="001F44B5" w:rsidRDefault="001F44B5" w:rsidP="001F44B5">
      <w:pPr>
        <w:jc w:val="both"/>
        <w:rPr>
          <w:rFonts w:ascii="Arial" w:hAnsi="Arial" w:cs="Arial"/>
        </w:rPr>
      </w:pPr>
    </w:p>
    <w:p w:rsidR="001F44B5" w:rsidRDefault="001F44B5" w:rsidP="001F44B5">
      <w:pPr>
        <w:jc w:val="both"/>
        <w:rPr>
          <w:rFonts w:ascii="Arial" w:hAnsi="Arial" w:cs="Arial"/>
        </w:rPr>
      </w:pPr>
      <w:r w:rsidRPr="003262BE">
        <w:rPr>
          <w:rFonts w:ascii="Arial" w:hAnsi="Arial" w:cs="Arial"/>
        </w:rPr>
        <w:t>S’agissant des dépenses non salariales, le contrôle a priori des engagements par rapport aux dotations budgétaires est exercé de manière efficace par le Trésorier à travers le système GID. La défaillance observée concerne le contrôle des engagements par rapport aux ressources prévisibles qui est exe</w:t>
      </w:r>
      <w:r w:rsidRPr="008970C1">
        <w:rPr>
          <w:rFonts w:ascii="Arial" w:hAnsi="Arial" w:cs="Arial"/>
        </w:rPr>
        <w:t xml:space="preserve">rcé au stade de l’ordonnancement, soit postérieurement à la naissance de la dette pour la </w:t>
      </w:r>
      <w:r w:rsidR="00DE5B35" w:rsidRPr="003262BE">
        <w:rPr>
          <w:rFonts w:ascii="Arial" w:hAnsi="Arial" w:cs="Arial"/>
        </w:rPr>
        <w:t>CC</w:t>
      </w:r>
      <w:r w:rsidRPr="003262BE">
        <w:rPr>
          <w:rFonts w:ascii="Arial" w:hAnsi="Arial" w:cs="Arial"/>
        </w:rPr>
        <w:t xml:space="preserve">, ce qui fait courir le risque d’accumulation d’arriérés de paiement des dépenses. Les dépenses non salariales qui échappent au contrôle a priori du comptable public ont représenté en 2014 moins de 7% des dépenses totales. En ce qui concerne particulièrement les marchés publics, le processus de leur passation est soumis à une série de contrôles à priori exercés par diverses structures. </w:t>
      </w:r>
      <w:r w:rsidR="003262BE" w:rsidRPr="00F53182">
        <w:rPr>
          <w:rFonts w:ascii="Arial" w:hAnsi="Arial" w:cs="Arial"/>
        </w:rPr>
        <w:t>Toutefois,</w:t>
      </w:r>
      <w:r w:rsidRPr="003262BE">
        <w:rPr>
          <w:rFonts w:ascii="Arial" w:hAnsi="Arial" w:cs="Arial"/>
        </w:rPr>
        <w:t xml:space="preserve"> le fait que le mécanisme d’autorisation de programme et de crédit de paiement ne soit pas convenablement mis en œuvre rend difficile le contrôle budgétaire des dépenses exécutées par marchés publics.</w:t>
      </w:r>
    </w:p>
    <w:p w:rsidR="001F44B5" w:rsidRDefault="001F44B5" w:rsidP="001F44B5">
      <w:pPr>
        <w:jc w:val="both"/>
        <w:rPr>
          <w:rFonts w:ascii="Arial" w:hAnsi="Arial" w:cs="Arial"/>
        </w:rPr>
      </w:pPr>
    </w:p>
    <w:p w:rsidR="001F44B5" w:rsidRDefault="001F44B5" w:rsidP="001F44B5">
      <w:pPr>
        <w:jc w:val="both"/>
        <w:rPr>
          <w:rFonts w:ascii="Arial" w:hAnsi="Arial" w:cs="Arial"/>
        </w:rPr>
      </w:pPr>
      <w:r>
        <w:rPr>
          <w:rFonts w:ascii="Arial" w:hAnsi="Arial" w:cs="Arial"/>
        </w:rPr>
        <w:t xml:space="preserve">Par ailleurs, l’observance du principe de la séparation des fonctions durant tout le processus d’exécution du budget favorise l’exercice des contrôles internes a priori. </w:t>
      </w:r>
    </w:p>
    <w:p w:rsidR="001F44B5" w:rsidRDefault="001F44B5" w:rsidP="001F44B5">
      <w:pPr>
        <w:jc w:val="both"/>
        <w:rPr>
          <w:rFonts w:ascii="Arial" w:hAnsi="Arial" w:cs="Arial"/>
        </w:rPr>
      </w:pPr>
    </w:p>
    <w:p w:rsidR="001F44B5" w:rsidRPr="00974A21" w:rsidRDefault="001F44B5" w:rsidP="001F44B5">
      <w:pPr>
        <w:jc w:val="both"/>
        <w:rPr>
          <w:rFonts w:ascii="Arial" w:hAnsi="Arial" w:cs="Arial"/>
        </w:rPr>
      </w:pPr>
      <w:r>
        <w:rPr>
          <w:rFonts w:ascii="Arial" w:hAnsi="Arial" w:cs="Arial"/>
        </w:rPr>
        <w:t xml:space="preserve">Du fait de l’inexistence d’un service d’inspection et d’audit interne opérationnel à la </w:t>
      </w:r>
      <w:r w:rsidR="00DE5B35">
        <w:rPr>
          <w:rFonts w:ascii="Arial" w:hAnsi="Arial" w:cs="Arial"/>
        </w:rPr>
        <w:t>CC</w:t>
      </w:r>
      <w:r>
        <w:rPr>
          <w:rFonts w:ascii="Arial" w:hAnsi="Arial" w:cs="Arial"/>
        </w:rPr>
        <w:t>, les contrôles internes a posteriori ne sont pas exercés sur l’exécution du budget de la ville.</w:t>
      </w:r>
    </w:p>
    <w:p w:rsidR="001F44B5" w:rsidRDefault="001F44B5" w:rsidP="001F44B5">
      <w:pPr>
        <w:autoSpaceDE w:val="0"/>
        <w:autoSpaceDN w:val="0"/>
        <w:adjustRightInd w:val="0"/>
        <w:jc w:val="both"/>
        <w:rPr>
          <w:rFonts w:ascii="Arial" w:hAnsi="Arial" w:cs="Arial"/>
          <w:color w:val="141414"/>
        </w:rPr>
      </w:pPr>
    </w:p>
    <w:p w:rsidR="001F44B5" w:rsidRDefault="001F44B5" w:rsidP="001F44B5">
      <w:pPr>
        <w:autoSpaceDE w:val="0"/>
        <w:autoSpaceDN w:val="0"/>
        <w:adjustRightInd w:val="0"/>
        <w:jc w:val="both"/>
        <w:rPr>
          <w:rFonts w:ascii="Arial" w:hAnsi="Arial" w:cs="Arial"/>
          <w:color w:val="141414"/>
        </w:rPr>
      </w:pPr>
      <w:r>
        <w:rPr>
          <w:rFonts w:ascii="Arial" w:hAnsi="Arial" w:cs="Arial"/>
          <w:color w:val="141414"/>
        </w:rPr>
        <w:t>Certains</w:t>
      </w:r>
      <w:r w:rsidRPr="00C76FBA">
        <w:rPr>
          <w:rFonts w:ascii="Arial" w:hAnsi="Arial" w:cs="Arial"/>
          <w:color w:val="141414"/>
        </w:rPr>
        <w:t xml:space="preserve"> actes des collectivités </w:t>
      </w:r>
      <w:r>
        <w:rPr>
          <w:rFonts w:ascii="Arial" w:hAnsi="Arial" w:cs="Arial"/>
          <w:color w:val="141414"/>
        </w:rPr>
        <w:t xml:space="preserve">locales en général et de la </w:t>
      </w:r>
      <w:r w:rsidR="00DE5B35">
        <w:rPr>
          <w:rFonts w:ascii="Arial" w:hAnsi="Arial" w:cs="Arial"/>
          <w:color w:val="141414"/>
        </w:rPr>
        <w:t>CC</w:t>
      </w:r>
      <w:r>
        <w:rPr>
          <w:rFonts w:ascii="Arial" w:hAnsi="Arial" w:cs="Arial"/>
          <w:color w:val="141414"/>
        </w:rPr>
        <w:t xml:space="preserve"> en particulier</w:t>
      </w:r>
      <w:r w:rsidRPr="00C76FBA">
        <w:rPr>
          <w:rFonts w:ascii="Arial" w:hAnsi="Arial" w:cs="Arial"/>
          <w:color w:val="141414"/>
        </w:rPr>
        <w:t xml:space="preserve"> sont </w:t>
      </w:r>
      <w:r>
        <w:rPr>
          <w:rFonts w:ascii="Arial" w:hAnsi="Arial" w:cs="Arial"/>
          <w:color w:val="141414"/>
        </w:rPr>
        <w:t xml:space="preserve">également </w:t>
      </w:r>
      <w:r w:rsidRPr="00C76FBA">
        <w:rPr>
          <w:rFonts w:ascii="Arial" w:hAnsi="Arial" w:cs="Arial"/>
          <w:color w:val="141414"/>
        </w:rPr>
        <w:t xml:space="preserve">soumis au contrôle </w:t>
      </w:r>
      <w:r>
        <w:rPr>
          <w:rFonts w:ascii="Arial" w:hAnsi="Arial" w:cs="Arial"/>
          <w:color w:val="141414"/>
        </w:rPr>
        <w:t>préalable du conseil communal</w:t>
      </w:r>
      <w:r w:rsidRPr="00C76FBA">
        <w:rPr>
          <w:rFonts w:ascii="Arial" w:hAnsi="Arial" w:cs="Arial"/>
          <w:color w:val="141414"/>
        </w:rPr>
        <w:t xml:space="preserve">. </w:t>
      </w:r>
      <w:r>
        <w:rPr>
          <w:rFonts w:ascii="Arial" w:hAnsi="Arial" w:cs="Arial"/>
          <w:color w:val="141414"/>
        </w:rPr>
        <w:t>Il en est ainsi d</w:t>
      </w:r>
      <w:r w:rsidRPr="00C76FBA">
        <w:rPr>
          <w:rFonts w:ascii="Arial" w:hAnsi="Arial" w:cs="Arial"/>
          <w:color w:val="141414"/>
        </w:rPr>
        <w:t>es décisions</w:t>
      </w:r>
      <w:r>
        <w:rPr>
          <w:rFonts w:ascii="Arial" w:hAnsi="Arial" w:cs="Arial"/>
          <w:color w:val="141414"/>
        </w:rPr>
        <w:t xml:space="preserve"> </w:t>
      </w:r>
      <w:r w:rsidRPr="00C76FBA">
        <w:rPr>
          <w:rFonts w:ascii="Arial" w:hAnsi="Arial" w:cs="Arial"/>
          <w:color w:val="141414"/>
        </w:rPr>
        <w:t>à caractère budgétaire et financier (budget principal, budgets annexes, comptes spéciaux, autorisations</w:t>
      </w:r>
      <w:r>
        <w:rPr>
          <w:rFonts w:ascii="Arial" w:hAnsi="Arial" w:cs="Arial"/>
          <w:color w:val="141414"/>
        </w:rPr>
        <w:t xml:space="preserve"> </w:t>
      </w:r>
      <w:r w:rsidRPr="00C76FBA">
        <w:rPr>
          <w:rFonts w:ascii="Arial" w:hAnsi="Arial" w:cs="Arial"/>
          <w:color w:val="141414"/>
        </w:rPr>
        <w:t>de programme, emprunts</w:t>
      </w:r>
      <w:r>
        <w:rPr>
          <w:rFonts w:ascii="Arial" w:hAnsi="Arial" w:cs="Arial"/>
          <w:color w:val="141414"/>
        </w:rPr>
        <w:t>, virements de crédit de chapitre à chapitre, comptes administratifs etc.</w:t>
      </w:r>
      <w:r w:rsidRPr="00C76FBA">
        <w:rPr>
          <w:rFonts w:ascii="Arial" w:hAnsi="Arial" w:cs="Arial"/>
          <w:color w:val="141414"/>
        </w:rPr>
        <w:t xml:space="preserve">) </w:t>
      </w:r>
      <w:r>
        <w:rPr>
          <w:rFonts w:ascii="Arial" w:hAnsi="Arial" w:cs="Arial"/>
          <w:color w:val="141414"/>
        </w:rPr>
        <w:t xml:space="preserve">qui </w:t>
      </w:r>
      <w:r w:rsidRPr="00C76FBA">
        <w:rPr>
          <w:rFonts w:ascii="Arial" w:hAnsi="Arial" w:cs="Arial"/>
          <w:color w:val="141414"/>
        </w:rPr>
        <w:t xml:space="preserve">sont soumises à </w:t>
      </w:r>
      <w:r>
        <w:rPr>
          <w:rFonts w:ascii="Arial" w:hAnsi="Arial" w:cs="Arial"/>
          <w:color w:val="141414"/>
        </w:rPr>
        <w:t>l’approbation</w:t>
      </w:r>
      <w:r w:rsidRPr="00C76FBA">
        <w:rPr>
          <w:rFonts w:ascii="Arial" w:hAnsi="Arial" w:cs="Arial"/>
          <w:color w:val="141414"/>
        </w:rPr>
        <w:t xml:space="preserve"> préalable de</w:t>
      </w:r>
      <w:r>
        <w:rPr>
          <w:rFonts w:ascii="Arial" w:hAnsi="Arial" w:cs="Arial"/>
          <w:color w:val="141414"/>
        </w:rPr>
        <w:t xml:space="preserve"> l’organe délibérant de la </w:t>
      </w:r>
      <w:r w:rsidR="00DE5B35">
        <w:rPr>
          <w:rFonts w:ascii="Arial" w:hAnsi="Arial" w:cs="Arial"/>
          <w:color w:val="141414"/>
        </w:rPr>
        <w:t>CC</w:t>
      </w:r>
      <w:r>
        <w:rPr>
          <w:rFonts w:ascii="Arial" w:hAnsi="Arial" w:cs="Arial"/>
          <w:color w:val="141414"/>
        </w:rPr>
        <w:t xml:space="preserve">. </w:t>
      </w:r>
    </w:p>
    <w:p w:rsidR="001F44B5" w:rsidRPr="00A17E25" w:rsidRDefault="001F44B5" w:rsidP="003A596A">
      <w:pPr>
        <w:jc w:val="both"/>
        <w:rPr>
          <w:rFonts w:ascii="Arial" w:hAnsi="Arial" w:cs="Arial"/>
          <w:b/>
          <w:sz w:val="28"/>
          <w:szCs w:val="28"/>
        </w:rPr>
      </w:pPr>
    </w:p>
    <w:p w:rsidR="003A596A" w:rsidRPr="00F92FF8" w:rsidRDefault="00913D5F" w:rsidP="00F75220">
      <w:pPr>
        <w:pStyle w:val="Heading2"/>
        <w:rPr>
          <w:i w:val="0"/>
          <w:color w:val="0070C0"/>
        </w:rPr>
      </w:pPr>
      <w:bookmarkStart w:id="366" w:name="_Toc434916188"/>
      <w:bookmarkStart w:id="367" w:name="_Toc434918402"/>
      <w:r w:rsidRPr="00F92FF8">
        <w:rPr>
          <w:i w:val="0"/>
          <w:color w:val="0070C0"/>
        </w:rPr>
        <w:t xml:space="preserve">4.3 </w:t>
      </w:r>
      <w:r w:rsidR="003A596A" w:rsidRPr="00F92FF8">
        <w:rPr>
          <w:i w:val="0"/>
          <w:color w:val="0070C0"/>
        </w:rPr>
        <w:t>Evaluation de l’impact des points forts et des points faibles de la GFP</w:t>
      </w:r>
      <w:bookmarkEnd w:id="366"/>
      <w:bookmarkEnd w:id="367"/>
    </w:p>
    <w:p w:rsidR="003A596A" w:rsidRDefault="003A596A" w:rsidP="003A596A">
      <w:pPr>
        <w:jc w:val="both"/>
        <w:rPr>
          <w:rFonts w:ascii="Arial" w:hAnsi="Arial" w:cs="Arial"/>
          <w:b/>
          <w:sz w:val="28"/>
          <w:szCs w:val="28"/>
        </w:rPr>
      </w:pPr>
    </w:p>
    <w:p w:rsidR="003260B7" w:rsidRDefault="003260B7" w:rsidP="003260B7">
      <w:pPr>
        <w:jc w:val="both"/>
        <w:rPr>
          <w:rFonts w:ascii="Arial" w:hAnsi="Arial" w:cs="Arial"/>
        </w:rPr>
      </w:pPr>
      <w:r w:rsidRPr="00BB1386">
        <w:rPr>
          <w:rFonts w:ascii="Arial" w:hAnsi="Arial" w:cs="Arial"/>
        </w:rPr>
        <w:t xml:space="preserve">L’impact </w:t>
      </w:r>
      <w:r>
        <w:rPr>
          <w:rFonts w:ascii="Arial" w:hAnsi="Arial" w:cs="Arial"/>
        </w:rPr>
        <w:t xml:space="preserve">des forces et faiblesses du système de gestion des finances publiques de la </w:t>
      </w:r>
      <w:r w:rsidR="00DE5B35">
        <w:rPr>
          <w:rFonts w:ascii="Arial" w:hAnsi="Arial" w:cs="Arial"/>
        </w:rPr>
        <w:t>CC</w:t>
      </w:r>
      <w:r>
        <w:rPr>
          <w:rFonts w:ascii="Arial" w:hAnsi="Arial" w:cs="Arial"/>
        </w:rPr>
        <w:t xml:space="preserve"> est analysée par rapport aux trois principaux objectifs financiers et budgétaires : la discipline budgétaire, l’allocation stratégique des ressources et la prestation efficace des services publics.</w:t>
      </w:r>
    </w:p>
    <w:p w:rsidR="003260B7" w:rsidRPr="00BB1386" w:rsidRDefault="003260B7" w:rsidP="003260B7">
      <w:pPr>
        <w:jc w:val="both"/>
        <w:rPr>
          <w:rFonts w:ascii="Arial" w:hAnsi="Arial" w:cs="Arial"/>
        </w:rPr>
      </w:pPr>
    </w:p>
    <w:p w:rsidR="003260B7" w:rsidRPr="007F19F3" w:rsidRDefault="003260B7" w:rsidP="003260B7">
      <w:pPr>
        <w:jc w:val="both"/>
        <w:rPr>
          <w:rFonts w:ascii="Arial" w:hAnsi="Arial" w:cs="Arial"/>
          <w:bCs/>
          <w:iCs/>
        </w:rPr>
      </w:pPr>
      <w:r w:rsidRPr="007F19F3">
        <w:rPr>
          <w:rFonts w:ascii="Arial" w:hAnsi="Arial" w:cs="Arial"/>
          <w:b/>
        </w:rPr>
        <w:t xml:space="preserve">La discipline budgétaire </w:t>
      </w:r>
      <w:r>
        <w:rPr>
          <w:rFonts w:ascii="Arial" w:hAnsi="Arial" w:cs="Arial"/>
        </w:rPr>
        <w:t xml:space="preserve">est confortée par la soumission à temps au conseil </w:t>
      </w:r>
      <w:r w:rsidR="00A4778F">
        <w:rPr>
          <w:rFonts w:ascii="Arial" w:hAnsi="Arial" w:cs="Arial"/>
        </w:rPr>
        <w:t>communal</w:t>
      </w:r>
      <w:r>
        <w:rPr>
          <w:rFonts w:ascii="Arial" w:hAnsi="Arial" w:cs="Arial"/>
        </w:rPr>
        <w:t xml:space="preserve"> des budgets </w:t>
      </w:r>
      <w:r w:rsidR="00D8102C">
        <w:rPr>
          <w:rFonts w:ascii="Arial" w:hAnsi="Arial" w:cs="Arial"/>
        </w:rPr>
        <w:t xml:space="preserve">initiaux </w:t>
      </w:r>
      <w:r>
        <w:rPr>
          <w:rFonts w:ascii="Arial" w:hAnsi="Arial" w:cs="Arial"/>
        </w:rPr>
        <w:t xml:space="preserve">et leur vote avant le début des exercices auxquels ils se rapportent. Le respect d’une manière générale de la procédure normale d’exécution des dépenses et des règles de passation des marchés publics faisant toujours appel à la concurrence favorisent la discipline budgétaire. Cependant, la discipline budgétaire </w:t>
      </w:r>
      <w:r>
        <w:rPr>
          <w:rFonts w:ascii="Arial" w:hAnsi="Arial" w:cs="Arial"/>
          <w:color w:val="000000"/>
          <w:spacing w:val="-3"/>
        </w:rPr>
        <w:t>est affectée négativement par la</w:t>
      </w:r>
      <w:r w:rsidRPr="007F19F3">
        <w:rPr>
          <w:rFonts w:ascii="Arial" w:hAnsi="Arial" w:cs="Arial"/>
          <w:color w:val="000000"/>
          <w:spacing w:val="-3"/>
        </w:rPr>
        <w:t xml:space="preserve"> </w:t>
      </w:r>
      <w:r>
        <w:rPr>
          <w:rFonts w:ascii="Arial" w:hAnsi="Arial" w:cs="Arial"/>
          <w:color w:val="000000"/>
          <w:spacing w:val="-3"/>
        </w:rPr>
        <w:t xml:space="preserve">couverture quasiment limitée </w:t>
      </w:r>
      <w:r w:rsidRPr="007F19F3">
        <w:rPr>
          <w:rFonts w:ascii="Arial" w:hAnsi="Arial" w:cs="Arial"/>
          <w:color w:val="000000"/>
          <w:spacing w:val="-3"/>
        </w:rPr>
        <w:t xml:space="preserve"> </w:t>
      </w:r>
      <w:r>
        <w:rPr>
          <w:rFonts w:ascii="Arial" w:hAnsi="Arial" w:cs="Arial"/>
          <w:color w:val="000000"/>
          <w:spacing w:val="-3"/>
        </w:rPr>
        <w:t xml:space="preserve">aux dépenses de fonctionnement </w:t>
      </w:r>
      <w:r w:rsidRPr="007F19F3">
        <w:rPr>
          <w:rFonts w:ascii="Arial" w:hAnsi="Arial" w:cs="Arial"/>
          <w:color w:val="000000"/>
          <w:spacing w:val="-3"/>
        </w:rPr>
        <w:t xml:space="preserve">des budgets </w:t>
      </w:r>
      <w:r w:rsidR="00D8102C">
        <w:rPr>
          <w:rFonts w:ascii="Arial" w:hAnsi="Arial" w:cs="Arial"/>
          <w:color w:val="000000"/>
          <w:spacing w:val="-3"/>
        </w:rPr>
        <w:t>initiaux</w:t>
      </w:r>
      <w:r>
        <w:rPr>
          <w:rFonts w:ascii="Arial" w:hAnsi="Arial" w:cs="Arial"/>
          <w:color w:val="000000"/>
          <w:spacing w:val="-3"/>
        </w:rPr>
        <w:t>, les dépenses d’investissement ne faisant pas l’objet de prévision au budget initial.</w:t>
      </w:r>
      <w:r w:rsidRPr="007F19F3">
        <w:rPr>
          <w:rFonts w:ascii="Arial" w:hAnsi="Arial" w:cs="Arial"/>
          <w:color w:val="000000"/>
          <w:spacing w:val="-3"/>
        </w:rPr>
        <w:t xml:space="preserve"> Elle est aussi amoindrie</w:t>
      </w:r>
      <w:r w:rsidRPr="007F19F3">
        <w:rPr>
          <w:rFonts w:ascii="Arial" w:hAnsi="Arial" w:cs="Arial"/>
          <w:bCs/>
          <w:iCs/>
        </w:rPr>
        <w:t xml:space="preserve"> par la faible crédibilité du budget aussi bien en matière de recettes que de dépenses, la non exhaustivité et l’insuffisante transparence du budget,</w:t>
      </w:r>
      <w:r w:rsidRPr="007F19F3">
        <w:rPr>
          <w:rFonts w:ascii="Arial" w:hAnsi="Arial" w:cs="Arial"/>
          <w:color w:val="000000"/>
          <w:spacing w:val="-3"/>
        </w:rPr>
        <w:t xml:space="preserve"> la non fixation de plafonds de dépenses pour les propositions budgétaires des services, la non inscription du budget dans une perspective pluriannuelle et l’absence de lien entre les décisions d’investissement et les projections de dépenses courantes à moyen terme. </w:t>
      </w:r>
      <w:r w:rsidRPr="007F19F3">
        <w:rPr>
          <w:rFonts w:ascii="Arial" w:hAnsi="Arial" w:cs="Arial"/>
          <w:bCs/>
          <w:iCs/>
        </w:rPr>
        <w:t>La discipline budgétaire est aussi affaiblie par les insuffisances relevées dans la planification de la trésorerie, et par l’absence d’un dispositif de limitation des engagements de dépenses aux ressources disponibles.</w:t>
      </w:r>
      <w:r w:rsidRPr="007F19F3">
        <w:rPr>
          <w:rFonts w:ascii="Arial" w:hAnsi="Arial" w:cs="Arial"/>
          <w:color w:val="000000"/>
          <w:spacing w:val="-3"/>
        </w:rPr>
        <w:t xml:space="preserve"> </w:t>
      </w:r>
      <w:r>
        <w:rPr>
          <w:rFonts w:ascii="Arial" w:hAnsi="Arial" w:cs="Arial"/>
          <w:color w:val="000000"/>
          <w:spacing w:val="-3"/>
        </w:rPr>
        <w:t xml:space="preserve">En outre, le fait que la </w:t>
      </w:r>
      <w:r w:rsidR="00DE5B35">
        <w:rPr>
          <w:rFonts w:ascii="Arial" w:hAnsi="Arial" w:cs="Arial"/>
          <w:color w:val="000000"/>
          <w:spacing w:val="-3"/>
        </w:rPr>
        <w:t>CC</w:t>
      </w:r>
      <w:r>
        <w:rPr>
          <w:rFonts w:ascii="Arial" w:hAnsi="Arial" w:cs="Arial"/>
          <w:color w:val="000000"/>
          <w:spacing w:val="-3"/>
        </w:rPr>
        <w:t xml:space="preserve"> ne communique quasiment aucune information budgétaire au public, que la fonction d’audit interne ne soit pas opérationnelle et que l’audit externe ne soit pas exercé n’est pas de nature à favoriser la discipline budgétaire. </w:t>
      </w:r>
    </w:p>
    <w:p w:rsidR="003260B7" w:rsidRPr="007F19F3" w:rsidRDefault="003260B7" w:rsidP="003260B7">
      <w:pPr>
        <w:jc w:val="both"/>
        <w:rPr>
          <w:rFonts w:ascii="Arial" w:hAnsi="Arial" w:cs="Arial"/>
          <w:bCs/>
          <w:iCs/>
        </w:rPr>
      </w:pPr>
    </w:p>
    <w:p w:rsidR="003260B7" w:rsidRPr="007F19F3" w:rsidRDefault="003260B7" w:rsidP="003260B7">
      <w:pPr>
        <w:jc w:val="both"/>
        <w:rPr>
          <w:rFonts w:ascii="Arial" w:hAnsi="Arial" w:cs="Arial"/>
        </w:rPr>
      </w:pPr>
      <w:r w:rsidRPr="007F19F3">
        <w:rPr>
          <w:rFonts w:ascii="Arial" w:hAnsi="Arial" w:cs="Arial"/>
          <w:b/>
        </w:rPr>
        <w:t xml:space="preserve">L’allocation stratégique des ressources </w:t>
      </w:r>
      <w:r w:rsidRPr="007F19F3">
        <w:rPr>
          <w:rFonts w:ascii="Arial" w:hAnsi="Arial" w:cs="Arial"/>
        </w:rPr>
        <w:t>est difficile à réaliser du fait de l’absence de documents de strat</w:t>
      </w:r>
      <w:r>
        <w:rPr>
          <w:rFonts w:ascii="Arial" w:hAnsi="Arial" w:cs="Arial"/>
        </w:rPr>
        <w:t>égie sectorielle, de l’</w:t>
      </w:r>
      <w:r w:rsidRPr="007F19F3">
        <w:rPr>
          <w:rFonts w:ascii="Arial" w:hAnsi="Arial" w:cs="Arial"/>
        </w:rPr>
        <w:t xml:space="preserve">utilisation </w:t>
      </w:r>
      <w:r>
        <w:rPr>
          <w:rFonts w:ascii="Arial" w:hAnsi="Arial" w:cs="Arial"/>
        </w:rPr>
        <w:t>d’une</w:t>
      </w:r>
      <w:r w:rsidRPr="007F19F3">
        <w:rPr>
          <w:rFonts w:ascii="Arial" w:hAnsi="Arial" w:cs="Arial"/>
        </w:rPr>
        <w:t xml:space="preserve"> classification fonctionnelle </w:t>
      </w:r>
      <w:r>
        <w:rPr>
          <w:rFonts w:ascii="Arial" w:hAnsi="Arial" w:cs="Arial"/>
        </w:rPr>
        <w:t xml:space="preserve">(par domaine d’intervention) non conforme aux normes COFOG pour la présentation du budget de la </w:t>
      </w:r>
      <w:r w:rsidR="00DE5B35">
        <w:rPr>
          <w:rFonts w:ascii="Arial" w:hAnsi="Arial" w:cs="Arial"/>
        </w:rPr>
        <w:t>CC</w:t>
      </w:r>
      <w:r>
        <w:rPr>
          <w:rFonts w:ascii="Arial" w:hAnsi="Arial" w:cs="Arial"/>
        </w:rPr>
        <w:t xml:space="preserve">, et que le budget de la </w:t>
      </w:r>
      <w:r w:rsidR="00DE5B35">
        <w:rPr>
          <w:rFonts w:ascii="Arial" w:hAnsi="Arial" w:cs="Arial"/>
        </w:rPr>
        <w:t>CC</w:t>
      </w:r>
      <w:r>
        <w:rPr>
          <w:rFonts w:ascii="Arial" w:hAnsi="Arial" w:cs="Arial"/>
        </w:rPr>
        <w:t xml:space="preserve"> n’est pas présenté suivant une approche programmatique ou basée sur les résultats avec des cibles de performance bien définies. La non prise en compte des dépenses d’équipement au budget </w:t>
      </w:r>
      <w:r w:rsidR="00D8102C">
        <w:rPr>
          <w:rFonts w:ascii="Arial" w:hAnsi="Arial" w:cs="Arial"/>
        </w:rPr>
        <w:t>initial</w:t>
      </w:r>
      <w:r>
        <w:rPr>
          <w:rFonts w:ascii="Arial" w:hAnsi="Arial" w:cs="Arial"/>
        </w:rPr>
        <w:t>, la programmation au coup par coup de ces dépenses en cours d’année et l’absence d’un mécanisme performant de leur suivi ne favorisent pas une bonne allocation des ressources. Les fortes variations de la composition des dépenses par domaine d’intervention et par grandes natures économiques modifient de façon significative les allocations initiales de ressources.</w:t>
      </w:r>
    </w:p>
    <w:p w:rsidR="003260B7" w:rsidRPr="007F19F3" w:rsidRDefault="003260B7" w:rsidP="003260B7">
      <w:pPr>
        <w:jc w:val="both"/>
        <w:rPr>
          <w:rFonts w:ascii="Arial" w:hAnsi="Arial" w:cs="Arial"/>
        </w:rPr>
      </w:pPr>
    </w:p>
    <w:p w:rsidR="003260B7" w:rsidRPr="007F19F3" w:rsidRDefault="003260B7" w:rsidP="003260B7">
      <w:pPr>
        <w:jc w:val="both"/>
        <w:rPr>
          <w:rFonts w:ascii="Arial" w:hAnsi="Arial" w:cs="Arial"/>
          <w:color w:val="000000"/>
          <w:spacing w:val="-4"/>
        </w:rPr>
      </w:pPr>
      <w:r w:rsidRPr="007F19F3">
        <w:rPr>
          <w:rFonts w:ascii="Arial" w:hAnsi="Arial" w:cs="Arial"/>
          <w:b/>
        </w:rPr>
        <w:t xml:space="preserve">La mise à disposition efficace des services </w:t>
      </w:r>
      <w:r w:rsidRPr="007F19F3">
        <w:rPr>
          <w:rFonts w:ascii="Arial" w:hAnsi="Arial" w:cs="Arial"/>
        </w:rPr>
        <w:t xml:space="preserve">est affectée par </w:t>
      </w:r>
      <w:r>
        <w:rPr>
          <w:rFonts w:ascii="Arial" w:hAnsi="Arial" w:cs="Arial"/>
        </w:rPr>
        <w:t xml:space="preserve">le fait que le budget de la </w:t>
      </w:r>
      <w:r w:rsidR="00DE5B35">
        <w:rPr>
          <w:rFonts w:ascii="Arial" w:hAnsi="Arial" w:cs="Arial"/>
        </w:rPr>
        <w:t>CC</w:t>
      </w:r>
      <w:r>
        <w:rPr>
          <w:rFonts w:ascii="Arial" w:hAnsi="Arial" w:cs="Arial"/>
        </w:rPr>
        <w:t xml:space="preserve"> n’est pas présenté suivant une approche programmatique ou basée sur les résultats avec des cibles de performance bien définies. Le processus de planification et de budgétisation actuel de la </w:t>
      </w:r>
      <w:r w:rsidR="00DE5B35">
        <w:rPr>
          <w:rFonts w:ascii="Arial" w:hAnsi="Arial" w:cs="Arial"/>
        </w:rPr>
        <w:t>CC</w:t>
      </w:r>
      <w:r>
        <w:rPr>
          <w:rFonts w:ascii="Arial" w:hAnsi="Arial" w:cs="Arial"/>
        </w:rPr>
        <w:t xml:space="preserve"> ne permet pas de débattre de l’efficience de l’utilisation des ressources. Il n’existe pas un système en place pour suivre convenablement l’utilisation des ressources allouées aux principales fonctions de prestation de service. En outre, le fait que les opérations de dépenses des arrondissements et des CAS ne soient pas détaillées et consolidées avec celles de la </w:t>
      </w:r>
      <w:r w:rsidR="00DE5B35">
        <w:rPr>
          <w:rFonts w:ascii="Arial" w:hAnsi="Arial" w:cs="Arial"/>
        </w:rPr>
        <w:t>CC</w:t>
      </w:r>
      <w:r>
        <w:rPr>
          <w:rFonts w:ascii="Arial" w:hAnsi="Arial" w:cs="Arial"/>
        </w:rPr>
        <w:t xml:space="preserve"> ne permet pas d’avoir une connaissance globale des ressources allouées à chaque principale fonction de prestation de service. </w:t>
      </w:r>
      <w:r>
        <w:rPr>
          <w:rFonts w:ascii="Arial" w:hAnsi="Arial" w:cs="Arial"/>
          <w:color w:val="000000"/>
          <w:spacing w:val="-4"/>
        </w:rPr>
        <w:t>L</w:t>
      </w:r>
      <w:r w:rsidRPr="007F19F3">
        <w:rPr>
          <w:rFonts w:ascii="Arial" w:hAnsi="Arial" w:cs="Arial"/>
          <w:color w:val="000000"/>
          <w:spacing w:val="-4"/>
        </w:rPr>
        <w:t xml:space="preserve">es </w:t>
      </w:r>
      <w:r w:rsidR="00E72257">
        <w:rPr>
          <w:rFonts w:ascii="Arial" w:hAnsi="Arial" w:cs="Arial"/>
          <w:color w:val="000000"/>
          <w:spacing w:val="-4"/>
        </w:rPr>
        <w:t>observations relevées</w:t>
      </w:r>
      <w:r w:rsidRPr="007F19F3">
        <w:rPr>
          <w:rFonts w:ascii="Arial" w:hAnsi="Arial" w:cs="Arial"/>
          <w:color w:val="000000"/>
          <w:spacing w:val="-4"/>
        </w:rPr>
        <w:t xml:space="preserve"> en matière de contrôle interne des dépenses, notam</w:t>
      </w:r>
      <w:r>
        <w:rPr>
          <w:rFonts w:ascii="Arial" w:hAnsi="Arial" w:cs="Arial"/>
          <w:color w:val="000000"/>
          <w:spacing w:val="-4"/>
        </w:rPr>
        <w:t xml:space="preserve">ment en matière de contrôle des engagements par rapport aux ressources prévisibles nuisent à l’exécution du budget comme prévu et, partant, à la réalisation efficace des prestations de services. </w:t>
      </w:r>
    </w:p>
    <w:p w:rsidR="003260B7" w:rsidRPr="007F19F3" w:rsidRDefault="003260B7" w:rsidP="003260B7">
      <w:pPr>
        <w:jc w:val="both"/>
        <w:rPr>
          <w:rFonts w:ascii="Arial" w:hAnsi="Arial" w:cs="Arial"/>
          <w:color w:val="000000"/>
          <w:spacing w:val="-4"/>
        </w:rPr>
      </w:pPr>
    </w:p>
    <w:p w:rsidR="003260B7" w:rsidRDefault="003260B7" w:rsidP="003260B7">
      <w:pPr>
        <w:jc w:val="both"/>
        <w:rPr>
          <w:rFonts w:ascii="Arial" w:hAnsi="Arial" w:cs="Arial"/>
          <w:bCs/>
          <w:color w:val="000000"/>
          <w:spacing w:val="-4"/>
        </w:rPr>
      </w:pPr>
      <w:r w:rsidRPr="00C730A2">
        <w:rPr>
          <w:rFonts w:ascii="Arial" w:hAnsi="Arial" w:cs="Arial"/>
          <w:bCs/>
          <w:color w:val="000000"/>
          <w:spacing w:val="-4"/>
        </w:rPr>
        <w:t xml:space="preserve">Au total, l’évaluation de la performance du système de GFP de la Commune  de Casablanca a révélé que de nombreux domaines peuvent être améliorés. Il s’agit notamment </w:t>
      </w:r>
      <w:r>
        <w:rPr>
          <w:rFonts w:ascii="Arial" w:hAnsi="Arial" w:cs="Arial"/>
          <w:bCs/>
          <w:color w:val="000000"/>
          <w:spacing w:val="-4"/>
        </w:rPr>
        <w:t xml:space="preserve">du réalisme, </w:t>
      </w:r>
      <w:r w:rsidRPr="00C730A2">
        <w:rPr>
          <w:rFonts w:ascii="Arial" w:hAnsi="Arial" w:cs="Arial"/>
          <w:bCs/>
          <w:color w:val="000000"/>
          <w:spacing w:val="-4"/>
        </w:rPr>
        <w:t xml:space="preserve">de l’exhaustivité </w:t>
      </w:r>
      <w:r>
        <w:rPr>
          <w:rFonts w:ascii="Arial" w:hAnsi="Arial" w:cs="Arial"/>
          <w:bCs/>
          <w:color w:val="000000"/>
          <w:spacing w:val="-4"/>
        </w:rPr>
        <w:t>et de la transparence budgé</w:t>
      </w:r>
      <w:r w:rsidRPr="00C730A2">
        <w:rPr>
          <w:rFonts w:ascii="Arial" w:hAnsi="Arial" w:cs="Arial"/>
          <w:bCs/>
          <w:color w:val="000000"/>
          <w:spacing w:val="-4"/>
        </w:rPr>
        <w:t>t</w:t>
      </w:r>
      <w:r>
        <w:rPr>
          <w:rFonts w:ascii="Arial" w:hAnsi="Arial" w:cs="Arial"/>
          <w:bCs/>
          <w:color w:val="000000"/>
          <w:spacing w:val="-4"/>
        </w:rPr>
        <w:t>aires</w:t>
      </w:r>
      <w:r w:rsidRPr="00C730A2">
        <w:rPr>
          <w:rFonts w:ascii="Arial" w:hAnsi="Arial" w:cs="Arial"/>
          <w:bCs/>
          <w:color w:val="000000"/>
          <w:spacing w:val="-4"/>
        </w:rPr>
        <w:t>, de l</w:t>
      </w:r>
      <w:r>
        <w:rPr>
          <w:rFonts w:ascii="Arial" w:hAnsi="Arial" w:cs="Arial"/>
          <w:bCs/>
          <w:color w:val="000000"/>
          <w:spacing w:val="-4"/>
        </w:rPr>
        <w:t>a budgétisation pluriannuelle,</w:t>
      </w:r>
      <w:r w:rsidRPr="00C730A2">
        <w:rPr>
          <w:rFonts w:ascii="Arial" w:hAnsi="Arial" w:cs="Arial"/>
          <w:bCs/>
          <w:color w:val="000000"/>
          <w:spacing w:val="-4"/>
        </w:rPr>
        <w:t xml:space="preserve"> du processus de préparation du budget, de la prévisibilité de la disponibilité des fonds pour l’engagement des dépenses associée à la mise en œuvre d’un mécanisme de régulation budgétaire, de l’audit interne et externe.</w:t>
      </w:r>
    </w:p>
    <w:p w:rsidR="007E2273" w:rsidRPr="00DC1AA5" w:rsidRDefault="007E2273" w:rsidP="003260B7">
      <w:pPr>
        <w:jc w:val="both"/>
        <w:rPr>
          <w:rFonts w:ascii="Arial" w:hAnsi="Arial" w:cs="Arial"/>
          <w:color w:val="00B0F0"/>
          <w:sz w:val="28"/>
          <w:szCs w:val="28"/>
        </w:rPr>
      </w:pPr>
    </w:p>
    <w:p w:rsidR="007E2273" w:rsidRPr="007E2273" w:rsidRDefault="003A596A" w:rsidP="007E2273">
      <w:pPr>
        <w:pStyle w:val="Heading1"/>
        <w:rPr>
          <w:color w:val="0070C0"/>
        </w:rPr>
      </w:pPr>
      <w:r w:rsidRPr="00F92FF8">
        <w:rPr>
          <w:color w:val="0070C0"/>
        </w:rPr>
        <w:t xml:space="preserve">5. </w:t>
      </w:r>
      <w:bookmarkStart w:id="368" w:name="_Toc434918403"/>
      <w:r w:rsidRPr="00F92FF8">
        <w:rPr>
          <w:color w:val="0070C0"/>
        </w:rPr>
        <w:t>Processus de réforme de la gestion des finances publiques</w:t>
      </w:r>
      <w:bookmarkEnd w:id="368"/>
    </w:p>
    <w:p w:rsidR="003A596A" w:rsidRPr="00F92FF8" w:rsidRDefault="00913D5F" w:rsidP="00CC3ED7">
      <w:pPr>
        <w:pStyle w:val="Heading2"/>
        <w:rPr>
          <w:i w:val="0"/>
          <w:color w:val="0070C0"/>
        </w:rPr>
      </w:pPr>
      <w:bookmarkStart w:id="369" w:name="_Toc434916189"/>
      <w:bookmarkStart w:id="370" w:name="_Toc434918404"/>
      <w:r w:rsidRPr="00F92FF8">
        <w:rPr>
          <w:i w:val="0"/>
          <w:color w:val="0070C0"/>
        </w:rPr>
        <w:t xml:space="preserve">5.1 </w:t>
      </w:r>
      <w:r w:rsidR="003A596A" w:rsidRPr="00F92FF8">
        <w:rPr>
          <w:i w:val="0"/>
          <w:color w:val="0070C0"/>
        </w:rPr>
        <w:t>Démarche globale suivie pour procéder à la réforme de la GFP</w:t>
      </w:r>
      <w:bookmarkEnd w:id="369"/>
      <w:bookmarkEnd w:id="370"/>
    </w:p>
    <w:p w:rsidR="003A596A" w:rsidRPr="00A17E25" w:rsidRDefault="003A596A" w:rsidP="003A596A">
      <w:pPr>
        <w:pStyle w:val="Style19"/>
        <w:spacing w:before="0" w:line="240" w:lineRule="auto"/>
        <w:jc w:val="both"/>
        <w:rPr>
          <w:rFonts w:ascii="Arial" w:hAnsi="Arial" w:cs="Arial"/>
          <w:sz w:val="24"/>
          <w:szCs w:val="24"/>
        </w:rPr>
      </w:pPr>
    </w:p>
    <w:p w:rsidR="007C616A" w:rsidRDefault="001E396B" w:rsidP="007C616A">
      <w:pPr>
        <w:jc w:val="both"/>
        <w:rPr>
          <w:rFonts w:ascii="Arial" w:hAnsi="Arial" w:cs="Arial"/>
          <w:color w:val="000000"/>
        </w:rPr>
      </w:pPr>
      <w:r>
        <w:rPr>
          <w:rFonts w:ascii="Arial" w:hAnsi="Arial" w:cs="Arial"/>
          <w:color w:val="000000"/>
        </w:rPr>
        <w:t xml:space="preserve">Les réformes de la </w:t>
      </w:r>
      <w:r w:rsidR="00DE5B35">
        <w:rPr>
          <w:rFonts w:ascii="Arial" w:hAnsi="Arial" w:cs="Arial"/>
          <w:color w:val="000000"/>
        </w:rPr>
        <w:t>CC</w:t>
      </w:r>
      <w:r>
        <w:rPr>
          <w:rFonts w:ascii="Arial" w:hAnsi="Arial" w:cs="Arial"/>
          <w:color w:val="000000"/>
        </w:rPr>
        <w:t xml:space="preserve"> s’inscrivent</w:t>
      </w:r>
      <w:r w:rsidR="007C616A">
        <w:rPr>
          <w:rFonts w:ascii="Arial" w:hAnsi="Arial" w:cs="Arial"/>
          <w:color w:val="000000"/>
        </w:rPr>
        <w:t xml:space="preserve"> dans un cadre plus général de réforme des collectivités territoriales englobant les régions, provinces et communes. Les dernières élections ont été organisées en septembre 2015 sous l’égide d’un dispositif législatif</w:t>
      </w:r>
      <w:r w:rsidR="007C616A">
        <w:rPr>
          <w:rStyle w:val="FootnoteReference"/>
          <w:rFonts w:ascii="Arial" w:hAnsi="Arial" w:cs="Arial"/>
          <w:color w:val="000000"/>
        </w:rPr>
        <w:footnoteReference w:id="61"/>
      </w:r>
      <w:r w:rsidR="007C616A">
        <w:rPr>
          <w:rFonts w:ascii="Arial" w:hAnsi="Arial" w:cs="Arial"/>
          <w:color w:val="000000"/>
        </w:rPr>
        <w:t xml:space="preserve"> consacrant la volonté d’une </w:t>
      </w:r>
      <w:r w:rsidR="007C616A" w:rsidRPr="00F23A6B">
        <w:rPr>
          <w:rFonts w:ascii="Arial" w:hAnsi="Arial" w:cs="Arial"/>
          <w:color w:val="000000"/>
        </w:rPr>
        <w:t>nouv</w:t>
      </w:r>
      <w:r w:rsidR="007C616A">
        <w:rPr>
          <w:rFonts w:ascii="Arial" w:hAnsi="Arial" w:cs="Arial"/>
          <w:color w:val="000000"/>
        </w:rPr>
        <w:t xml:space="preserve">elle génération de réformes dans les </w:t>
      </w:r>
      <w:r w:rsidR="007C616A" w:rsidRPr="00F23A6B">
        <w:rPr>
          <w:rFonts w:ascii="Arial" w:hAnsi="Arial" w:cs="Arial"/>
          <w:color w:val="000000"/>
        </w:rPr>
        <w:t>domaines de déconcentration et de d</w:t>
      </w:r>
      <w:r w:rsidR="007C616A">
        <w:rPr>
          <w:rFonts w:ascii="Arial" w:hAnsi="Arial" w:cs="Arial"/>
          <w:color w:val="000000"/>
        </w:rPr>
        <w:t>écentralisation et de démocratie locale.</w:t>
      </w:r>
    </w:p>
    <w:p w:rsidR="007C616A" w:rsidRPr="00F23A6B" w:rsidRDefault="007C616A" w:rsidP="007C616A">
      <w:pPr>
        <w:shd w:val="clear" w:color="auto" w:fill="FFFFFF"/>
        <w:jc w:val="both"/>
        <w:rPr>
          <w:rFonts w:ascii="Arial" w:hAnsi="Arial" w:cs="Arial"/>
          <w:lang w:eastAsia="fr-FR"/>
        </w:rPr>
      </w:pPr>
    </w:p>
    <w:p w:rsidR="007C616A" w:rsidRPr="00F23A6B" w:rsidRDefault="007C616A" w:rsidP="007C616A">
      <w:pPr>
        <w:shd w:val="clear" w:color="auto" w:fill="FFFFFF"/>
        <w:jc w:val="both"/>
        <w:rPr>
          <w:rFonts w:ascii="Arial" w:hAnsi="Arial" w:cs="Arial"/>
          <w:lang w:eastAsia="fr-FR"/>
        </w:rPr>
      </w:pPr>
      <w:r>
        <w:rPr>
          <w:rFonts w:ascii="Arial" w:hAnsi="Arial" w:cs="Arial"/>
          <w:lang w:eastAsia="fr-FR"/>
        </w:rPr>
        <w:t xml:space="preserve">Ce nouveau cadre </w:t>
      </w:r>
      <w:r w:rsidRPr="00F23A6B">
        <w:rPr>
          <w:rFonts w:ascii="Arial" w:hAnsi="Arial" w:cs="Arial"/>
          <w:lang w:eastAsia="fr-FR"/>
        </w:rPr>
        <w:t>place la région au centre de l'édifice institutionnel du pays, harmonise davantage la Charte Communale actuelle avec les dispositions de la Constitution, consolide la place des provinces et des préfectures en les séparant des services de l'administration territoriale relevant de l'Etat et en les dotant d'attributions dans les domaines du développement. </w:t>
      </w:r>
    </w:p>
    <w:p w:rsidR="007C616A" w:rsidRPr="00F23A6B" w:rsidRDefault="007C616A" w:rsidP="007C616A">
      <w:pPr>
        <w:shd w:val="clear" w:color="auto" w:fill="FFFFFF"/>
        <w:jc w:val="both"/>
        <w:rPr>
          <w:rFonts w:ascii="Arial" w:hAnsi="Arial" w:cs="Arial"/>
          <w:lang w:eastAsia="fr-FR"/>
        </w:rPr>
      </w:pPr>
    </w:p>
    <w:p w:rsidR="007C616A" w:rsidRPr="00A17E25" w:rsidRDefault="007C616A" w:rsidP="007C616A">
      <w:pPr>
        <w:pStyle w:val="Default"/>
        <w:jc w:val="both"/>
        <w:rPr>
          <w:rFonts w:ascii="Arial" w:hAnsi="Arial" w:cs="Arial"/>
          <w:lang w:val="fr-FR"/>
        </w:rPr>
      </w:pPr>
      <w:r w:rsidRPr="00A17E25">
        <w:rPr>
          <w:rFonts w:ascii="Arial" w:hAnsi="Arial" w:cs="Arial"/>
          <w:lang w:val="fr-FR"/>
        </w:rPr>
        <w:t>La nouvelle loi organique 113.14 vient renforcer les dispositifs de gouvernance et d’accès à l’information. En effet, elle a introduit pour la première fois des mécanismes de participation et de concertation avec les citoyens et les associations  et les concepts d’évaluation, d’audit inte</w:t>
      </w:r>
      <w:r>
        <w:rPr>
          <w:rFonts w:ascii="Arial" w:hAnsi="Arial" w:cs="Arial"/>
          <w:lang w:val="fr-FR"/>
        </w:rPr>
        <w:t>rne et externe</w:t>
      </w:r>
      <w:r w:rsidRPr="00A17E25">
        <w:rPr>
          <w:rFonts w:ascii="Arial" w:hAnsi="Arial" w:cs="Arial"/>
          <w:lang w:val="fr-FR"/>
        </w:rPr>
        <w:t xml:space="preserve"> et a consacré le principe de publication des états financiers des communes notamment par voie électronique et des rapports d’évaluation et d’audit.</w:t>
      </w:r>
    </w:p>
    <w:p w:rsidR="007C616A" w:rsidRDefault="007C616A" w:rsidP="007C616A">
      <w:pPr>
        <w:shd w:val="clear" w:color="auto" w:fill="FFFFFF"/>
        <w:jc w:val="both"/>
        <w:rPr>
          <w:rFonts w:ascii="Arial" w:hAnsi="Arial" w:cs="Arial"/>
          <w:lang w:eastAsia="fr-FR"/>
        </w:rPr>
      </w:pPr>
    </w:p>
    <w:p w:rsidR="007C616A" w:rsidRDefault="007C616A" w:rsidP="007C616A">
      <w:pPr>
        <w:shd w:val="clear" w:color="auto" w:fill="FFFFFF"/>
        <w:jc w:val="both"/>
        <w:rPr>
          <w:rFonts w:ascii="Arial" w:hAnsi="Arial" w:cs="Arial"/>
          <w:lang w:eastAsia="fr-FR"/>
        </w:rPr>
      </w:pPr>
      <w:r>
        <w:rPr>
          <w:rFonts w:ascii="Arial" w:hAnsi="Arial" w:cs="Arial"/>
          <w:lang w:eastAsia="fr-FR"/>
        </w:rPr>
        <w:t>Parmi les autres nouveautés, il y a lieu de citer notamment :</w:t>
      </w:r>
    </w:p>
    <w:p w:rsidR="007C616A" w:rsidRDefault="007C616A" w:rsidP="007C616A">
      <w:pPr>
        <w:shd w:val="clear" w:color="auto" w:fill="FFFFFF"/>
        <w:jc w:val="both"/>
        <w:rPr>
          <w:rFonts w:ascii="Arial" w:hAnsi="Arial" w:cs="Arial"/>
          <w:lang w:eastAsia="fr-FR"/>
        </w:rPr>
      </w:pP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sidRPr="003C56BD">
        <w:rPr>
          <w:rFonts w:ascii="Arial" w:hAnsi="Arial" w:cs="Arial"/>
        </w:rPr>
        <w:t>l'adoption du vote public dans l'</w:t>
      </w:r>
      <w:r>
        <w:rPr>
          <w:rFonts w:ascii="Arial" w:hAnsi="Arial" w:cs="Arial"/>
        </w:rPr>
        <w:t>élection des conseils régionaux et</w:t>
      </w:r>
      <w:r w:rsidRPr="003C56BD">
        <w:rPr>
          <w:rFonts w:ascii="Arial" w:hAnsi="Arial" w:cs="Arial"/>
        </w:rPr>
        <w:t xml:space="preserve"> des provinces</w:t>
      </w:r>
      <w:r>
        <w:rPr>
          <w:rFonts w:ascii="Arial" w:hAnsi="Arial" w:cs="Arial"/>
        </w:rPr>
        <w:t>,</w:t>
      </w: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Pr>
          <w:rFonts w:ascii="Arial" w:hAnsi="Arial" w:cs="Arial"/>
        </w:rPr>
        <w:t>l’a</w:t>
      </w:r>
      <w:r w:rsidRPr="0029790C">
        <w:rPr>
          <w:rFonts w:ascii="Arial" w:hAnsi="Arial" w:cs="Arial"/>
        </w:rPr>
        <w:t>doption des principes instauré</w:t>
      </w:r>
      <w:r>
        <w:rPr>
          <w:rFonts w:ascii="Arial" w:hAnsi="Arial" w:cs="Arial"/>
        </w:rPr>
        <w:t>s par la loi organique de finances de l’Etat (sincérité des prévisions, n</w:t>
      </w:r>
      <w:r w:rsidRPr="0029790C">
        <w:rPr>
          <w:rFonts w:ascii="Arial" w:hAnsi="Arial" w:cs="Arial"/>
        </w:rPr>
        <w:t>omenclature budgétaire basée sur l</w:t>
      </w:r>
      <w:r>
        <w:rPr>
          <w:rFonts w:ascii="Arial" w:hAnsi="Arial" w:cs="Arial"/>
        </w:rPr>
        <w:t>a logique programme et projets, l</w:t>
      </w:r>
      <w:r w:rsidRPr="0029790C">
        <w:rPr>
          <w:rFonts w:ascii="Arial" w:hAnsi="Arial" w:cs="Arial"/>
        </w:rPr>
        <w:t>es projets et programmes doivent être répondre à</w:t>
      </w:r>
      <w:r>
        <w:rPr>
          <w:rFonts w:ascii="Arial" w:hAnsi="Arial" w:cs="Arial"/>
        </w:rPr>
        <w:t xml:space="preserve"> des objectifs chiffrés, programmation pluriannuelle).</w:t>
      </w: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sidRPr="0029790C">
        <w:rPr>
          <w:rFonts w:ascii="Arial" w:hAnsi="Arial" w:cs="Arial"/>
        </w:rPr>
        <w:t>Les modalités et règles d’emprunt seront arrêté</w:t>
      </w:r>
      <w:r w:rsidR="001E396B">
        <w:rPr>
          <w:rFonts w:ascii="Arial" w:hAnsi="Arial" w:cs="Arial"/>
        </w:rPr>
        <w:t>e</w:t>
      </w:r>
      <w:r w:rsidRPr="0029790C">
        <w:rPr>
          <w:rFonts w:ascii="Arial" w:hAnsi="Arial" w:cs="Arial"/>
        </w:rPr>
        <w:t>s par décret ;</w:t>
      </w: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sidRPr="0029790C">
        <w:rPr>
          <w:rFonts w:ascii="Arial" w:hAnsi="Arial" w:cs="Arial"/>
        </w:rPr>
        <w:t>L’ordonnancement des budgets des provinces et des régions sera assuré désormais par les présidents des conseils au lieu et place des walis et des gouverneurs ;</w:t>
      </w:r>
    </w:p>
    <w:p w:rsidR="007C616A" w:rsidRPr="0029790C" w:rsidRDefault="001E396B" w:rsidP="00151AD3">
      <w:pPr>
        <w:pStyle w:val="ListParagraph"/>
        <w:numPr>
          <w:ilvl w:val="0"/>
          <w:numId w:val="89"/>
        </w:numPr>
        <w:spacing w:after="200" w:line="276" w:lineRule="auto"/>
        <w:contextualSpacing/>
        <w:jc w:val="both"/>
        <w:rPr>
          <w:rFonts w:ascii="Arial" w:hAnsi="Arial" w:cs="Arial"/>
        </w:rPr>
      </w:pPr>
      <w:r>
        <w:rPr>
          <w:rFonts w:ascii="Arial" w:hAnsi="Arial" w:cs="Arial"/>
        </w:rPr>
        <w:t>L’approbation des budgets sera opérée</w:t>
      </w:r>
      <w:r w:rsidR="007C616A" w:rsidRPr="0029790C">
        <w:rPr>
          <w:rFonts w:ascii="Arial" w:hAnsi="Arial" w:cs="Arial"/>
        </w:rPr>
        <w:t xml:space="preserve"> par :</w:t>
      </w:r>
    </w:p>
    <w:p w:rsidR="007C616A" w:rsidRPr="0029790C" w:rsidRDefault="007C616A" w:rsidP="00151AD3">
      <w:pPr>
        <w:pStyle w:val="ListParagraph"/>
        <w:numPr>
          <w:ilvl w:val="0"/>
          <w:numId w:val="90"/>
        </w:numPr>
        <w:spacing w:after="200" w:line="276" w:lineRule="auto"/>
        <w:contextualSpacing/>
        <w:jc w:val="both"/>
        <w:rPr>
          <w:rFonts w:ascii="Arial" w:hAnsi="Arial" w:cs="Arial"/>
        </w:rPr>
      </w:pPr>
      <w:r w:rsidRPr="0029790C">
        <w:rPr>
          <w:rFonts w:ascii="Arial" w:hAnsi="Arial" w:cs="Arial"/>
        </w:rPr>
        <w:t>Le ministre de l’Intérieur pour les régions ;</w:t>
      </w:r>
    </w:p>
    <w:p w:rsidR="007C616A" w:rsidRPr="0029790C" w:rsidRDefault="007C616A" w:rsidP="00151AD3">
      <w:pPr>
        <w:pStyle w:val="ListParagraph"/>
        <w:numPr>
          <w:ilvl w:val="0"/>
          <w:numId w:val="90"/>
        </w:numPr>
        <w:spacing w:after="200" w:line="276" w:lineRule="auto"/>
        <w:contextualSpacing/>
        <w:jc w:val="both"/>
        <w:rPr>
          <w:rFonts w:ascii="Arial" w:hAnsi="Arial" w:cs="Arial"/>
        </w:rPr>
      </w:pPr>
      <w:r w:rsidRPr="0029790C">
        <w:rPr>
          <w:rFonts w:ascii="Arial" w:hAnsi="Arial" w:cs="Arial"/>
        </w:rPr>
        <w:t>Le gouverneur de la province pour les autres CT.</w:t>
      </w: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sidRPr="0029790C">
        <w:rPr>
          <w:rFonts w:ascii="Arial" w:hAnsi="Arial" w:cs="Arial"/>
        </w:rPr>
        <w:t>Le compte administratif sera remplacé par un état d‘exécution du budget et il ne fera plus l’objet du vote</w:t>
      </w:r>
      <w:r w:rsidR="001B0856">
        <w:rPr>
          <w:rStyle w:val="FootnoteReference"/>
          <w:rFonts w:ascii="Arial" w:hAnsi="Arial" w:cs="Arial"/>
        </w:rPr>
        <w:footnoteReference w:id="62"/>
      </w:r>
      <w:r w:rsidRPr="0029790C">
        <w:rPr>
          <w:rFonts w:ascii="Arial" w:hAnsi="Arial" w:cs="Arial"/>
        </w:rPr>
        <w:t> ;</w:t>
      </w:r>
    </w:p>
    <w:p w:rsidR="007C616A" w:rsidRPr="0029790C" w:rsidRDefault="007C616A" w:rsidP="00151AD3">
      <w:pPr>
        <w:pStyle w:val="ListParagraph"/>
        <w:numPr>
          <w:ilvl w:val="0"/>
          <w:numId w:val="89"/>
        </w:numPr>
        <w:spacing w:after="200" w:line="276" w:lineRule="auto"/>
        <w:contextualSpacing/>
        <w:jc w:val="both"/>
        <w:rPr>
          <w:rFonts w:ascii="Arial" w:hAnsi="Arial" w:cs="Arial"/>
        </w:rPr>
      </w:pPr>
      <w:r w:rsidRPr="0029790C">
        <w:rPr>
          <w:rFonts w:ascii="Arial" w:hAnsi="Arial" w:cs="Arial"/>
        </w:rPr>
        <w:t>Les marchés ne feront plus l’objet d’approbation. Ils seront lancés par les présidents</w:t>
      </w:r>
      <w:r w:rsidR="001B0856">
        <w:rPr>
          <w:rStyle w:val="FootnoteReference"/>
          <w:rFonts w:ascii="Arial" w:hAnsi="Arial" w:cs="Arial"/>
        </w:rPr>
        <w:footnoteReference w:id="63"/>
      </w:r>
      <w:r w:rsidRPr="0029790C">
        <w:rPr>
          <w:rFonts w:ascii="Arial" w:hAnsi="Arial" w:cs="Arial"/>
        </w:rPr>
        <w:t> ;</w:t>
      </w:r>
    </w:p>
    <w:p w:rsidR="007C616A" w:rsidRDefault="007C616A" w:rsidP="00151AD3">
      <w:pPr>
        <w:pStyle w:val="ListParagraph"/>
        <w:numPr>
          <w:ilvl w:val="0"/>
          <w:numId w:val="89"/>
        </w:numPr>
        <w:spacing w:after="200" w:line="276" w:lineRule="auto"/>
        <w:contextualSpacing/>
        <w:jc w:val="both"/>
        <w:rPr>
          <w:rFonts w:ascii="Arial" w:hAnsi="Arial" w:cs="Arial"/>
        </w:rPr>
      </w:pPr>
      <w:r w:rsidRPr="0029790C">
        <w:rPr>
          <w:rFonts w:ascii="Arial" w:hAnsi="Arial" w:cs="Arial"/>
        </w:rPr>
        <w:t>La gestion des affaires courantes des CT sera assurée par un</w:t>
      </w:r>
      <w:r>
        <w:rPr>
          <w:rFonts w:ascii="Arial" w:hAnsi="Arial" w:cs="Arial"/>
        </w:rPr>
        <w:t xml:space="preserve"> directeur des services</w:t>
      </w:r>
      <w:r w:rsidR="001B0856">
        <w:rPr>
          <w:rStyle w:val="FootnoteReference"/>
          <w:rFonts w:ascii="Arial" w:hAnsi="Arial" w:cs="Arial"/>
        </w:rPr>
        <w:footnoteReference w:id="64"/>
      </w:r>
      <w:r>
        <w:rPr>
          <w:rFonts w:ascii="Arial" w:hAnsi="Arial" w:cs="Arial"/>
        </w:rPr>
        <w:t>.</w:t>
      </w:r>
    </w:p>
    <w:p w:rsidR="007C616A" w:rsidRPr="00351EDB" w:rsidRDefault="007C616A" w:rsidP="001E396B">
      <w:pPr>
        <w:jc w:val="both"/>
      </w:pPr>
      <w:r w:rsidRPr="008057E0">
        <w:rPr>
          <w:rFonts w:ascii="Arial" w:hAnsi="Arial" w:cs="Arial"/>
          <w:lang w:eastAsia="fr-FR"/>
        </w:rPr>
        <w:t>Parallèlement, pour mettre en œuvre les nouveaux principes constitutionnels d’auto-administration des collectivités territoriales, le gouvernement a lancé une réforme du système de transfer</w:t>
      </w:r>
      <w:r>
        <w:rPr>
          <w:rFonts w:ascii="Arial" w:hAnsi="Arial" w:cs="Arial"/>
          <w:lang w:eastAsia="fr-FR"/>
        </w:rPr>
        <w:t>ts financiers et de péréquation</w:t>
      </w:r>
      <w:r w:rsidRPr="008057E0">
        <w:rPr>
          <w:rFonts w:ascii="Arial" w:hAnsi="Arial" w:cs="Arial"/>
          <w:lang w:eastAsia="fr-FR"/>
        </w:rPr>
        <w:t xml:space="preserve">. </w:t>
      </w:r>
    </w:p>
    <w:p w:rsidR="007C616A" w:rsidRPr="008057E0" w:rsidRDefault="007C616A" w:rsidP="007C616A">
      <w:pPr>
        <w:pStyle w:val="ListParagraph"/>
        <w:shd w:val="clear" w:color="auto" w:fill="FFFFFF"/>
        <w:jc w:val="both"/>
        <w:rPr>
          <w:rFonts w:ascii="Arial" w:hAnsi="Arial" w:cs="Arial"/>
          <w:lang w:eastAsia="fr-FR"/>
        </w:rPr>
      </w:pPr>
    </w:p>
    <w:p w:rsidR="007C616A" w:rsidRPr="008057E0" w:rsidRDefault="007C616A" w:rsidP="007C616A">
      <w:pPr>
        <w:shd w:val="clear" w:color="auto" w:fill="FFFFFF"/>
        <w:jc w:val="both"/>
        <w:rPr>
          <w:rFonts w:ascii="Arial" w:hAnsi="Arial" w:cs="Arial"/>
          <w:lang w:eastAsia="fr-FR"/>
        </w:rPr>
      </w:pPr>
      <w:r w:rsidRPr="008057E0">
        <w:rPr>
          <w:rFonts w:ascii="Arial" w:hAnsi="Arial" w:cs="Arial"/>
          <w:lang w:eastAsia="fr-FR"/>
        </w:rPr>
        <w:t xml:space="preserve">De même, les nouvelles politiques de transparence et de consultation publique s’appliqueront également aux CT.   </w:t>
      </w:r>
    </w:p>
    <w:p w:rsidR="007C616A" w:rsidRPr="008057E0" w:rsidRDefault="007C616A" w:rsidP="007C616A">
      <w:pPr>
        <w:pStyle w:val="ListParagraph"/>
        <w:jc w:val="both"/>
        <w:rPr>
          <w:rFonts w:ascii="Arial" w:hAnsi="Arial" w:cs="Arial"/>
        </w:rPr>
      </w:pPr>
    </w:p>
    <w:p w:rsidR="00581667" w:rsidRPr="00351EDB" w:rsidRDefault="007C616A" w:rsidP="007C616A">
      <w:pPr>
        <w:jc w:val="both"/>
        <w:rPr>
          <w:rFonts w:ascii="Arial" w:hAnsi="Arial" w:cs="Arial"/>
        </w:rPr>
      </w:pPr>
      <w:r w:rsidRPr="008057E0">
        <w:rPr>
          <w:rFonts w:ascii="Arial" w:hAnsi="Arial" w:cs="Arial"/>
        </w:rPr>
        <w:t xml:space="preserve">Cependant, </w:t>
      </w:r>
      <w:r>
        <w:rPr>
          <w:rFonts w:ascii="Arial" w:hAnsi="Arial" w:cs="Arial"/>
        </w:rPr>
        <w:t xml:space="preserve">même </w:t>
      </w:r>
      <w:r w:rsidRPr="008057E0">
        <w:rPr>
          <w:rFonts w:ascii="Arial" w:hAnsi="Arial" w:cs="Arial"/>
        </w:rPr>
        <w:t>si le cadre légal pour cette nouvelle étape vers la décentralisat</w:t>
      </w:r>
      <w:r>
        <w:rPr>
          <w:rFonts w:ascii="Arial" w:hAnsi="Arial" w:cs="Arial"/>
        </w:rPr>
        <w:t>ion est bien lancé,</w:t>
      </w:r>
      <w:r w:rsidRPr="008057E0">
        <w:rPr>
          <w:rFonts w:ascii="Arial" w:hAnsi="Arial" w:cs="Arial"/>
        </w:rPr>
        <w:t xml:space="preserve"> les CT n’ont pas encore développé la capacité de mise en œuvre suffisante pour assumer pleinement les </w:t>
      </w:r>
      <w:r>
        <w:rPr>
          <w:rFonts w:ascii="Arial" w:hAnsi="Arial" w:cs="Arial"/>
        </w:rPr>
        <w:t xml:space="preserve">nouvelles </w:t>
      </w:r>
      <w:r w:rsidRPr="008057E0">
        <w:rPr>
          <w:rFonts w:ascii="Arial" w:hAnsi="Arial" w:cs="Arial"/>
        </w:rPr>
        <w:t>responsabilités qui leur sont assignées.</w:t>
      </w:r>
    </w:p>
    <w:p w:rsidR="003A596A" w:rsidRPr="00F92FF8" w:rsidRDefault="00913D5F" w:rsidP="00CC3ED7">
      <w:pPr>
        <w:pStyle w:val="Heading2"/>
        <w:rPr>
          <w:i w:val="0"/>
          <w:color w:val="0070C0"/>
        </w:rPr>
      </w:pPr>
      <w:bookmarkStart w:id="371" w:name="_Toc434916190"/>
      <w:bookmarkStart w:id="372" w:name="_Toc434918405"/>
      <w:r w:rsidRPr="00F92FF8">
        <w:rPr>
          <w:i w:val="0"/>
          <w:color w:val="0070C0"/>
        </w:rPr>
        <w:t xml:space="preserve">5.2 </w:t>
      </w:r>
      <w:r w:rsidR="003A596A" w:rsidRPr="00F92FF8">
        <w:rPr>
          <w:i w:val="0"/>
          <w:color w:val="0070C0"/>
        </w:rPr>
        <w:t>Description des réformes récentes et en cours</w:t>
      </w:r>
      <w:bookmarkEnd w:id="371"/>
      <w:bookmarkEnd w:id="372"/>
    </w:p>
    <w:p w:rsidR="007C616A" w:rsidRDefault="007C616A" w:rsidP="003A596A">
      <w:pPr>
        <w:pStyle w:val="Style19"/>
        <w:spacing w:before="0" w:line="240" w:lineRule="auto"/>
        <w:jc w:val="both"/>
        <w:rPr>
          <w:rFonts w:ascii="Arial" w:hAnsi="Arial" w:cs="Arial"/>
          <w:sz w:val="24"/>
          <w:szCs w:val="24"/>
        </w:rPr>
      </w:pPr>
    </w:p>
    <w:p w:rsidR="007C616A" w:rsidRDefault="007C616A" w:rsidP="007C616A">
      <w:pPr>
        <w:jc w:val="both"/>
        <w:rPr>
          <w:rFonts w:ascii="Arial" w:hAnsi="Arial" w:cs="Arial"/>
          <w:bCs/>
        </w:rPr>
      </w:pPr>
      <w:r>
        <w:rPr>
          <w:rFonts w:ascii="Arial" w:hAnsi="Arial" w:cs="Arial"/>
          <w:bCs/>
        </w:rPr>
        <w:t xml:space="preserve">En plus du cadre général des réformes décrit dans la section précédente, la </w:t>
      </w:r>
      <w:r w:rsidR="00DE5B35">
        <w:rPr>
          <w:rFonts w:ascii="Arial" w:hAnsi="Arial" w:cs="Arial"/>
          <w:bCs/>
        </w:rPr>
        <w:t>CC</w:t>
      </w:r>
      <w:r>
        <w:rPr>
          <w:rFonts w:ascii="Arial" w:hAnsi="Arial" w:cs="Arial"/>
          <w:bCs/>
        </w:rPr>
        <w:t xml:space="preserve"> est engagée dans la vision stratégique de la Région de Casablanca portée dans  le Plan de Développement du Grand Casablanca nécessitant un nouveau référentiel de bonne gouvernance et une administration communale moderne.</w:t>
      </w:r>
    </w:p>
    <w:p w:rsidR="007C616A" w:rsidRDefault="007C616A" w:rsidP="007C616A">
      <w:pPr>
        <w:jc w:val="both"/>
        <w:rPr>
          <w:rFonts w:ascii="Arial" w:hAnsi="Arial" w:cs="Arial"/>
          <w:bCs/>
        </w:rPr>
      </w:pPr>
    </w:p>
    <w:p w:rsidR="007C616A" w:rsidRDefault="007C616A" w:rsidP="007C616A">
      <w:pPr>
        <w:jc w:val="both"/>
        <w:rPr>
          <w:rFonts w:ascii="Arial" w:hAnsi="Arial" w:cs="Arial"/>
        </w:rPr>
      </w:pPr>
      <w:r w:rsidRPr="00A17E25">
        <w:rPr>
          <w:rFonts w:ascii="Arial" w:hAnsi="Arial" w:cs="Arial"/>
        </w:rPr>
        <w:t xml:space="preserve">Les chantiers prioritaires identifiés par la commune sont : </w:t>
      </w:r>
    </w:p>
    <w:p w:rsidR="007C616A" w:rsidRDefault="007C616A" w:rsidP="007C616A">
      <w:pPr>
        <w:pStyle w:val="ListParagraph"/>
        <w:jc w:val="both"/>
        <w:rPr>
          <w:rFonts w:ascii="Arial" w:hAnsi="Arial" w:cs="Arial"/>
        </w:rPr>
      </w:pPr>
    </w:p>
    <w:p w:rsidR="007C616A" w:rsidRPr="00BA7ABD" w:rsidRDefault="007C616A" w:rsidP="00151AD3">
      <w:pPr>
        <w:pStyle w:val="ListParagraph"/>
        <w:numPr>
          <w:ilvl w:val="0"/>
          <w:numId w:val="91"/>
        </w:numPr>
        <w:jc w:val="both"/>
        <w:rPr>
          <w:rFonts w:ascii="Arial" w:hAnsi="Arial" w:cs="Arial"/>
        </w:rPr>
      </w:pPr>
      <w:r>
        <w:rPr>
          <w:rFonts w:ascii="Arial" w:hAnsi="Arial" w:cs="Arial"/>
        </w:rPr>
        <w:t>La restructuration de l’Administration Communale, la refonte de l’organigramme et  de procédures</w:t>
      </w:r>
      <w:r w:rsidR="00174A91">
        <w:rPr>
          <w:rFonts w:ascii="Arial" w:hAnsi="Arial" w:cs="Arial"/>
        </w:rPr>
        <w:t> ;</w:t>
      </w:r>
    </w:p>
    <w:p w:rsidR="007C616A" w:rsidRDefault="007C616A" w:rsidP="007C616A">
      <w:pPr>
        <w:pStyle w:val="ListParagraph"/>
        <w:jc w:val="both"/>
        <w:rPr>
          <w:rFonts w:ascii="Arial" w:hAnsi="Arial" w:cs="Arial"/>
        </w:rPr>
      </w:pPr>
    </w:p>
    <w:p w:rsidR="007C616A" w:rsidRPr="008057E0" w:rsidRDefault="007C616A" w:rsidP="00151AD3">
      <w:pPr>
        <w:pStyle w:val="ListParagraph"/>
        <w:numPr>
          <w:ilvl w:val="0"/>
          <w:numId w:val="91"/>
        </w:numPr>
        <w:jc w:val="both"/>
        <w:rPr>
          <w:rFonts w:ascii="Arial" w:hAnsi="Arial" w:cs="Arial"/>
        </w:rPr>
      </w:pPr>
      <w:r w:rsidRPr="00241915">
        <w:rPr>
          <w:rFonts w:ascii="Arial" w:hAnsi="Arial" w:cs="Arial"/>
        </w:rPr>
        <w:t>un diagn</w:t>
      </w:r>
      <w:r>
        <w:rPr>
          <w:rFonts w:ascii="Arial" w:hAnsi="Arial" w:cs="Arial"/>
        </w:rPr>
        <w:t>ostic des ressources humaines et la mise en place d’un</w:t>
      </w:r>
      <w:r w:rsidRPr="00BA7ABD">
        <w:rPr>
          <w:rFonts w:ascii="Arial" w:hAnsi="Arial" w:cs="Arial"/>
        </w:rPr>
        <w:t xml:space="preserve"> référentie</w:t>
      </w:r>
      <w:r>
        <w:rPr>
          <w:rFonts w:ascii="Arial" w:hAnsi="Arial" w:cs="Arial"/>
        </w:rPr>
        <w:t>l d'emploi et de compétence. Ce chantier vise la modernisation</w:t>
      </w:r>
      <w:r w:rsidR="00174A91">
        <w:rPr>
          <w:rFonts w:ascii="Arial" w:hAnsi="Arial" w:cs="Arial"/>
        </w:rPr>
        <w:t xml:space="preserve"> la gestion des ressources h</w:t>
      </w:r>
      <w:r w:rsidRPr="008057E0">
        <w:rPr>
          <w:rFonts w:ascii="Arial" w:hAnsi="Arial" w:cs="Arial"/>
        </w:rPr>
        <w:t>umaines</w:t>
      </w:r>
      <w:r>
        <w:rPr>
          <w:rFonts w:ascii="Arial" w:hAnsi="Arial" w:cs="Arial"/>
        </w:rPr>
        <w:t>, l’amélioration d</w:t>
      </w:r>
      <w:r w:rsidRPr="008057E0">
        <w:rPr>
          <w:rFonts w:ascii="Arial" w:hAnsi="Arial" w:cs="Arial"/>
        </w:rPr>
        <w:t>es éc</w:t>
      </w:r>
      <w:r w:rsidR="00174A91">
        <w:rPr>
          <w:rFonts w:ascii="Arial" w:hAnsi="Arial" w:cs="Arial"/>
        </w:rPr>
        <w:t>hanges avec les a</w:t>
      </w:r>
      <w:r>
        <w:rPr>
          <w:rFonts w:ascii="Arial" w:hAnsi="Arial" w:cs="Arial"/>
        </w:rPr>
        <w:t xml:space="preserve">rrondissements </w:t>
      </w:r>
      <w:r w:rsidRPr="008057E0">
        <w:rPr>
          <w:rFonts w:ascii="Arial" w:hAnsi="Arial" w:cs="Arial"/>
        </w:rPr>
        <w:t xml:space="preserve">et mieux informer sur les procédures et démarches </w:t>
      </w:r>
      <w:r w:rsidR="00174A91">
        <w:rPr>
          <w:rFonts w:ascii="Arial" w:hAnsi="Arial" w:cs="Arial"/>
        </w:rPr>
        <w:t>administratives à suivre ;</w:t>
      </w:r>
    </w:p>
    <w:p w:rsidR="007C616A" w:rsidRPr="008057E0" w:rsidRDefault="007C616A" w:rsidP="007C616A">
      <w:pPr>
        <w:jc w:val="both"/>
        <w:rPr>
          <w:rFonts w:ascii="Arial" w:hAnsi="Arial" w:cs="Arial"/>
        </w:rPr>
      </w:pPr>
    </w:p>
    <w:p w:rsidR="007C616A" w:rsidRDefault="007C616A" w:rsidP="00151AD3">
      <w:pPr>
        <w:pStyle w:val="ListParagraph"/>
        <w:numPr>
          <w:ilvl w:val="0"/>
          <w:numId w:val="91"/>
        </w:numPr>
        <w:jc w:val="both"/>
        <w:rPr>
          <w:rFonts w:ascii="Arial" w:hAnsi="Arial" w:cs="Arial"/>
        </w:rPr>
      </w:pPr>
      <w:r w:rsidRPr="00241915">
        <w:rPr>
          <w:rFonts w:ascii="Arial" w:hAnsi="Arial" w:cs="Arial"/>
        </w:rPr>
        <w:t>L</w:t>
      </w:r>
      <w:r>
        <w:rPr>
          <w:rFonts w:ascii="Arial" w:hAnsi="Arial" w:cs="Arial"/>
        </w:rPr>
        <w:t>’adoption d’un nouveau schéma directeur informatique et l</w:t>
      </w:r>
      <w:r w:rsidRPr="00241915">
        <w:rPr>
          <w:rFonts w:ascii="Arial" w:hAnsi="Arial" w:cs="Arial"/>
        </w:rPr>
        <w:t>a mise en place d’un système d’information efficace</w:t>
      </w:r>
      <w:r w:rsidR="00174A91">
        <w:rPr>
          <w:rFonts w:ascii="Arial" w:hAnsi="Arial" w:cs="Arial"/>
        </w:rPr>
        <w:t> ;</w:t>
      </w:r>
      <w:r w:rsidRPr="00241915">
        <w:rPr>
          <w:rFonts w:ascii="Arial" w:hAnsi="Arial" w:cs="Arial"/>
        </w:rPr>
        <w:t xml:space="preserve"> </w:t>
      </w:r>
    </w:p>
    <w:p w:rsidR="007C616A" w:rsidRDefault="007C616A" w:rsidP="007C616A">
      <w:pPr>
        <w:pStyle w:val="ListParagraph"/>
        <w:jc w:val="both"/>
        <w:rPr>
          <w:rFonts w:ascii="Arial" w:hAnsi="Arial" w:cs="Arial"/>
        </w:rPr>
      </w:pPr>
    </w:p>
    <w:p w:rsidR="007C616A" w:rsidRPr="00351EDB" w:rsidRDefault="007C616A" w:rsidP="00151AD3">
      <w:pPr>
        <w:pStyle w:val="ListParagraph"/>
        <w:numPr>
          <w:ilvl w:val="0"/>
          <w:numId w:val="91"/>
        </w:numPr>
        <w:jc w:val="both"/>
        <w:rPr>
          <w:rFonts w:ascii="Arial" w:hAnsi="Arial" w:cs="Arial"/>
        </w:rPr>
      </w:pPr>
      <w:r w:rsidRPr="00241915">
        <w:rPr>
          <w:rFonts w:ascii="Arial" w:hAnsi="Arial" w:cs="Arial"/>
        </w:rPr>
        <w:t>une meilleure exploitation du p</w:t>
      </w:r>
      <w:r>
        <w:rPr>
          <w:rFonts w:ascii="Arial" w:hAnsi="Arial" w:cs="Arial"/>
        </w:rPr>
        <w:t xml:space="preserve">otentiel fiscal à travers notamment une réorganisation de l’administration fiscale communale, le lancement d’une opération de recensement et une meilleure collaboration avec les autres </w:t>
      </w:r>
      <w:r w:rsidRPr="00351EDB">
        <w:rPr>
          <w:rFonts w:ascii="Arial" w:hAnsi="Arial" w:cs="Arial"/>
        </w:rPr>
        <w:t xml:space="preserve">parties prenantes (DGI et TGR) et </w:t>
      </w:r>
      <w:r w:rsidRPr="00351EDB">
        <w:rPr>
          <w:rFonts w:ascii="Arial" w:hAnsi="Arial" w:cs="Arial"/>
          <w:bCs/>
        </w:rPr>
        <w:t>l’élaboration d’un système d’information de la gestion de la fiscalité communale</w:t>
      </w:r>
      <w:r w:rsidR="00174A91">
        <w:rPr>
          <w:rFonts w:ascii="Arial" w:hAnsi="Arial" w:cs="Arial"/>
          <w:bCs/>
        </w:rPr>
        <w:t> ;</w:t>
      </w:r>
      <w:r w:rsidRPr="00351EDB">
        <w:rPr>
          <w:rFonts w:ascii="Arial" w:hAnsi="Arial" w:cs="Arial"/>
          <w:bCs/>
        </w:rPr>
        <w:t xml:space="preserve"> </w:t>
      </w:r>
    </w:p>
    <w:p w:rsidR="007C616A" w:rsidRPr="00174A91" w:rsidRDefault="007C616A" w:rsidP="00174A91">
      <w:pPr>
        <w:jc w:val="both"/>
        <w:rPr>
          <w:rFonts w:ascii="Arial" w:hAnsi="Arial" w:cs="Arial"/>
        </w:rPr>
      </w:pPr>
    </w:p>
    <w:p w:rsidR="007C616A" w:rsidRDefault="007C616A" w:rsidP="00151AD3">
      <w:pPr>
        <w:pStyle w:val="ListParagraph"/>
        <w:numPr>
          <w:ilvl w:val="0"/>
          <w:numId w:val="91"/>
        </w:numPr>
        <w:jc w:val="both"/>
        <w:rPr>
          <w:rFonts w:ascii="Arial" w:hAnsi="Arial" w:cs="Arial"/>
        </w:rPr>
      </w:pPr>
      <w:r w:rsidRPr="00241915">
        <w:rPr>
          <w:rFonts w:ascii="Arial" w:hAnsi="Arial" w:cs="Arial"/>
        </w:rPr>
        <w:t xml:space="preserve">l’apurement des montants importants de restes à recouvrer et des reports de crédits, </w:t>
      </w:r>
    </w:p>
    <w:p w:rsidR="007C616A" w:rsidRDefault="007C616A" w:rsidP="007C616A">
      <w:pPr>
        <w:pStyle w:val="ListParagraph"/>
        <w:jc w:val="both"/>
        <w:rPr>
          <w:rFonts w:ascii="Arial" w:hAnsi="Arial" w:cs="Arial"/>
        </w:rPr>
      </w:pPr>
    </w:p>
    <w:p w:rsidR="007C616A" w:rsidRDefault="007C616A" w:rsidP="00151AD3">
      <w:pPr>
        <w:pStyle w:val="ListParagraph"/>
        <w:numPr>
          <w:ilvl w:val="0"/>
          <w:numId w:val="91"/>
        </w:numPr>
        <w:jc w:val="both"/>
        <w:rPr>
          <w:rFonts w:ascii="Arial" w:hAnsi="Arial" w:cs="Arial"/>
        </w:rPr>
      </w:pPr>
      <w:r w:rsidRPr="002046C0">
        <w:rPr>
          <w:rFonts w:ascii="Arial" w:hAnsi="Arial" w:cs="Arial"/>
        </w:rPr>
        <w:t>un inventaire actualisé du patrimoine de la ville</w:t>
      </w:r>
      <w:r w:rsidR="00174A91">
        <w:rPr>
          <w:rFonts w:ascii="Arial" w:hAnsi="Arial" w:cs="Arial"/>
        </w:rPr>
        <w:t>,</w:t>
      </w:r>
      <w:r w:rsidRPr="002046C0">
        <w:rPr>
          <w:rFonts w:ascii="Arial" w:hAnsi="Arial" w:cs="Arial"/>
        </w:rPr>
        <w:t xml:space="preserve"> l’</w:t>
      </w:r>
      <w:r w:rsidR="00174A91">
        <w:rPr>
          <w:rFonts w:ascii="Arial" w:hAnsi="Arial" w:cs="Arial"/>
          <w:bCs/>
        </w:rPr>
        <w:t>a</w:t>
      </w:r>
      <w:r w:rsidRPr="002046C0">
        <w:rPr>
          <w:rFonts w:ascii="Arial" w:hAnsi="Arial" w:cs="Arial"/>
          <w:bCs/>
        </w:rPr>
        <w:t>cquisition d’un logiciel de collecte et traitement de données géo localisées de la gestion du territ</w:t>
      </w:r>
      <w:r w:rsidR="00174A91">
        <w:rPr>
          <w:rFonts w:ascii="Arial" w:hAnsi="Arial" w:cs="Arial"/>
          <w:bCs/>
        </w:rPr>
        <w:t>oire de la ville de Casablanca ;</w:t>
      </w:r>
      <w:r w:rsidRPr="002046C0">
        <w:rPr>
          <w:rFonts w:ascii="Arial" w:hAnsi="Arial" w:cs="Arial"/>
        </w:rPr>
        <w:t xml:space="preserve"> </w:t>
      </w:r>
    </w:p>
    <w:p w:rsidR="007C616A" w:rsidRDefault="007C616A" w:rsidP="00151AD3">
      <w:pPr>
        <w:pStyle w:val="ListParagraph"/>
        <w:numPr>
          <w:ilvl w:val="0"/>
          <w:numId w:val="91"/>
        </w:numPr>
        <w:jc w:val="both"/>
        <w:rPr>
          <w:rFonts w:ascii="Arial" w:hAnsi="Arial" w:cs="Arial"/>
        </w:rPr>
      </w:pPr>
      <w:r>
        <w:rPr>
          <w:rFonts w:ascii="Arial" w:hAnsi="Arial" w:cs="Arial"/>
        </w:rPr>
        <w:t xml:space="preserve">une gestion des réclamations en ligne et </w:t>
      </w:r>
      <w:r w:rsidRPr="00351EDB">
        <w:rPr>
          <w:rFonts w:ascii="Arial" w:hAnsi="Arial" w:cs="Arial"/>
        </w:rPr>
        <w:t>la mise en place d’un portail pour la ville de Casablanca. Ce projet vise</w:t>
      </w:r>
      <w:r>
        <w:rPr>
          <w:rFonts w:ascii="Arial" w:hAnsi="Arial" w:cs="Arial"/>
          <w:b/>
          <w:bCs/>
        </w:rPr>
        <w:t xml:space="preserve"> </w:t>
      </w:r>
      <w:r w:rsidRPr="00351EDB">
        <w:rPr>
          <w:rFonts w:ascii="Arial" w:hAnsi="Arial" w:cs="Arial"/>
          <w:bCs/>
        </w:rPr>
        <w:t>à r</w:t>
      </w:r>
      <w:r w:rsidRPr="00351EDB">
        <w:rPr>
          <w:rFonts w:ascii="Arial" w:hAnsi="Arial" w:cs="Arial"/>
        </w:rPr>
        <w:t xml:space="preserve">épondre aux attentes des citoyens, touristes et investisseurs qui sollicitent les services de la Ville de Casablanca à informer et communiquer autour des activités réalisées par les différentes structures de la Ville. </w:t>
      </w:r>
    </w:p>
    <w:p w:rsidR="003A596A" w:rsidRPr="00F92FF8" w:rsidRDefault="003A596A" w:rsidP="00CC3ED7">
      <w:pPr>
        <w:pStyle w:val="Heading2"/>
        <w:rPr>
          <w:i w:val="0"/>
          <w:color w:val="0070C0"/>
        </w:rPr>
      </w:pPr>
      <w:bookmarkStart w:id="373" w:name="_Toc412839448"/>
      <w:bookmarkStart w:id="374" w:name="_Toc434916191"/>
      <w:bookmarkStart w:id="375" w:name="_Toc434918406"/>
      <w:r w:rsidRPr="00F92FF8">
        <w:rPr>
          <w:i w:val="0"/>
          <w:color w:val="0070C0"/>
        </w:rPr>
        <w:t>5.3 Facteurs institutionnels soutenant l</w:t>
      </w:r>
      <w:r w:rsidR="00DB625D" w:rsidRPr="00F92FF8">
        <w:rPr>
          <w:i w:val="0"/>
          <w:color w:val="0070C0"/>
        </w:rPr>
        <w:t xml:space="preserve">a planification et la mise en </w:t>
      </w:r>
      <w:r w:rsidR="00823AD9" w:rsidRPr="00F92FF8">
        <w:rPr>
          <w:i w:val="0"/>
          <w:color w:val="0070C0"/>
        </w:rPr>
        <w:t>œuvre</w:t>
      </w:r>
      <w:r w:rsidRPr="00F92FF8">
        <w:rPr>
          <w:i w:val="0"/>
          <w:color w:val="0070C0"/>
        </w:rPr>
        <w:t xml:space="preserve"> des réformes</w:t>
      </w:r>
      <w:bookmarkEnd w:id="373"/>
      <w:bookmarkEnd w:id="374"/>
      <w:bookmarkEnd w:id="375"/>
    </w:p>
    <w:p w:rsidR="003A596A" w:rsidRPr="00A17E25" w:rsidRDefault="003A596A" w:rsidP="003A596A">
      <w:pPr>
        <w:rPr>
          <w:b/>
        </w:rPr>
      </w:pPr>
    </w:p>
    <w:p w:rsidR="007C616A" w:rsidRPr="00351EDB" w:rsidRDefault="007C616A"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r>
        <w:rPr>
          <w:rFonts w:ascii="Arial" w:hAnsi="Arial" w:cs="Arial"/>
          <w:bdr w:val="none" w:sz="0" w:space="0" w:color="auto" w:frame="1"/>
        </w:rPr>
        <w:t xml:space="preserve">Les facteurs institutionnels dans la nouvelle configuration de la </w:t>
      </w:r>
      <w:r w:rsidR="00DE5B35">
        <w:rPr>
          <w:rFonts w:ascii="Arial" w:hAnsi="Arial" w:cs="Arial"/>
          <w:bdr w:val="none" w:sz="0" w:space="0" w:color="auto" w:frame="1"/>
        </w:rPr>
        <w:t>CC</w:t>
      </w:r>
      <w:r>
        <w:rPr>
          <w:rFonts w:ascii="Arial" w:hAnsi="Arial" w:cs="Arial"/>
          <w:bdr w:val="none" w:sz="0" w:space="0" w:color="auto" w:frame="1"/>
        </w:rPr>
        <w:t xml:space="preserve"> et </w:t>
      </w:r>
      <w:r w:rsidR="00174A91">
        <w:rPr>
          <w:rFonts w:ascii="Arial" w:hAnsi="Arial" w:cs="Arial"/>
          <w:bdr w:val="none" w:sz="0" w:space="0" w:color="auto" w:frame="1"/>
        </w:rPr>
        <w:t xml:space="preserve">qui </w:t>
      </w:r>
      <w:r>
        <w:rPr>
          <w:rFonts w:ascii="Arial" w:hAnsi="Arial" w:cs="Arial"/>
          <w:bdr w:val="none" w:sz="0" w:space="0" w:color="auto" w:frame="1"/>
        </w:rPr>
        <w:t xml:space="preserve">sont déterminants pour </w:t>
      </w:r>
      <w:r w:rsidR="00174A91">
        <w:rPr>
          <w:rFonts w:ascii="Arial" w:hAnsi="Arial" w:cs="Arial"/>
          <w:bdr w:val="none" w:sz="0" w:space="0" w:color="auto" w:frame="1"/>
        </w:rPr>
        <w:t>la mise en œuvre</w:t>
      </w:r>
      <w:r>
        <w:rPr>
          <w:rFonts w:ascii="Arial" w:hAnsi="Arial" w:cs="Arial"/>
          <w:bdr w:val="none" w:sz="0" w:space="0" w:color="auto" w:frame="1"/>
        </w:rPr>
        <w:t xml:space="preserve"> des réformes sont notamment : </w:t>
      </w:r>
    </w:p>
    <w:p w:rsidR="007C616A" w:rsidRPr="00351EDB" w:rsidRDefault="007C616A" w:rsidP="00174A91">
      <w:pPr>
        <w:pStyle w:val="NormalWeb"/>
        <w:shd w:val="clear" w:color="auto" w:fill="FFFFFF"/>
        <w:spacing w:before="0" w:beforeAutospacing="0" w:after="0" w:afterAutospacing="0"/>
        <w:jc w:val="both"/>
        <w:textAlignment w:val="top"/>
        <w:rPr>
          <w:rFonts w:ascii="Arial" w:hAnsi="Arial" w:cs="Arial"/>
        </w:rPr>
      </w:pPr>
      <w:r w:rsidRPr="00351EDB">
        <w:rPr>
          <w:rStyle w:val="Strong"/>
          <w:rFonts w:ascii="Arial" w:hAnsi="Arial" w:cs="Arial"/>
          <w:bdr w:val="none" w:sz="0" w:space="0" w:color="auto" w:frame="1"/>
        </w:rPr>
        <w:t>Moins d’arrondissements, moins d’élus</w:t>
      </w:r>
    </w:p>
    <w:p w:rsidR="007C616A" w:rsidRPr="00351EDB" w:rsidRDefault="007C616A"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r>
        <w:rPr>
          <w:rFonts w:ascii="Arial" w:hAnsi="Arial" w:cs="Arial"/>
          <w:bdr w:val="none" w:sz="0" w:space="0" w:color="auto" w:frame="1"/>
        </w:rPr>
        <w:t>I</w:t>
      </w:r>
      <w:r w:rsidRPr="00351EDB">
        <w:rPr>
          <w:rFonts w:ascii="Arial" w:hAnsi="Arial" w:cs="Arial"/>
          <w:bdr w:val="none" w:sz="0" w:space="0" w:color="auto" w:frame="1"/>
        </w:rPr>
        <w:t>l y a eu  une réduction drastique du nombre des arrondissements</w:t>
      </w:r>
      <w:r>
        <w:rPr>
          <w:rFonts w:ascii="Arial" w:hAnsi="Arial" w:cs="Arial"/>
          <w:bdr w:val="none" w:sz="0" w:space="0" w:color="auto" w:frame="1"/>
        </w:rPr>
        <w:t>, 8 contre 16 auparavant. Chaque arrondissement compte</w:t>
      </w:r>
      <w:r w:rsidRPr="00351EDB">
        <w:rPr>
          <w:rFonts w:ascii="Arial" w:hAnsi="Arial" w:cs="Arial"/>
          <w:bdr w:val="none" w:sz="0" w:space="0" w:color="auto" w:frame="1"/>
        </w:rPr>
        <w:t xml:space="preserve"> entre 12 élus au maximum et 7 au minimum, selon le nombre d’habitants. Au final, le Conseil de la ville sera formé de </w:t>
      </w:r>
      <w:r>
        <w:rPr>
          <w:rFonts w:ascii="Arial" w:hAnsi="Arial" w:cs="Arial"/>
          <w:bdr w:val="none" w:sz="0" w:space="0" w:color="auto" w:frame="1"/>
        </w:rPr>
        <w:t xml:space="preserve">seulement 61 </w:t>
      </w:r>
      <w:r w:rsidRPr="00351EDB">
        <w:rPr>
          <w:rFonts w:ascii="Arial" w:hAnsi="Arial" w:cs="Arial"/>
          <w:bdr w:val="none" w:sz="0" w:space="0" w:color="auto" w:frame="1"/>
        </w:rPr>
        <w:t>contre 147 au précédent mandat</w:t>
      </w:r>
      <w:r>
        <w:rPr>
          <w:rFonts w:ascii="Arial" w:hAnsi="Arial" w:cs="Arial"/>
          <w:bdr w:val="none" w:sz="0" w:space="0" w:color="auto" w:frame="1"/>
        </w:rPr>
        <w:t xml:space="preserve">. </w:t>
      </w:r>
      <w:r w:rsidRPr="00351EDB">
        <w:rPr>
          <w:rFonts w:ascii="Arial" w:hAnsi="Arial" w:cs="Arial"/>
          <w:bdr w:val="none" w:sz="0" w:space="0" w:color="auto" w:frame="1"/>
        </w:rPr>
        <w:t xml:space="preserve"> </w:t>
      </w:r>
    </w:p>
    <w:p w:rsidR="007C616A" w:rsidRPr="00351EDB" w:rsidRDefault="007C616A" w:rsidP="00174A91">
      <w:pPr>
        <w:pStyle w:val="NormalWeb"/>
        <w:shd w:val="clear" w:color="auto" w:fill="FFFFFF"/>
        <w:spacing w:before="0" w:beforeAutospacing="0" w:after="0" w:afterAutospacing="0"/>
        <w:jc w:val="both"/>
        <w:textAlignment w:val="top"/>
        <w:rPr>
          <w:rFonts w:ascii="Arial" w:hAnsi="Arial" w:cs="Arial"/>
        </w:rPr>
      </w:pPr>
      <w:r w:rsidRPr="00351EDB">
        <w:rPr>
          <w:rFonts w:ascii="Arial" w:hAnsi="Arial" w:cs="Arial"/>
        </w:rPr>
        <w:br/>
      </w:r>
      <w:r w:rsidRPr="00351EDB">
        <w:rPr>
          <w:rStyle w:val="Strong"/>
          <w:rFonts w:ascii="Arial" w:hAnsi="Arial" w:cs="Arial"/>
          <w:bdr w:val="none" w:sz="0" w:space="0" w:color="auto" w:frame="1"/>
        </w:rPr>
        <w:t>Citoyens décideurs</w:t>
      </w:r>
    </w:p>
    <w:p w:rsidR="007C616A" w:rsidRPr="003A6495" w:rsidRDefault="007C616A"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r>
        <w:rPr>
          <w:rFonts w:ascii="Arial" w:hAnsi="Arial" w:cs="Arial"/>
          <w:bdr w:val="none" w:sz="0" w:space="0" w:color="auto" w:frame="1"/>
        </w:rPr>
        <w:t>Le citoyen contribue désormais</w:t>
      </w:r>
      <w:r w:rsidRPr="00351EDB">
        <w:rPr>
          <w:rFonts w:ascii="Arial" w:hAnsi="Arial" w:cs="Arial"/>
          <w:bdr w:val="none" w:sz="0" w:space="0" w:color="auto" w:frame="1"/>
        </w:rPr>
        <w:t xml:space="preserve"> à l’enrichissement des s</w:t>
      </w:r>
      <w:r>
        <w:rPr>
          <w:rFonts w:ascii="Arial" w:hAnsi="Arial" w:cs="Arial"/>
          <w:bdr w:val="none" w:sz="0" w:space="0" w:color="auto" w:frame="1"/>
        </w:rPr>
        <w:t>essions du conseil et intervient</w:t>
      </w:r>
      <w:r w:rsidRPr="00351EDB">
        <w:rPr>
          <w:rFonts w:ascii="Arial" w:hAnsi="Arial" w:cs="Arial"/>
          <w:bdr w:val="none" w:sz="0" w:space="0" w:color="auto" w:frame="1"/>
        </w:rPr>
        <w:t xml:space="preserve"> dans</w:t>
      </w:r>
      <w:r>
        <w:rPr>
          <w:rFonts w:ascii="Arial" w:hAnsi="Arial" w:cs="Arial"/>
          <w:bdr w:val="none" w:sz="0" w:space="0" w:color="auto" w:frame="1"/>
        </w:rPr>
        <w:t xml:space="preserve"> le contrôle de ses actions </w:t>
      </w:r>
      <w:r w:rsidRPr="00351EDB">
        <w:rPr>
          <w:rFonts w:ascii="Arial" w:hAnsi="Arial" w:cs="Arial"/>
          <w:bdr w:val="none" w:sz="0" w:space="0" w:color="auto" w:frame="1"/>
        </w:rPr>
        <w:t xml:space="preserve">à travers </w:t>
      </w:r>
      <w:r>
        <w:rPr>
          <w:rFonts w:ascii="Arial" w:hAnsi="Arial" w:cs="Arial"/>
          <w:bdr w:val="none" w:sz="0" w:space="0" w:color="auto" w:frame="1"/>
        </w:rPr>
        <w:t>la participation des associations et la création</w:t>
      </w:r>
      <w:r w:rsidRPr="00351EDB">
        <w:rPr>
          <w:rFonts w:ascii="Arial" w:hAnsi="Arial" w:cs="Arial"/>
          <w:bdr w:val="none" w:sz="0" w:space="0" w:color="auto" w:frame="1"/>
        </w:rPr>
        <w:t xml:space="preserve"> d’une instance consultative dont la mission est de mettre en place des partenariats avec la société civile. </w:t>
      </w:r>
    </w:p>
    <w:p w:rsidR="007C616A" w:rsidRDefault="007C616A" w:rsidP="00174A91">
      <w:pPr>
        <w:pStyle w:val="NormalWeb"/>
        <w:shd w:val="clear" w:color="auto" w:fill="FFFFFF"/>
        <w:spacing w:before="0" w:beforeAutospacing="0" w:after="0" w:afterAutospacing="0"/>
        <w:jc w:val="both"/>
        <w:textAlignment w:val="top"/>
        <w:rPr>
          <w:rStyle w:val="Strong"/>
          <w:rFonts w:ascii="Arial" w:hAnsi="Arial" w:cs="Arial"/>
          <w:bdr w:val="none" w:sz="0" w:space="0" w:color="auto" w:frame="1"/>
        </w:rPr>
      </w:pPr>
    </w:p>
    <w:p w:rsidR="007C616A" w:rsidRPr="00351EDB" w:rsidRDefault="007C616A" w:rsidP="00174A91">
      <w:pPr>
        <w:pStyle w:val="NormalWeb"/>
        <w:shd w:val="clear" w:color="auto" w:fill="FFFFFF"/>
        <w:spacing w:before="0" w:beforeAutospacing="0" w:after="0" w:afterAutospacing="0"/>
        <w:jc w:val="both"/>
        <w:textAlignment w:val="top"/>
        <w:rPr>
          <w:rFonts w:ascii="Arial" w:hAnsi="Arial" w:cs="Arial"/>
        </w:rPr>
      </w:pPr>
      <w:r w:rsidRPr="00351EDB">
        <w:rPr>
          <w:rStyle w:val="Strong"/>
          <w:rFonts w:ascii="Arial" w:hAnsi="Arial" w:cs="Arial"/>
          <w:bdr w:val="none" w:sz="0" w:space="0" w:color="auto" w:frame="1"/>
        </w:rPr>
        <w:t>Plus de compétences, plus de rigueur</w:t>
      </w:r>
    </w:p>
    <w:p w:rsidR="0064512D" w:rsidRDefault="0064512D"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p>
    <w:p w:rsidR="007C616A" w:rsidRDefault="007C616A"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r w:rsidRPr="00351EDB">
        <w:rPr>
          <w:rFonts w:ascii="Arial" w:hAnsi="Arial" w:cs="Arial"/>
          <w:bdr w:val="none" w:sz="0" w:space="0" w:color="auto" w:frame="1"/>
        </w:rPr>
        <w:t>La réforme de la comm</w:t>
      </w:r>
      <w:r>
        <w:rPr>
          <w:rFonts w:ascii="Arial" w:hAnsi="Arial" w:cs="Arial"/>
          <w:bdr w:val="none" w:sz="0" w:space="0" w:color="auto" w:frame="1"/>
        </w:rPr>
        <w:t>une prévoit</w:t>
      </w:r>
      <w:r w:rsidRPr="00351EDB">
        <w:rPr>
          <w:rFonts w:ascii="Arial" w:hAnsi="Arial" w:cs="Arial"/>
          <w:bdr w:val="none" w:sz="0" w:space="0" w:color="auto" w:frame="1"/>
        </w:rPr>
        <w:t xml:space="preserve"> la mise en place d’un appareil administratif, avec à sa tête un directeur chargé de l’exécution et du suivi des décisions du conseil. Ce qui implique, parallèlement, une réorganisation des services administratifs de la commune. </w:t>
      </w:r>
    </w:p>
    <w:p w:rsidR="007C616A" w:rsidRDefault="007C616A" w:rsidP="00174A91">
      <w:pPr>
        <w:pStyle w:val="NormalWeb"/>
        <w:shd w:val="clear" w:color="auto" w:fill="FFFFFF"/>
        <w:spacing w:before="0" w:beforeAutospacing="0" w:after="0" w:afterAutospacing="0"/>
        <w:jc w:val="both"/>
        <w:textAlignment w:val="top"/>
        <w:rPr>
          <w:rFonts w:ascii="Arial" w:hAnsi="Arial" w:cs="Arial"/>
          <w:bdr w:val="none" w:sz="0" w:space="0" w:color="auto" w:frame="1"/>
        </w:rPr>
      </w:pPr>
    </w:p>
    <w:p w:rsidR="003A596A" w:rsidRPr="00A17E25" w:rsidRDefault="003A596A" w:rsidP="003A596A">
      <w:pPr>
        <w:jc w:val="both"/>
        <w:rPr>
          <w:rFonts w:ascii="Arial" w:hAnsi="Arial" w:cs="Arial"/>
        </w:rPr>
      </w:pPr>
    </w:p>
    <w:p w:rsidR="008970C1" w:rsidRDefault="008970C1" w:rsidP="008970C1">
      <w:pPr>
        <w:pStyle w:val="NormalWeb"/>
        <w:shd w:val="clear" w:color="auto" w:fill="FFFFFF"/>
        <w:spacing w:before="0" w:beforeAutospacing="0" w:after="0" w:afterAutospacing="0"/>
        <w:jc w:val="both"/>
        <w:textAlignment w:val="top"/>
        <w:rPr>
          <w:rStyle w:val="Strong"/>
          <w:rFonts w:ascii="Arial" w:hAnsi="Arial" w:cs="Arial"/>
          <w:bdr w:val="none" w:sz="0" w:space="0" w:color="auto" w:frame="1"/>
        </w:rPr>
      </w:pPr>
      <w:bookmarkStart w:id="376" w:name="_Toc260257322"/>
      <w:bookmarkStart w:id="377" w:name="_Toc412839449"/>
      <w:bookmarkStart w:id="378" w:name="_Toc434916192"/>
      <w:r w:rsidRPr="008970C1">
        <w:rPr>
          <w:rStyle w:val="Strong"/>
          <w:rFonts w:ascii="Arial" w:hAnsi="Arial" w:cs="Arial"/>
          <w:bdr w:val="none" w:sz="0" w:space="0" w:color="auto" w:frame="1"/>
        </w:rPr>
        <w:t>Collaboration entre les parties prenantes</w:t>
      </w:r>
    </w:p>
    <w:p w:rsidR="008970C1" w:rsidRDefault="008970C1" w:rsidP="008970C1">
      <w:pPr>
        <w:pStyle w:val="NormalWeb"/>
        <w:shd w:val="clear" w:color="auto" w:fill="FFFFFF"/>
        <w:spacing w:before="0" w:beforeAutospacing="0" w:after="0" w:afterAutospacing="0"/>
        <w:jc w:val="both"/>
        <w:textAlignment w:val="top"/>
        <w:rPr>
          <w:rStyle w:val="Strong"/>
          <w:rFonts w:ascii="Arial" w:hAnsi="Arial" w:cs="Arial"/>
          <w:bdr w:val="none" w:sz="0" w:space="0" w:color="auto" w:frame="1"/>
        </w:rPr>
      </w:pPr>
    </w:p>
    <w:p w:rsidR="00540F16" w:rsidRDefault="008970C1" w:rsidP="008970C1">
      <w:pPr>
        <w:pStyle w:val="NormalWeb"/>
        <w:shd w:val="clear" w:color="auto" w:fill="FFFFFF"/>
        <w:spacing w:before="0" w:beforeAutospacing="0" w:after="0" w:afterAutospacing="0"/>
        <w:jc w:val="both"/>
        <w:textAlignment w:val="top"/>
        <w:rPr>
          <w:rStyle w:val="Strong"/>
          <w:rFonts w:ascii="Arial" w:hAnsi="Arial" w:cs="Arial"/>
          <w:b w:val="0"/>
          <w:bdr w:val="none" w:sz="0" w:space="0" w:color="auto" w:frame="1"/>
        </w:rPr>
      </w:pPr>
      <w:r w:rsidRPr="008970C1">
        <w:rPr>
          <w:rStyle w:val="Strong"/>
          <w:rFonts w:ascii="Arial" w:hAnsi="Arial" w:cs="Arial"/>
          <w:b w:val="0"/>
          <w:bdr w:val="none" w:sz="0" w:space="0" w:color="auto" w:frame="1"/>
        </w:rPr>
        <w:t xml:space="preserve">La </w:t>
      </w:r>
      <w:r w:rsidR="00FC5471">
        <w:rPr>
          <w:rStyle w:val="Strong"/>
          <w:rFonts w:ascii="Arial" w:hAnsi="Arial" w:cs="Arial"/>
          <w:b w:val="0"/>
          <w:bdr w:val="none" w:sz="0" w:space="0" w:color="auto" w:frame="1"/>
        </w:rPr>
        <w:t>réussite des réformes ne dépend pas uniquement des efforts propres à la Commune de Casablanca. Elle nécessite une collaboration avec toutes les parties prenantes notamment la Trésorerie Générale du Royaume, la Direction Générale des Impôts et la Direction Générale des Collectivités Territoriales.</w:t>
      </w:r>
    </w:p>
    <w:p w:rsidR="00FC5471" w:rsidRDefault="00FC5471" w:rsidP="00FC5471">
      <w:pPr>
        <w:pStyle w:val="NormalWeb"/>
        <w:shd w:val="clear" w:color="auto" w:fill="FFFFFF"/>
        <w:tabs>
          <w:tab w:val="left" w:pos="5940"/>
        </w:tabs>
        <w:spacing w:before="0" w:beforeAutospacing="0" w:after="0" w:afterAutospacing="0"/>
        <w:textAlignment w:val="top"/>
        <w:rPr>
          <w:rStyle w:val="Strong"/>
          <w:rFonts w:ascii="Arial" w:hAnsi="Arial" w:cs="Arial"/>
          <w:b w:val="0"/>
          <w:bdr w:val="none" w:sz="0" w:space="0" w:color="auto" w:frame="1"/>
        </w:rPr>
      </w:pPr>
    </w:p>
    <w:p w:rsidR="00FC5471" w:rsidRDefault="00FC5471" w:rsidP="00FC5471">
      <w:pPr>
        <w:pStyle w:val="NormalWeb"/>
        <w:shd w:val="clear" w:color="auto" w:fill="FFFFFF"/>
        <w:tabs>
          <w:tab w:val="left" w:pos="5940"/>
        </w:tabs>
        <w:spacing w:before="0" w:beforeAutospacing="0" w:after="0" w:afterAutospacing="0"/>
        <w:textAlignment w:val="top"/>
        <w:rPr>
          <w:rStyle w:val="Strong"/>
          <w:rFonts w:ascii="Arial" w:hAnsi="Arial" w:cs="Arial"/>
          <w:bdr w:val="none" w:sz="0" w:space="0" w:color="auto" w:frame="1"/>
        </w:rPr>
      </w:pPr>
      <w:r w:rsidRPr="00AE743D">
        <w:rPr>
          <w:rStyle w:val="Strong"/>
          <w:rFonts w:ascii="Arial" w:hAnsi="Arial" w:cs="Arial"/>
          <w:bdr w:val="none" w:sz="0" w:space="0" w:color="auto" w:frame="1"/>
        </w:rPr>
        <w:t>L’appui</w:t>
      </w:r>
      <w:r>
        <w:rPr>
          <w:rStyle w:val="Strong"/>
          <w:rFonts w:ascii="Arial" w:hAnsi="Arial" w:cs="Arial"/>
          <w:bdr w:val="none" w:sz="0" w:space="0" w:color="auto" w:frame="1"/>
        </w:rPr>
        <w:t xml:space="preserve"> politique du Bureau de la CC</w:t>
      </w:r>
    </w:p>
    <w:p w:rsidR="00FC5471" w:rsidRDefault="00FC5471" w:rsidP="00FC5471">
      <w:pPr>
        <w:pStyle w:val="NormalWeb"/>
        <w:shd w:val="clear" w:color="auto" w:fill="FFFFFF"/>
        <w:tabs>
          <w:tab w:val="left" w:pos="5940"/>
        </w:tabs>
        <w:spacing w:before="0" w:beforeAutospacing="0" w:after="0" w:afterAutospacing="0"/>
        <w:textAlignment w:val="top"/>
        <w:rPr>
          <w:rStyle w:val="Strong"/>
          <w:rFonts w:ascii="Arial" w:hAnsi="Arial" w:cs="Arial"/>
          <w:bdr w:val="none" w:sz="0" w:space="0" w:color="auto" w:frame="1"/>
        </w:rPr>
      </w:pPr>
    </w:p>
    <w:p w:rsidR="00FC5471" w:rsidRDefault="00FC5471" w:rsidP="00FC5471">
      <w:pPr>
        <w:pStyle w:val="NormalWeb"/>
        <w:shd w:val="clear" w:color="auto" w:fill="FFFFFF"/>
        <w:tabs>
          <w:tab w:val="left" w:pos="5940"/>
        </w:tabs>
        <w:spacing w:before="0" w:beforeAutospacing="0" w:after="0" w:afterAutospacing="0"/>
        <w:textAlignment w:val="top"/>
        <w:rPr>
          <w:rStyle w:val="Strong"/>
          <w:rFonts w:ascii="Arial" w:hAnsi="Arial" w:cs="Arial"/>
          <w:b w:val="0"/>
          <w:bdr w:val="none" w:sz="0" w:space="0" w:color="auto" w:frame="1"/>
        </w:rPr>
      </w:pPr>
      <w:r w:rsidRPr="00FC5471">
        <w:rPr>
          <w:rStyle w:val="Strong"/>
          <w:rFonts w:ascii="Arial" w:hAnsi="Arial" w:cs="Arial"/>
          <w:b w:val="0"/>
          <w:bdr w:val="none" w:sz="0" w:space="0" w:color="auto" w:frame="1"/>
        </w:rPr>
        <w:t>Les réformes</w:t>
      </w:r>
      <w:r>
        <w:rPr>
          <w:rStyle w:val="Strong"/>
          <w:rFonts w:ascii="Arial" w:hAnsi="Arial" w:cs="Arial"/>
          <w:b w:val="0"/>
          <w:bdr w:val="none" w:sz="0" w:space="0" w:color="auto" w:frame="1"/>
        </w:rPr>
        <w:t xml:space="preserve"> envisagées ne sont pas uniquement d’ordre technique. Pour cette raison, elles nécessitent un appui des organes politiques de la commune. Cet appui semble </w:t>
      </w:r>
      <w:r w:rsidR="00AA7FF7">
        <w:rPr>
          <w:rStyle w:val="Strong"/>
          <w:rFonts w:ascii="Arial" w:hAnsi="Arial" w:cs="Arial"/>
          <w:b w:val="0"/>
          <w:bdr w:val="none" w:sz="0" w:space="0" w:color="auto" w:frame="1"/>
        </w:rPr>
        <w:t>acquis</w:t>
      </w:r>
      <w:r>
        <w:rPr>
          <w:rStyle w:val="Strong"/>
          <w:rFonts w:ascii="Arial" w:hAnsi="Arial" w:cs="Arial"/>
          <w:b w:val="0"/>
          <w:bdr w:val="none" w:sz="0" w:space="0" w:color="auto" w:frame="1"/>
        </w:rPr>
        <w:t xml:space="preserve"> compte tenu du niveau d’implication directe dans l’exercice de l’ensemble des membres du bureau de la CC.</w:t>
      </w:r>
    </w:p>
    <w:p w:rsidR="00CC3ED7" w:rsidRPr="00FC5471" w:rsidRDefault="00CC3ED7" w:rsidP="00FC5471">
      <w:pPr>
        <w:pStyle w:val="NormalWeb"/>
        <w:shd w:val="clear" w:color="auto" w:fill="FFFFFF"/>
        <w:tabs>
          <w:tab w:val="left" w:pos="5940"/>
        </w:tabs>
        <w:spacing w:before="0" w:beforeAutospacing="0" w:after="0" w:afterAutospacing="0"/>
        <w:textAlignment w:val="top"/>
        <w:rPr>
          <w:rStyle w:val="Strong"/>
          <w:rFonts w:ascii="Arial" w:hAnsi="Arial" w:cs="Arial"/>
          <w:b w:val="0"/>
          <w:bdr w:val="none" w:sz="0" w:space="0" w:color="auto" w:frame="1"/>
        </w:rPr>
      </w:pPr>
      <w:r w:rsidRPr="00FC5471">
        <w:rPr>
          <w:rStyle w:val="Strong"/>
          <w:rFonts w:ascii="Arial" w:hAnsi="Arial" w:cs="Arial"/>
          <w:b w:val="0"/>
          <w:bdr w:val="none" w:sz="0" w:space="0" w:color="auto" w:frame="1"/>
        </w:rPr>
        <w:br w:type="page"/>
      </w:r>
      <w:r w:rsidR="00FC5471" w:rsidRPr="00FC5471">
        <w:rPr>
          <w:rStyle w:val="Strong"/>
          <w:rFonts w:ascii="Arial" w:hAnsi="Arial" w:cs="Arial"/>
          <w:b w:val="0"/>
          <w:bdr w:val="none" w:sz="0" w:space="0" w:color="auto" w:frame="1"/>
        </w:rPr>
        <w:tab/>
      </w:r>
    </w:p>
    <w:p w:rsidR="00FC5471" w:rsidRPr="00540F16" w:rsidRDefault="00FC5471" w:rsidP="00F53182">
      <w:pPr>
        <w:pStyle w:val="NormalWeb"/>
        <w:shd w:val="clear" w:color="auto" w:fill="FFFFFF"/>
        <w:spacing w:before="0" w:beforeAutospacing="0" w:after="0" w:afterAutospacing="0"/>
        <w:textAlignment w:val="top"/>
        <w:rPr>
          <w:rStyle w:val="Strong"/>
          <w:rFonts w:cs="Arial"/>
          <w:b w:val="0"/>
          <w:bdr w:val="none" w:sz="0" w:space="0" w:color="auto" w:frame="1"/>
        </w:rPr>
      </w:pPr>
    </w:p>
    <w:p w:rsidR="003A596A" w:rsidRPr="00581667" w:rsidRDefault="003A596A" w:rsidP="00581667">
      <w:pPr>
        <w:pStyle w:val="Heading1"/>
        <w:jc w:val="center"/>
        <w:rPr>
          <w:color w:val="0070C0"/>
        </w:rPr>
        <w:sectPr w:rsidR="003A596A" w:rsidRPr="00581667" w:rsidSect="00CA09F7">
          <w:headerReference w:type="default" r:id="rId21"/>
          <w:footerReference w:type="even" r:id="rId22"/>
          <w:footerReference w:type="default" r:id="rId23"/>
          <w:pgSz w:w="12240" w:h="15840" w:code="1"/>
          <w:pgMar w:top="1440" w:right="1440" w:bottom="1440" w:left="1440" w:header="709" w:footer="709" w:gutter="0"/>
          <w:cols w:space="708"/>
          <w:docGrid w:linePitch="360"/>
        </w:sectPr>
      </w:pPr>
      <w:bookmarkStart w:id="379" w:name="_Toc434918407"/>
      <w:r w:rsidRPr="00F92FF8">
        <w:rPr>
          <w:color w:val="0070C0"/>
        </w:rPr>
        <w:t>ANNEXES</w:t>
      </w:r>
      <w:bookmarkEnd w:id="376"/>
      <w:bookmarkEnd w:id="377"/>
      <w:bookmarkEnd w:id="378"/>
      <w:bookmarkEnd w:id="379"/>
    </w:p>
    <w:p w:rsidR="009B3251" w:rsidRPr="00F92FF8" w:rsidRDefault="00CC3ED7" w:rsidP="00CC3ED7">
      <w:pPr>
        <w:pStyle w:val="Heading2"/>
        <w:rPr>
          <w:i w:val="0"/>
          <w:color w:val="0070C0"/>
        </w:rPr>
      </w:pPr>
      <w:bookmarkStart w:id="380" w:name="_Toc434916193"/>
      <w:bookmarkStart w:id="381" w:name="_Toc434918408"/>
      <w:bookmarkStart w:id="382" w:name="_Toc260257324"/>
      <w:bookmarkStart w:id="383" w:name="_Toc412839451"/>
      <w:bookmarkStart w:id="384" w:name="_Toc260257323"/>
      <w:bookmarkStart w:id="385" w:name="_Toc412839450"/>
      <w:r w:rsidRPr="00F92FF8">
        <w:rPr>
          <w:i w:val="0"/>
          <w:color w:val="0070C0"/>
        </w:rPr>
        <w:t>Annexe 1</w:t>
      </w:r>
      <w:r w:rsidR="009B3251" w:rsidRPr="00F92FF8">
        <w:rPr>
          <w:i w:val="0"/>
          <w:color w:val="0070C0"/>
        </w:rPr>
        <w:t>: Tableaux récapitulatifs des indicateurs de performance</w:t>
      </w:r>
      <w:bookmarkEnd w:id="380"/>
      <w:bookmarkEnd w:id="381"/>
    </w:p>
    <w:p w:rsidR="009B3251" w:rsidRPr="00913D5F" w:rsidRDefault="009B3251" w:rsidP="009B3251">
      <w:pPr>
        <w:pStyle w:val="Heading2"/>
        <w:jc w:val="both"/>
        <w:rPr>
          <w:i w:val="0"/>
          <w:sz w:val="24"/>
          <w:szCs w:val="24"/>
        </w:rPr>
      </w:pPr>
      <w:bookmarkStart w:id="386" w:name="_Toc434916194"/>
      <w:bookmarkStart w:id="387" w:name="_Toc434918409"/>
      <w:r w:rsidRPr="003262BE">
        <w:rPr>
          <w:i w:val="0"/>
          <w:sz w:val="24"/>
          <w:szCs w:val="24"/>
        </w:rPr>
        <w:t>Annexe 1A: Résumé des notes par indicateurs/composantes</w:t>
      </w:r>
      <w:bookmarkEnd w:id="382"/>
      <w:bookmarkEnd w:id="383"/>
      <w:bookmarkEnd w:id="386"/>
      <w:bookmarkEnd w:id="387"/>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60"/>
        <w:gridCol w:w="2889"/>
        <w:gridCol w:w="1071"/>
        <w:gridCol w:w="1260"/>
        <w:gridCol w:w="1260"/>
        <w:gridCol w:w="1080"/>
      </w:tblGrid>
      <w:tr w:rsidR="009B3251" w:rsidRPr="00A17E25" w:rsidTr="009B3251">
        <w:tc>
          <w:tcPr>
            <w:tcW w:w="1260" w:type="dxa"/>
            <w:vMerge w:val="restart"/>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Indicateur/ Méthode de notation</w:t>
            </w:r>
          </w:p>
        </w:tc>
        <w:tc>
          <w:tcPr>
            <w:tcW w:w="2889" w:type="dxa"/>
            <w:vMerge w:val="restart"/>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 xml:space="preserve">Notes                                            </w:t>
            </w:r>
          </w:p>
        </w:tc>
        <w:tc>
          <w:tcPr>
            <w:tcW w:w="4671" w:type="dxa"/>
            <w:gridSpan w:val="4"/>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Composantes</w:t>
            </w:r>
          </w:p>
        </w:tc>
      </w:tr>
      <w:tr w:rsidR="009B3251" w:rsidRPr="00A17E25" w:rsidTr="009B3251">
        <w:tc>
          <w:tcPr>
            <w:tcW w:w="1260" w:type="dxa"/>
            <w:vMerge/>
            <w:vAlign w:val="center"/>
          </w:tcPr>
          <w:p w:rsidR="009B3251" w:rsidRPr="00A17E25" w:rsidRDefault="009B3251" w:rsidP="009B3251">
            <w:pPr>
              <w:jc w:val="center"/>
              <w:rPr>
                <w:rFonts w:ascii="Arial Narrow" w:hAnsi="Arial Narrow" w:cs="Arial"/>
                <w:b/>
                <w:sz w:val="20"/>
                <w:szCs w:val="20"/>
              </w:rPr>
            </w:pPr>
          </w:p>
        </w:tc>
        <w:tc>
          <w:tcPr>
            <w:tcW w:w="2889" w:type="dxa"/>
            <w:vMerge/>
            <w:vAlign w:val="center"/>
          </w:tcPr>
          <w:p w:rsidR="009B3251" w:rsidRPr="00A17E25" w:rsidRDefault="009B3251" w:rsidP="009B3251">
            <w:pPr>
              <w:jc w:val="center"/>
              <w:rPr>
                <w:rFonts w:ascii="Arial Narrow" w:hAnsi="Arial Narrow" w:cs="Arial"/>
                <w:b/>
                <w:sz w:val="20"/>
                <w:szCs w:val="20"/>
              </w:rPr>
            </w:pPr>
          </w:p>
        </w:tc>
        <w:tc>
          <w:tcPr>
            <w:tcW w:w="1071" w:type="dxa"/>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w:t>
            </w:r>
          </w:p>
        </w:tc>
        <w:tc>
          <w:tcPr>
            <w:tcW w:w="1260" w:type="dxa"/>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(ii)</w:t>
            </w:r>
          </w:p>
        </w:tc>
        <w:tc>
          <w:tcPr>
            <w:tcW w:w="1260" w:type="dxa"/>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(iii)</w:t>
            </w:r>
          </w:p>
        </w:tc>
        <w:tc>
          <w:tcPr>
            <w:tcW w:w="1080" w:type="dxa"/>
            <w:vAlign w:val="center"/>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(iv)</w:t>
            </w:r>
          </w:p>
        </w:tc>
      </w:tr>
      <w:tr w:rsidR="009B3251" w:rsidRPr="00A17E25" w:rsidTr="00F92FF8">
        <w:tc>
          <w:tcPr>
            <w:tcW w:w="1260" w:type="dxa"/>
            <w:tcBorders>
              <w:bottom w:val="single" w:sz="4" w:space="0" w:color="auto"/>
            </w:tcBorders>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HLG-1/M1</w:t>
            </w:r>
          </w:p>
        </w:tc>
        <w:tc>
          <w:tcPr>
            <w:tcW w:w="2889" w:type="dxa"/>
            <w:tcBorders>
              <w:bottom w:val="single" w:sz="4"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tcBorders>
              <w:bottom w:val="single" w:sz="4" w:space="0" w:color="auto"/>
            </w:tcBorders>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26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F9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Ex>
        <w:trPr>
          <w:trHeight w:val="152"/>
        </w:trPr>
        <w:tc>
          <w:tcPr>
            <w:tcW w:w="8820" w:type="dxa"/>
            <w:gridSpan w:val="6"/>
            <w:tcBorders>
              <w:bottom w:val="single" w:sz="6" w:space="0" w:color="auto"/>
            </w:tcBorders>
            <w:shd w:val="clear" w:color="auto" w:fill="0070C0"/>
          </w:tcPr>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bCs/>
                <w:color w:val="FFFFFF"/>
                <w:sz w:val="20"/>
                <w:szCs w:val="20"/>
              </w:rPr>
              <w:t>RESULTATS DE LA GESTION DES FINANCES PUBLIQUES</w:t>
            </w:r>
          </w:p>
        </w:tc>
      </w:tr>
      <w:tr w:rsidR="009B3251" w:rsidRPr="00A17E25" w:rsidTr="00F92FF8">
        <w:tc>
          <w:tcPr>
            <w:tcW w:w="8820" w:type="dxa"/>
            <w:gridSpan w:val="6"/>
            <w:tcBorders>
              <w:top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 CREDIBILITE DE LA STRATEGIE DE FINANCES PUBLIQUES ET DU BUDGET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PI-1 /M1</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D</w:t>
            </w:r>
          </w:p>
        </w:tc>
        <w:tc>
          <w:tcPr>
            <w:tcW w:w="1071"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PI-2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F92FF8">
        <w:tc>
          <w:tcPr>
            <w:tcW w:w="1260" w:type="dxa"/>
            <w:tcBorders>
              <w:bottom w:val="single" w:sz="4" w:space="0" w:color="auto"/>
            </w:tcBorders>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PI-3 /M1</w:t>
            </w:r>
          </w:p>
        </w:tc>
        <w:tc>
          <w:tcPr>
            <w:tcW w:w="2889" w:type="dxa"/>
            <w:tcBorders>
              <w:bottom w:val="single" w:sz="4"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26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tcBorders>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F9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Ex>
        <w:trPr>
          <w:trHeight w:val="152"/>
        </w:trPr>
        <w:tc>
          <w:tcPr>
            <w:tcW w:w="8820" w:type="dxa"/>
            <w:gridSpan w:val="6"/>
            <w:tcBorders>
              <w:bottom w:val="single" w:sz="6" w:space="0" w:color="auto"/>
            </w:tcBorders>
            <w:shd w:val="clear" w:color="auto" w:fill="0070C0"/>
          </w:tcPr>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bCs/>
                <w:color w:val="FFFFFF"/>
                <w:sz w:val="20"/>
                <w:szCs w:val="20"/>
              </w:rPr>
              <w:t>PRINCIPAUX ASPECTS TRANSVERSAUX</w:t>
            </w:r>
          </w:p>
        </w:tc>
      </w:tr>
      <w:tr w:rsidR="009B3251" w:rsidRPr="00A17E25" w:rsidTr="00F92FF8">
        <w:tc>
          <w:tcPr>
            <w:tcW w:w="8820" w:type="dxa"/>
            <w:gridSpan w:val="6"/>
            <w:tcBorders>
              <w:top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II. EXHAUSTIVITE ET TRANSPARENCE</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 xml:space="preserve">PI-4 /M1                   </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PI-5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P-6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B</w:t>
            </w:r>
          </w:p>
        </w:tc>
        <w:tc>
          <w:tcPr>
            <w:tcW w:w="1071"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C</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PI-7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N/A</w:t>
            </w:r>
          </w:p>
        </w:tc>
        <w:tc>
          <w:tcPr>
            <w:tcW w:w="1071"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N/A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PI-8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D</w:t>
            </w:r>
          </w:p>
        </w:tc>
        <w:tc>
          <w:tcPr>
            <w:tcW w:w="1071"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08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PI-9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8820" w:type="dxa"/>
            <w:gridSpan w:val="6"/>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III. GESTION DES ACTIFS ET DES PASSIFS</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PI-10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N/</w:t>
            </w:r>
            <w:r w:rsidR="009B3251"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Borders>
              <w:left w:val="single" w:sz="4" w:space="0" w:color="auto"/>
            </w:tcBorders>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-11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tcBorders>
              <w:right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Borders>
              <w:left w:val="single" w:sz="4" w:space="0" w:color="auto"/>
            </w:tcBorders>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-12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B</w:t>
            </w:r>
          </w:p>
        </w:tc>
        <w:tc>
          <w:tcPr>
            <w:tcW w:w="1080" w:type="dxa"/>
            <w:tcBorders>
              <w:right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F92FF8">
        <w:tc>
          <w:tcPr>
            <w:tcW w:w="1260" w:type="dxa"/>
            <w:tcBorders>
              <w:top w:val="single" w:sz="4" w:space="0" w:color="auto"/>
              <w:bottom w:val="single" w:sz="4" w:space="0" w:color="auto"/>
            </w:tcBorders>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-13 /M2</w:t>
            </w:r>
          </w:p>
        </w:tc>
        <w:tc>
          <w:tcPr>
            <w:tcW w:w="2889" w:type="dxa"/>
            <w:tcBorders>
              <w:top w:val="single" w:sz="4" w:space="0" w:color="auto"/>
              <w:bottom w:val="single" w:sz="4" w:space="0" w:color="auto"/>
            </w:tcBorders>
          </w:tcPr>
          <w:p w:rsidR="009B3251" w:rsidRPr="00A17E25" w:rsidRDefault="00EC3826" w:rsidP="00EC3826">
            <w:pPr>
              <w:jc w:val="center"/>
              <w:rPr>
                <w:rFonts w:ascii="Arial Narrow" w:hAnsi="Arial Narrow" w:cs="Arial"/>
                <w:b/>
                <w:bCs/>
                <w:sz w:val="20"/>
                <w:szCs w:val="20"/>
              </w:rPr>
            </w:pPr>
            <w:r>
              <w:rPr>
                <w:rFonts w:ascii="Arial Narrow" w:hAnsi="Arial Narrow" w:cs="Arial"/>
                <w:b/>
                <w:bCs/>
                <w:sz w:val="20"/>
                <w:szCs w:val="20"/>
              </w:rPr>
              <w:t>D</w:t>
            </w:r>
            <w:r w:rsidR="009B3251" w:rsidRPr="00A17E25">
              <w:rPr>
                <w:rFonts w:ascii="Arial Narrow" w:hAnsi="Arial Narrow" w:cs="Arial"/>
                <w:b/>
                <w:bCs/>
                <w:sz w:val="20"/>
                <w:szCs w:val="20"/>
              </w:rPr>
              <w:t>+</w:t>
            </w:r>
          </w:p>
        </w:tc>
        <w:tc>
          <w:tcPr>
            <w:tcW w:w="1071" w:type="dxa"/>
            <w:tcBorders>
              <w:top w:val="single" w:sz="4" w:space="0" w:color="auto"/>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260" w:type="dxa"/>
            <w:tcBorders>
              <w:top w:val="single" w:sz="4" w:space="0" w:color="auto"/>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260" w:type="dxa"/>
            <w:tcBorders>
              <w:top w:val="single" w:sz="4" w:space="0" w:color="auto"/>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tcBorders>
              <w:top w:val="single" w:sz="4" w:space="0" w:color="auto"/>
              <w:bottom w:val="single" w:sz="4" w:space="0" w:color="auto"/>
            </w:tcBorders>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r>
      <w:tr w:rsidR="009B3251" w:rsidRPr="00A17E25" w:rsidTr="00F9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Ex>
        <w:trPr>
          <w:trHeight w:val="152"/>
        </w:trPr>
        <w:tc>
          <w:tcPr>
            <w:tcW w:w="8820" w:type="dxa"/>
            <w:gridSpan w:val="6"/>
            <w:tcBorders>
              <w:bottom w:val="single" w:sz="4" w:space="0" w:color="auto"/>
            </w:tcBorders>
            <w:shd w:val="clear" w:color="auto" w:fill="0070C0"/>
          </w:tcPr>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bCs/>
                <w:color w:val="FFFFFF"/>
                <w:sz w:val="20"/>
                <w:szCs w:val="20"/>
              </w:rPr>
              <w:t xml:space="preserve"> CYCLE BUDGÉTAIRE</w:t>
            </w:r>
          </w:p>
        </w:tc>
      </w:tr>
      <w:tr w:rsidR="009B3251" w:rsidRPr="00A17E25" w:rsidTr="009B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820" w:type="dxa"/>
            <w:gridSpan w:val="6"/>
            <w:tcBorders>
              <w:left w:val="single" w:sz="4" w:space="0" w:color="auto"/>
              <w:right w:val="single" w:sz="4"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IV. PLANIFICATION ET BUDG2TISATION BASEE SUR LES POLITIQUES PUBLIQUES</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-14 /M2</w:t>
            </w:r>
          </w:p>
        </w:tc>
        <w:tc>
          <w:tcPr>
            <w:tcW w:w="2889" w:type="dxa"/>
          </w:tcPr>
          <w:p w:rsidR="009B3251" w:rsidRPr="00A17E25" w:rsidRDefault="00F73EFA" w:rsidP="009B3251">
            <w:pPr>
              <w:jc w:val="center"/>
              <w:rPr>
                <w:rFonts w:ascii="Arial Narrow" w:hAnsi="Arial Narrow" w:cs="Arial"/>
                <w:b/>
                <w:sz w:val="20"/>
                <w:szCs w:val="20"/>
              </w:rPr>
            </w:pPr>
            <w:r>
              <w:rPr>
                <w:rFonts w:ascii="Arial Narrow" w:hAnsi="Arial Narrow" w:cs="Arial"/>
                <w:b/>
                <w:sz w:val="20"/>
                <w:szCs w:val="20"/>
              </w:rPr>
              <w:t>NA</w:t>
            </w:r>
          </w:p>
        </w:tc>
        <w:tc>
          <w:tcPr>
            <w:tcW w:w="1071" w:type="dxa"/>
            <w:vAlign w:val="center"/>
          </w:tcPr>
          <w:p w:rsidR="009B3251" w:rsidRPr="00A17E25" w:rsidRDefault="00F73EFA" w:rsidP="009B3251">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NA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NA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-15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-16 /M2</w:t>
            </w:r>
          </w:p>
        </w:tc>
        <w:tc>
          <w:tcPr>
            <w:tcW w:w="2889" w:type="dxa"/>
          </w:tcPr>
          <w:p w:rsidR="009B3251" w:rsidRPr="00A17E25" w:rsidRDefault="00F73EFA" w:rsidP="009B3251">
            <w:pPr>
              <w:jc w:val="center"/>
              <w:rPr>
                <w:rFonts w:ascii="Arial Narrow" w:hAnsi="Arial Narrow" w:cs="Arial"/>
                <w:b/>
                <w:bCs/>
                <w:sz w:val="20"/>
                <w:szCs w:val="20"/>
              </w:rPr>
            </w:pPr>
            <w:r>
              <w:rPr>
                <w:rFonts w:ascii="Arial Narrow" w:hAnsi="Arial Narrow" w:cs="Arial"/>
                <w:b/>
                <w:bCs/>
                <w:sz w:val="20"/>
                <w:szCs w:val="20"/>
              </w:rPr>
              <w:t>NA</w:t>
            </w:r>
          </w:p>
        </w:tc>
        <w:tc>
          <w:tcPr>
            <w:tcW w:w="1071" w:type="dxa"/>
            <w:vAlign w:val="center"/>
          </w:tcPr>
          <w:p w:rsidR="009B3251" w:rsidRPr="00A17E25" w:rsidRDefault="00F73EFA" w:rsidP="009B3251">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F73EFA" w:rsidP="009B3251">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F73EFA" w:rsidP="009B3251">
            <w:pPr>
              <w:jc w:val="center"/>
              <w:rPr>
                <w:rFonts w:ascii="Arial Narrow" w:hAnsi="Arial Narrow" w:cs="Arial"/>
                <w:sz w:val="20"/>
                <w:szCs w:val="20"/>
              </w:rPr>
            </w:pPr>
            <w:r>
              <w:rPr>
                <w:rFonts w:ascii="Arial Narrow" w:hAnsi="Arial Narrow" w:cs="Arial"/>
                <w:sz w:val="20"/>
                <w:szCs w:val="20"/>
              </w:rPr>
              <w:t>NA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-17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-18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B</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r>
      <w:tr w:rsidR="009B3251" w:rsidRPr="00A17E25" w:rsidTr="009B3251">
        <w:tc>
          <w:tcPr>
            <w:tcW w:w="8820" w:type="dxa"/>
            <w:gridSpan w:val="6"/>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V. PREVISIBILITE ET CONTROLE DE L’EXECUTION DU BUDGET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-19 /M2</w:t>
            </w:r>
          </w:p>
        </w:tc>
        <w:tc>
          <w:tcPr>
            <w:tcW w:w="2889" w:type="dxa"/>
          </w:tcPr>
          <w:p w:rsidR="009B3251" w:rsidRPr="00A17E25" w:rsidRDefault="003262BE" w:rsidP="009B3251">
            <w:pPr>
              <w:jc w:val="center"/>
              <w:rPr>
                <w:rFonts w:ascii="Arial Narrow" w:hAnsi="Arial Narrow" w:cs="Arial"/>
                <w:b/>
                <w:sz w:val="20"/>
                <w:szCs w:val="20"/>
              </w:rPr>
            </w:pPr>
            <w:r>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C</w:t>
            </w:r>
          </w:p>
        </w:tc>
        <w:tc>
          <w:tcPr>
            <w:tcW w:w="1080" w:type="dxa"/>
            <w:vAlign w:val="center"/>
          </w:tcPr>
          <w:p w:rsidR="009B3251" w:rsidRPr="00A17E25" w:rsidRDefault="009B3251" w:rsidP="009B3251">
            <w:pPr>
              <w:jc w:val="center"/>
              <w:rPr>
                <w:rFonts w:ascii="Arial Narrow" w:hAnsi="Arial Narrow" w:cs="Arial"/>
                <w:sz w:val="20"/>
                <w:szCs w:val="20"/>
              </w:rPr>
            </w:pPr>
            <w:r>
              <w:rPr>
                <w:rFonts w:ascii="Arial Narrow" w:hAnsi="Arial Narrow" w:cs="Arial"/>
                <w:sz w:val="20"/>
                <w:szCs w:val="20"/>
              </w:rPr>
              <w:t>D</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-20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-21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-22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-23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B</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-24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B</w:t>
            </w:r>
            <w:r w:rsidR="003262BE">
              <w:rPr>
                <w:rFonts w:ascii="Arial Narrow" w:hAnsi="Arial Narrow" w:cs="Arial"/>
                <w:b/>
                <w:sz w:val="20"/>
                <w:szCs w:val="20"/>
              </w:rPr>
              <w:t>+</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C</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-25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r>
      <w:tr w:rsidR="009B3251" w:rsidRPr="00A17E25" w:rsidTr="009B3251">
        <w:tc>
          <w:tcPr>
            <w:tcW w:w="8820" w:type="dxa"/>
            <w:gridSpan w:val="6"/>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VI. COMPTABILITE, ENREGISTREMENT DES DONNEES ET ETABLISSEMENT DE RAPPORTS</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-26 /M2</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B</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B</w:t>
            </w:r>
          </w:p>
        </w:tc>
        <w:tc>
          <w:tcPr>
            <w:tcW w:w="1080" w:type="dxa"/>
            <w:vAlign w:val="center"/>
          </w:tcPr>
          <w:p w:rsidR="009B3251" w:rsidRPr="00A17E25" w:rsidRDefault="003262BE" w:rsidP="009B3251">
            <w:pPr>
              <w:jc w:val="center"/>
              <w:rPr>
                <w:rFonts w:ascii="Arial Narrow" w:hAnsi="Arial Narrow" w:cs="Arial"/>
                <w:sz w:val="20"/>
                <w:szCs w:val="20"/>
              </w:rPr>
            </w:pPr>
            <w:r>
              <w:rPr>
                <w:rFonts w:ascii="Arial Narrow" w:hAnsi="Arial Narrow" w:cs="Arial"/>
                <w:sz w:val="20"/>
                <w:szCs w:val="20"/>
              </w:rPr>
              <w:t>B</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-27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 -28 /M1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C</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w:t>
            </w:r>
          </w:p>
        </w:tc>
      </w:tr>
      <w:tr w:rsidR="009B3251" w:rsidRPr="00A17E25" w:rsidTr="009B3251">
        <w:tc>
          <w:tcPr>
            <w:tcW w:w="8820" w:type="dxa"/>
            <w:gridSpan w:val="6"/>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VII. SUPERVISION ET AUDITS EXTERNES</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PI-29/M1</w:t>
            </w:r>
          </w:p>
        </w:tc>
        <w:tc>
          <w:tcPr>
            <w:tcW w:w="2889" w:type="dxa"/>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1071"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26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D</w:t>
            </w:r>
          </w:p>
        </w:tc>
        <w:tc>
          <w:tcPr>
            <w:tcW w:w="1080" w:type="dxa"/>
            <w:vAlign w:val="center"/>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A</w:t>
            </w:r>
          </w:p>
        </w:tc>
      </w:tr>
      <w:tr w:rsidR="009B3251" w:rsidRPr="00A17E25" w:rsidTr="009B3251">
        <w:tc>
          <w:tcPr>
            <w:tcW w:w="1260" w:type="dxa"/>
          </w:tcPr>
          <w:p w:rsidR="009B3251" w:rsidRPr="00A17E25" w:rsidRDefault="009B3251" w:rsidP="009B3251">
            <w:pPr>
              <w:jc w:val="center"/>
              <w:rPr>
                <w:rFonts w:ascii="Arial Narrow" w:hAnsi="Arial Narrow" w:cs="Arial"/>
                <w:sz w:val="20"/>
                <w:szCs w:val="20"/>
              </w:rPr>
            </w:pPr>
            <w:r w:rsidRPr="00A17E25">
              <w:rPr>
                <w:rFonts w:ascii="Arial Narrow" w:hAnsi="Arial Narrow" w:cs="Arial"/>
                <w:sz w:val="20"/>
                <w:szCs w:val="20"/>
              </w:rPr>
              <w:t>PI-30/M1</w:t>
            </w:r>
          </w:p>
        </w:tc>
        <w:tc>
          <w:tcPr>
            <w:tcW w:w="2889" w:type="dxa"/>
          </w:tcPr>
          <w:p w:rsidR="009B3251" w:rsidRPr="00A17E25" w:rsidRDefault="0085360B" w:rsidP="009B3251">
            <w:pPr>
              <w:jc w:val="center"/>
              <w:rPr>
                <w:rFonts w:ascii="Arial Narrow" w:hAnsi="Arial Narrow" w:cs="Arial"/>
                <w:b/>
                <w:sz w:val="20"/>
                <w:szCs w:val="20"/>
              </w:rPr>
            </w:pPr>
            <w:r>
              <w:rPr>
                <w:rFonts w:ascii="Arial Narrow" w:hAnsi="Arial Narrow" w:cs="Arial"/>
                <w:b/>
                <w:sz w:val="20"/>
                <w:szCs w:val="20"/>
              </w:rPr>
              <w:t>NA</w:t>
            </w:r>
          </w:p>
        </w:tc>
        <w:tc>
          <w:tcPr>
            <w:tcW w:w="1071" w:type="dxa"/>
            <w:vAlign w:val="center"/>
          </w:tcPr>
          <w:p w:rsidR="009B3251" w:rsidRPr="00A17E25" w:rsidRDefault="0085360B" w:rsidP="0085360B">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85360B" w:rsidP="0085360B">
            <w:pPr>
              <w:jc w:val="center"/>
              <w:rPr>
                <w:rFonts w:ascii="Arial Narrow" w:hAnsi="Arial Narrow" w:cs="Arial"/>
                <w:sz w:val="20"/>
                <w:szCs w:val="20"/>
              </w:rPr>
            </w:pPr>
            <w:r>
              <w:rPr>
                <w:rFonts w:ascii="Arial Narrow" w:hAnsi="Arial Narrow" w:cs="Arial"/>
                <w:sz w:val="20"/>
                <w:szCs w:val="20"/>
              </w:rPr>
              <w:t>NA</w:t>
            </w:r>
          </w:p>
        </w:tc>
        <w:tc>
          <w:tcPr>
            <w:tcW w:w="1260" w:type="dxa"/>
            <w:vAlign w:val="center"/>
          </w:tcPr>
          <w:p w:rsidR="009B3251" w:rsidRPr="00A17E25" w:rsidRDefault="0085360B" w:rsidP="0085360B">
            <w:pPr>
              <w:jc w:val="center"/>
              <w:rPr>
                <w:rFonts w:ascii="Arial Narrow" w:hAnsi="Arial Narrow" w:cs="Arial"/>
                <w:sz w:val="20"/>
                <w:szCs w:val="20"/>
              </w:rPr>
            </w:pPr>
            <w:r>
              <w:rPr>
                <w:rFonts w:ascii="Arial Narrow" w:hAnsi="Arial Narrow" w:cs="Arial"/>
                <w:sz w:val="20"/>
                <w:szCs w:val="20"/>
              </w:rPr>
              <w:t>NA</w:t>
            </w:r>
          </w:p>
        </w:tc>
        <w:tc>
          <w:tcPr>
            <w:tcW w:w="1080" w:type="dxa"/>
            <w:vAlign w:val="center"/>
          </w:tcPr>
          <w:p w:rsidR="009B3251" w:rsidRPr="00A17E25" w:rsidRDefault="0085360B" w:rsidP="0085360B">
            <w:pPr>
              <w:jc w:val="center"/>
              <w:rPr>
                <w:rFonts w:ascii="Arial Narrow" w:hAnsi="Arial Narrow" w:cs="Arial"/>
                <w:sz w:val="20"/>
                <w:szCs w:val="20"/>
              </w:rPr>
            </w:pPr>
            <w:r>
              <w:rPr>
                <w:rFonts w:ascii="Arial Narrow" w:hAnsi="Arial Narrow" w:cs="Arial"/>
                <w:sz w:val="20"/>
                <w:szCs w:val="20"/>
              </w:rPr>
              <w:t>NA</w:t>
            </w:r>
          </w:p>
        </w:tc>
      </w:tr>
    </w:tbl>
    <w:p w:rsidR="009B3251" w:rsidRPr="00A17E25" w:rsidRDefault="009B3251" w:rsidP="009B3251"/>
    <w:p w:rsidR="009B3251" w:rsidRPr="00A17E25" w:rsidRDefault="009B3251" w:rsidP="009B3251">
      <w:pPr>
        <w:sectPr w:rsidR="009B3251" w:rsidRPr="00A17E25" w:rsidSect="00CA09F7">
          <w:headerReference w:type="default" r:id="rId24"/>
          <w:footerReference w:type="even" r:id="rId25"/>
          <w:footerReference w:type="default" r:id="rId26"/>
          <w:pgSz w:w="12240" w:h="15840" w:code="1"/>
          <w:pgMar w:top="1418" w:right="1418" w:bottom="1418" w:left="1701" w:header="709" w:footer="709" w:gutter="0"/>
          <w:cols w:space="708"/>
          <w:titlePg/>
          <w:docGrid w:linePitch="360"/>
        </w:sectPr>
      </w:pPr>
    </w:p>
    <w:p w:rsidR="009B3251" w:rsidRPr="00913D5F" w:rsidRDefault="009B3251" w:rsidP="00913D5F">
      <w:pPr>
        <w:pStyle w:val="Heading2"/>
        <w:jc w:val="both"/>
        <w:rPr>
          <w:i w:val="0"/>
          <w:sz w:val="24"/>
          <w:szCs w:val="24"/>
        </w:rPr>
      </w:pPr>
      <w:bookmarkStart w:id="388" w:name="_Toc260257325"/>
      <w:bookmarkStart w:id="389" w:name="_Toc412839452"/>
      <w:bookmarkStart w:id="390" w:name="_Toc434916195"/>
      <w:bookmarkStart w:id="391" w:name="_Toc434918410"/>
      <w:r w:rsidRPr="008970C1">
        <w:rPr>
          <w:i w:val="0"/>
          <w:sz w:val="24"/>
          <w:szCs w:val="24"/>
        </w:rPr>
        <w:t>Annexe 1B: Notes avec justifications</w:t>
      </w:r>
      <w:bookmarkEnd w:id="388"/>
      <w:bookmarkEnd w:id="389"/>
      <w:bookmarkEnd w:id="390"/>
      <w:bookmarkEnd w:id="391"/>
    </w:p>
    <w:p w:rsidR="009B3251" w:rsidRPr="00A17E25" w:rsidRDefault="009B3251" w:rsidP="009B3251">
      <w:pPr>
        <w:rPr>
          <w:rFonts w:ascii="Arial" w:hAnsi="Arial"/>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7"/>
        <w:gridCol w:w="2977"/>
        <w:gridCol w:w="851"/>
        <w:gridCol w:w="4965"/>
      </w:tblGrid>
      <w:tr w:rsidR="009B3251" w:rsidRPr="00A17E25" w:rsidTr="00F92FF8">
        <w:trPr>
          <w:cantSplit/>
        </w:trPr>
        <w:tc>
          <w:tcPr>
            <w:tcW w:w="747" w:type="dxa"/>
            <w:tcBorders>
              <w:top w:val="single" w:sz="12" w:space="0" w:color="auto"/>
              <w:left w:val="single" w:sz="12" w:space="0" w:color="auto"/>
              <w:bottom w:val="single" w:sz="6" w:space="0" w:color="auto"/>
              <w:right w:val="single" w:sz="6" w:space="0" w:color="auto"/>
            </w:tcBorders>
            <w:shd w:val="clear" w:color="auto" w:fill="0070C0"/>
          </w:tcPr>
          <w:p w:rsidR="009B3251" w:rsidRPr="00A17E25" w:rsidRDefault="009B3251" w:rsidP="009B3251">
            <w:pPr>
              <w:rPr>
                <w:rFonts w:ascii="Arial Narrow" w:hAnsi="Arial Narrow" w:cs="Arial"/>
                <w:b/>
                <w:color w:val="FFFFFF"/>
                <w:sz w:val="22"/>
                <w:szCs w:val="22"/>
              </w:rPr>
            </w:pPr>
            <w:bookmarkStart w:id="392" w:name="_Toc260257328"/>
          </w:p>
        </w:tc>
        <w:tc>
          <w:tcPr>
            <w:tcW w:w="2977" w:type="dxa"/>
            <w:tcBorders>
              <w:top w:val="single" w:sz="12" w:space="0" w:color="auto"/>
              <w:left w:val="single" w:sz="6" w:space="0" w:color="auto"/>
              <w:bottom w:val="single" w:sz="6" w:space="0" w:color="auto"/>
              <w:right w:val="single" w:sz="6" w:space="0" w:color="auto"/>
            </w:tcBorders>
            <w:shd w:val="clear" w:color="auto" w:fill="0070C0"/>
          </w:tcPr>
          <w:p w:rsidR="009B3251" w:rsidRPr="00A17E25" w:rsidRDefault="009B3251" w:rsidP="009B3251">
            <w:pPr>
              <w:ind w:left="34"/>
              <w:jc w:val="center"/>
              <w:rPr>
                <w:rFonts w:ascii="Arial Narrow" w:hAnsi="Arial Narrow" w:cs="Arial"/>
                <w:b/>
                <w:color w:val="FFFFFF"/>
                <w:sz w:val="18"/>
                <w:szCs w:val="18"/>
              </w:rPr>
            </w:pPr>
          </w:p>
          <w:p w:rsidR="009B3251" w:rsidRPr="00A17E25" w:rsidRDefault="009B3251" w:rsidP="009B3251">
            <w:pPr>
              <w:ind w:left="34"/>
              <w:jc w:val="center"/>
              <w:rPr>
                <w:rFonts w:ascii="Arial Narrow" w:hAnsi="Arial Narrow" w:cs="Arial"/>
                <w:b/>
                <w:color w:val="FFFFFF"/>
                <w:sz w:val="18"/>
                <w:szCs w:val="18"/>
              </w:rPr>
            </w:pPr>
            <w:r w:rsidRPr="00A17E25">
              <w:rPr>
                <w:rFonts w:ascii="Arial Narrow" w:hAnsi="Arial Narrow" w:cs="Arial"/>
                <w:b/>
                <w:color w:val="FFFFFF"/>
                <w:sz w:val="18"/>
                <w:szCs w:val="18"/>
              </w:rPr>
              <w:t>INDICATEURS</w:t>
            </w:r>
          </w:p>
        </w:tc>
        <w:tc>
          <w:tcPr>
            <w:tcW w:w="851" w:type="dxa"/>
            <w:tcBorders>
              <w:top w:val="single" w:sz="12" w:space="0" w:color="auto"/>
              <w:left w:val="single" w:sz="6" w:space="0" w:color="auto"/>
              <w:bottom w:val="single" w:sz="6" w:space="0" w:color="auto"/>
              <w:right w:val="single" w:sz="6" w:space="0" w:color="auto"/>
            </w:tcBorders>
            <w:shd w:val="clear" w:color="auto" w:fill="0070C0"/>
          </w:tcPr>
          <w:p w:rsidR="009B3251" w:rsidRPr="00A17E25" w:rsidRDefault="009B3251" w:rsidP="009B3251">
            <w:pPr>
              <w:rPr>
                <w:rFonts w:ascii="Arial Narrow" w:hAnsi="Arial Narrow" w:cs="Arial"/>
                <w:b/>
                <w:color w:val="FFFFFF"/>
                <w:sz w:val="22"/>
                <w:szCs w:val="22"/>
              </w:rPr>
            </w:pPr>
          </w:p>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color w:val="FFFFFF"/>
                <w:sz w:val="20"/>
                <w:szCs w:val="20"/>
              </w:rPr>
              <w:t>NOTES</w:t>
            </w:r>
          </w:p>
        </w:tc>
        <w:tc>
          <w:tcPr>
            <w:tcW w:w="4965" w:type="dxa"/>
            <w:tcBorders>
              <w:top w:val="single" w:sz="12" w:space="0" w:color="auto"/>
              <w:left w:val="single" w:sz="6" w:space="0" w:color="auto"/>
              <w:bottom w:val="single" w:sz="6" w:space="0" w:color="auto"/>
              <w:right w:val="single" w:sz="12" w:space="0" w:color="auto"/>
            </w:tcBorders>
            <w:shd w:val="clear" w:color="auto" w:fill="0070C0"/>
          </w:tcPr>
          <w:p w:rsidR="009B3251" w:rsidRPr="00A17E25" w:rsidRDefault="009B3251" w:rsidP="009B3251">
            <w:pPr>
              <w:jc w:val="center"/>
              <w:rPr>
                <w:rFonts w:ascii="Arial Narrow" w:hAnsi="Arial Narrow" w:cs="Arial"/>
                <w:b/>
                <w:color w:val="FFFFFF"/>
                <w:sz w:val="18"/>
                <w:szCs w:val="18"/>
              </w:rPr>
            </w:pPr>
          </w:p>
          <w:p w:rsidR="009B3251" w:rsidRPr="00A17E25" w:rsidRDefault="009B3251" w:rsidP="009B3251">
            <w:pPr>
              <w:jc w:val="center"/>
              <w:rPr>
                <w:rFonts w:ascii="Arial Narrow" w:hAnsi="Arial Narrow" w:cs="Arial"/>
                <w:b/>
                <w:color w:val="FFFFFF"/>
                <w:sz w:val="18"/>
                <w:szCs w:val="18"/>
              </w:rPr>
            </w:pPr>
            <w:r w:rsidRPr="00A17E25">
              <w:rPr>
                <w:rFonts w:ascii="Arial Narrow" w:hAnsi="Arial Narrow" w:cs="Arial"/>
                <w:b/>
                <w:color w:val="FFFFFF"/>
                <w:sz w:val="18"/>
                <w:szCs w:val="18"/>
              </w:rPr>
              <w:t>EXPLICATIONS SUCCINCTES ET DONNEES</w:t>
            </w:r>
          </w:p>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color w:val="FFFFFF"/>
                <w:sz w:val="18"/>
                <w:szCs w:val="18"/>
              </w:rPr>
              <w:t xml:space="preserve"> IMPORTANTES UTILISEES</w:t>
            </w:r>
          </w:p>
        </w:tc>
      </w:tr>
      <w:tr w:rsidR="009B3251" w:rsidRPr="00A17E25" w:rsidTr="00F92FF8">
        <w:trPr>
          <w:cantSplit/>
          <w:trHeight w:val="567"/>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HLG-1</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Prévisibilité des transferts du Gouvernement Central</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p>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5918C9">
            <w:pPr>
              <w:jc w:val="both"/>
              <w:rPr>
                <w:rFonts w:ascii="Arial Narrow" w:hAnsi="Arial Narrow" w:cs="Arial"/>
                <w:bCs/>
                <w:sz w:val="20"/>
                <w:szCs w:val="20"/>
              </w:rPr>
            </w:pPr>
            <w:r w:rsidRPr="00A17E25">
              <w:rPr>
                <w:rFonts w:ascii="Arial" w:hAnsi="Arial"/>
                <w:iCs/>
                <w:sz w:val="20"/>
                <w:szCs w:val="20"/>
              </w:rPr>
              <w:t xml:space="preserve">De 2012 à 2014, les transferts effectifs de l’Etat au profit de la Commune de Casablanca  ont été largement supérieurs aux prévisions initiales. </w:t>
            </w:r>
            <w:r w:rsidRPr="00A17E25">
              <w:rPr>
                <w:rFonts w:ascii="Arial" w:hAnsi="Arial"/>
                <w:sz w:val="20"/>
                <w:szCs w:val="20"/>
              </w:rPr>
              <w:t>La variation annuelle des estimations de transferts et les transferts effectifs a été supérieure à 10% au cours des exercices 2012 à 2014 : 132,3% en 2012, 91,4% en 2013 et 34% en 2014. Un calendrier des décaissements existe, mais les données disponibles sont insuffisantes pour calculer les retards accusés par les déblocages des transferts.</w:t>
            </w:r>
          </w:p>
        </w:tc>
      </w:tr>
      <w:tr w:rsidR="009B3251" w:rsidRPr="00A17E25" w:rsidTr="00F92FF8">
        <w:trPr>
          <w:cantSplit/>
        </w:trPr>
        <w:tc>
          <w:tcPr>
            <w:tcW w:w="747" w:type="dxa"/>
            <w:tcBorders>
              <w:top w:val="single" w:sz="6" w:space="0" w:color="auto"/>
              <w:left w:val="single" w:sz="12" w:space="0" w:color="auto"/>
              <w:bottom w:val="single" w:sz="6" w:space="0" w:color="auto"/>
              <w:right w:val="single" w:sz="6" w:space="0" w:color="auto"/>
            </w:tcBorders>
            <w:shd w:val="clear" w:color="auto" w:fill="0070C0"/>
          </w:tcPr>
          <w:p w:rsidR="009B3251" w:rsidRPr="00A17E25" w:rsidRDefault="009B3251" w:rsidP="009B3251">
            <w:pPr>
              <w:rPr>
                <w:rFonts w:ascii="Arial Narrow" w:hAnsi="Arial Narrow" w:cs="Arial"/>
                <w:b/>
                <w:color w:val="FFFFFF"/>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0070C0"/>
          </w:tcPr>
          <w:p w:rsidR="009B3251" w:rsidRPr="00A17E25" w:rsidRDefault="009B3251" w:rsidP="009B3251">
            <w:pPr>
              <w:jc w:val="center"/>
              <w:rPr>
                <w:rFonts w:ascii="Arial Narrow" w:hAnsi="Arial Narrow" w:cs="Arial"/>
                <w:b/>
                <w:color w:val="FFFFFF"/>
                <w:sz w:val="18"/>
                <w:szCs w:val="18"/>
              </w:rPr>
            </w:pPr>
            <w:r w:rsidRPr="00A17E25">
              <w:rPr>
                <w:rFonts w:ascii="Arial Narrow" w:hAnsi="Arial Narrow" w:cs="Arial"/>
                <w:b/>
                <w:bCs/>
                <w:color w:val="FFFFFF"/>
                <w:sz w:val="18"/>
                <w:szCs w:val="18"/>
              </w:rPr>
              <w:t>RESULTATS DE LA GESTION DES FINANCES PUBLIQUES</w:t>
            </w:r>
          </w:p>
        </w:tc>
        <w:tc>
          <w:tcPr>
            <w:tcW w:w="851" w:type="dxa"/>
            <w:tcBorders>
              <w:top w:val="single" w:sz="6" w:space="0" w:color="auto"/>
              <w:left w:val="single" w:sz="6" w:space="0" w:color="auto"/>
              <w:bottom w:val="single" w:sz="6" w:space="0" w:color="auto"/>
              <w:right w:val="single" w:sz="6" w:space="0" w:color="auto"/>
            </w:tcBorders>
            <w:shd w:val="clear" w:color="auto" w:fill="0070C0"/>
          </w:tcPr>
          <w:p w:rsidR="009B3251" w:rsidRPr="00A17E25" w:rsidRDefault="009B3251" w:rsidP="009B3251">
            <w:pPr>
              <w:jc w:val="center"/>
              <w:rPr>
                <w:rFonts w:ascii="Arial Narrow" w:hAnsi="Arial Narrow" w:cs="Arial"/>
                <w:b/>
                <w:color w:val="FFFFFF"/>
                <w:sz w:val="18"/>
                <w:szCs w:val="18"/>
              </w:rPr>
            </w:pPr>
          </w:p>
        </w:tc>
        <w:tc>
          <w:tcPr>
            <w:tcW w:w="4965" w:type="dxa"/>
            <w:tcBorders>
              <w:top w:val="single" w:sz="6" w:space="0" w:color="auto"/>
              <w:left w:val="single" w:sz="6" w:space="0" w:color="auto"/>
              <w:bottom w:val="single" w:sz="6" w:space="0" w:color="auto"/>
              <w:right w:val="single" w:sz="12" w:space="0" w:color="auto"/>
            </w:tcBorders>
            <w:shd w:val="clear" w:color="auto" w:fill="0070C0"/>
          </w:tcPr>
          <w:p w:rsidR="009B3251" w:rsidRPr="00A17E25" w:rsidRDefault="009B3251" w:rsidP="009B3251">
            <w:pPr>
              <w:rPr>
                <w:rFonts w:ascii="Arial Narrow" w:hAnsi="Arial Narrow" w:cs="Arial"/>
                <w:b/>
                <w:color w:val="FFFFFF"/>
                <w:sz w:val="18"/>
                <w:szCs w:val="18"/>
              </w:rPr>
            </w:pPr>
          </w:p>
        </w:tc>
      </w:tr>
      <w:tr w:rsidR="001B64B7" w:rsidRPr="00A17E25" w:rsidTr="007547D5">
        <w:trPr>
          <w:cantSplit/>
          <w:trHeight w:val="218"/>
        </w:trPr>
        <w:tc>
          <w:tcPr>
            <w:tcW w:w="9540" w:type="dxa"/>
            <w:gridSpan w:val="4"/>
            <w:tcBorders>
              <w:top w:val="single" w:sz="6" w:space="0" w:color="auto"/>
              <w:left w:val="single" w:sz="12" w:space="0" w:color="auto"/>
              <w:bottom w:val="single" w:sz="6" w:space="0" w:color="auto"/>
              <w:right w:val="single" w:sz="12" w:space="0" w:color="auto"/>
            </w:tcBorders>
          </w:tcPr>
          <w:p w:rsidR="001B64B7" w:rsidRPr="001B64B7" w:rsidRDefault="001B64B7" w:rsidP="001B64B7">
            <w:pPr>
              <w:spacing w:before="240" w:after="240"/>
              <w:jc w:val="both"/>
              <w:rPr>
                <w:rFonts w:ascii="Arial Narrow" w:hAnsi="Arial Narrow" w:cs="Arial"/>
                <w:b/>
                <w:sz w:val="20"/>
                <w:szCs w:val="20"/>
              </w:rPr>
            </w:pPr>
            <w:r w:rsidRPr="00A17E25">
              <w:rPr>
                <w:rFonts w:ascii="Arial Narrow" w:hAnsi="Arial Narrow" w:cs="Arial"/>
                <w:b/>
                <w:sz w:val="20"/>
                <w:szCs w:val="20"/>
              </w:rPr>
              <w:t>Crédibilité de la stratégie de finances publiques et du budget</w:t>
            </w:r>
          </w:p>
        </w:tc>
      </w:tr>
      <w:tr w:rsidR="009B3251" w:rsidRPr="00A17E25" w:rsidTr="009B3251">
        <w:trPr>
          <w:cantSplit/>
          <w:trHeight w:val="218"/>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PI-1</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Dépenses effectives totales par rapport au budget initialement approuvé</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3262BE" w:rsidP="009B3251">
            <w:pPr>
              <w:jc w:val="center"/>
              <w:rPr>
                <w:rFonts w:ascii="Arial Narrow" w:hAnsi="Arial Narrow" w:cs="Arial"/>
                <w:b/>
                <w:sz w:val="18"/>
                <w:szCs w:val="18"/>
              </w:rPr>
            </w:pPr>
            <w:r>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A8015C" w:rsidRPr="00A17E25" w:rsidRDefault="00A8015C" w:rsidP="00A8015C">
            <w:pPr>
              <w:jc w:val="both"/>
              <w:rPr>
                <w:rFonts w:ascii="Arial Narrow" w:hAnsi="Arial Narrow" w:cs="Arial"/>
                <w:bCs/>
                <w:sz w:val="20"/>
                <w:szCs w:val="20"/>
              </w:rPr>
            </w:pPr>
            <w:r w:rsidRPr="00A17E25">
              <w:rPr>
                <w:rFonts w:ascii="Arial" w:hAnsi="Arial"/>
                <w:sz w:val="20"/>
                <w:szCs w:val="20"/>
              </w:rPr>
              <w:t xml:space="preserve">Les dépenses effectives </w:t>
            </w:r>
            <w:r>
              <w:rPr>
                <w:rFonts w:ascii="Arial" w:hAnsi="Arial"/>
                <w:sz w:val="20"/>
                <w:szCs w:val="20"/>
              </w:rPr>
              <w:t>n’</w:t>
            </w:r>
            <w:r w:rsidRPr="00A17E25">
              <w:rPr>
                <w:rFonts w:ascii="Arial" w:hAnsi="Arial"/>
                <w:sz w:val="20"/>
                <w:szCs w:val="20"/>
              </w:rPr>
              <w:t xml:space="preserve">ont représenté entre 85% et 115% du montant total des dépenses approuvées inscrites initialement au budget </w:t>
            </w:r>
            <w:r>
              <w:rPr>
                <w:rFonts w:ascii="Arial" w:hAnsi="Arial"/>
                <w:sz w:val="20"/>
                <w:szCs w:val="20"/>
              </w:rPr>
              <w:t>qu’une</w:t>
            </w:r>
            <w:r w:rsidRPr="00A17E25">
              <w:rPr>
                <w:rFonts w:ascii="Arial" w:hAnsi="Arial"/>
                <w:sz w:val="20"/>
                <w:szCs w:val="20"/>
              </w:rPr>
              <w:t xml:space="preserve"> année sur les trois années couvertes par l’évaluation. Les taux d’exécution se sont établis à 96,6% en 2012</w:t>
            </w:r>
            <w:r>
              <w:rPr>
                <w:rFonts w:ascii="Arial" w:hAnsi="Arial"/>
                <w:sz w:val="20"/>
                <w:szCs w:val="20"/>
              </w:rPr>
              <w:t>,</w:t>
            </w:r>
            <w:r w:rsidRPr="00A17E25">
              <w:rPr>
                <w:rFonts w:ascii="Arial" w:hAnsi="Arial"/>
                <w:sz w:val="20"/>
                <w:szCs w:val="20"/>
              </w:rPr>
              <w:t xml:space="preserve"> à 84,4% en 2013</w:t>
            </w:r>
            <w:r>
              <w:rPr>
                <w:rFonts w:ascii="Arial" w:hAnsi="Arial"/>
                <w:sz w:val="20"/>
                <w:szCs w:val="20"/>
              </w:rPr>
              <w:t xml:space="preserve"> et 75,6% en 2014</w:t>
            </w:r>
            <w:r w:rsidRPr="00A17E25">
              <w:rPr>
                <w:rFonts w:ascii="Arial" w:hAnsi="Arial"/>
                <w:sz w:val="20"/>
                <w:szCs w:val="20"/>
              </w:rPr>
              <w:t>.</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Composition des dépenses effectives par rapport au budget initialement approuvé</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20"/>
              </w:rPr>
            </w:pPr>
            <w:r w:rsidRPr="00A17E25">
              <w:rPr>
                <w:rFonts w:ascii="Arial" w:hAnsi="Arial"/>
                <w:sz w:val="20"/>
                <w:szCs w:val="20"/>
              </w:rPr>
              <w:t xml:space="preserve">La variation de la composition des dépenses par domaine par rapport aux dépenses inscrites aux budgets initialement approuvés a été de plus de 15% au cours des trois exercices, de même que la variation suivant les grandes natures de dépenses. Les crédits ouverts au titre des dépenses imprévues n’ont pas été consommés au cours des exercices 2012 à 2013. </w:t>
            </w:r>
          </w:p>
        </w:tc>
      </w:tr>
      <w:tr w:rsidR="009B3251" w:rsidRPr="00A17E25" w:rsidTr="00F92FF8">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PI-3</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Recettes effectives totales par rapport au budget initialement approuvé</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20"/>
              </w:rPr>
            </w:pPr>
            <w:r w:rsidRPr="00A17E25">
              <w:rPr>
                <w:rFonts w:ascii="Arial" w:hAnsi="Arial"/>
                <w:sz w:val="20"/>
                <w:szCs w:val="20"/>
              </w:rPr>
              <w:t xml:space="preserve">Au cours des exercices 2012, 2013 et 2014, les recettes effectives totales ont été réalisées respectivement à 81,4%, 76,9% et 70,1%, soit à moins de 92% des prévisions budgétaires initiales. </w:t>
            </w:r>
          </w:p>
        </w:tc>
      </w:tr>
      <w:tr w:rsidR="009B3251" w:rsidRPr="00A17E25" w:rsidTr="00F92FF8">
        <w:trPr>
          <w:cantSplit/>
        </w:trPr>
        <w:tc>
          <w:tcPr>
            <w:tcW w:w="747" w:type="dxa"/>
            <w:tcBorders>
              <w:top w:val="single" w:sz="6" w:space="0" w:color="auto"/>
              <w:left w:val="single" w:sz="12" w:space="0" w:color="auto"/>
              <w:bottom w:val="single" w:sz="6" w:space="0" w:color="auto"/>
              <w:right w:val="single" w:sz="6" w:space="0" w:color="auto"/>
            </w:tcBorders>
            <w:shd w:val="clear" w:color="auto" w:fill="0070C0"/>
          </w:tcPr>
          <w:p w:rsidR="009B3251" w:rsidRPr="00A17E25" w:rsidRDefault="009B3251" w:rsidP="009B3251">
            <w:pPr>
              <w:rPr>
                <w:rFonts w:ascii="Arial Narrow" w:hAnsi="Arial Narrow" w:cs="Arial"/>
                <w:b/>
                <w:color w:val="FFFFFF"/>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0070C0"/>
          </w:tcPr>
          <w:p w:rsidR="009B3251" w:rsidRPr="00A17E25" w:rsidRDefault="009B3251" w:rsidP="009B3251">
            <w:pPr>
              <w:jc w:val="center"/>
              <w:rPr>
                <w:rFonts w:ascii="Arial Narrow" w:hAnsi="Arial Narrow" w:cs="Arial"/>
                <w:b/>
                <w:color w:val="FFFFFF"/>
                <w:sz w:val="20"/>
                <w:szCs w:val="20"/>
              </w:rPr>
            </w:pPr>
            <w:r w:rsidRPr="00A17E25">
              <w:rPr>
                <w:rFonts w:ascii="Arial Narrow" w:hAnsi="Arial Narrow" w:cs="Arial"/>
                <w:b/>
                <w:bCs/>
                <w:color w:val="FFFFFF"/>
                <w:sz w:val="18"/>
                <w:szCs w:val="18"/>
              </w:rPr>
              <w:t>PRINCIPAUX ASPECTS TRANSVERSAUX</w:t>
            </w:r>
          </w:p>
        </w:tc>
        <w:tc>
          <w:tcPr>
            <w:tcW w:w="851" w:type="dxa"/>
            <w:tcBorders>
              <w:top w:val="single" w:sz="6" w:space="0" w:color="auto"/>
              <w:left w:val="single" w:sz="6" w:space="0" w:color="auto"/>
              <w:bottom w:val="single" w:sz="6" w:space="0" w:color="auto"/>
              <w:right w:val="single" w:sz="6" w:space="0" w:color="auto"/>
            </w:tcBorders>
            <w:shd w:val="clear" w:color="auto" w:fill="0070C0"/>
          </w:tcPr>
          <w:p w:rsidR="009B3251" w:rsidRPr="00A17E25" w:rsidRDefault="009B3251" w:rsidP="009B3251">
            <w:pPr>
              <w:jc w:val="center"/>
              <w:rPr>
                <w:rFonts w:ascii="Arial Narrow" w:hAnsi="Arial Narrow" w:cs="Arial"/>
                <w:b/>
                <w:color w:val="FFFFFF"/>
                <w:sz w:val="20"/>
                <w:szCs w:val="20"/>
              </w:rPr>
            </w:pPr>
          </w:p>
        </w:tc>
        <w:tc>
          <w:tcPr>
            <w:tcW w:w="4965" w:type="dxa"/>
            <w:tcBorders>
              <w:top w:val="single" w:sz="6" w:space="0" w:color="auto"/>
              <w:left w:val="single" w:sz="6" w:space="0" w:color="auto"/>
              <w:bottom w:val="single" w:sz="6" w:space="0" w:color="auto"/>
              <w:right w:val="single" w:sz="12" w:space="0" w:color="auto"/>
            </w:tcBorders>
            <w:shd w:val="clear" w:color="auto" w:fill="0070C0"/>
          </w:tcPr>
          <w:p w:rsidR="009B3251" w:rsidRPr="00A17E25" w:rsidRDefault="009B3251" w:rsidP="009B3251">
            <w:pPr>
              <w:rPr>
                <w:rFonts w:ascii="Arial Narrow" w:hAnsi="Arial Narrow" w:cs="Arial"/>
                <w:b/>
                <w:color w:val="FFFFFF"/>
                <w:sz w:val="20"/>
                <w:szCs w:val="20"/>
              </w:rPr>
            </w:pPr>
          </w:p>
        </w:tc>
      </w:tr>
      <w:tr w:rsidR="001B64B7" w:rsidRPr="00A17E25" w:rsidTr="007547D5">
        <w:trPr>
          <w:cantSplit/>
        </w:trPr>
        <w:tc>
          <w:tcPr>
            <w:tcW w:w="9540" w:type="dxa"/>
            <w:gridSpan w:val="4"/>
            <w:tcBorders>
              <w:top w:val="single" w:sz="6" w:space="0" w:color="auto"/>
              <w:left w:val="single" w:sz="12" w:space="0" w:color="auto"/>
              <w:bottom w:val="single" w:sz="6" w:space="0" w:color="auto"/>
              <w:right w:val="single" w:sz="12" w:space="0" w:color="auto"/>
            </w:tcBorders>
          </w:tcPr>
          <w:p w:rsidR="001B64B7" w:rsidRPr="001B64B7" w:rsidRDefault="001B64B7" w:rsidP="001B64B7">
            <w:pPr>
              <w:spacing w:before="240" w:after="240"/>
              <w:jc w:val="both"/>
              <w:rPr>
                <w:rFonts w:ascii="Arial Narrow" w:hAnsi="Arial Narrow" w:cs="Arial"/>
                <w:b/>
                <w:sz w:val="20"/>
                <w:szCs w:val="20"/>
              </w:rPr>
            </w:pPr>
            <w:r w:rsidRPr="00A17E25">
              <w:rPr>
                <w:rFonts w:ascii="Arial Narrow" w:hAnsi="Arial Narrow" w:cs="Arial"/>
                <w:b/>
                <w:sz w:val="20"/>
                <w:szCs w:val="20"/>
              </w:rPr>
              <w:t>Exhaustivité et transparence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PI-4</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Classification du budget</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18"/>
              </w:rPr>
            </w:pPr>
            <w:r w:rsidRPr="00A17E25">
              <w:rPr>
                <w:rFonts w:ascii="Arial" w:hAnsi="Arial" w:cs="Arial"/>
                <w:sz w:val="20"/>
                <w:szCs w:val="20"/>
              </w:rPr>
              <w:t>La préparation et l’exécution du budget reposent sur une classification différente des normes SFP et COFOG</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PI-5</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Exhaustivité des informations contenues dans le document du budget</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18"/>
              </w:rPr>
            </w:pPr>
            <w:r w:rsidRPr="00A17E25">
              <w:rPr>
                <w:rFonts w:ascii="Arial" w:hAnsi="Arial" w:cs="Arial"/>
                <w:sz w:val="20"/>
                <w:szCs w:val="20"/>
              </w:rPr>
              <w:t>Les documents du budget comprennent tous les éléments de base (1à4) à l’exclusion du premier élément d’information relatif au déficit qui n’est pas applicable.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P-6</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 xml:space="preserve">Importance des opérations extrabudgétaires rapportées </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A8015C" w:rsidP="009B3251">
            <w:pPr>
              <w:jc w:val="center"/>
              <w:rPr>
                <w:rFonts w:ascii="Arial Narrow" w:hAnsi="Arial Narrow" w:cs="Arial"/>
                <w:b/>
                <w:sz w:val="18"/>
                <w:szCs w:val="18"/>
              </w:rPr>
            </w:pPr>
            <w:r>
              <w:rPr>
                <w:rFonts w:ascii="Arial Narrow" w:hAnsi="Arial Narrow" w:cs="Arial"/>
                <w:b/>
                <w:sz w:val="18"/>
                <w:szCs w:val="18"/>
              </w:rPr>
              <w:t>B</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A8015C" w:rsidP="002B14CF">
            <w:pPr>
              <w:jc w:val="both"/>
              <w:rPr>
                <w:rFonts w:ascii="Arial Narrow" w:hAnsi="Arial Narrow" w:cs="Arial"/>
                <w:bCs/>
                <w:sz w:val="20"/>
                <w:szCs w:val="18"/>
              </w:rPr>
            </w:pPr>
            <w:r w:rsidRPr="00A17E25">
              <w:rPr>
                <w:rFonts w:ascii="Arial" w:hAnsi="Arial" w:cs="Arial"/>
                <w:sz w:val="20"/>
                <w:szCs w:val="20"/>
              </w:rPr>
              <w:t xml:space="preserve">Le niveau des dépenses et des recettes extrabudgétaires non rapportées est </w:t>
            </w:r>
            <w:r>
              <w:rPr>
                <w:rFonts w:ascii="Arial" w:hAnsi="Arial" w:cs="Arial"/>
                <w:sz w:val="20"/>
                <w:szCs w:val="20"/>
              </w:rPr>
              <w:t>compris entre 5% et</w:t>
            </w:r>
            <w:r w:rsidRPr="00A17E25">
              <w:rPr>
                <w:rFonts w:ascii="Arial" w:hAnsi="Arial" w:cs="Arial"/>
                <w:sz w:val="20"/>
                <w:szCs w:val="20"/>
              </w:rPr>
              <w:t xml:space="preserve"> 10% des dépenses totales</w:t>
            </w:r>
            <w:r>
              <w:rPr>
                <w:rFonts w:ascii="Arial" w:hAnsi="Arial" w:cs="Arial"/>
                <w:sz w:val="20"/>
                <w:szCs w:val="20"/>
              </w:rPr>
              <w:t xml:space="preserve">. </w:t>
            </w:r>
            <w:r w:rsidRPr="00A17E25">
              <w:rPr>
                <w:rFonts w:ascii="Arial" w:hAnsi="Arial" w:cs="Arial"/>
                <w:sz w:val="20"/>
                <w:szCs w:val="20"/>
              </w:rPr>
              <w:t>Le Conseil communal dispose  d’informations financières détaillées sur la majorité des opérations</w:t>
            </w:r>
            <w:r>
              <w:rPr>
                <w:rFonts w:ascii="Arial" w:hAnsi="Arial" w:cs="Arial"/>
                <w:sz w:val="20"/>
                <w:szCs w:val="20"/>
              </w:rPr>
              <w:t>.</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PI-7</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Transparence des relations budgétaires entre différents niveaux d’administration</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A8015C" w:rsidP="009B3251">
            <w:pPr>
              <w:jc w:val="center"/>
              <w:rPr>
                <w:rFonts w:ascii="Arial Narrow" w:hAnsi="Arial Narrow" w:cs="Arial"/>
                <w:b/>
                <w:sz w:val="18"/>
                <w:szCs w:val="18"/>
              </w:rPr>
            </w:pPr>
            <w:r>
              <w:rPr>
                <w:rFonts w:ascii="Arial Narrow" w:hAnsi="Arial Narrow" w:cs="Arial"/>
                <w:b/>
                <w:sz w:val="18"/>
                <w:szCs w:val="18"/>
              </w:rPr>
              <w:t>N/A</w:t>
            </w:r>
          </w:p>
        </w:tc>
        <w:tc>
          <w:tcPr>
            <w:tcW w:w="4965" w:type="dxa"/>
            <w:tcBorders>
              <w:top w:val="single" w:sz="6" w:space="0" w:color="auto"/>
              <w:left w:val="single" w:sz="6" w:space="0" w:color="auto"/>
              <w:bottom w:val="single" w:sz="6" w:space="0" w:color="auto"/>
              <w:right w:val="single" w:sz="12" w:space="0" w:color="auto"/>
            </w:tcBorders>
          </w:tcPr>
          <w:p w:rsidR="00A8015C" w:rsidRPr="00A17E25" w:rsidRDefault="00A8015C" w:rsidP="00783E97">
            <w:pPr>
              <w:jc w:val="both"/>
              <w:rPr>
                <w:rFonts w:ascii="Arial Narrow" w:hAnsi="Arial Narrow" w:cs="Arial"/>
                <w:bCs/>
                <w:sz w:val="20"/>
                <w:szCs w:val="18"/>
              </w:rPr>
            </w:pPr>
            <w:r>
              <w:rPr>
                <w:rFonts w:ascii="Arial" w:hAnsi="Arial" w:cs="Arial"/>
                <w:sz w:val="20"/>
                <w:szCs w:val="20"/>
              </w:rPr>
              <w:t>L</w:t>
            </w:r>
            <w:r w:rsidRPr="00C86231">
              <w:rPr>
                <w:rFonts w:ascii="Arial" w:hAnsi="Arial" w:cs="Arial"/>
                <w:sz w:val="20"/>
                <w:szCs w:val="20"/>
              </w:rPr>
              <w:t>es arrondissements ne répondent pas  aux critères qui définissent une entité locale au sens de PEFA</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954D51" w:rsidRDefault="009B3251" w:rsidP="009B3251">
            <w:pPr>
              <w:rPr>
                <w:rFonts w:ascii="Arial Narrow" w:hAnsi="Arial Narrow" w:cs="Arial"/>
                <w:sz w:val="20"/>
                <w:szCs w:val="20"/>
              </w:rPr>
            </w:pPr>
            <w:r w:rsidRPr="00954D51">
              <w:rPr>
                <w:rFonts w:ascii="Arial Narrow" w:hAnsi="Arial Narrow" w:cs="Arial"/>
                <w:sz w:val="20"/>
                <w:szCs w:val="20"/>
              </w:rPr>
              <w:t>PI-8</w:t>
            </w:r>
          </w:p>
        </w:tc>
        <w:tc>
          <w:tcPr>
            <w:tcW w:w="2977" w:type="dxa"/>
            <w:tcBorders>
              <w:top w:val="single" w:sz="6" w:space="0" w:color="auto"/>
              <w:left w:val="single" w:sz="6" w:space="0" w:color="auto"/>
              <w:bottom w:val="single" w:sz="6" w:space="0" w:color="auto"/>
              <w:right w:val="single" w:sz="6" w:space="0" w:color="auto"/>
            </w:tcBorders>
          </w:tcPr>
          <w:p w:rsidR="009B3251" w:rsidRPr="00954D51" w:rsidRDefault="009B3251" w:rsidP="009B3251">
            <w:pPr>
              <w:rPr>
                <w:rFonts w:ascii="Arial Narrow" w:hAnsi="Arial Narrow" w:cs="Arial"/>
                <w:sz w:val="20"/>
                <w:szCs w:val="20"/>
              </w:rPr>
            </w:pPr>
            <w:r w:rsidRPr="00954D51">
              <w:rPr>
                <w:rFonts w:ascii="Arial Narrow" w:hAnsi="Arial Narrow"/>
                <w:color w:val="000000"/>
                <w:sz w:val="20"/>
                <w:szCs w:val="20"/>
              </w:rPr>
              <w:t>Utilisation des informations sur la performance pour assurer une prestation de service efficace</w:t>
            </w:r>
          </w:p>
        </w:tc>
        <w:tc>
          <w:tcPr>
            <w:tcW w:w="851" w:type="dxa"/>
            <w:tcBorders>
              <w:top w:val="single" w:sz="6" w:space="0" w:color="auto"/>
              <w:left w:val="single" w:sz="6" w:space="0" w:color="auto"/>
              <w:bottom w:val="single" w:sz="6" w:space="0" w:color="auto"/>
              <w:right w:val="single" w:sz="6" w:space="0" w:color="auto"/>
            </w:tcBorders>
          </w:tcPr>
          <w:p w:rsidR="009B3251" w:rsidRPr="00954D51" w:rsidRDefault="00A8015C" w:rsidP="009B3251">
            <w:pPr>
              <w:jc w:val="center"/>
              <w:rPr>
                <w:rFonts w:ascii="Arial Narrow" w:hAnsi="Arial Narrow" w:cs="Arial"/>
                <w:b/>
                <w:sz w:val="18"/>
                <w:szCs w:val="18"/>
              </w:rPr>
            </w:pPr>
            <w:r>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A8015C" w:rsidRPr="00A17E25" w:rsidRDefault="00A8015C" w:rsidP="00954D51">
            <w:pPr>
              <w:jc w:val="both"/>
              <w:rPr>
                <w:rFonts w:ascii="Arial Narrow" w:hAnsi="Arial Narrow" w:cs="Arial"/>
                <w:bCs/>
                <w:sz w:val="20"/>
                <w:szCs w:val="18"/>
              </w:rPr>
            </w:pPr>
            <w:r w:rsidRPr="00A17E25">
              <w:rPr>
                <w:rFonts w:ascii="Arial" w:hAnsi="Arial" w:cs="Arial"/>
                <w:sz w:val="20"/>
                <w:szCs w:val="20"/>
              </w:rPr>
              <w:t>Des cibles de performance annuelles ne sont pas fixées pour les fonctions de prestation de service assurées par la CUC, et de ce fait des rapports de performance ne sont pas établis et publiés. Un système de suivi des ressources mises à la disposition des centres de prestation de service n’est pas mis en place.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PI-9</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Accès du public aux principales informations budgétaires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866BD2">
            <w:pPr>
              <w:jc w:val="both"/>
              <w:rPr>
                <w:rFonts w:ascii="Arial Narrow" w:hAnsi="Arial Narrow" w:cs="Arial"/>
                <w:bCs/>
                <w:sz w:val="20"/>
                <w:szCs w:val="18"/>
              </w:rPr>
            </w:pPr>
            <w:r w:rsidRPr="00A17E25">
              <w:rPr>
                <w:rFonts w:ascii="Arial" w:hAnsi="Arial" w:cs="Arial"/>
                <w:sz w:val="20"/>
                <w:szCs w:val="20"/>
              </w:rPr>
              <w:t>La CC ne communique pas au public dans les délais prescrits tous les éléments fondamentaux (1-4).</w:t>
            </w:r>
          </w:p>
        </w:tc>
      </w:tr>
      <w:tr w:rsidR="001B64B7" w:rsidRPr="00A17E25" w:rsidTr="007547D5">
        <w:trPr>
          <w:cantSplit/>
        </w:trPr>
        <w:tc>
          <w:tcPr>
            <w:tcW w:w="9540" w:type="dxa"/>
            <w:gridSpan w:val="4"/>
            <w:tcBorders>
              <w:top w:val="single" w:sz="6" w:space="0" w:color="auto"/>
              <w:left w:val="single" w:sz="12" w:space="0" w:color="auto"/>
              <w:bottom w:val="single" w:sz="6" w:space="0" w:color="auto"/>
              <w:right w:val="single" w:sz="12" w:space="0" w:color="auto"/>
            </w:tcBorders>
          </w:tcPr>
          <w:p w:rsidR="001B64B7" w:rsidRPr="001B64B7" w:rsidRDefault="001B64B7" w:rsidP="001B64B7">
            <w:pPr>
              <w:spacing w:before="240" w:after="240"/>
              <w:jc w:val="both"/>
              <w:rPr>
                <w:rFonts w:ascii="Arial Narrow" w:hAnsi="Arial Narrow" w:cs="Arial"/>
                <w:b/>
                <w:sz w:val="20"/>
                <w:szCs w:val="20"/>
              </w:rPr>
            </w:pPr>
            <w:r w:rsidRPr="00A17E25">
              <w:rPr>
                <w:rFonts w:ascii="Arial Narrow" w:hAnsi="Arial Narrow" w:cs="Arial"/>
                <w:b/>
                <w:sz w:val="20"/>
                <w:szCs w:val="20"/>
              </w:rPr>
              <w:t>Gestion des actifs et des passifs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PI-10</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bCs/>
                <w:color w:val="000000"/>
                <w:sz w:val="20"/>
                <w:szCs w:val="20"/>
              </w:rPr>
              <w:t>Gestion du risque budgétaire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A8015C" w:rsidP="009B3251">
            <w:pPr>
              <w:jc w:val="center"/>
              <w:rPr>
                <w:rFonts w:ascii="Arial Narrow" w:hAnsi="Arial Narrow" w:cs="Arial"/>
                <w:b/>
                <w:sz w:val="18"/>
                <w:szCs w:val="18"/>
              </w:rPr>
            </w:pPr>
            <w:r>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866BD2">
            <w:pPr>
              <w:jc w:val="both"/>
              <w:rPr>
                <w:rFonts w:ascii="Arial Narrow" w:hAnsi="Arial Narrow" w:cs="Arial"/>
                <w:bCs/>
                <w:sz w:val="20"/>
                <w:szCs w:val="18"/>
              </w:rPr>
            </w:pPr>
            <w:r w:rsidRPr="00A17E25">
              <w:rPr>
                <w:rFonts w:ascii="Arial" w:hAnsi="Arial" w:cs="Arial"/>
                <w:sz w:val="20"/>
                <w:szCs w:val="20"/>
              </w:rPr>
              <w:t>La CC n’établit pas de rapport sur les questions liées aux risques budgétaires de la gestion des SDL pour la Commune. Les passifs conditionnels liés aux activités de la CC ne sont pas tous quantifiés et consolidés.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b/>
                <w:sz w:val="18"/>
                <w:szCs w:val="18"/>
              </w:rPr>
            </w:pPr>
            <w:r w:rsidRPr="00A17E25">
              <w:rPr>
                <w:rFonts w:ascii="Arial Narrow" w:hAnsi="Arial Narrow" w:cs="Arial"/>
                <w:b/>
                <w:sz w:val="18"/>
                <w:szCs w:val="18"/>
              </w:rPr>
              <w:t>PI-11</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b/>
                <w:sz w:val="18"/>
                <w:szCs w:val="18"/>
              </w:rPr>
            </w:pPr>
            <w:r w:rsidRPr="00A17E25">
              <w:rPr>
                <w:rFonts w:ascii="Arial Narrow" w:hAnsi="Arial Narrow"/>
                <w:bCs/>
                <w:color w:val="000000"/>
                <w:sz w:val="20"/>
                <w:szCs w:val="20"/>
              </w:rPr>
              <w:t>Gestion des investissements publics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18"/>
                <w:szCs w:val="18"/>
              </w:rPr>
            </w:pPr>
            <w:r w:rsidRPr="00A17E25">
              <w:rPr>
                <w:rFonts w:ascii="Arial Narrow" w:hAnsi="Arial Narrow" w:cs="Arial"/>
                <w:b/>
                <w:sz w:val="18"/>
                <w:szCs w:val="18"/>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
                <w:sz w:val="20"/>
                <w:szCs w:val="18"/>
              </w:rPr>
            </w:pPr>
            <w:r w:rsidRPr="00A17E25">
              <w:rPr>
                <w:rFonts w:ascii="Arial" w:hAnsi="Arial" w:cs="Arial"/>
                <w:sz w:val="20"/>
                <w:szCs w:val="20"/>
              </w:rPr>
              <w:t>Il n’existe pas de directives pour la réalisation des études de faisabilité des projets à programmer. Les coûts des investissements ne sont pas estimés sur toute la période prévue pour leur réalisation. Les états de suivi des projets établis sont partiels </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-12</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bCs/>
                <w:color w:val="000000"/>
                <w:sz w:val="20"/>
                <w:szCs w:val="20"/>
              </w:rPr>
              <w:t>Gestion des actifs publics</w:t>
            </w:r>
          </w:p>
        </w:tc>
        <w:tc>
          <w:tcPr>
            <w:tcW w:w="851" w:type="dxa"/>
            <w:tcBorders>
              <w:top w:val="single" w:sz="6" w:space="0" w:color="auto"/>
              <w:left w:val="single" w:sz="6" w:space="0" w:color="auto"/>
              <w:bottom w:val="single" w:sz="6" w:space="0" w:color="auto"/>
              <w:right w:val="single" w:sz="6" w:space="0" w:color="auto"/>
            </w:tcBorders>
          </w:tcPr>
          <w:p w:rsidR="00441428" w:rsidRDefault="00A8015C" w:rsidP="009B3251">
            <w:pPr>
              <w:jc w:val="center"/>
              <w:rPr>
                <w:rFonts w:ascii="Arial Narrow" w:hAnsi="Arial Narrow" w:cs="Arial"/>
                <w:b/>
                <w:sz w:val="18"/>
                <w:szCs w:val="18"/>
              </w:rPr>
            </w:pPr>
            <w:r>
              <w:rPr>
                <w:rFonts w:ascii="Arial Narrow" w:hAnsi="Arial Narrow" w:cs="Arial"/>
                <w:b/>
                <w:sz w:val="18"/>
                <w:szCs w:val="18"/>
              </w:rPr>
              <w:t>D+</w:t>
            </w: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441428" w:rsidRPr="00441428" w:rsidRDefault="00441428" w:rsidP="00441428">
            <w:pPr>
              <w:rPr>
                <w:rFonts w:ascii="Arial Narrow" w:hAnsi="Arial Narrow" w:cs="Arial"/>
                <w:sz w:val="18"/>
                <w:szCs w:val="18"/>
              </w:rPr>
            </w:pPr>
          </w:p>
          <w:p w:rsidR="009B3251" w:rsidRPr="00441428" w:rsidRDefault="009B3251" w:rsidP="00783E97">
            <w:pPr>
              <w:rPr>
                <w:rFonts w:ascii="Arial Narrow" w:hAnsi="Arial Narrow" w:cs="Arial"/>
                <w:sz w:val="18"/>
                <w:szCs w:val="18"/>
              </w:rPr>
            </w:pP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18"/>
              </w:rPr>
            </w:pPr>
            <w:r w:rsidRPr="00A17E25">
              <w:rPr>
                <w:rFonts w:ascii="Arial" w:hAnsi="Arial" w:cs="Arial"/>
                <w:sz w:val="20"/>
                <w:szCs w:val="20"/>
              </w:rPr>
              <w:t>La performance des actifs financiers ne fait pas l’objet d’un suivi et de rapports annuels. Les registres d’actifs non financiers   ne font pas l’objet de rapport couvrant les actifs et les opérations connexes qui ont pour objet d’accroitre leur valeur, de prolonger sa durée de vie utile, ou d’entraîner une modification de leur utilisation. Les procédures de cession, de transfert ou de retrait d’actifs non financiers et des droits d’utilisation des actifs sur une base de libre de concurrence et de manière transparente sont établies dans les textes législatifs et respectées</w:t>
            </w:r>
            <w:r w:rsidR="008970C1">
              <w:rPr>
                <w:rFonts w:ascii="Arial" w:hAnsi="Arial" w:cs="Arial"/>
                <w:sz w:val="20"/>
                <w:szCs w:val="20"/>
              </w:rPr>
              <w:t xml:space="preserve"> dans la majorité des cas</w:t>
            </w:r>
            <w:r w:rsidRPr="00A17E25">
              <w:rPr>
                <w:rFonts w:ascii="Arial" w:hAnsi="Arial" w:cs="Arial"/>
                <w:sz w:val="20"/>
                <w:szCs w:val="20"/>
              </w:rPr>
              <w:t>.</w:t>
            </w:r>
          </w:p>
        </w:tc>
      </w:tr>
      <w:tr w:rsidR="009B3251" w:rsidRPr="00A17E25" w:rsidTr="00F92FF8">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PI-13</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bCs/>
                <w:color w:val="000000"/>
                <w:sz w:val="20"/>
                <w:szCs w:val="20"/>
              </w:rPr>
              <w:t>Gestion des arriérés au titre de la dette et des dépenses et présentation de rapport sur les arriérés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EC3826" w:rsidP="00EC3826">
            <w:pPr>
              <w:jc w:val="center"/>
              <w:rPr>
                <w:rFonts w:ascii="Arial Narrow" w:hAnsi="Arial Narrow" w:cs="Arial"/>
                <w:b/>
                <w:sz w:val="18"/>
                <w:szCs w:val="18"/>
              </w:rPr>
            </w:pPr>
            <w:r>
              <w:rPr>
                <w:rFonts w:ascii="Arial Narrow" w:hAnsi="Arial Narrow" w:cs="Arial"/>
                <w:b/>
                <w:sz w:val="18"/>
                <w:szCs w:val="18"/>
              </w:rPr>
              <w:t>D</w:t>
            </w:r>
            <w:r w:rsidR="009B3251" w:rsidRPr="00A17E25">
              <w:rPr>
                <w:rFonts w:ascii="Arial Narrow" w:hAnsi="Arial Narrow" w:cs="Arial"/>
                <w:b/>
                <w:sz w:val="18"/>
                <w:szCs w:val="18"/>
              </w:rPr>
              <w:t>+</w:t>
            </w:r>
          </w:p>
        </w:tc>
        <w:tc>
          <w:tcPr>
            <w:tcW w:w="4965" w:type="dxa"/>
            <w:tcBorders>
              <w:top w:val="single" w:sz="6" w:space="0" w:color="auto"/>
              <w:left w:val="single" w:sz="6" w:space="0" w:color="auto"/>
              <w:bottom w:val="single" w:sz="6" w:space="0" w:color="auto"/>
              <w:right w:val="single" w:sz="12" w:space="0" w:color="auto"/>
            </w:tcBorders>
          </w:tcPr>
          <w:p w:rsidR="009B3251" w:rsidRDefault="009B3251" w:rsidP="009B3251">
            <w:pPr>
              <w:jc w:val="both"/>
              <w:rPr>
                <w:rFonts w:ascii="Arial" w:hAnsi="Arial" w:cs="Arial"/>
                <w:sz w:val="20"/>
                <w:szCs w:val="20"/>
              </w:rPr>
            </w:pPr>
            <w:r w:rsidRPr="00A17E25">
              <w:rPr>
                <w:rFonts w:ascii="Arial" w:hAnsi="Arial" w:cs="Arial"/>
                <w:sz w:val="20"/>
                <w:szCs w:val="20"/>
              </w:rPr>
              <w:t xml:space="preserve">Les données sur la dette intérieure et extérieure de la CC sont de qualité relativement satisfaisante, mais des insuffisances sont relevées en matière de rapprochement de ces données et des rapports périodiques sur la dette ne sont pas produits. </w:t>
            </w:r>
          </w:p>
          <w:p w:rsidR="00783E97" w:rsidRPr="00A17E25" w:rsidRDefault="00783E97" w:rsidP="009B3251">
            <w:pPr>
              <w:jc w:val="both"/>
              <w:rPr>
                <w:rFonts w:ascii="Arial" w:hAnsi="Arial" w:cs="Arial"/>
                <w:sz w:val="20"/>
                <w:szCs w:val="20"/>
              </w:rPr>
            </w:pPr>
          </w:p>
          <w:p w:rsidR="009B3251" w:rsidRDefault="009B3251" w:rsidP="009B3251">
            <w:pPr>
              <w:jc w:val="both"/>
              <w:rPr>
                <w:rFonts w:ascii="Arial" w:hAnsi="Arial" w:cs="Arial"/>
                <w:sz w:val="20"/>
                <w:szCs w:val="20"/>
              </w:rPr>
            </w:pPr>
            <w:r w:rsidRPr="00A17E25">
              <w:rPr>
                <w:rFonts w:ascii="Arial" w:hAnsi="Arial" w:cs="Arial"/>
                <w:sz w:val="20"/>
                <w:szCs w:val="20"/>
              </w:rPr>
              <w:t xml:space="preserve">La contraction des emprunts et l’émission des garanties sont toujours approuvées par le ministre de l’intérieur et le ministre chargé des finances. Mais la décision n’est pas prise sur la base de critères précis et de plafonds préalablement fixés. La CC ne dispose pas d’une stratégie de gestion de la dette à moyen terme. </w:t>
            </w:r>
          </w:p>
          <w:p w:rsidR="00783E97" w:rsidRPr="00A17E25" w:rsidRDefault="00783E97" w:rsidP="009B3251">
            <w:pPr>
              <w:jc w:val="both"/>
              <w:rPr>
                <w:rFonts w:ascii="Arial" w:hAnsi="Arial" w:cs="Arial"/>
                <w:sz w:val="20"/>
                <w:szCs w:val="20"/>
              </w:rPr>
            </w:pPr>
          </w:p>
          <w:p w:rsidR="009B3251" w:rsidRPr="00A17E25" w:rsidRDefault="009B3251" w:rsidP="009625DB">
            <w:pPr>
              <w:jc w:val="both"/>
              <w:rPr>
                <w:rFonts w:ascii="Arial Narrow" w:hAnsi="Arial Narrow" w:cs="Arial"/>
                <w:bCs/>
                <w:sz w:val="20"/>
                <w:szCs w:val="18"/>
              </w:rPr>
            </w:pPr>
            <w:r w:rsidRPr="00A17E25">
              <w:rPr>
                <w:rFonts w:ascii="Arial" w:hAnsi="Arial" w:cs="Arial"/>
                <w:sz w:val="20"/>
                <w:szCs w:val="20"/>
              </w:rPr>
              <w:t>Les procédures en place ne permettent pas de générer les données sur les arriérés de paiement de dépenses. Le stock des arriérés connus à fin décembre 2014 est supérieur à 10% des dépenses totales hors dépenses des CAS. Le seul inventaire ponctuel organisé au cours des trois exercices couverts par l’évaluation n’a porté que sur les arriérés vis-à-vis de la LYDEC.</w:t>
            </w:r>
          </w:p>
        </w:tc>
      </w:tr>
    </w:tbl>
    <w:p w:rsidR="002B14CF" w:rsidRDefault="002B14CF">
      <w:r>
        <w:br w:type="page"/>
      </w: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7"/>
        <w:gridCol w:w="2977"/>
        <w:gridCol w:w="851"/>
        <w:gridCol w:w="4965"/>
      </w:tblGrid>
      <w:tr w:rsidR="00F92FF8" w:rsidRPr="00F92FF8" w:rsidTr="00F92FF8">
        <w:trPr>
          <w:cantSplit/>
        </w:trPr>
        <w:tc>
          <w:tcPr>
            <w:tcW w:w="747" w:type="dxa"/>
            <w:tcBorders>
              <w:top w:val="single" w:sz="6" w:space="0" w:color="auto"/>
              <w:left w:val="single" w:sz="12" w:space="0" w:color="auto"/>
              <w:bottom w:val="single" w:sz="6" w:space="0" w:color="auto"/>
              <w:right w:val="single" w:sz="6" w:space="0" w:color="auto"/>
            </w:tcBorders>
            <w:shd w:val="clear" w:color="auto" w:fill="0070C0"/>
          </w:tcPr>
          <w:p w:rsidR="009B3251" w:rsidRPr="00F92FF8" w:rsidRDefault="009B3251" w:rsidP="009B3251">
            <w:pPr>
              <w:rPr>
                <w:rFonts w:ascii="Arial Narrow" w:hAnsi="Arial Narrow" w:cs="Arial"/>
                <w:b/>
                <w:color w:val="FFFFFF" w:themeColor="background1"/>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0070C0"/>
          </w:tcPr>
          <w:p w:rsidR="009B3251" w:rsidRPr="00F92FF8" w:rsidRDefault="009B3251" w:rsidP="009B3251">
            <w:pPr>
              <w:jc w:val="center"/>
              <w:rPr>
                <w:rFonts w:ascii="Arial Narrow" w:hAnsi="Arial Narrow" w:cs="Arial"/>
                <w:b/>
                <w:color w:val="FFFFFF" w:themeColor="background1"/>
                <w:sz w:val="18"/>
                <w:szCs w:val="18"/>
              </w:rPr>
            </w:pPr>
            <w:r w:rsidRPr="00F92FF8">
              <w:rPr>
                <w:rFonts w:ascii="Arial Narrow" w:hAnsi="Arial Narrow" w:cs="Arial"/>
                <w:b/>
                <w:bCs/>
                <w:color w:val="FFFFFF" w:themeColor="background1"/>
                <w:sz w:val="18"/>
                <w:szCs w:val="18"/>
              </w:rPr>
              <w:t xml:space="preserve"> CYCLE BUDGÉTAIRE</w:t>
            </w:r>
          </w:p>
        </w:tc>
        <w:tc>
          <w:tcPr>
            <w:tcW w:w="851" w:type="dxa"/>
            <w:tcBorders>
              <w:top w:val="single" w:sz="6" w:space="0" w:color="auto"/>
              <w:left w:val="single" w:sz="6" w:space="0" w:color="auto"/>
              <w:bottom w:val="single" w:sz="6" w:space="0" w:color="auto"/>
              <w:right w:val="single" w:sz="6" w:space="0" w:color="auto"/>
            </w:tcBorders>
            <w:shd w:val="clear" w:color="auto" w:fill="0070C0"/>
          </w:tcPr>
          <w:p w:rsidR="009B3251" w:rsidRPr="00F92FF8" w:rsidRDefault="009B3251" w:rsidP="009B3251">
            <w:pPr>
              <w:jc w:val="center"/>
              <w:rPr>
                <w:rFonts w:ascii="Arial Narrow" w:hAnsi="Arial Narrow" w:cs="Arial"/>
                <w:b/>
                <w:color w:val="FFFFFF" w:themeColor="background1"/>
                <w:sz w:val="18"/>
                <w:szCs w:val="18"/>
              </w:rPr>
            </w:pPr>
          </w:p>
        </w:tc>
        <w:tc>
          <w:tcPr>
            <w:tcW w:w="4965" w:type="dxa"/>
            <w:tcBorders>
              <w:top w:val="single" w:sz="6" w:space="0" w:color="auto"/>
              <w:left w:val="single" w:sz="6" w:space="0" w:color="auto"/>
              <w:bottom w:val="single" w:sz="6" w:space="0" w:color="auto"/>
              <w:right w:val="single" w:sz="12" w:space="0" w:color="auto"/>
            </w:tcBorders>
            <w:shd w:val="clear" w:color="auto" w:fill="0070C0"/>
          </w:tcPr>
          <w:p w:rsidR="009B3251" w:rsidRPr="00F92FF8" w:rsidRDefault="009B3251" w:rsidP="009B3251">
            <w:pPr>
              <w:rPr>
                <w:rFonts w:ascii="Arial Narrow" w:hAnsi="Arial Narrow" w:cs="Arial"/>
                <w:b/>
                <w:color w:val="FFFFFF" w:themeColor="background1"/>
                <w:sz w:val="18"/>
                <w:szCs w:val="18"/>
              </w:rPr>
            </w:pPr>
          </w:p>
        </w:tc>
      </w:tr>
      <w:tr w:rsidR="001B64B7" w:rsidRPr="00A17E25" w:rsidTr="007547D5">
        <w:trPr>
          <w:cantSplit/>
        </w:trPr>
        <w:tc>
          <w:tcPr>
            <w:tcW w:w="9540" w:type="dxa"/>
            <w:gridSpan w:val="4"/>
            <w:tcBorders>
              <w:top w:val="single" w:sz="6" w:space="0" w:color="auto"/>
              <w:left w:val="single" w:sz="12" w:space="0" w:color="auto"/>
              <w:bottom w:val="single" w:sz="6" w:space="0" w:color="auto"/>
              <w:right w:val="single" w:sz="12" w:space="0" w:color="auto"/>
            </w:tcBorders>
          </w:tcPr>
          <w:p w:rsidR="001B64B7" w:rsidRPr="001B64B7" w:rsidRDefault="001B64B7" w:rsidP="001B64B7">
            <w:pPr>
              <w:spacing w:before="240" w:after="240"/>
              <w:jc w:val="both"/>
              <w:rPr>
                <w:rFonts w:ascii="Arial Narrow" w:hAnsi="Arial Narrow" w:cs="Arial"/>
                <w:b/>
                <w:sz w:val="20"/>
                <w:szCs w:val="20"/>
              </w:rPr>
            </w:pPr>
            <w:r w:rsidRPr="001B64B7">
              <w:rPr>
                <w:rFonts w:ascii="Arial Narrow" w:hAnsi="Arial Narrow" w:cs="Arial"/>
                <w:b/>
                <w:sz w:val="20"/>
                <w:szCs w:val="20"/>
              </w:rPr>
              <w:t>Planification et budgétisation basée sur les politiques publiques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-14</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Stratégie budgétaire crédible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F73EFA" w:rsidP="009B3251">
            <w:pPr>
              <w:jc w:val="center"/>
              <w:rPr>
                <w:rFonts w:ascii="Arial Narrow" w:hAnsi="Arial Narrow" w:cs="Arial"/>
                <w:b/>
                <w:bCs/>
                <w:sz w:val="20"/>
                <w:szCs w:val="20"/>
              </w:rPr>
            </w:pPr>
            <w:r>
              <w:rPr>
                <w:rFonts w:ascii="Arial Narrow" w:hAnsi="Arial Narrow" w:cs="Arial"/>
                <w:b/>
                <w:bCs/>
                <w:sz w:val="20"/>
                <w:szCs w:val="20"/>
              </w:rPr>
              <w:t>NA</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783E97" w:rsidP="00F73EFA">
            <w:pPr>
              <w:jc w:val="both"/>
              <w:rPr>
                <w:rFonts w:ascii="Arial Narrow" w:hAnsi="Arial Narrow" w:cs="Arial"/>
                <w:bCs/>
                <w:sz w:val="20"/>
                <w:szCs w:val="20"/>
              </w:rPr>
            </w:pPr>
            <w:r>
              <w:rPr>
                <w:rFonts w:ascii="Arial" w:hAnsi="Arial" w:cs="Arial"/>
                <w:sz w:val="20"/>
                <w:szCs w:val="20"/>
              </w:rPr>
              <w:t xml:space="preserve">Cette dimension du cadre PEFA 2015 relève du niveau national. </w:t>
            </w:r>
            <w:r w:rsidR="009B3251" w:rsidRPr="00A17E25">
              <w:rPr>
                <w:rFonts w:ascii="Arial" w:hAnsi="Arial" w:cs="Arial"/>
                <w:sz w:val="20"/>
                <w:szCs w:val="20"/>
              </w:rPr>
              <w:t>Les autorités de la CC n</w:t>
            </w:r>
            <w:r w:rsidR="00F73EFA">
              <w:rPr>
                <w:rFonts w:ascii="Arial" w:hAnsi="Arial" w:cs="Arial"/>
                <w:sz w:val="20"/>
                <w:szCs w:val="20"/>
              </w:rPr>
              <w:t xml:space="preserve">e peuvent pas </w:t>
            </w:r>
            <w:r w:rsidR="009B3251" w:rsidRPr="00A17E25">
              <w:rPr>
                <w:rFonts w:ascii="Arial" w:hAnsi="Arial" w:cs="Arial"/>
                <w:sz w:val="20"/>
                <w:szCs w:val="20"/>
              </w:rPr>
              <w:t xml:space="preserve"> élabor</w:t>
            </w:r>
            <w:r w:rsidR="00F73EFA">
              <w:rPr>
                <w:rFonts w:ascii="Arial" w:hAnsi="Arial" w:cs="Arial"/>
                <w:sz w:val="20"/>
                <w:szCs w:val="20"/>
              </w:rPr>
              <w:t>er</w:t>
            </w:r>
            <w:r w:rsidR="009B3251" w:rsidRPr="00A17E25">
              <w:rPr>
                <w:rFonts w:ascii="Arial" w:hAnsi="Arial" w:cs="Arial"/>
                <w:sz w:val="20"/>
                <w:szCs w:val="20"/>
              </w:rPr>
              <w:t xml:space="preserve"> de stratégie budgétaire à moyen terme </w:t>
            </w:r>
            <w:r w:rsidR="00F73EFA">
              <w:rPr>
                <w:rFonts w:ascii="Arial" w:hAnsi="Arial" w:cs="Arial"/>
                <w:sz w:val="20"/>
                <w:szCs w:val="20"/>
              </w:rPr>
              <w:t>en l’absence de réglementation et de prévisions de l’Etat</w:t>
            </w:r>
            <w:r w:rsidR="009B3251" w:rsidRPr="00A17E25">
              <w:rPr>
                <w:rFonts w:ascii="Arial" w:hAnsi="Arial" w:cs="Arial"/>
                <w:sz w:val="20"/>
                <w:szCs w:val="20"/>
              </w:rPr>
              <w:t>.</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-15</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Budgétisation des recettes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sz w:val="20"/>
                <w:szCs w:val="20"/>
              </w:rPr>
            </w:pPr>
            <w:r w:rsidRPr="00783E97">
              <w:rPr>
                <w:rFonts w:ascii="Arial" w:hAnsi="Arial" w:cs="Arial"/>
                <w:sz w:val="20"/>
                <w:szCs w:val="20"/>
              </w:rPr>
              <w:t xml:space="preserve">La documentation budgétaire ne comprend pas un rapport qui présente les estimations des modifications à apporter à la politique publique. De 2012 à 2014, la variation de la </w:t>
            </w:r>
            <w:r w:rsidRPr="0023599A">
              <w:rPr>
                <w:rFonts w:ascii="Arial" w:hAnsi="Arial" w:cs="Arial"/>
                <w:sz w:val="20"/>
                <w:szCs w:val="20"/>
              </w:rPr>
              <w:t>composition des recettes s’est établie à plus de 15%.</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-16</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Perspective à moyen terme de la budgétisation des dépenses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F73EFA" w:rsidP="009B3251">
            <w:pPr>
              <w:jc w:val="center"/>
              <w:rPr>
                <w:rFonts w:ascii="Arial Narrow" w:hAnsi="Arial Narrow" w:cs="Arial"/>
                <w:b/>
                <w:bCs/>
                <w:sz w:val="20"/>
                <w:szCs w:val="20"/>
              </w:rPr>
            </w:pPr>
            <w:r>
              <w:rPr>
                <w:rFonts w:ascii="Arial Narrow" w:hAnsi="Arial Narrow" w:cs="Arial"/>
                <w:b/>
                <w:bCs/>
                <w:sz w:val="20"/>
                <w:szCs w:val="20"/>
              </w:rPr>
              <w:t>NA</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F73EFA" w:rsidP="00954D51">
            <w:pPr>
              <w:jc w:val="both"/>
              <w:rPr>
                <w:rFonts w:ascii="Arial Narrow" w:hAnsi="Arial Narrow" w:cs="Arial"/>
                <w:bCs/>
                <w:sz w:val="20"/>
                <w:szCs w:val="20"/>
              </w:rPr>
            </w:pPr>
            <w:r>
              <w:rPr>
                <w:rFonts w:ascii="Arial" w:hAnsi="Arial" w:cs="Arial"/>
                <w:sz w:val="20"/>
                <w:szCs w:val="20"/>
              </w:rPr>
              <w:t xml:space="preserve">L’élaboration de </w:t>
            </w:r>
            <w:r w:rsidR="009B3251" w:rsidRPr="00A17E25">
              <w:rPr>
                <w:rFonts w:ascii="Arial" w:hAnsi="Arial" w:cs="Arial"/>
                <w:sz w:val="20"/>
                <w:szCs w:val="20"/>
              </w:rPr>
              <w:t xml:space="preserve">stratégies sectorielles </w:t>
            </w:r>
            <w:r>
              <w:rPr>
                <w:rFonts w:ascii="Arial" w:hAnsi="Arial" w:cs="Arial"/>
                <w:sz w:val="20"/>
                <w:szCs w:val="20"/>
              </w:rPr>
              <w:t xml:space="preserve">est du ressort de l’Etat en concertation avec les communes. </w:t>
            </w:r>
            <w:r w:rsidR="00954D51">
              <w:rPr>
                <w:rFonts w:ascii="Arial" w:hAnsi="Arial" w:cs="Arial"/>
                <w:sz w:val="20"/>
                <w:szCs w:val="20"/>
              </w:rPr>
              <w:t>Au Maroc, il n’existe pas de cadre réglementaire pour la</w:t>
            </w:r>
            <w:r>
              <w:rPr>
                <w:rFonts w:ascii="Arial" w:hAnsi="Arial" w:cs="Arial"/>
                <w:sz w:val="20"/>
                <w:szCs w:val="20"/>
              </w:rPr>
              <w:t xml:space="preserve"> programmation budgétaire pluriannuelle</w:t>
            </w:r>
            <w:r w:rsidR="00954D51">
              <w:rPr>
                <w:rFonts w:ascii="Arial" w:hAnsi="Arial" w:cs="Arial"/>
                <w:sz w:val="20"/>
                <w:szCs w:val="20"/>
              </w:rPr>
              <w:t xml:space="preserve"> au niveau des communes. </w:t>
            </w:r>
            <w:r>
              <w:rPr>
                <w:rFonts w:ascii="Arial" w:hAnsi="Arial" w:cs="Arial"/>
                <w:sz w:val="20"/>
                <w:szCs w:val="20"/>
              </w:rPr>
              <w:t xml:space="preserve"> </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-17</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Caractère organisé et participatif du processus annuel de préparation du budget</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A8015C" w:rsidP="009B3251">
            <w:pPr>
              <w:jc w:val="center"/>
              <w:rPr>
                <w:rFonts w:ascii="Arial Narrow" w:hAnsi="Arial Narrow" w:cs="Arial"/>
                <w:b/>
                <w:sz w:val="20"/>
                <w:szCs w:val="20"/>
              </w:rPr>
            </w:pPr>
            <w:r>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sz w:val="20"/>
                <w:szCs w:val="20"/>
              </w:rPr>
            </w:pPr>
            <w:r w:rsidRPr="001B64B7">
              <w:rPr>
                <w:rFonts w:ascii="Arial" w:hAnsi="Arial" w:cs="Arial"/>
                <w:sz w:val="20"/>
                <w:szCs w:val="20"/>
              </w:rPr>
              <w:t xml:space="preserve">Le processus de préparation du budget n’est pas encadré par un calendrier budgétaire. </w:t>
            </w:r>
            <w:r w:rsidRPr="00A17E25">
              <w:rPr>
                <w:rFonts w:ascii="Arial" w:hAnsi="Arial" w:cs="Arial"/>
                <w:sz w:val="20"/>
                <w:szCs w:val="20"/>
              </w:rPr>
              <w:t xml:space="preserve">La circulaire budgétaire ne concerne que les dépenses de fonctionnement, ne contient pas de plafonds et, outre la date limite de transmission des propositions budgétaires, ne donne pas de directives pour la préparation des prévisions budgétaires pour les services. Les budgets des exercices 2013 </w:t>
            </w:r>
            <w:r w:rsidR="008970C1">
              <w:rPr>
                <w:rFonts w:ascii="Arial" w:hAnsi="Arial" w:cs="Arial"/>
                <w:sz w:val="20"/>
                <w:szCs w:val="20"/>
              </w:rPr>
              <w:t>à</w:t>
            </w:r>
            <w:r w:rsidRPr="00A17E25">
              <w:rPr>
                <w:rFonts w:ascii="Arial" w:hAnsi="Arial" w:cs="Arial"/>
                <w:sz w:val="20"/>
                <w:szCs w:val="20"/>
              </w:rPr>
              <w:t xml:space="preserve"> 201</w:t>
            </w:r>
            <w:r w:rsidR="008970C1">
              <w:rPr>
                <w:rFonts w:ascii="Arial" w:hAnsi="Arial" w:cs="Arial"/>
                <w:sz w:val="20"/>
                <w:szCs w:val="20"/>
              </w:rPr>
              <w:t>5</w:t>
            </w:r>
            <w:r w:rsidRPr="00A17E25">
              <w:rPr>
                <w:rFonts w:ascii="Arial" w:hAnsi="Arial" w:cs="Arial"/>
                <w:sz w:val="20"/>
                <w:szCs w:val="20"/>
              </w:rPr>
              <w:t xml:space="preserve"> ont été votés avant le début de ces exercices</w:t>
            </w:r>
            <w:r w:rsidR="008970C1">
              <w:rPr>
                <w:rFonts w:ascii="Arial" w:hAnsi="Arial" w:cs="Arial"/>
                <w:sz w:val="20"/>
                <w:szCs w:val="20"/>
              </w:rPr>
              <w:t>.</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-18</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Examen de la loi de finances annuelle par le pouvoir législatif</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207940">
            <w:pPr>
              <w:jc w:val="both"/>
              <w:rPr>
                <w:rFonts w:ascii="Arial Narrow" w:hAnsi="Arial Narrow" w:cs="Arial"/>
                <w:sz w:val="20"/>
                <w:szCs w:val="20"/>
              </w:rPr>
            </w:pPr>
            <w:r w:rsidRPr="00A17E25">
              <w:rPr>
                <w:rFonts w:ascii="Arial" w:hAnsi="Arial" w:cs="Arial"/>
                <w:sz w:val="20"/>
                <w:szCs w:val="20"/>
              </w:rPr>
              <w:t>L’examen du budget par le conseil communal ne porte que sur l’état détaillé des prévisions de recettes et de dépenses. Les procédures d’examen du projet de budget ne sont pas établies. Les trois derniers budgets (2013, 2014 et 2015) ont tous été votés par le conseil communal avant le début de l’exercice. Les règles régissant les modifications que l’Exécutif de la CC peut apporter au budget sans l’autorisation préalable du conseil communal sont clairement définies par la loi 45-08 et sont respectées.</w:t>
            </w:r>
          </w:p>
        </w:tc>
      </w:tr>
      <w:tr w:rsidR="001B64B7" w:rsidRPr="00A17E25" w:rsidTr="007547D5">
        <w:trPr>
          <w:cantSplit/>
        </w:trPr>
        <w:tc>
          <w:tcPr>
            <w:tcW w:w="9540" w:type="dxa"/>
            <w:gridSpan w:val="4"/>
            <w:tcBorders>
              <w:top w:val="single" w:sz="6" w:space="0" w:color="auto"/>
              <w:left w:val="single" w:sz="12" w:space="0" w:color="auto"/>
              <w:bottom w:val="single" w:sz="6" w:space="0" w:color="auto"/>
              <w:right w:val="single" w:sz="12" w:space="0" w:color="auto"/>
            </w:tcBorders>
          </w:tcPr>
          <w:p w:rsidR="001B64B7" w:rsidRPr="001B64B7" w:rsidRDefault="001B64B7" w:rsidP="001B64B7">
            <w:pPr>
              <w:spacing w:before="240" w:after="240"/>
              <w:jc w:val="both"/>
              <w:rPr>
                <w:rFonts w:ascii="Arial Narrow" w:hAnsi="Arial Narrow" w:cs="Arial"/>
                <w:b/>
                <w:sz w:val="20"/>
                <w:szCs w:val="20"/>
              </w:rPr>
            </w:pPr>
            <w:r w:rsidRPr="00A17E25">
              <w:rPr>
                <w:rFonts w:ascii="Arial Narrow" w:hAnsi="Arial Narrow" w:cs="Arial"/>
                <w:b/>
                <w:sz w:val="20"/>
                <w:szCs w:val="20"/>
              </w:rPr>
              <w:t>Prévisibilité et contrôle de l’exécution du budget</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-19</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Conformité aux principes de l’administration des recettes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A8015C" w:rsidP="009B3251">
            <w:pPr>
              <w:jc w:val="center"/>
              <w:rPr>
                <w:rFonts w:ascii="Arial Narrow" w:hAnsi="Arial Narrow" w:cs="Arial"/>
                <w:b/>
                <w:sz w:val="20"/>
                <w:szCs w:val="20"/>
              </w:rPr>
            </w:pPr>
            <w:r>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BD4879">
            <w:pPr>
              <w:jc w:val="both"/>
              <w:rPr>
                <w:rFonts w:ascii="Arial Narrow" w:hAnsi="Arial Narrow" w:cs="Arial"/>
                <w:sz w:val="20"/>
                <w:szCs w:val="20"/>
              </w:rPr>
            </w:pPr>
            <w:r w:rsidRPr="00A17E25">
              <w:rPr>
                <w:rFonts w:ascii="Arial" w:hAnsi="Arial" w:cs="Arial"/>
                <w:sz w:val="20"/>
                <w:szCs w:val="20"/>
              </w:rPr>
              <w:t>La CC donne un accès commode à des informations et à des procédures administratives détaillées, faciles à utiliser et à jour, y compris une procédure de recours. Un processus de gestion des risques liés aux recettes n’est en place et des audits  sont réalisés.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PI-20</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Comptabilisation des recettes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bCs/>
                <w:sz w:val="20"/>
                <w:szCs w:val="20"/>
              </w:rPr>
            </w:pPr>
            <w:r w:rsidRPr="00A17E25">
              <w:rPr>
                <w:rFonts w:ascii="Arial" w:hAnsi="Arial" w:cs="Arial"/>
                <w:sz w:val="20"/>
                <w:szCs w:val="20"/>
              </w:rPr>
              <w:t>Au moins une fois par mois, le ministère des Finances collecte et centralise les données sur les recettes ventilées par catégorie de recettes et par période et regroupe ces données dans un rapport. Toutes des recettes fiscales sont versées tous les jours dans les comptes gérés par le Trésor. Le rapprochement complet des évaluations d’impôt, des recouvrements, des arriérés et des transferts ne se fait pas de manière systématique.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-21</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Prévisibilité de la disponibilité des fonds pour financer les prestations de service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BD4879">
            <w:pPr>
              <w:spacing w:after="6" w:line="235" w:lineRule="auto"/>
              <w:ind w:left="36"/>
              <w:jc w:val="both"/>
              <w:rPr>
                <w:rFonts w:ascii="Arial Narrow" w:hAnsi="Arial Narrow" w:cs="Arial"/>
                <w:bCs/>
                <w:sz w:val="20"/>
                <w:szCs w:val="20"/>
              </w:rPr>
            </w:pPr>
            <w:r w:rsidRPr="00A17E25">
              <w:rPr>
                <w:rFonts w:ascii="Arial" w:hAnsi="Arial" w:cs="Arial"/>
                <w:sz w:val="20"/>
                <w:szCs w:val="20"/>
              </w:rPr>
              <w:t>Tous les soldes de trésorerie de la CC sont consolidés sur une base mensuelle. Des prévisions des flux de trésorerie ne sont préparées. Les entités de la CC sont en mesure de planifier et d’engager des dépenses au moins six mois à l’avance sur la base des crédits inscrits au budget. Des ajustements importants sont fréquemment apportés aux affectations budgétaires en cours d’année, mais ils sont effectués de manière assez transparente.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PI-22</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Efficacité des contrôles des états de paie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BD4879">
            <w:pPr>
              <w:jc w:val="both"/>
              <w:rPr>
                <w:rFonts w:ascii="Arial Narrow" w:hAnsi="Arial Narrow" w:cs="Arial"/>
                <w:sz w:val="20"/>
                <w:szCs w:val="20"/>
              </w:rPr>
            </w:pPr>
            <w:r w:rsidRPr="00A17E25">
              <w:rPr>
                <w:rFonts w:ascii="Arial" w:hAnsi="Arial" w:cs="Arial"/>
                <w:sz w:val="20"/>
                <w:szCs w:val="20"/>
              </w:rPr>
              <w:t>Le tableau des emplois, le fichier nominatif du personnel et les états de paie ne sont pas directement liés. Les vérifications à effectuer par la TGR à l’occasion de la situation administrative du personnel découlant notamment des transformations d’emplois (promotion) ne sont convenablement assurées ni par rapport aux autorisations du tableau des emplois, ni par référence aux dotations budgétaires. Un système de contrôle est en place et permet d’assurer l’intégrité des états de paie. Un contrôle des effectifs du personnel de la CC a été organisé de concert avec le ministère de l’intérieur en 2014.</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PI-23</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Passation des marchés publics- efficacité, transparence, concurrence et mécanisme de dépôt des plaintes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207940">
            <w:pPr>
              <w:jc w:val="both"/>
              <w:rPr>
                <w:rFonts w:ascii="Arial Narrow" w:hAnsi="Arial Narrow" w:cs="Arial"/>
                <w:sz w:val="20"/>
                <w:szCs w:val="20"/>
              </w:rPr>
            </w:pPr>
            <w:r w:rsidRPr="00A17E25">
              <w:rPr>
                <w:rFonts w:ascii="Arial" w:hAnsi="Arial" w:cs="Arial"/>
                <w:sz w:val="20"/>
                <w:szCs w:val="20"/>
              </w:rPr>
              <w:t>La CC ne dispose pas d’une base de données consolidée des marchés passés. Un rapport n’est pas produit pour rendre compte de la mise en œuvre des plans prévisionnels de passation des marchés et des coûts définitifs des marchés comparés aux montants initiaux des marchés attribués. En 2014, près de 99,5% des marchés de la CC sont passés par appel d’offres ouvert. Le public a accès à 4 informations sur les 5 requises par le cadre PEFA. Le mécanisme mis en place pour l’instruction des plaintes liées à la passation des marchés publics ne satisfait pas au critère (i) requis par le cadre PEFA.</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PI-24</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Efficacité des contrôles internes pour les dépenses non salariales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B</w:t>
            </w:r>
            <w:r w:rsidR="00A8015C">
              <w:rPr>
                <w:rFonts w:ascii="Arial Narrow" w:hAnsi="Arial Narrow" w:cs="Arial"/>
                <w:b/>
                <w:sz w:val="20"/>
                <w:szCs w:val="20"/>
              </w:rPr>
              <w:t>+</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sz w:val="20"/>
                <w:szCs w:val="20"/>
              </w:rPr>
            </w:pPr>
            <w:r w:rsidRPr="00A17E25">
              <w:rPr>
                <w:rFonts w:ascii="Arial" w:hAnsi="Arial" w:cs="Arial"/>
                <w:sz w:val="20"/>
                <w:szCs w:val="20"/>
              </w:rPr>
              <w:t>Les fonctions sont dûment séparées tout au long du processus d’exécution des dépenses non salariales et les responsabilités sont clairement définies. Le contrôle des engagements de dépenses par rapport aux dotations budgétaires est convenablement assuré. Près de 93,26% des dépenses non salariales sont exécutées suivant la procédure normale,</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PI-25</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Efficacité de l’audit interne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BD4879">
            <w:pPr>
              <w:jc w:val="both"/>
              <w:rPr>
                <w:rFonts w:ascii="Arial Narrow" w:hAnsi="Arial Narrow" w:cs="Arial"/>
                <w:sz w:val="20"/>
                <w:szCs w:val="20"/>
              </w:rPr>
            </w:pPr>
            <w:r w:rsidRPr="00A17E25">
              <w:rPr>
                <w:rFonts w:ascii="Arial" w:hAnsi="Arial" w:cs="Arial"/>
                <w:sz w:val="20"/>
                <w:szCs w:val="20"/>
              </w:rPr>
              <w:t>La fonction d’audit n’est pas opérationnelle  à la CC.</w:t>
            </w:r>
          </w:p>
        </w:tc>
      </w:tr>
      <w:tr w:rsidR="001B64B7" w:rsidRPr="00A17E25" w:rsidTr="007547D5">
        <w:trPr>
          <w:cantSplit/>
        </w:trPr>
        <w:tc>
          <w:tcPr>
            <w:tcW w:w="9540" w:type="dxa"/>
            <w:gridSpan w:val="4"/>
            <w:tcBorders>
              <w:top w:val="single" w:sz="6" w:space="0" w:color="auto"/>
              <w:left w:val="single" w:sz="12" w:space="0" w:color="auto"/>
              <w:bottom w:val="single" w:sz="6" w:space="0" w:color="auto"/>
              <w:right w:val="single" w:sz="12" w:space="0" w:color="auto"/>
            </w:tcBorders>
          </w:tcPr>
          <w:p w:rsidR="001B64B7" w:rsidRPr="00A17E25" w:rsidRDefault="001B64B7" w:rsidP="001B64B7">
            <w:pPr>
              <w:spacing w:before="240" w:after="240"/>
              <w:jc w:val="both"/>
              <w:rPr>
                <w:rFonts w:ascii="Arial Narrow" w:hAnsi="Arial Narrow" w:cs="Arial"/>
                <w:sz w:val="20"/>
                <w:szCs w:val="20"/>
              </w:rPr>
            </w:pPr>
            <w:r w:rsidRPr="00A17E25">
              <w:rPr>
                <w:rFonts w:ascii="Arial Narrow" w:hAnsi="Arial Narrow" w:cs="Arial"/>
                <w:b/>
                <w:sz w:val="20"/>
                <w:szCs w:val="20"/>
              </w:rPr>
              <w:t>Comptabilité, enregistrement de données et établissement de rapports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PI-26</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Rapprochement des comptes et intégrité des données financières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C+</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BD4879">
            <w:pPr>
              <w:jc w:val="both"/>
              <w:rPr>
                <w:rFonts w:ascii="Arial Narrow" w:hAnsi="Arial Narrow" w:cs="Arial"/>
                <w:sz w:val="20"/>
                <w:szCs w:val="20"/>
              </w:rPr>
            </w:pPr>
            <w:r w:rsidRPr="00A17E25">
              <w:rPr>
                <w:rFonts w:ascii="Arial" w:hAnsi="Arial" w:cs="Arial"/>
                <w:sz w:val="20"/>
                <w:szCs w:val="20"/>
              </w:rPr>
              <w:t>Un rapprochement bancaire de tous les comptes bancaires actifs de la CC est effectué au moins une fois par mois, généralement dans un délai de quatre semaines à compter de la fin du mois. Le rapprochement des comptes d’avance est effectué au moins une fois par trimestre, dans un délai de deux mois à compter de la fin de la période. Les comptes d’avance sont généralement apurés en temps voulu. Les informations disponibles ne permettent pas d’apprécier la régularité des opérations de rapprochement et d’apurement des comptes d’attente. Le processus en place assure une  intégrité des données financières.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PI-27</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olor w:val="000000"/>
                <w:sz w:val="20"/>
                <w:szCs w:val="20"/>
              </w:rPr>
              <w:t>Qualité et ponctualité des rapports budgétaires en cours d’année</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9B3251">
            <w:pPr>
              <w:jc w:val="both"/>
              <w:rPr>
                <w:rFonts w:ascii="Arial Narrow" w:hAnsi="Arial Narrow" w:cs="Arial"/>
                <w:sz w:val="20"/>
                <w:szCs w:val="20"/>
              </w:rPr>
            </w:pPr>
            <w:r w:rsidRPr="00A17E25">
              <w:rPr>
                <w:rFonts w:ascii="Arial" w:hAnsi="Arial" w:cs="Arial"/>
                <w:sz w:val="20"/>
                <w:szCs w:val="20"/>
              </w:rPr>
              <w:t>Les rapports d’exécution du budget ne sont pas préparés sur une base périodique et ne sont publiés</w:t>
            </w:r>
          </w:p>
        </w:tc>
      </w:tr>
      <w:tr w:rsidR="009B3251" w:rsidRPr="00A17E25" w:rsidTr="00F92FF8">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PI-28</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Qualité et respect des délais des états financiers annuels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207940" w:rsidRPr="002B14CF" w:rsidRDefault="009B3251" w:rsidP="002B14CF">
            <w:pPr>
              <w:jc w:val="both"/>
              <w:rPr>
                <w:rFonts w:ascii="Arial" w:hAnsi="Arial" w:cs="Arial"/>
                <w:sz w:val="20"/>
                <w:szCs w:val="20"/>
              </w:rPr>
            </w:pPr>
            <w:r w:rsidRPr="00A17E25">
              <w:rPr>
                <w:rFonts w:ascii="Arial" w:hAnsi="Arial" w:cs="Arial"/>
                <w:sz w:val="20"/>
                <w:szCs w:val="20"/>
              </w:rPr>
              <w:t>Des informations essentielles sur les actifs et les passifs ne figurent ni dans le compte administratif ni dans le compte de gestion. Le dernier compte de gestion a été soumis à la Cour Régionale des Comptes pour examen au plus tard dans les trois mois suivant la fin de l’exercice. Les normes comptables utilisées dans tous les rapports financiers sont basées sur le cadre juridique national et assurent la cohérence des rapports dans le temps.</w:t>
            </w:r>
          </w:p>
        </w:tc>
      </w:tr>
      <w:tr w:rsidR="00207940" w:rsidRPr="00A17E25" w:rsidTr="00F92FF8">
        <w:trPr>
          <w:cantSplit/>
        </w:trPr>
        <w:tc>
          <w:tcPr>
            <w:tcW w:w="9540" w:type="dxa"/>
            <w:gridSpan w:val="4"/>
            <w:tcBorders>
              <w:top w:val="single" w:sz="6" w:space="0" w:color="auto"/>
              <w:left w:val="single" w:sz="12" w:space="0" w:color="auto"/>
              <w:bottom w:val="single" w:sz="6" w:space="0" w:color="auto"/>
              <w:right w:val="single" w:sz="12" w:space="0" w:color="auto"/>
            </w:tcBorders>
            <w:shd w:val="clear" w:color="auto" w:fill="0070C0"/>
          </w:tcPr>
          <w:p w:rsidR="00207940" w:rsidRPr="00A17E25" w:rsidRDefault="00207940" w:rsidP="009B3251">
            <w:pPr>
              <w:rPr>
                <w:rFonts w:ascii="Arial Narrow" w:hAnsi="Arial Narrow" w:cs="Arial"/>
                <w:b/>
                <w:color w:val="FFFFFF"/>
                <w:sz w:val="18"/>
                <w:szCs w:val="18"/>
              </w:rPr>
            </w:pPr>
            <w:r w:rsidRPr="00A17E25">
              <w:rPr>
                <w:rFonts w:ascii="Arial Narrow" w:hAnsi="Arial Narrow" w:cs="Arial"/>
                <w:b/>
                <w:bCs/>
                <w:color w:val="FFFFFF"/>
                <w:sz w:val="18"/>
                <w:szCs w:val="18"/>
              </w:rPr>
              <w:t>SURVEILLANCE ET AUDITS EXTERNES</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-29</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Indépendance de l’ISC et efficacité de l’audit externe, des rapports financiers des administrations publiques</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jc w:val="center"/>
              <w:rPr>
                <w:rFonts w:ascii="Arial Narrow" w:hAnsi="Arial Narrow" w:cs="Arial"/>
                <w:b/>
                <w:sz w:val="20"/>
                <w:szCs w:val="20"/>
              </w:rPr>
            </w:pPr>
            <w:r w:rsidRPr="00A17E25">
              <w:rPr>
                <w:rFonts w:ascii="Arial Narrow" w:hAnsi="Arial Narrow" w:cs="Arial"/>
                <w:b/>
                <w:sz w:val="20"/>
                <w:szCs w:val="20"/>
              </w:rPr>
              <w:t>D+</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2B14CF">
            <w:pPr>
              <w:jc w:val="both"/>
              <w:rPr>
                <w:rFonts w:ascii="Arial Narrow" w:hAnsi="Arial Narrow" w:cs="Arial"/>
                <w:bCs/>
                <w:sz w:val="20"/>
                <w:szCs w:val="20"/>
              </w:rPr>
            </w:pPr>
            <w:r w:rsidRPr="00A17E25">
              <w:rPr>
                <w:rFonts w:ascii="Arial" w:hAnsi="Arial" w:cs="Arial"/>
                <w:sz w:val="20"/>
                <w:szCs w:val="20"/>
              </w:rPr>
              <w:t xml:space="preserve">La Cour régionale des comptes ne fait pas d’audit externe ou de certification. </w:t>
            </w:r>
            <w:r w:rsidRPr="00A17E25">
              <w:rPr>
                <w:rFonts w:ascii="Arial" w:hAnsi="Arial" w:cs="Arial"/>
                <w:iCs/>
                <w:sz w:val="20"/>
                <w:szCs w:val="20"/>
              </w:rPr>
              <w:t xml:space="preserve">il n’est pas prévu dans la législation nationale de rapports annuels de vérification préparés par les Cours Régionales à l’attention des Conseils communaux. </w:t>
            </w:r>
            <w:r w:rsidRPr="00A17E25">
              <w:rPr>
                <w:rFonts w:ascii="Arial" w:hAnsi="Arial" w:cs="Arial"/>
                <w:sz w:val="20"/>
                <w:szCs w:val="20"/>
              </w:rPr>
              <w:t>Des missions de vérification externe n’ont pas été organisées lors des trois derniers exercices. L’ISC opère de manière indépendante du pouvoir exécutif, et cette indépendance est assurée par la législation.</w:t>
            </w:r>
          </w:p>
        </w:tc>
      </w:tr>
      <w:tr w:rsidR="009B3251" w:rsidRPr="00A17E25" w:rsidTr="009B3251">
        <w:trPr>
          <w:cantSplit/>
        </w:trPr>
        <w:tc>
          <w:tcPr>
            <w:tcW w:w="747" w:type="dxa"/>
            <w:tcBorders>
              <w:top w:val="single" w:sz="6" w:space="0" w:color="auto"/>
              <w:left w:val="single" w:sz="12"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cs="Arial"/>
                <w:sz w:val="20"/>
                <w:szCs w:val="20"/>
              </w:rPr>
              <w:t>PI -30</w:t>
            </w:r>
          </w:p>
        </w:tc>
        <w:tc>
          <w:tcPr>
            <w:tcW w:w="2977" w:type="dxa"/>
            <w:tcBorders>
              <w:top w:val="single" w:sz="6" w:space="0" w:color="auto"/>
              <w:left w:val="single" w:sz="6" w:space="0" w:color="auto"/>
              <w:bottom w:val="single" w:sz="6" w:space="0" w:color="auto"/>
              <w:right w:val="single" w:sz="6" w:space="0" w:color="auto"/>
            </w:tcBorders>
          </w:tcPr>
          <w:p w:rsidR="009B3251" w:rsidRPr="00A17E25" w:rsidRDefault="009B3251" w:rsidP="009B3251">
            <w:pPr>
              <w:rPr>
                <w:rFonts w:ascii="Arial Narrow" w:hAnsi="Arial Narrow" w:cs="Arial"/>
                <w:sz w:val="20"/>
                <w:szCs w:val="20"/>
              </w:rPr>
            </w:pPr>
            <w:r w:rsidRPr="00A17E25">
              <w:rPr>
                <w:rFonts w:ascii="Arial Narrow" w:hAnsi="Arial Narrow"/>
                <w:sz w:val="20"/>
                <w:szCs w:val="20"/>
              </w:rPr>
              <w:t>Examen des rapports d’audit externe par le pouvoir législatif</w:t>
            </w:r>
          </w:p>
        </w:tc>
        <w:tc>
          <w:tcPr>
            <w:tcW w:w="851" w:type="dxa"/>
            <w:tcBorders>
              <w:top w:val="single" w:sz="6" w:space="0" w:color="auto"/>
              <w:left w:val="single" w:sz="6" w:space="0" w:color="auto"/>
              <w:bottom w:val="single" w:sz="6" w:space="0" w:color="auto"/>
              <w:right w:val="single" w:sz="6" w:space="0" w:color="auto"/>
            </w:tcBorders>
          </w:tcPr>
          <w:p w:rsidR="009B3251" w:rsidRPr="00A17E25" w:rsidRDefault="004E4FFF" w:rsidP="009B3251">
            <w:pPr>
              <w:jc w:val="center"/>
              <w:rPr>
                <w:rFonts w:ascii="Arial Narrow" w:hAnsi="Arial Narrow" w:cs="Arial"/>
                <w:b/>
                <w:sz w:val="20"/>
                <w:szCs w:val="20"/>
              </w:rPr>
            </w:pPr>
            <w:r>
              <w:rPr>
                <w:rFonts w:ascii="Arial Narrow" w:hAnsi="Arial Narrow" w:cs="Arial"/>
                <w:b/>
                <w:sz w:val="20"/>
                <w:szCs w:val="20"/>
              </w:rPr>
              <w:t>NA</w:t>
            </w:r>
          </w:p>
        </w:tc>
        <w:tc>
          <w:tcPr>
            <w:tcW w:w="4965" w:type="dxa"/>
            <w:tcBorders>
              <w:top w:val="single" w:sz="6" w:space="0" w:color="auto"/>
              <w:left w:val="single" w:sz="6" w:space="0" w:color="auto"/>
              <w:bottom w:val="single" w:sz="6" w:space="0" w:color="auto"/>
              <w:right w:val="single" w:sz="12" w:space="0" w:color="auto"/>
            </w:tcBorders>
          </w:tcPr>
          <w:p w:rsidR="009B3251" w:rsidRPr="00A17E25" w:rsidRDefault="009B3251" w:rsidP="004E4FFF">
            <w:pPr>
              <w:jc w:val="both"/>
              <w:rPr>
                <w:rFonts w:ascii="Arial Narrow" w:hAnsi="Arial Narrow" w:cs="Arial"/>
                <w:sz w:val="20"/>
                <w:szCs w:val="20"/>
              </w:rPr>
            </w:pPr>
            <w:r w:rsidRPr="00A17E25">
              <w:rPr>
                <w:rFonts w:ascii="Arial" w:hAnsi="Arial" w:cs="Arial"/>
                <w:sz w:val="20"/>
                <w:szCs w:val="20"/>
              </w:rPr>
              <w:t>L</w:t>
            </w:r>
            <w:r w:rsidR="004E4FFF">
              <w:rPr>
                <w:rFonts w:ascii="Arial" w:hAnsi="Arial" w:cs="Arial"/>
                <w:sz w:val="20"/>
                <w:szCs w:val="20"/>
              </w:rPr>
              <w:t>a loi ne prévoit pas d</w:t>
            </w:r>
            <w:r w:rsidRPr="00A17E25">
              <w:rPr>
                <w:rFonts w:ascii="Arial" w:hAnsi="Arial" w:cs="Arial"/>
                <w:sz w:val="20"/>
                <w:szCs w:val="20"/>
              </w:rPr>
              <w:t xml:space="preserve">’examen des rapports de vérification par le Conseil communal </w:t>
            </w:r>
            <w:r w:rsidR="004E4FFF">
              <w:rPr>
                <w:rFonts w:ascii="Arial" w:hAnsi="Arial" w:cs="Arial"/>
                <w:sz w:val="20"/>
                <w:szCs w:val="20"/>
              </w:rPr>
              <w:t>et la cour</w:t>
            </w:r>
            <w:r w:rsidR="009B753D">
              <w:rPr>
                <w:rFonts w:ascii="Arial" w:hAnsi="Arial" w:cs="Arial"/>
                <w:sz w:val="20"/>
                <w:szCs w:val="20"/>
              </w:rPr>
              <w:t xml:space="preserve"> Régionale</w:t>
            </w:r>
            <w:r w:rsidR="004E4FFF">
              <w:rPr>
                <w:rFonts w:ascii="Arial" w:hAnsi="Arial" w:cs="Arial"/>
                <w:sz w:val="20"/>
                <w:szCs w:val="20"/>
              </w:rPr>
              <w:t xml:space="preserve"> n’a pas fait de vérification sur la période de revue. </w:t>
            </w:r>
          </w:p>
        </w:tc>
      </w:tr>
    </w:tbl>
    <w:p w:rsidR="009B3251" w:rsidRPr="00A17E25" w:rsidRDefault="009B3251" w:rsidP="009B3251">
      <w:pPr>
        <w:pStyle w:val="Heading2"/>
        <w:rPr>
          <w:i w:val="0"/>
        </w:rPr>
      </w:pPr>
    </w:p>
    <w:p w:rsidR="00382FCD" w:rsidRDefault="009B3251" w:rsidP="001B64B7">
      <w:pPr>
        <w:spacing w:before="240" w:after="240"/>
        <w:jc w:val="both"/>
      </w:pPr>
      <w:r w:rsidRPr="00A17E25">
        <w:br w:type="page"/>
      </w:r>
      <w:bookmarkStart w:id="393" w:name="_Toc260257331"/>
      <w:bookmarkEnd w:id="392"/>
      <w:bookmarkEnd w:id="393"/>
    </w:p>
    <w:p w:rsidR="009B3251" w:rsidRPr="00F92FF8" w:rsidRDefault="00913D5F" w:rsidP="00CC3ED7">
      <w:pPr>
        <w:pStyle w:val="Heading2"/>
        <w:rPr>
          <w:i w:val="0"/>
          <w:color w:val="0070C0"/>
        </w:rPr>
      </w:pPr>
      <w:bookmarkStart w:id="394" w:name="_Toc434916196"/>
      <w:bookmarkStart w:id="395" w:name="_Toc434918411"/>
      <w:r w:rsidRPr="00F92FF8">
        <w:rPr>
          <w:i w:val="0"/>
          <w:color w:val="0070C0"/>
        </w:rPr>
        <w:t>Annexe 2</w:t>
      </w:r>
      <w:r w:rsidR="009B3251" w:rsidRPr="00F92FF8">
        <w:rPr>
          <w:i w:val="0"/>
          <w:color w:val="0070C0"/>
        </w:rPr>
        <w:t>: Sources des informations</w:t>
      </w:r>
      <w:bookmarkEnd w:id="394"/>
      <w:bookmarkEnd w:id="395"/>
    </w:p>
    <w:p w:rsidR="009B3251" w:rsidRPr="00913D5F" w:rsidRDefault="009B3251" w:rsidP="009B3251">
      <w:pPr>
        <w:pStyle w:val="Heading2"/>
        <w:jc w:val="both"/>
        <w:rPr>
          <w:i w:val="0"/>
          <w:sz w:val="24"/>
          <w:szCs w:val="24"/>
        </w:rPr>
      </w:pPr>
      <w:bookmarkStart w:id="396" w:name="_Toc434916197"/>
      <w:bookmarkStart w:id="397" w:name="_Toc434918412"/>
      <w:r w:rsidRPr="00913D5F">
        <w:rPr>
          <w:i w:val="0"/>
          <w:sz w:val="24"/>
          <w:szCs w:val="24"/>
        </w:rPr>
        <w:t>Annexe 2A: Bibliographie</w:t>
      </w:r>
      <w:bookmarkEnd w:id="396"/>
      <w:bookmarkEnd w:id="397"/>
    </w:p>
    <w:p w:rsidR="009B3251" w:rsidRPr="002266BE" w:rsidRDefault="009B3251" w:rsidP="009B3251"/>
    <w:p w:rsidR="009B3251" w:rsidRPr="00010DDE" w:rsidRDefault="009B3251" w:rsidP="009B3251">
      <w:pPr>
        <w:jc w:val="both"/>
        <w:rPr>
          <w:rFonts w:ascii="Arial" w:hAnsi="Arial" w:cs="Arial"/>
          <w:iCs/>
        </w:rPr>
      </w:pPr>
      <w:r w:rsidRPr="00010DDE">
        <w:rPr>
          <w:rFonts w:ascii="Arial" w:hAnsi="Arial" w:cs="Arial"/>
          <w:iCs/>
          <w:u w:val="single"/>
        </w:rPr>
        <w:t>Commune Urbaine d</w:t>
      </w:r>
      <w:r>
        <w:rPr>
          <w:rFonts w:ascii="Arial" w:hAnsi="Arial" w:cs="Arial"/>
          <w:iCs/>
          <w:u w:val="single"/>
        </w:rPr>
        <w:t>e Casablanc</w:t>
      </w:r>
      <w:r w:rsidR="00526518">
        <w:rPr>
          <w:rFonts w:ascii="Arial" w:hAnsi="Arial" w:cs="Arial"/>
          <w:iCs/>
          <w:u w:val="single"/>
        </w:rPr>
        <w:t>a</w:t>
      </w:r>
      <w:r w:rsidRPr="00010DDE">
        <w:rPr>
          <w:rFonts w:ascii="Arial" w:hAnsi="Arial" w:cs="Arial"/>
          <w:iCs/>
        </w:rPr>
        <w:t xml:space="preserve">, </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Monographie de la Région du Grand Casablanca, </w:t>
      </w:r>
      <w:r w:rsidRPr="00AC3F41">
        <w:rPr>
          <w:rFonts w:ascii="Arial" w:hAnsi="Arial" w:cs="Arial"/>
          <w:i/>
        </w:rPr>
        <w:t>Direction Régionale du Grand Casablanca- Haut Commissariat au Pan du Royaume du Maroc, Juillet 2010.</w:t>
      </w:r>
    </w:p>
    <w:p w:rsidR="009B3251" w:rsidRPr="00010DDE" w:rsidRDefault="009B3251" w:rsidP="009B3251">
      <w:pPr>
        <w:pStyle w:val="ListParagraph"/>
        <w:numPr>
          <w:ilvl w:val="0"/>
          <w:numId w:val="100"/>
        </w:numPr>
        <w:contextualSpacing/>
        <w:jc w:val="both"/>
        <w:rPr>
          <w:rFonts w:ascii="Arial" w:hAnsi="Arial" w:cs="Arial"/>
          <w:iCs/>
          <w:color w:val="0000FF"/>
        </w:rPr>
      </w:pPr>
      <w:r w:rsidRPr="00010DDE">
        <w:rPr>
          <w:rFonts w:ascii="Arial" w:hAnsi="Arial" w:cs="Arial"/>
          <w:iCs/>
        </w:rPr>
        <w:t>Budgets des exercices 2012, 2013, 2014 et 2015;</w:t>
      </w:r>
    </w:p>
    <w:p w:rsidR="009B3251" w:rsidRPr="00010DDE" w:rsidRDefault="009B3251" w:rsidP="009B3251">
      <w:pPr>
        <w:pStyle w:val="ListParagraph"/>
        <w:numPr>
          <w:ilvl w:val="0"/>
          <w:numId w:val="100"/>
        </w:numPr>
        <w:contextualSpacing/>
        <w:jc w:val="both"/>
        <w:rPr>
          <w:rFonts w:ascii="Arial" w:hAnsi="Arial" w:cs="Arial"/>
          <w:iCs/>
          <w:color w:val="0000FF"/>
        </w:rPr>
      </w:pPr>
      <w:r w:rsidRPr="00010DDE">
        <w:rPr>
          <w:rFonts w:ascii="Arial" w:hAnsi="Arial" w:cs="Arial"/>
          <w:iCs/>
        </w:rPr>
        <w:t>Comptes Administratifs d</w:t>
      </w:r>
      <w:r>
        <w:rPr>
          <w:rFonts w:ascii="Arial" w:hAnsi="Arial" w:cs="Arial"/>
          <w:iCs/>
        </w:rPr>
        <w:t>es exercices 2012</w:t>
      </w:r>
      <w:r w:rsidR="00D25ECB">
        <w:rPr>
          <w:rFonts w:ascii="Arial" w:hAnsi="Arial" w:cs="Arial"/>
          <w:iCs/>
        </w:rPr>
        <w:t>, 2013</w:t>
      </w:r>
      <w:r>
        <w:rPr>
          <w:rFonts w:ascii="Arial" w:hAnsi="Arial" w:cs="Arial"/>
          <w:iCs/>
        </w:rPr>
        <w:t xml:space="preserve"> et 201</w:t>
      </w:r>
      <w:r w:rsidR="00D25ECB">
        <w:rPr>
          <w:rFonts w:ascii="Arial" w:hAnsi="Arial" w:cs="Arial"/>
          <w:iCs/>
        </w:rPr>
        <w:t>4</w:t>
      </w:r>
      <w:r w:rsidRPr="00010DDE">
        <w:rPr>
          <w:rFonts w:ascii="Arial" w:hAnsi="Arial" w:cs="Arial"/>
          <w:iCs/>
        </w:rPr>
        <w:t>;</w:t>
      </w:r>
    </w:p>
    <w:p w:rsidR="009B3251" w:rsidRPr="00010DDE" w:rsidRDefault="009B3251" w:rsidP="009B3251">
      <w:pPr>
        <w:pStyle w:val="ListParagraph"/>
        <w:numPr>
          <w:ilvl w:val="0"/>
          <w:numId w:val="100"/>
        </w:numPr>
        <w:contextualSpacing/>
        <w:jc w:val="both"/>
        <w:rPr>
          <w:rFonts w:ascii="Arial" w:hAnsi="Arial" w:cs="Arial"/>
          <w:iCs/>
          <w:color w:val="0000FF"/>
        </w:rPr>
      </w:pPr>
      <w:r w:rsidRPr="00010DDE">
        <w:rPr>
          <w:rFonts w:ascii="Arial" w:hAnsi="Arial" w:cs="Arial"/>
          <w:iCs/>
        </w:rPr>
        <w:t>Procès -verbaux des Procès -verbaux des délibérations du Conseil Communal</w:t>
      </w:r>
      <w:r>
        <w:rPr>
          <w:rFonts w:ascii="Arial" w:hAnsi="Arial" w:cs="Arial"/>
          <w:iCs/>
        </w:rPr>
        <w:t xml:space="preserve"> des exercices 2012 à 2014</w:t>
      </w:r>
      <w:r w:rsidRPr="00010DDE">
        <w:rPr>
          <w:rFonts w:ascii="Arial" w:hAnsi="Arial" w:cs="Arial"/>
          <w:iCs/>
        </w:rPr>
        <w:t>;</w:t>
      </w:r>
    </w:p>
    <w:p w:rsidR="009B3251" w:rsidRPr="00010DDE" w:rsidRDefault="009B3251" w:rsidP="009B3251">
      <w:pPr>
        <w:pStyle w:val="ListParagraph"/>
        <w:numPr>
          <w:ilvl w:val="0"/>
          <w:numId w:val="100"/>
        </w:numPr>
        <w:contextualSpacing/>
        <w:jc w:val="both"/>
        <w:rPr>
          <w:rFonts w:ascii="Arial" w:hAnsi="Arial" w:cs="Arial"/>
          <w:iCs/>
          <w:color w:val="0000FF"/>
        </w:rPr>
      </w:pPr>
      <w:r w:rsidRPr="00010DDE">
        <w:rPr>
          <w:rFonts w:ascii="Arial" w:hAnsi="Arial" w:cs="Arial"/>
          <w:iCs/>
        </w:rPr>
        <w:t>Dossier comprenant la documentation budgétaire au titre de l’exercice budgét</w:t>
      </w:r>
      <w:r>
        <w:rPr>
          <w:rFonts w:ascii="Arial" w:hAnsi="Arial" w:cs="Arial"/>
          <w:iCs/>
        </w:rPr>
        <w:t>aire 2015 transmis à la tutelle</w:t>
      </w:r>
      <w:r w:rsidRPr="00010DDE">
        <w:rPr>
          <w:rFonts w:ascii="Arial" w:hAnsi="Arial" w:cs="Arial"/>
          <w:iCs/>
        </w:rPr>
        <w:t>;</w:t>
      </w:r>
    </w:p>
    <w:p w:rsidR="009B3251" w:rsidRPr="006C5872" w:rsidRDefault="009B3251" w:rsidP="009B3251">
      <w:pPr>
        <w:pStyle w:val="ListParagraph"/>
        <w:numPr>
          <w:ilvl w:val="0"/>
          <w:numId w:val="100"/>
        </w:numPr>
        <w:contextualSpacing/>
        <w:jc w:val="both"/>
        <w:rPr>
          <w:rFonts w:ascii="Arial" w:hAnsi="Arial" w:cs="Arial"/>
          <w:iCs/>
          <w:color w:val="0000FF"/>
        </w:rPr>
      </w:pPr>
      <w:r>
        <w:rPr>
          <w:rFonts w:ascii="Arial" w:hAnsi="Arial" w:cs="Arial"/>
          <w:iCs/>
        </w:rPr>
        <w:t xml:space="preserve">Organigramme de la </w:t>
      </w:r>
      <w:r w:rsidR="00262F9D">
        <w:rPr>
          <w:rFonts w:ascii="Arial" w:hAnsi="Arial" w:cs="Arial"/>
          <w:iCs/>
        </w:rPr>
        <w:t>CC</w:t>
      </w:r>
      <w:r w:rsidRPr="00010DDE">
        <w:rPr>
          <w:rFonts w:ascii="Arial" w:hAnsi="Arial" w:cs="Arial"/>
          <w:iCs/>
        </w:rPr>
        <w:t>;</w:t>
      </w:r>
    </w:p>
    <w:p w:rsidR="009B3251" w:rsidRPr="006C5872" w:rsidRDefault="009B3251" w:rsidP="009B3251">
      <w:pPr>
        <w:pStyle w:val="ListParagraph"/>
        <w:numPr>
          <w:ilvl w:val="0"/>
          <w:numId w:val="100"/>
        </w:numPr>
        <w:contextualSpacing/>
        <w:jc w:val="both"/>
        <w:rPr>
          <w:rFonts w:ascii="Arial" w:hAnsi="Arial" w:cs="Arial"/>
          <w:iCs/>
          <w:color w:val="0000FF"/>
        </w:rPr>
      </w:pPr>
      <w:r>
        <w:rPr>
          <w:rFonts w:ascii="Arial" w:hAnsi="Arial"/>
        </w:rPr>
        <w:t>Composition du bureau de l’Exécutif ;</w:t>
      </w:r>
    </w:p>
    <w:p w:rsidR="009B3251" w:rsidRPr="006C5872" w:rsidRDefault="009B3251" w:rsidP="009B3251">
      <w:pPr>
        <w:pStyle w:val="ListParagraph"/>
        <w:numPr>
          <w:ilvl w:val="0"/>
          <w:numId w:val="100"/>
        </w:numPr>
        <w:contextualSpacing/>
        <w:jc w:val="both"/>
        <w:rPr>
          <w:rFonts w:ascii="Arial" w:hAnsi="Arial" w:cs="Arial"/>
          <w:iCs/>
          <w:color w:val="0000FF"/>
        </w:rPr>
      </w:pPr>
      <w:r>
        <w:rPr>
          <w:rFonts w:ascii="Arial" w:hAnsi="Arial"/>
        </w:rPr>
        <w:t xml:space="preserve">Liste des commissions du Conseil </w:t>
      </w:r>
      <w:r w:rsidR="002E0F27">
        <w:rPr>
          <w:rFonts w:ascii="Arial" w:hAnsi="Arial"/>
        </w:rPr>
        <w:t>communal</w:t>
      </w:r>
      <w:r>
        <w:rPr>
          <w:rFonts w:ascii="Arial" w:hAnsi="Arial"/>
        </w:rPr>
        <w:t> ;</w:t>
      </w:r>
    </w:p>
    <w:p w:rsidR="009B3251" w:rsidRPr="00010DDE" w:rsidRDefault="009B3251" w:rsidP="009B3251">
      <w:pPr>
        <w:pStyle w:val="ListParagraph"/>
        <w:numPr>
          <w:ilvl w:val="0"/>
          <w:numId w:val="100"/>
        </w:numPr>
        <w:contextualSpacing/>
        <w:jc w:val="both"/>
        <w:rPr>
          <w:rFonts w:ascii="Arial" w:hAnsi="Arial" w:cs="Arial"/>
          <w:iCs/>
          <w:color w:val="0000FF"/>
        </w:rPr>
      </w:pPr>
      <w:r>
        <w:rPr>
          <w:rFonts w:ascii="Arial" w:hAnsi="Arial"/>
        </w:rPr>
        <w:t>Cahier de charges du nouveau système d’information de l’AFC ;</w:t>
      </w:r>
    </w:p>
    <w:p w:rsidR="009B3251" w:rsidRPr="00010DDE" w:rsidRDefault="009B3251" w:rsidP="009B3251">
      <w:pPr>
        <w:pStyle w:val="ListParagraph"/>
        <w:numPr>
          <w:ilvl w:val="0"/>
          <w:numId w:val="100"/>
        </w:numPr>
        <w:contextualSpacing/>
        <w:jc w:val="both"/>
        <w:rPr>
          <w:rFonts w:ascii="Arial" w:hAnsi="Arial" w:cs="Arial"/>
          <w:iCs/>
          <w:color w:val="0000FF"/>
        </w:rPr>
      </w:pPr>
      <w:r w:rsidRPr="00010DDE">
        <w:rPr>
          <w:rFonts w:ascii="Arial" w:hAnsi="Arial" w:cs="Arial"/>
          <w:iCs/>
        </w:rPr>
        <w:t xml:space="preserve">Lettres circulaires </w:t>
      </w:r>
      <w:r>
        <w:rPr>
          <w:rFonts w:ascii="Arial" w:hAnsi="Arial" w:cs="Arial"/>
          <w:iCs/>
        </w:rPr>
        <w:t>pour la préparation des budgets</w:t>
      </w:r>
      <w:r w:rsidRPr="00010DDE">
        <w:rPr>
          <w:rFonts w:ascii="Arial" w:hAnsi="Arial" w:cs="Arial"/>
          <w:iCs/>
        </w:rPr>
        <w:t>;</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Compte administratif des dépenses sur dotation de l’Arrondissement de Sidi Bernoussi, </w:t>
      </w:r>
      <w:r w:rsidRPr="00AC3F41">
        <w:rPr>
          <w:rFonts w:ascii="Arial" w:hAnsi="Arial" w:cs="Arial"/>
          <w:i/>
        </w:rPr>
        <w:t>Commune Urbaine de Casablanca, 31 Décembre 2014 ;</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Compte de dépenses sur dotation de l’Arrondissement de Sidi Bernoussi, </w:t>
      </w:r>
      <w:r w:rsidRPr="00AC3F41">
        <w:rPr>
          <w:rFonts w:ascii="Arial" w:hAnsi="Arial" w:cs="Arial"/>
          <w:i/>
        </w:rPr>
        <w:t>Commune Urbaine de Casablanca, 2014;</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Etat de report de l’excédent de ressources de l’Arrondissement de Sidi Bernoussi de 2014 et 2015, </w:t>
      </w:r>
      <w:r w:rsidRPr="00AC3F41">
        <w:rPr>
          <w:rFonts w:ascii="Arial" w:hAnsi="Arial" w:cs="Arial"/>
          <w:i/>
        </w:rPr>
        <w:t>Commune Urbaine de Casablanc</w:t>
      </w:r>
      <w:r>
        <w:rPr>
          <w:rFonts w:ascii="Arial" w:hAnsi="Arial" w:cs="Arial"/>
          <w:i/>
        </w:rPr>
        <w:t>a</w:t>
      </w:r>
      <w:r w:rsidRPr="00AC3F41">
        <w:rPr>
          <w:rFonts w:ascii="Arial" w:hAnsi="Arial" w:cs="Arial"/>
          <w:i/>
        </w:rPr>
        <w:t>;</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Etat des dossiers au Contentieux de 2012 à 2014, </w:t>
      </w:r>
      <w:r w:rsidRPr="00AC3F41">
        <w:rPr>
          <w:rFonts w:ascii="Arial" w:hAnsi="Arial" w:cs="Arial"/>
          <w:i/>
        </w:rPr>
        <w:t>Administratio</w:t>
      </w:r>
      <w:r>
        <w:rPr>
          <w:rFonts w:ascii="Arial" w:hAnsi="Arial" w:cs="Arial"/>
          <w:i/>
        </w:rPr>
        <w:t>n Fiscale Communale;</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Etat des redressements fiscaux de l’Arrondissement Anfa : 2012, 2013, 2014, </w:t>
      </w:r>
      <w:r w:rsidRPr="00AC3F41">
        <w:rPr>
          <w:rFonts w:ascii="Arial" w:hAnsi="Arial" w:cs="Arial"/>
          <w:i/>
        </w:rPr>
        <w:t xml:space="preserve">Administration </w:t>
      </w:r>
      <w:r>
        <w:rPr>
          <w:rFonts w:ascii="Arial" w:hAnsi="Arial" w:cs="Arial"/>
          <w:i/>
        </w:rPr>
        <w:t>Fiscale Communale;</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Etat des rectifications des impositions concernant l’Arrondissement Anfa : 2012, 2013, 2014, </w:t>
      </w:r>
      <w:r w:rsidRPr="00AC3F41">
        <w:rPr>
          <w:rFonts w:ascii="Arial" w:hAnsi="Arial" w:cs="Arial"/>
          <w:i/>
        </w:rPr>
        <w:t>Administratio</w:t>
      </w:r>
      <w:r>
        <w:rPr>
          <w:rFonts w:ascii="Arial" w:hAnsi="Arial" w:cs="Arial"/>
          <w:i/>
        </w:rPr>
        <w:t>n Fiscale Communale;</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Liste de</w:t>
      </w:r>
      <w:r>
        <w:rPr>
          <w:rFonts w:ascii="Arial" w:hAnsi="Arial" w:cs="Arial"/>
        </w:rPr>
        <w:t>s</w:t>
      </w:r>
      <w:r w:rsidRPr="00AC3F41">
        <w:rPr>
          <w:rFonts w:ascii="Arial" w:hAnsi="Arial" w:cs="Arial"/>
        </w:rPr>
        <w:t xml:space="preserve"> propriété</w:t>
      </w:r>
      <w:r>
        <w:rPr>
          <w:rFonts w:ascii="Arial" w:hAnsi="Arial" w:cs="Arial"/>
        </w:rPr>
        <w:t>s</w:t>
      </w:r>
      <w:r w:rsidRPr="00AC3F41">
        <w:rPr>
          <w:rFonts w:ascii="Arial" w:hAnsi="Arial" w:cs="Arial"/>
        </w:rPr>
        <w:t xml:space="preserve"> de la Commune Urbaine de Casablanca, </w:t>
      </w:r>
      <w:r w:rsidRPr="00AC3F41">
        <w:rPr>
          <w:rFonts w:ascii="Arial" w:hAnsi="Arial" w:cs="Arial"/>
          <w:i/>
        </w:rPr>
        <w:t>Division de la Gestion de la Propriété- Commune Urb</w:t>
      </w:r>
      <w:r>
        <w:rPr>
          <w:rFonts w:ascii="Arial" w:hAnsi="Arial" w:cs="Arial"/>
          <w:i/>
        </w:rPr>
        <w:t>aine de Casablanca;</w:t>
      </w:r>
    </w:p>
    <w:p w:rsidR="009B3251" w:rsidRPr="00665D4E" w:rsidRDefault="009B3251" w:rsidP="009B3251">
      <w:pPr>
        <w:pStyle w:val="ListParagraph"/>
        <w:numPr>
          <w:ilvl w:val="0"/>
          <w:numId w:val="100"/>
        </w:numPr>
        <w:jc w:val="both"/>
        <w:rPr>
          <w:rFonts w:ascii="Arial" w:hAnsi="Arial" w:cs="Arial"/>
          <w:i/>
        </w:rPr>
      </w:pPr>
      <w:r w:rsidRPr="00AC3F41">
        <w:rPr>
          <w:rFonts w:ascii="Arial" w:hAnsi="Arial" w:cs="Arial"/>
        </w:rPr>
        <w:t xml:space="preserve">Organisation de l’Administration Fiscale Communale de Casablanca : Manuel des procédures-Version 1.0, </w:t>
      </w:r>
      <w:r w:rsidRPr="00AC3F41">
        <w:rPr>
          <w:rFonts w:ascii="Arial" w:hAnsi="Arial" w:cs="Arial"/>
          <w:i/>
        </w:rPr>
        <w:t xml:space="preserve">Administration Fiscale Communale de </w:t>
      </w:r>
      <w:r>
        <w:rPr>
          <w:rFonts w:ascii="Arial" w:hAnsi="Arial" w:cs="Arial"/>
          <w:i/>
        </w:rPr>
        <w:t>Casablanca, déce</w:t>
      </w:r>
      <w:r w:rsidRPr="00AC3F41">
        <w:rPr>
          <w:rFonts w:ascii="Arial" w:hAnsi="Arial" w:cs="Arial"/>
          <w:i/>
        </w:rPr>
        <w:t>mbre 2012.</w:t>
      </w:r>
    </w:p>
    <w:p w:rsidR="009B3251" w:rsidRPr="00AC3F41" w:rsidRDefault="009B3251" w:rsidP="009B3251">
      <w:pPr>
        <w:pStyle w:val="ListParagraph"/>
        <w:numPr>
          <w:ilvl w:val="0"/>
          <w:numId w:val="100"/>
        </w:numPr>
        <w:jc w:val="both"/>
        <w:rPr>
          <w:rFonts w:ascii="Arial" w:hAnsi="Arial" w:cs="Arial"/>
        </w:rPr>
      </w:pPr>
      <w:r w:rsidRPr="00AC3F41">
        <w:rPr>
          <w:rFonts w:ascii="Arial" w:hAnsi="Arial" w:cs="Arial"/>
        </w:rPr>
        <w:t xml:space="preserve">Rapport sur les activités de la Division de la Gestion de la Propriété Collective de Casablanca, </w:t>
      </w:r>
      <w:r w:rsidRPr="00AC3F41">
        <w:rPr>
          <w:rFonts w:ascii="Arial" w:hAnsi="Arial" w:cs="Arial"/>
          <w:i/>
        </w:rPr>
        <w:t>Division de la Gestion de la Propriété Collective- Ministère de l’Intérieur du Royaume du Maroc, 2014.</w:t>
      </w:r>
    </w:p>
    <w:p w:rsidR="009B3251" w:rsidRDefault="009B3251" w:rsidP="009B3251">
      <w:pPr>
        <w:pStyle w:val="ListParagraph"/>
        <w:numPr>
          <w:ilvl w:val="0"/>
          <w:numId w:val="100"/>
        </w:numPr>
        <w:jc w:val="both"/>
        <w:rPr>
          <w:rFonts w:ascii="Arial" w:hAnsi="Arial" w:cs="Arial"/>
          <w:i/>
        </w:rPr>
      </w:pPr>
      <w:r w:rsidRPr="00AC3F41">
        <w:rPr>
          <w:rFonts w:ascii="Arial" w:hAnsi="Arial" w:cs="Arial"/>
        </w:rPr>
        <w:t xml:space="preserve">Situation des Recettes de la Commune Urbaine de Casablanca de 2012, 2013, 2014, </w:t>
      </w:r>
      <w:r w:rsidRPr="00AC3F41">
        <w:rPr>
          <w:rFonts w:ascii="Arial" w:hAnsi="Arial" w:cs="Arial"/>
          <w:i/>
        </w:rPr>
        <w:t>Administratio</w:t>
      </w:r>
      <w:r>
        <w:rPr>
          <w:rFonts w:ascii="Arial" w:hAnsi="Arial" w:cs="Arial"/>
          <w:i/>
        </w:rPr>
        <w:t>n Fiscale Communale ;</w:t>
      </w:r>
    </w:p>
    <w:p w:rsidR="009B3251" w:rsidRPr="006C5872" w:rsidRDefault="009B3251" w:rsidP="009B3251">
      <w:pPr>
        <w:pStyle w:val="ListParagraph"/>
        <w:numPr>
          <w:ilvl w:val="0"/>
          <w:numId w:val="100"/>
        </w:numPr>
        <w:jc w:val="both"/>
        <w:rPr>
          <w:rFonts w:ascii="Arial" w:hAnsi="Arial" w:cs="Arial"/>
          <w:i/>
        </w:rPr>
      </w:pPr>
      <w:r>
        <w:rPr>
          <w:rFonts w:ascii="Arial" w:hAnsi="Arial"/>
        </w:rPr>
        <w:t>Guides et brochures édités et distribués en vue de l’information des contribuables ;</w:t>
      </w:r>
    </w:p>
    <w:p w:rsidR="009B3251" w:rsidRPr="006C5872" w:rsidRDefault="009B3251" w:rsidP="009B3251">
      <w:pPr>
        <w:pStyle w:val="ListParagraph"/>
        <w:numPr>
          <w:ilvl w:val="0"/>
          <w:numId w:val="100"/>
        </w:numPr>
        <w:jc w:val="both"/>
        <w:rPr>
          <w:rFonts w:ascii="Arial" w:hAnsi="Arial" w:cs="Arial"/>
          <w:i/>
        </w:rPr>
      </w:pPr>
      <w:r>
        <w:rPr>
          <w:rFonts w:ascii="Arial" w:hAnsi="Arial"/>
        </w:rPr>
        <w:t>Prévisions et réalisations des trois impôts et taxes gérés par la Direction Générale des Impôts ;</w:t>
      </w:r>
    </w:p>
    <w:p w:rsidR="009B3251" w:rsidRPr="006C5872" w:rsidRDefault="009B3251" w:rsidP="009B3251">
      <w:pPr>
        <w:pStyle w:val="ListParagraph"/>
        <w:numPr>
          <w:ilvl w:val="0"/>
          <w:numId w:val="100"/>
        </w:numPr>
        <w:jc w:val="both"/>
        <w:rPr>
          <w:rFonts w:ascii="Arial" w:hAnsi="Arial" w:cs="Arial"/>
          <w:i/>
        </w:rPr>
      </w:pPr>
      <w:r>
        <w:rPr>
          <w:rFonts w:ascii="Arial" w:hAnsi="Arial"/>
        </w:rPr>
        <w:t>Tableau sur l’exécution des plans de passation des marchés publics de 2014 : nombre de marchés passés/nombre de marchés planifiés ; coûts effectifs des marchés passés/coûts planifiés ;</w:t>
      </w:r>
    </w:p>
    <w:p w:rsidR="009B3251" w:rsidRDefault="009B3251" w:rsidP="009B3251">
      <w:pPr>
        <w:pStyle w:val="ListParagraph"/>
        <w:numPr>
          <w:ilvl w:val="0"/>
          <w:numId w:val="100"/>
        </w:numPr>
        <w:jc w:val="both"/>
        <w:rPr>
          <w:rFonts w:ascii="Arial" w:hAnsi="Arial" w:cs="Arial"/>
          <w:i/>
        </w:rPr>
      </w:pPr>
      <w:r>
        <w:rPr>
          <w:rFonts w:ascii="Arial" w:hAnsi="Arial"/>
        </w:rPr>
        <w:t>Statistiques sur les marchés passés en 2014 suivant les différents modes de passation ; </w:t>
      </w:r>
    </w:p>
    <w:p w:rsidR="009B3251" w:rsidRPr="00B810E3" w:rsidRDefault="009B3251" w:rsidP="009B3251">
      <w:pPr>
        <w:pStyle w:val="ListParagraph"/>
        <w:numPr>
          <w:ilvl w:val="0"/>
          <w:numId w:val="100"/>
        </w:numPr>
        <w:jc w:val="both"/>
        <w:rPr>
          <w:rFonts w:ascii="Arial" w:hAnsi="Arial" w:cs="Arial"/>
        </w:rPr>
      </w:pPr>
      <w:r>
        <w:rPr>
          <w:rFonts w:ascii="Arial" w:hAnsi="Arial" w:cs="Arial"/>
        </w:rPr>
        <w:t>R</w:t>
      </w:r>
      <w:r w:rsidRPr="00B810E3">
        <w:rPr>
          <w:rFonts w:ascii="Arial" w:hAnsi="Arial" w:cs="Arial"/>
        </w:rPr>
        <w:t>apport annuel de la gestion déléguée de services de l’eau, de l’assainissement, de l’électricité, et de l’éclairage public au niveau du grand</w:t>
      </w:r>
      <w:r>
        <w:rPr>
          <w:rFonts w:ascii="Arial" w:hAnsi="Arial" w:cs="Arial"/>
        </w:rPr>
        <w:t xml:space="preserve"> C</w:t>
      </w:r>
      <w:r w:rsidRPr="00B810E3">
        <w:rPr>
          <w:rFonts w:ascii="Arial" w:hAnsi="Arial" w:cs="Arial"/>
        </w:rPr>
        <w:t>asablanca au titre de l’exercice 2014</w:t>
      </w:r>
      <w:r>
        <w:rPr>
          <w:rFonts w:ascii="Arial" w:hAnsi="Arial" w:cs="Arial"/>
          <w:i/>
        </w:rPr>
        <w:t>, L</w:t>
      </w:r>
      <w:r w:rsidRPr="00B810E3">
        <w:rPr>
          <w:rFonts w:ascii="Arial" w:hAnsi="Arial" w:cs="Arial"/>
          <w:i/>
        </w:rPr>
        <w:t>ydec mars 2015</w:t>
      </w:r>
    </w:p>
    <w:p w:rsidR="009B3251" w:rsidRPr="00010DDE" w:rsidRDefault="009B3251" w:rsidP="009B3251">
      <w:pPr>
        <w:jc w:val="both"/>
        <w:rPr>
          <w:rFonts w:ascii="Arial" w:hAnsi="Arial" w:cs="Arial"/>
          <w:iCs/>
          <w:color w:val="0000FF"/>
        </w:rPr>
      </w:pPr>
    </w:p>
    <w:p w:rsidR="009B3251" w:rsidRPr="00010DDE" w:rsidRDefault="009B3251" w:rsidP="009B3251">
      <w:pPr>
        <w:jc w:val="both"/>
        <w:rPr>
          <w:rFonts w:ascii="Arial" w:hAnsi="Arial" w:cs="Arial"/>
          <w:iCs/>
        </w:rPr>
      </w:pPr>
      <w:r w:rsidRPr="00010DDE">
        <w:rPr>
          <w:rFonts w:ascii="Arial" w:hAnsi="Arial" w:cs="Arial"/>
          <w:iCs/>
          <w:u w:val="single"/>
        </w:rPr>
        <w:t>Trésorerie Générale du Royaume</w:t>
      </w:r>
      <w:r w:rsidRPr="00010DDE">
        <w:rPr>
          <w:rFonts w:ascii="Arial" w:hAnsi="Arial" w:cs="Arial"/>
          <w:iCs/>
        </w:rPr>
        <w:t xml:space="preserve"> </w:t>
      </w:r>
      <w:r>
        <w:rPr>
          <w:rFonts w:ascii="Arial" w:hAnsi="Arial" w:cs="Arial"/>
          <w:i/>
        </w:rPr>
        <w:t xml:space="preserve"> </w:t>
      </w: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Etat des restes à recouvrer : 2012, 2013, 2014, </w:t>
      </w:r>
      <w:r>
        <w:rPr>
          <w:rFonts w:ascii="Arial" w:hAnsi="Arial" w:cs="Arial"/>
          <w:i/>
        </w:rPr>
        <w:t xml:space="preserve"> </w:t>
      </w:r>
    </w:p>
    <w:p w:rsidR="009B3251" w:rsidRDefault="009B3251" w:rsidP="009B3251">
      <w:pPr>
        <w:rPr>
          <w:rFonts w:ascii="Arial" w:hAnsi="Arial" w:cs="Arial"/>
          <w:iCs/>
          <w:color w:val="0000FF"/>
        </w:rPr>
      </w:pPr>
    </w:p>
    <w:p w:rsidR="009B3251" w:rsidRPr="006C5872" w:rsidRDefault="009B3251" w:rsidP="009B3251">
      <w:pPr>
        <w:rPr>
          <w:rFonts w:ascii="Arial" w:hAnsi="Arial" w:cs="Arial"/>
          <w:iCs/>
          <w:color w:val="0000FF"/>
        </w:rPr>
      </w:pPr>
      <w:r>
        <w:rPr>
          <w:rFonts w:ascii="Arial" w:hAnsi="Arial" w:cs="Arial"/>
          <w:iCs/>
          <w:u w:val="single"/>
        </w:rPr>
        <w:t>Secrétariat Général du Gouvernement</w:t>
      </w:r>
    </w:p>
    <w:p w:rsidR="009B3251" w:rsidRDefault="009B3251" w:rsidP="009B3251">
      <w:pPr>
        <w:pStyle w:val="ListParagraph"/>
        <w:numPr>
          <w:ilvl w:val="0"/>
          <w:numId w:val="100"/>
        </w:numPr>
        <w:jc w:val="both"/>
        <w:rPr>
          <w:rFonts w:ascii="Arial" w:hAnsi="Arial" w:cs="Arial"/>
          <w:iCs/>
          <w:u w:val="single"/>
        </w:rPr>
      </w:pPr>
      <w:r>
        <w:rPr>
          <w:rFonts w:ascii="Arial" w:hAnsi="Arial" w:cs="Arial"/>
          <w:iCs/>
          <w:u w:val="single"/>
        </w:rPr>
        <w:t>Décrets autorisant la création des sociétés anonymes « Casablanca Aménagements » et « Casablanca Transports ».</w:t>
      </w:r>
    </w:p>
    <w:p w:rsidR="009B3251" w:rsidRPr="002266BE" w:rsidRDefault="009B3251" w:rsidP="009B3251">
      <w:pPr>
        <w:pStyle w:val="ListParagraph"/>
        <w:jc w:val="both"/>
        <w:rPr>
          <w:rFonts w:ascii="Arial" w:hAnsi="Arial" w:cs="Arial"/>
          <w:iCs/>
          <w:u w:val="single"/>
        </w:rPr>
      </w:pPr>
    </w:p>
    <w:p w:rsidR="009B3251" w:rsidRPr="002266BE" w:rsidRDefault="009B3251" w:rsidP="009B3251">
      <w:pPr>
        <w:jc w:val="both"/>
        <w:rPr>
          <w:rFonts w:ascii="Arial" w:hAnsi="Arial" w:cs="Arial"/>
          <w:i/>
        </w:rPr>
      </w:pPr>
      <w:r w:rsidRPr="00010DDE">
        <w:rPr>
          <w:rFonts w:ascii="Arial" w:hAnsi="Arial" w:cs="Arial"/>
          <w:iCs/>
          <w:u w:val="single"/>
        </w:rPr>
        <w:t>Ministère de l’Intérieur</w:t>
      </w:r>
      <w:r w:rsidRPr="00010DDE">
        <w:rPr>
          <w:rFonts w:ascii="Arial" w:hAnsi="Arial" w:cs="Arial"/>
          <w:iCs/>
        </w:rPr>
        <w:t xml:space="preserve">, </w:t>
      </w:r>
    </w:p>
    <w:p w:rsidR="009B3251"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Lettres des collectivités locales n°1 au n°12, Direction Gén</w:t>
      </w:r>
      <w:r>
        <w:rPr>
          <w:rFonts w:ascii="Arial" w:hAnsi="Arial" w:cs="Arial"/>
          <w:iCs/>
        </w:rPr>
        <w:t>érale des Collectivités locales</w:t>
      </w:r>
      <w:r w:rsidRPr="00010DDE">
        <w:rPr>
          <w:rFonts w:ascii="Arial" w:hAnsi="Arial" w:cs="Arial"/>
          <w:iCs/>
        </w:rPr>
        <w:t>;</w:t>
      </w:r>
    </w:p>
    <w:p w:rsidR="009B3251" w:rsidRPr="005715F5" w:rsidRDefault="009B3251" w:rsidP="009B3251">
      <w:pPr>
        <w:pStyle w:val="ListParagraph"/>
        <w:jc w:val="both"/>
        <w:rPr>
          <w:rFonts w:ascii="Arial" w:hAnsi="Arial" w:cs="Arial"/>
          <w:i/>
        </w:rPr>
      </w:pPr>
    </w:p>
    <w:p w:rsidR="009B3251" w:rsidRDefault="009B3251" w:rsidP="009B3251">
      <w:pPr>
        <w:pStyle w:val="ListParagraph"/>
        <w:numPr>
          <w:ilvl w:val="0"/>
          <w:numId w:val="100"/>
        </w:numPr>
        <w:jc w:val="both"/>
        <w:rPr>
          <w:rFonts w:ascii="Arial" w:hAnsi="Arial" w:cs="Arial"/>
          <w:i/>
        </w:rPr>
      </w:pPr>
      <w:r w:rsidRPr="005715F5">
        <w:rPr>
          <w:rFonts w:ascii="Arial" w:hAnsi="Arial" w:cs="Arial"/>
        </w:rPr>
        <w:t>Circulaire </w:t>
      </w:r>
      <w:r>
        <w:rPr>
          <w:rFonts w:ascii="Arial" w:hAnsi="Arial" w:cs="Arial"/>
        </w:rPr>
        <w:t>définissant les critères de répartition des transferts entre les arrondissements</w:t>
      </w:r>
      <w:r w:rsidRPr="005715F5">
        <w:rPr>
          <w:rFonts w:ascii="Arial" w:hAnsi="Arial" w:cs="Arial"/>
        </w:rPr>
        <w:t xml:space="preserve">, </w:t>
      </w:r>
      <w:r w:rsidRPr="005715F5">
        <w:rPr>
          <w:rFonts w:ascii="Arial" w:hAnsi="Arial" w:cs="Arial"/>
          <w:i/>
        </w:rPr>
        <w:t>Direction Générale des Collectivités Locales –Ministère de l’Inté</w:t>
      </w:r>
      <w:r>
        <w:rPr>
          <w:rFonts w:ascii="Arial" w:hAnsi="Arial" w:cs="Arial"/>
          <w:i/>
        </w:rPr>
        <w:t>rieur du Royaume du Maroc, 2004;</w:t>
      </w:r>
    </w:p>
    <w:p w:rsidR="009B3251" w:rsidRPr="005715F5" w:rsidRDefault="009B3251" w:rsidP="009B3251">
      <w:pPr>
        <w:pStyle w:val="ListParagraph"/>
        <w:rPr>
          <w:rFonts w:ascii="Arial" w:hAnsi="Arial" w:cs="Arial"/>
          <w:i/>
        </w:rPr>
      </w:pPr>
    </w:p>
    <w:p w:rsidR="009B3251" w:rsidRPr="005715F5" w:rsidRDefault="009B3251" w:rsidP="009B3251">
      <w:pPr>
        <w:pStyle w:val="ListParagraph"/>
        <w:numPr>
          <w:ilvl w:val="0"/>
          <w:numId w:val="100"/>
        </w:numPr>
        <w:jc w:val="both"/>
        <w:rPr>
          <w:rFonts w:ascii="Arial" w:hAnsi="Arial" w:cs="Arial"/>
          <w:i/>
        </w:rPr>
      </w:pPr>
      <w:r w:rsidRPr="005715F5">
        <w:rPr>
          <w:rFonts w:ascii="Arial" w:hAnsi="Arial" w:cs="Arial"/>
        </w:rPr>
        <w:t xml:space="preserve">Décision portant institution de la régie de recette de la commune urbaine de Casablanca, </w:t>
      </w:r>
      <w:r w:rsidRPr="005715F5">
        <w:rPr>
          <w:rFonts w:ascii="Arial" w:hAnsi="Arial" w:cs="Arial"/>
          <w:i/>
        </w:rPr>
        <w:t>Direction Générale des Collectivités Locales- Direction des Finance Locales- Ministère de l’Intérieur du Royaume du Ma</w:t>
      </w:r>
      <w:r>
        <w:rPr>
          <w:rFonts w:ascii="Arial" w:hAnsi="Arial" w:cs="Arial"/>
          <w:i/>
        </w:rPr>
        <w:t>roc, N° F4982, 09 Novembre 2010;</w:t>
      </w:r>
    </w:p>
    <w:p w:rsidR="009B3251" w:rsidRPr="005715F5" w:rsidRDefault="009B3251" w:rsidP="009B3251">
      <w:pPr>
        <w:pStyle w:val="ListParagraph"/>
        <w:jc w:val="both"/>
        <w:rPr>
          <w:rFonts w:ascii="Arial" w:hAnsi="Arial" w:cs="Arial"/>
          <w:i/>
        </w:rPr>
      </w:pPr>
    </w:p>
    <w:p w:rsidR="009B3251" w:rsidRPr="00AC3F41" w:rsidRDefault="009B3251" w:rsidP="009B3251">
      <w:pPr>
        <w:pStyle w:val="ListParagraph"/>
        <w:numPr>
          <w:ilvl w:val="0"/>
          <w:numId w:val="100"/>
        </w:numPr>
        <w:jc w:val="both"/>
        <w:rPr>
          <w:rFonts w:ascii="Arial" w:hAnsi="Arial" w:cs="Arial"/>
          <w:i/>
        </w:rPr>
      </w:pPr>
      <w:r w:rsidRPr="005715F5">
        <w:rPr>
          <w:rFonts w:ascii="Arial" w:hAnsi="Arial" w:cs="Arial"/>
        </w:rPr>
        <w:t xml:space="preserve">Décision portant institution de la régie de recette de la commune urbaine de Casablanca, </w:t>
      </w:r>
      <w:r w:rsidRPr="005715F5">
        <w:rPr>
          <w:rFonts w:ascii="Arial" w:hAnsi="Arial" w:cs="Arial"/>
          <w:i/>
        </w:rPr>
        <w:t>Direction Générale des Collectivités Locales- Direction des Finance Locales- Ministère de l’Intérieur du Royaume du M</w:t>
      </w:r>
      <w:r>
        <w:rPr>
          <w:rFonts w:ascii="Arial" w:hAnsi="Arial" w:cs="Arial"/>
          <w:i/>
        </w:rPr>
        <w:t>aroc ,N° F5593, 02 Janvier 2012 ;</w:t>
      </w:r>
    </w:p>
    <w:p w:rsidR="009B3251" w:rsidRPr="005715F5" w:rsidRDefault="009B3251" w:rsidP="009B3251">
      <w:pPr>
        <w:pStyle w:val="ListParagraph"/>
        <w:jc w:val="both"/>
        <w:rPr>
          <w:rFonts w:ascii="Arial" w:hAnsi="Arial" w:cs="Arial"/>
          <w:i/>
        </w:rPr>
      </w:pP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Textes législatifs et organisationnels sur la gestion de la propriété collective, </w:t>
      </w:r>
      <w:r w:rsidRPr="00AC3F41">
        <w:rPr>
          <w:rFonts w:ascii="Arial" w:hAnsi="Arial" w:cs="Arial"/>
          <w:i/>
        </w:rPr>
        <w:t>Direction Générale des Collectivités Locales- Ministère de l’Intérieur d</w:t>
      </w:r>
      <w:r>
        <w:rPr>
          <w:rFonts w:ascii="Arial" w:hAnsi="Arial" w:cs="Arial"/>
          <w:i/>
        </w:rPr>
        <w:t>u Royaume du Maroc ;</w:t>
      </w:r>
    </w:p>
    <w:p w:rsidR="009B3251" w:rsidRPr="00AC3F41" w:rsidRDefault="009B3251" w:rsidP="009B3251">
      <w:pPr>
        <w:pStyle w:val="ListParagraph"/>
        <w:rPr>
          <w:rFonts w:ascii="Arial" w:hAnsi="Arial" w:cs="Arial"/>
        </w:rPr>
      </w:pP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Guide de la propriété des communes, </w:t>
      </w:r>
      <w:r w:rsidRPr="00AC3F41">
        <w:rPr>
          <w:rFonts w:ascii="Arial" w:hAnsi="Arial" w:cs="Arial"/>
          <w:i/>
        </w:rPr>
        <w:t>Direction Générale des Collectivités Locales- Ministère de l’Inté</w:t>
      </w:r>
      <w:r>
        <w:rPr>
          <w:rFonts w:ascii="Arial" w:hAnsi="Arial" w:cs="Arial"/>
          <w:i/>
        </w:rPr>
        <w:t>rieur du Royaume du Maroc, 2009 ;</w:t>
      </w:r>
    </w:p>
    <w:p w:rsidR="009B3251" w:rsidRPr="00AC3F41" w:rsidRDefault="009B3251" w:rsidP="009B3251">
      <w:pPr>
        <w:pStyle w:val="ListParagraph"/>
        <w:rPr>
          <w:rFonts w:ascii="Arial" w:hAnsi="Arial" w:cs="Arial"/>
        </w:rPr>
      </w:pPr>
    </w:p>
    <w:p w:rsidR="009B3251" w:rsidRPr="00AC3F41" w:rsidRDefault="009B3251" w:rsidP="009B3251">
      <w:pPr>
        <w:pStyle w:val="ListParagraph"/>
        <w:numPr>
          <w:ilvl w:val="0"/>
          <w:numId w:val="100"/>
        </w:numPr>
        <w:jc w:val="both"/>
        <w:rPr>
          <w:rFonts w:ascii="Arial" w:hAnsi="Arial" w:cs="Arial"/>
          <w:i/>
        </w:rPr>
      </w:pPr>
      <w:r w:rsidRPr="00AC3F41">
        <w:rPr>
          <w:rFonts w:ascii="Arial" w:hAnsi="Arial" w:cs="Arial"/>
        </w:rPr>
        <w:t xml:space="preserve">Note Conjointe relative à la procédure de versement de la part de la TVA revenant aux collectivités locales, </w:t>
      </w:r>
      <w:r w:rsidRPr="00AC3F41">
        <w:rPr>
          <w:rFonts w:ascii="Arial" w:hAnsi="Arial" w:cs="Arial"/>
          <w:i/>
        </w:rPr>
        <w:t xml:space="preserve">Direction Générale des Collectivités Locales- Ministère de l’Intérieur du </w:t>
      </w:r>
      <w:r>
        <w:rPr>
          <w:rFonts w:ascii="Arial" w:hAnsi="Arial" w:cs="Arial"/>
          <w:i/>
        </w:rPr>
        <w:t>Royaume du Maroc, 01 Avril 2008 ;</w:t>
      </w:r>
    </w:p>
    <w:p w:rsidR="009B3251" w:rsidRPr="00AC3F41" w:rsidRDefault="009B3251" w:rsidP="009B3251">
      <w:pPr>
        <w:pStyle w:val="ListParagraph"/>
        <w:rPr>
          <w:rFonts w:ascii="Arial" w:hAnsi="Arial" w:cs="Arial"/>
        </w:rPr>
      </w:pPr>
    </w:p>
    <w:p w:rsidR="009B3251" w:rsidRDefault="009B3251" w:rsidP="009B3251">
      <w:pPr>
        <w:pStyle w:val="ListParagraph"/>
        <w:numPr>
          <w:ilvl w:val="0"/>
          <w:numId w:val="100"/>
        </w:numPr>
        <w:jc w:val="both"/>
        <w:rPr>
          <w:rFonts w:ascii="Arial" w:hAnsi="Arial" w:cs="Arial"/>
          <w:i/>
        </w:rPr>
      </w:pPr>
      <w:r w:rsidRPr="00AC3F41">
        <w:rPr>
          <w:rFonts w:ascii="Arial" w:hAnsi="Arial" w:cs="Arial"/>
        </w:rPr>
        <w:t xml:space="preserve">Note Conjointe relative à la procédure de versement de la part de la TVA revenant aux collectivités locales, </w:t>
      </w:r>
      <w:r w:rsidRPr="00AC3F41">
        <w:rPr>
          <w:rFonts w:ascii="Arial" w:hAnsi="Arial" w:cs="Arial"/>
          <w:i/>
        </w:rPr>
        <w:t xml:space="preserve">Direction Générale des Collectivités Locales- Ministère de l’Intérieur du </w:t>
      </w:r>
      <w:r>
        <w:rPr>
          <w:rFonts w:ascii="Arial" w:hAnsi="Arial" w:cs="Arial"/>
          <w:i/>
        </w:rPr>
        <w:t>Royaume du Maroc, 30 Juin 2015 ;</w:t>
      </w:r>
    </w:p>
    <w:p w:rsidR="009B3251" w:rsidRPr="00D81FCC" w:rsidRDefault="009B3251" w:rsidP="009B3251">
      <w:pPr>
        <w:pStyle w:val="ListParagraph"/>
        <w:rPr>
          <w:rFonts w:ascii="Arial" w:hAnsi="Arial" w:cs="Arial"/>
        </w:rPr>
      </w:pPr>
    </w:p>
    <w:p w:rsidR="009B3251" w:rsidRPr="00AC3F41" w:rsidRDefault="009B3251" w:rsidP="009B3251">
      <w:pPr>
        <w:pStyle w:val="ListParagraph"/>
        <w:numPr>
          <w:ilvl w:val="0"/>
          <w:numId w:val="100"/>
        </w:numPr>
        <w:jc w:val="both"/>
        <w:rPr>
          <w:rFonts w:ascii="Arial" w:hAnsi="Arial" w:cs="Arial"/>
          <w:i/>
        </w:rPr>
      </w:pPr>
      <w:r w:rsidRPr="00D81FCC">
        <w:rPr>
          <w:rFonts w:ascii="Arial" w:hAnsi="Arial" w:cs="Arial"/>
        </w:rPr>
        <w:t>Rapports de restitution think-tank, Grand-Casablanca</w:t>
      </w:r>
      <w:r>
        <w:rPr>
          <w:rFonts w:ascii="Arial" w:hAnsi="Arial" w:cs="Arial"/>
          <w:i/>
        </w:rPr>
        <w:t>, Wilaya de Casablanca, Ministère de l’Intérieur, 2015</w:t>
      </w:r>
    </w:p>
    <w:p w:rsidR="009B3251" w:rsidRPr="002266BE" w:rsidRDefault="009B3251" w:rsidP="009B3251">
      <w:pPr>
        <w:contextualSpacing/>
        <w:jc w:val="both"/>
        <w:rPr>
          <w:rFonts w:ascii="Arial" w:hAnsi="Arial" w:cs="Arial"/>
          <w:iCs/>
        </w:rPr>
      </w:pPr>
      <w:r w:rsidRPr="00AC3F41">
        <w:rPr>
          <w:rFonts w:ascii="Arial" w:hAnsi="Arial" w:cs="Arial"/>
          <w:iCs/>
        </w:rPr>
        <w:t xml:space="preserve"> </w:t>
      </w:r>
    </w:p>
    <w:p w:rsidR="009B3251" w:rsidRPr="00010DDE" w:rsidRDefault="009B3251" w:rsidP="009B3251">
      <w:pPr>
        <w:jc w:val="both"/>
        <w:rPr>
          <w:rFonts w:ascii="Arial" w:hAnsi="Arial" w:cs="Arial"/>
          <w:iCs/>
        </w:rPr>
      </w:pPr>
      <w:r w:rsidRPr="00010DDE">
        <w:rPr>
          <w:rFonts w:ascii="Arial" w:hAnsi="Arial" w:cs="Arial"/>
          <w:iCs/>
          <w:u w:val="single"/>
        </w:rPr>
        <w:t>Secrétariat PEFA</w:t>
      </w:r>
      <w:r w:rsidRPr="00010DDE">
        <w:rPr>
          <w:rFonts w:ascii="Arial" w:hAnsi="Arial" w:cs="Arial"/>
          <w:iCs/>
        </w:rPr>
        <w:t xml:space="preserve">, </w:t>
      </w:r>
    </w:p>
    <w:p w:rsidR="009B3251" w:rsidRDefault="009B3251" w:rsidP="009B3251">
      <w:pPr>
        <w:pStyle w:val="ListParagraph"/>
        <w:numPr>
          <w:ilvl w:val="0"/>
          <w:numId w:val="100"/>
        </w:numPr>
        <w:jc w:val="both"/>
        <w:rPr>
          <w:rFonts w:ascii="Arial" w:hAnsi="Arial" w:cs="Arial"/>
          <w:i/>
        </w:rPr>
      </w:pPr>
      <w:r w:rsidRPr="002161E7">
        <w:rPr>
          <w:rFonts w:ascii="Arial" w:hAnsi="Arial" w:cs="Arial"/>
        </w:rPr>
        <w:t xml:space="preserve">Cadre de mesure de la performance de la gestion des finances publiques, </w:t>
      </w:r>
      <w:r w:rsidRPr="002161E7">
        <w:rPr>
          <w:rFonts w:ascii="Arial" w:hAnsi="Arial" w:cs="Arial"/>
          <w:i/>
        </w:rPr>
        <w:t xml:space="preserve">Public </w:t>
      </w:r>
      <w:r w:rsidRPr="005715F5">
        <w:rPr>
          <w:rFonts w:ascii="Arial" w:hAnsi="Arial" w:cs="Arial"/>
        </w:rPr>
        <w:t>Expenditure and Financial Accountability (PEFA</w:t>
      </w:r>
      <w:r w:rsidRPr="002161E7">
        <w:rPr>
          <w:rFonts w:ascii="Arial" w:hAnsi="Arial" w:cs="Arial"/>
          <w:i/>
        </w:rPr>
        <w:t>),</w:t>
      </w:r>
      <w:r w:rsidRPr="005715F5">
        <w:rPr>
          <w:rFonts w:ascii="Arial" w:hAnsi="Arial" w:cs="Arial"/>
          <w:i/>
        </w:rPr>
        <w:t xml:space="preserve"> </w:t>
      </w:r>
      <w:r w:rsidRPr="00010DDE">
        <w:rPr>
          <w:rFonts w:ascii="Arial" w:hAnsi="Arial" w:cs="Arial"/>
          <w:i/>
        </w:rPr>
        <w:t>Secrétariat PEFA</w:t>
      </w:r>
      <w:r w:rsidRPr="00010DDE">
        <w:rPr>
          <w:rFonts w:ascii="Arial" w:hAnsi="Arial" w:cs="Arial"/>
          <w:iCs/>
        </w:rPr>
        <w:t xml:space="preserve">, </w:t>
      </w:r>
      <w:r>
        <w:rPr>
          <w:rFonts w:ascii="Arial" w:hAnsi="Arial" w:cs="Arial"/>
          <w:iCs/>
        </w:rPr>
        <w:t>Washington DC, USA,</w:t>
      </w:r>
      <w:r w:rsidRPr="00010DDE">
        <w:rPr>
          <w:rFonts w:ascii="Arial" w:hAnsi="Arial" w:cs="Arial"/>
          <w:iCs/>
        </w:rPr>
        <w:t> </w:t>
      </w:r>
      <w:r w:rsidRPr="002161E7">
        <w:rPr>
          <w:rFonts w:ascii="Arial" w:hAnsi="Arial" w:cs="Arial"/>
          <w:i/>
        </w:rPr>
        <w:t xml:space="preserve"> </w:t>
      </w:r>
      <w:r>
        <w:rPr>
          <w:rFonts w:ascii="Arial" w:hAnsi="Arial" w:cs="Arial"/>
          <w:i/>
        </w:rPr>
        <w:t>Version de test Janvier 2015;</w:t>
      </w:r>
    </w:p>
    <w:p w:rsidR="009B3251" w:rsidRDefault="009B3251" w:rsidP="009B3251">
      <w:pPr>
        <w:pStyle w:val="ListParagraph"/>
        <w:jc w:val="both"/>
        <w:rPr>
          <w:rFonts w:ascii="Arial" w:hAnsi="Arial" w:cs="Arial"/>
          <w:i/>
        </w:rPr>
      </w:pPr>
    </w:p>
    <w:p w:rsidR="009B3251" w:rsidRPr="005715F5" w:rsidRDefault="009B3251" w:rsidP="009B3251">
      <w:pPr>
        <w:pStyle w:val="ListParagraph"/>
        <w:numPr>
          <w:ilvl w:val="0"/>
          <w:numId w:val="100"/>
        </w:numPr>
        <w:jc w:val="both"/>
        <w:rPr>
          <w:rFonts w:ascii="Arial" w:hAnsi="Arial" w:cs="Arial"/>
          <w:lang w:val="en-US"/>
        </w:rPr>
      </w:pPr>
      <w:r w:rsidRPr="005715F5">
        <w:rPr>
          <w:rFonts w:ascii="Arial" w:hAnsi="Arial" w:cs="Arial"/>
          <w:lang w:val="en-US"/>
        </w:rPr>
        <w:t xml:space="preserve">PEFA framework guidance for assessors </w:t>
      </w:r>
      <w:r>
        <w:rPr>
          <w:rFonts w:ascii="Arial" w:hAnsi="Arial" w:cs="Arial"/>
          <w:lang w:val="en-US"/>
        </w:rPr>
        <w:t>f</w:t>
      </w:r>
      <w:r w:rsidRPr="005715F5">
        <w:rPr>
          <w:rFonts w:ascii="Arial" w:hAnsi="Arial" w:cs="Arial"/>
          <w:lang w:val="en-US"/>
        </w:rPr>
        <w:t>or use with the testing version</w:t>
      </w:r>
      <w:r>
        <w:rPr>
          <w:rFonts w:ascii="Arial" w:hAnsi="Arial" w:cs="Arial"/>
          <w:lang w:val="en-US"/>
        </w:rPr>
        <w:t xml:space="preserve">, </w:t>
      </w:r>
      <w:r w:rsidRPr="005715F5">
        <w:rPr>
          <w:rFonts w:ascii="Arial" w:hAnsi="Arial" w:cs="Arial"/>
          <w:i/>
          <w:lang w:val="en-US"/>
        </w:rPr>
        <w:t>Secrétariat PEFA</w:t>
      </w:r>
      <w:r w:rsidRPr="005715F5">
        <w:rPr>
          <w:rFonts w:ascii="Arial" w:hAnsi="Arial" w:cs="Arial"/>
          <w:iCs/>
          <w:lang w:val="en-US"/>
        </w:rPr>
        <w:t>, W</w:t>
      </w:r>
      <w:r>
        <w:rPr>
          <w:rFonts w:ascii="Arial" w:hAnsi="Arial" w:cs="Arial"/>
          <w:iCs/>
          <w:lang w:val="en-US"/>
        </w:rPr>
        <w:t>ashington DC, USA, février 2015;</w:t>
      </w:r>
    </w:p>
    <w:p w:rsidR="009B3251" w:rsidRPr="00D81FCC" w:rsidRDefault="009B3251" w:rsidP="009B3251">
      <w:pPr>
        <w:pStyle w:val="ListParagraph"/>
        <w:contextualSpacing/>
        <w:jc w:val="both"/>
        <w:rPr>
          <w:rFonts w:ascii="Arial" w:hAnsi="Arial" w:cs="Arial"/>
          <w:iCs/>
          <w:lang w:val="en-US"/>
        </w:rPr>
      </w:pP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 xml:space="preserve">Dépenses Publiques et Responsabilité Financière, </w:t>
      </w:r>
      <w:r w:rsidRPr="00010DDE">
        <w:rPr>
          <w:rFonts w:ascii="Arial" w:hAnsi="Arial" w:cs="Arial"/>
          <w:i/>
        </w:rPr>
        <w:t>Cadre de Mesure de la Performance, Secrétariat PEFA</w:t>
      </w:r>
      <w:r w:rsidRPr="00010DDE">
        <w:rPr>
          <w:rFonts w:ascii="Arial" w:hAnsi="Arial" w:cs="Arial"/>
          <w:iCs/>
        </w:rPr>
        <w:t>, W</w:t>
      </w:r>
      <w:r>
        <w:rPr>
          <w:rFonts w:ascii="Arial" w:hAnsi="Arial" w:cs="Arial"/>
          <w:iCs/>
        </w:rPr>
        <w:t>ashington DC, USA, janvier 2011</w:t>
      </w:r>
      <w:r w:rsidRPr="00010DDE">
        <w:rPr>
          <w:rFonts w:ascii="Arial" w:hAnsi="Arial" w:cs="Arial"/>
          <w:iCs/>
        </w:rPr>
        <w:t xml:space="preserve">; </w:t>
      </w:r>
    </w:p>
    <w:p w:rsidR="009B3251" w:rsidRDefault="009B3251" w:rsidP="009B3251">
      <w:pPr>
        <w:pStyle w:val="ListParagraph"/>
        <w:contextualSpacing/>
        <w:jc w:val="both"/>
        <w:rPr>
          <w:rFonts w:ascii="Arial" w:hAnsi="Arial" w:cs="Arial"/>
          <w:iCs/>
        </w:rPr>
      </w:pP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Lignes directrices et sources d’information pour faciliter la notation des indicateurs 2007</w:t>
      </w:r>
      <w:r w:rsidRPr="00010DDE">
        <w:rPr>
          <w:rFonts w:ascii="Arial" w:hAnsi="Arial" w:cs="Arial"/>
          <w:i/>
        </w:rPr>
        <w:t>;</w:t>
      </w:r>
    </w:p>
    <w:p w:rsidR="009B3251" w:rsidRPr="00AC3F41" w:rsidRDefault="009B3251" w:rsidP="009B3251">
      <w:pPr>
        <w:pStyle w:val="ListParagraph"/>
        <w:contextualSpacing/>
        <w:jc w:val="both"/>
        <w:rPr>
          <w:rFonts w:ascii="Arial" w:hAnsi="Arial" w:cs="Arial"/>
        </w:rPr>
      </w:pPr>
    </w:p>
    <w:p w:rsidR="009B3251" w:rsidRPr="00010DDE" w:rsidRDefault="009B3251" w:rsidP="009B3251">
      <w:pPr>
        <w:pStyle w:val="ListParagraph"/>
        <w:numPr>
          <w:ilvl w:val="0"/>
          <w:numId w:val="100"/>
        </w:numPr>
        <w:contextualSpacing/>
        <w:jc w:val="both"/>
        <w:rPr>
          <w:rFonts w:ascii="Arial" w:hAnsi="Arial" w:cs="Arial"/>
          <w:lang w:val="en-US"/>
        </w:rPr>
      </w:pPr>
      <w:r w:rsidRPr="00010DDE">
        <w:rPr>
          <w:rFonts w:ascii="Arial" w:hAnsi="Arial" w:cs="Arial"/>
          <w:i/>
          <w:iCs/>
          <w:lang w:val="en-US"/>
        </w:rPr>
        <w:t>Field guide, for undertaking an assessment using the PEFA performance measurement framework</w:t>
      </w:r>
      <w:r>
        <w:rPr>
          <w:rFonts w:ascii="Arial" w:hAnsi="Arial" w:cs="Arial"/>
          <w:i/>
          <w:iCs/>
          <w:lang w:val="en-US"/>
        </w:rPr>
        <w:t xml:space="preserve"> </w:t>
      </w:r>
      <w:r w:rsidRPr="00010DDE">
        <w:rPr>
          <w:rFonts w:ascii="Arial" w:hAnsi="Arial" w:cs="Arial"/>
          <w:lang w:val="en-US"/>
        </w:rPr>
        <w:t>May, 2012;</w:t>
      </w:r>
    </w:p>
    <w:p w:rsidR="009B3251" w:rsidRPr="00D81FCC" w:rsidRDefault="009B3251" w:rsidP="009B3251">
      <w:pPr>
        <w:pStyle w:val="ListParagraph"/>
        <w:spacing w:after="200" w:line="276" w:lineRule="auto"/>
        <w:contextualSpacing/>
        <w:jc w:val="both"/>
        <w:rPr>
          <w:rFonts w:ascii="Arial" w:hAnsi="Arial" w:cs="Arial"/>
          <w:iCs/>
          <w:color w:val="0000FF"/>
          <w:lang w:val="en-US"/>
        </w:rPr>
      </w:pPr>
    </w:p>
    <w:p w:rsidR="009B3251" w:rsidRPr="00010DDE" w:rsidRDefault="009B3251" w:rsidP="009B3251">
      <w:pPr>
        <w:pStyle w:val="ListParagraph"/>
        <w:numPr>
          <w:ilvl w:val="0"/>
          <w:numId w:val="100"/>
        </w:numPr>
        <w:spacing w:after="200" w:line="276" w:lineRule="auto"/>
        <w:contextualSpacing/>
        <w:jc w:val="both"/>
        <w:rPr>
          <w:rFonts w:ascii="Arial" w:hAnsi="Arial" w:cs="Arial"/>
          <w:iCs/>
          <w:color w:val="0000FF"/>
        </w:rPr>
      </w:pPr>
      <w:r w:rsidRPr="00010DDE">
        <w:rPr>
          <w:rFonts w:ascii="Arial" w:hAnsi="Arial" w:cs="Arial"/>
        </w:rPr>
        <w:t>Directives supplémentaires pour l’application du Cadre PEFA aux administrations infranationales, janvier 2013.</w:t>
      </w:r>
    </w:p>
    <w:p w:rsidR="009B3251" w:rsidRPr="00010DDE" w:rsidRDefault="009B3251" w:rsidP="009B3251">
      <w:pPr>
        <w:pStyle w:val="ListParagraph"/>
        <w:spacing w:after="200" w:line="276" w:lineRule="auto"/>
        <w:ind w:left="360"/>
        <w:contextualSpacing/>
        <w:jc w:val="both"/>
        <w:rPr>
          <w:rFonts w:ascii="Arial" w:hAnsi="Arial" w:cs="Arial"/>
          <w:iCs/>
          <w:color w:val="0000FF"/>
        </w:rPr>
      </w:pPr>
    </w:p>
    <w:p w:rsidR="009B3251" w:rsidRPr="00AC3F41" w:rsidRDefault="009B3251" w:rsidP="009B3251">
      <w:pPr>
        <w:jc w:val="both"/>
        <w:rPr>
          <w:rFonts w:ascii="Arial" w:hAnsi="Arial" w:cs="Arial"/>
          <w:iCs/>
        </w:rPr>
      </w:pPr>
      <w:r w:rsidRPr="00010DDE">
        <w:rPr>
          <w:rFonts w:ascii="Arial" w:hAnsi="Arial" w:cs="Arial"/>
          <w:iCs/>
          <w:u w:val="single"/>
        </w:rPr>
        <w:t>PPIAF</w:t>
      </w: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Evaluation la Gestion des Finances Publiques Municipales de la Commune de Ouagadougou (PEFA), par G. Caprio et V</w:t>
      </w:r>
      <w:r w:rsidRPr="00010DDE">
        <w:rPr>
          <w:rFonts w:ascii="Arial" w:hAnsi="Arial" w:cs="Arial"/>
          <w:iCs/>
          <w:lang w:val="sw-KE"/>
        </w:rPr>
        <w:t>. Chomentowski</w:t>
      </w:r>
      <w:r w:rsidRPr="00010DDE">
        <w:rPr>
          <w:rFonts w:ascii="Arial" w:hAnsi="Arial" w:cs="Arial"/>
          <w:iCs/>
        </w:rPr>
        <w:t xml:space="preserve">, mai 2010 ; </w:t>
      </w:r>
    </w:p>
    <w:p w:rsidR="009B3251" w:rsidRPr="00010DDE" w:rsidRDefault="009B3251" w:rsidP="009B3251">
      <w:pPr>
        <w:pStyle w:val="ListParagraph"/>
        <w:jc w:val="both"/>
        <w:rPr>
          <w:rFonts w:ascii="Arial" w:hAnsi="Arial" w:cs="Arial"/>
          <w:iCs/>
        </w:rPr>
      </w:pP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 xml:space="preserve">Evaluation de la Gestion des Finances Publiques Municipales – Rapport PEFA sur les Performances de la ville de Cotonou par Giovanni Caprio, Nicolas </w:t>
      </w:r>
      <w:r w:rsidRPr="00010DDE">
        <w:rPr>
          <w:rFonts w:ascii="Arial" w:hAnsi="Arial" w:cs="Arial"/>
          <w:iCs/>
          <w:lang w:val="sw-KE"/>
        </w:rPr>
        <w:t xml:space="preserve">Lokpe </w:t>
      </w:r>
      <w:r w:rsidRPr="00010DDE">
        <w:rPr>
          <w:rFonts w:ascii="Arial" w:hAnsi="Arial" w:cs="Arial"/>
          <w:iCs/>
        </w:rPr>
        <w:t>et Félicien Akaba, février 2012.</w:t>
      </w:r>
    </w:p>
    <w:p w:rsidR="009B3251" w:rsidRPr="00010DDE" w:rsidRDefault="009B3251" w:rsidP="009B3251">
      <w:pPr>
        <w:pStyle w:val="ListParagraph"/>
        <w:jc w:val="both"/>
        <w:rPr>
          <w:rFonts w:ascii="Arial" w:hAnsi="Arial" w:cs="Arial"/>
          <w:iCs/>
        </w:rPr>
      </w:pPr>
    </w:p>
    <w:p w:rsidR="009B3251" w:rsidRPr="00010DDE" w:rsidRDefault="009B3251" w:rsidP="009B3251">
      <w:pPr>
        <w:pStyle w:val="ListParagraph"/>
        <w:jc w:val="both"/>
        <w:rPr>
          <w:rFonts w:ascii="Arial" w:hAnsi="Arial" w:cs="Arial"/>
          <w:iCs/>
        </w:rPr>
      </w:pPr>
    </w:p>
    <w:p w:rsidR="009B3251" w:rsidRPr="00AC3F41" w:rsidRDefault="009B3251" w:rsidP="009B3251">
      <w:pPr>
        <w:jc w:val="both"/>
        <w:rPr>
          <w:rFonts w:ascii="Arial" w:hAnsi="Arial" w:cs="Arial"/>
          <w:iCs/>
          <w:u w:val="single"/>
        </w:rPr>
      </w:pPr>
      <w:r w:rsidRPr="00010DDE">
        <w:rPr>
          <w:rFonts w:ascii="Arial" w:hAnsi="Arial" w:cs="Arial"/>
          <w:iCs/>
          <w:u w:val="single"/>
        </w:rPr>
        <w:t>Banque Mondiale</w:t>
      </w: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Royaume du Maroc, la déconcentration outil de modernisation et de régionalisation, juin 2011 ;</w:t>
      </w:r>
    </w:p>
    <w:p w:rsidR="009B3251" w:rsidRDefault="009B3251" w:rsidP="009B3251">
      <w:pPr>
        <w:pStyle w:val="ListParagraph"/>
        <w:contextualSpacing/>
        <w:jc w:val="both"/>
        <w:rPr>
          <w:rFonts w:ascii="Arial" w:hAnsi="Arial" w:cs="Arial"/>
          <w:iCs/>
        </w:rPr>
      </w:pPr>
    </w:p>
    <w:p w:rsidR="009B3251" w:rsidRPr="00010DDE" w:rsidRDefault="009B3251" w:rsidP="009B3251">
      <w:pPr>
        <w:pStyle w:val="ListParagraph"/>
        <w:numPr>
          <w:ilvl w:val="0"/>
          <w:numId w:val="100"/>
        </w:numPr>
        <w:contextualSpacing/>
        <w:jc w:val="both"/>
        <w:rPr>
          <w:rFonts w:ascii="Arial" w:hAnsi="Arial" w:cs="Arial"/>
          <w:iCs/>
        </w:rPr>
      </w:pPr>
      <w:r w:rsidRPr="00010DDE">
        <w:rPr>
          <w:rFonts w:ascii="Arial" w:hAnsi="Arial" w:cs="Arial"/>
          <w:iCs/>
        </w:rPr>
        <w:t>Rapport sur la performance de la gestion des finances publiques(PEFA) évaluation des systèmes, des processus et des institutions de gestion des finances publiques du Maroc, mai 2009</w:t>
      </w:r>
      <w:r>
        <w:rPr>
          <w:rFonts w:ascii="Arial" w:hAnsi="Arial" w:cs="Arial"/>
          <w:iCs/>
        </w:rPr>
        <w:t>.</w:t>
      </w:r>
    </w:p>
    <w:p w:rsidR="009B3251" w:rsidRDefault="009B3251" w:rsidP="009B3251">
      <w:pPr>
        <w:rPr>
          <w:rFonts w:ascii="Arial" w:hAnsi="Arial" w:cs="Arial"/>
          <w:iCs/>
        </w:rPr>
      </w:pPr>
    </w:p>
    <w:p w:rsidR="009B3251" w:rsidRDefault="009B3251" w:rsidP="009B3251">
      <w:pPr>
        <w:jc w:val="both"/>
        <w:rPr>
          <w:rFonts w:ascii="Arial" w:hAnsi="Arial" w:cs="Arial"/>
          <w:iCs/>
        </w:rPr>
      </w:pPr>
      <w:r w:rsidRPr="00010DDE">
        <w:rPr>
          <w:rFonts w:ascii="Arial" w:hAnsi="Arial" w:cs="Arial"/>
          <w:iCs/>
          <w:u w:val="single"/>
        </w:rPr>
        <w:t>Cour des Comptes</w:t>
      </w:r>
      <w:r w:rsidRPr="00010DDE">
        <w:rPr>
          <w:rFonts w:ascii="Arial" w:hAnsi="Arial" w:cs="Arial"/>
          <w:iCs/>
        </w:rPr>
        <w:t xml:space="preserve"> </w:t>
      </w:r>
    </w:p>
    <w:p w:rsidR="009B3251" w:rsidRDefault="009B3251" w:rsidP="009B3251">
      <w:pPr>
        <w:pStyle w:val="ListParagraph"/>
        <w:numPr>
          <w:ilvl w:val="0"/>
          <w:numId w:val="100"/>
        </w:numPr>
        <w:jc w:val="both"/>
        <w:rPr>
          <w:rFonts w:ascii="Arial" w:hAnsi="Arial" w:cs="Arial"/>
          <w:iCs/>
        </w:rPr>
      </w:pPr>
      <w:r w:rsidRPr="005715F5">
        <w:rPr>
          <w:rFonts w:ascii="Arial" w:hAnsi="Arial" w:cs="Arial"/>
          <w:iCs/>
        </w:rPr>
        <w:t>Rapports annuels des exercices 2011 et 2012</w:t>
      </w:r>
      <w:r>
        <w:rPr>
          <w:rFonts w:ascii="Arial" w:hAnsi="Arial" w:cs="Arial"/>
          <w:iCs/>
        </w:rPr>
        <w:t>;</w:t>
      </w:r>
    </w:p>
    <w:p w:rsidR="009B3251" w:rsidRDefault="009B3251" w:rsidP="009B3251">
      <w:pPr>
        <w:pStyle w:val="ListParagraph"/>
        <w:jc w:val="both"/>
        <w:rPr>
          <w:rFonts w:ascii="Arial" w:hAnsi="Arial" w:cs="Arial"/>
          <w:iCs/>
        </w:rPr>
      </w:pPr>
    </w:p>
    <w:p w:rsidR="009B3251" w:rsidRPr="005715F5" w:rsidRDefault="009B3251" w:rsidP="009B3251">
      <w:pPr>
        <w:pStyle w:val="ListParagraph"/>
        <w:numPr>
          <w:ilvl w:val="0"/>
          <w:numId w:val="100"/>
        </w:numPr>
        <w:jc w:val="both"/>
        <w:rPr>
          <w:rFonts w:ascii="Arial" w:hAnsi="Arial" w:cs="Arial"/>
          <w:iCs/>
        </w:rPr>
      </w:pPr>
      <w:r w:rsidRPr="005715F5">
        <w:rPr>
          <w:rFonts w:ascii="Arial" w:hAnsi="Arial" w:cs="Arial"/>
          <w:iCs/>
        </w:rPr>
        <w:t>Cadre juridique de l’action des juridictions financières, Cours des Comptes du Royaume du Maroc, 2012.</w:t>
      </w:r>
    </w:p>
    <w:p w:rsidR="009B3251" w:rsidRPr="00010DDE" w:rsidRDefault="009B3251" w:rsidP="009B3251">
      <w:pPr>
        <w:jc w:val="both"/>
        <w:rPr>
          <w:rFonts w:ascii="Arial" w:hAnsi="Arial" w:cs="Arial"/>
          <w:b/>
          <w:bCs/>
          <w:iCs/>
        </w:rPr>
      </w:pPr>
    </w:p>
    <w:p w:rsidR="009B3251" w:rsidRPr="002266BE" w:rsidRDefault="009B3251" w:rsidP="009B3251">
      <w:pPr>
        <w:jc w:val="both"/>
        <w:rPr>
          <w:rFonts w:ascii="Arial" w:hAnsi="Arial" w:cs="Arial"/>
          <w:iCs/>
        </w:rPr>
      </w:pPr>
      <w:r w:rsidRPr="00010DDE">
        <w:rPr>
          <w:rFonts w:ascii="Arial" w:hAnsi="Arial" w:cs="Arial"/>
          <w:b/>
          <w:bCs/>
          <w:iCs/>
        </w:rPr>
        <w:t>Sites Web consultés</w:t>
      </w:r>
    </w:p>
    <w:p w:rsidR="009B3251" w:rsidRPr="00AC3F41" w:rsidRDefault="009B3251" w:rsidP="009B3251">
      <w:pPr>
        <w:jc w:val="both"/>
        <w:rPr>
          <w:rFonts w:ascii="Arial" w:hAnsi="Arial" w:cs="Arial"/>
          <w:iCs/>
          <w:u w:val="single"/>
          <w:lang w:val="nl-NL"/>
        </w:rPr>
      </w:pPr>
      <w:r w:rsidRPr="00010DDE">
        <w:rPr>
          <w:rFonts w:ascii="Arial" w:hAnsi="Arial" w:cs="Arial"/>
          <w:iCs/>
          <w:u w:val="single"/>
          <w:lang w:val="nl-NL"/>
        </w:rPr>
        <w:t>Portail National des Collectivités Locales</w:t>
      </w:r>
      <w:r w:rsidRPr="00010DDE">
        <w:rPr>
          <w:rFonts w:ascii="Arial" w:hAnsi="Arial" w:cs="Arial"/>
          <w:iCs/>
          <w:lang w:val="nl-NL"/>
        </w:rPr>
        <w:t xml:space="preserve">: </w:t>
      </w:r>
      <w:hyperlink r:id="rId27" w:history="1">
        <w:r w:rsidRPr="00010DDE">
          <w:rPr>
            <w:rStyle w:val="Hyperlink"/>
            <w:rFonts w:ascii="Arial" w:hAnsi="Arial" w:cs="Arial"/>
            <w:iCs/>
            <w:lang w:val="nl-NL"/>
          </w:rPr>
          <w:t>www.pncl.gov.ma</w:t>
        </w:r>
      </w:hyperlink>
    </w:p>
    <w:p w:rsidR="009B3251" w:rsidRPr="00AC3F41" w:rsidRDefault="009B3251" w:rsidP="009B3251">
      <w:pPr>
        <w:jc w:val="both"/>
        <w:rPr>
          <w:rFonts w:ascii="Arial" w:hAnsi="Arial" w:cs="Arial"/>
          <w:iCs/>
        </w:rPr>
      </w:pPr>
      <w:r w:rsidRPr="00010DDE">
        <w:rPr>
          <w:rFonts w:ascii="Arial" w:hAnsi="Arial" w:cs="Arial"/>
          <w:iCs/>
          <w:u w:val="single"/>
        </w:rPr>
        <w:t>Cour des Comptes du Royaume du Maroc</w:t>
      </w:r>
      <w:r w:rsidRPr="00010DDE">
        <w:rPr>
          <w:rFonts w:ascii="Arial" w:hAnsi="Arial" w:cs="Arial"/>
          <w:iCs/>
        </w:rPr>
        <w:t xml:space="preserve"> : </w:t>
      </w:r>
      <w:hyperlink r:id="rId28" w:history="1">
        <w:r w:rsidRPr="00010DDE">
          <w:rPr>
            <w:rStyle w:val="Hyperlink"/>
            <w:rFonts w:ascii="Arial" w:hAnsi="Arial" w:cs="Arial"/>
            <w:iCs/>
          </w:rPr>
          <w:t>www.courdescomptes.ma</w:t>
        </w:r>
      </w:hyperlink>
    </w:p>
    <w:p w:rsidR="009B3251" w:rsidRPr="00010DDE" w:rsidRDefault="009B3251" w:rsidP="009B3251">
      <w:pPr>
        <w:jc w:val="both"/>
        <w:rPr>
          <w:rFonts w:ascii="Arial" w:hAnsi="Arial" w:cs="Arial"/>
          <w:iCs/>
          <w:lang w:val="nl-NL"/>
        </w:rPr>
      </w:pPr>
      <w:r w:rsidRPr="00010DDE">
        <w:rPr>
          <w:rFonts w:ascii="Arial" w:hAnsi="Arial" w:cs="Arial"/>
          <w:iCs/>
          <w:u w:val="single"/>
          <w:lang w:val="nl-NL"/>
        </w:rPr>
        <w:t>Secrétariat PEFA:</w:t>
      </w:r>
      <w:hyperlink r:id="rId29" w:history="1">
        <w:r w:rsidRPr="00010DDE">
          <w:rPr>
            <w:rStyle w:val="Hyperlink"/>
            <w:rFonts w:ascii="Arial" w:hAnsi="Arial" w:cs="Arial"/>
            <w:iCs/>
            <w:lang w:val="nl-NL"/>
          </w:rPr>
          <w:t>www.pefa.org</w:t>
        </w:r>
      </w:hyperlink>
    </w:p>
    <w:p w:rsidR="00913D5F" w:rsidRDefault="009B3251" w:rsidP="00581667">
      <w:pPr>
        <w:jc w:val="both"/>
      </w:pPr>
      <w:r w:rsidRPr="00010DDE">
        <w:rPr>
          <w:rFonts w:ascii="Arial" w:hAnsi="Arial" w:cs="Arial"/>
          <w:iCs/>
          <w:lang w:val="nl-NL"/>
        </w:rPr>
        <w:t xml:space="preserve">Secrétariat Général du Gouvernement : </w:t>
      </w:r>
      <w:hyperlink r:id="rId30" w:history="1">
        <w:r w:rsidRPr="00010DDE">
          <w:rPr>
            <w:rStyle w:val="Hyperlink"/>
            <w:rFonts w:ascii="Arial" w:hAnsi="Arial" w:cs="Arial"/>
            <w:iCs/>
            <w:lang w:val="nl-NL"/>
          </w:rPr>
          <w:t>www.sgg.gov.ma</w:t>
        </w:r>
      </w:hyperlink>
      <w:bookmarkStart w:id="398" w:name="_Toc412839453"/>
    </w:p>
    <w:p w:rsidR="009625DB" w:rsidRDefault="009625DB">
      <w:pPr>
        <w:rPr>
          <w:rFonts w:ascii="Arial" w:hAnsi="Arial" w:cs="Arial"/>
          <w:b/>
          <w:bCs/>
          <w:iCs/>
        </w:rPr>
      </w:pPr>
      <w:bookmarkStart w:id="399" w:name="_Toc434916198"/>
      <w:bookmarkStart w:id="400" w:name="_Toc434918413"/>
      <w:r>
        <w:rPr>
          <w:i/>
        </w:rPr>
        <w:br w:type="page"/>
      </w:r>
    </w:p>
    <w:p w:rsidR="009B3251" w:rsidRPr="00913D5F" w:rsidRDefault="009B3251" w:rsidP="00913D5F">
      <w:pPr>
        <w:pStyle w:val="Heading2"/>
        <w:jc w:val="both"/>
        <w:rPr>
          <w:i w:val="0"/>
          <w:sz w:val="24"/>
          <w:szCs w:val="24"/>
        </w:rPr>
      </w:pPr>
      <w:r w:rsidRPr="00913D5F">
        <w:rPr>
          <w:i w:val="0"/>
          <w:sz w:val="24"/>
          <w:szCs w:val="24"/>
        </w:rPr>
        <w:t xml:space="preserve">Annexe </w:t>
      </w:r>
      <w:r w:rsidR="00DD3964" w:rsidRPr="00913D5F">
        <w:rPr>
          <w:i w:val="0"/>
          <w:sz w:val="24"/>
          <w:szCs w:val="24"/>
        </w:rPr>
        <w:t>2B</w:t>
      </w:r>
      <w:r w:rsidRPr="00913D5F">
        <w:rPr>
          <w:i w:val="0"/>
          <w:sz w:val="24"/>
          <w:szCs w:val="24"/>
        </w:rPr>
        <w:t>: Liste de personnes rencontrées</w:t>
      </w:r>
      <w:bookmarkEnd w:id="398"/>
      <w:bookmarkEnd w:id="399"/>
      <w:bookmarkEnd w:id="400"/>
    </w:p>
    <w:p w:rsidR="009B3251" w:rsidRDefault="009B3251" w:rsidP="009B3251">
      <w:pPr>
        <w:jc w:val="both"/>
        <w:rPr>
          <w:rFonts w:ascii="Arial" w:hAnsi="Arial" w:cs="Arial"/>
          <w:iCs/>
          <w:u w:val="single"/>
        </w:rPr>
      </w:pPr>
    </w:p>
    <w:tbl>
      <w:tblPr>
        <w:tblW w:w="9240" w:type="dxa"/>
        <w:tblInd w:w="53" w:type="dxa"/>
        <w:tblCellMar>
          <w:left w:w="70" w:type="dxa"/>
          <w:right w:w="70" w:type="dxa"/>
        </w:tblCellMar>
        <w:tblLook w:val="04A0" w:firstRow="1" w:lastRow="0" w:firstColumn="1" w:lastColumn="0" w:noHBand="0" w:noVBand="1"/>
      </w:tblPr>
      <w:tblGrid>
        <w:gridCol w:w="1747"/>
        <w:gridCol w:w="1913"/>
        <w:gridCol w:w="5580"/>
      </w:tblGrid>
      <w:tr w:rsidR="009B3251" w:rsidRPr="007162C6" w:rsidTr="002A24D6">
        <w:trPr>
          <w:trHeight w:val="300"/>
        </w:trPr>
        <w:tc>
          <w:tcPr>
            <w:tcW w:w="1747" w:type="dxa"/>
            <w:tcBorders>
              <w:top w:val="nil"/>
              <w:left w:val="nil"/>
              <w:bottom w:val="single" w:sz="12" w:space="0" w:color="FFFFFF"/>
              <w:right w:val="single" w:sz="4" w:space="0" w:color="FFFFFF"/>
            </w:tcBorders>
            <w:shd w:val="clear" w:color="4F81BD" w:fill="4F81BD"/>
            <w:noWrap/>
            <w:vAlign w:val="bottom"/>
            <w:hideMark/>
          </w:tcPr>
          <w:p w:rsidR="009B3251" w:rsidRPr="007162C6" w:rsidRDefault="009B3251" w:rsidP="009B3251">
            <w:pPr>
              <w:rPr>
                <w:rFonts w:ascii="Calibri" w:hAnsi="Calibri"/>
                <w:b/>
                <w:bCs/>
                <w:color w:val="FFFFFF"/>
                <w:lang w:eastAsia="fr-FR"/>
              </w:rPr>
            </w:pPr>
            <w:r w:rsidRPr="007162C6">
              <w:rPr>
                <w:rFonts w:ascii="Calibri" w:hAnsi="Calibri"/>
                <w:b/>
                <w:bCs/>
                <w:color w:val="FFFFFF"/>
                <w:lang w:eastAsia="fr-FR"/>
              </w:rPr>
              <w:t>Nom</w:t>
            </w:r>
          </w:p>
        </w:tc>
        <w:tc>
          <w:tcPr>
            <w:tcW w:w="1913" w:type="dxa"/>
            <w:tcBorders>
              <w:top w:val="nil"/>
              <w:left w:val="nil"/>
              <w:bottom w:val="single" w:sz="12" w:space="0" w:color="FFFFFF"/>
              <w:right w:val="single" w:sz="4" w:space="0" w:color="FFFFFF"/>
            </w:tcBorders>
            <w:shd w:val="clear" w:color="4F81BD" w:fill="4F81BD"/>
            <w:noWrap/>
            <w:vAlign w:val="bottom"/>
            <w:hideMark/>
          </w:tcPr>
          <w:p w:rsidR="009B3251" w:rsidRPr="007162C6" w:rsidRDefault="009B3251" w:rsidP="009B3251">
            <w:pPr>
              <w:rPr>
                <w:rFonts w:ascii="Calibri" w:hAnsi="Calibri"/>
                <w:b/>
                <w:bCs/>
                <w:color w:val="FFFFFF"/>
                <w:lang w:eastAsia="fr-FR"/>
              </w:rPr>
            </w:pPr>
            <w:r w:rsidRPr="007162C6">
              <w:rPr>
                <w:rFonts w:ascii="Calibri" w:hAnsi="Calibri"/>
                <w:b/>
                <w:bCs/>
                <w:color w:val="FFFFFF"/>
                <w:lang w:eastAsia="fr-FR"/>
              </w:rPr>
              <w:t>Prénom</w:t>
            </w:r>
          </w:p>
        </w:tc>
        <w:tc>
          <w:tcPr>
            <w:tcW w:w="5580" w:type="dxa"/>
            <w:tcBorders>
              <w:top w:val="nil"/>
              <w:left w:val="nil"/>
              <w:bottom w:val="single" w:sz="12" w:space="0" w:color="FFFFFF"/>
              <w:right w:val="single" w:sz="4" w:space="0" w:color="FFFFFF"/>
            </w:tcBorders>
            <w:shd w:val="clear" w:color="4F81BD" w:fill="4F81BD"/>
            <w:noWrap/>
            <w:vAlign w:val="bottom"/>
            <w:hideMark/>
          </w:tcPr>
          <w:p w:rsidR="009B3251" w:rsidRPr="007162C6" w:rsidRDefault="009B3251" w:rsidP="009B3251">
            <w:pPr>
              <w:rPr>
                <w:rFonts w:ascii="Calibri" w:hAnsi="Calibri"/>
                <w:b/>
                <w:bCs/>
                <w:color w:val="FFFFFF"/>
                <w:lang w:eastAsia="fr-FR"/>
              </w:rPr>
            </w:pPr>
            <w:r w:rsidRPr="007162C6">
              <w:rPr>
                <w:rFonts w:ascii="Calibri" w:hAnsi="Calibri"/>
                <w:b/>
                <w:bCs/>
                <w:color w:val="FFFFFF"/>
                <w:lang w:eastAsia="fr-FR"/>
              </w:rPr>
              <w:t>Organisme</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ABDELALI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Abdelaziz</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Wilaya DCL</w:t>
            </w:r>
          </w:p>
        </w:tc>
      </w:tr>
      <w:tr w:rsidR="009B3251" w:rsidRPr="007162C6" w:rsidTr="002A24D6">
        <w:trPr>
          <w:trHeight w:val="315"/>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ABDELKARIM</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Irchad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Arr. Roches Noires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ABOUL-HROUZ</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Brahim</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Chef du se</w:t>
            </w:r>
            <w:r>
              <w:rPr>
                <w:rFonts w:ascii="Calibri" w:hAnsi="Calibri"/>
                <w:color w:val="000000"/>
                <w:lang w:eastAsia="fr-FR"/>
              </w:rPr>
              <w:t>r</w:t>
            </w:r>
            <w:r w:rsidRPr="007162C6">
              <w:rPr>
                <w:rFonts w:ascii="Calibri" w:hAnsi="Calibri"/>
                <w:color w:val="000000"/>
                <w:lang w:eastAsia="fr-FR"/>
              </w:rPr>
              <w:t>vice juridique Arrondissement Sidi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AFIFI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Asmae</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Ministère de l'Intérieur DGCL-DFL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AIT LAADILA</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Abdelmjid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Vice président Arrondissement Sidi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AKAZAF</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Casa Patrimoine-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AKHSAS</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Omar</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  Directeur du PCL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AKLI </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DGI DRI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ALAOUI EL HASSANI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Latifa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Wilaya PCL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ALLOUADDI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Rabii</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Suppléant Hay Mohammadi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AMIR EL IDRISSI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Rachid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Sidi Belyout</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AOUAD </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Ahmed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Ain Chok</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BAKHTAOUI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Hassane</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BAZZI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Ahmed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 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BEL ABBES </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Younes</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PCL DSPL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BELLAHCEN</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Houda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BELLIL</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Nemman</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Casa Amé</w:t>
            </w:r>
            <w:r w:rsidRPr="007162C6">
              <w:rPr>
                <w:rFonts w:ascii="Calibri" w:hAnsi="Calibri"/>
                <w:color w:val="000000"/>
                <w:lang w:eastAsia="fr-FR"/>
              </w:rPr>
              <w:t xml:space="preserve">nagement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BENAHOU</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Aziz</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Casa Transports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BENDRISS</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Youssef</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Chef division Juridique et Contentieux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BENHAMDOUN</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Hamid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Trésorerie </w:t>
            </w:r>
            <w:r w:rsidR="00526518" w:rsidRPr="007162C6">
              <w:rPr>
                <w:rFonts w:ascii="Calibri" w:hAnsi="Calibri"/>
                <w:color w:val="000000"/>
                <w:lang w:eastAsia="fr-FR"/>
              </w:rPr>
              <w:t>Régionale</w:t>
            </w:r>
            <w:r w:rsidRPr="007162C6">
              <w:rPr>
                <w:rFonts w:ascii="Calibri" w:hAnsi="Calibri"/>
                <w:color w:val="000000"/>
                <w:lang w:eastAsia="fr-FR"/>
              </w:rPr>
              <w:t xml:space="preserve"> de </w:t>
            </w:r>
            <w:r w:rsidR="00526518" w:rsidRPr="007162C6">
              <w:rPr>
                <w:rFonts w:ascii="Calibri" w:hAnsi="Calibri"/>
                <w:color w:val="000000"/>
                <w:lang w:eastAsia="fr-FR"/>
              </w:rPr>
              <w:t>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BENSLIM</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Bouchra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Wilaya PCL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Benyoussef</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Sanaa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Directeur Général Adjoint Casa Aménagements -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BOUALAM</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Oussama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LYDEC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BOUALAM</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Fatiha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Adjoint Sbata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BOUFARIHA</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Hamid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Direction Régionale des Impôts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BOUHLAL</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Adam</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Bernoussi Directeur Complexe Culturel Hassan Skelli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CHABILA</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Ain Chok</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CHARKAOUI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TGR</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CHERKAOUI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Koltom</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AFC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DAHAMI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Khalid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Président Fédération du Commerce et Services CGEM</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DAHEN</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Saifeddine</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Secrétaire Général Adjoint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DAHIR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Laheucine</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Wilaya PCL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DARRAK</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Farid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106354" w:rsidP="009B3251">
            <w:pPr>
              <w:rPr>
                <w:rFonts w:ascii="Calibri" w:hAnsi="Calibri"/>
                <w:color w:val="000000"/>
                <w:lang w:eastAsia="fr-FR"/>
              </w:rPr>
            </w:pPr>
            <w:r w:rsidRPr="007162C6">
              <w:rPr>
                <w:rFonts w:ascii="Calibri" w:hAnsi="Calibri"/>
                <w:color w:val="000000"/>
                <w:lang w:eastAsia="fr-FR"/>
              </w:rPr>
              <w:t>Adjoint</w:t>
            </w:r>
            <w:r w:rsidR="009B3251" w:rsidRPr="007162C6">
              <w:rPr>
                <w:rFonts w:ascii="Calibri" w:hAnsi="Calibri"/>
                <w:color w:val="000000"/>
                <w:lang w:eastAsia="fr-FR"/>
              </w:rPr>
              <w:t xml:space="preserve"> Régisseur Aïn Sbaa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DHAIMI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Redouane</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Anfa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DOUHAIBI </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Malika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Service des Marchés DGB</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DRAISS</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Youssef</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 xml:space="preserve">Directeur Général </w:t>
            </w:r>
            <w:r w:rsidRPr="007162C6">
              <w:rPr>
                <w:rFonts w:ascii="Calibri" w:hAnsi="Calibri"/>
                <w:color w:val="000000"/>
                <w:lang w:eastAsia="fr-FR"/>
              </w:rPr>
              <w:t xml:space="preserve">Casa Transports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DYANI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Hamid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Arr. Sidi Moumen</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ECHCHAFI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Abdellah</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Mly Rachid</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 AGAL</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Tahar</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Service Perm</w:t>
            </w:r>
            <w:r>
              <w:rPr>
                <w:rFonts w:ascii="Calibri" w:hAnsi="Calibri"/>
                <w:color w:val="000000"/>
                <w:lang w:eastAsia="fr-FR"/>
              </w:rPr>
              <w:t>an</w:t>
            </w:r>
            <w:r w:rsidRPr="007162C6">
              <w:rPr>
                <w:rFonts w:ascii="Calibri" w:hAnsi="Calibri"/>
                <w:color w:val="000000"/>
                <w:lang w:eastAsia="fr-FR"/>
              </w:rPr>
              <w:t>ent de Cont</w:t>
            </w:r>
            <w:r>
              <w:rPr>
                <w:rFonts w:ascii="Calibri" w:hAnsi="Calibri"/>
                <w:color w:val="000000"/>
                <w:lang w:eastAsia="fr-FR"/>
              </w:rPr>
              <w:t>r</w:t>
            </w:r>
            <w:r w:rsidRPr="007162C6">
              <w:rPr>
                <w:rFonts w:ascii="Calibri" w:hAnsi="Calibri"/>
                <w:color w:val="000000"/>
                <w:lang w:eastAsia="fr-FR"/>
              </w:rPr>
              <w:t>ôle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EL FANOUNI </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Said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Mly Rachid</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 GHAZZANE</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Leila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Chargée de Mission</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EL KADI </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Hicham</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Casa Patrimoine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 OMARI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Rachida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Cham</w:t>
            </w:r>
            <w:r>
              <w:rPr>
                <w:rFonts w:ascii="Calibri" w:hAnsi="Calibri"/>
                <w:color w:val="000000"/>
                <w:lang w:eastAsia="fr-FR"/>
              </w:rPr>
              <w:t>b</w:t>
            </w:r>
            <w:r w:rsidRPr="007162C6">
              <w:rPr>
                <w:rFonts w:ascii="Calibri" w:hAnsi="Calibri"/>
                <w:color w:val="000000"/>
                <w:lang w:eastAsia="fr-FR"/>
              </w:rPr>
              <w:t>re de Commerce, d'Industrie et de Service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 OUAZZANI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lang w:eastAsia="fr-FR"/>
              </w:rPr>
            </w:pPr>
            <w:r w:rsidRPr="007162C6">
              <w:rPr>
                <w:rFonts w:ascii="Calibri" w:hAnsi="Calibri"/>
                <w:lang w:eastAsia="fr-FR"/>
              </w:rPr>
              <w:t xml:space="preserve"> </w:t>
            </w:r>
            <w:r w:rsidR="00FA03F9">
              <w:rPr>
                <w:rFonts w:ascii="Calibri" w:hAnsi="Calibri"/>
                <w:lang w:eastAsia="fr-FR"/>
              </w:rPr>
              <w:t>Leila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FA03F9" w:rsidP="009B3251">
            <w:pPr>
              <w:rPr>
                <w:rFonts w:ascii="Calibri" w:hAnsi="Calibri"/>
                <w:color w:val="000000"/>
                <w:lang w:eastAsia="fr-FR"/>
              </w:rPr>
            </w:pPr>
            <w:r>
              <w:rPr>
                <w:rFonts w:ascii="Calibri" w:hAnsi="Calibri"/>
                <w:color w:val="000000"/>
                <w:lang w:eastAsia="fr-FR"/>
              </w:rPr>
              <w:t>Chargée de mission à la CC</w:t>
            </w:r>
            <w:r w:rsidR="009B3251" w:rsidRPr="007162C6">
              <w:rPr>
                <w:rFonts w:ascii="Calibri" w:hAnsi="Calibri"/>
                <w:color w:val="000000"/>
                <w:lang w:eastAsia="fr-FR"/>
              </w:rPr>
              <w:t xml:space="preserve">  </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 RHAFFOULI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Youssef</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ELKTINI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Hassan </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Direction Régionale des Impôts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auto" w:fill="DBE5F1" w:themeFill="accent1" w:themeFillTint="33"/>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EMAHI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Meriyem</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262F9D" w:rsidP="009B3251">
            <w:pPr>
              <w:rPr>
                <w:rFonts w:ascii="Calibri" w:hAnsi="Calibri"/>
                <w:color w:val="000000"/>
                <w:lang w:eastAsia="fr-FR"/>
              </w:rPr>
            </w:pPr>
            <w:r>
              <w:rPr>
                <w:rFonts w:ascii="Calibri" w:hAnsi="Calibri"/>
                <w:color w:val="000000"/>
                <w:lang w:eastAsia="fr-FR"/>
              </w:rPr>
              <w:t>CC</w:t>
            </w:r>
            <w:r w:rsidR="009B3251" w:rsidRPr="007162C6">
              <w:rPr>
                <w:rFonts w:ascii="Calibri" w:hAnsi="Calibri"/>
                <w:color w:val="000000"/>
                <w:lang w:eastAsia="fr-FR"/>
              </w:rPr>
              <w:t xml:space="preserve"> Chargée de Mission</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ESSABBANE</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Jaafar</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Casa Presta</w:t>
            </w:r>
            <w:r>
              <w:rPr>
                <w:rFonts w:ascii="Calibri" w:hAnsi="Calibri"/>
                <w:color w:val="000000"/>
                <w:lang w:eastAsia="fr-FR"/>
              </w:rPr>
              <w:t>t</w:t>
            </w:r>
            <w:r w:rsidRPr="007162C6">
              <w:rPr>
                <w:rFonts w:ascii="Calibri" w:hAnsi="Calibri"/>
                <w:color w:val="000000"/>
                <w:lang w:eastAsia="fr-FR"/>
              </w:rPr>
              <w:t xml:space="preserve">ions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FALHAOUI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Abdelmajid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DAFC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FIKHAWE</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Khalid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Responsable Assiettes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FOUDAL</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Omar</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Mly Rachid</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FOUZAIR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Abdelaziz</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SG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auto" w:fill="DBE5F1" w:themeFill="accent1" w:themeFillTint="33"/>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GADA</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Ali</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GUENNOUNI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Abla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PCL Wilaya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HADDAM</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Brahim</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des Abbatoirs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HADINE</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Said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DGB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HAIDER</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Abdelkrim</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SG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HAÏTAMI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Abdelali</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LYDEC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HAKKOUNI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Régisseur Hay Hassani </w:t>
            </w:r>
            <w:r w:rsidR="00262F9D">
              <w:rPr>
                <w:rFonts w:ascii="Calibri" w:hAnsi="Calibri"/>
                <w:color w:val="000000"/>
                <w:lang w:eastAsia="fr-FR"/>
              </w:rPr>
              <w:t>CC</w:t>
            </w:r>
            <w:r w:rsidRPr="007162C6">
              <w:rPr>
                <w:rFonts w:ascii="Calibri" w:hAnsi="Calibri"/>
                <w:color w:val="000000"/>
                <w:lang w:eastAsia="fr-FR"/>
              </w:rPr>
              <w:t xml:space="preserve"> </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IFLAHEN</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Chrifa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Cour Régionale des Comptes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ISAMBERT</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Anne</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Agence Française de Développement</w:t>
            </w:r>
          </w:p>
        </w:tc>
      </w:tr>
      <w:tr w:rsidR="009B3251" w:rsidRPr="007162C6" w:rsidTr="002A24D6">
        <w:trPr>
          <w:trHeight w:val="314"/>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JOUDAT</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lang w:eastAsia="fr-FR"/>
              </w:rPr>
            </w:pPr>
            <w:r w:rsidRPr="007162C6">
              <w:rPr>
                <w:rFonts w:ascii="Calibri" w:hAnsi="Calibri"/>
                <w:lang w:eastAsia="fr-FR"/>
              </w:rPr>
              <w:t>Régisseur du Marché de Gros</w:t>
            </w:r>
          </w:p>
        </w:tc>
      </w:tr>
      <w:tr w:rsidR="009B3251" w:rsidRPr="00EC1AFD"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EC1AFD">
              <w:rPr>
                <w:rFonts w:ascii="Calibri" w:hAnsi="Calibri"/>
                <w:color w:val="000000"/>
                <w:lang w:eastAsia="fr-FR"/>
              </w:rPr>
              <w:t>KHADRAOUI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Abdellah</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EC1AFD" w:rsidRDefault="009B3251" w:rsidP="009B3251">
            <w:pPr>
              <w:rPr>
                <w:rFonts w:ascii="Calibri" w:hAnsi="Calibri"/>
                <w:color w:val="000000"/>
                <w:lang w:eastAsia="fr-FR"/>
              </w:rPr>
            </w:pPr>
            <w:r w:rsidRPr="00EC1AFD">
              <w:rPr>
                <w:rFonts w:ascii="Calibri" w:hAnsi="Calibri"/>
                <w:color w:val="000000"/>
                <w:lang w:eastAsia="fr-FR"/>
              </w:rPr>
              <w:t>Centre Régional d’Investissement de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KHALIL</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Hakima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DEDD</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KHAZANE</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recettes Arr. Ben M'Sik</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KHIRAIE</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Hassa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Mers Sultan</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LAABADI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Abderrazak</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LACARELLE</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Pierre-Alexandre</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LYDEC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LACHGAR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Abdellatif</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Arr. Sidi Slimane</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LALI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SPC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LASKY</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Karima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Chef division Système d'Information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LAYACHI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Kamal</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Fonds d’Equipement communal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LEMEARRAK </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Ahmed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Arr. Ben M'Sik</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Loudini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Mustapha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DGCL – DFL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LOUZAD</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Abdellah</w:t>
            </w:r>
          </w:p>
        </w:tc>
        <w:tc>
          <w:tcPr>
            <w:tcW w:w="5580" w:type="dxa"/>
            <w:tcBorders>
              <w:top w:val="nil"/>
              <w:left w:val="nil"/>
              <w:bottom w:val="single" w:sz="4" w:space="0" w:color="FFFFFF"/>
              <w:right w:val="single" w:sz="4" w:space="0" w:color="FFFFFF"/>
            </w:tcBorders>
            <w:shd w:val="clear" w:color="B8CCE4" w:fill="B8CCE4"/>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Chef comptable Arrondissement Sidi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MAFTOUH</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M'Barek</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Chef de service technique Arrondissement Sidi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MARHFOUR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Régisseur Arr. Maarif</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MAZOUZ</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Meriem</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Casablanca Amenagement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MOKRIM</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Hicham</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Cour Régionale des Comptes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MOUDDEN</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Laïla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Banque Mondiale</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MOULAY RCHID</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Dris</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Directeur Général Casa-Aménagements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NACIRI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Ahmed Taoufik</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w:t>
            </w:r>
            <w:r w:rsidR="00526518">
              <w:rPr>
                <w:rFonts w:ascii="Calibri" w:hAnsi="Calibri"/>
                <w:color w:val="000000"/>
                <w:lang w:eastAsia="fr-FR"/>
              </w:rPr>
              <w:t>cré</w:t>
            </w:r>
            <w:r w:rsidRPr="007162C6">
              <w:rPr>
                <w:rFonts w:ascii="Calibri" w:hAnsi="Calibri"/>
                <w:color w:val="000000"/>
                <w:lang w:eastAsia="fr-FR"/>
              </w:rPr>
              <w:t xml:space="preserve">taire Général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NOUREDDINE</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Abdelkhalek</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262F9D" w:rsidP="009B3251">
            <w:pPr>
              <w:rPr>
                <w:rFonts w:ascii="Calibri" w:hAnsi="Calibri"/>
                <w:color w:val="000000"/>
                <w:lang w:eastAsia="fr-FR"/>
              </w:rPr>
            </w:pPr>
            <w:r>
              <w:rPr>
                <w:rFonts w:ascii="Calibri" w:hAnsi="Calibri"/>
                <w:color w:val="000000"/>
                <w:lang w:eastAsia="fr-FR"/>
              </w:rPr>
              <w:t>CC</w:t>
            </w:r>
            <w:r w:rsidR="009B3251" w:rsidRPr="007162C6">
              <w:rPr>
                <w:rFonts w:ascii="Calibri" w:hAnsi="Calibri"/>
                <w:color w:val="000000"/>
                <w:lang w:eastAsia="fr-FR"/>
              </w:rPr>
              <w:t xml:space="preserve"> Voiries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OUALLAF</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Naïma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Service Ordonnancement</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OUAM</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Chargé de Mission</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OUARDIRHI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Oussama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SDL Casa Events</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OULMÂABI </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Mohammed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Secrétaire général Arrondissement Sidi Bernoussi</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OUNZAR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lang w:eastAsia="fr-FR"/>
              </w:rPr>
            </w:pPr>
            <w:r w:rsidRPr="007162C6">
              <w:rPr>
                <w:rFonts w:ascii="Calibri" w:hAnsi="Calibri"/>
                <w:lang w:eastAsia="fr-FR"/>
              </w:rPr>
              <w:t xml:space="preserve"> </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Wilaya PCL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RAJI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Laila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Chamre de Commerce, d'Industrie et de Service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RHANBAJA</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Touria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Division Administration du Personnel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RIAD</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Jamal</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Chef de service matériel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RITOUMI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Fatima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 xml:space="preserve">Sabri </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Majida</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Pr>
                <w:rFonts w:ascii="Calibri" w:hAnsi="Calibri"/>
                <w:color w:val="000000"/>
                <w:lang w:eastAsia="fr-FR"/>
              </w:rPr>
              <w:t>DGCL – DFL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SADIKI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Abdelghani</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Gestionnaire </w:t>
            </w:r>
            <w:r w:rsidR="00262F9D">
              <w:rPr>
                <w:rFonts w:ascii="Calibri" w:hAnsi="Calibri"/>
                <w:color w:val="000000"/>
                <w:lang w:eastAsia="fr-FR"/>
              </w:rPr>
              <w:t>CC</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SAÏDI</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Abdellatif</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Directeur Travaux de </w:t>
            </w:r>
            <w:r w:rsidR="00526518" w:rsidRPr="007162C6">
              <w:rPr>
                <w:rFonts w:ascii="Calibri" w:hAnsi="Calibri"/>
                <w:color w:val="000000"/>
                <w:lang w:eastAsia="fr-FR"/>
              </w:rPr>
              <w:t>Bâtiment</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SCALLY</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Wafa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AFC Centrale</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SEIDERER</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Fabian</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Banque Mondiale</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SIBAÏ</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Redouane</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Chamre de Commerce, d'Industrie et de Service Casablanca</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TAOUFIK</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Asmae</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Chef Division Matériel et Marché AHH</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TOUIMER</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Rachid</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Casa Events et Animation </w:t>
            </w:r>
            <w:r>
              <w:rPr>
                <w:rFonts w:ascii="Calibri" w:hAnsi="Calibri"/>
                <w:color w:val="000000"/>
                <w:lang w:eastAsia="fr-FR"/>
              </w:rPr>
              <w:t>–</w:t>
            </w:r>
            <w:r w:rsidRPr="007162C6">
              <w:rPr>
                <w:rFonts w:ascii="Calibri" w:hAnsi="Calibri"/>
                <w:color w:val="000000"/>
                <w:lang w:eastAsia="fr-FR"/>
              </w:rPr>
              <w:t xml:space="preserve"> SDL</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WARDANE </w:t>
            </w:r>
          </w:p>
        </w:tc>
        <w:tc>
          <w:tcPr>
            <w:tcW w:w="1913"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Hassan</w:t>
            </w:r>
          </w:p>
        </w:tc>
        <w:tc>
          <w:tcPr>
            <w:tcW w:w="5580" w:type="dxa"/>
            <w:tcBorders>
              <w:top w:val="nil"/>
              <w:left w:val="nil"/>
              <w:bottom w:val="single" w:sz="4" w:space="0" w:color="FFFFFF"/>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Régiddeur Dar Al Khadamat</w:t>
            </w:r>
          </w:p>
        </w:tc>
      </w:tr>
      <w:tr w:rsidR="009B3251" w:rsidRPr="007162C6" w:rsidTr="002A24D6">
        <w:trPr>
          <w:trHeight w:val="300"/>
        </w:trPr>
        <w:tc>
          <w:tcPr>
            <w:tcW w:w="1747"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YOUBI</w:t>
            </w:r>
          </w:p>
        </w:tc>
        <w:tc>
          <w:tcPr>
            <w:tcW w:w="1913"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Aïcha</w:t>
            </w:r>
          </w:p>
        </w:tc>
        <w:tc>
          <w:tcPr>
            <w:tcW w:w="5580" w:type="dxa"/>
            <w:tcBorders>
              <w:top w:val="nil"/>
              <w:left w:val="nil"/>
              <w:bottom w:val="single" w:sz="4" w:space="0" w:color="FFFFFF"/>
              <w:right w:val="single" w:sz="4" w:space="0" w:color="FFFFFF"/>
            </w:tcBorders>
            <w:shd w:val="clear" w:color="DBE5F1" w:fill="DBE5F1"/>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 xml:space="preserve"> PCL Wilaya</w:t>
            </w:r>
          </w:p>
        </w:tc>
      </w:tr>
      <w:tr w:rsidR="009B3251" w:rsidRPr="007162C6" w:rsidTr="002A24D6">
        <w:trPr>
          <w:trHeight w:val="300"/>
        </w:trPr>
        <w:tc>
          <w:tcPr>
            <w:tcW w:w="1747" w:type="dxa"/>
            <w:tcBorders>
              <w:top w:val="nil"/>
              <w:left w:val="nil"/>
              <w:bottom w:val="nil"/>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ZAKARIA</w:t>
            </w:r>
          </w:p>
        </w:tc>
        <w:tc>
          <w:tcPr>
            <w:tcW w:w="1913" w:type="dxa"/>
            <w:tcBorders>
              <w:top w:val="nil"/>
              <w:left w:val="nil"/>
              <w:bottom w:val="nil"/>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Souhail</w:t>
            </w:r>
          </w:p>
        </w:tc>
        <w:tc>
          <w:tcPr>
            <w:tcW w:w="5580" w:type="dxa"/>
            <w:tcBorders>
              <w:top w:val="nil"/>
              <w:left w:val="nil"/>
              <w:bottom w:val="nil"/>
              <w:right w:val="single" w:sz="4" w:space="0" w:color="FFFFFF"/>
            </w:tcBorders>
            <w:shd w:val="clear" w:color="B8CCE4" w:fill="B8CCE4"/>
            <w:noWrap/>
            <w:vAlign w:val="bottom"/>
            <w:hideMark/>
          </w:tcPr>
          <w:p w:rsidR="009B3251" w:rsidRPr="007162C6" w:rsidRDefault="009B3251" w:rsidP="009B3251">
            <w:pPr>
              <w:rPr>
                <w:rFonts w:ascii="Calibri" w:hAnsi="Calibri"/>
                <w:color w:val="000000"/>
                <w:lang w:eastAsia="fr-FR"/>
              </w:rPr>
            </w:pPr>
            <w:r w:rsidRPr="007162C6">
              <w:rPr>
                <w:rFonts w:ascii="Calibri" w:hAnsi="Calibri"/>
                <w:color w:val="000000"/>
                <w:lang w:eastAsia="fr-FR"/>
              </w:rPr>
              <w:t>Département communication</w:t>
            </w:r>
          </w:p>
        </w:tc>
      </w:tr>
    </w:tbl>
    <w:p w:rsidR="009B3251" w:rsidRDefault="009B3251" w:rsidP="003A596A">
      <w:pPr>
        <w:pStyle w:val="Heading2"/>
      </w:pPr>
    </w:p>
    <w:p w:rsidR="00366EE5" w:rsidRDefault="00366EE5" w:rsidP="003A596A">
      <w:pPr>
        <w:pStyle w:val="Heading2"/>
        <w:sectPr w:rsidR="00366EE5" w:rsidSect="00CA09F7">
          <w:pgSz w:w="12240" w:h="15840" w:code="1"/>
          <w:pgMar w:top="851" w:right="1134" w:bottom="851" w:left="1134" w:header="709" w:footer="709" w:gutter="0"/>
          <w:cols w:space="708"/>
          <w:titlePg/>
          <w:docGrid w:linePitch="360"/>
        </w:sectPr>
      </w:pPr>
    </w:p>
    <w:p w:rsidR="00DD3964" w:rsidRPr="00F92FF8" w:rsidRDefault="00DD3964" w:rsidP="00CC3ED7">
      <w:pPr>
        <w:pStyle w:val="Heading2"/>
        <w:rPr>
          <w:i w:val="0"/>
          <w:color w:val="0070C0"/>
        </w:rPr>
      </w:pPr>
      <w:bookmarkStart w:id="401" w:name="_Toc434916199"/>
      <w:bookmarkStart w:id="402" w:name="_Toc434918414"/>
      <w:bookmarkEnd w:id="384"/>
      <w:bookmarkEnd w:id="385"/>
      <w:r w:rsidRPr="00F92FF8">
        <w:rPr>
          <w:i w:val="0"/>
          <w:color w:val="0070C0"/>
        </w:rPr>
        <w:t>Annexe 3: Calculs pour HLG1</w:t>
      </w:r>
      <w:bookmarkEnd w:id="401"/>
      <w:bookmarkEnd w:id="402"/>
    </w:p>
    <w:p w:rsidR="003A596A" w:rsidRPr="00A17E25" w:rsidRDefault="003A596A" w:rsidP="003A596A"/>
    <w:tbl>
      <w:tblPr>
        <w:tblW w:w="11616" w:type="dxa"/>
        <w:jc w:val="center"/>
        <w:tblCellMar>
          <w:left w:w="70" w:type="dxa"/>
          <w:right w:w="70" w:type="dxa"/>
        </w:tblCellMar>
        <w:tblLook w:val="04A0" w:firstRow="1" w:lastRow="0" w:firstColumn="1" w:lastColumn="0" w:noHBand="0" w:noVBand="1"/>
      </w:tblPr>
      <w:tblGrid>
        <w:gridCol w:w="4804"/>
        <w:gridCol w:w="1048"/>
        <w:gridCol w:w="1048"/>
        <w:gridCol w:w="1290"/>
        <w:gridCol w:w="1048"/>
        <w:gridCol w:w="1229"/>
        <w:gridCol w:w="1149"/>
      </w:tblGrid>
      <w:tr w:rsidR="003A596A" w:rsidRPr="00A17E25" w:rsidTr="002527E5">
        <w:trPr>
          <w:trHeight w:val="478"/>
          <w:jc w:val="center"/>
        </w:trPr>
        <w:tc>
          <w:tcPr>
            <w:tcW w:w="4804" w:type="dxa"/>
            <w:tcBorders>
              <w:top w:val="nil"/>
              <w:left w:val="nil"/>
              <w:bottom w:val="nil"/>
              <w:right w:val="nil"/>
            </w:tcBorders>
            <w:shd w:val="clear" w:color="auto" w:fill="auto"/>
            <w:noWrap/>
            <w:vAlign w:val="bottom"/>
            <w:hideMark/>
          </w:tcPr>
          <w:p w:rsidR="003A596A" w:rsidRDefault="009625DB" w:rsidP="003A596A">
            <w:pPr>
              <w:rPr>
                <w:rFonts w:ascii="Arial" w:hAnsi="Arial" w:cs="Arial"/>
                <w:b/>
                <w:bCs/>
                <w:sz w:val="20"/>
                <w:szCs w:val="20"/>
                <w:lang w:eastAsia="fr-FR"/>
              </w:rPr>
            </w:pPr>
            <w:r w:rsidRPr="002A24D6">
              <w:rPr>
                <w:rFonts w:ascii="Arial" w:hAnsi="Arial" w:cs="Arial"/>
                <w:b/>
                <w:bCs/>
                <w:sz w:val="20"/>
                <w:szCs w:val="20"/>
                <w:lang w:eastAsia="fr-FR"/>
              </w:rPr>
              <w:t>Table</w:t>
            </w:r>
            <w:r w:rsidR="003A596A" w:rsidRPr="00A17E25">
              <w:rPr>
                <w:rFonts w:ascii="Arial" w:hAnsi="Arial" w:cs="Arial"/>
                <w:b/>
                <w:bCs/>
                <w:sz w:val="20"/>
                <w:szCs w:val="20"/>
                <w:lang w:eastAsia="fr-FR"/>
              </w:rPr>
              <w:t xml:space="preserve"> 2</w:t>
            </w:r>
          </w:p>
          <w:p w:rsidR="00647714" w:rsidRDefault="00647714" w:rsidP="003A596A">
            <w:pPr>
              <w:rPr>
                <w:rFonts w:ascii="Arial" w:hAnsi="Arial" w:cs="Arial"/>
                <w:b/>
                <w:bCs/>
                <w:sz w:val="20"/>
                <w:szCs w:val="20"/>
                <w:lang w:eastAsia="fr-FR"/>
              </w:rPr>
            </w:pPr>
            <w:r w:rsidRPr="00A17E25">
              <w:rPr>
                <w:rFonts w:ascii="Arial" w:hAnsi="Arial" w:cs="Arial"/>
                <w:b/>
                <w:bCs/>
                <w:sz w:val="20"/>
                <w:szCs w:val="20"/>
                <w:lang w:eastAsia="fr-FR"/>
              </w:rPr>
              <w:t>Data for year</w:t>
            </w:r>
            <w:r>
              <w:rPr>
                <w:rFonts w:ascii="Arial" w:hAnsi="Arial" w:cs="Arial"/>
                <w:b/>
                <w:bCs/>
                <w:sz w:val="20"/>
                <w:szCs w:val="20"/>
                <w:lang w:eastAsia="fr-FR"/>
              </w:rPr>
              <w:t xml:space="preserve"> </w:t>
            </w:r>
            <w:r w:rsidRPr="00A17E25">
              <w:rPr>
                <w:rFonts w:ascii="Arial" w:hAnsi="Arial" w:cs="Arial"/>
                <w:b/>
                <w:bCs/>
                <w:sz w:val="20"/>
                <w:szCs w:val="20"/>
                <w:lang w:eastAsia="fr-FR"/>
              </w:rPr>
              <w:t>2012</w:t>
            </w:r>
          </w:p>
          <w:p w:rsidR="00A07E88" w:rsidRPr="00A17E25" w:rsidRDefault="00A07E88" w:rsidP="003A596A">
            <w:pPr>
              <w:rPr>
                <w:rFonts w:ascii="Arial" w:hAnsi="Arial" w:cs="Arial"/>
                <w:b/>
                <w:bCs/>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29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229"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9"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r>
      <w:tr w:rsidR="003A596A" w:rsidRPr="00A17E25" w:rsidTr="002527E5">
        <w:trPr>
          <w:trHeight w:val="223"/>
          <w:jc w:val="center"/>
        </w:trPr>
        <w:tc>
          <w:tcPr>
            <w:tcW w:w="4804" w:type="dxa"/>
            <w:tcBorders>
              <w:top w:val="single" w:sz="4" w:space="0" w:color="auto"/>
              <w:left w:val="single" w:sz="4" w:space="0" w:color="auto"/>
              <w:bottom w:val="nil"/>
              <w:right w:val="nil"/>
            </w:tcBorders>
            <w:shd w:val="clear" w:color="auto" w:fill="auto"/>
            <w:noWrap/>
            <w:vAlign w:val="bottom"/>
            <w:hideMark/>
          </w:tcPr>
          <w:p w:rsidR="003A596A" w:rsidRPr="00A17E25" w:rsidRDefault="003A596A" w:rsidP="006803C2">
            <w:pPr>
              <w:rPr>
                <w:rFonts w:ascii="Arial" w:hAnsi="Arial" w:cs="Arial"/>
                <w:b/>
                <w:bCs/>
                <w:sz w:val="20"/>
                <w:szCs w:val="20"/>
                <w:lang w:eastAsia="fr-FR"/>
              </w:rPr>
            </w:pPr>
          </w:p>
        </w:tc>
        <w:tc>
          <w:tcPr>
            <w:tcW w:w="1048" w:type="dxa"/>
            <w:tcBorders>
              <w:top w:val="single" w:sz="4" w:space="0" w:color="auto"/>
              <w:left w:val="nil"/>
              <w:bottom w:val="nil"/>
              <w:right w:val="nil"/>
            </w:tcBorders>
            <w:shd w:val="clear" w:color="auto" w:fill="auto"/>
            <w:noWrap/>
            <w:vAlign w:val="bottom"/>
            <w:hideMark/>
          </w:tcPr>
          <w:p w:rsidR="003A596A" w:rsidRPr="00A17E25" w:rsidRDefault="003A596A" w:rsidP="006803C2">
            <w:pPr>
              <w:rPr>
                <w:rFonts w:ascii="Arial" w:hAnsi="Arial" w:cs="Arial"/>
                <w:b/>
                <w:bCs/>
                <w:sz w:val="20"/>
                <w:szCs w:val="20"/>
                <w:lang w:eastAsia="fr-FR"/>
              </w:rPr>
            </w:pPr>
          </w:p>
        </w:tc>
        <w:tc>
          <w:tcPr>
            <w:tcW w:w="1048"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 </w:t>
            </w:r>
          </w:p>
        </w:tc>
        <w:tc>
          <w:tcPr>
            <w:tcW w:w="1290"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048"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229"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149" w:type="dxa"/>
            <w:tcBorders>
              <w:top w:val="single" w:sz="4" w:space="0" w:color="auto"/>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2527E5">
        <w:trPr>
          <w:trHeight w:val="473"/>
          <w:jc w:val="center"/>
        </w:trPr>
        <w:tc>
          <w:tcPr>
            <w:tcW w:w="4804" w:type="dxa"/>
            <w:tcBorders>
              <w:top w:val="nil"/>
              <w:left w:val="single" w:sz="4" w:space="0" w:color="auto"/>
              <w:bottom w:val="nil"/>
              <w:right w:val="nil"/>
            </w:tcBorders>
            <w:shd w:val="clear" w:color="auto" w:fill="auto"/>
            <w:noWrap/>
            <w:vAlign w:val="center"/>
            <w:hideMark/>
          </w:tcPr>
          <w:p w:rsidR="003A596A" w:rsidRPr="00A17E25" w:rsidRDefault="006803C2" w:rsidP="006803C2">
            <w:pP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dministrative or functional</w:t>
            </w:r>
            <w:r w:rsidR="0024165B">
              <w:rPr>
                <w:rFonts w:ascii="Arial" w:hAnsi="Arial" w:cs="Arial"/>
                <w:sz w:val="20"/>
                <w:szCs w:val="20"/>
                <w:lang w:eastAsia="fr-FR"/>
              </w:rPr>
              <w:t xml:space="preserve"> </w:t>
            </w:r>
            <w:r w:rsidR="003A596A" w:rsidRPr="00A17E25">
              <w:rPr>
                <w:rFonts w:ascii="Arial" w:hAnsi="Arial" w:cs="Arial"/>
                <w:sz w:val="20"/>
                <w:szCs w:val="20"/>
                <w:lang w:eastAsia="fr-FR"/>
              </w:rPr>
              <w:t>head</w:t>
            </w:r>
          </w:p>
        </w:tc>
        <w:tc>
          <w:tcPr>
            <w:tcW w:w="104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r w:rsidRPr="00A17E25">
              <w:rPr>
                <w:rFonts w:ascii="Arial" w:hAnsi="Arial" w:cs="Arial"/>
                <w:b/>
                <w:bCs/>
                <w:sz w:val="20"/>
                <w:szCs w:val="20"/>
                <w:lang w:eastAsia="fr-FR"/>
              </w:rPr>
              <w:t>budget</w:t>
            </w:r>
          </w:p>
        </w:tc>
        <w:tc>
          <w:tcPr>
            <w:tcW w:w="104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r w:rsidRPr="00A17E25">
              <w:rPr>
                <w:rFonts w:ascii="Arial" w:hAnsi="Arial" w:cs="Arial"/>
                <w:b/>
                <w:bCs/>
                <w:sz w:val="20"/>
                <w:szCs w:val="20"/>
                <w:lang w:eastAsia="fr-FR"/>
              </w:rPr>
              <w:t>actual</w:t>
            </w:r>
          </w:p>
        </w:tc>
        <w:tc>
          <w:tcPr>
            <w:tcW w:w="1290" w:type="dxa"/>
            <w:tcBorders>
              <w:top w:val="nil"/>
              <w:left w:val="nil"/>
              <w:bottom w:val="nil"/>
              <w:right w:val="nil"/>
            </w:tcBorders>
            <w:shd w:val="clear" w:color="auto" w:fill="auto"/>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adjusted budget</w:t>
            </w:r>
          </w:p>
        </w:tc>
        <w:tc>
          <w:tcPr>
            <w:tcW w:w="1048" w:type="dxa"/>
            <w:tcBorders>
              <w:top w:val="nil"/>
              <w:left w:val="nil"/>
              <w:bottom w:val="nil"/>
              <w:right w:val="nil"/>
            </w:tcBorders>
            <w:shd w:val="clear" w:color="auto" w:fill="auto"/>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deviation</w:t>
            </w:r>
          </w:p>
        </w:tc>
        <w:tc>
          <w:tcPr>
            <w:tcW w:w="1229" w:type="dxa"/>
            <w:tcBorders>
              <w:top w:val="nil"/>
              <w:left w:val="nil"/>
              <w:bottom w:val="nil"/>
              <w:right w:val="nil"/>
            </w:tcBorders>
            <w:shd w:val="clear" w:color="auto" w:fill="auto"/>
            <w:vAlign w:val="center"/>
            <w:hideMark/>
          </w:tcPr>
          <w:p w:rsidR="003A596A" w:rsidRPr="00A17E25" w:rsidRDefault="0024165B" w:rsidP="003A596A">
            <w:pPr>
              <w:jc w:val="center"/>
              <w:rPr>
                <w:rFonts w:ascii="Arial" w:hAnsi="Arial" w:cs="Arial"/>
                <w:sz w:val="20"/>
                <w:szCs w:val="20"/>
                <w:lang w:eastAsia="fr-FR"/>
              </w:rPr>
            </w:pPr>
            <w:r w:rsidRPr="00A17E25">
              <w:rPr>
                <w:rFonts w:ascii="Arial" w:hAnsi="Arial" w:cs="Arial"/>
                <w:sz w:val="20"/>
                <w:szCs w:val="20"/>
                <w:lang w:eastAsia="fr-FR"/>
              </w:rPr>
              <w:t>A</w:t>
            </w:r>
            <w:r w:rsidR="003A596A" w:rsidRPr="00A17E25">
              <w:rPr>
                <w:rFonts w:ascii="Arial" w:hAnsi="Arial" w:cs="Arial"/>
                <w:sz w:val="20"/>
                <w:szCs w:val="20"/>
                <w:lang w:eastAsia="fr-FR"/>
              </w:rPr>
              <w:t>bsolute</w:t>
            </w:r>
            <w:r>
              <w:rPr>
                <w:rFonts w:ascii="Arial" w:hAnsi="Arial" w:cs="Arial"/>
                <w:sz w:val="20"/>
                <w:szCs w:val="20"/>
                <w:lang w:eastAsia="fr-FR"/>
              </w:rPr>
              <w:t xml:space="preserve"> </w:t>
            </w:r>
            <w:r w:rsidR="003A596A" w:rsidRPr="00A17E25">
              <w:rPr>
                <w:rFonts w:ascii="Arial" w:hAnsi="Arial" w:cs="Arial"/>
                <w:sz w:val="20"/>
                <w:szCs w:val="20"/>
                <w:lang w:eastAsia="fr-FR"/>
              </w:rPr>
              <w:t>deviation</w:t>
            </w:r>
          </w:p>
        </w:tc>
        <w:tc>
          <w:tcPr>
            <w:tcW w:w="1149" w:type="dxa"/>
            <w:tcBorders>
              <w:top w:val="nil"/>
              <w:left w:val="nil"/>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percent</w:t>
            </w: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Administration générale</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260</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260,0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260,0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center"/>
              <w:rPr>
                <w:rFonts w:ascii="Arial" w:hAnsi="Arial" w:cs="Arial"/>
                <w:sz w:val="20"/>
                <w:szCs w:val="20"/>
                <w:lang w:eastAsia="fr-FR"/>
              </w:rPr>
            </w:pP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Domaine affaires sociales</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center"/>
              <w:rPr>
                <w:rFonts w:ascii="Arial" w:hAnsi="Arial" w:cs="Arial"/>
                <w:sz w:val="20"/>
                <w:szCs w:val="20"/>
                <w:lang w:eastAsia="fr-FR"/>
              </w:rPr>
            </w:pP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Domaine affaires techniques</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13855</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13 855,0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13 855,0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center"/>
              <w:rPr>
                <w:rFonts w:ascii="Arial" w:hAnsi="Arial" w:cs="Arial"/>
                <w:sz w:val="20"/>
                <w:szCs w:val="20"/>
                <w:lang w:eastAsia="fr-FR"/>
              </w:rPr>
            </w:pP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Domaine affaires économiques</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3464</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3 464,0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3 464,0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center"/>
              <w:rPr>
                <w:rFonts w:ascii="Arial" w:hAnsi="Arial" w:cs="Arial"/>
                <w:sz w:val="20"/>
                <w:szCs w:val="20"/>
                <w:lang w:eastAsia="fr-FR"/>
              </w:rPr>
            </w:pP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Domaine de soutien</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668000</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668 000,0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668 000,0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center"/>
              <w:rPr>
                <w:rFonts w:ascii="Arial" w:hAnsi="Arial" w:cs="Arial"/>
                <w:sz w:val="20"/>
                <w:szCs w:val="20"/>
                <w:lang w:eastAsia="fr-FR"/>
              </w:rPr>
            </w:pP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Dotation TVA fonctionnement</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351042</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351042</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1 036 621,0</w:t>
            </w:r>
          </w:p>
        </w:tc>
        <w:tc>
          <w:tcPr>
            <w:tcW w:w="1048"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-685 579,0</w:t>
            </w:r>
          </w:p>
        </w:tc>
        <w:tc>
          <w:tcPr>
            <w:tcW w:w="1229" w:type="dxa"/>
            <w:tcBorders>
              <w:top w:val="nil"/>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685 579,0</w:t>
            </w: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66,1%</w:t>
            </w:r>
          </w:p>
        </w:tc>
      </w:tr>
      <w:tr w:rsidR="003A596A" w:rsidRPr="002A24D6" w:rsidTr="002527E5">
        <w:trPr>
          <w:trHeight w:val="223"/>
          <w:jc w:val="center"/>
        </w:trPr>
        <w:tc>
          <w:tcPr>
            <w:tcW w:w="4804" w:type="dxa"/>
            <w:tcBorders>
              <w:top w:val="single" w:sz="4" w:space="0" w:color="auto"/>
              <w:left w:val="single" w:sz="4" w:space="0" w:color="auto"/>
              <w:bottom w:val="nil"/>
              <w:right w:val="nil"/>
            </w:tcBorders>
            <w:shd w:val="clear" w:color="auto" w:fill="auto"/>
            <w:noWrap/>
            <w:vAlign w:val="bottom"/>
            <w:hideMark/>
          </w:tcPr>
          <w:p w:rsidR="003A596A" w:rsidRPr="002A24D6" w:rsidRDefault="0024165B" w:rsidP="003A596A">
            <w:pPr>
              <w:rPr>
                <w:rFonts w:ascii="Arial" w:hAnsi="Arial" w:cs="Arial"/>
                <w:sz w:val="20"/>
                <w:szCs w:val="20"/>
                <w:lang w:eastAsia="fr-FR"/>
              </w:rPr>
            </w:pPr>
            <w:r w:rsidRPr="002A24D6">
              <w:rPr>
                <w:rFonts w:ascii="Arial" w:hAnsi="Arial" w:cs="Arial"/>
                <w:sz w:val="20"/>
                <w:szCs w:val="20"/>
                <w:lang w:eastAsia="fr-FR"/>
              </w:rPr>
              <w:t>A</w:t>
            </w:r>
            <w:r w:rsidR="003A596A" w:rsidRPr="002A24D6">
              <w:rPr>
                <w:rFonts w:ascii="Arial" w:hAnsi="Arial" w:cs="Arial"/>
                <w:sz w:val="20"/>
                <w:szCs w:val="20"/>
                <w:lang w:eastAsia="fr-FR"/>
              </w:rPr>
              <w:t>llocated</w:t>
            </w:r>
            <w:r w:rsidRPr="002A24D6">
              <w:rPr>
                <w:rFonts w:ascii="Arial" w:hAnsi="Arial" w:cs="Arial"/>
                <w:sz w:val="20"/>
                <w:szCs w:val="20"/>
                <w:lang w:eastAsia="fr-FR"/>
              </w:rPr>
              <w:t xml:space="preserve"> </w:t>
            </w:r>
            <w:r w:rsidR="003A596A" w:rsidRPr="002A24D6">
              <w:rPr>
                <w:rFonts w:ascii="Arial" w:hAnsi="Arial" w:cs="Arial"/>
                <w:sz w:val="20"/>
                <w:szCs w:val="20"/>
                <w:lang w:eastAsia="fr-FR"/>
              </w:rPr>
              <w:t>expenditure</w:t>
            </w:r>
          </w:p>
        </w:tc>
        <w:tc>
          <w:tcPr>
            <w:tcW w:w="1048" w:type="dxa"/>
            <w:tcBorders>
              <w:top w:val="single" w:sz="4" w:space="0" w:color="auto"/>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351042</w:t>
            </w:r>
          </w:p>
        </w:tc>
        <w:tc>
          <w:tcPr>
            <w:tcW w:w="1048" w:type="dxa"/>
            <w:tcBorders>
              <w:top w:val="single" w:sz="4" w:space="0" w:color="auto"/>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1036621</w:t>
            </w:r>
          </w:p>
        </w:tc>
        <w:tc>
          <w:tcPr>
            <w:tcW w:w="1290" w:type="dxa"/>
            <w:tcBorders>
              <w:top w:val="single" w:sz="4" w:space="0" w:color="auto"/>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1 036 621,0</w:t>
            </w:r>
          </w:p>
        </w:tc>
        <w:tc>
          <w:tcPr>
            <w:tcW w:w="1048" w:type="dxa"/>
            <w:tcBorders>
              <w:top w:val="single" w:sz="4" w:space="0" w:color="auto"/>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c>
          <w:tcPr>
            <w:tcW w:w="1229" w:type="dxa"/>
            <w:tcBorders>
              <w:top w:val="single" w:sz="4" w:space="0" w:color="auto"/>
              <w:left w:val="nil"/>
              <w:bottom w:val="nil"/>
              <w:right w:val="nil"/>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1 371 158,0</w:t>
            </w:r>
          </w:p>
        </w:tc>
        <w:tc>
          <w:tcPr>
            <w:tcW w:w="1149" w:type="dxa"/>
            <w:tcBorders>
              <w:top w:val="single" w:sz="4" w:space="0" w:color="auto"/>
              <w:left w:val="nil"/>
              <w:bottom w:val="nil"/>
              <w:right w:val="single" w:sz="4" w:space="0" w:color="auto"/>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 </w:t>
            </w:r>
          </w:p>
        </w:tc>
      </w:tr>
      <w:tr w:rsidR="003A596A" w:rsidRPr="002A24D6" w:rsidTr="002527E5">
        <w:trPr>
          <w:trHeight w:val="200"/>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contingency</w:t>
            </w:r>
          </w:p>
        </w:tc>
        <w:tc>
          <w:tcPr>
            <w:tcW w:w="1048" w:type="dxa"/>
            <w:tcBorders>
              <w:top w:val="nil"/>
              <w:left w:val="nil"/>
              <w:bottom w:val="single" w:sz="4" w:space="0" w:color="auto"/>
              <w:right w:val="nil"/>
            </w:tcBorders>
            <w:shd w:val="clear" w:color="auto" w:fill="FFFFFF" w:themeFill="background1"/>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 </w:t>
            </w:r>
          </w:p>
        </w:tc>
        <w:tc>
          <w:tcPr>
            <w:tcW w:w="1048" w:type="dxa"/>
            <w:tcBorders>
              <w:top w:val="nil"/>
              <w:left w:val="nil"/>
              <w:bottom w:val="single" w:sz="4" w:space="0" w:color="auto"/>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229"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 </w:t>
            </w:r>
          </w:p>
        </w:tc>
      </w:tr>
      <w:tr w:rsidR="003A596A" w:rsidRPr="002A24D6" w:rsidTr="002527E5">
        <w:trPr>
          <w:trHeight w:val="255"/>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total expenditure</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351042</w:t>
            </w:r>
          </w:p>
        </w:tc>
        <w:tc>
          <w:tcPr>
            <w:tcW w:w="1048" w:type="dxa"/>
            <w:tcBorders>
              <w:top w:val="nil"/>
              <w:left w:val="nil"/>
              <w:bottom w:val="nil"/>
              <w:right w:val="nil"/>
            </w:tcBorders>
            <w:shd w:val="clear" w:color="auto" w:fill="FFFFFF" w:themeFill="background1"/>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1036621</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229"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 </w:t>
            </w:r>
          </w:p>
        </w:tc>
      </w:tr>
      <w:tr w:rsidR="003A596A" w:rsidRPr="002A24D6" w:rsidTr="002527E5">
        <w:trPr>
          <w:trHeight w:val="223"/>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overall (PI-1) variance</w:t>
            </w:r>
          </w:p>
        </w:tc>
        <w:tc>
          <w:tcPr>
            <w:tcW w:w="1048" w:type="dxa"/>
            <w:tcBorders>
              <w:top w:val="single" w:sz="4" w:space="0" w:color="auto"/>
              <w:left w:val="nil"/>
              <w:bottom w:val="nil"/>
              <w:right w:val="nil"/>
            </w:tcBorders>
            <w:shd w:val="clear" w:color="auto" w:fill="auto"/>
            <w:noWrap/>
            <w:vAlign w:val="bottom"/>
            <w:hideMark/>
          </w:tcPr>
          <w:p w:rsidR="003A596A" w:rsidRPr="002A24D6" w:rsidRDefault="003A596A" w:rsidP="003A596A">
            <w:pPr>
              <w:rPr>
                <w:rFonts w:ascii="Arial" w:hAnsi="Arial" w:cs="Arial"/>
                <w:b/>
                <w:bCs/>
                <w:sz w:val="20"/>
                <w:szCs w:val="20"/>
                <w:lang w:eastAsia="fr-FR"/>
              </w:rPr>
            </w:pPr>
            <w:r w:rsidRPr="002A24D6">
              <w:rPr>
                <w:rFonts w:ascii="Arial" w:hAnsi="Arial" w:cs="Arial"/>
                <w:b/>
                <w:bCs/>
                <w:sz w:val="20"/>
                <w:szCs w:val="20"/>
                <w:lang w:eastAsia="fr-FR"/>
              </w:rPr>
              <w:t> </w:t>
            </w:r>
          </w:p>
        </w:tc>
        <w:tc>
          <w:tcPr>
            <w:tcW w:w="1048" w:type="dxa"/>
            <w:tcBorders>
              <w:top w:val="single" w:sz="4" w:space="0" w:color="auto"/>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 </w:t>
            </w:r>
          </w:p>
        </w:tc>
        <w:tc>
          <w:tcPr>
            <w:tcW w:w="1290"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048"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229" w:type="dxa"/>
            <w:tcBorders>
              <w:top w:val="nil"/>
              <w:left w:val="nil"/>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149" w:type="dxa"/>
            <w:tcBorders>
              <w:top w:val="nil"/>
              <w:left w:val="nil"/>
              <w:bottom w:val="nil"/>
              <w:right w:val="single" w:sz="4" w:space="0" w:color="auto"/>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195,3%</w:t>
            </w:r>
          </w:p>
        </w:tc>
      </w:tr>
      <w:tr w:rsidR="003A596A" w:rsidRPr="002A24D6" w:rsidTr="002527E5">
        <w:trPr>
          <w:trHeight w:val="255"/>
          <w:jc w:val="center"/>
        </w:trPr>
        <w:tc>
          <w:tcPr>
            <w:tcW w:w="4804" w:type="dxa"/>
            <w:tcBorders>
              <w:top w:val="nil"/>
              <w:left w:val="single" w:sz="4" w:space="0" w:color="auto"/>
              <w:bottom w:val="nil"/>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r w:rsidRPr="002A24D6">
              <w:rPr>
                <w:rFonts w:ascii="Arial" w:hAnsi="Arial" w:cs="Arial"/>
                <w:sz w:val="20"/>
                <w:szCs w:val="20"/>
                <w:lang w:eastAsia="fr-FR"/>
              </w:rPr>
              <w:t>composition (PI-2) variance</w:t>
            </w:r>
          </w:p>
        </w:tc>
        <w:tc>
          <w:tcPr>
            <w:tcW w:w="1048" w:type="dxa"/>
            <w:tcBorders>
              <w:top w:val="nil"/>
              <w:left w:val="nil"/>
              <w:bottom w:val="nil"/>
              <w:right w:val="nil"/>
            </w:tcBorders>
            <w:shd w:val="clear" w:color="auto" w:fill="auto"/>
            <w:noWrap/>
            <w:vAlign w:val="center"/>
            <w:hideMark/>
          </w:tcPr>
          <w:p w:rsidR="003A596A" w:rsidRPr="002A24D6" w:rsidRDefault="003A596A" w:rsidP="003A596A">
            <w:pPr>
              <w:jc w:val="center"/>
              <w:rPr>
                <w:rFonts w:ascii="Arial" w:hAnsi="Arial" w:cs="Arial"/>
                <w:b/>
                <w:bCs/>
                <w:sz w:val="20"/>
                <w:szCs w:val="20"/>
                <w:lang w:eastAsia="fr-FR"/>
              </w:rPr>
            </w:pPr>
          </w:p>
        </w:tc>
        <w:tc>
          <w:tcPr>
            <w:tcW w:w="1048" w:type="dxa"/>
            <w:tcBorders>
              <w:top w:val="nil"/>
              <w:left w:val="nil"/>
              <w:bottom w:val="nil"/>
              <w:right w:val="nil"/>
            </w:tcBorders>
            <w:shd w:val="clear" w:color="auto" w:fill="auto"/>
            <w:noWrap/>
            <w:vAlign w:val="center"/>
            <w:hideMark/>
          </w:tcPr>
          <w:p w:rsidR="003A596A" w:rsidRPr="002A24D6" w:rsidRDefault="003A596A" w:rsidP="003A596A">
            <w:pPr>
              <w:jc w:val="center"/>
              <w:rPr>
                <w:rFonts w:ascii="Arial" w:hAnsi="Arial" w:cs="Arial"/>
                <w:b/>
                <w:bCs/>
                <w:sz w:val="20"/>
                <w:szCs w:val="20"/>
                <w:lang w:eastAsia="fr-FR"/>
              </w:rPr>
            </w:pPr>
          </w:p>
        </w:tc>
        <w:tc>
          <w:tcPr>
            <w:tcW w:w="1290" w:type="dxa"/>
            <w:tcBorders>
              <w:top w:val="nil"/>
              <w:left w:val="nil"/>
              <w:bottom w:val="nil"/>
              <w:right w:val="nil"/>
            </w:tcBorders>
            <w:shd w:val="clear" w:color="auto" w:fill="auto"/>
            <w:noWrap/>
            <w:vAlign w:val="center"/>
            <w:hideMark/>
          </w:tcPr>
          <w:p w:rsidR="003A596A" w:rsidRPr="002A24D6" w:rsidRDefault="003A596A" w:rsidP="003A596A">
            <w:pPr>
              <w:jc w:val="center"/>
              <w:rPr>
                <w:rFonts w:ascii="Arial" w:hAnsi="Arial" w:cs="Arial"/>
                <w:sz w:val="20"/>
                <w:szCs w:val="20"/>
                <w:lang w:eastAsia="fr-FR"/>
              </w:rPr>
            </w:pPr>
          </w:p>
        </w:tc>
        <w:tc>
          <w:tcPr>
            <w:tcW w:w="1048" w:type="dxa"/>
            <w:tcBorders>
              <w:top w:val="nil"/>
              <w:left w:val="nil"/>
              <w:bottom w:val="nil"/>
              <w:right w:val="nil"/>
            </w:tcBorders>
            <w:shd w:val="clear" w:color="auto" w:fill="auto"/>
            <w:noWrap/>
            <w:vAlign w:val="center"/>
            <w:hideMark/>
          </w:tcPr>
          <w:p w:rsidR="003A596A" w:rsidRPr="002A24D6" w:rsidRDefault="003A596A" w:rsidP="003A596A">
            <w:pPr>
              <w:jc w:val="center"/>
              <w:rPr>
                <w:rFonts w:ascii="Arial" w:hAnsi="Arial" w:cs="Arial"/>
                <w:sz w:val="20"/>
                <w:szCs w:val="20"/>
                <w:lang w:eastAsia="fr-FR"/>
              </w:rPr>
            </w:pPr>
          </w:p>
        </w:tc>
        <w:tc>
          <w:tcPr>
            <w:tcW w:w="1229" w:type="dxa"/>
            <w:tcBorders>
              <w:top w:val="nil"/>
              <w:left w:val="nil"/>
              <w:bottom w:val="nil"/>
              <w:right w:val="nil"/>
            </w:tcBorders>
            <w:shd w:val="clear" w:color="auto" w:fill="auto"/>
            <w:noWrap/>
            <w:vAlign w:val="center"/>
            <w:hideMark/>
          </w:tcPr>
          <w:p w:rsidR="003A596A" w:rsidRPr="002A24D6" w:rsidRDefault="003A596A" w:rsidP="003A596A">
            <w:pPr>
              <w:jc w:val="center"/>
              <w:rPr>
                <w:rFonts w:ascii="Arial" w:hAnsi="Arial" w:cs="Arial"/>
                <w:sz w:val="20"/>
                <w:szCs w:val="20"/>
                <w:lang w:eastAsia="fr-FR"/>
              </w:rPr>
            </w:pPr>
          </w:p>
        </w:tc>
        <w:tc>
          <w:tcPr>
            <w:tcW w:w="1149" w:type="dxa"/>
            <w:tcBorders>
              <w:top w:val="nil"/>
              <w:left w:val="nil"/>
              <w:bottom w:val="nil"/>
              <w:right w:val="single" w:sz="4" w:space="0" w:color="auto"/>
            </w:tcBorders>
            <w:shd w:val="clear" w:color="auto" w:fill="auto"/>
            <w:noWrap/>
            <w:vAlign w:val="center"/>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132,3%</w:t>
            </w:r>
          </w:p>
        </w:tc>
      </w:tr>
      <w:tr w:rsidR="003A596A" w:rsidRPr="002A24D6" w:rsidTr="002527E5">
        <w:trPr>
          <w:trHeight w:val="223"/>
          <w:jc w:val="center"/>
        </w:trPr>
        <w:tc>
          <w:tcPr>
            <w:tcW w:w="4804" w:type="dxa"/>
            <w:tcBorders>
              <w:top w:val="nil"/>
              <w:left w:val="single" w:sz="4" w:space="0" w:color="auto"/>
              <w:bottom w:val="single" w:sz="4" w:space="0" w:color="auto"/>
              <w:right w:val="nil"/>
            </w:tcBorders>
            <w:shd w:val="clear" w:color="auto" w:fill="auto"/>
            <w:noWrap/>
            <w:vAlign w:val="bottom"/>
            <w:hideMark/>
          </w:tcPr>
          <w:p w:rsidR="003A596A" w:rsidRPr="002A24D6" w:rsidRDefault="0024165B" w:rsidP="003A596A">
            <w:pPr>
              <w:rPr>
                <w:rFonts w:ascii="Arial" w:hAnsi="Arial" w:cs="Arial"/>
                <w:sz w:val="20"/>
                <w:szCs w:val="20"/>
                <w:lang w:eastAsia="fr-FR"/>
              </w:rPr>
            </w:pPr>
            <w:r w:rsidRPr="002A24D6">
              <w:rPr>
                <w:rFonts w:ascii="Arial" w:hAnsi="Arial" w:cs="Arial"/>
                <w:sz w:val="20"/>
                <w:szCs w:val="20"/>
                <w:lang w:eastAsia="fr-FR"/>
              </w:rPr>
              <w:t>C</w:t>
            </w:r>
            <w:r w:rsidR="003A596A" w:rsidRPr="002A24D6">
              <w:rPr>
                <w:rFonts w:ascii="Arial" w:hAnsi="Arial" w:cs="Arial"/>
                <w:sz w:val="20"/>
                <w:szCs w:val="20"/>
                <w:lang w:eastAsia="fr-FR"/>
              </w:rPr>
              <w:t>ontingency</w:t>
            </w:r>
            <w:r w:rsidRPr="002A24D6">
              <w:rPr>
                <w:rFonts w:ascii="Arial" w:hAnsi="Arial" w:cs="Arial"/>
                <w:sz w:val="20"/>
                <w:szCs w:val="20"/>
                <w:lang w:eastAsia="fr-FR"/>
              </w:rPr>
              <w:t xml:space="preserve"> </w:t>
            </w:r>
            <w:r w:rsidR="003A596A" w:rsidRPr="002A24D6">
              <w:rPr>
                <w:rFonts w:ascii="Arial" w:hAnsi="Arial" w:cs="Arial"/>
                <w:sz w:val="20"/>
                <w:szCs w:val="20"/>
                <w:lang w:eastAsia="fr-FR"/>
              </w:rPr>
              <w:t>share of budget</w:t>
            </w:r>
          </w:p>
        </w:tc>
        <w:tc>
          <w:tcPr>
            <w:tcW w:w="1048" w:type="dxa"/>
            <w:tcBorders>
              <w:top w:val="nil"/>
              <w:left w:val="nil"/>
              <w:bottom w:val="single" w:sz="4" w:space="0" w:color="auto"/>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048" w:type="dxa"/>
            <w:tcBorders>
              <w:top w:val="nil"/>
              <w:left w:val="nil"/>
              <w:bottom w:val="single" w:sz="4" w:space="0" w:color="auto"/>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290" w:type="dxa"/>
            <w:tcBorders>
              <w:top w:val="nil"/>
              <w:left w:val="nil"/>
              <w:bottom w:val="single" w:sz="4" w:space="0" w:color="auto"/>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048" w:type="dxa"/>
            <w:tcBorders>
              <w:top w:val="nil"/>
              <w:left w:val="nil"/>
              <w:bottom w:val="single" w:sz="4" w:space="0" w:color="auto"/>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229" w:type="dxa"/>
            <w:tcBorders>
              <w:top w:val="nil"/>
              <w:left w:val="nil"/>
              <w:bottom w:val="single" w:sz="4" w:space="0" w:color="auto"/>
              <w:right w:val="nil"/>
            </w:tcBorders>
            <w:shd w:val="clear" w:color="auto" w:fill="auto"/>
            <w:noWrap/>
            <w:vAlign w:val="bottom"/>
            <w:hideMark/>
          </w:tcPr>
          <w:p w:rsidR="003A596A" w:rsidRPr="002A24D6" w:rsidRDefault="003A596A" w:rsidP="003A596A">
            <w:pPr>
              <w:rPr>
                <w:rFonts w:ascii="Arial" w:hAnsi="Arial" w:cs="Arial"/>
                <w:sz w:val="20"/>
                <w:szCs w:val="20"/>
                <w:lang w:eastAsia="fr-FR"/>
              </w:rPr>
            </w:pPr>
          </w:p>
        </w:tc>
        <w:tc>
          <w:tcPr>
            <w:tcW w:w="1149" w:type="dxa"/>
            <w:tcBorders>
              <w:top w:val="nil"/>
              <w:left w:val="nil"/>
              <w:bottom w:val="single" w:sz="4" w:space="0" w:color="auto"/>
              <w:right w:val="single" w:sz="4" w:space="0" w:color="auto"/>
            </w:tcBorders>
            <w:shd w:val="clear" w:color="auto" w:fill="auto"/>
            <w:noWrap/>
            <w:vAlign w:val="bottom"/>
            <w:hideMark/>
          </w:tcPr>
          <w:p w:rsidR="003A596A" w:rsidRPr="002A24D6" w:rsidRDefault="003A596A" w:rsidP="003A596A">
            <w:pPr>
              <w:jc w:val="right"/>
              <w:rPr>
                <w:rFonts w:ascii="Arial" w:hAnsi="Arial" w:cs="Arial"/>
                <w:sz w:val="20"/>
                <w:szCs w:val="20"/>
                <w:lang w:eastAsia="fr-FR"/>
              </w:rPr>
            </w:pPr>
            <w:r w:rsidRPr="002A24D6">
              <w:rPr>
                <w:rFonts w:ascii="Arial" w:hAnsi="Arial" w:cs="Arial"/>
                <w:sz w:val="20"/>
                <w:szCs w:val="20"/>
                <w:lang w:eastAsia="fr-FR"/>
              </w:rPr>
              <w:t>0,0%</w:t>
            </w:r>
          </w:p>
        </w:tc>
      </w:tr>
    </w:tbl>
    <w:p w:rsidR="003A596A" w:rsidRDefault="003A596A" w:rsidP="003A596A">
      <w:pPr>
        <w:jc w:val="both"/>
        <w:rPr>
          <w:rFonts w:ascii="Arial Narrow" w:hAnsi="Arial Narrow" w:cs="Arial"/>
          <w:b/>
          <w:sz w:val="20"/>
          <w:szCs w:val="20"/>
          <w:u w:val="single"/>
        </w:rPr>
      </w:pPr>
    </w:p>
    <w:p w:rsidR="00647714" w:rsidRDefault="00647714" w:rsidP="00647714">
      <w:pPr>
        <w:ind w:firstLine="720"/>
        <w:jc w:val="both"/>
        <w:rPr>
          <w:rFonts w:ascii="Arial" w:hAnsi="Arial" w:cs="Arial"/>
          <w:b/>
          <w:bCs/>
          <w:sz w:val="20"/>
          <w:szCs w:val="20"/>
          <w:lang w:eastAsia="fr-FR"/>
        </w:rPr>
      </w:pPr>
    </w:p>
    <w:p w:rsidR="00647714" w:rsidRDefault="00647714" w:rsidP="00647714">
      <w:pPr>
        <w:ind w:firstLine="720"/>
        <w:jc w:val="both"/>
        <w:rPr>
          <w:rFonts w:ascii="Arial" w:hAnsi="Arial" w:cs="Arial"/>
          <w:b/>
          <w:bCs/>
          <w:sz w:val="20"/>
          <w:szCs w:val="20"/>
          <w:lang w:eastAsia="fr-FR"/>
        </w:rPr>
      </w:pPr>
    </w:p>
    <w:p w:rsidR="00647714" w:rsidRDefault="00647714" w:rsidP="00647714">
      <w:pPr>
        <w:ind w:firstLine="720"/>
        <w:jc w:val="both"/>
        <w:rPr>
          <w:rFonts w:ascii="Arial" w:hAnsi="Arial" w:cs="Arial"/>
          <w:b/>
          <w:bCs/>
          <w:sz w:val="20"/>
          <w:szCs w:val="20"/>
          <w:lang w:eastAsia="fr-FR"/>
        </w:rPr>
      </w:pPr>
    </w:p>
    <w:p w:rsidR="009625DB" w:rsidRDefault="009625DB">
      <w:pPr>
        <w:rPr>
          <w:rFonts w:ascii="Arial" w:hAnsi="Arial" w:cs="Arial"/>
          <w:b/>
          <w:bCs/>
          <w:sz w:val="20"/>
          <w:szCs w:val="20"/>
          <w:lang w:eastAsia="fr-FR"/>
        </w:rPr>
      </w:pPr>
      <w:r>
        <w:rPr>
          <w:rFonts w:ascii="Arial" w:hAnsi="Arial" w:cs="Arial"/>
          <w:b/>
          <w:bCs/>
          <w:sz w:val="20"/>
          <w:szCs w:val="20"/>
          <w:lang w:eastAsia="fr-FR"/>
        </w:rPr>
        <w:br w:type="page"/>
      </w:r>
    </w:p>
    <w:p w:rsidR="006803C2" w:rsidRDefault="00647714" w:rsidP="00647714">
      <w:pPr>
        <w:ind w:firstLine="720"/>
        <w:jc w:val="both"/>
        <w:rPr>
          <w:rFonts w:ascii="Arial Narrow" w:hAnsi="Arial Narrow" w:cs="Arial"/>
          <w:b/>
          <w:sz w:val="20"/>
          <w:szCs w:val="20"/>
          <w:u w:val="single"/>
        </w:rPr>
      </w:pPr>
      <w:r w:rsidRPr="002A24D6">
        <w:rPr>
          <w:rFonts w:ascii="Arial" w:hAnsi="Arial" w:cs="Arial"/>
          <w:b/>
          <w:bCs/>
          <w:sz w:val="20"/>
          <w:szCs w:val="20"/>
          <w:lang w:eastAsia="fr-FR"/>
        </w:rPr>
        <w:t>Table 3</w:t>
      </w:r>
    </w:p>
    <w:p w:rsidR="006803C2" w:rsidRDefault="00647714" w:rsidP="00647714">
      <w:pPr>
        <w:ind w:firstLine="720"/>
        <w:jc w:val="both"/>
        <w:rPr>
          <w:rFonts w:ascii="Arial Narrow" w:hAnsi="Arial Narrow" w:cs="Arial"/>
          <w:b/>
          <w:sz w:val="20"/>
          <w:szCs w:val="20"/>
          <w:u w:val="single"/>
        </w:rPr>
      </w:pPr>
      <w:r w:rsidRPr="00A17E25">
        <w:rPr>
          <w:rFonts w:ascii="Arial" w:hAnsi="Arial" w:cs="Arial"/>
          <w:b/>
          <w:bCs/>
          <w:sz w:val="20"/>
          <w:szCs w:val="20"/>
          <w:lang w:eastAsia="fr-FR"/>
        </w:rPr>
        <w:t>Data for year</w:t>
      </w:r>
      <w:r>
        <w:rPr>
          <w:rFonts w:ascii="Arial" w:hAnsi="Arial" w:cs="Arial"/>
          <w:b/>
          <w:bCs/>
          <w:sz w:val="20"/>
          <w:szCs w:val="20"/>
          <w:lang w:eastAsia="fr-FR"/>
        </w:rPr>
        <w:t xml:space="preserve"> </w:t>
      </w:r>
      <w:r w:rsidRPr="00A17E25">
        <w:rPr>
          <w:rFonts w:ascii="Arial" w:hAnsi="Arial" w:cs="Arial"/>
          <w:b/>
          <w:bCs/>
          <w:sz w:val="20"/>
          <w:szCs w:val="20"/>
          <w:lang w:eastAsia="fr-FR"/>
        </w:rPr>
        <w:t>201</w:t>
      </w:r>
      <w:r>
        <w:rPr>
          <w:rFonts w:ascii="Arial" w:hAnsi="Arial" w:cs="Arial"/>
          <w:b/>
          <w:bCs/>
          <w:sz w:val="20"/>
          <w:szCs w:val="20"/>
          <w:lang w:eastAsia="fr-FR"/>
        </w:rPr>
        <w:t>3</w:t>
      </w:r>
    </w:p>
    <w:p w:rsidR="00C3253F" w:rsidRDefault="00C3253F" w:rsidP="00647714">
      <w:pPr>
        <w:ind w:firstLine="720"/>
        <w:jc w:val="both"/>
        <w:rPr>
          <w:rFonts w:ascii="Arial Narrow" w:hAnsi="Arial Narrow" w:cs="Arial"/>
          <w:b/>
          <w:sz w:val="20"/>
          <w:szCs w:val="20"/>
          <w:u w:val="single"/>
        </w:rPr>
      </w:pPr>
    </w:p>
    <w:p w:rsidR="00C3253F" w:rsidRDefault="00C3253F" w:rsidP="00C3253F">
      <w:pPr>
        <w:jc w:val="both"/>
        <w:rPr>
          <w:rFonts w:ascii="Arial Narrow" w:hAnsi="Arial Narrow" w:cs="Arial"/>
          <w:b/>
          <w:sz w:val="20"/>
          <w:szCs w:val="20"/>
          <w:u w:val="single"/>
        </w:rPr>
      </w:pPr>
    </w:p>
    <w:p w:rsidR="00C3253F" w:rsidRDefault="00C3253F" w:rsidP="00647714">
      <w:pPr>
        <w:ind w:firstLine="720"/>
        <w:jc w:val="both"/>
        <w:rPr>
          <w:rFonts w:ascii="Arial Narrow" w:hAnsi="Arial Narrow" w:cs="Arial"/>
          <w:b/>
          <w:sz w:val="20"/>
          <w:szCs w:val="20"/>
          <w:u w:val="single"/>
        </w:rPr>
      </w:pPr>
    </w:p>
    <w:tbl>
      <w:tblPr>
        <w:tblW w:w="12560" w:type="dxa"/>
        <w:tblInd w:w="53" w:type="dxa"/>
        <w:tblCellMar>
          <w:left w:w="70" w:type="dxa"/>
          <w:right w:w="70" w:type="dxa"/>
        </w:tblCellMar>
        <w:tblLook w:val="04A0" w:firstRow="1" w:lastRow="0" w:firstColumn="1" w:lastColumn="0" w:noHBand="0" w:noVBand="1"/>
      </w:tblPr>
      <w:tblGrid>
        <w:gridCol w:w="3387"/>
        <w:gridCol w:w="2197"/>
        <w:gridCol w:w="2197"/>
        <w:gridCol w:w="1392"/>
        <w:gridCol w:w="1098"/>
        <w:gridCol w:w="1098"/>
        <w:gridCol w:w="1197"/>
      </w:tblGrid>
      <w:tr w:rsidR="00C3253F" w:rsidRPr="00C3253F" w:rsidTr="002527E5">
        <w:trPr>
          <w:trHeight w:val="460"/>
        </w:trPr>
        <w:tc>
          <w:tcPr>
            <w:tcW w:w="3387" w:type="dxa"/>
            <w:tcBorders>
              <w:top w:val="single" w:sz="8" w:space="0" w:color="auto"/>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Administrative or functional head</w:t>
            </w:r>
          </w:p>
        </w:tc>
        <w:tc>
          <w:tcPr>
            <w:tcW w:w="2197" w:type="dxa"/>
            <w:tcBorders>
              <w:top w:val="single" w:sz="8" w:space="0" w:color="auto"/>
              <w:left w:val="nil"/>
              <w:bottom w:val="nil"/>
              <w:right w:val="nil"/>
            </w:tcBorders>
            <w:shd w:val="clear" w:color="auto" w:fill="auto"/>
            <w:noWrap/>
            <w:vAlign w:val="bottom"/>
            <w:hideMark/>
          </w:tcPr>
          <w:p w:rsidR="00C3253F" w:rsidRPr="00C3253F" w:rsidRDefault="00C3253F" w:rsidP="00C3253F">
            <w:pPr>
              <w:jc w:val="center"/>
              <w:rPr>
                <w:rFonts w:ascii="Arial" w:hAnsi="Arial" w:cs="Arial"/>
                <w:b/>
                <w:bCs/>
                <w:color w:val="000000"/>
                <w:sz w:val="20"/>
                <w:szCs w:val="20"/>
                <w:lang w:val="es-ES" w:eastAsia="es-ES"/>
              </w:rPr>
            </w:pPr>
            <w:r>
              <w:rPr>
                <w:rFonts w:ascii="Arial" w:hAnsi="Arial" w:cs="Arial"/>
                <w:b/>
                <w:bCs/>
                <w:color w:val="000000"/>
                <w:sz w:val="20"/>
                <w:szCs w:val="20"/>
                <w:lang w:eastAsia="fr-FR"/>
              </w:rPr>
              <w:t>B</w:t>
            </w:r>
            <w:r w:rsidRPr="00C3253F">
              <w:rPr>
                <w:rFonts w:ascii="Arial" w:hAnsi="Arial" w:cs="Arial"/>
                <w:b/>
                <w:bCs/>
                <w:color w:val="000000"/>
                <w:sz w:val="20"/>
                <w:szCs w:val="20"/>
                <w:lang w:eastAsia="fr-FR"/>
              </w:rPr>
              <w:t>udget</w:t>
            </w:r>
          </w:p>
        </w:tc>
        <w:tc>
          <w:tcPr>
            <w:tcW w:w="2197" w:type="dxa"/>
            <w:tcBorders>
              <w:top w:val="single" w:sz="8" w:space="0" w:color="auto"/>
              <w:left w:val="nil"/>
              <w:bottom w:val="nil"/>
              <w:right w:val="nil"/>
            </w:tcBorders>
            <w:shd w:val="clear" w:color="auto" w:fill="auto"/>
            <w:noWrap/>
            <w:vAlign w:val="bottom"/>
            <w:hideMark/>
          </w:tcPr>
          <w:p w:rsidR="00C3253F" w:rsidRPr="00C3253F" w:rsidRDefault="00C3253F" w:rsidP="00C3253F">
            <w:pPr>
              <w:jc w:val="center"/>
              <w:rPr>
                <w:rFonts w:ascii="Arial" w:hAnsi="Arial" w:cs="Arial"/>
                <w:b/>
                <w:bCs/>
                <w:color w:val="000000"/>
                <w:sz w:val="20"/>
                <w:szCs w:val="20"/>
                <w:lang w:val="es-ES" w:eastAsia="es-ES"/>
              </w:rPr>
            </w:pPr>
            <w:r>
              <w:rPr>
                <w:rFonts w:ascii="Arial" w:hAnsi="Arial" w:cs="Arial"/>
                <w:b/>
                <w:bCs/>
                <w:color w:val="000000"/>
                <w:sz w:val="20"/>
                <w:szCs w:val="20"/>
                <w:lang w:eastAsia="fr-FR"/>
              </w:rPr>
              <w:t>A</w:t>
            </w:r>
            <w:r w:rsidRPr="00C3253F">
              <w:rPr>
                <w:rFonts w:ascii="Arial" w:hAnsi="Arial" w:cs="Arial"/>
                <w:b/>
                <w:bCs/>
                <w:color w:val="000000"/>
                <w:sz w:val="20"/>
                <w:szCs w:val="20"/>
                <w:lang w:eastAsia="fr-FR"/>
              </w:rPr>
              <w:t>ctual</w:t>
            </w:r>
          </w:p>
        </w:tc>
        <w:tc>
          <w:tcPr>
            <w:tcW w:w="1392" w:type="dxa"/>
            <w:tcBorders>
              <w:top w:val="single" w:sz="8" w:space="0" w:color="auto"/>
              <w:left w:val="nil"/>
              <w:bottom w:val="nil"/>
              <w:right w:val="nil"/>
            </w:tcBorders>
            <w:shd w:val="clear" w:color="auto" w:fill="auto"/>
            <w:vAlign w:val="bottom"/>
            <w:hideMark/>
          </w:tcPr>
          <w:p w:rsidR="00C3253F" w:rsidRPr="00C3253F" w:rsidRDefault="00C3253F" w:rsidP="00C3253F">
            <w:pPr>
              <w:jc w:val="center"/>
              <w:rPr>
                <w:rFonts w:ascii="Arial" w:hAnsi="Arial" w:cs="Arial"/>
                <w:color w:val="000000"/>
                <w:sz w:val="20"/>
                <w:szCs w:val="20"/>
                <w:lang w:val="es-ES" w:eastAsia="es-ES"/>
              </w:rPr>
            </w:pPr>
            <w:r w:rsidRPr="00C3253F">
              <w:rPr>
                <w:rFonts w:ascii="Arial" w:hAnsi="Arial" w:cs="Arial"/>
                <w:color w:val="000000"/>
                <w:sz w:val="20"/>
                <w:szCs w:val="20"/>
                <w:lang w:eastAsia="fr-FR"/>
              </w:rPr>
              <w:t>Adjusted budget</w:t>
            </w:r>
          </w:p>
        </w:tc>
        <w:tc>
          <w:tcPr>
            <w:tcW w:w="1098" w:type="dxa"/>
            <w:tcBorders>
              <w:top w:val="single" w:sz="8" w:space="0" w:color="auto"/>
              <w:left w:val="nil"/>
              <w:bottom w:val="nil"/>
              <w:right w:val="nil"/>
            </w:tcBorders>
            <w:shd w:val="clear" w:color="auto" w:fill="auto"/>
            <w:vAlign w:val="bottom"/>
            <w:hideMark/>
          </w:tcPr>
          <w:p w:rsidR="00C3253F" w:rsidRPr="00C3253F" w:rsidRDefault="00C3253F" w:rsidP="00C3253F">
            <w:pPr>
              <w:jc w:val="center"/>
              <w:rPr>
                <w:rFonts w:ascii="Arial" w:hAnsi="Arial" w:cs="Arial"/>
                <w:color w:val="000000"/>
                <w:sz w:val="20"/>
                <w:szCs w:val="20"/>
                <w:lang w:val="es-ES" w:eastAsia="es-ES"/>
              </w:rPr>
            </w:pPr>
            <w:r w:rsidRPr="00C3253F">
              <w:rPr>
                <w:rFonts w:ascii="Arial" w:hAnsi="Arial" w:cs="Arial"/>
                <w:color w:val="000000"/>
                <w:sz w:val="20"/>
                <w:szCs w:val="20"/>
                <w:lang w:eastAsia="fr-FR"/>
              </w:rPr>
              <w:t>Deviation</w:t>
            </w:r>
          </w:p>
        </w:tc>
        <w:tc>
          <w:tcPr>
            <w:tcW w:w="1098" w:type="dxa"/>
            <w:tcBorders>
              <w:top w:val="single" w:sz="8" w:space="0" w:color="auto"/>
              <w:left w:val="nil"/>
              <w:bottom w:val="nil"/>
              <w:right w:val="nil"/>
            </w:tcBorders>
            <w:shd w:val="clear" w:color="auto" w:fill="auto"/>
            <w:vAlign w:val="bottom"/>
            <w:hideMark/>
          </w:tcPr>
          <w:p w:rsidR="00C3253F" w:rsidRPr="00C3253F" w:rsidRDefault="00C3253F" w:rsidP="00C3253F">
            <w:pPr>
              <w:jc w:val="center"/>
              <w:rPr>
                <w:rFonts w:ascii="Arial" w:hAnsi="Arial" w:cs="Arial"/>
                <w:color w:val="000000"/>
                <w:sz w:val="20"/>
                <w:szCs w:val="20"/>
                <w:lang w:val="es-ES" w:eastAsia="es-ES"/>
              </w:rPr>
            </w:pPr>
            <w:r w:rsidRPr="00C3253F">
              <w:rPr>
                <w:rFonts w:ascii="Arial" w:hAnsi="Arial" w:cs="Arial"/>
                <w:color w:val="000000"/>
                <w:sz w:val="20"/>
                <w:szCs w:val="20"/>
                <w:lang w:eastAsia="fr-FR"/>
              </w:rPr>
              <w:t>Absolute Deviation</w:t>
            </w:r>
          </w:p>
        </w:tc>
        <w:tc>
          <w:tcPr>
            <w:tcW w:w="1191" w:type="dxa"/>
            <w:tcBorders>
              <w:top w:val="single" w:sz="8" w:space="0" w:color="auto"/>
              <w:left w:val="nil"/>
              <w:bottom w:val="nil"/>
              <w:right w:val="single" w:sz="8" w:space="0" w:color="auto"/>
            </w:tcBorders>
            <w:shd w:val="clear" w:color="auto" w:fill="auto"/>
            <w:noWrap/>
            <w:vAlign w:val="bottom"/>
            <w:hideMark/>
          </w:tcPr>
          <w:p w:rsidR="00C3253F" w:rsidRPr="00C3253F" w:rsidRDefault="00C3253F" w:rsidP="00C3253F">
            <w:pPr>
              <w:jc w:val="center"/>
              <w:rPr>
                <w:rFonts w:ascii="Arial" w:hAnsi="Arial" w:cs="Arial"/>
                <w:color w:val="000000"/>
                <w:sz w:val="20"/>
                <w:szCs w:val="20"/>
                <w:lang w:val="es-ES" w:eastAsia="es-ES"/>
              </w:rPr>
            </w:pPr>
            <w:r w:rsidRPr="00C3253F">
              <w:rPr>
                <w:rFonts w:ascii="Arial" w:hAnsi="Arial" w:cs="Arial"/>
                <w:color w:val="000000"/>
                <w:sz w:val="20"/>
                <w:szCs w:val="20"/>
                <w:lang w:eastAsia="fr-FR"/>
              </w:rPr>
              <w:t>percent</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Administration générale</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270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270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270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r w:rsidRPr="00C3253F">
              <w:rPr>
                <w:rFonts w:ascii="Calibri" w:hAnsi="Calibri"/>
                <w:color w:val="000000"/>
                <w:sz w:val="20"/>
                <w:szCs w:val="20"/>
                <w:lang w:val="es-ES" w:eastAsia="es-ES"/>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Domaine affaires sociales</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r w:rsidRPr="00C3253F">
              <w:rPr>
                <w:rFonts w:ascii="Calibri" w:hAnsi="Calibri"/>
                <w:color w:val="000000"/>
                <w:sz w:val="20"/>
                <w:szCs w:val="20"/>
                <w:lang w:val="es-ES" w:eastAsia="es-ES"/>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Domaine affaires techniques</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33988</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33 988,0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33 988,0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r w:rsidRPr="00C3253F">
              <w:rPr>
                <w:rFonts w:ascii="Calibri" w:hAnsi="Calibri"/>
                <w:color w:val="000000"/>
                <w:sz w:val="20"/>
                <w:szCs w:val="20"/>
                <w:lang w:val="es-ES" w:eastAsia="es-ES"/>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Domaine affaires économiques</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r w:rsidRPr="00C3253F">
              <w:rPr>
                <w:rFonts w:ascii="Calibri" w:hAnsi="Calibri"/>
                <w:color w:val="000000"/>
                <w:sz w:val="20"/>
                <w:szCs w:val="20"/>
                <w:lang w:val="es-ES" w:eastAsia="es-ES"/>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Domaine de soutien</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280000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280 000,0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280 000,0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r w:rsidRPr="00C3253F">
              <w:rPr>
                <w:rFonts w:ascii="Calibri" w:hAnsi="Calibri"/>
                <w:color w:val="000000"/>
                <w:sz w:val="20"/>
                <w:szCs w:val="20"/>
                <w:lang w:val="es-ES" w:eastAsia="es-ES"/>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Dotation TVA fonctionnement</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373542</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373542</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687 800,0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-314 258,0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314 258,0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0,45690317</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Allocated expenditure</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373542</w:t>
            </w:r>
          </w:p>
        </w:tc>
        <w:tc>
          <w:tcPr>
            <w:tcW w:w="2197" w:type="dxa"/>
            <w:tcBorders>
              <w:top w:val="nil"/>
              <w:left w:val="nil"/>
              <w:bottom w:val="nil"/>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687800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687 800,0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628 516,0</w:t>
            </w: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r>
      <w:tr w:rsidR="00C3253F" w:rsidRPr="00C3253F" w:rsidTr="002527E5">
        <w:trPr>
          <w:trHeight w:val="276"/>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Contingency</w:t>
            </w:r>
          </w:p>
        </w:tc>
        <w:tc>
          <w:tcPr>
            <w:tcW w:w="2197" w:type="dxa"/>
            <w:tcBorders>
              <w:top w:val="nil"/>
              <w:left w:val="nil"/>
              <w:bottom w:val="single" w:sz="8" w:space="0" w:color="auto"/>
              <w:right w:val="nil"/>
            </w:tcBorders>
            <w:shd w:val="clear" w:color="000000" w:fill="FFFFFF"/>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2197" w:type="dxa"/>
            <w:tcBorders>
              <w:top w:val="nil"/>
              <w:left w:val="nil"/>
              <w:bottom w:val="single" w:sz="8" w:space="0" w:color="auto"/>
              <w:right w:val="nil"/>
            </w:tcBorders>
            <w:shd w:val="clear" w:color="000000" w:fill="FFFFFF"/>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Total expenditure</w:t>
            </w:r>
          </w:p>
        </w:tc>
        <w:tc>
          <w:tcPr>
            <w:tcW w:w="2197" w:type="dxa"/>
            <w:tcBorders>
              <w:top w:val="single" w:sz="8" w:space="0" w:color="auto"/>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373542</w:t>
            </w:r>
          </w:p>
        </w:tc>
        <w:tc>
          <w:tcPr>
            <w:tcW w:w="2197" w:type="dxa"/>
            <w:tcBorders>
              <w:top w:val="single" w:sz="8" w:space="0" w:color="auto"/>
              <w:left w:val="nil"/>
              <w:bottom w:val="nil"/>
              <w:right w:val="nil"/>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687800</w:t>
            </w:r>
          </w:p>
        </w:tc>
        <w:tc>
          <w:tcPr>
            <w:tcW w:w="1392"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Overall (PI-1) variance</w:t>
            </w:r>
          </w:p>
        </w:tc>
        <w:tc>
          <w:tcPr>
            <w:tcW w:w="2197"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2197"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392"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84,10%</w:t>
            </w:r>
          </w:p>
        </w:tc>
      </w:tr>
      <w:tr w:rsidR="00C3253F" w:rsidRPr="00C3253F" w:rsidTr="002527E5">
        <w:trPr>
          <w:trHeight w:val="263"/>
        </w:trPr>
        <w:tc>
          <w:tcPr>
            <w:tcW w:w="3387" w:type="dxa"/>
            <w:tcBorders>
              <w:top w:val="nil"/>
              <w:left w:val="single" w:sz="8" w:space="0" w:color="auto"/>
              <w:bottom w:val="nil"/>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Composition (PI-2) variance</w:t>
            </w:r>
          </w:p>
        </w:tc>
        <w:tc>
          <w:tcPr>
            <w:tcW w:w="2197"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2197"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392"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C3253F" w:rsidRPr="00C3253F" w:rsidRDefault="00C3253F" w:rsidP="00C3253F">
            <w:pPr>
              <w:rPr>
                <w:rFonts w:ascii="Calibri" w:hAnsi="Calibri"/>
                <w:color w:val="000000"/>
                <w:sz w:val="20"/>
                <w:szCs w:val="20"/>
                <w:lang w:val="es-ES" w:eastAsia="es-ES"/>
              </w:rPr>
            </w:pPr>
          </w:p>
        </w:tc>
        <w:tc>
          <w:tcPr>
            <w:tcW w:w="1191" w:type="dxa"/>
            <w:tcBorders>
              <w:top w:val="nil"/>
              <w:left w:val="nil"/>
              <w:bottom w:val="nil"/>
              <w:right w:val="single" w:sz="8" w:space="0" w:color="auto"/>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91,40%</w:t>
            </w:r>
          </w:p>
        </w:tc>
      </w:tr>
      <w:tr w:rsidR="00C3253F" w:rsidRPr="00C3253F" w:rsidTr="002527E5">
        <w:trPr>
          <w:trHeight w:val="276"/>
        </w:trPr>
        <w:tc>
          <w:tcPr>
            <w:tcW w:w="3387" w:type="dxa"/>
            <w:tcBorders>
              <w:top w:val="nil"/>
              <w:left w:val="single" w:sz="8" w:space="0" w:color="auto"/>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Contingency share of budget</w:t>
            </w:r>
          </w:p>
        </w:tc>
        <w:tc>
          <w:tcPr>
            <w:tcW w:w="2197" w:type="dxa"/>
            <w:tcBorders>
              <w:top w:val="nil"/>
              <w:left w:val="nil"/>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2197" w:type="dxa"/>
            <w:tcBorders>
              <w:top w:val="nil"/>
              <w:left w:val="nil"/>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1392" w:type="dxa"/>
            <w:tcBorders>
              <w:top w:val="nil"/>
              <w:left w:val="nil"/>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1098" w:type="dxa"/>
            <w:tcBorders>
              <w:top w:val="nil"/>
              <w:left w:val="nil"/>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1098" w:type="dxa"/>
            <w:tcBorders>
              <w:top w:val="nil"/>
              <w:left w:val="nil"/>
              <w:bottom w:val="single" w:sz="8" w:space="0" w:color="auto"/>
              <w:right w:val="nil"/>
            </w:tcBorders>
            <w:shd w:val="clear" w:color="auto" w:fill="auto"/>
            <w:noWrap/>
            <w:vAlign w:val="bottom"/>
            <w:hideMark/>
          </w:tcPr>
          <w:p w:rsidR="00C3253F" w:rsidRPr="00C3253F" w:rsidRDefault="00C3253F" w:rsidP="00C3253F">
            <w:pPr>
              <w:rPr>
                <w:rFonts w:ascii="Arial" w:hAnsi="Arial" w:cs="Arial"/>
                <w:color w:val="000000"/>
                <w:sz w:val="20"/>
                <w:szCs w:val="20"/>
                <w:lang w:val="es-ES" w:eastAsia="es-ES"/>
              </w:rPr>
            </w:pPr>
            <w:r w:rsidRPr="00C3253F">
              <w:rPr>
                <w:rFonts w:ascii="Arial" w:hAnsi="Arial" w:cs="Arial"/>
                <w:color w:val="000000"/>
                <w:sz w:val="20"/>
                <w:szCs w:val="20"/>
                <w:lang w:eastAsia="fr-FR"/>
              </w:rPr>
              <w:t> </w:t>
            </w:r>
          </w:p>
        </w:tc>
        <w:tc>
          <w:tcPr>
            <w:tcW w:w="1191" w:type="dxa"/>
            <w:tcBorders>
              <w:top w:val="nil"/>
              <w:left w:val="nil"/>
              <w:bottom w:val="single" w:sz="8" w:space="0" w:color="auto"/>
              <w:right w:val="single" w:sz="8" w:space="0" w:color="auto"/>
            </w:tcBorders>
            <w:shd w:val="clear" w:color="auto" w:fill="auto"/>
            <w:noWrap/>
            <w:vAlign w:val="bottom"/>
            <w:hideMark/>
          </w:tcPr>
          <w:p w:rsidR="00C3253F" w:rsidRPr="00C3253F" w:rsidRDefault="00C3253F" w:rsidP="00C3253F">
            <w:pPr>
              <w:jc w:val="right"/>
              <w:rPr>
                <w:rFonts w:ascii="Arial" w:hAnsi="Arial" w:cs="Arial"/>
                <w:color w:val="000000"/>
                <w:sz w:val="20"/>
                <w:szCs w:val="20"/>
                <w:lang w:val="es-ES" w:eastAsia="es-ES"/>
              </w:rPr>
            </w:pPr>
            <w:r w:rsidRPr="00C3253F">
              <w:rPr>
                <w:rFonts w:ascii="Arial" w:hAnsi="Arial" w:cs="Arial"/>
                <w:color w:val="000000"/>
                <w:sz w:val="20"/>
                <w:szCs w:val="20"/>
                <w:lang w:eastAsia="fr-FR"/>
              </w:rPr>
              <w:t>0,00%</w:t>
            </w:r>
          </w:p>
        </w:tc>
      </w:tr>
    </w:tbl>
    <w:p w:rsidR="00C3253F" w:rsidRPr="002A24D6" w:rsidRDefault="00C3253F" w:rsidP="00647714">
      <w:pPr>
        <w:ind w:firstLine="720"/>
        <w:jc w:val="both"/>
        <w:rPr>
          <w:rFonts w:ascii="Arial Narrow" w:hAnsi="Arial Narrow" w:cs="Arial"/>
          <w:b/>
          <w:sz w:val="20"/>
          <w:szCs w:val="20"/>
          <w:u w:val="single"/>
        </w:rPr>
      </w:pPr>
    </w:p>
    <w:p w:rsidR="003A596A" w:rsidRDefault="003A596A" w:rsidP="003A596A">
      <w:pPr>
        <w:jc w:val="both"/>
        <w:rPr>
          <w:rFonts w:ascii="Arial" w:hAnsi="Arial" w:cs="Arial"/>
          <w:b/>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A07E88" w:rsidRDefault="00A07E88" w:rsidP="00C3253F">
      <w:pPr>
        <w:jc w:val="both"/>
        <w:rPr>
          <w:rFonts w:ascii="Arial" w:hAnsi="Arial" w:cs="Arial"/>
          <w:b/>
          <w:bCs/>
          <w:sz w:val="20"/>
          <w:szCs w:val="20"/>
          <w:lang w:val="en-US" w:eastAsia="fr-FR"/>
        </w:rPr>
      </w:pPr>
    </w:p>
    <w:p w:rsidR="009625DB" w:rsidRDefault="009625DB">
      <w:pPr>
        <w:rPr>
          <w:rFonts w:ascii="Arial" w:hAnsi="Arial" w:cs="Arial"/>
          <w:b/>
          <w:bCs/>
          <w:sz w:val="20"/>
          <w:szCs w:val="20"/>
          <w:lang w:val="en-US" w:eastAsia="fr-FR"/>
        </w:rPr>
      </w:pPr>
      <w:r>
        <w:rPr>
          <w:rFonts w:ascii="Arial" w:hAnsi="Arial" w:cs="Arial"/>
          <w:b/>
          <w:bCs/>
          <w:sz w:val="20"/>
          <w:szCs w:val="20"/>
          <w:lang w:val="en-US" w:eastAsia="fr-FR"/>
        </w:rPr>
        <w:br w:type="page"/>
      </w:r>
    </w:p>
    <w:p w:rsidR="00C3253F" w:rsidRPr="00647714" w:rsidRDefault="00C3253F" w:rsidP="00C3253F">
      <w:pPr>
        <w:jc w:val="both"/>
        <w:rPr>
          <w:rFonts w:ascii="Arial Narrow" w:hAnsi="Arial Narrow" w:cs="Arial"/>
          <w:b/>
          <w:sz w:val="20"/>
          <w:szCs w:val="20"/>
          <w:u w:val="single"/>
          <w:lang w:val="en-US"/>
        </w:rPr>
      </w:pPr>
      <w:r w:rsidRPr="00647714">
        <w:rPr>
          <w:rFonts w:ascii="Arial" w:hAnsi="Arial" w:cs="Arial"/>
          <w:b/>
          <w:bCs/>
          <w:sz w:val="20"/>
          <w:szCs w:val="20"/>
          <w:lang w:val="en-US" w:eastAsia="fr-FR"/>
        </w:rPr>
        <w:t xml:space="preserve">Table </w:t>
      </w:r>
      <w:r>
        <w:rPr>
          <w:rFonts w:ascii="Arial" w:hAnsi="Arial" w:cs="Arial"/>
          <w:b/>
          <w:bCs/>
          <w:sz w:val="20"/>
          <w:szCs w:val="20"/>
          <w:lang w:val="en-US" w:eastAsia="fr-FR"/>
        </w:rPr>
        <w:t>4</w:t>
      </w:r>
    </w:p>
    <w:p w:rsidR="00C3253F" w:rsidRPr="00647714" w:rsidRDefault="00C3253F" w:rsidP="00C3253F">
      <w:pPr>
        <w:jc w:val="both"/>
        <w:rPr>
          <w:rFonts w:ascii="Arial Narrow" w:hAnsi="Arial Narrow" w:cs="Arial"/>
          <w:b/>
          <w:sz w:val="20"/>
          <w:szCs w:val="20"/>
          <w:u w:val="single"/>
          <w:lang w:val="en-US"/>
        </w:rPr>
      </w:pPr>
      <w:r w:rsidRPr="00647714">
        <w:rPr>
          <w:rFonts w:ascii="Arial" w:hAnsi="Arial" w:cs="Arial"/>
          <w:b/>
          <w:bCs/>
          <w:sz w:val="20"/>
          <w:szCs w:val="20"/>
          <w:lang w:val="en-US" w:eastAsia="fr-FR"/>
        </w:rPr>
        <w:t>Data for year 201</w:t>
      </w:r>
      <w:r>
        <w:rPr>
          <w:rFonts w:ascii="Arial" w:hAnsi="Arial" w:cs="Arial"/>
          <w:b/>
          <w:bCs/>
          <w:sz w:val="20"/>
          <w:szCs w:val="20"/>
          <w:lang w:val="en-US" w:eastAsia="fr-FR"/>
        </w:rPr>
        <w:t>4</w:t>
      </w:r>
    </w:p>
    <w:p w:rsidR="00C3253F" w:rsidRDefault="00C3253F" w:rsidP="003A596A">
      <w:pPr>
        <w:jc w:val="both"/>
        <w:rPr>
          <w:rFonts w:ascii="Arial" w:hAnsi="Arial" w:cs="Arial"/>
          <w:b/>
        </w:rPr>
      </w:pPr>
    </w:p>
    <w:tbl>
      <w:tblPr>
        <w:tblW w:w="12998" w:type="dxa"/>
        <w:tblInd w:w="55" w:type="dxa"/>
        <w:tblCellMar>
          <w:left w:w="70" w:type="dxa"/>
          <w:right w:w="70" w:type="dxa"/>
        </w:tblCellMar>
        <w:tblLook w:val="04A0" w:firstRow="1" w:lastRow="0" w:firstColumn="1" w:lastColumn="0" w:noHBand="0" w:noVBand="1"/>
      </w:tblPr>
      <w:tblGrid>
        <w:gridCol w:w="3388"/>
        <w:gridCol w:w="2198"/>
        <w:gridCol w:w="2198"/>
        <w:gridCol w:w="1391"/>
        <w:gridCol w:w="1098"/>
        <w:gridCol w:w="1520"/>
        <w:gridCol w:w="1205"/>
      </w:tblGrid>
      <w:tr w:rsidR="00A07E88" w:rsidRPr="00A07E88" w:rsidTr="002527E5">
        <w:trPr>
          <w:trHeight w:val="437"/>
        </w:trPr>
        <w:tc>
          <w:tcPr>
            <w:tcW w:w="3388" w:type="dxa"/>
            <w:tcBorders>
              <w:top w:val="single" w:sz="8" w:space="0" w:color="auto"/>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Administrative or functional head</w:t>
            </w:r>
          </w:p>
        </w:tc>
        <w:tc>
          <w:tcPr>
            <w:tcW w:w="2198" w:type="dxa"/>
            <w:tcBorders>
              <w:top w:val="single" w:sz="8" w:space="0" w:color="auto"/>
              <w:left w:val="nil"/>
              <w:bottom w:val="nil"/>
              <w:right w:val="nil"/>
            </w:tcBorders>
            <w:shd w:val="clear" w:color="auto" w:fill="auto"/>
            <w:noWrap/>
            <w:vAlign w:val="bottom"/>
            <w:hideMark/>
          </w:tcPr>
          <w:p w:rsidR="00A07E88" w:rsidRPr="00A07E88" w:rsidRDefault="00A07E88" w:rsidP="00A07E88">
            <w:pPr>
              <w:jc w:val="center"/>
              <w:rPr>
                <w:rFonts w:ascii="Arial" w:hAnsi="Arial" w:cs="Arial"/>
                <w:b/>
                <w:bCs/>
                <w:color w:val="000000"/>
                <w:sz w:val="20"/>
                <w:szCs w:val="20"/>
                <w:lang w:val="es-ES" w:eastAsia="es-ES"/>
              </w:rPr>
            </w:pPr>
            <w:r w:rsidRPr="00A07E88">
              <w:rPr>
                <w:rFonts w:ascii="Arial" w:hAnsi="Arial" w:cs="Arial"/>
                <w:b/>
                <w:bCs/>
                <w:color w:val="000000"/>
                <w:sz w:val="20"/>
                <w:szCs w:val="20"/>
                <w:lang w:eastAsia="fr-FR"/>
              </w:rPr>
              <w:t>Budget</w:t>
            </w:r>
          </w:p>
        </w:tc>
        <w:tc>
          <w:tcPr>
            <w:tcW w:w="2198" w:type="dxa"/>
            <w:tcBorders>
              <w:top w:val="single" w:sz="8" w:space="0" w:color="auto"/>
              <w:left w:val="nil"/>
              <w:bottom w:val="nil"/>
              <w:right w:val="nil"/>
            </w:tcBorders>
            <w:shd w:val="clear" w:color="auto" w:fill="auto"/>
            <w:noWrap/>
            <w:vAlign w:val="bottom"/>
            <w:hideMark/>
          </w:tcPr>
          <w:p w:rsidR="00A07E88" w:rsidRPr="00A07E88" w:rsidRDefault="00A07E88" w:rsidP="00A07E88">
            <w:pPr>
              <w:jc w:val="center"/>
              <w:rPr>
                <w:rFonts w:ascii="Arial" w:hAnsi="Arial" w:cs="Arial"/>
                <w:b/>
                <w:bCs/>
                <w:color w:val="000000"/>
                <w:sz w:val="20"/>
                <w:szCs w:val="20"/>
                <w:lang w:val="es-ES" w:eastAsia="es-ES"/>
              </w:rPr>
            </w:pPr>
            <w:r w:rsidRPr="00A07E88">
              <w:rPr>
                <w:rFonts w:ascii="Arial" w:hAnsi="Arial" w:cs="Arial"/>
                <w:b/>
                <w:bCs/>
                <w:color w:val="000000"/>
                <w:sz w:val="20"/>
                <w:szCs w:val="20"/>
                <w:lang w:eastAsia="fr-FR"/>
              </w:rPr>
              <w:t>Actual</w:t>
            </w:r>
          </w:p>
        </w:tc>
        <w:tc>
          <w:tcPr>
            <w:tcW w:w="1391" w:type="dxa"/>
            <w:tcBorders>
              <w:top w:val="single" w:sz="8" w:space="0" w:color="auto"/>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Adjusted budget</w:t>
            </w:r>
          </w:p>
        </w:tc>
        <w:tc>
          <w:tcPr>
            <w:tcW w:w="1098" w:type="dxa"/>
            <w:tcBorders>
              <w:top w:val="single" w:sz="8" w:space="0" w:color="auto"/>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Deviation</w:t>
            </w:r>
          </w:p>
        </w:tc>
        <w:tc>
          <w:tcPr>
            <w:tcW w:w="1520" w:type="dxa"/>
            <w:tcBorders>
              <w:top w:val="single" w:sz="8" w:space="0" w:color="auto"/>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Absolute deviation</w:t>
            </w:r>
          </w:p>
        </w:tc>
        <w:tc>
          <w:tcPr>
            <w:tcW w:w="1205" w:type="dxa"/>
            <w:tcBorders>
              <w:top w:val="single" w:sz="8" w:space="0" w:color="auto"/>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percent</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Administration générale</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10000</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10 000,0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10 000,0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val="es-ES" w:eastAsia="es-ES"/>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Domaine affaires sociales</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2802</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2 802,0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2 802,0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val="es-ES" w:eastAsia="es-ES"/>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Domaine affaires techniques</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93635</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93 635,0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93 635,0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val="es-ES" w:eastAsia="es-ES"/>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Domaine affaires économiques</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3000</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3 000,0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3 000,0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val="es-ES" w:eastAsia="es-ES"/>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Domaine de soutien</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val="es-ES" w:eastAsia="es-ES"/>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Dotation TVA fonctionnement</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381856</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533856</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643 293,0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-109 437,0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109 437,0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0,17011999</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Allocated expenditure</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381856</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643 293,0</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643 293,0</w:t>
            </w:r>
          </w:p>
        </w:tc>
        <w:tc>
          <w:tcPr>
            <w:tcW w:w="10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218 874,0</w:t>
            </w: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Contingency</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p>
        </w:tc>
        <w:tc>
          <w:tcPr>
            <w:tcW w:w="2198" w:type="dxa"/>
            <w:tcBorders>
              <w:top w:val="nil"/>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Total expenditure</w:t>
            </w:r>
          </w:p>
        </w:tc>
        <w:tc>
          <w:tcPr>
            <w:tcW w:w="2198" w:type="dxa"/>
            <w:tcBorders>
              <w:top w:val="single" w:sz="4" w:space="0" w:color="auto"/>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381856</w:t>
            </w:r>
          </w:p>
        </w:tc>
        <w:tc>
          <w:tcPr>
            <w:tcW w:w="2198" w:type="dxa"/>
            <w:tcBorders>
              <w:top w:val="single" w:sz="4" w:space="0" w:color="auto"/>
              <w:left w:val="nil"/>
              <w:bottom w:val="nil"/>
              <w:right w:val="nil"/>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643293</w:t>
            </w: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 </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Overall (PI-1) variance</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68,50%</w:t>
            </w:r>
          </w:p>
        </w:tc>
      </w:tr>
      <w:tr w:rsidR="00A07E88" w:rsidRPr="00A07E88" w:rsidTr="002527E5">
        <w:trPr>
          <w:trHeight w:val="264"/>
        </w:trPr>
        <w:tc>
          <w:tcPr>
            <w:tcW w:w="3388" w:type="dxa"/>
            <w:tcBorders>
              <w:top w:val="nil"/>
              <w:left w:val="single" w:sz="8" w:space="0" w:color="auto"/>
              <w:bottom w:val="nil"/>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Composition (PI-2) variance</w:t>
            </w: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21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391"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098"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520" w:type="dxa"/>
            <w:tcBorders>
              <w:top w:val="nil"/>
              <w:left w:val="nil"/>
              <w:bottom w:val="nil"/>
              <w:right w:val="nil"/>
            </w:tcBorders>
            <w:shd w:val="clear" w:color="auto" w:fill="auto"/>
            <w:noWrap/>
            <w:vAlign w:val="bottom"/>
            <w:hideMark/>
          </w:tcPr>
          <w:p w:rsidR="00A07E88" w:rsidRPr="00A07E88" w:rsidRDefault="00A07E88" w:rsidP="00A07E88">
            <w:pPr>
              <w:rPr>
                <w:rFonts w:ascii="Calibri" w:hAnsi="Calibri"/>
                <w:color w:val="000000"/>
                <w:sz w:val="20"/>
                <w:szCs w:val="20"/>
                <w:lang w:val="es-ES" w:eastAsia="es-ES"/>
              </w:rPr>
            </w:pPr>
          </w:p>
        </w:tc>
        <w:tc>
          <w:tcPr>
            <w:tcW w:w="1205" w:type="dxa"/>
            <w:tcBorders>
              <w:top w:val="nil"/>
              <w:left w:val="nil"/>
              <w:bottom w:val="nil"/>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34,00%</w:t>
            </w:r>
          </w:p>
        </w:tc>
      </w:tr>
      <w:tr w:rsidR="00A07E88" w:rsidRPr="00A07E88" w:rsidTr="002527E5">
        <w:trPr>
          <w:trHeight w:val="278"/>
        </w:trPr>
        <w:tc>
          <w:tcPr>
            <w:tcW w:w="3388" w:type="dxa"/>
            <w:tcBorders>
              <w:top w:val="nil"/>
              <w:left w:val="single" w:sz="8" w:space="0" w:color="auto"/>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Contingency share of budget</w:t>
            </w:r>
          </w:p>
        </w:tc>
        <w:tc>
          <w:tcPr>
            <w:tcW w:w="2198" w:type="dxa"/>
            <w:tcBorders>
              <w:top w:val="nil"/>
              <w:left w:val="nil"/>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 </w:t>
            </w:r>
          </w:p>
        </w:tc>
        <w:tc>
          <w:tcPr>
            <w:tcW w:w="2198" w:type="dxa"/>
            <w:tcBorders>
              <w:top w:val="nil"/>
              <w:left w:val="nil"/>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 </w:t>
            </w:r>
          </w:p>
        </w:tc>
        <w:tc>
          <w:tcPr>
            <w:tcW w:w="1391" w:type="dxa"/>
            <w:tcBorders>
              <w:top w:val="nil"/>
              <w:left w:val="nil"/>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 </w:t>
            </w:r>
          </w:p>
        </w:tc>
        <w:tc>
          <w:tcPr>
            <w:tcW w:w="1098" w:type="dxa"/>
            <w:tcBorders>
              <w:top w:val="nil"/>
              <w:left w:val="nil"/>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 </w:t>
            </w:r>
          </w:p>
        </w:tc>
        <w:tc>
          <w:tcPr>
            <w:tcW w:w="1520" w:type="dxa"/>
            <w:tcBorders>
              <w:top w:val="nil"/>
              <w:left w:val="nil"/>
              <w:bottom w:val="single" w:sz="8" w:space="0" w:color="auto"/>
              <w:right w:val="nil"/>
            </w:tcBorders>
            <w:shd w:val="clear" w:color="auto" w:fill="auto"/>
            <w:noWrap/>
            <w:vAlign w:val="bottom"/>
            <w:hideMark/>
          </w:tcPr>
          <w:p w:rsidR="00A07E88" w:rsidRPr="00A07E88" w:rsidRDefault="00A07E88" w:rsidP="00A07E88">
            <w:pPr>
              <w:rPr>
                <w:rFonts w:ascii="Arial" w:hAnsi="Arial" w:cs="Arial"/>
                <w:color w:val="000000"/>
                <w:sz w:val="20"/>
                <w:szCs w:val="20"/>
                <w:lang w:val="es-ES" w:eastAsia="es-ES"/>
              </w:rPr>
            </w:pPr>
            <w:r w:rsidRPr="00A07E88">
              <w:rPr>
                <w:rFonts w:ascii="Arial" w:hAnsi="Arial" w:cs="Arial"/>
                <w:color w:val="000000"/>
                <w:sz w:val="20"/>
                <w:szCs w:val="20"/>
                <w:lang w:eastAsia="fr-FR"/>
              </w:rPr>
              <w:t> </w:t>
            </w:r>
          </w:p>
        </w:tc>
        <w:tc>
          <w:tcPr>
            <w:tcW w:w="1205" w:type="dxa"/>
            <w:tcBorders>
              <w:top w:val="nil"/>
              <w:left w:val="nil"/>
              <w:bottom w:val="single" w:sz="8" w:space="0" w:color="auto"/>
              <w:right w:val="single" w:sz="8" w:space="0" w:color="auto"/>
            </w:tcBorders>
            <w:shd w:val="clear" w:color="auto" w:fill="auto"/>
            <w:noWrap/>
            <w:vAlign w:val="bottom"/>
            <w:hideMark/>
          </w:tcPr>
          <w:p w:rsidR="00A07E88" w:rsidRPr="00A07E88" w:rsidRDefault="00A07E88" w:rsidP="00A07E88">
            <w:pPr>
              <w:jc w:val="right"/>
              <w:rPr>
                <w:rFonts w:ascii="Arial" w:hAnsi="Arial" w:cs="Arial"/>
                <w:color w:val="000000"/>
                <w:sz w:val="20"/>
                <w:szCs w:val="20"/>
                <w:lang w:val="es-ES" w:eastAsia="es-ES"/>
              </w:rPr>
            </w:pPr>
            <w:r w:rsidRPr="00A07E88">
              <w:rPr>
                <w:rFonts w:ascii="Arial" w:hAnsi="Arial" w:cs="Arial"/>
                <w:color w:val="000000"/>
                <w:sz w:val="20"/>
                <w:szCs w:val="20"/>
                <w:lang w:eastAsia="fr-FR"/>
              </w:rPr>
              <w:t>0,00%</w:t>
            </w:r>
          </w:p>
        </w:tc>
      </w:tr>
    </w:tbl>
    <w:p w:rsidR="00C3253F" w:rsidRDefault="00C3253F" w:rsidP="003A596A">
      <w:pPr>
        <w:jc w:val="both"/>
        <w:rPr>
          <w:rFonts w:ascii="Arial" w:hAnsi="Arial" w:cs="Arial"/>
          <w:b/>
        </w:rPr>
      </w:pPr>
    </w:p>
    <w:p w:rsidR="00C3253F" w:rsidRDefault="00C3253F" w:rsidP="003A596A">
      <w:pPr>
        <w:jc w:val="both"/>
        <w:rPr>
          <w:rFonts w:ascii="Arial" w:hAnsi="Arial" w:cs="Arial"/>
          <w:b/>
        </w:rPr>
      </w:pPr>
    </w:p>
    <w:p w:rsidR="00C3253F" w:rsidRPr="00A17E25" w:rsidRDefault="00C3253F" w:rsidP="003A596A">
      <w:pPr>
        <w:jc w:val="both"/>
        <w:rPr>
          <w:rFonts w:ascii="Arial" w:hAnsi="Arial" w:cs="Arial"/>
          <w:b/>
        </w:rPr>
      </w:pPr>
    </w:p>
    <w:tbl>
      <w:tblPr>
        <w:tblW w:w="9436" w:type="dxa"/>
        <w:jc w:val="center"/>
        <w:tblCellMar>
          <w:left w:w="70" w:type="dxa"/>
          <w:right w:w="70" w:type="dxa"/>
        </w:tblCellMar>
        <w:tblLook w:val="04A0" w:firstRow="1" w:lastRow="0" w:firstColumn="1" w:lastColumn="0" w:noHBand="0" w:noVBand="1"/>
      </w:tblPr>
      <w:tblGrid>
        <w:gridCol w:w="3338"/>
        <w:gridCol w:w="1687"/>
        <w:gridCol w:w="1212"/>
        <w:gridCol w:w="1133"/>
        <w:gridCol w:w="1033"/>
        <w:gridCol w:w="1033"/>
      </w:tblGrid>
      <w:tr w:rsidR="003A596A" w:rsidRPr="00A17E25" w:rsidTr="00366EE5">
        <w:trPr>
          <w:trHeight w:val="240"/>
          <w:jc w:val="center"/>
        </w:trPr>
        <w:tc>
          <w:tcPr>
            <w:tcW w:w="333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Table 5 - Results Matrix</w:t>
            </w:r>
          </w:p>
        </w:tc>
        <w:tc>
          <w:tcPr>
            <w:tcW w:w="168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212"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33"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33"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33"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338" w:type="dxa"/>
            <w:tcBorders>
              <w:top w:val="single" w:sz="4" w:space="0" w:color="auto"/>
              <w:left w:val="single" w:sz="4" w:space="0" w:color="auto"/>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 </w:t>
            </w:r>
          </w:p>
        </w:tc>
        <w:tc>
          <w:tcPr>
            <w:tcW w:w="1687" w:type="dxa"/>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PI-1</w:t>
            </w:r>
          </w:p>
        </w:tc>
        <w:tc>
          <w:tcPr>
            <w:tcW w:w="2345" w:type="dxa"/>
            <w:gridSpan w:val="2"/>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w:t>
            </w:r>
          </w:p>
        </w:tc>
        <w:tc>
          <w:tcPr>
            <w:tcW w:w="2066" w:type="dxa"/>
            <w:gridSpan w:val="2"/>
            <w:tcBorders>
              <w:top w:val="single" w:sz="4" w:space="0" w:color="auto"/>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(ii)</w:t>
            </w:r>
          </w:p>
        </w:tc>
      </w:tr>
      <w:tr w:rsidR="003A596A" w:rsidRPr="00A17E25" w:rsidTr="00366EE5">
        <w:trPr>
          <w:trHeight w:val="240"/>
          <w:jc w:val="center"/>
        </w:trPr>
        <w:tc>
          <w:tcPr>
            <w:tcW w:w="3338" w:type="dxa"/>
            <w:tcBorders>
              <w:top w:val="nil"/>
              <w:left w:val="single" w:sz="4" w:space="0" w:color="auto"/>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year</w:t>
            </w:r>
          </w:p>
        </w:tc>
        <w:tc>
          <w:tcPr>
            <w:tcW w:w="1687"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total exp. deviation</w:t>
            </w:r>
          </w:p>
        </w:tc>
        <w:tc>
          <w:tcPr>
            <w:tcW w:w="2345"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composition variance</w:t>
            </w:r>
          </w:p>
        </w:tc>
        <w:tc>
          <w:tcPr>
            <w:tcW w:w="2066" w:type="dxa"/>
            <w:gridSpan w:val="2"/>
            <w:tcBorders>
              <w:top w:val="nil"/>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contingencyshare</w:t>
            </w:r>
          </w:p>
        </w:tc>
      </w:tr>
      <w:tr w:rsidR="003A596A" w:rsidRPr="00A17E25" w:rsidTr="00366EE5">
        <w:trPr>
          <w:trHeight w:val="240"/>
          <w:jc w:val="center"/>
        </w:trPr>
        <w:tc>
          <w:tcPr>
            <w:tcW w:w="3338"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2012</w:t>
            </w:r>
          </w:p>
        </w:tc>
        <w:tc>
          <w:tcPr>
            <w:tcW w:w="1687"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195,3%</w:t>
            </w:r>
          </w:p>
        </w:tc>
        <w:tc>
          <w:tcPr>
            <w:tcW w:w="2345"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132,3%</w:t>
            </w:r>
          </w:p>
        </w:tc>
        <w:tc>
          <w:tcPr>
            <w:tcW w:w="2066" w:type="dxa"/>
            <w:gridSpan w:val="2"/>
            <w:vMerge w:val="restart"/>
            <w:tcBorders>
              <w:top w:val="nil"/>
              <w:left w:val="nil"/>
              <w:bottom w:val="single" w:sz="4" w:space="0" w:color="000000"/>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0,0%</w:t>
            </w:r>
          </w:p>
        </w:tc>
      </w:tr>
      <w:tr w:rsidR="003A596A" w:rsidRPr="00A17E25" w:rsidTr="00366EE5">
        <w:trPr>
          <w:trHeight w:val="240"/>
          <w:jc w:val="center"/>
        </w:trPr>
        <w:tc>
          <w:tcPr>
            <w:tcW w:w="3338"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2013</w:t>
            </w:r>
          </w:p>
        </w:tc>
        <w:tc>
          <w:tcPr>
            <w:tcW w:w="1687"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84,1%</w:t>
            </w:r>
          </w:p>
        </w:tc>
        <w:tc>
          <w:tcPr>
            <w:tcW w:w="2345"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91,4%</w:t>
            </w:r>
          </w:p>
        </w:tc>
        <w:tc>
          <w:tcPr>
            <w:tcW w:w="2066"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338" w:type="dxa"/>
            <w:tcBorders>
              <w:top w:val="nil"/>
              <w:left w:val="single" w:sz="4" w:space="0" w:color="auto"/>
              <w:bottom w:val="single" w:sz="4" w:space="0" w:color="auto"/>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2014</w:t>
            </w:r>
          </w:p>
        </w:tc>
        <w:tc>
          <w:tcPr>
            <w:tcW w:w="1687" w:type="dxa"/>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68,5%</w:t>
            </w:r>
          </w:p>
        </w:tc>
        <w:tc>
          <w:tcPr>
            <w:tcW w:w="2345" w:type="dxa"/>
            <w:gridSpan w:val="2"/>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34,0%</w:t>
            </w:r>
          </w:p>
        </w:tc>
        <w:tc>
          <w:tcPr>
            <w:tcW w:w="2066"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bl>
    <w:p w:rsidR="003A596A" w:rsidRPr="00A17E25" w:rsidRDefault="003A596A" w:rsidP="003A596A">
      <w:pPr>
        <w:jc w:val="both"/>
        <w:rPr>
          <w:rFonts w:ascii="Arial" w:hAnsi="Arial" w:cs="Arial"/>
          <w:b/>
        </w:rPr>
      </w:pPr>
    </w:p>
    <w:p w:rsidR="003A596A" w:rsidRPr="00A17E25" w:rsidRDefault="003A596A" w:rsidP="003A596A">
      <w:pPr>
        <w:jc w:val="both"/>
        <w:rPr>
          <w:rFonts w:ascii="Arial" w:hAnsi="Arial" w:cs="Arial"/>
          <w:b/>
        </w:rPr>
      </w:pPr>
    </w:p>
    <w:p w:rsidR="003A596A" w:rsidRPr="00A17E25" w:rsidRDefault="003A596A" w:rsidP="003A596A">
      <w:pPr>
        <w:jc w:val="both"/>
        <w:rPr>
          <w:rFonts w:ascii="Arial" w:hAnsi="Arial" w:cs="Arial"/>
          <w:b/>
        </w:rPr>
      </w:pPr>
    </w:p>
    <w:p w:rsidR="009625DB" w:rsidRDefault="009625DB">
      <w:pPr>
        <w:rPr>
          <w:rFonts w:ascii="Arial" w:hAnsi="Arial" w:cs="Arial"/>
          <w:b/>
          <w:bCs/>
          <w:iCs/>
          <w:color w:val="0070C0"/>
          <w:sz w:val="28"/>
          <w:szCs w:val="28"/>
        </w:rPr>
      </w:pPr>
      <w:bookmarkStart w:id="403" w:name="_Toc434916200"/>
      <w:bookmarkStart w:id="404" w:name="_Toc434918415"/>
      <w:r>
        <w:rPr>
          <w:i/>
          <w:color w:val="0070C0"/>
        </w:rPr>
        <w:br w:type="page"/>
      </w:r>
    </w:p>
    <w:p w:rsidR="003A596A" w:rsidRPr="00F92FF8" w:rsidRDefault="00DD3964" w:rsidP="00CC3ED7">
      <w:pPr>
        <w:pStyle w:val="Heading2"/>
        <w:rPr>
          <w:i w:val="0"/>
          <w:color w:val="0070C0"/>
        </w:rPr>
      </w:pPr>
      <w:r w:rsidRPr="00F92FF8">
        <w:rPr>
          <w:i w:val="0"/>
          <w:color w:val="0070C0"/>
        </w:rPr>
        <w:t>Annexe 4</w:t>
      </w:r>
      <w:r w:rsidR="00CC3ED7" w:rsidRPr="00F92FF8">
        <w:rPr>
          <w:i w:val="0"/>
          <w:color w:val="0070C0"/>
        </w:rPr>
        <w:t xml:space="preserve">: </w:t>
      </w:r>
      <w:r w:rsidR="003A596A" w:rsidRPr="00F92FF8">
        <w:rPr>
          <w:i w:val="0"/>
          <w:color w:val="0070C0"/>
        </w:rPr>
        <w:t>Calculs pour PI-1, PI-2 &amp; PI-15</w:t>
      </w:r>
      <w:bookmarkEnd w:id="403"/>
      <w:bookmarkEnd w:id="404"/>
    </w:p>
    <w:p w:rsidR="003A596A" w:rsidRPr="00A17E25" w:rsidRDefault="003A596A" w:rsidP="003A596A"/>
    <w:p w:rsidR="003A596A" w:rsidRPr="00A17E25" w:rsidRDefault="003A596A" w:rsidP="003A596A">
      <w:pPr>
        <w:rPr>
          <w:rFonts w:ascii="Arial" w:hAnsi="Arial" w:cs="Arial"/>
          <w:b/>
          <w:u w:val="single"/>
        </w:rPr>
      </w:pPr>
      <w:r w:rsidRPr="00A17E25">
        <w:rPr>
          <w:rFonts w:ascii="Arial" w:hAnsi="Arial" w:cs="Arial"/>
          <w:b/>
          <w:u w:val="single"/>
        </w:rPr>
        <w:t>Calcul PI-1</w:t>
      </w:r>
    </w:p>
    <w:p w:rsidR="003A596A" w:rsidRPr="00A17E25" w:rsidRDefault="003A596A" w:rsidP="003A596A">
      <w:pPr>
        <w:jc w:val="both"/>
        <w:rPr>
          <w:rFonts w:ascii="Arial" w:hAnsi="Arial" w:cs="Arial"/>
          <w:b/>
        </w:rPr>
      </w:pPr>
    </w:p>
    <w:tbl>
      <w:tblPr>
        <w:tblW w:w="11597" w:type="dxa"/>
        <w:jc w:val="center"/>
        <w:tblCellMar>
          <w:left w:w="70" w:type="dxa"/>
          <w:right w:w="70" w:type="dxa"/>
        </w:tblCellMar>
        <w:tblLook w:val="04A0" w:firstRow="1" w:lastRow="0" w:firstColumn="1" w:lastColumn="0" w:noHBand="0" w:noVBand="1"/>
      </w:tblPr>
      <w:tblGrid>
        <w:gridCol w:w="4600"/>
        <w:gridCol w:w="1040"/>
        <w:gridCol w:w="1040"/>
        <w:gridCol w:w="1040"/>
        <w:gridCol w:w="1040"/>
        <w:gridCol w:w="1697"/>
        <w:gridCol w:w="1140"/>
      </w:tblGrid>
      <w:tr w:rsidR="003A596A" w:rsidRPr="00A17E25" w:rsidTr="00A07E88">
        <w:trPr>
          <w:trHeight w:val="515"/>
          <w:jc w:val="center"/>
        </w:trPr>
        <w:tc>
          <w:tcPr>
            <w:tcW w:w="4600" w:type="dxa"/>
            <w:tcBorders>
              <w:top w:val="nil"/>
              <w:left w:val="nil"/>
              <w:bottom w:val="single" w:sz="4" w:space="0" w:color="auto"/>
              <w:right w:val="nil"/>
            </w:tcBorders>
            <w:shd w:val="clear" w:color="auto" w:fill="auto"/>
            <w:noWrap/>
            <w:vAlign w:val="bottom"/>
            <w:hideMark/>
          </w:tcPr>
          <w:p w:rsidR="003A596A" w:rsidRDefault="003A596A" w:rsidP="003A596A">
            <w:pPr>
              <w:rPr>
                <w:rFonts w:ascii="Arial" w:hAnsi="Arial" w:cs="Arial"/>
                <w:b/>
                <w:bCs/>
                <w:sz w:val="20"/>
                <w:szCs w:val="20"/>
                <w:lang w:eastAsia="fr-FR"/>
              </w:rPr>
            </w:pPr>
            <w:r w:rsidRPr="00A17E25">
              <w:rPr>
                <w:rFonts w:ascii="Arial" w:hAnsi="Arial" w:cs="Arial"/>
                <w:b/>
                <w:bCs/>
                <w:sz w:val="20"/>
                <w:szCs w:val="20"/>
                <w:lang w:eastAsia="fr-FR"/>
              </w:rPr>
              <w:t>Table 2</w:t>
            </w:r>
          </w:p>
          <w:p w:rsidR="00A07E88" w:rsidRPr="00647714" w:rsidRDefault="00A07E88" w:rsidP="00A07E88">
            <w:pPr>
              <w:jc w:val="both"/>
              <w:rPr>
                <w:rFonts w:ascii="Arial Narrow" w:hAnsi="Arial Narrow" w:cs="Arial"/>
                <w:b/>
                <w:sz w:val="20"/>
                <w:szCs w:val="20"/>
                <w:u w:val="single"/>
                <w:lang w:val="en-US"/>
              </w:rPr>
            </w:pPr>
            <w:r w:rsidRPr="00647714">
              <w:rPr>
                <w:rFonts w:ascii="Arial" w:hAnsi="Arial" w:cs="Arial"/>
                <w:b/>
                <w:bCs/>
                <w:sz w:val="20"/>
                <w:szCs w:val="20"/>
                <w:lang w:val="en-US" w:eastAsia="fr-FR"/>
              </w:rPr>
              <w:t>Data for year 201</w:t>
            </w:r>
            <w:r>
              <w:rPr>
                <w:rFonts w:ascii="Arial" w:hAnsi="Arial" w:cs="Arial"/>
                <w:b/>
                <w:bCs/>
                <w:sz w:val="20"/>
                <w:szCs w:val="20"/>
                <w:lang w:val="en-US" w:eastAsia="fr-FR"/>
              </w:rPr>
              <w:t>2</w:t>
            </w:r>
          </w:p>
          <w:p w:rsidR="00A07E88" w:rsidRPr="00A17E25" w:rsidRDefault="00A07E88" w:rsidP="003A596A">
            <w:pPr>
              <w:rPr>
                <w:rFonts w:ascii="Arial" w:hAnsi="Arial" w:cs="Arial"/>
                <w:b/>
                <w:bCs/>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r>
      <w:tr w:rsidR="003A596A" w:rsidRPr="00A17E25" w:rsidTr="00A07E88">
        <w:trPr>
          <w:trHeight w:val="510"/>
          <w:jc w:val="center"/>
        </w:trPr>
        <w:tc>
          <w:tcPr>
            <w:tcW w:w="4600" w:type="dxa"/>
            <w:tcBorders>
              <w:top w:val="single" w:sz="4" w:space="0" w:color="auto"/>
              <w:left w:val="single" w:sz="4" w:space="0" w:color="auto"/>
              <w:bottom w:val="nil"/>
              <w:right w:val="nil"/>
            </w:tcBorders>
            <w:shd w:val="clear" w:color="auto" w:fill="auto"/>
            <w:noWrap/>
            <w:vAlign w:val="center"/>
            <w:hideMark/>
          </w:tcPr>
          <w:p w:rsidR="003A596A" w:rsidRPr="00A17E25" w:rsidRDefault="00A07E88" w:rsidP="00A07E88">
            <w:pP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dministrative or functionalhead</w:t>
            </w:r>
          </w:p>
        </w:tc>
        <w:tc>
          <w:tcPr>
            <w:tcW w:w="1040" w:type="dxa"/>
            <w:tcBorders>
              <w:top w:val="single" w:sz="4" w:space="0" w:color="auto"/>
              <w:left w:val="nil"/>
              <w:bottom w:val="nil"/>
              <w:right w:val="nil"/>
            </w:tcBorders>
            <w:shd w:val="clear" w:color="auto" w:fill="auto"/>
            <w:noWrap/>
            <w:vAlign w:val="center"/>
            <w:hideMark/>
          </w:tcPr>
          <w:p w:rsidR="003A596A" w:rsidRPr="00A17E25" w:rsidRDefault="002527E5" w:rsidP="003A596A">
            <w:pPr>
              <w:jc w:val="center"/>
              <w:rPr>
                <w:rFonts w:ascii="Arial" w:hAnsi="Arial" w:cs="Arial"/>
                <w:b/>
                <w:bCs/>
                <w:sz w:val="20"/>
                <w:szCs w:val="20"/>
                <w:lang w:eastAsia="fr-FR"/>
              </w:rPr>
            </w:pPr>
            <w:r>
              <w:rPr>
                <w:rFonts w:ascii="Arial" w:hAnsi="Arial" w:cs="Arial"/>
                <w:b/>
                <w:bCs/>
                <w:sz w:val="20"/>
                <w:szCs w:val="20"/>
                <w:lang w:eastAsia="fr-FR"/>
              </w:rPr>
              <w:t>B</w:t>
            </w:r>
            <w:r w:rsidR="003A596A" w:rsidRPr="00A17E25">
              <w:rPr>
                <w:rFonts w:ascii="Arial" w:hAnsi="Arial" w:cs="Arial"/>
                <w:b/>
                <w:bCs/>
                <w:sz w:val="20"/>
                <w:szCs w:val="20"/>
                <w:lang w:eastAsia="fr-FR"/>
              </w:rPr>
              <w:t>udget</w:t>
            </w:r>
          </w:p>
        </w:tc>
        <w:tc>
          <w:tcPr>
            <w:tcW w:w="1040" w:type="dxa"/>
            <w:tcBorders>
              <w:top w:val="single" w:sz="4" w:space="0" w:color="auto"/>
              <w:left w:val="nil"/>
              <w:bottom w:val="nil"/>
              <w:right w:val="nil"/>
            </w:tcBorders>
            <w:shd w:val="clear" w:color="auto" w:fill="auto"/>
            <w:noWrap/>
            <w:vAlign w:val="center"/>
            <w:hideMark/>
          </w:tcPr>
          <w:p w:rsidR="003A596A" w:rsidRPr="00A17E25" w:rsidRDefault="002527E5" w:rsidP="003A596A">
            <w:pPr>
              <w:jc w:val="center"/>
              <w:rPr>
                <w:rFonts w:ascii="Arial" w:hAnsi="Arial" w:cs="Arial"/>
                <w:b/>
                <w:bCs/>
                <w:sz w:val="20"/>
                <w:szCs w:val="20"/>
                <w:lang w:eastAsia="fr-FR"/>
              </w:rPr>
            </w:pPr>
            <w:r>
              <w:rPr>
                <w:rFonts w:ascii="Arial" w:hAnsi="Arial" w:cs="Arial"/>
                <w:b/>
                <w:bCs/>
                <w:sz w:val="20"/>
                <w:szCs w:val="20"/>
                <w:lang w:eastAsia="fr-FR"/>
              </w:rPr>
              <w:t>A</w:t>
            </w:r>
            <w:r w:rsidR="003A596A" w:rsidRPr="00A17E25">
              <w:rPr>
                <w:rFonts w:ascii="Arial" w:hAnsi="Arial" w:cs="Arial"/>
                <w:b/>
                <w:bCs/>
                <w:sz w:val="20"/>
                <w:szCs w:val="20"/>
                <w:lang w:eastAsia="fr-FR"/>
              </w:rPr>
              <w:t>ctual</w:t>
            </w:r>
          </w:p>
        </w:tc>
        <w:tc>
          <w:tcPr>
            <w:tcW w:w="1040" w:type="dxa"/>
            <w:tcBorders>
              <w:top w:val="single" w:sz="4" w:space="0" w:color="auto"/>
              <w:left w:val="nil"/>
              <w:bottom w:val="nil"/>
              <w:right w:val="nil"/>
            </w:tcBorders>
            <w:shd w:val="clear" w:color="auto" w:fill="auto"/>
            <w:vAlign w:val="center"/>
            <w:hideMark/>
          </w:tcPr>
          <w:p w:rsidR="003A596A" w:rsidRPr="00A17E25" w:rsidRDefault="002527E5" w:rsidP="003A596A">
            <w:pPr>
              <w:jc w:val="cente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djusted budget</w:t>
            </w:r>
          </w:p>
        </w:tc>
        <w:tc>
          <w:tcPr>
            <w:tcW w:w="1040" w:type="dxa"/>
            <w:tcBorders>
              <w:top w:val="single" w:sz="4" w:space="0" w:color="auto"/>
              <w:left w:val="nil"/>
              <w:bottom w:val="nil"/>
              <w:right w:val="nil"/>
            </w:tcBorders>
            <w:shd w:val="clear" w:color="auto" w:fill="auto"/>
            <w:vAlign w:val="center"/>
            <w:hideMark/>
          </w:tcPr>
          <w:p w:rsidR="003A596A" w:rsidRPr="00A17E25" w:rsidRDefault="002527E5" w:rsidP="003A596A">
            <w:pPr>
              <w:jc w:val="center"/>
              <w:rPr>
                <w:rFonts w:ascii="Arial" w:hAnsi="Arial" w:cs="Arial"/>
                <w:sz w:val="20"/>
                <w:szCs w:val="20"/>
                <w:lang w:eastAsia="fr-FR"/>
              </w:rPr>
            </w:pPr>
            <w:r>
              <w:rPr>
                <w:rFonts w:ascii="Arial" w:hAnsi="Arial" w:cs="Arial"/>
                <w:sz w:val="20"/>
                <w:szCs w:val="20"/>
                <w:lang w:eastAsia="fr-FR"/>
              </w:rPr>
              <w:t>D</w:t>
            </w:r>
            <w:r w:rsidR="003A596A" w:rsidRPr="00A17E25">
              <w:rPr>
                <w:rFonts w:ascii="Arial" w:hAnsi="Arial" w:cs="Arial"/>
                <w:sz w:val="20"/>
                <w:szCs w:val="20"/>
                <w:lang w:eastAsia="fr-FR"/>
              </w:rPr>
              <w:t>eviation</w:t>
            </w:r>
          </w:p>
        </w:tc>
        <w:tc>
          <w:tcPr>
            <w:tcW w:w="1697" w:type="dxa"/>
            <w:tcBorders>
              <w:top w:val="single" w:sz="4" w:space="0" w:color="auto"/>
              <w:left w:val="nil"/>
              <w:bottom w:val="nil"/>
              <w:right w:val="nil"/>
            </w:tcBorders>
            <w:shd w:val="clear" w:color="auto" w:fill="auto"/>
            <w:vAlign w:val="center"/>
            <w:hideMark/>
          </w:tcPr>
          <w:p w:rsidR="003A596A" w:rsidRPr="00A17E25" w:rsidRDefault="002527E5" w:rsidP="003A596A">
            <w:pPr>
              <w:jc w:val="cente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bsolute</w:t>
            </w:r>
            <w:r>
              <w:rPr>
                <w:rFonts w:ascii="Arial" w:hAnsi="Arial" w:cs="Arial"/>
                <w:sz w:val="20"/>
                <w:szCs w:val="20"/>
                <w:lang w:eastAsia="fr-FR"/>
              </w:rPr>
              <w:t xml:space="preserve"> </w:t>
            </w:r>
            <w:r w:rsidR="003A596A" w:rsidRPr="00A17E25">
              <w:rPr>
                <w:rFonts w:ascii="Arial" w:hAnsi="Arial" w:cs="Arial"/>
                <w:sz w:val="20"/>
                <w:szCs w:val="20"/>
                <w:lang w:eastAsia="fr-FR"/>
              </w:rPr>
              <w:t>deviation</w:t>
            </w:r>
          </w:p>
        </w:tc>
        <w:tc>
          <w:tcPr>
            <w:tcW w:w="1140" w:type="dxa"/>
            <w:tcBorders>
              <w:top w:val="single" w:sz="4" w:space="0" w:color="auto"/>
              <w:left w:val="nil"/>
              <w:bottom w:val="nil"/>
              <w:right w:val="single" w:sz="4" w:space="0" w:color="auto"/>
            </w:tcBorders>
            <w:shd w:val="clear" w:color="auto" w:fill="auto"/>
            <w:noWrap/>
            <w:vAlign w:val="center"/>
            <w:hideMark/>
          </w:tcPr>
          <w:p w:rsidR="003A596A" w:rsidRPr="00A17E25" w:rsidRDefault="002527E5" w:rsidP="003A596A">
            <w:pPr>
              <w:jc w:val="center"/>
              <w:rPr>
                <w:rFonts w:ascii="Arial" w:hAnsi="Arial" w:cs="Arial"/>
                <w:sz w:val="20"/>
                <w:szCs w:val="20"/>
                <w:lang w:eastAsia="fr-FR"/>
              </w:rPr>
            </w:pPr>
            <w:r>
              <w:rPr>
                <w:rFonts w:ascii="Arial" w:hAnsi="Arial" w:cs="Arial"/>
                <w:sz w:val="20"/>
                <w:szCs w:val="20"/>
                <w:lang w:eastAsia="fr-FR"/>
              </w:rPr>
              <w:t>P</w:t>
            </w:r>
            <w:r w:rsidR="003A596A" w:rsidRPr="00A17E25">
              <w:rPr>
                <w:rFonts w:ascii="Arial" w:hAnsi="Arial" w:cs="Arial"/>
                <w:sz w:val="20"/>
                <w:szCs w:val="20"/>
                <w:lang w:eastAsia="fr-FR"/>
              </w:rPr>
              <w:t>ercent</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Administration générale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1432,73</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1529,25</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1 383,8</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145,5</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145,5</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10,5%</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sociales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94,15</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85,36</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90,9</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-5,6</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5,6</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6,1%</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techniques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399,4</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444,57</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385,7</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58,8</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58,8</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15,2%</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économiques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3,03</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center"/>
              <w:rPr>
                <w:rFonts w:ascii="Arial" w:hAnsi="Arial" w:cs="Arial"/>
                <w:sz w:val="20"/>
                <w:szCs w:val="20"/>
                <w:lang w:eastAsia="fr-FR"/>
              </w:rPr>
            </w:pP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de soutien</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718,29</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1823,78</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693,7</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1 130,0</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1 130,0</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162,9%</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Comptes d'affectation spéciale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1380,16</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1,16</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1 333,0</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-1 331,8</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1 331,8</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99,9%</w:t>
            </w:r>
          </w:p>
        </w:tc>
      </w:tr>
      <w:tr w:rsidR="003A596A" w:rsidRPr="00A17E25" w:rsidTr="00A07E88">
        <w:trPr>
          <w:trHeight w:val="240"/>
          <w:jc w:val="center"/>
        </w:trPr>
        <w:tc>
          <w:tcPr>
            <w:tcW w:w="4600" w:type="dxa"/>
            <w:tcBorders>
              <w:top w:val="single" w:sz="4" w:space="0" w:color="auto"/>
              <w:left w:val="single" w:sz="4" w:space="0" w:color="auto"/>
              <w:bottom w:val="nil"/>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llocated</w:t>
            </w:r>
            <w:r>
              <w:rPr>
                <w:rFonts w:ascii="Arial" w:hAnsi="Arial" w:cs="Arial"/>
                <w:sz w:val="20"/>
                <w:szCs w:val="20"/>
                <w:lang w:eastAsia="fr-FR"/>
              </w:rPr>
              <w:t xml:space="preserve"> </w:t>
            </w:r>
            <w:r w:rsidR="003A596A" w:rsidRPr="00A17E25">
              <w:rPr>
                <w:rFonts w:ascii="Arial" w:hAnsi="Arial" w:cs="Arial"/>
                <w:sz w:val="20"/>
                <w:szCs w:val="20"/>
                <w:lang w:eastAsia="fr-FR"/>
              </w:rPr>
              <w:t>expenditure</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4024,73</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3887,15</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3 887,2</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c>
          <w:tcPr>
            <w:tcW w:w="1697"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2 674,8</w:t>
            </w:r>
          </w:p>
        </w:tc>
        <w:tc>
          <w:tcPr>
            <w:tcW w:w="1140" w:type="dxa"/>
            <w:tcBorders>
              <w:top w:val="single" w:sz="4" w:space="0" w:color="auto"/>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C</w:t>
            </w:r>
            <w:r w:rsidR="003A596A" w:rsidRPr="00A17E25">
              <w:rPr>
                <w:rFonts w:ascii="Arial" w:hAnsi="Arial" w:cs="Arial"/>
                <w:sz w:val="20"/>
                <w:szCs w:val="20"/>
                <w:lang w:eastAsia="fr-FR"/>
              </w:rPr>
              <w:t>ontingency</w:t>
            </w:r>
          </w:p>
        </w:tc>
        <w:tc>
          <w:tcPr>
            <w:tcW w:w="1040" w:type="dxa"/>
            <w:tcBorders>
              <w:top w:val="nil"/>
              <w:left w:val="nil"/>
              <w:bottom w:val="single" w:sz="4" w:space="0" w:color="auto"/>
              <w:right w:val="nil"/>
            </w:tcBorders>
            <w:shd w:val="clear" w:color="auto" w:fill="FFFFFF" w:themeFill="background1"/>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single" w:sz="4" w:space="0" w:color="auto"/>
              <w:right w:val="nil"/>
            </w:tcBorders>
            <w:shd w:val="clear" w:color="auto" w:fill="FFFFFF" w:themeFill="background1"/>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A07E88">
        <w:trPr>
          <w:trHeight w:val="275"/>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T</w:t>
            </w:r>
            <w:r w:rsidR="003A596A" w:rsidRPr="00A17E25">
              <w:rPr>
                <w:rFonts w:ascii="Arial" w:hAnsi="Arial" w:cs="Arial"/>
                <w:sz w:val="20"/>
                <w:szCs w:val="20"/>
                <w:lang w:eastAsia="fr-FR"/>
              </w:rPr>
              <w:t>otal expenditure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4024,73</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3887,15</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A07E88">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O</w:t>
            </w:r>
            <w:r w:rsidR="003A596A" w:rsidRPr="00A17E25">
              <w:rPr>
                <w:rFonts w:ascii="Arial" w:hAnsi="Arial" w:cs="Arial"/>
                <w:sz w:val="20"/>
                <w:szCs w:val="20"/>
                <w:lang w:eastAsia="fr-FR"/>
              </w:rPr>
              <w:t>verall (PI-1) variance</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 </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3,4%</w:t>
            </w:r>
          </w:p>
        </w:tc>
      </w:tr>
      <w:tr w:rsidR="003A596A" w:rsidRPr="00A17E25" w:rsidTr="00A07E88">
        <w:trPr>
          <w:trHeight w:val="275"/>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C</w:t>
            </w:r>
            <w:r w:rsidR="003A596A" w:rsidRPr="00A17E25">
              <w:rPr>
                <w:rFonts w:ascii="Arial" w:hAnsi="Arial" w:cs="Arial"/>
                <w:sz w:val="20"/>
                <w:szCs w:val="20"/>
                <w:lang w:eastAsia="fr-FR"/>
              </w:rPr>
              <w:t>omposition (PI-2) variance</w:t>
            </w: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697"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center"/>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68,8%</w:t>
            </w:r>
          </w:p>
        </w:tc>
      </w:tr>
      <w:tr w:rsidR="003A596A" w:rsidRPr="00A17E25" w:rsidTr="00A07E88">
        <w:trPr>
          <w:trHeight w:val="240"/>
          <w:jc w:val="center"/>
        </w:trPr>
        <w:tc>
          <w:tcPr>
            <w:tcW w:w="4600" w:type="dxa"/>
            <w:tcBorders>
              <w:top w:val="nil"/>
              <w:left w:val="single" w:sz="4" w:space="0" w:color="auto"/>
              <w:bottom w:val="single" w:sz="4" w:space="0" w:color="auto"/>
              <w:right w:val="nil"/>
            </w:tcBorders>
            <w:shd w:val="clear" w:color="auto" w:fill="auto"/>
            <w:noWrap/>
            <w:vAlign w:val="bottom"/>
            <w:hideMark/>
          </w:tcPr>
          <w:p w:rsidR="003A596A" w:rsidRPr="00A17E25" w:rsidRDefault="002527E5" w:rsidP="003A596A">
            <w:pPr>
              <w:rPr>
                <w:rFonts w:ascii="Arial" w:hAnsi="Arial" w:cs="Arial"/>
                <w:sz w:val="20"/>
                <w:szCs w:val="20"/>
                <w:lang w:eastAsia="fr-FR"/>
              </w:rPr>
            </w:pPr>
            <w:r>
              <w:rPr>
                <w:rFonts w:ascii="Arial" w:hAnsi="Arial" w:cs="Arial"/>
                <w:sz w:val="20"/>
                <w:szCs w:val="20"/>
                <w:lang w:eastAsia="fr-FR"/>
              </w:rPr>
              <w:t>C</w:t>
            </w:r>
            <w:r w:rsidR="003A596A" w:rsidRPr="00A17E25">
              <w:rPr>
                <w:rFonts w:ascii="Arial" w:hAnsi="Arial" w:cs="Arial"/>
                <w:sz w:val="20"/>
                <w:szCs w:val="20"/>
                <w:lang w:eastAsia="fr-FR"/>
              </w:rPr>
              <w:t>ontingencyshare of budget</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single" w:sz="4" w:space="0" w:color="auto"/>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r>
    </w:tbl>
    <w:p w:rsidR="003A596A" w:rsidRPr="00A17E25" w:rsidRDefault="003A596A" w:rsidP="003A596A">
      <w:pPr>
        <w:jc w:val="both"/>
        <w:rPr>
          <w:rFonts w:ascii="Arial" w:hAnsi="Arial" w:cs="Arial"/>
          <w:b/>
        </w:rPr>
      </w:pPr>
    </w:p>
    <w:p w:rsidR="003A596A" w:rsidRDefault="003A596A" w:rsidP="003A596A">
      <w:pPr>
        <w:jc w:val="both"/>
        <w:rPr>
          <w:rFonts w:ascii="Arial" w:hAnsi="Arial" w:cs="Arial"/>
          <w:b/>
        </w:rPr>
      </w:pPr>
    </w:p>
    <w:p w:rsidR="00551808" w:rsidRDefault="00551808"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551808" w:rsidRPr="00551808" w:rsidRDefault="00551808" w:rsidP="003A596A">
      <w:pPr>
        <w:jc w:val="both"/>
        <w:rPr>
          <w:rFonts w:ascii="Arial" w:hAnsi="Arial" w:cs="Arial"/>
          <w:b/>
          <w:sz w:val="20"/>
          <w:szCs w:val="20"/>
        </w:rPr>
      </w:pPr>
      <w:r w:rsidRPr="00551808">
        <w:rPr>
          <w:rFonts w:ascii="Arial" w:hAnsi="Arial" w:cs="Arial"/>
          <w:b/>
          <w:sz w:val="20"/>
          <w:szCs w:val="20"/>
        </w:rPr>
        <w:t>Table 3</w:t>
      </w:r>
    </w:p>
    <w:p w:rsidR="00551808" w:rsidRDefault="00551808" w:rsidP="003A596A">
      <w:pPr>
        <w:jc w:val="both"/>
        <w:rPr>
          <w:rFonts w:ascii="Arial" w:hAnsi="Arial" w:cs="Arial"/>
          <w:b/>
          <w:sz w:val="20"/>
          <w:szCs w:val="20"/>
        </w:rPr>
      </w:pPr>
      <w:r w:rsidRPr="00551808">
        <w:rPr>
          <w:rFonts w:ascii="Arial" w:hAnsi="Arial" w:cs="Arial"/>
          <w:b/>
          <w:sz w:val="20"/>
          <w:szCs w:val="20"/>
        </w:rPr>
        <w:t>Data for Year= 2013</w:t>
      </w:r>
    </w:p>
    <w:p w:rsidR="002527E5" w:rsidRDefault="002527E5" w:rsidP="003A596A">
      <w:pPr>
        <w:jc w:val="both"/>
        <w:rPr>
          <w:rFonts w:ascii="Arial" w:hAnsi="Arial" w:cs="Arial"/>
          <w:b/>
          <w:sz w:val="20"/>
          <w:szCs w:val="20"/>
        </w:rPr>
      </w:pPr>
    </w:p>
    <w:p w:rsidR="002527E5" w:rsidRPr="00551808" w:rsidRDefault="002527E5" w:rsidP="003A596A">
      <w:pPr>
        <w:jc w:val="both"/>
        <w:rPr>
          <w:rFonts w:ascii="Arial" w:hAnsi="Arial" w:cs="Arial"/>
          <w:b/>
          <w:sz w:val="20"/>
          <w:szCs w:val="20"/>
        </w:rPr>
      </w:pPr>
    </w:p>
    <w:tbl>
      <w:tblPr>
        <w:tblW w:w="11772" w:type="dxa"/>
        <w:tblInd w:w="53" w:type="dxa"/>
        <w:tblCellMar>
          <w:left w:w="70" w:type="dxa"/>
          <w:right w:w="70" w:type="dxa"/>
        </w:tblCellMar>
        <w:tblLook w:val="04A0" w:firstRow="1" w:lastRow="0" w:firstColumn="1" w:lastColumn="0" w:noHBand="0" w:noVBand="1"/>
      </w:tblPr>
      <w:tblGrid>
        <w:gridCol w:w="3726"/>
        <w:gridCol w:w="1152"/>
        <w:gridCol w:w="1152"/>
        <w:gridCol w:w="1594"/>
        <w:gridCol w:w="1152"/>
        <w:gridCol w:w="1152"/>
        <w:gridCol w:w="1844"/>
      </w:tblGrid>
      <w:tr w:rsidR="00551808" w:rsidRPr="00551808" w:rsidTr="00551808">
        <w:trPr>
          <w:trHeight w:val="492"/>
        </w:trPr>
        <w:tc>
          <w:tcPr>
            <w:tcW w:w="3726" w:type="dxa"/>
            <w:tcBorders>
              <w:top w:val="single" w:sz="8" w:space="0" w:color="auto"/>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Administrative or functional head</w:t>
            </w:r>
          </w:p>
        </w:tc>
        <w:tc>
          <w:tcPr>
            <w:tcW w:w="1152" w:type="dxa"/>
            <w:tcBorders>
              <w:top w:val="single" w:sz="8" w:space="0" w:color="auto"/>
              <w:left w:val="nil"/>
              <w:bottom w:val="nil"/>
              <w:right w:val="nil"/>
            </w:tcBorders>
            <w:shd w:val="clear" w:color="auto" w:fill="auto"/>
            <w:noWrap/>
            <w:vAlign w:val="center"/>
            <w:hideMark/>
          </w:tcPr>
          <w:p w:rsidR="00551808" w:rsidRPr="00551808" w:rsidRDefault="00551808" w:rsidP="00551808">
            <w:pPr>
              <w:jc w:val="center"/>
              <w:rPr>
                <w:rFonts w:ascii="Arial" w:hAnsi="Arial" w:cs="Arial"/>
                <w:b/>
                <w:bCs/>
                <w:color w:val="000000"/>
                <w:sz w:val="20"/>
                <w:szCs w:val="20"/>
                <w:lang w:val="es-ES" w:eastAsia="es-ES"/>
              </w:rPr>
            </w:pPr>
            <w:r w:rsidRPr="00551808">
              <w:rPr>
                <w:rFonts w:ascii="Arial" w:hAnsi="Arial" w:cs="Arial"/>
                <w:b/>
                <w:bCs/>
                <w:color w:val="000000"/>
                <w:sz w:val="20"/>
                <w:szCs w:val="20"/>
                <w:lang w:eastAsia="fr-FR"/>
              </w:rPr>
              <w:t>Budget</w:t>
            </w:r>
          </w:p>
        </w:tc>
        <w:tc>
          <w:tcPr>
            <w:tcW w:w="1152" w:type="dxa"/>
            <w:tcBorders>
              <w:top w:val="single" w:sz="8" w:space="0" w:color="auto"/>
              <w:left w:val="nil"/>
              <w:bottom w:val="nil"/>
              <w:right w:val="nil"/>
            </w:tcBorders>
            <w:shd w:val="clear" w:color="auto" w:fill="auto"/>
            <w:noWrap/>
            <w:vAlign w:val="center"/>
            <w:hideMark/>
          </w:tcPr>
          <w:p w:rsidR="00551808" w:rsidRPr="00551808" w:rsidRDefault="00551808" w:rsidP="00551808">
            <w:pPr>
              <w:jc w:val="center"/>
              <w:rPr>
                <w:rFonts w:ascii="Arial" w:hAnsi="Arial" w:cs="Arial"/>
                <w:b/>
                <w:bCs/>
                <w:color w:val="000000"/>
                <w:sz w:val="20"/>
                <w:szCs w:val="20"/>
                <w:lang w:val="es-ES" w:eastAsia="es-ES"/>
              </w:rPr>
            </w:pPr>
            <w:r w:rsidRPr="00551808">
              <w:rPr>
                <w:rFonts w:ascii="Arial" w:hAnsi="Arial" w:cs="Arial"/>
                <w:b/>
                <w:bCs/>
                <w:color w:val="000000"/>
                <w:sz w:val="20"/>
                <w:szCs w:val="20"/>
                <w:lang w:eastAsia="fr-FR"/>
              </w:rPr>
              <w:t>Actual</w:t>
            </w:r>
          </w:p>
        </w:tc>
        <w:tc>
          <w:tcPr>
            <w:tcW w:w="1594" w:type="dxa"/>
            <w:tcBorders>
              <w:top w:val="single" w:sz="8" w:space="0" w:color="auto"/>
              <w:left w:val="nil"/>
              <w:bottom w:val="nil"/>
              <w:right w:val="nil"/>
            </w:tcBorders>
            <w:shd w:val="clear" w:color="auto" w:fill="auto"/>
            <w:vAlign w:val="center"/>
            <w:hideMark/>
          </w:tcPr>
          <w:p w:rsidR="00551808" w:rsidRPr="00551808" w:rsidRDefault="00551808" w:rsidP="00551808">
            <w:pPr>
              <w:jc w:val="center"/>
              <w:rPr>
                <w:rFonts w:ascii="Arial" w:hAnsi="Arial" w:cs="Arial"/>
                <w:color w:val="000000"/>
                <w:sz w:val="20"/>
                <w:szCs w:val="20"/>
                <w:lang w:val="es-ES" w:eastAsia="es-ES"/>
              </w:rPr>
            </w:pPr>
            <w:r w:rsidRPr="00551808">
              <w:rPr>
                <w:rFonts w:ascii="Arial" w:hAnsi="Arial" w:cs="Arial"/>
                <w:color w:val="000000"/>
                <w:sz w:val="20"/>
                <w:szCs w:val="20"/>
                <w:lang w:eastAsia="fr-FR"/>
              </w:rPr>
              <w:t>Adjusted budget</w:t>
            </w:r>
          </w:p>
        </w:tc>
        <w:tc>
          <w:tcPr>
            <w:tcW w:w="1152" w:type="dxa"/>
            <w:tcBorders>
              <w:top w:val="single" w:sz="8" w:space="0" w:color="auto"/>
              <w:left w:val="nil"/>
              <w:bottom w:val="nil"/>
              <w:right w:val="nil"/>
            </w:tcBorders>
            <w:shd w:val="clear" w:color="auto" w:fill="auto"/>
            <w:vAlign w:val="center"/>
            <w:hideMark/>
          </w:tcPr>
          <w:p w:rsidR="00551808" w:rsidRPr="00551808" w:rsidRDefault="00551808" w:rsidP="00551808">
            <w:pPr>
              <w:jc w:val="center"/>
              <w:rPr>
                <w:rFonts w:ascii="Arial" w:hAnsi="Arial" w:cs="Arial"/>
                <w:color w:val="000000"/>
                <w:sz w:val="20"/>
                <w:szCs w:val="20"/>
                <w:lang w:val="es-ES" w:eastAsia="es-ES"/>
              </w:rPr>
            </w:pPr>
            <w:r w:rsidRPr="00551808">
              <w:rPr>
                <w:rFonts w:ascii="Arial" w:hAnsi="Arial" w:cs="Arial"/>
                <w:color w:val="000000"/>
                <w:sz w:val="20"/>
                <w:szCs w:val="20"/>
                <w:lang w:eastAsia="fr-FR"/>
              </w:rPr>
              <w:t>Deviation</w:t>
            </w:r>
          </w:p>
        </w:tc>
        <w:tc>
          <w:tcPr>
            <w:tcW w:w="1152" w:type="dxa"/>
            <w:tcBorders>
              <w:top w:val="single" w:sz="8" w:space="0" w:color="auto"/>
              <w:left w:val="nil"/>
              <w:bottom w:val="nil"/>
              <w:right w:val="nil"/>
            </w:tcBorders>
            <w:shd w:val="clear" w:color="auto" w:fill="auto"/>
            <w:vAlign w:val="center"/>
            <w:hideMark/>
          </w:tcPr>
          <w:p w:rsidR="00551808" w:rsidRPr="00551808" w:rsidRDefault="00551808" w:rsidP="00551808">
            <w:pPr>
              <w:jc w:val="center"/>
              <w:rPr>
                <w:rFonts w:ascii="Arial" w:hAnsi="Arial" w:cs="Arial"/>
                <w:color w:val="000000"/>
                <w:sz w:val="20"/>
                <w:szCs w:val="20"/>
                <w:lang w:val="es-ES" w:eastAsia="es-ES"/>
              </w:rPr>
            </w:pPr>
            <w:r w:rsidRPr="00551808">
              <w:rPr>
                <w:rFonts w:ascii="Arial" w:hAnsi="Arial" w:cs="Arial"/>
                <w:color w:val="000000"/>
                <w:sz w:val="20"/>
                <w:szCs w:val="20"/>
                <w:lang w:eastAsia="fr-FR"/>
              </w:rPr>
              <w:t>Absolute deviation</w:t>
            </w:r>
          </w:p>
        </w:tc>
        <w:tc>
          <w:tcPr>
            <w:tcW w:w="1844" w:type="dxa"/>
            <w:tcBorders>
              <w:top w:val="single" w:sz="8" w:space="0" w:color="auto"/>
              <w:left w:val="nil"/>
              <w:bottom w:val="nil"/>
              <w:right w:val="single" w:sz="8" w:space="0" w:color="auto"/>
            </w:tcBorders>
            <w:shd w:val="clear" w:color="auto" w:fill="auto"/>
            <w:noWrap/>
            <w:vAlign w:val="center"/>
            <w:hideMark/>
          </w:tcPr>
          <w:p w:rsidR="00551808" w:rsidRPr="00551808" w:rsidRDefault="00551808" w:rsidP="00551808">
            <w:pPr>
              <w:jc w:val="center"/>
              <w:rPr>
                <w:rFonts w:ascii="Arial" w:hAnsi="Arial" w:cs="Arial"/>
                <w:color w:val="000000"/>
                <w:sz w:val="20"/>
                <w:szCs w:val="20"/>
                <w:lang w:val="es-ES" w:eastAsia="es-ES"/>
              </w:rPr>
            </w:pPr>
            <w:r w:rsidRPr="00551808">
              <w:rPr>
                <w:rFonts w:ascii="Arial" w:hAnsi="Arial" w:cs="Arial"/>
                <w:color w:val="000000"/>
                <w:sz w:val="20"/>
                <w:szCs w:val="20"/>
                <w:lang w:eastAsia="fr-FR"/>
              </w:rPr>
              <w:t>Percent</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Administration générale</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1508,66</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1888,91</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1 273,7</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615,2</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615,2</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0,482980462</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Domaine affaires sociales</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67,15</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70,38</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56,7</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13,7</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13,7</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0,241420134</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Domaine affaires techniques</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364,3</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444,18</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307,6</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136,6</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136,6</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0,444160186</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Domaine affaires économiques</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5,28</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5,3</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5,3</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center"/>
              <w:rPr>
                <w:rFonts w:ascii="Arial" w:hAnsi="Arial" w:cs="Arial"/>
                <w:color w:val="000000"/>
                <w:sz w:val="20"/>
                <w:szCs w:val="20"/>
                <w:lang w:val="es-ES" w:eastAsia="es-ES"/>
              </w:rPr>
            </w:pP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Domaine de soutien</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933,86</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1175,37</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788,4</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386,9</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386,9</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0,490762183</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Comptes d'affectation spéciale</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1380,16</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7,54</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1 165,2</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-1 157,7</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1 157,7</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0,993529208</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Allocated expenditure</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4254,13</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3591,66</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3 591,7</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2 315,4</w:t>
            </w: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Contingency</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152" w:type="dxa"/>
            <w:tcBorders>
              <w:top w:val="nil"/>
              <w:left w:val="nil"/>
              <w:bottom w:val="nil"/>
              <w:right w:val="nil"/>
            </w:tcBorders>
            <w:shd w:val="clear" w:color="000000" w:fill="FFFFFF"/>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Total expenditure</w:t>
            </w:r>
          </w:p>
        </w:tc>
        <w:tc>
          <w:tcPr>
            <w:tcW w:w="1152" w:type="dxa"/>
            <w:tcBorders>
              <w:top w:val="single" w:sz="4" w:space="0" w:color="auto"/>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4254,13</w:t>
            </w:r>
          </w:p>
        </w:tc>
        <w:tc>
          <w:tcPr>
            <w:tcW w:w="1152" w:type="dxa"/>
            <w:tcBorders>
              <w:top w:val="single" w:sz="4" w:space="0" w:color="auto"/>
              <w:left w:val="nil"/>
              <w:bottom w:val="nil"/>
              <w:right w:val="nil"/>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3591,66</w:t>
            </w:r>
          </w:p>
        </w:tc>
        <w:tc>
          <w:tcPr>
            <w:tcW w:w="1594"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Overall (PI-1) variance</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594"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15,60%</w:t>
            </w:r>
          </w:p>
        </w:tc>
      </w:tr>
      <w:tr w:rsidR="00551808" w:rsidRPr="00551808" w:rsidTr="00551808">
        <w:trPr>
          <w:trHeight w:val="289"/>
        </w:trPr>
        <w:tc>
          <w:tcPr>
            <w:tcW w:w="3726" w:type="dxa"/>
            <w:tcBorders>
              <w:top w:val="nil"/>
              <w:left w:val="single" w:sz="8" w:space="0" w:color="auto"/>
              <w:bottom w:val="nil"/>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Composition (PI-2) variance</w:t>
            </w: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594"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152" w:type="dxa"/>
            <w:tcBorders>
              <w:top w:val="nil"/>
              <w:left w:val="nil"/>
              <w:bottom w:val="nil"/>
              <w:right w:val="nil"/>
            </w:tcBorders>
            <w:shd w:val="clear" w:color="auto" w:fill="auto"/>
            <w:noWrap/>
            <w:vAlign w:val="bottom"/>
            <w:hideMark/>
          </w:tcPr>
          <w:p w:rsidR="00551808" w:rsidRPr="00551808" w:rsidRDefault="00551808" w:rsidP="00551808">
            <w:pPr>
              <w:rPr>
                <w:rFonts w:ascii="Calibri" w:hAnsi="Calibri"/>
                <w:color w:val="000000"/>
                <w:sz w:val="20"/>
                <w:szCs w:val="20"/>
                <w:lang w:val="es-ES" w:eastAsia="es-ES"/>
              </w:rPr>
            </w:pPr>
          </w:p>
        </w:tc>
        <w:tc>
          <w:tcPr>
            <w:tcW w:w="1844" w:type="dxa"/>
            <w:tcBorders>
              <w:top w:val="nil"/>
              <w:left w:val="nil"/>
              <w:bottom w:val="nil"/>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64,50%</w:t>
            </w:r>
          </w:p>
        </w:tc>
      </w:tr>
      <w:tr w:rsidR="00551808" w:rsidRPr="00551808" w:rsidTr="00551808">
        <w:trPr>
          <w:trHeight w:val="304"/>
        </w:trPr>
        <w:tc>
          <w:tcPr>
            <w:tcW w:w="3726" w:type="dxa"/>
            <w:tcBorders>
              <w:top w:val="nil"/>
              <w:left w:val="single" w:sz="8" w:space="0" w:color="auto"/>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Contingency</w:t>
            </w:r>
            <w:r w:rsidR="009625DB">
              <w:rPr>
                <w:rFonts w:ascii="Arial" w:hAnsi="Arial" w:cs="Arial"/>
                <w:color w:val="000000"/>
                <w:sz w:val="20"/>
                <w:szCs w:val="20"/>
                <w:lang w:eastAsia="fr-FR"/>
              </w:rPr>
              <w:t xml:space="preserve"> </w:t>
            </w:r>
            <w:r w:rsidRPr="00551808">
              <w:rPr>
                <w:rFonts w:ascii="Arial" w:hAnsi="Arial" w:cs="Arial"/>
                <w:color w:val="000000"/>
                <w:sz w:val="20"/>
                <w:szCs w:val="20"/>
                <w:lang w:eastAsia="fr-FR"/>
              </w:rPr>
              <w:t>share of budget</w:t>
            </w:r>
          </w:p>
        </w:tc>
        <w:tc>
          <w:tcPr>
            <w:tcW w:w="1152" w:type="dxa"/>
            <w:tcBorders>
              <w:top w:val="nil"/>
              <w:left w:val="nil"/>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152" w:type="dxa"/>
            <w:tcBorders>
              <w:top w:val="nil"/>
              <w:left w:val="nil"/>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594" w:type="dxa"/>
            <w:tcBorders>
              <w:top w:val="nil"/>
              <w:left w:val="nil"/>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152" w:type="dxa"/>
            <w:tcBorders>
              <w:top w:val="nil"/>
              <w:left w:val="nil"/>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152" w:type="dxa"/>
            <w:tcBorders>
              <w:top w:val="nil"/>
              <w:left w:val="nil"/>
              <w:bottom w:val="single" w:sz="8" w:space="0" w:color="auto"/>
              <w:right w:val="nil"/>
            </w:tcBorders>
            <w:shd w:val="clear" w:color="auto" w:fill="auto"/>
            <w:noWrap/>
            <w:vAlign w:val="bottom"/>
            <w:hideMark/>
          </w:tcPr>
          <w:p w:rsidR="00551808" w:rsidRPr="00551808" w:rsidRDefault="00551808" w:rsidP="00551808">
            <w:pPr>
              <w:rPr>
                <w:rFonts w:ascii="Arial" w:hAnsi="Arial" w:cs="Arial"/>
                <w:color w:val="000000"/>
                <w:sz w:val="20"/>
                <w:szCs w:val="20"/>
                <w:lang w:val="es-ES" w:eastAsia="es-ES"/>
              </w:rPr>
            </w:pPr>
            <w:r w:rsidRPr="00551808">
              <w:rPr>
                <w:rFonts w:ascii="Arial" w:hAnsi="Arial" w:cs="Arial"/>
                <w:color w:val="000000"/>
                <w:sz w:val="20"/>
                <w:szCs w:val="20"/>
                <w:lang w:eastAsia="fr-FR"/>
              </w:rPr>
              <w:t> </w:t>
            </w:r>
          </w:p>
        </w:tc>
        <w:tc>
          <w:tcPr>
            <w:tcW w:w="1844" w:type="dxa"/>
            <w:tcBorders>
              <w:top w:val="nil"/>
              <w:left w:val="nil"/>
              <w:bottom w:val="single" w:sz="8" w:space="0" w:color="auto"/>
              <w:right w:val="single" w:sz="8" w:space="0" w:color="auto"/>
            </w:tcBorders>
            <w:shd w:val="clear" w:color="auto" w:fill="auto"/>
            <w:noWrap/>
            <w:vAlign w:val="bottom"/>
            <w:hideMark/>
          </w:tcPr>
          <w:p w:rsidR="00551808" w:rsidRPr="00551808" w:rsidRDefault="00551808" w:rsidP="00551808">
            <w:pPr>
              <w:jc w:val="right"/>
              <w:rPr>
                <w:rFonts w:ascii="Arial" w:hAnsi="Arial" w:cs="Arial"/>
                <w:color w:val="000000"/>
                <w:sz w:val="20"/>
                <w:szCs w:val="20"/>
                <w:lang w:val="es-ES" w:eastAsia="es-ES"/>
              </w:rPr>
            </w:pPr>
            <w:r w:rsidRPr="00551808">
              <w:rPr>
                <w:rFonts w:ascii="Arial" w:hAnsi="Arial" w:cs="Arial"/>
                <w:color w:val="000000"/>
                <w:sz w:val="20"/>
                <w:szCs w:val="20"/>
                <w:lang w:eastAsia="fr-FR"/>
              </w:rPr>
              <w:t>0,00%</w:t>
            </w:r>
          </w:p>
        </w:tc>
      </w:tr>
    </w:tbl>
    <w:p w:rsidR="00551808" w:rsidRPr="00A17E25" w:rsidRDefault="00551808" w:rsidP="003A596A">
      <w:pPr>
        <w:jc w:val="both"/>
        <w:rPr>
          <w:rFonts w:ascii="Arial" w:hAnsi="Arial" w:cs="Arial"/>
          <w:b/>
        </w:rPr>
      </w:pPr>
    </w:p>
    <w:p w:rsidR="006803C2" w:rsidRDefault="006803C2">
      <w:pPr>
        <w:rPr>
          <w:rFonts w:ascii="Arial" w:hAnsi="Arial" w:cs="Arial"/>
          <w:b/>
        </w:rPr>
      </w:pPr>
      <w:r>
        <w:rPr>
          <w:rFonts w:ascii="Arial" w:hAnsi="Arial" w:cs="Arial"/>
          <w:b/>
        </w:rPr>
        <w:br w:type="page"/>
      </w:r>
    </w:p>
    <w:tbl>
      <w:tblPr>
        <w:tblpPr w:leftFromText="141" w:rightFromText="141" w:horzAnchor="margin" w:tblpXSpec="center" w:tblpY="946"/>
        <w:tblW w:w="11765" w:type="dxa"/>
        <w:tblCellMar>
          <w:left w:w="70" w:type="dxa"/>
          <w:right w:w="70" w:type="dxa"/>
        </w:tblCellMar>
        <w:tblLook w:val="04A0" w:firstRow="1" w:lastRow="0" w:firstColumn="1" w:lastColumn="0" w:noHBand="0" w:noVBand="1"/>
      </w:tblPr>
      <w:tblGrid>
        <w:gridCol w:w="4600"/>
        <w:gridCol w:w="1040"/>
        <w:gridCol w:w="1040"/>
        <w:gridCol w:w="1040"/>
        <w:gridCol w:w="1040"/>
        <w:gridCol w:w="1697"/>
        <w:gridCol w:w="1308"/>
      </w:tblGrid>
      <w:tr w:rsidR="003A596A" w:rsidRPr="00A17E25" w:rsidTr="002527E5">
        <w:trPr>
          <w:trHeight w:val="240"/>
        </w:trPr>
        <w:tc>
          <w:tcPr>
            <w:tcW w:w="4600" w:type="dxa"/>
            <w:tcBorders>
              <w:top w:val="single" w:sz="4" w:space="0" w:color="auto"/>
              <w:left w:val="single" w:sz="4" w:space="0" w:color="auto"/>
              <w:bottom w:val="nil"/>
              <w:right w:val="nil"/>
            </w:tcBorders>
            <w:shd w:val="clear" w:color="auto" w:fill="auto"/>
            <w:noWrap/>
            <w:vAlign w:val="bottom"/>
            <w:hideMark/>
          </w:tcPr>
          <w:p w:rsidR="003A596A" w:rsidRPr="00A17E25" w:rsidRDefault="003A596A" w:rsidP="002527E5">
            <w:pPr>
              <w:jc w:val="right"/>
              <w:rPr>
                <w:rFonts w:ascii="Arial" w:hAnsi="Arial" w:cs="Arial"/>
                <w:b/>
                <w:bCs/>
                <w:sz w:val="20"/>
                <w:szCs w:val="20"/>
                <w:lang w:eastAsia="fr-FR"/>
              </w:rPr>
            </w:pPr>
            <w:r w:rsidRPr="00A17E25">
              <w:rPr>
                <w:rFonts w:ascii="Arial" w:hAnsi="Arial" w:cs="Arial"/>
                <w:b/>
                <w:bCs/>
                <w:sz w:val="20"/>
                <w:szCs w:val="20"/>
                <w:lang w:eastAsia="fr-FR"/>
              </w:rPr>
              <w:t xml:space="preserve">Data for year = </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jc w:val="right"/>
              <w:rPr>
                <w:rFonts w:ascii="Arial" w:hAnsi="Arial" w:cs="Arial"/>
                <w:b/>
                <w:bCs/>
                <w:sz w:val="20"/>
                <w:szCs w:val="20"/>
                <w:lang w:eastAsia="fr-FR"/>
              </w:rPr>
            </w:pPr>
            <w:r w:rsidRPr="00A17E25">
              <w:rPr>
                <w:rFonts w:ascii="Arial" w:hAnsi="Arial" w:cs="Arial"/>
                <w:b/>
                <w:bCs/>
                <w:sz w:val="20"/>
                <w:szCs w:val="20"/>
                <w:lang w:eastAsia="fr-FR"/>
              </w:rPr>
              <w:t>2014</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rPr>
                <w:rFonts w:ascii="Arial" w:hAnsi="Arial" w:cs="Arial"/>
                <w:b/>
                <w:bCs/>
                <w:sz w:val="20"/>
                <w:szCs w:val="20"/>
                <w:lang w:eastAsia="fr-FR"/>
              </w:rPr>
            </w:pPr>
            <w:r w:rsidRPr="00A17E25">
              <w:rPr>
                <w:rFonts w:ascii="Arial" w:hAnsi="Arial" w:cs="Arial"/>
                <w:b/>
                <w:bCs/>
                <w:sz w:val="20"/>
                <w:szCs w:val="20"/>
                <w:lang w:eastAsia="fr-FR"/>
              </w:rPr>
              <w:t> </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697" w:type="dxa"/>
            <w:tcBorders>
              <w:top w:val="single" w:sz="4" w:space="0" w:color="auto"/>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308" w:type="dxa"/>
            <w:tcBorders>
              <w:top w:val="single" w:sz="4" w:space="0" w:color="auto"/>
              <w:left w:val="nil"/>
              <w:bottom w:val="nil"/>
              <w:right w:val="single" w:sz="4" w:space="0" w:color="auto"/>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2527E5">
        <w:trPr>
          <w:trHeight w:val="48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administrative or functional</w:t>
            </w:r>
            <w:r w:rsidR="0024165B">
              <w:rPr>
                <w:rFonts w:ascii="Arial" w:hAnsi="Arial" w:cs="Arial"/>
                <w:sz w:val="20"/>
                <w:szCs w:val="20"/>
                <w:lang w:eastAsia="fr-FR"/>
              </w:rPr>
              <w:t xml:space="preserve"> </w:t>
            </w:r>
            <w:r w:rsidRPr="00A17E25">
              <w:rPr>
                <w:rFonts w:ascii="Arial" w:hAnsi="Arial" w:cs="Arial"/>
                <w:sz w:val="20"/>
                <w:szCs w:val="20"/>
                <w:lang w:eastAsia="fr-FR"/>
              </w:rPr>
              <w:t>head</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center"/>
              <w:rPr>
                <w:rFonts w:ascii="Arial" w:hAnsi="Arial" w:cs="Arial"/>
                <w:b/>
                <w:bCs/>
                <w:sz w:val="20"/>
                <w:szCs w:val="20"/>
                <w:lang w:eastAsia="fr-FR"/>
              </w:rPr>
            </w:pPr>
            <w:r w:rsidRPr="00A17E25">
              <w:rPr>
                <w:rFonts w:ascii="Arial" w:hAnsi="Arial" w:cs="Arial"/>
                <w:b/>
                <w:bCs/>
                <w:sz w:val="20"/>
                <w:szCs w:val="20"/>
                <w:lang w:eastAsia="fr-FR"/>
              </w:rPr>
              <w:t>budget</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center"/>
              <w:rPr>
                <w:rFonts w:ascii="Arial" w:hAnsi="Arial" w:cs="Arial"/>
                <w:b/>
                <w:bCs/>
                <w:sz w:val="20"/>
                <w:szCs w:val="20"/>
                <w:lang w:eastAsia="fr-FR"/>
              </w:rPr>
            </w:pPr>
            <w:r w:rsidRPr="00A17E25">
              <w:rPr>
                <w:rFonts w:ascii="Arial" w:hAnsi="Arial" w:cs="Arial"/>
                <w:b/>
                <w:bCs/>
                <w:sz w:val="20"/>
                <w:szCs w:val="20"/>
                <w:lang w:eastAsia="fr-FR"/>
              </w:rPr>
              <w:t>actual</w:t>
            </w:r>
          </w:p>
        </w:tc>
        <w:tc>
          <w:tcPr>
            <w:tcW w:w="1040" w:type="dxa"/>
            <w:tcBorders>
              <w:top w:val="nil"/>
              <w:left w:val="nil"/>
              <w:bottom w:val="nil"/>
              <w:right w:val="nil"/>
            </w:tcBorders>
            <w:shd w:val="clear" w:color="auto" w:fill="auto"/>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adjusted budget</w:t>
            </w:r>
          </w:p>
        </w:tc>
        <w:tc>
          <w:tcPr>
            <w:tcW w:w="1040" w:type="dxa"/>
            <w:tcBorders>
              <w:top w:val="nil"/>
              <w:left w:val="nil"/>
              <w:bottom w:val="nil"/>
              <w:right w:val="nil"/>
            </w:tcBorders>
            <w:shd w:val="clear" w:color="auto" w:fill="auto"/>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deviation</w:t>
            </w:r>
          </w:p>
        </w:tc>
        <w:tc>
          <w:tcPr>
            <w:tcW w:w="1697" w:type="dxa"/>
            <w:tcBorders>
              <w:top w:val="nil"/>
              <w:left w:val="nil"/>
              <w:bottom w:val="nil"/>
              <w:right w:val="nil"/>
            </w:tcBorders>
            <w:shd w:val="clear" w:color="auto" w:fill="auto"/>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absolutedeviation</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percent</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Administration générale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1581,21</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1713,81</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1 195,6</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518,2</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518,2</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0,433466323</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Domaine affaires sociales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86,17</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71,03</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65,2</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5,9</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5,9</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0,090184733</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Domaine affaires techniques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417,6</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446,99</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315,8</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131,2</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131,2</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0,415636303</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Domaine affaires économiques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2,86</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0,0</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2,9</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2,9</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#DIV/0!</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Domaine de soutien</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851,58</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1024,76</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643,9</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380,9</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380,9</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0,591516281</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Comptes d'affectation spéciale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1380,16</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4,47</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1 043,6</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-1 039,1</w:t>
            </w:r>
          </w:p>
        </w:tc>
        <w:tc>
          <w:tcPr>
            <w:tcW w:w="1697" w:type="dxa"/>
            <w:tcBorders>
              <w:top w:val="nil"/>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1 039,1</w:t>
            </w: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0,995716562</w:t>
            </w:r>
          </w:p>
        </w:tc>
      </w:tr>
      <w:tr w:rsidR="003A596A" w:rsidRPr="00A17E25" w:rsidTr="002527E5">
        <w:trPr>
          <w:trHeight w:val="240"/>
        </w:trPr>
        <w:tc>
          <w:tcPr>
            <w:tcW w:w="4600" w:type="dxa"/>
            <w:tcBorders>
              <w:top w:val="single" w:sz="4" w:space="0" w:color="auto"/>
              <w:left w:val="single" w:sz="4" w:space="0" w:color="auto"/>
              <w:bottom w:val="nil"/>
              <w:right w:val="nil"/>
            </w:tcBorders>
            <w:shd w:val="clear" w:color="auto" w:fill="auto"/>
            <w:noWrap/>
            <w:vAlign w:val="bottom"/>
            <w:hideMark/>
          </w:tcPr>
          <w:p w:rsidR="003A596A" w:rsidRPr="00A17E25" w:rsidRDefault="0024165B" w:rsidP="002527E5">
            <w:pPr>
              <w:rPr>
                <w:rFonts w:ascii="Arial" w:hAnsi="Arial" w:cs="Arial"/>
                <w:sz w:val="20"/>
                <w:szCs w:val="20"/>
                <w:lang w:eastAsia="fr-FR"/>
              </w:rPr>
            </w:pPr>
            <w:r w:rsidRPr="00A17E25">
              <w:rPr>
                <w:rFonts w:ascii="Arial" w:hAnsi="Arial" w:cs="Arial"/>
                <w:sz w:val="20"/>
                <w:szCs w:val="20"/>
                <w:lang w:eastAsia="fr-FR"/>
              </w:rPr>
              <w:t>A</w:t>
            </w:r>
            <w:r w:rsidR="003A596A" w:rsidRPr="00A17E25">
              <w:rPr>
                <w:rFonts w:ascii="Arial" w:hAnsi="Arial" w:cs="Arial"/>
                <w:sz w:val="20"/>
                <w:szCs w:val="20"/>
                <w:lang w:eastAsia="fr-FR"/>
              </w:rPr>
              <w:t>llocated</w:t>
            </w:r>
            <w:r>
              <w:rPr>
                <w:rFonts w:ascii="Arial" w:hAnsi="Arial" w:cs="Arial"/>
                <w:sz w:val="20"/>
                <w:szCs w:val="20"/>
                <w:lang w:eastAsia="fr-FR"/>
              </w:rPr>
              <w:t xml:space="preserve"> </w:t>
            </w:r>
            <w:r w:rsidR="003A596A" w:rsidRPr="00A17E25">
              <w:rPr>
                <w:rFonts w:ascii="Arial" w:hAnsi="Arial" w:cs="Arial"/>
                <w:sz w:val="20"/>
                <w:szCs w:val="20"/>
                <w:lang w:eastAsia="fr-FR"/>
              </w:rPr>
              <w:t>expenditure</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4316,72</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3 263,9</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3 263,9</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0,0</w:t>
            </w:r>
          </w:p>
        </w:tc>
        <w:tc>
          <w:tcPr>
            <w:tcW w:w="1697" w:type="dxa"/>
            <w:tcBorders>
              <w:top w:val="single" w:sz="4" w:space="0" w:color="auto"/>
              <w:left w:val="nil"/>
              <w:bottom w:val="nil"/>
              <w:right w:val="nil"/>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2 078,2</w:t>
            </w:r>
          </w:p>
        </w:tc>
        <w:tc>
          <w:tcPr>
            <w:tcW w:w="1308" w:type="dxa"/>
            <w:tcBorders>
              <w:top w:val="single" w:sz="4" w:space="0" w:color="auto"/>
              <w:left w:val="nil"/>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contingency</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total expenditure</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4316,72</w:t>
            </w:r>
          </w:p>
        </w:tc>
        <w:tc>
          <w:tcPr>
            <w:tcW w:w="1040" w:type="dxa"/>
            <w:tcBorders>
              <w:top w:val="single" w:sz="4" w:space="0" w:color="auto"/>
              <w:left w:val="nil"/>
              <w:bottom w:val="nil"/>
              <w:right w:val="single" w:sz="4" w:space="0" w:color="auto"/>
            </w:tcBorders>
            <w:shd w:val="clear" w:color="auto" w:fill="FFFFFF" w:themeFill="background1"/>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3263,92</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b/>
                <w:bCs/>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overall (PI-1) variance</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b/>
                <w:bCs/>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24,4%</w:t>
            </w:r>
          </w:p>
        </w:tc>
      </w:tr>
      <w:tr w:rsidR="003A596A" w:rsidRPr="00A17E25" w:rsidTr="002527E5">
        <w:trPr>
          <w:trHeight w:val="240"/>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composition (PI-2) variance</w:t>
            </w: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p>
        </w:tc>
        <w:tc>
          <w:tcPr>
            <w:tcW w:w="1308" w:type="dxa"/>
            <w:tcBorders>
              <w:top w:val="nil"/>
              <w:left w:val="nil"/>
              <w:bottom w:val="nil"/>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63,7%</w:t>
            </w:r>
          </w:p>
        </w:tc>
      </w:tr>
      <w:tr w:rsidR="003A596A" w:rsidRPr="00A17E25" w:rsidTr="002527E5">
        <w:trPr>
          <w:trHeight w:val="240"/>
        </w:trPr>
        <w:tc>
          <w:tcPr>
            <w:tcW w:w="4600" w:type="dxa"/>
            <w:tcBorders>
              <w:top w:val="nil"/>
              <w:left w:val="single" w:sz="4" w:space="0" w:color="auto"/>
              <w:bottom w:val="single" w:sz="4" w:space="0" w:color="auto"/>
              <w:right w:val="nil"/>
            </w:tcBorders>
            <w:shd w:val="clear" w:color="auto" w:fill="auto"/>
            <w:noWrap/>
            <w:vAlign w:val="bottom"/>
            <w:hideMark/>
          </w:tcPr>
          <w:p w:rsidR="003A596A" w:rsidRPr="00A17E25" w:rsidRDefault="0024165B" w:rsidP="002527E5">
            <w:pPr>
              <w:rPr>
                <w:rFonts w:ascii="Arial" w:hAnsi="Arial" w:cs="Arial"/>
                <w:sz w:val="20"/>
                <w:szCs w:val="20"/>
                <w:lang w:eastAsia="fr-FR"/>
              </w:rPr>
            </w:pPr>
            <w:r w:rsidRPr="00A17E25">
              <w:rPr>
                <w:rFonts w:ascii="Arial" w:hAnsi="Arial" w:cs="Arial"/>
                <w:sz w:val="20"/>
                <w:szCs w:val="20"/>
                <w:lang w:eastAsia="fr-FR"/>
              </w:rPr>
              <w:t>C</w:t>
            </w:r>
            <w:r w:rsidR="003A596A" w:rsidRPr="00A17E25">
              <w:rPr>
                <w:rFonts w:ascii="Arial" w:hAnsi="Arial" w:cs="Arial"/>
                <w:sz w:val="20"/>
                <w:szCs w:val="20"/>
                <w:lang w:eastAsia="fr-FR"/>
              </w:rPr>
              <w:t>ontingency</w:t>
            </w:r>
            <w:r>
              <w:rPr>
                <w:rFonts w:ascii="Arial" w:hAnsi="Arial" w:cs="Arial"/>
                <w:sz w:val="20"/>
                <w:szCs w:val="20"/>
                <w:lang w:eastAsia="fr-FR"/>
              </w:rPr>
              <w:t xml:space="preserve"> </w:t>
            </w:r>
            <w:r w:rsidR="003A596A" w:rsidRPr="00A17E25">
              <w:rPr>
                <w:rFonts w:ascii="Arial" w:hAnsi="Arial" w:cs="Arial"/>
                <w:sz w:val="20"/>
                <w:szCs w:val="20"/>
                <w:lang w:eastAsia="fr-FR"/>
              </w:rPr>
              <w:t>share of budget</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697" w:type="dxa"/>
            <w:tcBorders>
              <w:top w:val="nil"/>
              <w:left w:val="nil"/>
              <w:bottom w:val="single" w:sz="4" w:space="0" w:color="auto"/>
              <w:right w:val="nil"/>
            </w:tcBorders>
            <w:shd w:val="clear" w:color="auto" w:fill="auto"/>
            <w:noWrap/>
            <w:vAlign w:val="bottom"/>
            <w:hideMark/>
          </w:tcPr>
          <w:p w:rsidR="003A596A" w:rsidRPr="00A17E25" w:rsidRDefault="003A596A" w:rsidP="002527E5">
            <w:pPr>
              <w:rPr>
                <w:rFonts w:ascii="Arial" w:hAnsi="Arial" w:cs="Arial"/>
                <w:sz w:val="20"/>
                <w:szCs w:val="20"/>
                <w:lang w:eastAsia="fr-FR"/>
              </w:rPr>
            </w:pPr>
            <w:r w:rsidRPr="00A17E25">
              <w:rPr>
                <w:rFonts w:ascii="Arial" w:hAnsi="Arial" w:cs="Arial"/>
                <w:sz w:val="20"/>
                <w:szCs w:val="20"/>
                <w:lang w:eastAsia="fr-FR"/>
              </w:rPr>
              <w:t> </w:t>
            </w:r>
          </w:p>
        </w:tc>
        <w:tc>
          <w:tcPr>
            <w:tcW w:w="1308" w:type="dxa"/>
            <w:tcBorders>
              <w:top w:val="nil"/>
              <w:left w:val="nil"/>
              <w:bottom w:val="single" w:sz="4" w:space="0" w:color="auto"/>
              <w:right w:val="single" w:sz="4" w:space="0" w:color="auto"/>
            </w:tcBorders>
            <w:shd w:val="clear" w:color="auto" w:fill="auto"/>
            <w:noWrap/>
            <w:vAlign w:val="bottom"/>
            <w:hideMark/>
          </w:tcPr>
          <w:p w:rsidR="003A596A" w:rsidRPr="00A17E25" w:rsidRDefault="003A596A" w:rsidP="002527E5">
            <w:pPr>
              <w:jc w:val="right"/>
              <w:rPr>
                <w:rFonts w:ascii="Arial" w:hAnsi="Arial" w:cs="Arial"/>
                <w:sz w:val="20"/>
                <w:szCs w:val="20"/>
                <w:lang w:eastAsia="fr-FR"/>
              </w:rPr>
            </w:pPr>
            <w:r w:rsidRPr="00A17E25">
              <w:rPr>
                <w:rFonts w:ascii="Arial" w:hAnsi="Arial" w:cs="Arial"/>
                <w:sz w:val="20"/>
                <w:szCs w:val="20"/>
                <w:lang w:eastAsia="fr-FR"/>
              </w:rPr>
              <w:t>0,0%</w:t>
            </w:r>
          </w:p>
        </w:tc>
      </w:tr>
    </w:tbl>
    <w:p w:rsidR="002527E5" w:rsidRPr="00551808" w:rsidRDefault="002527E5" w:rsidP="002527E5">
      <w:pPr>
        <w:jc w:val="both"/>
        <w:rPr>
          <w:rFonts w:ascii="Arial" w:hAnsi="Arial" w:cs="Arial"/>
          <w:b/>
          <w:sz w:val="20"/>
          <w:szCs w:val="20"/>
        </w:rPr>
      </w:pPr>
      <w:r>
        <w:rPr>
          <w:rFonts w:ascii="Arial" w:hAnsi="Arial" w:cs="Arial"/>
          <w:b/>
          <w:sz w:val="20"/>
          <w:szCs w:val="20"/>
        </w:rPr>
        <w:t>Table 4</w:t>
      </w:r>
    </w:p>
    <w:p w:rsidR="002527E5" w:rsidRDefault="002527E5" w:rsidP="002527E5">
      <w:pPr>
        <w:jc w:val="both"/>
        <w:rPr>
          <w:rFonts w:ascii="Arial" w:hAnsi="Arial" w:cs="Arial"/>
          <w:b/>
          <w:sz w:val="20"/>
          <w:szCs w:val="20"/>
        </w:rPr>
      </w:pPr>
      <w:r w:rsidRPr="00551808">
        <w:rPr>
          <w:rFonts w:ascii="Arial" w:hAnsi="Arial" w:cs="Arial"/>
          <w:b/>
          <w:sz w:val="20"/>
          <w:szCs w:val="20"/>
        </w:rPr>
        <w:t>Data for Year= 20</w:t>
      </w:r>
      <w:r>
        <w:rPr>
          <w:rFonts w:ascii="Arial" w:hAnsi="Arial" w:cs="Arial"/>
          <w:b/>
          <w:sz w:val="20"/>
          <w:szCs w:val="20"/>
        </w:rPr>
        <w:t>14</w:t>
      </w: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Default="002527E5" w:rsidP="003A596A">
      <w:pPr>
        <w:jc w:val="both"/>
        <w:rPr>
          <w:rFonts w:ascii="Arial" w:hAnsi="Arial" w:cs="Arial"/>
          <w:b/>
        </w:rPr>
      </w:pPr>
    </w:p>
    <w:p w:rsidR="002527E5" w:rsidRPr="00A17E25" w:rsidRDefault="002527E5" w:rsidP="003A596A">
      <w:pPr>
        <w:jc w:val="both"/>
        <w:rPr>
          <w:rFonts w:ascii="Arial" w:hAnsi="Arial" w:cs="Arial"/>
          <w:b/>
        </w:rPr>
      </w:pPr>
    </w:p>
    <w:tbl>
      <w:tblPr>
        <w:tblW w:w="9078" w:type="dxa"/>
        <w:jc w:val="center"/>
        <w:tblCellMar>
          <w:left w:w="70" w:type="dxa"/>
          <w:right w:w="70" w:type="dxa"/>
        </w:tblCellMar>
        <w:tblLook w:val="04A0" w:firstRow="1" w:lastRow="0" w:firstColumn="1" w:lastColumn="0" w:noHBand="0" w:noVBand="1"/>
      </w:tblPr>
      <w:tblGrid>
        <w:gridCol w:w="3120"/>
        <w:gridCol w:w="1698"/>
        <w:gridCol w:w="1040"/>
        <w:gridCol w:w="1140"/>
        <w:gridCol w:w="1040"/>
        <w:gridCol w:w="1040"/>
      </w:tblGrid>
      <w:tr w:rsidR="003A596A" w:rsidRPr="00A17E25" w:rsidTr="00366EE5">
        <w:trPr>
          <w:trHeight w:val="240"/>
          <w:jc w:val="center"/>
        </w:trPr>
        <w:tc>
          <w:tcPr>
            <w:tcW w:w="3120" w:type="dxa"/>
            <w:tcBorders>
              <w:top w:val="nil"/>
              <w:left w:val="nil"/>
              <w:bottom w:val="nil"/>
              <w:right w:val="nil"/>
            </w:tcBorders>
            <w:shd w:val="clear" w:color="auto" w:fill="auto"/>
            <w:noWrap/>
            <w:vAlign w:val="bottom"/>
            <w:hideMark/>
          </w:tcPr>
          <w:p w:rsidR="002527E5" w:rsidRDefault="002527E5" w:rsidP="003A596A">
            <w:pPr>
              <w:rPr>
                <w:rFonts w:ascii="Arial" w:hAnsi="Arial" w:cs="Arial"/>
                <w:b/>
                <w:bCs/>
                <w:sz w:val="20"/>
                <w:szCs w:val="20"/>
                <w:lang w:eastAsia="fr-FR"/>
              </w:rPr>
            </w:pPr>
          </w:p>
          <w:p w:rsidR="002527E5" w:rsidRDefault="002527E5" w:rsidP="003A596A">
            <w:pPr>
              <w:rPr>
                <w:rFonts w:ascii="Arial" w:hAnsi="Arial" w:cs="Arial"/>
                <w:b/>
                <w:bCs/>
                <w:sz w:val="20"/>
                <w:szCs w:val="20"/>
                <w:lang w:eastAsia="fr-FR"/>
              </w:rPr>
            </w:pPr>
          </w:p>
          <w:p w:rsidR="002527E5" w:rsidRDefault="002527E5" w:rsidP="003A596A">
            <w:pPr>
              <w:rPr>
                <w:rFonts w:ascii="Arial" w:hAnsi="Arial" w:cs="Arial"/>
                <w:b/>
                <w:bCs/>
                <w:sz w:val="20"/>
                <w:szCs w:val="20"/>
                <w:lang w:eastAsia="fr-FR"/>
              </w:rPr>
            </w:pPr>
          </w:p>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Table 5 - Results Matrix</w:t>
            </w:r>
          </w:p>
        </w:tc>
        <w:tc>
          <w:tcPr>
            <w:tcW w:w="169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 </w:t>
            </w:r>
          </w:p>
        </w:tc>
        <w:tc>
          <w:tcPr>
            <w:tcW w:w="1698" w:type="dxa"/>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PI-1</w:t>
            </w:r>
          </w:p>
        </w:tc>
        <w:tc>
          <w:tcPr>
            <w:tcW w:w="2180" w:type="dxa"/>
            <w:gridSpan w:val="2"/>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w:t>
            </w:r>
          </w:p>
        </w:tc>
        <w:tc>
          <w:tcPr>
            <w:tcW w:w="2080" w:type="dxa"/>
            <w:gridSpan w:val="2"/>
            <w:tcBorders>
              <w:top w:val="single" w:sz="4" w:space="0" w:color="auto"/>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(ii)</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year</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total exp. deviation</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composition variance</w:t>
            </w:r>
          </w:p>
        </w:tc>
        <w:tc>
          <w:tcPr>
            <w:tcW w:w="2080" w:type="dxa"/>
            <w:gridSpan w:val="2"/>
            <w:tcBorders>
              <w:top w:val="nil"/>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contingencyshare</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2012</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3,4%</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68,8%</w:t>
            </w:r>
          </w:p>
        </w:tc>
        <w:tc>
          <w:tcPr>
            <w:tcW w:w="2080" w:type="dxa"/>
            <w:gridSpan w:val="2"/>
            <w:vMerge w:val="restart"/>
            <w:tcBorders>
              <w:top w:val="nil"/>
              <w:left w:val="nil"/>
              <w:bottom w:val="single" w:sz="4" w:space="0" w:color="000000"/>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0,0%</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2013</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15,6%</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64,5%</w:t>
            </w:r>
          </w:p>
        </w:tc>
        <w:tc>
          <w:tcPr>
            <w:tcW w:w="2080"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3A596A" w:rsidRPr="00A17E25" w:rsidRDefault="003A596A" w:rsidP="002527E5">
            <w:pPr>
              <w:jc w:val="center"/>
              <w:rPr>
                <w:rFonts w:ascii="Arial" w:hAnsi="Arial" w:cs="Arial"/>
                <w:sz w:val="20"/>
                <w:szCs w:val="20"/>
                <w:lang w:eastAsia="fr-FR"/>
              </w:rPr>
            </w:pPr>
            <w:r w:rsidRPr="00A17E25">
              <w:rPr>
                <w:rFonts w:ascii="Arial" w:hAnsi="Arial" w:cs="Arial"/>
                <w:sz w:val="20"/>
                <w:szCs w:val="20"/>
                <w:lang w:eastAsia="fr-FR"/>
              </w:rPr>
              <w:t>2014</w:t>
            </w:r>
          </w:p>
        </w:tc>
        <w:tc>
          <w:tcPr>
            <w:tcW w:w="1698" w:type="dxa"/>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24,4%</w:t>
            </w:r>
          </w:p>
        </w:tc>
        <w:tc>
          <w:tcPr>
            <w:tcW w:w="2180" w:type="dxa"/>
            <w:gridSpan w:val="2"/>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63,7%</w:t>
            </w:r>
          </w:p>
        </w:tc>
        <w:tc>
          <w:tcPr>
            <w:tcW w:w="2080"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bl>
    <w:p w:rsidR="003A596A" w:rsidRPr="00A17E25" w:rsidRDefault="003A596A" w:rsidP="003A596A">
      <w:pPr>
        <w:jc w:val="both"/>
        <w:rPr>
          <w:rFonts w:ascii="Arial" w:hAnsi="Arial" w:cs="Arial"/>
          <w:b/>
        </w:rPr>
      </w:pPr>
    </w:p>
    <w:p w:rsidR="003A596A" w:rsidRPr="00A17E25" w:rsidRDefault="003A596A" w:rsidP="003A596A">
      <w:pPr>
        <w:jc w:val="center"/>
        <w:rPr>
          <w:rFonts w:ascii="Arial Narrow" w:hAnsi="Arial Narrow"/>
          <w:b/>
          <w:sz w:val="20"/>
          <w:szCs w:val="20"/>
          <w:u w:val="single"/>
        </w:rPr>
      </w:pPr>
    </w:p>
    <w:p w:rsidR="008F14E1" w:rsidRDefault="008F14E1">
      <w:pPr>
        <w:rPr>
          <w:rFonts w:ascii="Arial Narrow" w:hAnsi="Arial Narrow"/>
          <w:b/>
          <w:u w:val="single"/>
        </w:rPr>
      </w:pPr>
      <w:r>
        <w:rPr>
          <w:rFonts w:ascii="Arial Narrow" w:hAnsi="Arial Narrow"/>
          <w:b/>
          <w:u w:val="single"/>
        </w:rPr>
        <w:br w:type="page"/>
      </w:r>
    </w:p>
    <w:p w:rsidR="003A596A" w:rsidRDefault="003A596A" w:rsidP="003A596A">
      <w:pPr>
        <w:jc w:val="both"/>
        <w:rPr>
          <w:rFonts w:ascii="Arial Narrow" w:hAnsi="Arial Narrow"/>
          <w:b/>
          <w:u w:val="single"/>
        </w:rPr>
      </w:pPr>
      <w:r w:rsidRPr="00A17E25">
        <w:rPr>
          <w:rFonts w:ascii="Arial Narrow" w:hAnsi="Arial Narrow"/>
          <w:b/>
          <w:u w:val="single"/>
        </w:rPr>
        <w:t>Calcul PI-2</w:t>
      </w:r>
    </w:p>
    <w:p w:rsidR="00E57F4F" w:rsidRPr="00A17E25" w:rsidRDefault="00E57F4F" w:rsidP="003A596A">
      <w:pPr>
        <w:jc w:val="both"/>
        <w:rPr>
          <w:rFonts w:ascii="Arial Narrow" w:hAnsi="Arial Narrow"/>
          <w:b/>
          <w:u w:val="single"/>
        </w:rPr>
      </w:pPr>
    </w:p>
    <w:p w:rsidR="003A596A" w:rsidRPr="00A17E25" w:rsidRDefault="003A596A" w:rsidP="003A596A">
      <w:pPr>
        <w:jc w:val="both"/>
        <w:rPr>
          <w:rFonts w:ascii="Arial Narrow" w:hAnsi="Arial Narrow"/>
          <w:b/>
          <w:u w:val="single"/>
        </w:rPr>
      </w:pPr>
    </w:p>
    <w:tbl>
      <w:tblPr>
        <w:tblW w:w="11597" w:type="dxa"/>
        <w:jc w:val="center"/>
        <w:tblCellMar>
          <w:left w:w="70" w:type="dxa"/>
          <w:right w:w="70" w:type="dxa"/>
        </w:tblCellMar>
        <w:tblLook w:val="04A0" w:firstRow="1" w:lastRow="0" w:firstColumn="1" w:lastColumn="0" w:noHBand="0" w:noVBand="1"/>
      </w:tblPr>
      <w:tblGrid>
        <w:gridCol w:w="4600"/>
        <w:gridCol w:w="1040"/>
        <w:gridCol w:w="1040"/>
        <w:gridCol w:w="1040"/>
        <w:gridCol w:w="1040"/>
        <w:gridCol w:w="1719"/>
        <w:gridCol w:w="1140"/>
      </w:tblGrid>
      <w:tr w:rsidR="003A596A" w:rsidRPr="0034021B" w:rsidTr="00635690">
        <w:trPr>
          <w:trHeight w:val="515"/>
          <w:jc w:val="center"/>
        </w:trPr>
        <w:tc>
          <w:tcPr>
            <w:tcW w:w="460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b/>
                <w:bCs/>
                <w:sz w:val="20"/>
                <w:szCs w:val="20"/>
                <w:lang w:val="en-US" w:eastAsia="fr-FR"/>
              </w:rPr>
            </w:pPr>
            <w:r w:rsidRPr="0034021B">
              <w:rPr>
                <w:rFonts w:ascii="Arial" w:hAnsi="Arial" w:cs="Arial"/>
                <w:b/>
                <w:bCs/>
                <w:sz w:val="20"/>
                <w:szCs w:val="20"/>
                <w:lang w:val="en-US" w:eastAsia="fr-FR"/>
              </w:rPr>
              <w:t>Table 2</w:t>
            </w:r>
          </w:p>
          <w:p w:rsidR="002527E5" w:rsidRPr="0034021B" w:rsidRDefault="002527E5" w:rsidP="003A596A">
            <w:pPr>
              <w:rPr>
                <w:rFonts w:ascii="Arial" w:hAnsi="Arial" w:cs="Arial"/>
                <w:b/>
                <w:bCs/>
                <w:sz w:val="20"/>
                <w:szCs w:val="20"/>
                <w:lang w:val="en-US" w:eastAsia="fr-FR"/>
              </w:rPr>
            </w:pPr>
            <w:r w:rsidRPr="0034021B">
              <w:rPr>
                <w:rFonts w:ascii="Arial" w:hAnsi="Arial" w:cs="Arial"/>
                <w:b/>
                <w:bCs/>
                <w:sz w:val="20"/>
                <w:szCs w:val="20"/>
                <w:lang w:val="en-US" w:eastAsia="fr-FR"/>
              </w:rPr>
              <w:t>Data for the year=2012</w:t>
            </w:r>
          </w:p>
          <w:p w:rsidR="002527E5" w:rsidRPr="0034021B" w:rsidRDefault="002527E5" w:rsidP="003A596A">
            <w:pPr>
              <w:rPr>
                <w:rFonts w:ascii="Arial" w:hAnsi="Arial" w:cs="Arial"/>
                <w:b/>
                <w:bCs/>
                <w:sz w:val="20"/>
                <w:szCs w:val="20"/>
                <w:lang w:val="en-US" w:eastAsia="fr-FR"/>
              </w:rPr>
            </w:pPr>
          </w:p>
        </w:tc>
        <w:tc>
          <w:tcPr>
            <w:tcW w:w="104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c>
          <w:tcPr>
            <w:tcW w:w="104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c>
          <w:tcPr>
            <w:tcW w:w="104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c>
          <w:tcPr>
            <w:tcW w:w="104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c>
          <w:tcPr>
            <w:tcW w:w="1697"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c>
          <w:tcPr>
            <w:tcW w:w="1140" w:type="dxa"/>
            <w:tcBorders>
              <w:top w:val="nil"/>
              <w:left w:val="nil"/>
              <w:bottom w:val="single" w:sz="4" w:space="0" w:color="auto"/>
              <w:right w:val="nil"/>
            </w:tcBorders>
            <w:shd w:val="clear" w:color="auto" w:fill="auto"/>
            <w:noWrap/>
            <w:vAlign w:val="bottom"/>
            <w:hideMark/>
          </w:tcPr>
          <w:p w:rsidR="003A596A" w:rsidRPr="0034021B" w:rsidRDefault="003A596A" w:rsidP="003A596A">
            <w:pPr>
              <w:rPr>
                <w:rFonts w:ascii="Arial" w:hAnsi="Arial" w:cs="Arial"/>
                <w:sz w:val="20"/>
                <w:szCs w:val="20"/>
                <w:lang w:val="en-US" w:eastAsia="fr-FR"/>
              </w:rPr>
            </w:pPr>
          </w:p>
        </w:tc>
      </w:tr>
      <w:tr w:rsidR="003A596A" w:rsidRPr="00A17E25" w:rsidTr="00635690">
        <w:trPr>
          <w:trHeight w:val="510"/>
          <w:jc w:val="center"/>
        </w:trPr>
        <w:tc>
          <w:tcPr>
            <w:tcW w:w="4600" w:type="dxa"/>
            <w:tcBorders>
              <w:top w:val="single" w:sz="4" w:space="0" w:color="auto"/>
              <w:left w:val="single" w:sz="4" w:space="0" w:color="auto"/>
              <w:bottom w:val="nil"/>
              <w:right w:val="nil"/>
            </w:tcBorders>
            <w:shd w:val="clear" w:color="auto" w:fill="auto"/>
            <w:noWrap/>
            <w:vAlign w:val="center"/>
            <w:hideMark/>
          </w:tcPr>
          <w:p w:rsidR="003A596A" w:rsidRPr="00A17E25" w:rsidRDefault="00635690" w:rsidP="00635690">
            <w:pP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dministrative or functional</w:t>
            </w:r>
            <w:r w:rsidR="0024165B">
              <w:rPr>
                <w:rFonts w:ascii="Arial" w:hAnsi="Arial" w:cs="Arial"/>
                <w:sz w:val="20"/>
                <w:szCs w:val="20"/>
                <w:lang w:eastAsia="fr-FR"/>
              </w:rPr>
              <w:t xml:space="preserve"> </w:t>
            </w:r>
            <w:r w:rsidR="003A596A" w:rsidRPr="00A17E25">
              <w:rPr>
                <w:rFonts w:ascii="Arial" w:hAnsi="Arial" w:cs="Arial"/>
                <w:sz w:val="20"/>
                <w:szCs w:val="20"/>
                <w:lang w:eastAsia="fr-FR"/>
              </w:rPr>
              <w:t>head</w:t>
            </w:r>
          </w:p>
        </w:tc>
        <w:tc>
          <w:tcPr>
            <w:tcW w:w="1040" w:type="dxa"/>
            <w:tcBorders>
              <w:top w:val="single" w:sz="4" w:space="0" w:color="auto"/>
              <w:left w:val="nil"/>
              <w:bottom w:val="nil"/>
              <w:right w:val="nil"/>
            </w:tcBorders>
            <w:shd w:val="clear" w:color="auto" w:fill="auto"/>
            <w:noWrap/>
            <w:vAlign w:val="center"/>
            <w:hideMark/>
          </w:tcPr>
          <w:p w:rsidR="003A596A" w:rsidRPr="00A17E25" w:rsidRDefault="00635690" w:rsidP="003A596A">
            <w:pPr>
              <w:jc w:val="center"/>
              <w:rPr>
                <w:rFonts w:ascii="Arial" w:hAnsi="Arial" w:cs="Arial"/>
                <w:b/>
                <w:bCs/>
                <w:sz w:val="20"/>
                <w:szCs w:val="20"/>
                <w:lang w:eastAsia="fr-FR"/>
              </w:rPr>
            </w:pPr>
            <w:r>
              <w:rPr>
                <w:rFonts w:ascii="Arial" w:hAnsi="Arial" w:cs="Arial"/>
                <w:b/>
                <w:bCs/>
                <w:sz w:val="20"/>
                <w:szCs w:val="20"/>
                <w:lang w:eastAsia="fr-FR"/>
              </w:rPr>
              <w:t>B</w:t>
            </w:r>
            <w:r w:rsidR="003A596A" w:rsidRPr="00A17E25">
              <w:rPr>
                <w:rFonts w:ascii="Arial" w:hAnsi="Arial" w:cs="Arial"/>
                <w:b/>
                <w:bCs/>
                <w:sz w:val="20"/>
                <w:szCs w:val="20"/>
                <w:lang w:eastAsia="fr-FR"/>
              </w:rPr>
              <w:t>udget</w:t>
            </w:r>
          </w:p>
        </w:tc>
        <w:tc>
          <w:tcPr>
            <w:tcW w:w="1040" w:type="dxa"/>
            <w:tcBorders>
              <w:top w:val="single" w:sz="4" w:space="0" w:color="auto"/>
              <w:left w:val="nil"/>
              <w:bottom w:val="nil"/>
              <w:right w:val="nil"/>
            </w:tcBorders>
            <w:shd w:val="clear" w:color="auto" w:fill="auto"/>
            <w:noWrap/>
            <w:vAlign w:val="center"/>
            <w:hideMark/>
          </w:tcPr>
          <w:p w:rsidR="003A596A" w:rsidRPr="00A17E25" w:rsidRDefault="00635690" w:rsidP="003A596A">
            <w:pPr>
              <w:jc w:val="center"/>
              <w:rPr>
                <w:rFonts w:ascii="Arial" w:hAnsi="Arial" w:cs="Arial"/>
                <w:b/>
                <w:bCs/>
                <w:sz w:val="20"/>
                <w:szCs w:val="20"/>
                <w:lang w:eastAsia="fr-FR"/>
              </w:rPr>
            </w:pPr>
            <w:r>
              <w:rPr>
                <w:rFonts w:ascii="Arial" w:hAnsi="Arial" w:cs="Arial"/>
                <w:b/>
                <w:bCs/>
                <w:sz w:val="20"/>
                <w:szCs w:val="20"/>
                <w:lang w:eastAsia="fr-FR"/>
              </w:rPr>
              <w:t>A</w:t>
            </w:r>
            <w:r w:rsidR="003A596A" w:rsidRPr="00A17E25">
              <w:rPr>
                <w:rFonts w:ascii="Arial" w:hAnsi="Arial" w:cs="Arial"/>
                <w:b/>
                <w:bCs/>
                <w:sz w:val="20"/>
                <w:szCs w:val="20"/>
                <w:lang w:eastAsia="fr-FR"/>
              </w:rPr>
              <w:t>ctual</w:t>
            </w:r>
          </w:p>
        </w:tc>
        <w:tc>
          <w:tcPr>
            <w:tcW w:w="1040" w:type="dxa"/>
            <w:tcBorders>
              <w:top w:val="single" w:sz="4" w:space="0" w:color="auto"/>
              <w:left w:val="nil"/>
              <w:bottom w:val="nil"/>
              <w:right w:val="nil"/>
            </w:tcBorders>
            <w:shd w:val="clear" w:color="auto" w:fill="auto"/>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adjusted budget</w:t>
            </w:r>
          </w:p>
        </w:tc>
        <w:tc>
          <w:tcPr>
            <w:tcW w:w="1040" w:type="dxa"/>
            <w:tcBorders>
              <w:top w:val="single" w:sz="4" w:space="0" w:color="auto"/>
              <w:left w:val="nil"/>
              <w:bottom w:val="nil"/>
              <w:right w:val="nil"/>
            </w:tcBorders>
            <w:shd w:val="clear" w:color="auto" w:fill="auto"/>
            <w:vAlign w:val="center"/>
            <w:hideMark/>
          </w:tcPr>
          <w:p w:rsidR="003A596A" w:rsidRPr="00A17E25" w:rsidRDefault="00635690" w:rsidP="003A596A">
            <w:pPr>
              <w:jc w:val="center"/>
              <w:rPr>
                <w:rFonts w:ascii="Arial" w:hAnsi="Arial" w:cs="Arial"/>
                <w:sz w:val="20"/>
                <w:szCs w:val="20"/>
                <w:lang w:eastAsia="fr-FR"/>
              </w:rPr>
            </w:pPr>
            <w:r>
              <w:rPr>
                <w:rFonts w:ascii="Arial" w:hAnsi="Arial" w:cs="Arial"/>
                <w:sz w:val="20"/>
                <w:szCs w:val="20"/>
                <w:lang w:eastAsia="fr-FR"/>
              </w:rPr>
              <w:t>D</w:t>
            </w:r>
            <w:r w:rsidR="003A596A" w:rsidRPr="00A17E25">
              <w:rPr>
                <w:rFonts w:ascii="Arial" w:hAnsi="Arial" w:cs="Arial"/>
                <w:sz w:val="20"/>
                <w:szCs w:val="20"/>
                <w:lang w:eastAsia="fr-FR"/>
              </w:rPr>
              <w:t>eviation</w:t>
            </w:r>
          </w:p>
        </w:tc>
        <w:tc>
          <w:tcPr>
            <w:tcW w:w="1697" w:type="dxa"/>
            <w:tcBorders>
              <w:top w:val="single" w:sz="4" w:space="0" w:color="auto"/>
              <w:left w:val="nil"/>
              <w:bottom w:val="nil"/>
              <w:right w:val="nil"/>
            </w:tcBorders>
            <w:shd w:val="clear" w:color="auto" w:fill="auto"/>
            <w:vAlign w:val="center"/>
            <w:hideMark/>
          </w:tcPr>
          <w:p w:rsidR="003A596A" w:rsidRPr="00A17E25" w:rsidRDefault="00635690" w:rsidP="003A596A">
            <w:pPr>
              <w:jc w:val="center"/>
              <w:rPr>
                <w:rFonts w:ascii="Arial" w:hAnsi="Arial" w:cs="Arial"/>
                <w:sz w:val="20"/>
                <w:szCs w:val="20"/>
                <w:lang w:eastAsia="fr-FR"/>
              </w:rPr>
            </w:pPr>
            <w:r>
              <w:rPr>
                <w:rFonts w:ascii="Arial" w:hAnsi="Arial" w:cs="Arial"/>
                <w:sz w:val="20"/>
                <w:szCs w:val="20"/>
                <w:lang w:eastAsia="fr-FR"/>
              </w:rPr>
              <w:t>A</w:t>
            </w:r>
            <w:r w:rsidR="003A596A" w:rsidRPr="00A17E25">
              <w:rPr>
                <w:rFonts w:ascii="Arial" w:hAnsi="Arial" w:cs="Arial"/>
                <w:sz w:val="20"/>
                <w:szCs w:val="20"/>
                <w:lang w:eastAsia="fr-FR"/>
              </w:rPr>
              <w:t>bsolutedeviation</w:t>
            </w:r>
          </w:p>
        </w:tc>
        <w:tc>
          <w:tcPr>
            <w:tcW w:w="1140" w:type="dxa"/>
            <w:tcBorders>
              <w:top w:val="single" w:sz="4" w:space="0" w:color="auto"/>
              <w:left w:val="nil"/>
              <w:bottom w:val="nil"/>
              <w:right w:val="single" w:sz="4" w:space="0" w:color="auto"/>
            </w:tcBorders>
            <w:shd w:val="clear" w:color="auto" w:fill="auto"/>
            <w:noWrap/>
            <w:vAlign w:val="center"/>
            <w:hideMark/>
          </w:tcPr>
          <w:p w:rsidR="003A596A" w:rsidRPr="00A17E25" w:rsidRDefault="00635690" w:rsidP="003A596A">
            <w:pPr>
              <w:jc w:val="center"/>
              <w:rPr>
                <w:rFonts w:ascii="Arial" w:hAnsi="Arial" w:cs="Arial"/>
                <w:sz w:val="20"/>
                <w:szCs w:val="20"/>
                <w:lang w:eastAsia="fr-FR"/>
              </w:rPr>
            </w:pPr>
            <w:r>
              <w:rPr>
                <w:rFonts w:ascii="Arial" w:hAnsi="Arial" w:cs="Arial"/>
                <w:sz w:val="20"/>
                <w:szCs w:val="20"/>
                <w:lang w:eastAsia="fr-FR"/>
              </w:rPr>
              <w:t>P</w:t>
            </w:r>
            <w:r w:rsidR="003A596A" w:rsidRPr="00A17E25">
              <w:rPr>
                <w:rFonts w:ascii="Arial" w:hAnsi="Arial" w:cs="Arial"/>
                <w:sz w:val="20"/>
                <w:szCs w:val="20"/>
                <w:lang w:eastAsia="fr-FR"/>
              </w:rPr>
              <w:t>ercent</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Administration générale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1367,38</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1463,9</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1 320,2</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143,7</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143,7</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10,9%</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sociales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94,15</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85,36</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90,9</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-5,5</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5,5</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6,1%</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techniques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399,4</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444,57</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385,6</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59,0</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59,0</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15,3%</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affaires économiques</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3,03</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3,0</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E57F4F">
            <w:pPr>
              <w:jc w:val="center"/>
              <w:rPr>
                <w:rFonts w:ascii="Arial" w:hAnsi="Arial" w:cs="Arial"/>
                <w:sz w:val="20"/>
                <w:szCs w:val="20"/>
                <w:lang w:eastAsia="fr-FR"/>
              </w:rPr>
            </w:pP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Domaine de soutien</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717,29</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1823,78</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692,5</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1 131,2</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1 131,2</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163,3%</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Comptes d'affectation spéciale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1380,16</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1,16</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1 332,5</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-1 331,4</w:t>
            </w:r>
          </w:p>
        </w:tc>
        <w:tc>
          <w:tcPr>
            <w:tcW w:w="1697" w:type="dxa"/>
            <w:tcBorders>
              <w:top w:val="nil"/>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1 331,4</w:t>
            </w: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99,9%</w:t>
            </w:r>
          </w:p>
        </w:tc>
      </w:tr>
      <w:tr w:rsidR="003A596A" w:rsidRPr="00A17E25" w:rsidTr="00635690">
        <w:trPr>
          <w:trHeight w:val="240"/>
          <w:jc w:val="center"/>
        </w:trPr>
        <w:tc>
          <w:tcPr>
            <w:tcW w:w="4600" w:type="dxa"/>
            <w:tcBorders>
              <w:top w:val="single" w:sz="4" w:space="0" w:color="auto"/>
              <w:left w:val="single" w:sz="4" w:space="0" w:color="auto"/>
              <w:bottom w:val="nil"/>
              <w:right w:val="nil"/>
            </w:tcBorders>
            <w:shd w:val="clear" w:color="auto" w:fill="auto"/>
            <w:noWrap/>
            <w:vAlign w:val="bottom"/>
            <w:hideMark/>
          </w:tcPr>
          <w:p w:rsidR="003A596A" w:rsidRPr="00A17E25" w:rsidRDefault="0024165B" w:rsidP="003A596A">
            <w:pPr>
              <w:rPr>
                <w:rFonts w:ascii="Arial" w:hAnsi="Arial" w:cs="Arial"/>
                <w:sz w:val="20"/>
                <w:szCs w:val="20"/>
                <w:lang w:eastAsia="fr-FR"/>
              </w:rPr>
            </w:pPr>
            <w:r w:rsidRPr="00A17E25">
              <w:rPr>
                <w:rFonts w:ascii="Arial" w:hAnsi="Arial" w:cs="Arial"/>
                <w:sz w:val="20"/>
                <w:szCs w:val="20"/>
                <w:lang w:eastAsia="fr-FR"/>
              </w:rPr>
              <w:t>A</w:t>
            </w:r>
            <w:r w:rsidR="003A596A" w:rsidRPr="00A17E25">
              <w:rPr>
                <w:rFonts w:ascii="Arial" w:hAnsi="Arial" w:cs="Arial"/>
                <w:sz w:val="20"/>
                <w:szCs w:val="20"/>
                <w:lang w:eastAsia="fr-FR"/>
              </w:rPr>
              <w:t>llocated</w:t>
            </w:r>
            <w:r>
              <w:rPr>
                <w:rFonts w:ascii="Arial" w:hAnsi="Arial" w:cs="Arial"/>
                <w:sz w:val="20"/>
                <w:szCs w:val="20"/>
                <w:lang w:eastAsia="fr-FR"/>
              </w:rPr>
              <w:t xml:space="preserve"> </w:t>
            </w:r>
            <w:r w:rsidR="003A596A" w:rsidRPr="00A17E25">
              <w:rPr>
                <w:rFonts w:ascii="Arial" w:hAnsi="Arial" w:cs="Arial"/>
                <w:sz w:val="20"/>
                <w:szCs w:val="20"/>
                <w:lang w:eastAsia="fr-FR"/>
              </w:rPr>
              <w:t>expenditure</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3958,38</w:t>
            </w:r>
          </w:p>
        </w:tc>
        <w:tc>
          <w:tcPr>
            <w:tcW w:w="1040" w:type="dxa"/>
            <w:tcBorders>
              <w:top w:val="single" w:sz="4" w:space="0" w:color="auto"/>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3821,8</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3 821,8</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c>
          <w:tcPr>
            <w:tcW w:w="1697" w:type="dxa"/>
            <w:tcBorders>
              <w:top w:val="single" w:sz="4" w:space="0" w:color="auto"/>
              <w:left w:val="nil"/>
              <w:bottom w:val="nil"/>
              <w:right w:val="nil"/>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2 673,8</w:t>
            </w:r>
          </w:p>
        </w:tc>
        <w:tc>
          <w:tcPr>
            <w:tcW w:w="1140" w:type="dxa"/>
            <w:tcBorders>
              <w:top w:val="single" w:sz="4" w:space="0" w:color="auto"/>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contingency</w:t>
            </w:r>
          </w:p>
        </w:tc>
        <w:tc>
          <w:tcPr>
            <w:tcW w:w="1040" w:type="dxa"/>
            <w:tcBorders>
              <w:top w:val="nil"/>
              <w:left w:val="nil"/>
              <w:bottom w:val="single" w:sz="4" w:space="0" w:color="auto"/>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1</w:t>
            </w:r>
          </w:p>
        </w:tc>
        <w:tc>
          <w:tcPr>
            <w:tcW w:w="1040" w:type="dxa"/>
            <w:tcBorders>
              <w:top w:val="nil"/>
              <w:left w:val="nil"/>
              <w:bottom w:val="single" w:sz="4" w:space="0" w:color="auto"/>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635690">
        <w:trPr>
          <w:trHeight w:val="275"/>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total expenditure</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3959,38</w:t>
            </w:r>
          </w:p>
        </w:tc>
        <w:tc>
          <w:tcPr>
            <w:tcW w:w="1040" w:type="dxa"/>
            <w:tcBorders>
              <w:top w:val="nil"/>
              <w:left w:val="nil"/>
              <w:bottom w:val="nil"/>
              <w:right w:val="nil"/>
            </w:tcBorders>
            <w:shd w:val="clear" w:color="auto" w:fill="FFFFFF" w:themeFill="background1"/>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3821,8</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r>
      <w:tr w:rsidR="003A596A" w:rsidRPr="00A17E25" w:rsidTr="00635690">
        <w:trPr>
          <w:trHeight w:val="240"/>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overall (PI-1) variance</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 </w:t>
            </w:r>
          </w:p>
        </w:tc>
        <w:tc>
          <w:tcPr>
            <w:tcW w:w="1040" w:type="dxa"/>
            <w:tcBorders>
              <w:top w:val="single" w:sz="4" w:space="0" w:color="auto"/>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 </w:t>
            </w: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3,5%</w:t>
            </w:r>
          </w:p>
        </w:tc>
      </w:tr>
      <w:tr w:rsidR="003A596A" w:rsidRPr="00A17E25" w:rsidTr="00635690">
        <w:trPr>
          <w:trHeight w:val="275"/>
          <w:jc w:val="center"/>
        </w:trPr>
        <w:tc>
          <w:tcPr>
            <w:tcW w:w="4600" w:type="dxa"/>
            <w:tcBorders>
              <w:top w:val="nil"/>
              <w:left w:val="single" w:sz="4" w:space="0" w:color="auto"/>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r w:rsidRPr="00A17E25">
              <w:rPr>
                <w:rFonts w:ascii="Arial" w:hAnsi="Arial" w:cs="Arial"/>
                <w:sz w:val="20"/>
                <w:szCs w:val="20"/>
                <w:lang w:eastAsia="fr-FR"/>
              </w:rPr>
              <w:t>composition (PI-2) variance</w:t>
            </w: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b/>
                <w:bCs/>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040"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697"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p>
        </w:tc>
        <w:tc>
          <w:tcPr>
            <w:tcW w:w="1140" w:type="dxa"/>
            <w:tcBorders>
              <w:top w:val="nil"/>
              <w:left w:val="nil"/>
              <w:bottom w:val="nil"/>
              <w:right w:val="single" w:sz="4" w:space="0" w:color="auto"/>
            </w:tcBorders>
            <w:shd w:val="clear" w:color="auto" w:fill="auto"/>
            <w:noWrap/>
            <w:vAlign w:val="center"/>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70,0%</w:t>
            </w:r>
          </w:p>
        </w:tc>
      </w:tr>
      <w:tr w:rsidR="003A596A" w:rsidRPr="00A17E25" w:rsidTr="00635690">
        <w:trPr>
          <w:trHeight w:val="240"/>
          <w:jc w:val="center"/>
        </w:trPr>
        <w:tc>
          <w:tcPr>
            <w:tcW w:w="4600" w:type="dxa"/>
            <w:tcBorders>
              <w:top w:val="nil"/>
              <w:left w:val="single" w:sz="4" w:space="0" w:color="auto"/>
              <w:bottom w:val="single" w:sz="4" w:space="0" w:color="auto"/>
              <w:right w:val="nil"/>
            </w:tcBorders>
            <w:shd w:val="clear" w:color="auto" w:fill="auto"/>
            <w:noWrap/>
            <w:vAlign w:val="bottom"/>
            <w:hideMark/>
          </w:tcPr>
          <w:p w:rsidR="003A596A" w:rsidRPr="00A17E25" w:rsidRDefault="0024165B" w:rsidP="003A596A">
            <w:pPr>
              <w:rPr>
                <w:rFonts w:ascii="Arial" w:hAnsi="Arial" w:cs="Arial"/>
                <w:sz w:val="20"/>
                <w:szCs w:val="20"/>
                <w:lang w:eastAsia="fr-FR"/>
              </w:rPr>
            </w:pPr>
            <w:r w:rsidRPr="00A17E25">
              <w:rPr>
                <w:rFonts w:ascii="Arial" w:hAnsi="Arial" w:cs="Arial"/>
                <w:sz w:val="20"/>
                <w:szCs w:val="20"/>
                <w:lang w:eastAsia="fr-FR"/>
              </w:rPr>
              <w:t>C</w:t>
            </w:r>
            <w:r w:rsidR="003A596A" w:rsidRPr="00A17E25">
              <w:rPr>
                <w:rFonts w:ascii="Arial" w:hAnsi="Arial" w:cs="Arial"/>
                <w:sz w:val="20"/>
                <w:szCs w:val="20"/>
                <w:lang w:eastAsia="fr-FR"/>
              </w:rPr>
              <w:t>ontingency</w:t>
            </w:r>
            <w:r>
              <w:rPr>
                <w:rFonts w:ascii="Arial" w:hAnsi="Arial" w:cs="Arial"/>
                <w:sz w:val="20"/>
                <w:szCs w:val="20"/>
                <w:lang w:eastAsia="fr-FR"/>
              </w:rPr>
              <w:t xml:space="preserve"> </w:t>
            </w:r>
            <w:r w:rsidR="003A596A" w:rsidRPr="00A17E25">
              <w:rPr>
                <w:rFonts w:ascii="Arial" w:hAnsi="Arial" w:cs="Arial"/>
                <w:sz w:val="20"/>
                <w:szCs w:val="20"/>
                <w:lang w:eastAsia="fr-FR"/>
              </w:rPr>
              <w:t>share of budget</w:t>
            </w: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697" w:type="dxa"/>
            <w:tcBorders>
              <w:top w:val="nil"/>
              <w:left w:val="nil"/>
              <w:bottom w:val="single" w:sz="4" w:space="0" w:color="auto"/>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single" w:sz="4" w:space="0" w:color="auto"/>
              <w:right w:val="single" w:sz="4" w:space="0" w:color="auto"/>
            </w:tcBorders>
            <w:shd w:val="clear" w:color="auto" w:fill="auto"/>
            <w:noWrap/>
            <w:vAlign w:val="bottom"/>
            <w:hideMark/>
          </w:tcPr>
          <w:p w:rsidR="003A596A" w:rsidRPr="00A17E25" w:rsidRDefault="003A596A" w:rsidP="003A596A">
            <w:pPr>
              <w:jc w:val="right"/>
              <w:rPr>
                <w:rFonts w:ascii="Arial" w:hAnsi="Arial" w:cs="Arial"/>
                <w:sz w:val="20"/>
                <w:szCs w:val="20"/>
                <w:lang w:eastAsia="fr-FR"/>
              </w:rPr>
            </w:pPr>
            <w:r w:rsidRPr="00A17E25">
              <w:rPr>
                <w:rFonts w:ascii="Arial" w:hAnsi="Arial" w:cs="Arial"/>
                <w:sz w:val="20"/>
                <w:szCs w:val="20"/>
                <w:lang w:eastAsia="fr-FR"/>
              </w:rPr>
              <w:t>0,0%</w:t>
            </w:r>
          </w:p>
        </w:tc>
      </w:tr>
    </w:tbl>
    <w:p w:rsidR="003A596A" w:rsidRDefault="003A596A" w:rsidP="003A596A">
      <w:pPr>
        <w:jc w:val="both"/>
        <w:rPr>
          <w:rFonts w:ascii="Arial Narrow" w:hAnsi="Arial Narrow"/>
        </w:rPr>
      </w:pPr>
    </w:p>
    <w:p w:rsidR="00635690" w:rsidRDefault="00635690" w:rsidP="003A596A">
      <w:pPr>
        <w:jc w:val="both"/>
        <w:rPr>
          <w:rFonts w:ascii="Arial Narrow" w:hAnsi="Arial Narrow"/>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Default="00635690" w:rsidP="003A596A">
      <w:pPr>
        <w:jc w:val="both"/>
        <w:rPr>
          <w:rFonts w:ascii="Arial" w:hAnsi="Arial" w:cs="Arial"/>
          <w:b/>
          <w:bCs/>
          <w:sz w:val="20"/>
          <w:szCs w:val="20"/>
          <w:lang w:eastAsia="fr-FR"/>
        </w:rPr>
      </w:pPr>
    </w:p>
    <w:p w:rsidR="00635690" w:rsidRPr="009625DB" w:rsidRDefault="00635690" w:rsidP="00635690">
      <w:pPr>
        <w:ind w:firstLine="720"/>
        <w:jc w:val="both"/>
        <w:rPr>
          <w:rFonts w:ascii="Arial" w:hAnsi="Arial" w:cs="Arial"/>
          <w:b/>
          <w:bCs/>
          <w:sz w:val="20"/>
          <w:szCs w:val="20"/>
          <w:lang w:val="en-US" w:eastAsia="fr-FR"/>
        </w:rPr>
      </w:pPr>
      <w:r w:rsidRPr="009625DB">
        <w:rPr>
          <w:rFonts w:ascii="Arial" w:hAnsi="Arial" w:cs="Arial"/>
          <w:b/>
          <w:bCs/>
          <w:sz w:val="20"/>
          <w:szCs w:val="20"/>
          <w:lang w:val="en-US" w:eastAsia="fr-FR"/>
        </w:rPr>
        <w:t>Table 3</w:t>
      </w:r>
    </w:p>
    <w:p w:rsidR="00635690" w:rsidRPr="009625DB" w:rsidRDefault="00635690" w:rsidP="00635690">
      <w:pPr>
        <w:ind w:firstLine="720"/>
        <w:jc w:val="both"/>
        <w:rPr>
          <w:rFonts w:ascii="Arial" w:hAnsi="Arial" w:cs="Arial"/>
          <w:b/>
          <w:bCs/>
          <w:sz w:val="20"/>
          <w:szCs w:val="20"/>
          <w:lang w:val="en-US" w:eastAsia="fr-FR"/>
        </w:rPr>
      </w:pPr>
      <w:r w:rsidRPr="009625DB">
        <w:rPr>
          <w:rFonts w:ascii="Arial" w:hAnsi="Arial" w:cs="Arial"/>
          <w:b/>
          <w:bCs/>
          <w:sz w:val="20"/>
          <w:szCs w:val="20"/>
          <w:lang w:val="en-US" w:eastAsia="fr-FR"/>
        </w:rPr>
        <w:t>Data for the year= 2013</w:t>
      </w:r>
    </w:p>
    <w:p w:rsidR="00635690" w:rsidRPr="009625DB" w:rsidRDefault="00635690" w:rsidP="00635690">
      <w:pPr>
        <w:ind w:firstLine="720"/>
        <w:jc w:val="both"/>
        <w:rPr>
          <w:rFonts w:ascii="Arial" w:hAnsi="Arial" w:cs="Arial"/>
          <w:b/>
          <w:bCs/>
          <w:sz w:val="20"/>
          <w:szCs w:val="20"/>
          <w:lang w:val="en-US" w:eastAsia="fr-FR"/>
        </w:rPr>
      </w:pPr>
    </w:p>
    <w:tbl>
      <w:tblPr>
        <w:tblW w:w="11626" w:type="dxa"/>
        <w:tblInd w:w="888" w:type="dxa"/>
        <w:tblCellMar>
          <w:left w:w="70" w:type="dxa"/>
          <w:right w:w="70" w:type="dxa"/>
        </w:tblCellMar>
        <w:tblLook w:val="04A0" w:firstRow="1" w:lastRow="0" w:firstColumn="1" w:lastColumn="0" w:noHBand="0" w:noVBand="1"/>
      </w:tblPr>
      <w:tblGrid>
        <w:gridCol w:w="3484"/>
        <w:gridCol w:w="1357"/>
        <w:gridCol w:w="1357"/>
        <w:gridCol w:w="1357"/>
        <w:gridCol w:w="1357"/>
        <w:gridCol w:w="1357"/>
        <w:gridCol w:w="1357"/>
      </w:tblGrid>
      <w:tr w:rsidR="00635690" w:rsidRPr="00635690" w:rsidTr="009625DB">
        <w:trPr>
          <w:trHeight w:val="578"/>
        </w:trPr>
        <w:tc>
          <w:tcPr>
            <w:tcW w:w="3484" w:type="dxa"/>
            <w:tcBorders>
              <w:top w:val="single" w:sz="4" w:space="0" w:color="auto"/>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Administrative or functional head</w:t>
            </w:r>
          </w:p>
        </w:tc>
        <w:tc>
          <w:tcPr>
            <w:tcW w:w="1357" w:type="dxa"/>
            <w:tcBorders>
              <w:top w:val="single" w:sz="4" w:space="0" w:color="auto"/>
              <w:left w:val="nil"/>
              <w:bottom w:val="nil"/>
              <w:right w:val="nil"/>
            </w:tcBorders>
            <w:shd w:val="clear" w:color="auto" w:fill="auto"/>
            <w:noWrap/>
            <w:vAlign w:val="bottom"/>
            <w:hideMark/>
          </w:tcPr>
          <w:p w:rsidR="00635690" w:rsidRPr="00635690" w:rsidRDefault="00635690" w:rsidP="00635690">
            <w:pPr>
              <w:jc w:val="center"/>
              <w:rPr>
                <w:rFonts w:ascii="Arial" w:hAnsi="Arial" w:cs="Arial"/>
                <w:b/>
                <w:bCs/>
                <w:color w:val="000000"/>
                <w:sz w:val="20"/>
                <w:szCs w:val="20"/>
                <w:lang w:val="es-ES" w:eastAsia="es-ES"/>
              </w:rPr>
            </w:pPr>
            <w:r w:rsidRPr="00635690">
              <w:rPr>
                <w:rFonts w:ascii="Arial" w:hAnsi="Arial" w:cs="Arial"/>
                <w:b/>
                <w:bCs/>
                <w:color w:val="000000"/>
                <w:sz w:val="20"/>
                <w:szCs w:val="20"/>
                <w:lang w:eastAsia="fr-FR"/>
              </w:rPr>
              <w:t>Budget</w:t>
            </w:r>
          </w:p>
        </w:tc>
        <w:tc>
          <w:tcPr>
            <w:tcW w:w="1357" w:type="dxa"/>
            <w:tcBorders>
              <w:top w:val="single" w:sz="4" w:space="0" w:color="auto"/>
              <w:left w:val="nil"/>
              <w:bottom w:val="nil"/>
              <w:right w:val="nil"/>
            </w:tcBorders>
            <w:shd w:val="clear" w:color="auto" w:fill="auto"/>
            <w:noWrap/>
            <w:vAlign w:val="bottom"/>
            <w:hideMark/>
          </w:tcPr>
          <w:p w:rsidR="00635690" w:rsidRPr="00635690" w:rsidRDefault="00635690" w:rsidP="00635690">
            <w:pPr>
              <w:jc w:val="center"/>
              <w:rPr>
                <w:rFonts w:ascii="Arial" w:hAnsi="Arial" w:cs="Arial"/>
                <w:b/>
                <w:bCs/>
                <w:color w:val="000000"/>
                <w:sz w:val="20"/>
                <w:szCs w:val="20"/>
                <w:lang w:val="es-ES" w:eastAsia="es-ES"/>
              </w:rPr>
            </w:pPr>
            <w:r w:rsidRPr="00635690">
              <w:rPr>
                <w:rFonts w:ascii="Arial" w:hAnsi="Arial" w:cs="Arial"/>
                <w:b/>
                <w:bCs/>
                <w:color w:val="000000"/>
                <w:sz w:val="20"/>
                <w:szCs w:val="20"/>
                <w:lang w:eastAsia="fr-FR"/>
              </w:rPr>
              <w:t>Actual</w:t>
            </w:r>
          </w:p>
        </w:tc>
        <w:tc>
          <w:tcPr>
            <w:tcW w:w="1357" w:type="dxa"/>
            <w:tcBorders>
              <w:top w:val="single" w:sz="4" w:space="0" w:color="auto"/>
              <w:left w:val="nil"/>
              <w:bottom w:val="nil"/>
              <w:right w:val="nil"/>
            </w:tcBorders>
            <w:shd w:val="clear" w:color="auto" w:fill="auto"/>
            <w:vAlign w:val="bottom"/>
            <w:hideMark/>
          </w:tcPr>
          <w:p w:rsidR="00635690" w:rsidRPr="00635690" w:rsidRDefault="00635690" w:rsidP="00635690">
            <w:pPr>
              <w:jc w:val="center"/>
              <w:rPr>
                <w:rFonts w:ascii="Arial" w:hAnsi="Arial" w:cs="Arial"/>
                <w:color w:val="000000"/>
                <w:sz w:val="20"/>
                <w:szCs w:val="20"/>
                <w:lang w:val="es-ES" w:eastAsia="es-ES"/>
              </w:rPr>
            </w:pPr>
            <w:r w:rsidRPr="00635690">
              <w:rPr>
                <w:rFonts w:ascii="Arial" w:hAnsi="Arial" w:cs="Arial"/>
                <w:color w:val="000000"/>
                <w:sz w:val="20"/>
                <w:szCs w:val="20"/>
                <w:lang w:eastAsia="fr-FR"/>
              </w:rPr>
              <w:t>Adjusted budget</w:t>
            </w:r>
          </w:p>
        </w:tc>
        <w:tc>
          <w:tcPr>
            <w:tcW w:w="1357" w:type="dxa"/>
            <w:tcBorders>
              <w:top w:val="single" w:sz="4" w:space="0" w:color="auto"/>
              <w:left w:val="nil"/>
              <w:bottom w:val="nil"/>
              <w:right w:val="nil"/>
            </w:tcBorders>
            <w:shd w:val="clear" w:color="auto" w:fill="auto"/>
            <w:vAlign w:val="bottom"/>
            <w:hideMark/>
          </w:tcPr>
          <w:p w:rsidR="00635690" w:rsidRPr="00635690" w:rsidRDefault="00635690" w:rsidP="00635690">
            <w:pPr>
              <w:jc w:val="center"/>
              <w:rPr>
                <w:rFonts w:ascii="Arial" w:hAnsi="Arial" w:cs="Arial"/>
                <w:color w:val="000000"/>
                <w:sz w:val="20"/>
                <w:szCs w:val="20"/>
                <w:lang w:val="es-ES" w:eastAsia="es-ES"/>
              </w:rPr>
            </w:pPr>
            <w:r w:rsidRPr="00635690">
              <w:rPr>
                <w:rFonts w:ascii="Arial" w:hAnsi="Arial" w:cs="Arial"/>
                <w:color w:val="000000"/>
                <w:sz w:val="20"/>
                <w:szCs w:val="20"/>
                <w:lang w:eastAsia="fr-FR"/>
              </w:rPr>
              <w:t>Deviation</w:t>
            </w:r>
          </w:p>
        </w:tc>
        <w:tc>
          <w:tcPr>
            <w:tcW w:w="1357" w:type="dxa"/>
            <w:tcBorders>
              <w:top w:val="single" w:sz="4" w:space="0" w:color="auto"/>
              <w:left w:val="nil"/>
              <w:bottom w:val="nil"/>
              <w:right w:val="nil"/>
            </w:tcBorders>
            <w:shd w:val="clear" w:color="auto" w:fill="auto"/>
            <w:vAlign w:val="bottom"/>
            <w:hideMark/>
          </w:tcPr>
          <w:p w:rsidR="00635690" w:rsidRPr="00635690" w:rsidRDefault="00635690" w:rsidP="00635690">
            <w:pPr>
              <w:jc w:val="center"/>
              <w:rPr>
                <w:rFonts w:ascii="Arial" w:hAnsi="Arial" w:cs="Arial"/>
                <w:color w:val="000000"/>
                <w:sz w:val="20"/>
                <w:szCs w:val="20"/>
                <w:lang w:val="es-ES" w:eastAsia="es-ES"/>
              </w:rPr>
            </w:pPr>
            <w:r w:rsidRPr="00635690">
              <w:rPr>
                <w:rFonts w:ascii="Arial" w:hAnsi="Arial" w:cs="Arial"/>
                <w:color w:val="000000"/>
                <w:sz w:val="20"/>
                <w:szCs w:val="20"/>
                <w:lang w:eastAsia="fr-FR"/>
              </w:rPr>
              <w:t>Absolute deviation</w:t>
            </w:r>
          </w:p>
        </w:tc>
        <w:tc>
          <w:tcPr>
            <w:tcW w:w="1357" w:type="dxa"/>
            <w:tcBorders>
              <w:top w:val="single" w:sz="4" w:space="0" w:color="auto"/>
              <w:left w:val="nil"/>
              <w:bottom w:val="nil"/>
              <w:right w:val="single" w:sz="8" w:space="0" w:color="auto"/>
            </w:tcBorders>
            <w:shd w:val="clear" w:color="auto" w:fill="auto"/>
            <w:noWrap/>
            <w:vAlign w:val="bottom"/>
            <w:hideMark/>
          </w:tcPr>
          <w:p w:rsidR="00635690" w:rsidRPr="00635690" w:rsidRDefault="00635690" w:rsidP="00635690">
            <w:pPr>
              <w:jc w:val="center"/>
              <w:rPr>
                <w:rFonts w:ascii="Arial" w:hAnsi="Arial" w:cs="Arial"/>
                <w:color w:val="000000"/>
                <w:sz w:val="20"/>
                <w:szCs w:val="20"/>
                <w:lang w:val="es-ES" w:eastAsia="es-ES"/>
              </w:rPr>
            </w:pPr>
            <w:r w:rsidRPr="00635690">
              <w:rPr>
                <w:rFonts w:ascii="Arial" w:hAnsi="Arial" w:cs="Arial"/>
                <w:color w:val="000000"/>
                <w:sz w:val="20"/>
                <w:szCs w:val="20"/>
                <w:lang w:eastAsia="fr-FR"/>
              </w:rPr>
              <w:t>Percent</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Administration générale</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1416,04</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1795,7</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1 190,4</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605,3</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605,3</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0,50845183</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Domaine affaires sociales</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67,15</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70,38</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56,5</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13,9</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13,9</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0,24674154</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Domaine affaires techniques</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364,3</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444,18</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306,3</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137,9</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137,9</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0,45035065</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Domaine affaires économiques</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5,28</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5,3</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5,3</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center"/>
              <w:rPr>
                <w:rFonts w:ascii="Arial" w:hAnsi="Arial" w:cs="Arial"/>
                <w:color w:val="000000"/>
                <w:sz w:val="20"/>
                <w:szCs w:val="20"/>
                <w:lang w:val="es-ES" w:eastAsia="es-ES"/>
              </w:rPr>
            </w:pPr>
            <w:r w:rsidRPr="00635690">
              <w:rPr>
                <w:rFonts w:ascii="Arial" w:hAnsi="Arial" w:cs="Arial"/>
                <w:color w:val="000000"/>
                <w:sz w:val="20"/>
                <w:szCs w:val="20"/>
                <w:lang w:val="es-ES" w:eastAsia="es-ES"/>
              </w:rPr>
              <w:t> </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Domaine de soutien</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933,84</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1175,37</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785,1</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390,3</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390,3</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0,49718447</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Comptes d'affectation spéciale</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1380,16</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7,54</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1 160,3</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-1 152,7</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1 152,7</w:t>
            </w: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0,99350147</w:t>
            </w:r>
          </w:p>
        </w:tc>
      </w:tr>
      <w:tr w:rsidR="00635690" w:rsidRPr="00635690" w:rsidTr="009625DB">
        <w:trPr>
          <w:trHeight w:val="282"/>
        </w:trPr>
        <w:tc>
          <w:tcPr>
            <w:tcW w:w="3484" w:type="dxa"/>
            <w:tcBorders>
              <w:top w:val="single" w:sz="4" w:space="0" w:color="auto"/>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Allocatede xpenditure</w:t>
            </w:r>
          </w:p>
        </w:tc>
        <w:tc>
          <w:tcPr>
            <w:tcW w:w="1357" w:type="dxa"/>
            <w:tcBorders>
              <w:top w:val="single" w:sz="4" w:space="0" w:color="auto"/>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4161,49</w:t>
            </w:r>
          </w:p>
        </w:tc>
        <w:tc>
          <w:tcPr>
            <w:tcW w:w="1357" w:type="dxa"/>
            <w:tcBorders>
              <w:top w:val="single" w:sz="4" w:space="0" w:color="auto"/>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3498,45</w:t>
            </w:r>
          </w:p>
        </w:tc>
        <w:tc>
          <w:tcPr>
            <w:tcW w:w="1357" w:type="dxa"/>
            <w:tcBorders>
              <w:top w:val="single" w:sz="4" w:space="0" w:color="auto"/>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3 498,5</w:t>
            </w:r>
          </w:p>
        </w:tc>
        <w:tc>
          <w:tcPr>
            <w:tcW w:w="1357" w:type="dxa"/>
            <w:tcBorders>
              <w:top w:val="single" w:sz="4" w:space="0" w:color="auto"/>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w:t>
            </w:r>
          </w:p>
        </w:tc>
        <w:tc>
          <w:tcPr>
            <w:tcW w:w="1357" w:type="dxa"/>
            <w:tcBorders>
              <w:top w:val="single" w:sz="4" w:space="0" w:color="auto"/>
              <w:left w:val="nil"/>
              <w:bottom w:val="nil"/>
              <w:right w:val="nil"/>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2 305,4</w:t>
            </w:r>
          </w:p>
        </w:tc>
        <w:tc>
          <w:tcPr>
            <w:tcW w:w="1357" w:type="dxa"/>
            <w:tcBorders>
              <w:top w:val="single" w:sz="4" w:space="0" w:color="auto"/>
              <w:left w:val="nil"/>
              <w:bottom w:val="nil"/>
              <w:right w:val="single" w:sz="8" w:space="0" w:color="auto"/>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r>
      <w:tr w:rsidR="00635690" w:rsidRPr="00635690" w:rsidTr="009625DB">
        <w:trPr>
          <w:trHeight w:val="295"/>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Contingency</w:t>
            </w:r>
          </w:p>
        </w:tc>
        <w:tc>
          <w:tcPr>
            <w:tcW w:w="1357" w:type="dxa"/>
            <w:tcBorders>
              <w:top w:val="nil"/>
              <w:left w:val="nil"/>
              <w:bottom w:val="single" w:sz="8" w:space="0" w:color="auto"/>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0,02</w:t>
            </w:r>
          </w:p>
        </w:tc>
        <w:tc>
          <w:tcPr>
            <w:tcW w:w="1357" w:type="dxa"/>
            <w:tcBorders>
              <w:top w:val="nil"/>
              <w:left w:val="nil"/>
              <w:bottom w:val="single" w:sz="8" w:space="0" w:color="auto"/>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Total expenditure</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4161,51</w:t>
            </w:r>
          </w:p>
        </w:tc>
        <w:tc>
          <w:tcPr>
            <w:tcW w:w="1357" w:type="dxa"/>
            <w:tcBorders>
              <w:top w:val="nil"/>
              <w:left w:val="nil"/>
              <w:bottom w:val="nil"/>
              <w:right w:val="nil"/>
            </w:tcBorders>
            <w:shd w:val="clear" w:color="000000" w:fill="FFFFFF"/>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3498,45</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r>
      <w:tr w:rsidR="00635690" w:rsidRPr="00635690" w:rsidTr="009625DB">
        <w:trPr>
          <w:trHeight w:val="282"/>
        </w:trPr>
        <w:tc>
          <w:tcPr>
            <w:tcW w:w="3484" w:type="dxa"/>
            <w:tcBorders>
              <w:top w:val="nil"/>
              <w:left w:val="single" w:sz="8"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Overall (PI-1) variance</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15,90%</w:t>
            </w:r>
          </w:p>
        </w:tc>
      </w:tr>
      <w:tr w:rsidR="00635690" w:rsidRPr="00635690" w:rsidTr="009625DB">
        <w:trPr>
          <w:trHeight w:val="282"/>
        </w:trPr>
        <w:tc>
          <w:tcPr>
            <w:tcW w:w="3484" w:type="dxa"/>
            <w:tcBorders>
              <w:top w:val="nil"/>
              <w:left w:val="single" w:sz="4" w:space="0" w:color="auto"/>
              <w:bottom w:val="nil"/>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Composition (PI-2) variance</w:t>
            </w: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nil"/>
            </w:tcBorders>
            <w:shd w:val="clear" w:color="auto" w:fill="auto"/>
            <w:noWrap/>
            <w:vAlign w:val="bottom"/>
            <w:hideMark/>
          </w:tcPr>
          <w:p w:rsidR="00635690" w:rsidRPr="00635690" w:rsidRDefault="00635690" w:rsidP="00635690">
            <w:pPr>
              <w:rPr>
                <w:rFonts w:ascii="Calibri" w:hAnsi="Calibri"/>
                <w:color w:val="000000"/>
                <w:sz w:val="20"/>
                <w:szCs w:val="20"/>
                <w:lang w:val="es-ES" w:eastAsia="es-ES"/>
              </w:rPr>
            </w:pPr>
          </w:p>
        </w:tc>
        <w:tc>
          <w:tcPr>
            <w:tcW w:w="1357" w:type="dxa"/>
            <w:tcBorders>
              <w:top w:val="nil"/>
              <w:left w:val="nil"/>
              <w:bottom w:val="nil"/>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65,90%</w:t>
            </w:r>
          </w:p>
        </w:tc>
      </w:tr>
      <w:tr w:rsidR="00635690" w:rsidRPr="00635690" w:rsidTr="009625DB">
        <w:trPr>
          <w:trHeight w:val="295"/>
        </w:trPr>
        <w:tc>
          <w:tcPr>
            <w:tcW w:w="3484" w:type="dxa"/>
            <w:tcBorders>
              <w:top w:val="nil"/>
              <w:left w:val="single" w:sz="4" w:space="0" w:color="auto"/>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Contingency share of budget</w:t>
            </w:r>
          </w:p>
        </w:tc>
        <w:tc>
          <w:tcPr>
            <w:tcW w:w="1357" w:type="dxa"/>
            <w:tcBorders>
              <w:top w:val="nil"/>
              <w:left w:val="nil"/>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c>
          <w:tcPr>
            <w:tcW w:w="1357" w:type="dxa"/>
            <w:tcBorders>
              <w:top w:val="nil"/>
              <w:left w:val="nil"/>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c>
          <w:tcPr>
            <w:tcW w:w="1357" w:type="dxa"/>
            <w:tcBorders>
              <w:top w:val="nil"/>
              <w:left w:val="nil"/>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c>
          <w:tcPr>
            <w:tcW w:w="1357" w:type="dxa"/>
            <w:tcBorders>
              <w:top w:val="nil"/>
              <w:left w:val="nil"/>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c>
          <w:tcPr>
            <w:tcW w:w="1357" w:type="dxa"/>
            <w:tcBorders>
              <w:top w:val="nil"/>
              <w:left w:val="nil"/>
              <w:bottom w:val="single" w:sz="8" w:space="0" w:color="auto"/>
              <w:right w:val="nil"/>
            </w:tcBorders>
            <w:shd w:val="clear" w:color="auto" w:fill="auto"/>
            <w:noWrap/>
            <w:vAlign w:val="bottom"/>
            <w:hideMark/>
          </w:tcPr>
          <w:p w:rsidR="00635690" w:rsidRPr="00635690" w:rsidRDefault="00635690" w:rsidP="00635690">
            <w:pPr>
              <w:rPr>
                <w:rFonts w:ascii="Arial" w:hAnsi="Arial" w:cs="Arial"/>
                <w:color w:val="000000"/>
                <w:sz w:val="20"/>
                <w:szCs w:val="20"/>
                <w:lang w:val="es-ES" w:eastAsia="es-ES"/>
              </w:rPr>
            </w:pPr>
            <w:r w:rsidRPr="00635690">
              <w:rPr>
                <w:rFonts w:ascii="Arial" w:hAnsi="Arial" w:cs="Arial"/>
                <w:color w:val="000000"/>
                <w:sz w:val="20"/>
                <w:szCs w:val="20"/>
                <w:lang w:eastAsia="fr-FR"/>
              </w:rPr>
              <w:t> </w:t>
            </w:r>
          </w:p>
        </w:tc>
        <w:tc>
          <w:tcPr>
            <w:tcW w:w="1357" w:type="dxa"/>
            <w:tcBorders>
              <w:top w:val="nil"/>
              <w:left w:val="nil"/>
              <w:bottom w:val="single" w:sz="4" w:space="0" w:color="auto"/>
              <w:right w:val="single" w:sz="8" w:space="0" w:color="auto"/>
            </w:tcBorders>
            <w:shd w:val="clear" w:color="auto" w:fill="auto"/>
            <w:noWrap/>
            <w:vAlign w:val="bottom"/>
            <w:hideMark/>
          </w:tcPr>
          <w:p w:rsidR="00635690" w:rsidRPr="00635690" w:rsidRDefault="00635690" w:rsidP="00635690">
            <w:pPr>
              <w:jc w:val="right"/>
              <w:rPr>
                <w:rFonts w:ascii="Arial" w:hAnsi="Arial" w:cs="Arial"/>
                <w:color w:val="000000"/>
                <w:sz w:val="20"/>
                <w:szCs w:val="20"/>
                <w:lang w:val="es-ES" w:eastAsia="es-ES"/>
              </w:rPr>
            </w:pPr>
            <w:r w:rsidRPr="00635690">
              <w:rPr>
                <w:rFonts w:ascii="Arial" w:hAnsi="Arial" w:cs="Arial"/>
                <w:color w:val="000000"/>
                <w:sz w:val="20"/>
                <w:szCs w:val="20"/>
                <w:lang w:eastAsia="fr-FR"/>
              </w:rPr>
              <w:t>0,00%</w:t>
            </w:r>
          </w:p>
        </w:tc>
      </w:tr>
    </w:tbl>
    <w:p w:rsidR="00635690" w:rsidRPr="00635690" w:rsidRDefault="00635690" w:rsidP="00635690">
      <w:pPr>
        <w:ind w:firstLine="720"/>
        <w:jc w:val="both"/>
        <w:rPr>
          <w:rFonts w:ascii="Arial" w:hAnsi="Arial" w:cs="Arial"/>
          <w:b/>
          <w:bCs/>
          <w:sz w:val="20"/>
          <w:szCs w:val="20"/>
          <w:lang w:eastAsia="fr-FR"/>
        </w:rPr>
      </w:pPr>
    </w:p>
    <w:p w:rsidR="003A596A" w:rsidRPr="00A17E25" w:rsidRDefault="003A596A" w:rsidP="003A596A">
      <w:pPr>
        <w:jc w:val="both"/>
        <w:rPr>
          <w:rFonts w:ascii="Arial Narrow" w:hAnsi="Arial Narrow"/>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3709B4" w:rsidRDefault="003709B4" w:rsidP="00635690">
      <w:pPr>
        <w:jc w:val="both"/>
        <w:rPr>
          <w:rFonts w:ascii="Arial" w:hAnsi="Arial" w:cs="Arial"/>
          <w:b/>
          <w:sz w:val="20"/>
          <w:szCs w:val="20"/>
        </w:rPr>
      </w:pPr>
    </w:p>
    <w:p w:rsidR="009625DB" w:rsidRDefault="009625DB" w:rsidP="00635690">
      <w:pPr>
        <w:jc w:val="both"/>
        <w:rPr>
          <w:rFonts w:ascii="Arial" w:hAnsi="Arial" w:cs="Arial"/>
          <w:b/>
          <w:sz w:val="20"/>
          <w:szCs w:val="20"/>
        </w:rPr>
      </w:pPr>
    </w:p>
    <w:p w:rsidR="009625DB" w:rsidRDefault="009625DB" w:rsidP="00635690">
      <w:pPr>
        <w:jc w:val="both"/>
        <w:rPr>
          <w:rFonts w:ascii="Arial" w:hAnsi="Arial" w:cs="Arial"/>
          <w:b/>
          <w:sz w:val="20"/>
          <w:szCs w:val="20"/>
        </w:rPr>
      </w:pPr>
    </w:p>
    <w:p w:rsidR="00635690" w:rsidRPr="00551808" w:rsidRDefault="00635690" w:rsidP="00635690">
      <w:pPr>
        <w:jc w:val="both"/>
        <w:rPr>
          <w:rFonts w:ascii="Arial" w:hAnsi="Arial" w:cs="Arial"/>
          <w:b/>
          <w:sz w:val="20"/>
          <w:szCs w:val="20"/>
        </w:rPr>
      </w:pPr>
      <w:r>
        <w:rPr>
          <w:rFonts w:ascii="Arial" w:hAnsi="Arial" w:cs="Arial"/>
          <w:b/>
          <w:sz w:val="20"/>
          <w:szCs w:val="20"/>
        </w:rPr>
        <w:t>Table 4</w:t>
      </w:r>
    </w:p>
    <w:p w:rsidR="008F14E1" w:rsidRDefault="00635690" w:rsidP="003A596A">
      <w:pPr>
        <w:jc w:val="both"/>
        <w:rPr>
          <w:rFonts w:ascii="Arial" w:hAnsi="Arial" w:cs="Arial"/>
          <w:b/>
          <w:sz w:val="20"/>
          <w:szCs w:val="20"/>
        </w:rPr>
      </w:pPr>
      <w:r w:rsidRPr="00551808">
        <w:rPr>
          <w:rFonts w:ascii="Arial" w:hAnsi="Arial" w:cs="Arial"/>
          <w:b/>
          <w:sz w:val="20"/>
          <w:szCs w:val="20"/>
        </w:rPr>
        <w:t>Data for Year= 20</w:t>
      </w:r>
      <w:r>
        <w:rPr>
          <w:rFonts w:ascii="Arial" w:hAnsi="Arial" w:cs="Arial"/>
          <w:b/>
          <w:sz w:val="20"/>
          <w:szCs w:val="20"/>
        </w:rPr>
        <w:t>14</w:t>
      </w:r>
    </w:p>
    <w:p w:rsidR="003709B4" w:rsidRDefault="003709B4" w:rsidP="003A596A">
      <w:pPr>
        <w:jc w:val="both"/>
        <w:rPr>
          <w:rFonts w:ascii="Arial" w:hAnsi="Arial" w:cs="Arial"/>
          <w:b/>
          <w:sz w:val="20"/>
          <w:szCs w:val="20"/>
        </w:rPr>
      </w:pPr>
    </w:p>
    <w:tbl>
      <w:tblPr>
        <w:tblW w:w="11593" w:type="dxa"/>
        <w:tblInd w:w="828" w:type="dxa"/>
        <w:tblCellMar>
          <w:left w:w="70" w:type="dxa"/>
          <w:right w:w="70" w:type="dxa"/>
        </w:tblCellMar>
        <w:tblLook w:val="04A0" w:firstRow="1" w:lastRow="0" w:firstColumn="1" w:lastColumn="0" w:noHBand="0" w:noVBand="1"/>
      </w:tblPr>
      <w:tblGrid>
        <w:gridCol w:w="3182"/>
        <w:gridCol w:w="1240"/>
        <w:gridCol w:w="1240"/>
        <w:gridCol w:w="1674"/>
        <w:gridCol w:w="1240"/>
        <w:gridCol w:w="1777"/>
        <w:gridCol w:w="1240"/>
      </w:tblGrid>
      <w:tr w:rsidR="003709B4" w:rsidRPr="003709B4" w:rsidTr="009625DB">
        <w:trPr>
          <w:trHeight w:val="292"/>
        </w:trPr>
        <w:tc>
          <w:tcPr>
            <w:tcW w:w="3182" w:type="dxa"/>
            <w:tcBorders>
              <w:top w:val="single" w:sz="8" w:space="0" w:color="auto"/>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Administrative or functional head</w:t>
            </w:r>
          </w:p>
        </w:tc>
        <w:tc>
          <w:tcPr>
            <w:tcW w:w="1240"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Budget</w:t>
            </w:r>
          </w:p>
        </w:tc>
        <w:tc>
          <w:tcPr>
            <w:tcW w:w="1240"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Actual</w:t>
            </w:r>
          </w:p>
        </w:tc>
        <w:tc>
          <w:tcPr>
            <w:tcW w:w="1674"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Adjusted budget</w:t>
            </w:r>
          </w:p>
        </w:tc>
        <w:tc>
          <w:tcPr>
            <w:tcW w:w="1240"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Deviation</w:t>
            </w:r>
          </w:p>
        </w:tc>
        <w:tc>
          <w:tcPr>
            <w:tcW w:w="1777"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Absolute deviation</w:t>
            </w:r>
          </w:p>
        </w:tc>
        <w:tc>
          <w:tcPr>
            <w:tcW w:w="1240" w:type="dxa"/>
            <w:tcBorders>
              <w:top w:val="single" w:sz="8" w:space="0" w:color="auto"/>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percent</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Administration générale</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1456,01</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1588,81</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1 090,6</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498,2</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498,2</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0,45678438</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Domaine affaires sociales</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86,17</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71,03</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64,5</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6,5</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6,5</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0,1004578</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Domaine affaires techniques</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417,6</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446,99</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312,8</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134,2</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134,2</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0,42897618</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Domaine affaires économiques</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2,86</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2,9</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2,9</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val="es-ES" w:eastAsia="es-ES"/>
              </w:rPr>
              <w:t> </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Domaine de soutien</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850,58</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1024,76</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637,1</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387,6</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387,6</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0,60840224</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Comptes d'affectation spéciale</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1380,16</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4,47</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1 033,8</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-1 029,3</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1 029,3</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0,9956762</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Allocated expenditure</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4190,52</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3 138,9</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3 138,9</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777" w:type="dxa"/>
            <w:tcBorders>
              <w:top w:val="nil"/>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2 058,7</w:t>
            </w: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 </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Contingency</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777"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 </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Total expenditure</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4191,52</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3138,92</w:t>
            </w: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777"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 </w:t>
            </w:r>
          </w:p>
        </w:tc>
      </w:tr>
      <w:tr w:rsidR="003709B4" w:rsidRPr="003709B4" w:rsidTr="009625DB">
        <w:trPr>
          <w:trHeight w:val="292"/>
        </w:trPr>
        <w:tc>
          <w:tcPr>
            <w:tcW w:w="3182"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Overall (PI-1) variance</w:t>
            </w: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674"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777"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4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25,10%</w:t>
            </w:r>
          </w:p>
        </w:tc>
      </w:tr>
      <w:tr w:rsidR="003709B4" w:rsidRPr="003709B4" w:rsidTr="009625DB">
        <w:trPr>
          <w:trHeight w:val="307"/>
        </w:trPr>
        <w:tc>
          <w:tcPr>
            <w:tcW w:w="3182" w:type="dxa"/>
            <w:tcBorders>
              <w:top w:val="nil"/>
              <w:left w:val="single" w:sz="8" w:space="0" w:color="auto"/>
              <w:bottom w:val="single" w:sz="8" w:space="0" w:color="auto"/>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Composition (PI-2) variance</w:t>
            </w:r>
          </w:p>
        </w:tc>
        <w:tc>
          <w:tcPr>
            <w:tcW w:w="124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4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674"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4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777"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40" w:type="dxa"/>
            <w:tcBorders>
              <w:top w:val="nil"/>
              <w:left w:val="nil"/>
              <w:bottom w:val="single" w:sz="8" w:space="0" w:color="auto"/>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65,60%</w:t>
            </w:r>
          </w:p>
        </w:tc>
      </w:tr>
    </w:tbl>
    <w:p w:rsidR="003709B4" w:rsidRDefault="003709B4" w:rsidP="003A596A">
      <w:pPr>
        <w:jc w:val="both"/>
        <w:rPr>
          <w:rFonts w:ascii="Arial" w:hAnsi="Arial" w:cs="Arial"/>
          <w:b/>
          <w:sz w:val="20"/>
          <w:szCs w:val="20"/>
        </w:rPr>
      </w:pPr>
    </w:p>
    <w:p w:rsidR="003709B4" w:rsidRDefault="003709B4" w:rsidP="003A596A">
      <w:pPr>
        <w:jc w:val="both"/>
        <w:rPr>
          <w:rFonts w:ascii="Arial" w:hAnsi="Arial" w:cs="Arial"/>
          <w:b/>
          <w:sz w:val="20"/>
          <w:szCs w:val="20"/>
        </w:rPr>
      </w:pPr>
    </w:p>
    <w:p w:rsidR="003709B4" w:rsidRDefault="003709B4" w:rsidP="003A596A">
      <w:pPr>
        <w:jc w:val="both"/>
        <w:rPr>
          <w:rFonts w:ascii="Arial Narrow" w:hAnsi="Arial Narrow"/>
        </w:rPr>
      </w:pPr>
    </w:p>
    <w:p w:rsidR="008F14E1" w:rsidRPr="00A17E25" w:rsidRDefault="008F14E1" w:rsidP="003A596A">
      <w:pPr>
        <w:jc w:val="both"/>
        <w:rPr>
          <w:rFonts w:ascii="Arial Narrow" w:hAnsi="Arial Narrow"/>
        </w:rPr>
      </w:pPr>
    </w:p>
    <w:tbl>
      <w:tblPr>
        <w:tblW w:w="9078" w:type="dxa"/>
        <w:jc w:val="center"/>
        <w:tblCellMar>
          <w:left w:w="70" w:type="dxa"/>
          <w:right w:w="70" w:type="dxa"/>
        </w:tblCellMar>
        <w:tblLook w:val="04A0" w:firstRow="1" w:lastRow="0" w:firstColumn="1" w:lastColumn="0" w:noHBand="0" w:noVBand="1"/>
      </w:tblPr>
      <w:tblGrid>
        <w:gridCol w:w="3120"/>
        <w:gridCol w:w="1698"/>
        <w:gridCol w:w="1040"/>
        <w:gridCol w:w="1140"/>
        <w:gridCol w:w="1040"/>
        <w:gridCol w:w="1040"/>
      </w:tblGrid>
      <w:tr w:rsidR="003A596A" w:rsidRPr="00A17E25" w:rsidTr="00366EE5">
        <w:trPr>
          <w:trHeight w:val="240"/>
          <w:jc w:val="center"/>
        </w:trPr>
        <w:tc>
          <w:tcPr>
            <w:tcW w:w="312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b/>
                <w:bCs/>
                <w:sz w:val="20"/>
                <w:szCs w:val="20"/>
                <w:lang w:eastAsia="fr-FR"/>
              </w:rPr>
            </w:pPr>
            <w:r w:rsidRPr="00A17E25">
              <w:rPr>
                <w:rFonts w:ascii="Arial" w:hAnsi="Arial" w:cs="Arial"/>
                <w:b/>
                <w:bCs/>
                <w:sz w:val="20"/>
                <w:szCs w:val="20"/>
                <w:lang w:eastAsia="fr-FR"/>
              </w:rPr>
              <w:t>Table 5 - Results Matrix</w:t>
            </w:r>
          </w:p>
        </w:tc>
        <w:tc>
          <w:tcPr>
            <w:tcW w:w="1698"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1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c>
          <w:tcPr>
            <w:tcW w:w="1040" w:type="dxa"/>
            <w:tcBorders>
              <w:top w:val="nil"/>
              <w:left w:val="nil"/>
              <w:bottom w:val="nil"/>
              <w:right w:val="nil"/>
            </w:tcBorders>
            <w:shd w:val="clear" w:color="auto" w:fill="auto"/>
            <w:noWrap/>
            <w:vAlign w:val="bottom"/>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 </w:t>
            </w:r>
          </w:p>
        </w:tc>
        <w:tc>
          <w:tcPr>
            <w:tcW w:w="1698" w:type="dxa"/>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PI-1</w:t>
            </w:r>
          </w:p>
        </w:tc>
        <w:tc>
          <w:tcPr>
            <w:tcW w:w="2180" w:type="dxa"/>
            <w:gridSpan w:val="2"/>
            <w:tcBorders>
              <w:top w:val="single" w:sz="4" w:space="0" w:color="auto"/>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w:t>
            </w:r>
          </w:p>
        </w:tc>
        <w:tc>
          <w:tcPr>
            <w:tcW w:w="2080" w:type="dxa"/>
            <w:gridSpan w:val="2"/>
            <w:tcBorders>
              <w:top w:val="single" w:sz="4" w:space="0" w:color="auto"/>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for PI-2 (ii)</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center"/>
            <w:hideMark/>
          </w:tcPr>
          <w:p w:rsidR="003A596A" w:rsidRPr="00A17E25" w:rsidRDefault="003A596A" w:rsidP="003709B4">
            <w:pPr>
              <w:jc w:val="center"/>
              <w:rPr>
                <w:rFonts w:ascii="Arial" w:hAnsi="Arial" w:cs="Arial"/>
                <w:sz w:val="20"/>
                <w:szCs w:val="20"/>
                <w:lang w:eastAsia="fr-FR"/>
              </w:rPr>
            </w:pPr>
            <w:r w:rsidRPr="00A17E25">
              <w:rPr>
                <w:rFonts w:ascii="Arial" w:hAnsi="Arial" w:cs="Arial"/>
                <w:sz w:val="20"/>
                <w:szCs w:val="20"/>
                <w:lang w:eastAsia="fr-FR"/>
              </w:rPr>
              <w:t>year</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total exp. deviation</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composition variance</w:t>
            </w:r>
          </w:p>
        </w:tc>
        <w:tc>
          <w:tcPr>
            <w:tcW w:w="2080" w:type="dxa"/>
            <w:gridSpan w:val="2"/>
            <w:tcBorders>
              <w:top w:val="nil"/>
              <w:left w:val="nil"/>
              <w:bottom w:val="nil"/>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contingencyshare</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3709B4">
            <w:pPr>
              <w:jc w:val="center"/>
              <w:rPr>
                <w:rFonts w:ascii="Arial" w:hAnsi="Arial" w:cs="Arial"/>
                <w:sz w:val="20"/>
                <w:szCs w:val="20"/>
                <w:lang w:eastAsia="fr-FR"/>
              </w:rPr>
            </w:pPr>
            <w:r w:rsidRPr="00A17E25">
              <w:rPr>
                <w:rFonts w:ascii="Arial" w:hAnsi="Arial" w:cs="Arial"/>
                <w:sz w:val="20"/>
                <w:szCs w:val="20"/>
                <w:lang w:eastAsia="fr-FR"/>
              </w:rPr>
              <w:t>2012</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3,5%</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70,0%</w:t>
            </w:r>
          </w:p>
        </w:tc>
        <w:tc>
          <w:tcPr>
            <w:tcW w:w="2080" w:type="dxa"/>
            <w:gridSpan w:val="2"/>
            <w:vMerge w:val="restart"/>
            <w:tcBorders>
              <w:top w:val="nil"/>
              <w:left w:val="nil"/>
              <w:bottom w:val="single" w:sz="4" w:space="0" w:color="000000"/>
              <w:right w:val="single" w:sz="4" w:space="0" w:color="000000"/>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0,0%</w:t>
            </w:r>
          </w:p>
        </w:tc>
      </w:tr>
      <w:tr w:rsidR="003A596A" w:rsidRPr="00A17E25" w:rsidTr="00366EE5">
        <w:trPr>
          <w:trHeight w:val="240"/>
          <w:jc w:val="center"/>
        </w:trPr>
        <w:tc>
          <w:tcPr>
            <w:tcW w:w="3120" w:type="dxa"/>
            <w:tcBorders>
              <w:top w:val="nil"/>
              <w:left w:val="single" w:sz="4" w:space="0" w:color="auto"/>
              <w:bottom w:val="nil"/>
              <w:right w:val="single" w:sz="4" w:space="0" w:color="auto"/>
            </w:tcBorders>
            <w:shd w:val="clear" w:color="auto" w:fill="auto"/>
            <w:noWrap/>
            <w:vAlign w:val="bottom"/>
            <w:hideMark/>
          </w:tcPr>
          <w:p w:rsidR="003A596A" w:rsidRPr="00A17E25" w:rsidRDefault="003A596A" w:rsidP="003709B4">
            <w:pPr>
              <w:jc w:val="center"/>
              <w:rPr>
                <w:rFonts w:ascii="Arial" w:hAnsi="Arial" w:cs="Arial"/>
                <w:sz w:val="20"/>
                <w:szCs w:val="20"/>
                <w:lang w:eastAsia="fr-FR"/>
              </w:rPr>
            </w:pPr>
            <w:r w:rsidRPr="00A17E25">
              <w:rPr>
                <w:rFonts w:ascii="Arial" w:hAnsi="Arial" w:cs="Arial"/>
                <w:sz w:val="20"/>
                <w:szCs w:val="20"/>
                <w:lang w:eastAsia="fr-FR"/>
              </w:rPr>
              <w:t>2013</w:t>
            </w:r>
          </w:p>
        </w:tc>
        <w:tc>
          <w:tcPr>
            <w:tcW w:w="1698" w:type="dxa"/>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15,9%</w:t>
            </w:r>
          </w:p>
        </w:tc>
        <w:tc>
          <w:tcPr>
            <w:tcW w:w="2180" w:type="dxa"/>
            <w:gridSpan w:val="2"/>
            <w:tcBorders>
              <w:top w:val="nil"/>
              <w:left w:val="nil"/>
              <w:bottom w:val="nil"/>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65,9%</w:t>
            </w:r>
          </w:p>
        </w:tc>
        <w:tc>
          <w:tcPr>
            <w:tcW w:w="2080"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r w:rsidR="003A596A" w:rsidRPr="00A17E25" w:rsidTr="00366EE5">
        <w:trPr>
          <w:trHeight w:val="24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3A596A" w:rsidRPr="00A17E25" w:rsidRDefault="003A596A" w:rsidP="003709B4">
            <w:pPr>
              <w:jc w:val="center"/>
              <w:rPr>
                <w:rFonts w:ascii="Arial" w:hAnsi="Arial" w:cs="Arial"/>
                <w:sz w:val="20"/>
                <w:szCs w:val="20"/>
                <w:lang w:eastAsia="fr-FR"/>
              </w:rPr>
            </w:pPr>
            <w:r w:rsidRPr="00A17E25">
              <w:rPr>
                <w:rFonts w:ascii="Arial" w:hAnsi="Arial" w:cs="Arial"/>
                <w:sz w:val="20"/>
                <w:szCs w:val="20"/>
                <w:lang w:eastAsia="fr-FR"/>
              </w:rPr>
              <w:t>2014</w:t>
            </w:r>
          </w:p>
        </w:tc>
        <w:tc>
          <w:tcPr>
            <w:tcW w:w="1698" w:type="dxa"/>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25,1%</w:t>
            </w:r>
          </w:p>
        </w:tc>
        <w:tc>
          <w:tcPr>
            <w:tcW w:w="2180" w:type="dxa"/>
            <w:gridSpan w:val="2"/>
            <w:tcBorders>
              <w:top w:val="nil"/>
              <w:left w:val="nil"/>
              <w:bottom w:val="single" w:sz="4" w:space="0" w:color="auto"/>
              <w:right w:val="nil"/>
            </w:tcBorders>
            <w:shd w:val="clear" w:color="auto" w:fill="auto"/>
            <w:noWrap/>
            <w:vAlign w:val="center"/>
            <w:hideMark/>
          </w:tcPr>
          <w:p w:rsidR="003A596A" w:rsidRPr="00A17E25" w:rsidRDefault="003A596A" w:rsidP="003A596A">
            <w:pPr>
              <w:jc w:val="center"/>
              <w:rPr>
                <w:rFonts w:ascii="Arial" w:hAnsi="Arial" w:cs="Arial"/>
                <w:sz w:val="20"/>
                <w:szCs w:val="20"/>
                <w:lang w:eastAsia="fr-FR"/>
              </w:rPr>
            </w:pPr>
            <w:r w:rsidRPr="00A17E25">
              <w:rPr>
                <w:rFonts w:ascii="Arial" w:hAnsi="Arial" w:cs="Arial"/>
                <w:sz w:val="20"/>
                <w:szCs w:val="20"/>
                <w:lang w:eastAsia="fr-FR"/>
              </w:rPr>
              <w:t>65,6%</w:t>
            </w:r>
          </w:p>
        </w:tc>
        <w:tc>
          <w:tcPr>
            <w:tcW w:w="2080" w:type="dxa"/>
            <w:gridSpan w:val="2"/>
            <w:vMerge/>
            <w:tcBorders>
              <w:top w:val="nil"/>
              <w:left w:val="nil"/>
              <w:bottom w:val="single" w:sz="4" w:space="0" w:color="000000"/>
              <w:right w:val="single" w:sz="4" w:space="0" w:color="000000"/>
            </w:tcBorders>
            <w:vAlign w:val="center"/>
            <w:hideMark/>
          </w:tcPr>
          <w:p w:rsidR="003A596A" w:rsidRPr="00A17E25" w:rsidRDefault="003A596A" w:rsidP="003A596A">
            <w:pPr>
              <w:rPr>
                <w:rFonts w:ascii="Arial" w:hAnsi="Arial" w:cs="Arial"/>
                <w:sz w:val="20"/>
                <w:szCs w:val="20"/>
                <w:lang w:eastAsia="fr-FR"/>
              </w:rPr>
            </w:pPr>
          </w:p>
        </w:tc>
      </w:tr>
    </w:tbl>
    <w:p w:rsidR="003A596A" w:rsidRPr="00A17E25" w:rsidRDefault="003A596A" w:rsidP="003A596A">
      <w:pPr>
        <w:jc w:val="both"/>
        <w:rPr>
          <w:rFonts w:ascii="Arial Narrow" w:hAnsi="Arial Narrow"/>
        </w:rPr>
      </w:pPr>
    </w:p>
    <w:p w:rsidR="003A596A" w:rsidRPr="00A17E25" w:rsidRDefault="003A596A" w:rsidP="003A596A">
      <w:pPr>
        <w:jc w:val="center"/>
        <w:rPr>
          <w:rFonts w:ascii="Arial Narrow" w:hAnsi="Arial Narrow" w:cs="Arial"/>
          <w:bCs/>
          <w:sz w:val="20"/>
          <w:szCs w:val="20"/>
        </w:rPr>
      </w:pPr>
      <w:r w:rsidRPr="00A17E25">
        <w:rPr>
          <w:rFonts w:ascii="Arial Narrow" w:hAnsi="Arial Narrow"/>
          <w:b/>
          <w:sz w:val="20"/>
          <w:szCs w:val="20"/>
          <w:u w:val="single"/>
        </w:rPr>
        <w:br w:type="page"/>
      </w:r>
    </w:p>
    <w:tbl>
      <w:tblPr>
        <w:tblW w:w="4480" w:type="dxa"/>
        <w:jc w:val="center"/>
        <w:tblCellMar>
          <w:left w:w="70" w:type="dxa"/>
          <w:right w:w="70" w:type="dxa"/>
        </w:tblCellMar>
        <w:tblLook w:val="04A0" w:firstRow="1" w:lastRow="0" w:firstColumn="1" w:lastColumn="0" w:noHBand="0" w:noVBand="1"/>
      </w:tblPr>
      <w:tblGrid>
        <w:gridCol w:w="4480"/>
      </w:tblGrid>
      <w:tr w:rsidR="00E57F4F" w:rsidRPr="00A17E25" w:rsidTr="00E57F4F">
        <w:trPr>
          <w:trHeight w:val="260"/>
          <w:jc w:val="center"/>
        </w:trPr>
        <w:tc>
          <w:tcPr>
            <w:tcW w:w="4480" w:type="dxa"/>
            <w:tcBorders>
              <w:top w:val="nil"/>
              <w:left w:val="nil"/>
              <w:bottom w:val="nil"/>
              <w:right w:val="nil"/>
            </w:tcBorders>
            <w:shd w:val="clear" w:color="auto" w:fill="auto"/>
            <w:noWrap/>
            <w:vAlign w:val="bottom"/>
            <w:hideMark/>
          </w:tcPr>
          <w:p w:rsidR="00E57F4F" w:rsidRPr="00A17E25" w:rsidRDefault="00E57F4F" w:rsidP="003A596A">
            <w:pPr>
              <w:rPr>
                <w:rFonts w:ascii="Arial" w:hAnsi="Arial" w:cs="Arial"/>
                <w:sz w:val="20"/>
                <w:szCs w:val="20"/>
                <w:lang w:eastAsia="fr-FR"/>
              </w:rPr>
            </w:pPr>
          </w:p>
        </w:tc>
      </w:tr>
    </w:tbl>
    <w:p w:rsidR="003709B4" w:rsidRPr="00E57F4F" w:rsidRDefault="003709B4" w:rsidP="003709B4">
      <w:pPr>
        <w:tabs>
          <w:tab w:val="left" w:pos="9270"/>
        </w:tabs>
        <w:rPr>
          <w:rFonts w:ascii="Arial" w:hAnsi="Arial" w:cs="Arial"/>
          <w:b/>
          <w:u w:val="single"/>
          <w:lang w:val="en-US"/>
        </w:rPr>
      </w:pPr>
      <w:r w:rsidRPr="00E57F4F">
        <w:rPr>
          <w:rFonts w:ascii="Arial" w:hAnsi="Arial" w:cs="Arial"/>
          <w:b/>
          <w:u w:val="single"/>
          <w:lang w:val="en-US"/>
        </w:rPr>
        <w:t>Calcul PI-15</w:t>
      </w:r>
    </w:p>
    <w:p w:rsidR="003709B4" w:rsidRPr="00E57F4F" w:rsidRDefault="003709B4" w:rsidP="003709B4">
      <w:pPr>
        <w:tabs>
          <w:tab w:val="left" w:pos="9270"/>
        </w:tabs>
        <w:rPr>
          <w:rFonts w:ascii="Arial" w:hAnsi="Arial" w:cs="Arial"/>
          <w:b/>
          <w:u w:val="single"/>
          <w:lang w:val="en-US"/>
        </w:rPr>
      </w:pPr>
    </w:p>
    <w:p w:rsidR="003709B4" w:rsidRPr="00E57F4F" w:rsidRDefault="003709B4" w:rsidP="003709B4">
      <w:pPr>
        <w:jc w:val="both"/>
        <w:rPr>
          <w:rFonts w:ascii="Arial" w:hAnsi="Arial" w:cs="Arial"/>
          <w:b/>
          <w:sz w:val="20"/>
          <w:szCs w:val="20"/>
          <w:lang w:val="en-US"/>
        </w:rPr>
      </w:pPr>
      <w:r w:rsidRPr="00E57F4F">
        <w:rPr>
          <w:rFonts w:ascii="Arial" w:hAnsi="Arial" w:cs="Arial"/>
          <w:b/>
          <w:sz w:val="20"/>
          <w:szCs w:val="20"/>
          <w:lang w:val="en-US"/>
        </w:rPr>
        <w:t>Table 2</w:t>
      </w:r>
    </w:p>
    <w:p w:rsidR="00E57F4F" w:rsidRPr="00E57F4F" w:rsidRDefault="003709B4" w:rsidP="00E57F4F">
      <w:pPr>
        <w:jc w:val="both"/>
        <w:rPr>
          <w:rFonts w:ascii="Arial" w:hAnsi="Arial" w:cs="Arial"/>
          <w:b/>
          <w:sz w:val="20"/>
          <w:szCs w:val="20"/>
          <w:lang w:val="en-US"/>
        </w:rPr>
      </w:pPr>
      <w:r w:rsidRPr="00E57F4F">
        <w:rPr>
          <w:rFonts w:ascii="Arial" w:hAnsi="Arial" w:cs="Arial"/>
          <w:b/>
          <w:sz w:val="20"/>
          <w:szCs w:val="20"/>
          <w:lang w:val="en-US"/>
        </w:rPr>
        <w:t>Data for Year= 20</w:t>
      </w:r>
      <w:r w:rsidR="00E57F4F" w:rsidRPr="00E57F4F">
        <w:rPr>
          <w:rFonts w:ascii="Arial" w:hAnsi="Arial" w:cs="Arial"/>
          <w:b/>
          <w:sz w:val="20"/>
          <w:szCs w:val="20"/>
          <w:lang w:val="en-US"/>
        </w:rPr>
        <w:t>12</w:t>
      </w:r>
    </w:p>
    <w:p w:rsidR="003A596A" w:rsidRPr="00E57F4F" w:rsidRDefault="003A596A" w:rsidP="003A596A">
      <w:pPr>
        <w:tabs>
          <w:tab w:val="left" w:pos="9270"/>
        </w:tabs>
        <w:rPr>
          <w:rFonts w:ascii="Arial Narrow" w:hAnsi="Arial Narrow" w:cs="Arial"/>
          <w:sz w:val="20"/>
          <w:szCs w:val="20"/>
          <w:lang w:val="en-US"/>
        </w:rPr>
      </w:pPr>
    </w:p>
    <w:tbl>
      <w:tblPr>
        <w:tblW w:w="10560" w:type="dxa"/>
        <w:tblInd w:w="1230" w:type="dxa"/>
        <w:tblCellMar>
          <w:left w:w="70" w:type="dxa"/>
          <w:right w:w="70" w:type="dxa"/>
        </w:tblCellMar>
        <w:tblLook w:val="04A0" w:firstRow="1" w:lastRow="0" w:firstColumn="1" w:lastColumn="0" w:noHBand="0" w:noVBand="1"/>
      </w:tblPr>
      <w:tblGrid>
        <w:gridCol w:w="3360"/>
        <w:gridCol w:w="1200"/>
        <w:gridCol w:w="1200"/>
        <w:gridCol w:w="1200"/>
        <w:gridCol w:w="1200"/>
        <w:gridCol w:w="1200"/>
        <w:gridCol w:w="1200"/>
      </w:tblGrid>
      <w:tr w:rsidR="003709B4" w:rsidRPr="003709B4" w:rsidTr="009625DB">
        <w:trPr>
          <w:trHeight w:val="525"/>
        </w:trPr>
        <w:tc>
          <w:tcPr>
            <w:tcW w:w="3360" w:type="dxa"/>
            <w:tcBorders>
              <w:top w:val="single" w:sz="8" w:space="0" w:color="auto"/>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Economic head</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jc w:val="center"/>
              <w:rPr>
                <w:rFonts w:ascii="Arial" w:hAnsi="Arial" w:cs="Arial"/>
                <w:b/>
                <w:bCs/>
                <w:color w:val="000000"/>
                <w:sz w:val="20"/>
                <w:szCs w:val="20"/>
                <w:lang w:val="es-ES" w:eastAsia="es-ES"/>
              </w:rPr>
            </w:pPr>
            <w:r w:rsidRPr="003709B4">
              <w:rPr>
                <w:rFonts w:ascii="Arial" w:hAnsi="Arial" w:cs="Arial"/>
                <w:b/>
                <w:bCs/>
                <w:color w:val="000000"/>
                <w:sz w:val="20"/>
                <w:szCs w:val="20"/>
                <w:lang w:eastAsia="fr-FR"/>
              </w:rPr>
              <w:t>Budget</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jc w:val="center"/>
              <w:rPr>
                <w:rFonts w:ascii="Arial" w:hAnsi="Arial" w:cs="Arial"/>
                <w:b/>
                <w:bCs/>
                <w:color w:val="000000"/>
                <w:sz w:val="20"/>
                <w:szCs w:val="20"/>
                <w:lang w:val="es-ES" w:eastAsia="es-ES"/>
              </w:rPr>
            </w:pPr>
            <w:r w:rsidRPr="003709B4">
              <w:rPr>
                <w:rFonts w:ascii="Arial" w:hAnsi="Arial" w:cs="Arial"/>
                <w:b/>
                <w:bCs/>
                <w:color w:val="000000"/>
                <w:sz w:val="20"/>
                <w:szCs w:val="20"/>
                <w:lang w:eastAsia="fr-FR"/>
              </w:rPr>
              <w:t>Actual</w:t>
            </w:r>
          </w:p>
        </w:tc>
        <w:tc>
          <w:tcPr>
            <w:tcW w:w="1200" w:type="dxa"/>
            <w:tcBorders>
              <w:top w:val="single" w:sz="8" w:space="0" w:color="auto"/>
              <w:left w:val="nil"/>
              <w:bottom w:val="nil"/>
              <w:right w:val="nil"/>
            </w:tcBorders>
            <w:shd w:val="clear" w:color="auto" w:fill="auto"/>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eastAsia="fr-FR"/>
              </w:rPr>
              <w:t>Adjusted budget</w:t>
            </w:r>
          </w:p>
        </w:tc>
        <w:tc>
          <w:tcPr>
            <w:tcW w:w="1200" w:type="dxa"/>
            <w:tcBorders>
              <w:top w:val="single" w:sz="8" w:space="0" w:color="auto"/>
              <w:left w:val="nil"/>
              <w:bottom w:val="nil"/>
              <w:right w:val="nil"/>
            </w:tcBorders>
            <w:shd w:val="clear" w:color="auto" w:fill="auto"/>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eastAsia="fr-FR"/>
              </w:rPr>
              <w:t>Deviation</w:t>
            </w:r>
          </w:p>
        </w:tc>
        <w:tc>
          <w:tcPr>
            <w:tcW w:w="1200" w:type="dxa"/>
            <w:tcBorders>
              <w:top w:val="single" w:sz="8" w:space="0" w:color="auto"/>
              <w:left w:val="nil"/>
              <w:bottom w:val="nil"/>
              <w:right w:val="nil"/>
            </w:tcBorders>
            <w:shd w:val="clear" w:color="auto" w:fill="auto"/>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eastAsia="fr-FR"/>
              </w:rPr>
              <w:t>Absolute deviation</w:t>
            </w:r>
          </w:p>
        </w:tc>
        <w:tc>
          <w:tcPr>
            <w:tcW w:w="1200" w:type="dxa"/>
            <w:tcBorders>
              <w:top w:val="single" w:sz="8" w:space="0" w:color="auto"/>
              <w:left w:val="nil"/>
              <w:bottom w:val="nil"/>
              <w:right w:val="single" w:sz="8" w:space="0" w:color="auto"/>
            </w:tcBorders>
            <w:shd w:val="clear" w:color="auto" w:fill="auto"/>
            <w:noWrap/>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eastAsia="fr-FR"/>
              </w:rPr>
              <w:t>Percent</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Dépenses de personnel</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1255,07</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1251,17</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1 212,5</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38,7</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38,7</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3,20%</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Intérêts</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65,35</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65,35</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63,1</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2,2</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2,2</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3,50%</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Autres dépenses de fonctionnement</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1323,15</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1174,62</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1 278,2</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-103,6</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103,6</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8,10%</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Dépenses d'équipement</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1380,16</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1396,01</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1 333,3</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62,7</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62,7</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4,70%</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Subsidies</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val="es-ES" w:eastAsia="es-ES"/>
              </w:rPr>
              <w:t> </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Grants</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val="es-ES" w:eastAsia="es-ES"/>
              </w:rPr>
              <w:t> </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Social benefits</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val="es-ES" w:eastAsia="es-ES"/>
              </w:rPr>
              <w:t> </w:t>
            </w:r>
          </w:p>
        </w:tc>
      </w:tr>
      <w:tr w:rsidR="003709B4" w:rsidRPr="003709B4" w:rsidTr="009625DB">
        <w:trPr>
          <w:trHeight w:val="315"/>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Other expenses</w:t>
            </w:r>
          </w:p>
        </w:tc>
        <w:tc>
          <w:tcPr>
            <w:tcW w:w="1200" w:type="dxa"/>
            <w:tcBorders>
              <w:top w:val="nil"/>
              <w:left w:val="nil"/>
              <w:bottom w:val="nil"/>
              <w:right w:val="nil"/>
            </w:tcBorders>
            <w:shd w:val="clear" w:color="000000" w:fill="FFFFFF"/>
            <w:noWrap/>
            <w:vAlign w:val="bottom"/>
            <w:hideMark/>
          </w:tcPr>
          <w:p w:rsidR="003709B4" w:rsidRPr="003709B4" w:rsidRDefault="003709B4" w:rsidP="00E57F4F">
            <w:pPr>
              <w:jc w:val="center"/>
              <w:rPr>
                <w:rFonts w:ascii="Arial" w:hAnsi="Arial" w:cs="Arial"/>
                <w:color w:val="000000"/>
                <w:sz w:val="20"/>
                <w:szCs w:val="20"/>
                <w:lang w:val="es-ES" w:eastAsia="es-ES"/>
              </w:rPr>
            </w:pPr>
          </w:p>
        </w:tc>
        <w:tc>
          <w:tcPr>
            <w:tcW w:w="1200" w:type="dxa"/>
            <w:tcBorders>
              <w:top w:val="nil"/>
              <w:left w:val="nil"/>
              <w:bottom w:val="nil"/>
              <w:right w:val="nil"/>
            </w:tcBorders>
            <w:shd w:val="clear" w:color="000000" w:fill="FFFFFF"/>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center"/>
              <w:rPr>
                <w:rFonts w:ascii="Arial" w:hAnsi="Arial" w:cs="Arial"/>
                <w:color w:val="000000"/>
                <w:sz w:val="20"/>
                <w:szCs w:val="20"/>
                <w:lang w:val="es-ES" w:eastAsia="es-ES"/>
              </w:rPr>
            </w:pPr>
            <w:r w:rsidRPr="003709B4">
              <w:rPr>
                <w:rFonts w:ascii="Arial" w:hAnsi="Arial" w:cs="Arial"/>
                <w:color w:val="000000"/>
                <w:sz w:val="20"/>
                <w:szCs w:val="20"/>
                <w:lang w:val="es-ES" w:eastAsia="es-ES"/>
              </w:rPr>
              <w:t> </w:t>
            </w:r>
          </w:p>
        </w:tc>
      </w:tr>
      <w:tr w:rsidR="003709B4" w:rsidRPr="003709B4" w:rsidTr="009625DB">
        <w:trPr>
          <w:trHeight w:val="315"/>
        </w:trPr>
        <w:tc>
          <w:tcPr>
            <w:tcW w:w="3360" w:type="dxa"/>
            <w:tcBorders>
              <w:top w:val="single" w:sz="8" w:space="0" w:color="auto"/>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b/>
                <w:bCs/>
                <w:color w:val="000000"/>
                <w:sz w:val="20"/>
                <w:szCs w:val="20"/>
                <w:lang w:val="es-ES" w:eastAsia="es-ES"/>
              </w:rPr>
            </w:pPr>
            <w:r w:rsidRPr="003709B4">
              <w:rPr>
                <w:rFonts w:ascii="Arial" w:hAnsi="Arial" w:cs="Arial"/>
                <w:b/>
                <w:bCs/>
                <w:color w:val="000000"/>
                <w:sz w:val="20"/>
                <w:szCs w:val="20"/>
                <w:lang w:eastAsia="fr-FR"/>
              </w:rPr>
              <w:t>Total expenditure</w:t>
            </w:r>
          </w:p>
        </w:tc>
        <w:tc>
          <w:tcPr>
            <w:tcW w:w="1200" w:type="dxa"/>
            <w:tcBorders>
              <w:top w:val="single" w:sz="8" w:space="0" w:color="auto"/>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4023,73</w:t>
            </w:r>
          </w:p>
        </w:tc>
        <w:tc>
          <w:tcPr>
            <w:tcW w:w="1200" w:type="dxa"/>
            <w:tcBorders>
              <w:top w:val="single" w:sz="8" w:space="0" w:color="auto"/>
              <w:left w:val="nil"/>
              <w:bottom w:val="nil"/>
              <w:right w:val="nil"/>
            </w:tcBorders>
            <w:shd w:val="clear" w:color="000000" w:fill="FFFFFF"/>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3887,15</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3 887,2</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0</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207,2</w:t>
            </w:r>
          </w:p>
        </w:tc>
        <w:tc>
          <w:tcPr>
            <w:tcW w:w="1200" w:type="dxa"/>
            <w:tcBorders>
              <w:top w:val="single" w:sz="8" w:space="0" w:color="auto"/>
              <w:left w:val="nil"/>
              <w:bottom w:val="nil"/>
              <w:right w:val="single" w:sz="8" w:space="0" w:color="auto"/>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r>
      <w:tr w:rsidR="003709B4" w:rsidRPr="003709B4" w:rsidTr="009625DB">
        <w:trPr>
          <w:trHeight w:val="300"/>
        </w:trPr>
        <w:tc>
          <w:tcPr>
            <w:tcW w:w="3360" w:type="dxa"/>
            <w:tcBorders>
              <w:top w:val="nil"/>
              <w:left w:val="single" w:sz="8" w:space="0" w:color="auto"/>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Overall variance</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b/>
                <w:bCs/>
                <w:color w:val="000000"/>
                <w:sz w:val="20"/>
                <w:szCs w:val="20"/>
                <w:lang w:val="es-ES" w:eastAsia="es-ES"/>
              </w:rPr>
            </w:pPr>
            <w:r w:rsidRPr="003709B4">
              <w:rPr>
                <w:rFonts w:ascii="Arial" w:hAnsi="Arial" w:cs="Arial"/>
                <w:b/>
                <w:bCs/>
                <w:color w:val="000000"/>
                <w:sz w:val="20"/>
                <w:szCs w:val="20"/>
                <w:lang w:eastAsia="fr-FR"/>
              </w:rPr>
              <w:t> </w:t>
            </w:r>
          </w:p>
        </w:tc>
        <w:tc>
          <w:tcPr>
            <w:tcW w:w="1200" w:type="dxa"/>
            <w:tcBorders>
              <w:top w:val="single" w:sz="8" w:space="0" w:color="auto"/>
              <w:left w:val="nil"/>
              <w:bottom w:val="nil"/>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0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00" w:type="dxa"/>
            <w:tcBorders>
              <w:top w:val="nil"/>
              <w:left w:val="nil"/>
              <w:bottom w:val="nil"/>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p>
        </w:tc>
        <w:tc>
          <w:tcPr>
            <w:tcW w:w="1200" w:type="dxa"/>
            <w:tcBorders>
              <w:top w:val="nil"/>
              <w:left w:val="nil"/>
              <w:bottom w:val="nil"/>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96,60%</w:t>
            </w:r>
          </w:p>
        </w:tc>
      </w:tr>
      <w:tr w:rsidR="003709B4" w:rsidRPr="003709B4" w:rsidTr="009625DB">
        <w:trPr>
          <w:trHeight w:val="315"/>
        </w:trPr>
        <w:tc>
          <w:tcPr>
            <w:tcW w:w="3360" w:type="dxa"/>
            <w:tcBorders>
              <w:top w:val="nil"/>
              <w:left w:val="single" w:sz="8" w:space="0" w:color="auto"/>
              <w:bottom w:val="single" w:sz="8" w:space="0" w:color="auto"/>
              <w:right w:val="nil"/>
            </w:tcBorders>
            <w:shd w:val="clear" w:color="auto" w:fill="auto"/>
            <w:noWrap/>
            <w:vAlign w:val="bottom"/>
            <w:hideMark/>
          </w:tcPr>
          <w:p w:rsidR="003709B4" w:rsidRPr="003709B4" w:rsidRDefault="003709B4" w:rsidP="003709B4">
            <w:pPr>
              <w:rPr>
                <w:rFonts w:ascii="Arial" w:hAnsi="Arial" w:cs="Arial"/>
                <w:color w:val="000000"/>
                <w:sz w:val="20"/>
                <w:szCs w:val="20"/>
                <w:lang w:val="es-ES" w:eastAsia="es-ES"/>
              </w:rPr>
            </w:pPr>
            <w:r w:rsidRPr="003709B4">
              <w:rPr>
                <w:rFonts w:ascii="Arial" w:hAnsi="Arial" w:cs="Arial"/>
                <w:color w:val="000000"/>
                <w:sz w:val="20"/>
                <w:szCs w:val="20"/>
                <w:lang w:eastAsia="fr-FR"/>
              </w:rPr>
              <w:t>Composition variance</w:t>
            </w:r>
          </w:p>
        </w:tc>
        <w:tc>
          <w:tcPr>
            <w:tcW w:w="120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0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0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0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00" w:type="dxa"/>
            <w:tcBorders>
              <w:top w:val="nil"/>
              <w:left w:val="nil"/>
              <w:bottom w:val="single" w:sz="8" w:space="0" w:color="auto"/>
              <w:right w:val="nil"/>
            </w:tcBorders>
            <w:shd w:val="clear" w:color="auto" w:fill="auto"/>
            <w:noWrap/>
            <w:vAlign w:val="bottom"/>
            <w:hideMark/>
          </w:tcPr>
          <w:p w:rsidR="003709B4" w:rsidRPr="003709B4" w:rsidRDefault="003709B4" w:rsidP="003709B4">
            <w:pPr>
              <w:rPr>
                <w:rFonts w:ascii="Calibri" w:hAnsi="Calibri"/>
                <w:color w:val="000000"/>
                <w:sz w:val="20"/>
                <w:szCs w:val="20"/>
                <w:lang w:val="es-ES" w:eastAsia="es-ES"/>
              </w:rPr>
            </w:pPr>
            <w:r w:rsidRPr="003709B4">
              <w:rPr>
                <w:rFonts w:ascii="Calibri" w:hAnsi="Calibri"/>
                <w:color w:val="000000"/>
                <w:sz w:val="20"/>
                <w:szCs w:val="20"/>
                <w:lang w:val="es-ES"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09B4" w:rsidRPr="003709B4" w:rsidRDefault="003709B4" w:rsidP="003709B4">
            <w:pPr>
              <w:jc w:val="right"/>
              <w:rPr>
                <w:rFonts w:ascii="Arial" w:hAnsi="Arial" w:cs="Arial"/>
                <w:color w:val="000000"/>
                <w:sz w:val="20"/>
                <w:szCs w:val="20"/>
                <w:lang w:val="es-ES" w:eastAsia="es-ES"/>
              </w:rPr>
            </w:pPr>
            <w:r w:rsidRPr="003709B4">
              <w:rPr>
                <w:rFonts w:ascii="Arial" w:hAnsi="Arial" w:cs="Arial"/>
                <w:color w:val="000000"/>
                <w:sz w:val="20"/>
                <w:szCs w:val="20"/>
                <w:lang w:eastAsia="fr-FR"/>
              </w:rPr>
              <w:t>5,30%</w:t>
            </w:r>
          </w:p>
        </w:tc>
      </w:tr>
    </w:tbl>
    <w:p w:rsidR="003A596A" w:rsidRPr="00A17E25" w:rsidRDefault="003A596A" w:rsidP="003A596A">
      <w:pPr>
        <w:tabs>
          <w:tab w:val="left" w:pos="9270"/>
        </w:tabs>
        <w:rPr>
          <w:rFonts w:ascii="Arial Narrow" w:hAnsi="Arial Narrow" w:cs="Arial"/>
          <w:sz w:val="20"/>
          <w:szCs w:val="20"/>
        </w:rPr>
      </w:pPr>
    </w:p>
    <w:p w:rsidR="003A596A" w:rsidRPr="00A17E25" w:rsidRDefault="003A596A" w:rsidP="003A596A">
      <w:pPr>
        <w:tabs>
          <w:tab w:val="left" w:pos="9270"/>
        </w:tabs>
        <w:rPr>
          <w:rFonts w:ascii="Arial Narrow" w:hAnsi="Arial Narrow" w:cs="Arial"/>
          <w:sz w:val="20"/>
          <w:szCs w:val="20"/>
        </w:rPr>
      </w:pPr>
    </w:p>
    <w:p w:rsidR="009625DB" w:rsidRDefault="009625DB"/>
    <w:p w:rsidR="00547B8C" w:rsidRDefault="00547B8C">
      <w:r>
        <w:br w:type="page"/>
      </w:r>
    </w:p>
    <w:tbl>
      <w:tblPr>
        <w:tblpPr w:leftFromText="141" w:rightFromText="141" w:horzAnchor="margin" w:tblpY="-223"/>
        <w:tblW w:w="15992" w:type="dxa"/>
        <w:tblCellMar>
          <w:left w:w="70" w:type="dxa"/>
          <w:right w:w="70" w:type="dxa"/>
        </w:tblCellMar>
        <w:tblLook w:val="04A0" w:firstRow="1" w:lastRow="0" w:firstColumn="1" w:lastColumn="0" w:noHBand="0" w:noVBand="1"/>
      </w:tblPr>
      <w:tblGrid>
        <w:gridCol w:w="13253"/>
        <w:gridCol w:w="419"/>
        <w:gridCol w:w="417"/>
        <w:gridCol w:w="417"/>
        <w:gridCol w:w="417"/>
        <w:gridCol w:w="620"/>
        <w:gridCol w:w="449"/>
      </w:tblGrid>
      <w:tr w:rsidR="003A596A" w:rsidRPr="00A17E25" w:rsidTr="00547B8C">
        <w:trPr>
          <w:trHeight w:val="240"/>
        </w:trPr>
        <w:tc>
          <w:tcPr>
            <w:tcW w:w="13253" w:type="dxa"/>
            <w:tcBorders>
              <w:top w:val="nil"/>
              <w:left w:val="nil"/>
              <w:bottom w:val="nil"/>
              <w:right w:val="nil"/>
            </w:tcBorders>
            <w:shd w:val="clear" w:color="auto" w:fill="auto"/>
            <w:noWrap/>
            <w:vAlign w:val="bottom"/>
            <w:hideMark/>
          </w:tcPr>
          <w:p w:rsidR="00E57F4F" w:rsidRPr="0034021B" w:rsidRDefault="00E57F4F" w:rsidP="009625DB">
            <w:pPr>
              <w:jc w:val="both"/>
              <w:rPr>
                <w:rFonts w:ascii="Arial" w:hAnsi="Arial" w:cs="Arial"/>
                <w:b/>
                <w:sz w:val="20"/>
                <w:szCs w:val="20"/>
              </w:rPr>
            </w:pPr>
            <w:r w:rsidRPr="0034021B">
              <w:rPr>
                <w:rFonts w:ascii="Arial" w:hAnsi="Arial" w:cs="Arial"/>
                <w:b/>
                <w:sz w:val="20"/>
                <w:szCs w:val="20"/>
              </w:rPr>
              <w:t>Table 3</w:t>
            </w:r>
          </w:p>
          <w:p w:rsidR="00E57F4F" w:rsidRPr="0034021B" w:rsidRDefault="00E57F4F" w:rsidP="009625DB">
            <w:pPr>
              <w:jc w:val="both"/>
              <w:rPr>
                <w:rFonts w:ascii="Arial" w:hAnsi="Arial" w:cs="Arial"/>
                <w:b/>
                <w:sz w:val="20"/>
                <w:szCs w:val="20"/>
              </w:rPr>
            </w:pPr>
            <w:r w:rsidRPr="0034021B">
              <w:rPr>
                <w:rFonts w:ascii="Arial" w:hAnsi="Arial" w:cs="Arial"/>
                <w:b/>
                <w:sz w:val="20"/>
                <w:szCs w:val="20"/>
              </w:rPr>
              <w:t>Data for Year= 2013</w:t>
            </w:r>
          </w:p>
          <w:p w:rsidR="00E57F4F" w:rsidRPr="0034021B" w:rsidRDefault="00E57F4F" w:rsidP="009625DB">
            <w:pPr>
              <w:jc w:val="both"/>
              <w:rPr>
                <w:rFonts w:ascii="Arial" w:hAnsi="Arial" w:cs="Arial"/>
                <w:b/>
                <w:sz w:val="20"/>
                <w:szCs w:val="20"/>
              </w:rPr>
            </w:pPr>
          </w:p>
          <w:p w:rsidR="00E57F4F" w:rsidRPr="0034021B" w:rsidRDefault="00E57F4F" w:rsidP="009625DB">
            <w:pPr>
              <w:jc w:val="both"/>
              <w:rPr>
                <w:rFonts w:ascii="Arial" w:hAnsi="Arial" w:cs="Arial"/>
                <w:b/>
                <w:sz w:val="20"/>
                <w:szCs w:val="20"/>
              </w:rPr>
            </w:pPr>
          </w:p>
          <w:tbl>
            <w:tblPr>
              <w:tblW w:w="9451" w:type="dxa"/>
              <w:tblInd w:w="1824" w:type="dxa"/>
              <w:tblCellMar>
                <w:left w:w="70" w:type="dxa"/>
                <w:right w:w="70" w:type="dxa"/>
              </w:tblCellMar>
              <w:tblLook w:val="04A0" w:firstRow="1" w:lastRow="0" w:firstColumn="1" w:lastColumn="0" w:noHBand="0" w:noVBand="1"/>
            </w:tblPr>
            <w:tblGrid>
              <w:gridCol w:w="3025"/>
              <w:gridCol w:w="1071"/>
              <w:gridCol w:w="1071"/>
              <w:gridCol w:w="1071"/>
              <w:gridCol w:w="1071"/>
              <w:gridCol w:w="1071"/>
              <w:gridCol w:w="1071"/>
            </w:tblGrid>
            <w:tr w:rsidR="00E57F4F" w:rsidRPr="00E57F4F" w:rsidTr="00547B8C">
              <w:trPr>
                <w:trHeight w:val="576"/>
              </w:trPr>
              <w:tc>
                <w:tcPr>
                  <w:tcW w:w="3025" w:type="dxa"/>
                  <w:tcBorders>
                    <w:top w:val="single" w:sz="8" w:space="0" w:color="auto"/>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Economic head</w:t>
                  </w:r>
                </w:p>
              </w:tc>
              <w:tc>
                <w:tcPr>
                  <w:tcW w:w="1071" w:type="dxa"/>
                  <w:tcBorders>
                    <w:top w:val="single" w:sz="8" w:space="0" w:color="auto"/>
                    <w:left w:val="nil"/>
                    <w:bottom w:val="nil"/>
                    <w:right w:val="nil"/>
                  </w:tcBorders>
                  <w:shd w:val="clear" w:color="000000" w:fill="FFFFFF"/>
                  <w:noWrap/>
                  <w:vAlign w:val="bottom"/>
                  <w:hideMark/>
                </w:tcPr>
                <w:p w:rsidR="00E57F4F" w:rsidRPr="00E57F4F" w:rsidRDefault="00E57F4F" w:rsidP="0026344C">
                  <w:pPr>
                    <w:framePr w:hSpace="141" w:wrap="around" w:hAnchor="margin" w:y="-223"/>
                    <w:jc w:val="center"/>
                    <w:rPr>
                      <w:rFonts w:ascii="Arial" w:hAnsi="Arial" w:cs="Arial"/>
                      <w:b/>
                      <w:bCs/>
                      <w:color w:val="000000"/>
                      <w:sz w:val="20"/>
                      <w:szCs w:val="20"/>
                      <w:lang w:eastAsia="es-ES"/>
                    </w:rPr>
                  </w:pPr>
                  <w:r w:rsidRPr="00E57F4F">
                    <w:rPr>
                      <w:rFonts w:ascii="Arial" w:hAnsi="Arial" w:cs="Arial"/>
                      <w:b/>
                      <w:bCs/>
                      <w:color w:val="000000"/>
                      <w:sz w:val="20"/>
                      <w:szCs w:val="20"/>
                      <w:lang w:eastAsia="fr-FR"/>
                    </w:rPr>
                    <w:t>Budget</w:t>
                  </w:r>
                </w:p>
              </w:tc>
              <w:tc>
                <w:tcPr>
                  <w:tcW w:w="1071" w:type="dxa"/>
                  <w:tcBorders>
                    <w:top w:val="single" w:sz="8" w:space="0" w:color="auto"/>
                    <w:left w:val="nil"/>
                    <w:bottom w:val="nil"/>
                    <w:right w:val="nil"/>
                  </w:tcBorders>
                  <w:shd w:val="clear" w:color="000000" w:fill="FFFFFF"/>
                  <w:noWrap/>
                  <w:vAlign w:val="bottom"/>
                  <w:hideMark/>
                </w:tcPr>
                <w:p w:rsidR="00E57F4F" w:rsidRPr="00E57F4F" w:rsidRDefault="00E57F4F" w:rsidP="0026344C">
                  <w:pPr>
                    <w:framePr w:hSpace="141" w:wrap="around" w:hAnchor="margin" w:y="-223"/>
                    <w:jc w:val="center"/>
                    <w:rPr>
                      <w:rFonts w:ascii="Arial" w:hAnsi="Arial" w:cs="Arial"/>
                      <w:b/>
                      <w:bCs/>
                      <w:color w:val="000000"/>
                      <w:sz w:val="20"/>
                      <w:szCs w:val="20"/>
                      <w:lang w:eastAsia="es-ES"/>
                    </w:rPr>
                  </w:pPr>
                  <w:r w:rsidRPr="00E57F4F">
                    <w:rPr>
                      <w:rFonts w:ascii="Arial" w:hAnsi="Arial" w:cs="Arial"/>
                      <w:b/>
                      <w:bCs/>
                      <w:color w:val="000000"/>
                      <w:sz w:val="20"/>
                      <w:szCs w:val="20"/>
                      <w:lang w:eastAsia="fr-FR"/>
                    </w:rPr>
                    <w:t>Actual</w:t>
                  </w:r>
                </w:p>
              </w:tc>
              <w:tc>
                <w:tcPr>
                  <w:tcW w:w="1071"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Adjusted budget</w:t>
                  </w:r>
                </w:p>
              </w:tc>
              <w:tc>
                <w:tcPr>
                  <w:tcW w:w="1071"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Deviation</w:t>
                  </w:r>
                </w:p>
              </w:tc>
              <w:tc>
                <w:tcPr>
                  <w:tcW w:w="1071"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Absolute deviation</w:t>
                  </w:r>
                </w:p>
              </w:tc>
              <w:tc>
                <w:tcPr>
                  <w:tcW w:w="1071" w:type="dxa"/>
                  <w:tcBorders>
                    <w:top w:val="single" w:sz="8" w:space="0" w:color="auto"/>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Percent</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Dépenses de personnel</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1317,43</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1292,05</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1 112,3</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179,7</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179,7</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16,20%</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Intérêts</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93,62</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93,21</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79</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14,2</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14,2</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17,90%</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Autres dépenses de fonctionnement</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1462,9</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1377,43</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1 235,1</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142,3</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142,3</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11,50%</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Dépenses d'équipement</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1380,16</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829,07</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1 165,3</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-336,2</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336,2</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28,90%</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Subsidies</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Grants</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Social benefits</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45"/>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Other expenses</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45"/>
              </w:trPr>
              <w:tc>
                <w:tcPr>
                  <w:tcW w:w="3025" w:type="dxa"/>
                  <w:tcBorders>
                    <w:top w:val="single" w:sz="8" w:space="0" w:color="auto"/>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b/>
                      <w:bCs/>
                      <w:color w:val="000000"/>
                      <w:sz w:val="20"/>
                      <w:szCs w:val="20"/>
                      <w:lang w:eastAsia="es-ES"/>
                    </w:rPr>
                  </w:pPr>
                  <w:r w:rsidRPr="00E57F4F">
                    <w:rPr>
                      <w:rFonts w:ascii="Arial" w:hAnsi="Arial" w:cs="Arial"/>
                      <w:b/>
                      <w:bCs/>
                      <w:color w:val="000000"/>
                      <w:sz w:val="20"/>
                      <w:szCs w:val="20"/>
                      <w:lang w:eastAsia="fr-FR"/>
                    </w:rPr>
                    <w:t>Total expenditure</w:t>
                  </w:r>
                </w:p>
              </w:tc>
              <w:tc>
                <w:tcPr>
                  <w:tcW w:w="1071" w:type="dxa"/>
                  <w:tcBorders>
                    <w:top w:val="single" w:sz="8" w:space="0" w:color="auto"/>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4254,11</w:t>
                  </w:r>
                </w:p>
              </w:tc>
              <w:tc>
                <w:tcPr>
                  <w:tcW w:w="1071" w:type="dxa"/>
                  <w:tcBorders>
                    <w:top w:val="single" w:sz="8" w:space="0" w:color="auto"/>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3591,76</w:t>
                  </w:r>
                </w:p>
              </w:tc>
              <w:tc>
                <w:tcPr>
                  <w:tcW w:w="1071"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3 591,8</w:t>
                  </w:r>
                </w:p>
              </w:tc>
              <w:tc>
                <w:tcPr>
                  <w:tcW w:w="1071"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71"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672,4</w:t>
                  </w:r>
                </w:p>
              </w:tc>
              <w:tc>
                <w:tcPr>
                  <w:tcW w:w="1071" w:type="dxa"/>
                  <w:tcBorders>
                    <w:top w:val="single" w:sz="8" w:space="0" w:color="auto"/>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r>
            <w:tr w:rsidR="00E57F4F" w:rsidRPr="00E57F4F" w:rsidTr="00547B8C">
              <w:trPr>
                <w:trHeight w:val="329"/>
              </w:trPr>
              <w:tc>
                <w:tcPr>
                  <w:tcW w:w="3025"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Overall variance</w:t>
                  </w:r>
                </w:p>
              </w:tc>
              <w:tc>
                <w:tcPr>
                  <w:tcW w:w="1071"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b/>
                      <w:bCs/>
                      <w:color w:val="000000"/>
                      <w:sz w:val="20"/>
                      <w:szCs w:val="20"/>
                      <w:lang w:eastAsia="es-ES"/>
                    </w:rPr>
                  </w:pPr>
                  <w:r w:rsidRPr="00E57F4F">
                    <w:rPr>
                      <w:rFonts w:ascii="Arial" w:hAnsi="Arial" w:cs="Arial"/>
                      <w:b/>
                      <w:bCs/>
                      <w:color w:val="000000"/>
                      <w:sz w:val="20"/>
                      <w:szCs w:val="20"/>
                      <w:lang w:eastAsia="fr-FR"/>
                    </w:rPr>
                    <w:t> </w:t>
                  </w:r>
                </w:p>
              </w:tc>
              <w:tc>
                <w:tcPr>
                  <w:tcW w:w="1071"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71"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71"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84,40%</w:t>
                  </w:r>
                </w:p>
              </w:tc>
            </w:tr>
            <w:tr w:rsidR="00E57F4F" w:rsidRPr="00E57F4F" w:rsidTr="00547B8C">
              <w:trPr>
                <w:trHeight w:val="345"/>
              </w:trPr>
              <w:tc>
                <w:tcPr>
                  <w:tcW w:w="3025" w:type="dxa"/>
                  <w:tcBorders>
                    <w:top w:val="nil"/>
                    <w:left w:val="single" w:sz="8" w:space="0" w:color="auto"/>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Composition variance</w:t>
                  </w:r>
                </w:p>
              </w:tc>
              <w:tc>
                <w:tcPr>
                  <w:tcW w:w="1071"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71"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71"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71"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71"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71" w:type="dxa"/>
                  <w:tcBorders>
                    <w:top w:val="nil"/>
                    <w:left w:val="nil"/>
                    <w:bottom w:val="single" w:sz="8" w:space="0" w:color="auto"/>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18,70%</w:t>
                  </w:r>
                </w:p>
              </w:tc>
            </w:tr>
          </w:tbl>
          <w:p w:rsidR="00E57F4F" w:rsidRPr="00E57F4F" w:rsidRDefault="00E57F4F" w:rsidP="009625DB">
            <w:pPr>
              <w:jc w:val="both"/>
              <w:rPr>
                <w:rFonts w:ascii="Arial" w:hAnsi="Arial" w:cs="Arial"/>
                <w:b/>
                <w:sz w:val="20"/>
                <w:szCs w:val="20"/>
              </w:rPr>
            </w:pPr>
          </w:p>
          <w:p w:rsidR="003709B4" w:rsidRDefault="003709B4" w:rsidP="009625DB">
            <w:pPr>
              <w:rPr>
                <w:rFonts w:ascii="Arial" w:hAnsi="Arial" w:cs="Arial"/>
                <w:sz w:val="20"/>
                <w:szCs w:val="20"/>
                <w:lang w:eastAsia="fr-FR"/>
              </w:rPr>
            </w:pPr>
          </w:p>
          <w:p w:rsidR="003709B4" w:rsidRDefault="003709B4" w:rsidP="009625DB">
            <w:pPr>
              <w:rPr>
                <w:rFonts w:ascii="Arial" w:hAnsi="Arial" w:cs="Arial"/>
                <w:sz w:val="20"/>
                <w:szCs w:val="20"/>
                <w:lang w:eastAsia="fr-FR"/>
              </w:rPr>
            </w:pPr>
          </w:p>
          <w:p w:rsidR="003709B4" w:rsidRDefault="003709B4" w:rsidP="009625DB">
            <w:pPr>
              <w:rPr>
                <w:rFonts w:ascii="Arial" w:hAnsi="Arial" w:cs="Arial"/>
                <w:sz w:val="20"/>
                <w:szCs w:val="20"/>
                <w:lang w:eastAsia="fr-FR"/>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E57F4F" w:rsidRDefault="00E57F4F" w:rsidP="009625DB">
            <w:pPr>
              <w:jc w:val="both"/>
              <w:rPr>
                <w:rFonts w:ascii="Arial" w:hAnsi="Arial" w:cs="Arial"/>
                <w:b/>
                <w:sz w:val="20"/>
                <w:szCs w:val="20"/>
              </w:rPr>
            </w:pPr>
          </w:p>
          <w:p w:rsidR="00547B8C" w:rsidRDefault="00547B8C" w:rsidP="009625DB">
            <w:pPr>
              <w:jc w:val="both"/>
              <w:rPr>
                <w:rFonts w:ascii="Arial" w:hAnsi="Arial" w:cs="Arial"/>
                <w:b/>
                <w:sz w:val="20"/>
                <w:szCs w:val="20"/>
              </w:rPr>
            </w:pPr>
          </w:p>
          <w:p w:rsidR="00E57F4F" w:rsidRPr="00E57F4F" w:rsidRDefault="00E57F4F" w:rsidP="009625DB">
            <w:pPr>
              <w:jc w:val="both"/>
              <w:rPr>
                <w:rFonts w:ascii="Arial" w:hAnsi="Arial" w:cs="Arial"/>
                <w:b/>
                <w:sz w:val="20"/>
                <w:szCs w:val="20"/>
              </w:rPr>
            </w:pPr>
            <w:r w:rsidRPr="00E57F4F">
              <w:rPr>
                <w:rFonts w:ascii="Arial" w:hAnsi="Arial" w:cs="Arial"/>
                <w:b/>
                <w:sz w:val="20"/>
                <w:szCs w:val="20"/>
              </w:rPr>
              <w:t xml:space="preserve">Table </w:t>
            </w:r>
            <w:r>
              <w:rPr>
                <w:rFonts w:ascii="Arial" w:hAnsi="Arial" w:cs="Arial"/>
                <w:b/>
                <w:sz w:val="20"/>
                <w:szCs w:val="20"/>
              </w:rPr>
              <w:t>4</w:t>
            </w:r>
          </w:p>
          <w:p w:rsidR="00E57F4F" w:rsidRPr="00E57F4F" w:rsidRDefault="00E57F4F" w:rsidP="009625DB">
            <w:pPr>
              <w:jc w:val="both"/>
              <w:rPr>
                <w:rFonts w:ascii="Arial" w:hAnsi="Arial" w:cs="Arial"/>
                <w:b/>
                <w:sz w:val="20"/>
                <w:szCs w:val="20"/>
              </w:rPr>
            </w:pPr>
            <w:r w:rsidRPr="00E57F4F">
              <w:rPr>
                <w:rFonts w:ascii="Arial" w:hAnsi="Arial" w:cs="Arial"/>
                <w:b/>
                <w:sz w:val="20"/>
                <w:szCs w:val="20"/>
              </w:rPr>
              <w:t>Data for Year= 2014</w:t>
            </w:r>
          </w:p>
          <w:p w:rsidR="00E57F4F" w:rsidRPr="00E57F4F" w:rsidRDefault="00E57F4F" w:rsidP="009625DB">
            <w:pPr>
              <w:jc w:val="both"/>
              <w:rPr>
                <w:rFonts w:ascii="Arial" w:hAnsi="Arial" w:cs="Arial"/>
                <w:b/>
                <w:sz w:val="20"/>
                <w:szCs w:val="20"/>
              </w:rPr>
            </w:pPr>
          </w:p>
          <w:tbl>
            <w:tblPr>
              <w:tblW w:w="10284" w:type="dxa"/>
              <w:tblInd w:w="949" w:type="dxa"/>
              <w:tblCellMar>
                <w:left w:w="70" w:type="dxa"/>
                <w:right w:w="70" w:type="dxa"/>
              </w:tblCellMar>
              <w:tblLook w:val="04A0" w:firstRow="1" w:lastRow="0" w:firstColumn="1" w:lastColumn="0" w:noHBand="0" w:noVBand="1"/>
            </w:tblPr>
            <w:tblGrid>
              <w:gridCol w:w="3447"/>
              <w:gridCol w:w="1067"/>
              <w:gridCol w:w="1067"/>
              <w:gridCol w:w="1067"/>
              <w:gridCol w:w="1067"/>
              <w:gridCol w:w="1697"/>
              <w:gridCol w:w="1067"/>
            </w:tblGrid>
            <w:tr w:rsidR="00E57F4F" w:rsidRPr="00E57F4F" w:rsidTr="00547B8C">
              <w:trPr>
                <w:trHeight w:val="315"/>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b/>
                      <w:bCs/>
                      <w:color w:val="000000"/>
                      <w:sz w:val="20"/>
                      <w:szCs w:val="20"/>
                      <w:lang w:eastAsia="es-ES"/>
                    </w:rPr>
                  </w:pPr>
                  <w:r w:rsidRPr="00E57F4F">
                    <w:rPr>
                      <w:rFonts w:ascii="Arial" w:hAnsi="Arial" w:cs="Arial"/>
                      <w:b/>
                      <w:bCs/>
                      <w:color w:val="000000"/>
                      <w:sz w:val="20"/>
                      <w:szCs w:val="20"/>
                      <w:lang w:eastAsia="fr-FR"/>
                    </w:rPr>
                    <w:t>Table 4</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p>
              </w:tc>
            </w:tr>
            <w:tr w:rsidR="00E57F4F" w:rsidRPr="00E57F4F" w:rsidTr="00547B8C">
              <w:trPr>
                <w:trHeight w:val="525"/>
              </w:trPr>
              <w:tc>
                <w:tcPr>
                  <w:tcW w:w="3447" w:type="dxa"/>
                  <w:tcBorders>
                    <w:top w:val="single" w:sz="8" w:space="0" w:color="auto"/>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Economichead</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b/>
                      <w:bCs/>
                      <w:color w:val="000000"/>
                      <w:sz w:val="20"/>
                      <w:szCs w:val="20"/>
                      <w:lang w:eastAsia="es-ES"/>
                    </w:rPr>
                  </w:pPr>
                  <w:r w:rsidRPr="00E57F4F">
                    <w:rPr>
                      <w:rFonts w:ascii="Arial" w:hAnsi="Arial" w:cs="Arial"/>
                      <w:b/>
                      <w:bCs/>
                      <w:color w:val="000000"/>
                      <w:sz w:val="20"/>
                      <w:szCs w:val="20"/>
                      <w:lang w:eastAsia="fr-FR"/>
                    </w:rPr>
                    <w:t>Budget</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b/>
                      <w:bCs/>
                      <w:color w:val="000000"/>
                      <w:sz w:val="20"/>
                      <w:szCs w:val="20"/>
                      <w:lang w:eastAsia="es-ES"/>
                    </w:rPr>
                  </w:pPr>
                  <w:r w:rsidRPr="00E57F4F">
                    <w:rPr>
                      <w:rFonts w:ascii="Arial" w:hAnsi="Arial" w:cs="Arial"/>
                      <w:b/>
                      <w:bCs/>
                      <w:color w:val="000000"/>
                      <w:sz w:val="20"/>
                      <w:szCs w:val="20"/>
                      <w:lang w:eastAsia="fr-FR"/>
                    </w:rPr>
                    <w:t>Actual</w:t>
                  </w:r>
                </w:p>
              </w:tc>
              <w:tc>
                <w:tcPr>
                  <w:tcW w:w="1067"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adjusted budget</w:t>
                  </w:r>
                </w:p>
              </w:tc>
              <w:tc>
                <w:tcPr>
                  <w:tcW w:w="1067"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deviation</w:t>
                  </w:r>
                </w:p>
              </w:tc>
              <w:tc>
                <w:tcPr>
                  <w:tcW w:w="1502" w:type="dxa"/>
                  <w:tcBorders>
                    <w:top w:val="single" w:sz="8" w:space="0" w:color="auto"/>
                    <w:left w:val="nil"/>
                    <w:bottom w:val="nil"/>
                    <w:right w:val="nil"/>
                  </w:tcBorders>
                  <w:shd w:val="clear" w:color="auto" w:fill="auto"/>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absolutedeviation</w:t>
                  </w:r>
                </w:p>
              </w:tc>
              <w:tc>
                <w:tcPr>
                  <w:tcW w:w="1067" w:type="dxa"/>
                  <w:tcBorders>
                    <w:top w:val="single" w:sz="8" w:space="0" w:color="auto"/>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fr-FR"/>
                    </w:rPr>
                    <w:t>percent</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Dépenses de personnel</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1328,67</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1213,67</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1 004,9</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208,8</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208,8</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20,80%</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Intérêts</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125,2</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125</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94,7</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30,3</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30,3</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32,00%</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Autres dépenses de fonctionnement</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1481,6</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1405,75</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1 120,5</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285,2</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285,2</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25,50%</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Dépenses d'équipement</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1380,16</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519,5</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1 043,8</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-524,3</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524,3</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50,20%</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Subsidies</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Grants</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0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Social benefits</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15"/>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Otherexpenses</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000000" w:fill="FFFFFF"/>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center"/>
                    <w:rPr>
                      <w:rFonts w:ascii="Arial" w:hAnsi="Arial" w:cs="Arial"/>
                      <w:color w:val="000000"/>
                      <w:sz w:val="20"/>
                      <w:szCs w:val="20"/>
                      <w:lang w:eastAsia="es-ES"/>
                    </w:rPr>
                  </w:pPr>
                  <w:r w:rsidRPr="00E57F4F">
                    <w:rPr>
                      <w:rFonts w:ascii="Arial" w:hAnsi="Arial" w:cs="Arial"/>
                      <w:color w:val="000000"/>
                      <w:sz w:val="20"/>
                      <w:szCs w:val="20"/>
                      <w:lang w:eastAsia="es-ES"/>
                    </w:rPr>
                    <w:t> </w:t>
                  </w:r>
                </w:p>
              </w:tc>
            </w:tr>
            <w:tr w:rsidR="00E57F4F" w:rsidRPr="00E57F4F" w:rsidTr="00547B8C">
              <w:trPr>
                <w:trHeight w:val="315"/>
              </w:trPr>
              <w:tc>
                <w:tcPr>
                  <w:tcW w:w="3447" w:type="dxa"/>
                  <w:tcBorders>
                    <w:top w:val="single" w:sz="8" w:space="0" w:color="auto"/>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b/>
                      <w:bCs/>
                      <w:color w:val="000000"/>
                      <w:sz w:val="20"/>
                      <w:szCs w:val="20"/>
                      <w:lang w:eastAsia="es-ES"/>
                    </w:rPr>
                  </w:pPr>
                  <w:r w:rsidRPr="00E57F4F">
                    <w:rPr>
                      <w:rFonts w:ascii="Arial" w:hAnsi="Arial" w:cs="Arial"/>
                      <w:b/>
                      <w:bCs/>
                      <w:color w:val="000000"/>
                      <w:sz w:val="20"/>
                      <w:szCs w:val="20"/>
                      <w:lang w:eastAsia="fr-FR"/>
                    </w:rPr>
                    <w:t>Total expenditure</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4315,63</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3263,92</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3 263,9</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0</w:t>
                  </w:r>
                </w:p>
              </w:tc>
              <w:tc>
                <w:tcPr>
                  <w:tcW w:w="1502"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1 048,6</w:t>
                  </w:r>
                </w:p>
              </w:tc>
              <w:tc>
                <w:tcPr>
                  <w:tcW w:w="1067" w:type="dxa"/>
                  <w:tcBorders>
                    <w:top w:val="single" w:sz="8" w:space="0" w:color="auto"/>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r>
            <w:tr w:rsidR="00E57F4F" w:rsidRPr="00E57F4F" w:rsidTr="00547B8C">
              <w:trPr>
                <w:trHeight w:val="510"/>
              </w:trPr>
              <w:tc>
                <w:tcPr>
                  <w:tcW w:w="3447" w:type="dxa"/>
                  <w:tcBorders>
                    <w:top w:val="nil"/>
                    <w:left w:val="single" w:sz="8" w:space="0" w:color="auto"/>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overall variance</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b/>
                      <w:bCs/>
                      <w:color w:val="000000"/>
                      <w:sz w:val="20"/>
                      <w:szCs w:val="20"/>
                      <w:lang w:eastAsia="es-ES"/>
                    </w:rPr>
                  </w:pPr>
                  <w:r w:rsidRPr="00E57F4F">
                    <w:rPr>
                      <w:rFonts w:ascii="Arial" w:hAnsi="Arial" w:cs="Arial"/>
                      <w:b/>
                      <w:bCs/>
                      <w:color w:val="000000"/>
                      <w:sz w:val="20"/>
                      <w:szCs w:val="20"/>
                      <w:lang w:eastAsia="fr-FR"/>
                    </w:rPr>
                    <w:t> </w:t>
                  </w:r>
                </w:p>
              </w:tc>
              <w:tc>
                <w:tcPr>
                  <w:tcW w:w="1067" w:type="dxa"/>
                  <w:tcBorders>
                    <w:top w:val="single" w:sz="8" w:space="0" w:color="auto"/>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 </w:t>
                  </w: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502" w:type="dxa"/>
                  <w:tcBorders>
                    <w:top w:val="nil"/>
                    <w:left w:val="nil"/>
                    <w:bottom w:val="nil"/>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p>
              </w:tc>
              <w:tc>
                <w:tcPr>
                  <w:tcW w:w="1067" w:type="dxa"/>
                  <w:tcBorders>
                    <w:top w:val="nil"/>
                    <w:left w:val="nil"/>
                    <w:bottom w:val="nil"/>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75,60%</w:t>
                  </w:r>
                </w:p>
              </w:tc>
            </w:tr>
            <w:tr w:rsidR="00E57F4F" w:rsidRPr="00E57F4F" w:rsidTr="00547B8C">
              <w:trPr>
                <w:trHeight w:val="315"/>
              </w:trPr>
              <w:tc>
                <w:tcPr>
                  <w:tcW w:w="3447" w:type="dxa"/>
                  <w:tcBorders>
                    <w:top w:val="nil"/>
                    <w:left w:val="single" w:sz="8" w:space="0" w:color="auto"/>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Arial" w:hAnsi="Arial" w:cs="Arial"/>
                      <w:color w:val="000000"/>
                      <w:sz w:val="20"/>
                      <w:szCs w:val="20"/>
                      <w:lang w:eastAsia="es-ES"/>
                    </w:rPr>
                  </w:pPr>
                  <w:r w:rsidRPr="00E57F4F">
                    <w:rPr>
                      <w:rFonts w:ascii="Arial" w:hAnsi="Arial" w:cs="Arial"/>
                      <w:color w:val="000000"/>
                      <w:sz w:val="20"/>
                      <w:szCs w:val="20"/>
                      <w:lang w:eastAsia="fr-FR"/>
                    </w:rPr>
                    <w:t>composition variance</w:t>
                  </w:r>
                </w:p>
              </w:tc>
              <w:tc>
                <w:tcPr>
                  <w:tcW w:w="1067"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67"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67"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67"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502" w:type="dxa"/>
                  <w:tcBorders>
                    <w:top w:val="nil"/>
                    <w:left w:val="nil"/>
                    <w:bottom w:val="single" w:sz="8" w:space="0" w:color="auto"/>
                    <w:right w:val="nil"/>
                  </w:tcBorders>
                  <w:shd w:val="clear" w:color="auto" w:fill="auto"/>
                  <w:noWrap/>
                  <w:vAlign w:val="bottom"/>
                  <w:hideMark/>
                </w:tcPr>
                <w:p w:rsidR="00E57F4F" w:rsidRPr="00E57F4F" w:rsidRDefault="00E57F4F" w:rsidP="0026344C">
                  <w:pPr>
                    <w:framePr w:hSpace="141" w:wrap="around" w:hAnchor="margin" w:y="-223"/>
                    <w:rPr>
                      <w:rFonts w:ascii="Calibri" w:hAnsi="Calibri"/>
                      <w:color w:val="000000"/>
                      <w:sz w:val="20"/>
                      <w:szCs w:val="20"/>
                      <w:lang w:eastAsia="es-ES"/>
                    </w:rPr>
                  </w:pPr>
                  <w:r w:rsidRPr="00E57F4F">
                    <w:rPr>
                      <w:rFonts w:ascii="Calibri" w:hAnsi="Calibri"/>
                      <w:color w:val="000000"/>
                      <w:sz w:val="20"/>
                      <w:szCs w:val="20"/>
                      <w:lang w:eastAsia="es-ES"/>
                    </w:rPr>
                    <w:t> </w:t>
                  </w:r>
                </w:p>
              </w:tc>
              <w:tc>
                <w:tcPr>
                  <w:tcW w:w="1067" w:type="dxa"/>
                  <w:tcBorders>
                    <w:top w:val="nil"/>
                    <w:left w:val="nil"/>
                    <w:bottom w:val="single" w:sz="8" w:space="0" w:color="auto"/>
                    <w:right w:val="single" w:sz="8" w:space="0" w:color="auto"/>
                  </w:tcBorders>
                  <w:shd w:val="clear" w:color="auto" w:fill="auto"/>
                  <w:noWrap/>
                  <w:vAlign w:val="bottom"/>
                  <w:hideMark/>
                </w:tcPr>
                <w:p w:rsidR="00E57F4F" w:rsidRPr="00E57F4F" w:rsidRDefault="00E57F4F" w:rsidP="0026344C">
                  <w:pPr>
                    <w:framePr w:hSpace="141" w:wrap="around" w:hAnchor="margin" w:y="-223"/>
                    <w:jc w:val="right"/>
                    <w:rPr>
                      <w:rFonts w:ascii="Arial" w:hAnsi="Arial" w:cs="Arial"/>
                      <w:color w:val="000000"/>
                      <w:sz w:val="20"/>
                      <w:szCs w:val="20"/>
                      <w:lang w:eastAsia="es-ES"/>
                    </w:rPr>
                  </w:pPr>
                  <w:r w:rsidRPr="00E57F4F">
                    <w:rPr>
                      <w:rFonts w:ascii="Arial" w:hAnsi="Arial" w:cs="Arial"/>
                      <w:color w:val="000000"/>
                      <w:sz w:val="20"/>
                      <w:szCs w:val="20"/>
                      <w:lang w:eastAsia="fr-FR"/>
                    </w:rPr>
                    <w:t>32,10%</w:t>
                  </w:r>
                </w:p>
              </w:tc>
            </w:tr>
          </w:tbl>
          <w:p w:rsidR="00E57F4F" w:rsidRPr="00E57F4F" w:rsidRDefault="00E57F4F" w:rsidP="009625DB">
            <w:pPr>
              <w:jc w:val="both"/>
              <w:rPr>
                <w:rFonts w:ascii="Arial" w:hAnsi="Arial" w:cs="Arial"/>
                <w:b/>
                <w:sz w:val="20"/>
                <w:szCs w:val="20"/>
              </w:rPr>
            </w:pPr>
          </w:p>
          <w:p w:rsidR="003709B4" w:rsidRDefault="003709B4" w:rsidP="009625DB">
            <w:pPr>
              <w:rPr>
                <w:rFonts w:ascii="Arial" w:hAnsi="Arial" w:cs="Arial"/>
                <w:sz w:val="20"/>
                <w:szCs w:val="20"/>
                <w:lang w:eastAsia="fr-FR"/>
              </w:rPr>
            </w:pPr>
          </w:p>
          <w:p w:rsidR="003709B4" w:rsidRDefault="003709B4" w:rsidP="009625DB">
            <w:pPr>
              <w:rPr>
                <w:rFonts w:ascii="Arial" w:hAnsi="Arial" w:cs="Arial"/>
                <w:sz w:val="20"/>
                <w:szCs w:val="20"/>
                <w:lang w:eastAsia="fr-FR"/>
              </w:rPr>
            </w:pPr>
          </w:p>
          <w:p w:rsidR="003709B4" w:rsidRPr="00A17E25" w:rsidRDefault="003709B4" w:rsidP="009625DB">
            <w:pPr>
              <w:rPr>
                <w:rFonts w:ascii="Arial" w:hAnsi="Arial" w:cs="Arial"/>
                <w:sz w:val="20"/>
                <w:szCs w:val="20"/>
                <w:lang w:eastAsia="fr-FR"/>
              </w:rPr>
            </w:pPr>
          </w:p>
        </w:tc>
        <w:tc>
          <w:tcPr>
            <w:tcW w:w="419"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c>
          <w:tcPr>
            <w:tcW w:w="417"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c>
          <w:tcPr>
            <w:tcW w:w="417"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c>
          <w:tcPr>
            <w:tcW w:w="417"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c>
          <w:tcPr>
            <w:tcW w:w="620"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c>
          <w:tcPr>
            <w:tcW w:w="449" w:type="dxa"/>
            <w:tcBorders>
              <w:top w:val="nil"/>
              <w:left w:val="nil"/>
              <w:bottom w:val="nil"/>
              <w:right w:val="nil"/>
            </w:tcBorders>
            <w:shd w:val="clear" w:color="auto" w:fill="auto"/>
            <w:noWrap/>
            <w:vAlign w:val="bottom"/>
            <w:hideMark/>
          </w:tcPr>
          <w:p w:rsidR="003A596A" w:rsidRPr="00A17E25" w:rsidRDefault="003A596A" w:rsidP="009625DB">
            <w:pPr>
              <w:rPr>
                <w:rFonts w:ascii="Arial" w:hAnsi="Arial" w:cs="Arial"/>
                <w:sz w:val="20"/>
                <w:szCs w:val="20"/>
                <w:lang w:eastAsia="fr-FR"/>
              </w:rPr>
            </w:pPr>
          </w:p>
        </w:tc>
      </w:tr>
    </w:tbl>
    <w:p w:rsidR="00313821" w:rsidRDefault="003A596A" w:rsidP="008F14E1">
      <w:pPr>
        <w:tabs>
          <w:tab w:val="left" w:pos="9270"/>
        </w:tabs>
        <w:rPr>
          <w:rFonts w:ascii="Arial Narrow" w:hAnsi="Arial Narrow" w:cs="Arial"/>
          <w:sz w:val="20"/>
          <w:szCs w:val="20"/>
        </w:rPr>
      </w:pPr>
      <w:r w:rsidRPr="00A17E25">
        <w:rPr>
          <w:rFonts w:ascii="Arial Narrow" w:hAnsi="Arial Narrow" w:cs="Arial"/>
          <w:sz w:val="20"/>
          <w:szCs w:val="20"/>
        </w:rPr>
        <w:tab/>
      </w:r>
      <w:bookmarkEnd w:id="0"/>
      <w:bookmarkEnd w:id="1"/>
    </w:p>
    <w:p w:rsidR="00E57F4F" w:rsidRDefault="00E57F4F" w:rsidP="008F14E1">
      <w:pPr>
        <w:tabs>
          <w:tab w:val="left" w:pos="9270"/>
        </w:tabs>
        <w:rPr>
          <w:rFonts w:ascii="Arial Narrow" w:hAnsi="Arial Narrow" w:cs="Arial"/>
          <w:sz w:val="20"/>
          <w:szCs w:val="20"/>
        </w:rPr>
      </w:pPr>
    </w:p>
    <w:tbl>
      <w:tblPr>
        <w:tblW w:w="11477" w:type="dxa"/>
        <w:jc w:val="center"/>
        <w:tblCellMar>
          <w:left w:w="70" w:type="dxa"/>
          <w:right w:w="70" w:type="dxa"/>
        </w:tblCellMar>
        <w:tblLook w:val="04A0" w:firstRow="1" w:lastRow="0" w:firstColumn="1" w:lastColumn="0" w:noHBand="0" w:noVBand="1"/>
      </w:tblPr>
      <w:tblGrid>
        <w:gridCol w:w="1705"/>
        <w:gridCol w:w="3412"/>
        <w:gridCol w:w="1706"/>
        <w:gridCol w:w="2784"/>
        <w:gridCol w:w="1870"/>
      </w:tblGrid>
      <w:tr w:rsidR="00E57F4F" w:rsidRPr="00A17E25" w:rsidTr="0034021B">
        <w:trPr>
          <w:trHeight w:val="260"/>
          <w:jc w:val="center"/>
        </w:trPr>
        <w:tc>
          <w:tcPr>
            <w:tcW w:w="3120" w:type="dxa"/>
            <w:gridSpan w:val="2"/>
            <w:tcBorders>
              <w:top w:val="nil"/>
              <w:left w:val="nil"/>
              <w:bottom w:val="nil"/>
              <w:right w:val="nil"/>
            </w:tcBorders>
            <w:shd w:val="clear" w:color="auto" w:fill="auto"/>
            <w:noWrap/>
            <w:vAlign w:val="bottom"/>
            <w:hideMark/>
          </w:tcPr>
          <w:p w:rsidR="00E57F4F" w:rsidRPr="00A17E25" w:rsidRDefault="00E57F4F" w:rsidP="0034021B">
            <w:pPr>
              <w:rPr>
                <w:rFonts w:ascii="Arial" w:hAnsi="Arial" w:cs="Arial"/>
                <w:b/>
                <w:bCs/>
                <w:sz w:val="20"/>
                <w:szCs w:val="20"/>
                <w:lang w:eastAsia="fr-FR"/>
              </w:rPr>
            </w:pPr>
            <w:r w:rsidRPr="00A17E25">
              <w:rPr>
                <w:rFonts w:ascii="Arial" w:hAnsi="Arial" w:cs="Arial"/>
                <w:b/>
                <w:bCs/>
                <w:sz w:val="20"/>
                <w:szCs w:val="20"/>
                <w:lang w:eastAsia="fr-FR"/>
              </w:rPr>
              <w:t>Table 5 - Results Matrix</w:t>
            </w:r>
          </w:p>
        </w:tc>
        <w:tc>
          <w:tcPr>
            <w:tcW w:w="1040" w:type="dxa"/>
            <w:tcBorders>
              <w:top w:val="nil"/>
              <w:left w:val="nil"/>
              <w:bottom w:val="nil"/>
              <w:right w:val="nil"/>
            </w:tcBorders>
            <w:shd w:val="clear" w:color="auto" w:fill="auto"/>
            <w:noWrap/>
            <w:vAlign w:val="bottom"/>
            <w:hideMark/>
          </w:tcPr>
          <w:p w:rsidR="00E57F4F" w:rsidRPr="00A17E25" w:rsidRDefault="00E57F4F" w:rsidP="0034021B">
            <w:pPr>
              <w:rPr>
                <w:rFonts w:ascii="Arial" w:hAnsi="Arial" w:cs="Arial"/>
                <w:sz w:val="20"/>
                <w:szCs w:val="20"/>
                <w:lang w:eastAsia="fr-FR"/>
              </w:rPr>
            </w:pPr>
          </w:p>
        </w:tc>
        <w:tc>
          <w:tcPr>
            <w:tcW w:w="1697" w:type="dxa"/>
            <w:tcBorders>
              <w:top w:val="nil"/>
              <w:left w:val="nil"/>
              <w:bottom w:val="nil"/>
              <w:right w:val="nil"/>
            </w:tcBorders>
            <w:shd w:val="clear" w:color="auto" w:fill="auto"/>
            <w:noWrap/>
            <w:vAlign w:val="bottom"/>
            <w:hideMark/>
          </w:tcPr>
          <w:p w:rsidR="00E57F4F" w:rsidRPr="00A17E25" w:rsidRDefault="00E57F4F" w:rsidP="0034021B">
            <w:pPr>
              <w:rPr>
                <w:rFonts w:ascii="Arial" w:hAnsi="Arial" w:cs="Arial"/>
                <w:sz w:val="20"/>
                <w:szCs w:val="20"/>
                <w:lang w:eastAsia="fr-FR"/>
              </w:rPr>
            </w:pPr>
          </w:p>
        </w:tc>
        <w:tc>
          <w:tcPr>
            <w:tcW w:w="1140" w:type="dxa"/>
            <w:tcBorders>
              <w:top w:val="nil"/>
              <w:left w:val="nil"/>
              <w:bottom w:val="nil"/>
              <w:right w:val="nil"/>
            </w:tcBorders>
            <w:shd w:val="clear" w:color="auto" w:fill="auto"/>
            <w:noWrap/>
            <w:vAlign w:val="bottom"/>
            <w:hideMark/>
          </w:tcPr>
          <w:p w:rsidR="00E57F4F" w:rsidRPr="00A17E25" w:rsidRDefault="00E57F4F" w:rsidP="0034021B">
            <w:pPr>
              <w:rPr>
                <w:rFonts w:ascii="Arial" w:hAnsi="Arial" w:cs="Arial"/>
                <w:sz w:val="20"/>
                <w:szCs w:val="20"/>
                <w:lang w:eastAsia="fr-FR"/>
              </w:rPr>
            </w:pPr>
          </w:p>
        </w:tc>
      </w:tr>
      <w:tr w:rsidR="00E57F4F" w:rsidRPr="00A17E25" w:rsidTr="0034021B">
        <w:trPr>
          <w:trHeight w:val="240"/>
          <w:jc w:val="center"/>
        </w:trPr>
        <w:tc>
          <w:tcPr>
            <w:tcW w:w="1040" w:type="dxa"/>
            <w:tcBorders>
              <w:top w:val="single" w:sz="8" w:space="0" w:color="auto"/>
              <w:left w:val="single" w:sz="8" w:space="0" w:color="auto"/>
              <w:bottom w:val="nil"/>
              <w:right w:val="single" w:sz="4" w:space="0" w:color="auto"/>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 </w:t>
            </w:r>
          </w:p>
        </w:tc>
        <w:tc>
          <w:tcPr>
            <w:tcW w:w="3120" w:type="dxa"/>
            <w:gridSpan w:val="2"/>
            <w:tcBorders>
              <w:top w:val="single" w:sz="8" w:space="0" w:color="auto"/>
              <w:left w:val="nil"/>
              <w:bottom w:val="nil"/>
              <w:right w:val="nil"/>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 </w:t>
            </w:r>
          </w:p>
        </w:tc>
        <w:tc>
          <w:tcPr>
            <w:tcW w:w="2837" w:type="dxa"/>
            <w:gridSpan w:val="2"/>
            <w:tcBorders>
              <w:top w:val="single" w:sz="8" w:space="0" w:color="auto"/>
              <w:left w:val="nil"/>
              <w:bottom w:val="nil"/>
              <w:right w:val="single" w:sz="8" w:space="0" w:color="000000"/>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 </w:t>
            </w:r>
          </w:p>
        </w:tc>
      </w:tr>
      <w:tr w:rsidR="00E57F4F" w:rsidRPr="00A17E25" w:rsidTr="0034021B">
        <w:trPr>
          <w:trHeight w:val="240"/>
          <w:jc w:val="center"/>
        </w:trPr>
        <w:tc>
          <w:tcPr>
            <w:tcW w:w="1040" w:type="dxa"/>
            <w:tcBorders>
              <w:top w:val="nil"/>
              <w:left w:val="single" w:sz="8" w:space="0" w:color="auto"/>
              <w:bottom w:val="nil"/>
              <w:right w:val="single" w:sz="4" w:space="0" w:color="auto"/>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year</w:t>
            </w:r>
          </w:p>
        </w:tc>
        <w:tc>
          <w:tcPr>
            <w:tcW w:w="3120" w:type="dxa"/>
            <w:gridSpan w:val="2"/>
            <w:tcBorders>
              <w:top w:val="nil"/>
              <w:left w:val="nil"/>
              <w:bottom w:val="nil"/>
              <w:right w:val="nil"/>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total expenditure</w:t>
            </w:r>
            <w:r>
              <w:rPr>
                <w:rFonts w:ascii="Arial" w:hAnsi="Arial" w:cs="Arial"/>
                <w:sz w:val="20"/>
                <w:szCs w:val="20"/>
                <w:lang w:eastAsia="fr-FR"/>
              </w:rPr>
              <w:t xml:space="preserve"> </w:t>
            </w:r>
            <w:r w:rsidRPr="00A17E25">
              <w:rPr>
                <w:rFonts w:ascii="Arial" w:hAnsi="Arial" w:cs="Arial"/>
                <w:sz w:val="20"/>
                <w:szCs w:val="20"/>
                <w:lang w:eastAsia="fr-FR"/>
              </w:rPr>
              <w:t>deviation</w:t>
            </w:r>
          </w:p>
        </w:tc>
        <w:tc>
          <w:tcPr>
            <w:tcW w:w="2837" w:type="dxa"/>
            <w:gridSpan w:val="2"/>
            <w:tcBorders>
              <w:top w:val="nil"/>
              <w:left w:val="nil"/>
              <w:bottom w:val="nil"/>
              <w:right w:val="single" w:sz="8" w:space="0" w:color="000000"/>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composition variance</w:t>
            </w:r>
          </w:p>
        </w:tc>
      </w:tr>
      <w:tr w:rsidR="00E57F4F" w:rsidRPr="00A17E25" w:rsidTr="0034021B">
        <w:trPr>
          <w:trHeight w:val="240"/>
          <w:jc w:val="center"/>
        </w:trPr>
        <w:tc>
          <w:tcPr>
            <w:tcW w:w="1040" w:type="dxa"/>
            <w:tcBorders>
              <w:top w:val="nil"/>
              <w:left w:val="single" w:sz="8" w:space="0" w:color="auto"/>
              <w:bottom w:val="nil"/>
              <w:right w:val="single" w:sz="4" w:space="0" w:color="auto"/>
            </w:tcBorders>
            <w:shd w:val="clear" w:color="auto" w:fill="auto"/>
            <w:noWrap/>
            <w:vAlign w:val="bottom"/>
            <w:hideMark/>
          </w:tcPr>
          <w:p w:rsidR="00E57F4F" w:rsidRPr="00A17E25" w:rsidRDefault="00E57F4F" w:rsidP="0034021B">
            <w:pPr>
              <w:jc w:val="right"/>
              <w:rPr>
                <w:rFonts w:ascii="Arial" w:hAnsi="Arial" w:cs="Arial"/>
                <w:sz w:val="20"/>
                <w:szCs w:val="20"/>
                <w:lang w:eastAsia="fr-FR"/>
              </w:rPr>
            </w:pPr>
            <w:r w:rsidRPr="00A17E25">
              <w:rPr>
                <w:rFonts w:ascii="Arial" w:hAnsi="Arial" w:cs="Arial"/>
                <w:sz w:val="20"/>
                <w:szCs w:val="20"/>
                <w:lang w:eastAsia="fr-FR"/>
              </w:rPr>
              <w:t>2012</w:t>
            </w:r>
          </w:p>
        </w:tc>
        <w:tc>
          <w:tcPr>
            <w:tcW w:w="3120" w:type="dxa"/>
            <w:gridSpan w:val="2"/>
            <w:tcBorders>
              <w:top w:val="nil"/>
              <w:left w:val="nil"/>
              <w:bottom w:val="nil"/>
              <w:right w:val="nil"/>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96,6%</w:t>
            </w:r>
          </w:p>
        </w:tc>
        <w:tc>
          <w:tcPr>
            <w:tcW w:w="2837" w:type="dxa"/>
            <w:gridSpan w:val="2"/>
            <w:tcBorders>
              <w:top w:val="nil"/>
              <w:left w:val="nil"/>
              <w:bottom w:val="nil"/>
              <w:right w:val="single" w:sz="8" w:space="0" w:color="000000"/>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5,3%</w:t>
            </w:r>
          </w:p>
        </w:tc>
      </w:tr>
      <w:tr w:rsidR="00E57F4F" w:rsidRPr="00A17E25" w:rsidTr="0034021B">
        <w:trPr>
          <w:trHeight w:val="240"/>
          <w:jc w:val="center"/>
        </w:trPr>
        <w:tc>
          <w:tcPr>
            <w:tcW w:w="1040" w:type="dxa"/>
            <w:tcBorders>
              <w:top w:val="nil"/>
              <w:left w:val="single" w:sz="8" w:space="0" w:color="auto"/>
              <w:bottom w:val="nil"/>
              <w:right w:val="single" w:sz="4" w:space="0" w:color="auto"/>
            </w:tcBorders>
            <w:shd w:val="clear" w:color="auto" w:fill="auto"/>
            <w:noWrap/>
            <w:vAlign w:val="bottom"/>
            <w:hideMark/>
          </w:tcPr>
          <w:p w:rsidR="00E57F4F" w:rsidRPr="00A17E25" w:rsidRDefault="00E57F4F" w:rsidP="0034021B">
            <w:pPr>
              <w:jc w:val="right"/>
              <w:rPr>
                <w:rFonts w:ascii="Arial" w:hAnsi="Arial" w:cs="Arial"/>
                <w:sz w:val="20"/>
                <w:szCs w:val="20"/>
                <w:lang w:eastAsia="fr-FR"/>
              </w:rPr>
            </w:pPr>
            <w:r w:rsidRPr="00A17E25">
              <w:rPr>
                <w:rFonts w:ascii="Arial" w:hAnsi="Arial" w:cs="Arial"/>
                <w:sz w:val="20"/>
                <w:szCs w:val="20"/>
                <w:lang w:eastAsia="fr-FR"/>
              </w:rPr>
              <w:t>2013</w:t>
            </w:r>
          </w:p>
        </w:tc>
        <w:tc>
          <w:tcPr>
            <w:tcW w:w="3120" w:type="dxa"/>
            <w:gridSpan w:val="2"/>
            <w:tcBorders>
              <w:top w:val="nil"/>
              <w:left w:val="nil"/>
              <w:bottom w:val="nil"/>
              <w:right w:val="nil"/>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84,4%</w:t>
            </w:r>
          </w:p>
        </w:tc>
        <w:tc>
          <w:tcPr>
            <w:tcW w:w="2837" w:type="dxa"/>
            <w:gridSpan w:val="2"/>
            <w:tcBorders>
              <w:top w:val="nil"/>
              <w:left w:val="nil"/>
              <w:bottom w:val="nil"/>
              <w:right w:val="single" w:sz="8" w:space="0" w:color="000000"/>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18,7%</w:t>
            </w:r>
          </w:p>
        </w:tc>
      </w:tr>
      <w:tr w:rsidR="00E57F4F" w:rsidRPr="00A17E25" w:rsidTr="0034021B">
        <w:trPr>
          <w:trHeight w:val="260"/>
          <w:jc w:val="center"/>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E57F4F" w:rsidRPr="00A17E25" w:rsidRDefault="00E57F4F" w:rsidP="0034021B">
            <w:pPr>
              <w:jc w:val="right"/>
              <w:rPr>
                <w:rFonts w:ascii="Arial" w:hAnsi="Arial" w:cs="Arial"/>
                <w:sz w:val="20"/>
                <w:szCs w:val="20"/>
                <w:lang w:eastAsia="fr-FR"/>
              </w:rPr>
            </w:pPr>
            <w:r w:rsidRPr="00A17E25">
              <w:rPr>
                <w:rFonts w:ascii="Arial" w:hAnsi="Arial" w:cs="Arial"/>
                <w:sz w:val="20"/>
                <w:szCs w:val="20"/>
                <w:lang w:eastAsia="fr-FR"/>
              </w:rPr>
              <w:t>2014</w:t>
            </w:r>
          </w:p>
        </w:tc>
        <w:tc>
          <w:tcPr>
            <w:tcW w:w="3120" w:type="dxa"/>
            <w:gridSpan w:val="2"/>
            <w:tcBorders>
              <w:top w:val="nil"/>
              <w:left w:val="nil"/>
              <w:bottom w:val="single" w:sz="8" w:space="0" w:color="auto"/>
              <w:right w:val="nil"/>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75,6%</w:t>
            </w:r>
          </w:p>
        </w:tc>
        <w:tc>
          <w:tcPr>
            <w:tcW w:w="2837" w:type="dxa"/>
            <w:gridSpan w:val="2"/>
            <w:tcBorders>
              <w:top w:val="nil"/>
              <w:left w:val="nil"/>
              <w:bottom w:val="single" w:sz="8" w:space="0" w:color="auto"/>
              <w:right w:val="single" w:sz="8" w:space="0" w:color="000000"/>
            </w:tcBorders>
            <w:shd w:val="clear" w:color="auto" w:fill="auto"/>
            <w:noWrap/>
            <w:vAlign w:val="center"/>
            <w:hideMark/>
          </w:tcPr>
          <w:p w:rsidR="00E57F4F" w:rsidRPr="00A17E25" w:rsidRDefault="00E57F4F" w:rsidP="0034021B">
            <w:pPr>
              <w:jc w:val="center"/>
              <w:rPr>
                <w:rFonts w:ascii="Arial" w:hAnsi="Arial" w:cs="Arial"/>
                <w:sz w:val="20"/>
                <w:szCs w:val="20"/>
                <w:lang w:eastAsia="fr-FR"/>
              </w:rPr>
            </w:pPr>
            <w:r w:rsidRPr="00A17E25">
              <w:rPr>
                <w:rFonts w:ascii="Arial" w:hAnsi="Arial" w:cs="Arial"/>
                <w:sz w:val="20"/>
                <w:szCs w:val="20"/>
                <w:lang w:eastAsia="fr-FR"/>
              </w:rPr>
              <w:t>32,1%</w:t>
            </w:r>
          </w:p>
        </w:tc>
      </w:tr>
    </w:tbl>
    <w:p w:rsidR="00E57F4F" w:rsidRPr="00A17E25" w:rsidRDefault="00E57F4F" w:rsidP="008F14E1">
      <w:pPr>
        <w:tabs>
          <w:tab w:val="left" w:pos="9270"/>
        </w:tabs>
        <w:rPr>
          <w:rFonts w:ascii="Arial" w:hAnsi="Arial"/>
          <w:iCs/>
        </w:rPr>
      </w:pPr>
    </w:p>
    <w:sectPr w:rsidR="00E57F4F" w:rsidRPr="00A17E25" w:rsidSect="00CA09F7">
      <w:headerReference w:type="default" r:id="rId31"/>
      <w:footerReference w:type="even" r:id="rId32"/>
      <w:footerReference w:type="default" r:id="rId33"/>
      <w:pgSz w:w="15840" w:h="12240" w:orient="landscape" w:code="1"/>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86" w:rsidRDefault="00EB6786">
      <w:r>
        <w:separator/>
      </w:r>
    </w:p>
  </w:endnote>
  <w:endnote w:type="continuationSeparator" w:id="0">
    <w:p w:rsidR="00EB6786" w:rsidRDefault="00EB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ill Sans">
    <w:altName w:val="Segoe UI"/>
    <w:charset w:val="00"/>
    <w:family w:val="auto"/>
    <w:pitch w:val="variable"/>
    <w:sig w:usb0="00000000" w:usb1="00000000" w:usb2="00000000" w:usb3="00000000" w:csb0="000001F7"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B84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1B" w:rsidRDefault="0034021B" w:rsidP="00B84D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B84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44C">
      <w:rPr>
        <w:rStyle w:val="PageNumber"/>
        <w:noProof/>
      </w:rPr>
      <w:t>1</w:t>
    </w:r>
    <w:r>
      <w:rPr>
        <w:rStyle w:val="PageNumber"/>
      </w:rPr>
      <w:fldChar w:fldCharType="end"/>
    </w:r>
  </w:p>
  <w:p w:rsidR="0034021B" w:rsidRDefault="0034021B" w:rsidP="00621670">
    <w:pPr>
      <w:pStyle w:val="Footer"/>
      <w:ind w:right="360"/>
      <w:jc w:val="center"/>
    </w:pPr>
    <w:r>
      <w:rPr>
        <w:rFonts w:ascii="Arial" w:hAnsi="Arial"/>
        <w:sz w:val="20"/>
        <w:szCs w:val="20"/>
      </w:rPr>
      <w:t xml:space="preserve">- </w:t>
    </w:r>
    <w:r w:rsidRPr="00BF268D">
      <w:rPr>
        <w:rFonts w:ascii="Arial" w:hAnsi="Arial"/>
        <w:i/>
        <w:sz w:val="16"/>
        <w:szCs w:val="16"/>
      </w:rPr>
      <w:t>Version</w:t>
    </w:r>
    <w:r w:rsidRPr="00621670">
      <w:rPr>
        <w:rFonts w:ascii="Arial" w:hAnsi="Arial"/>
        <w:i/>
        <w:sz w:val="16"/>
        <w:szCs w:val="16"/>
      </w:rPr>
      <w:t xml:space="preserve"> </w:t>
    </w:r>
    <w:r>
      <w:rPr>
        <w:rFonts w:ascii="Arial" w:hAnsi="Arial"/>
        <w:i/>
        <w:sz w:val="16"/>
        <w:szCs w:val="16"/>
      </w:rPr>
      <w:t>provisoire du 29 mars 2016</w:t>
    </w:r>
    <w:r w:rsidRPr="00BF268D">
      <w:rPr>
        <w:rFonts w:ascii="Arial" w:hAnsi="Arial"/>
        <w:i/>
        <w:sz w:val="16"/>
        <w:szCs w:val="16"/>
      </w:rPr>
      <w:t xml:space="preserve"> </w:t>
    </w:r>
    <w:r>
      <w:rPr>
        <w:rFonts w:ascii="Arial" w:hAnsi="Arial"/>
        <w: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573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1B" w:rsidRDefault="003402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573FD6">
    <w:pPr>
      <w:pStyle w:val="Footer"/>
      <w:framePr w:wrap="around" w:vAnchor="text" w:hAnchor="margin" w:xAlign="right" w:y="1"/>
      <w:rPr>
        <w:rStyle w:val="PageNumber"/>
        <w:rFonts w:ascii="Arial" w:hAnsi="Arial"/>
        <w:sz w:val="20"/>
        <w:szCs w:val="20"/>
      </w:rPr>
    </w:pPr>
    <w:r>
      <w:rPr>
        <w:rStyle w:val="PageNumber"/>
        <w:rFonts w:ascii="Arial" w:hAnsi="Arial"/>
        <w:sz w:val="20"/>
        <w:szCs w:val="20"/>
      </w:rPr>
      <w:fldChar w:fldCharType="begin"/>
    </w:r>
    <w:r>
      <w:rPr>
        <w:rStyle w:val="PageNumber"/>
        <w:rFonts w:ascii="Arial" w:hAnsi="Arial"/>
        <w:sz w:val="20"/>
        <w:szCs w:val="20"/>
      </w:rPr>
      <w:instrText xml:space="preserve">PAGE  </w:instrText>
    </w:r>
    <w:r>
      <w:rPr>
        <w:rStyle w:val="PageNumber"/>
        <w:rFonts w:ascii="Arial" w:hAnsi="Arial"/>
        <w:sz w:val="20"/>
        <w:szCs w:val="20"/>
      </w:rPr>
      <w:fldChar w:fldCharType="separate"/>
    </w:r>
    <w:r w:rsidR="0026344C">
      <w:rPr>
        <w:rStyle w:val="PageNumber"/>
        <w:rFonts w:ascii="Arial" w:hAnsi="Arial"/>
        <w:noProof/>
        <w:sz w:val="20"/>
        <w:szCs w:val="20"/>
      </w:rPr>
      <w:t>129</w:t>
    </w:r>
    <w:r>
      <w:rPr>
        <w:rStyle w:val="PageNumber"/>
        <w:rFonts w:ascii="Arial" w:hAnsi="Arial"/>
        <w:sz w:val="20"/>
        <w:szCs w:val="20"/>
      </w:rPr>
      <w:fldChar w:fldCharType="end"/>
    </w:r>
  </w:p>
  <w:p w:rsidR="0034021B" w:rsidRDefault="0034021B" w:rsidP="004631FD">
    <w:pPr>
      <w:pStyle w:val="Footer"/>
      <w:ind w:right="360"/>
      <w:jc w:val="center"/>
      <w:rPr>
        <w:rFonts w:ascii="Arial" w:hAnsi="Arial"/>
        <w:sz w:val="20"/>
        <w:szCs w:val="20"/>
      </w:rPr>
    </w:pPr>
  </w:p>
  <w:p w:rsidR="0034021B" w:rsidRDefault="0034021B" w:rsidP="004631FD">
    <w:pPr>
      <w:pStyle w:val="Footer"/>
      <w:ind w:right="360"/>
      <w:jc w:val="center"/>
      <w:rPr>
        <w:rFonts w:ascii="Arial" w:hAnsi="Arial"/>
        <w:sz w:val="20"/>
        <w:szCs w:val="20"/>
      </w:rPr>
    </w:pPr>
  </w:p>
  <w:p w:rsidR="0034021B" w:rsidRDefault="0034021B" w:rsidP="004631FD">
    <w:pPr>
      <w:pStyle w:val="Footer"/>
      <w:ind w:right="360"/>
      <w:jc w:val="center"/>
    </w:pPr>
    <w:r>
      <w:rPr>
        <w:rFonts w:ascii="Arial" w:hAnsi="Arial"/>
        <w:sz w:val="20"/>
        <w:szCs w:val="20"/>
      </w:rPr>
      <w:t xml:space="preserve">- </w:t>
    </w:r>
    <w:r w:rsidRPr="00BF268D">
      <w:rPr>
        <w:rFonts w:ascii="Arial" w:hAnsi="Arial"/>
        <w:i/>
        <w:sz w:val="16"/>
        <w:szCs w:val="16"/>
      </w:rPr>
      <w:t xml:space="preserve">Version </w:t>
    </w:r>
    <w:r>
      <w:rPr>
        <w:rFonts w:ascii="Arial" w:hAnsi="Arial"/>
        <w:i/>
        <w:sz w:val="16"/>
        <w:szCs w:val="16"/>
      </w:rPr>
      <w:t xml:space="preserve">provisoire du 29 mars 2016 </w:t>
    </w:r>
    <w:r>
      <w:rPr>
        <w:rFonts w:ascii="Arial" w:hAnsi="Arial"/>
        <w:sz w:val="20"/>
        <w:szCs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1B" w:rsidRDefault="0034021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Footer"/>
      <w:framePr w:wrap="around" w:vAnchor="text" w:hAnchor="margin" w:xAlign="right" w:y="1"/>
      <w:rPr>
        <w:rStyle w:val="PageNumber"/>
        <w:rFonts w:ascii="Arial" w:hAnsi="Arial"/>
        <w:sz w:val="20"/>
        <w:szCs w:val="20"/>
      </w:rPr>
    </w:pPr>
    <w:r>
      <w:rPr>
        <w:rStyle w:val="PageNumber"/>
        <w:rFonts w:ascii="Arial" w:hAnsi="Arial"/>
        <w:sz w:val="20"/>
        <w:szCs w:val="20"/>
      </w:rPr>
      <w:fldChar w:fldCharType="begin"/>
    </w:r>
    <w:r>
      <w:rPr>
        <w:rStyle w:val="PageNumber"/>
        <w:rFonts w:ascii="Arial" w:hAnsi="Arial"/>
        <w:sz w:val="20"/>
        <w:szCs w:val="20"/>
      </w:rPr>
      <w:instrText xml:space="preserve">PAGE  </w:instrText>
    </w:r>
    <w:r>
      <w:rPr>
        <w:rStyle w:val="PageNumber"/>
        <w:rFonts w:ascii="Arial" w:hAnsi="Arial"/>
        <w:sz w:val="20"/>
        <w:szCs w:val="20"/>
      </w:rPr>
      <w:fldChar w:fldCharType="separate"/>
    </w:r>
    <w:r w:rsidR="0026344C">
      <w:rPr>
        <w:rStyle w:val="PageNumber"/>
        <w:rFonts w:ascii="Arial" w:hAnsi="Arial"/>
        <w:noProof/>
        <w:sz w:val="20"/>
        <w:szCs w:val="20"/>
      </w:rPr>
      <w:t>141</w:t>
    </w:r>
    <w:r>
      <w:rPr>
        <w:rStyle w:val="PageNumber"/>
        <w:rFonts w:ascii="Arial" w:hAnsi="Arial"/>
        <w:sz w:val="20"/>
        <w:szCs w:val="20"/>
      </w:rPr>
      <w:fldChar w:fldCharType="end"/>
    </w:r>
  </w:p>
  <w:p w:rsidR="0034021B" w:rsidRDefault="0034021B">
    <w:pPr>
      <w:pStyle w:val="Footer"/>
      <w:ind w:right="360"/>
      <w:jc w:val="center"/>
      <w:rPr>
        <w:rFonts w:ascii="Arial" w:hAnsi="Arial"/>
        <w:sz w:val="20"/>
        <w:szCs w:val="20"/>
      </w:rPr>
    </w:pPr>
  </w:p>
  <w:p w:rsidR="0034021B" w:rsidRDefault="0034021B">
    <w:pPr>
      <w:pStyle w:val="Footer"/>
      <w:ind w:right="360"/>
      <w:jc w:val="center"/>
      <w:rPr>
        <w:rFonts w:ascii="Arial" w:hAnsi="Arial"/>
        <w:sz w:val="20"/>
        <w:szCs w:val="20"/>
      </w:rPr>
    </w:pPr>
  </w:p>
  <w:p w:rsidR="0034021B" w:rsidRDefault="0034021B">
    <w:pPr>
      <w:pStyle w:val="Footer"/>
      <w:ind w:right="360"/>
      <w:jc w:val="center"/>
    </w:pPr>
    <w:r>
      <w:rPr>
        <w:rFonts w:ascii="Arial" w:hAnsi="Arial"/>
        <w:sz w:val="20"/>
        <w:szCs w:val="20"/>
      </w:rPr>
      <w:t xml:space="preserve">- </w:t>
    </w:r>
    <w:r w:rsidRPr="00BF268D">
      <w:rPr>
        <w:rFonts w:ascii="Arial" w:hAnsi="Arial"/>
        <w:i/>
        <w:sz w:val="16"/>
        <w:szCs w:val="16"/>
      </w:rPr>
      <w:t xml:space="preserve">Version </w:t>
    </w:r>
    <w:r>
      <w:rPr>
        <w:rFonts w:ascii="Arial" w:hAnsi="Arial"/>
        <w:i/>
        <w:sz w:val="16"/>
        <w:szCs w:val="16"/>
      </w:rPr>
      <w:t>provisoire du 7 mars 2016</w:t>
    </w:r>
    <w:r>
      <w:rPr>
        <w:rFonts w:ascii="Arial" w:hAnsi="Arial"/>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1B" w:rsidRDefault="0034021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Footer"/>
      <w:framePr w:wrap="around" w:vAnchor="text" w:hAnchor="margin" w:xAlign="right" w:y="1"/>
      <w:rPr>
        <w:rStyle w:val="PageNumber"/>
        <w:rFonts w:ascii="Arial" w:hAnsi="Arial"/>
        <w:sz w:val="20"/>
        <w:szCs w:val="20"/>
      </w:rPr>
    </w:pPr>
    <w:r>
      <w:rPr>
        <w:rStyle w:val="PageNumber"/>
        <w:rFonts w:ascii="Arial" w:hAnsi="Arial"/>
        <w:sz w:val="20"/>
        <w:szCs w:val="20"/>
      </w:rPr>
      <w:fldChar w:fldCharType="begin"/>
    </w:r>
    <w:r>
      <w:rPr>
        <w:rStyle w:val="PageNumber"/>
        <w:rFonts w:ascii="Arial" w:hAnsi="Arial"/>
        <w:sz w:val="20"/>
        <w:szCs w:val="20"/>
      </w:rPr>
      <w:instrText xml:space="preserve">PAGE  </w:instrText>
    </w:r>
    <w:r>
      <w:rPr>
        <w:rStyle w:val="PageNumber"/>
        <w:rFonts w:ascii="Arial" w:hAnsi="Arial"/>
        <w:sz w:val="20"/>
        <w:szCs w:val="20"/>
      </w:rPr>
      <w:fldChar w:fldCharType="separate"/>
    </w:r>
    <w:r w:rsidR="0026344C">
      <w:rPr>
        <w:rStyle w:val="PageNumber"/>
        <w:rFonts w:ascii="Arial" w:hAnsi="Arial"/>
        <w:noProof/>
        <w:sz w:val="20"/>
        <w:szCs w:val="20"/>
      </w:rPr>
      <w:t>153</w:t>
    </w:r>
    <w:r>
      <w:rPr>
        <w:rStyle w:val="PageNumber"/>
        <w:rFonts w:ascii="Arial" w:hAnsi="Arial"/>
        <w:sz w:val="20"/>
        <w:szCs w:val="20"/>
      </w:rPr>
      <w:fldChar w:fldCharType="end"/>
    </w:r>
  </w:p>
  <w:p w:rsidR="0034021B" w:rsidRDefault="0034021B">
    <w:pPr>
      <w:pStyle w:val="Footer"/>
      <w:ind w:right="360"/>
      <w:jc w:val="center"/>
      <w:rPr>
        <w:rFonts w:ascii="Arial" w:hAnsi="Arial"/>
        <w:sz w:val="20"/>
        <w:szCs w:val="20"/>
      </w:rPr>
    </w:pPr>
  </w:p>
  <w:p w:rsidR="0034021B" w:rsidRDefault="0034021B">
    <w:pPr>
      <w:pStyle w:val="Footer"/>
      <w:ind w:right="360"/>
      <w:jc w:val="center"/>
      <w:rPr>
        <w:rFonts w:ascii="Arial" w:hAnsi="Arial"/>
        <w:sz w:val="20"/>
        <w:szCs w:val="20"/>
      </w:rPr>
    </w:pPr>
  </w:p>
  <w:p w:rsidR="0034021B" w:rsidRDefault="0034021B">
    <w:pPr>
      <w:pStyle w:val="Footer"/>
      <w:ind w:right="360"/>
      <w:jc w:val="center"/>
    </w:pPr>
    <w:r>
      <w:rPr>
        <w:rFonts w:ascii="Arial" w:hAnsi="Arial"/>
        <w:sz w:val="20"/>
        <w:szCs w:val="20"/>
      </w:rPr>
      <w:t xml:space="preserve">- </w:t>
    </w:r>
    <w:r w:rsidRPr="00BF268D">
      <w:rPr>
        <w:rFonts w:ascii="Arial" w:hAnsi="Arial"/>
        <w:i/>
        <w:sz w:val="16"/>
        <w:szCs w:val="16"/>
      </w:rPr>
      <w:t xml:space="preserve">Version </w:t>
    </w:r>
    <w:r>
      <w:rPr>
        <w:rFonts w:ascii="Arial" w:hAnsi="Arial"/>
        <w:i/>
        <w:sz w:val="16"/>
        <w:szCs w:val="16"/>
      </w:rPr>
      <w:t xml:space="preserve">revue du 7 mars 2016 </w:t>
    </w:r>
    <w:r>
      <w:rPr>
        <w:rFonts w:ascii="Arial" w:hAnsi="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86" w:rsidRDefault="00EB6786">
      <w:r>
        <w:separator/>
      </w:r>
    </w:p>
  </w:footnote>
  <w:footnote w:type="continuationSeparator" w:id="0">
    <w:p w:rsidR="00EB6786" w:rsidRDefault="00EB6786">
      <w:r>
        <w:continuationSeparator/>
      </w:r>
    </w:p>
  </w:footnote>
  <w:footnote w:id="1">
    <w:p w:rsidR="0034021B" w:rsidRDefault="0034021B" w:rsidP="00FE4161">
      <w:pPr>
        <w:pStyle w:val="FootnoteText"/>
        <w:rPr>
          <w:lang w:val="en-GB"/>
        </w:rPr>
      </w:pPr>
      <w:r>
        <w:rPr>
          <w:rStyle w:val="FootnoteReference"/>
        </w:rPr>
        <w:footnoteRef/>
      </w:r>
      <w:r>
        <w:rPr>
          <w:lang w:val="en-US"/>
        </w:rPr>
        <w:t xml:space="preserve"> </w:t>
      </w:r>
      <w:r>
        <w:rPr>
          <w:i/>
          <w:iCs/>
          <w:lang w:val="en-GB"/>
        </w:rPr>
        <w:t>Sub National Technical Assistance Program - Public –Private Infrastructure Advisory Facility</w:t>
      </w:r>
    </w:p>
  </w:footnote>
  <w:footnote w:id="2">
    <w:p w:rsidR="0034021B" w:rsidRDefault="0034021B" w:rsidP="00961468">
      <w:pPr>
        <w:pStyle w:val="FootnoteText"/>
      </w:pPr>
      <w:r>
        <w:rPr>
          <w:rStyle w:val="FootnoteReference"/>
        </w:rPr>
        <w:footnoteRef/>
      </w:r>
      <w:r>
        <w:t xml:space="preserve"> Il s’agit des communes urbaines de Casablanca, Rabat, Tanger, Marrakech, Fès et Salé (article 84 de la charte communale).</w:t>
      </w:r>
    </w:p>
  </w:footnote>
  <w:footnote w:id="3">
    <w:p w:rsidR="0034021B" w:rsidRPr="00F84A39" w:rsidRDefault="0034021B" w:rsidP="00106354">
      <w:r>
        <w:rPr>
          <w:rStyle w:val="FootnoteReference"/>
        </w:rPr>
        <w:footnoteRef/>
      </w:r>
      <w:r w:rsidRPr="001E6DA7">
        <w:rPr>
          <w:rFonts w:ascii="Arial" w:hAnsi="Arial"/>
          <w:i/>
          <w:iCs/>
          <w:sz w:val="20"/>
          <w:szCs w:val="20"/>
          <w:lang w:val="sw-KE"/>
        </w:rPr>
        <w:t>Le</w:t>
      </w:r>
      <w:r>
        <w:rPr>
          <w:rFonts w:ascii="Arial" w:hAnsi="Arial"/>
          <w:i/>
          <w:iCs/>
          <w:sz w:val="20"/>
          <w:szCs w:val="20"/>
          <w:lang w:val="sw-KE"/>
        </w:rPr>
        <w:t xml:space="preserve"> </w:t>
      </w:r>
      <w:r w:rsidRPr="001126DF">
        <w:rPr>
          <w:rFonts w:ascii="Arial" w:hAnsi="Arial"/>
          <w:i/>
          <w:iCs/>
          <w:sz w:val="20"/>
          <w:szCs w:val="20"/>
          <w:lang w:val="sw-KE"/>
        </w:rPr>
        <w:t xml:space="preserve">Public-Private Infrastructure Advisory Facility </w:t>
      </w:r>
      <w:r>
        <w:rPr>
          <w:rFonts w:ascii="Arial" w:hAnsi="Arial"/>
          <w:i/>
          <w:iCs/>
          <w:sz w:val="20"/>
          <w:szCs w:val="20"/>
          <w:lang w:val="sw-KE"/>
        </w:rPr>
        <w:t>(</w:t>
      </w:r>
      <w:r w:rsidRPr="001126DF">
        <w:rPr>
          <w:rFonts w:ascii="Arial" w:hAnsi="Arial"/>
          <w:i/>
          <w:iCs/>
          <w:sz w:val="20"/>
          <w:szCs w:val="20"/>
          <w:lang w:val="sw-KE"/>
        </w:rPr>
        <w:t>PPIAF</w:t>
      </w:r>
      <w:r w:rsidRPr="001126DF">
        <w:rPr>
          <w:rFonts w:ascii="Arial" w:hAnsi="Arial"/>
          <w:sz w:val="20"/>
          <w:szCs w:val="20"/>
          <w:lang w:val="sw-KE"/>
        </w:rPr>
        <w:t>)</w:t>
      </w:r>
      <w:r>
        <w:rPr>
          <w:rFonts w:ascii="Arial" w:hAnsi="Arial"/>
          <w:sz w:val="20"/>
          <w:szCs w:val="20"/>
          <w:lang w:val="sw-KE"/>
        </w:rPr>
        <w:t xml:space="preserve"> est</w:t>
      </w:r>
      <w:r w:rsidRPr="001126DF">
        <w:rPr>
          <w:rFonts w:ascii="Arial" w:hAnsi="Arial"/>
          <w:sz w:val="20"/>
          <w:szCs w:val="20"/>
          <w:lang w:val="sw-KE"/>
        </w:rPr>
        <w:t xml:space="preserve"> un</w:t>
      </w:r>
      <w:r>
        <w:rPr>
          <w:rFonts w:ascii="Arial" w:hAnsi="Arial"/>
          <w:sz w:val="20"/>
          <w:szCs w:val="20"/>
          <w:lang w:val="sw-KE"/>
        </w:rPr>
        <w:t xml:space="preserve"> </w:t>
      </w:r>
      <w:r w:rsidRPr="001126DF">
        <w:rPr>
          <w:rFonts w:ascii="Arial" w:hAnsi="Arial"/>
          <w:sz w:val="20"/>
          <w:szCs w:val="20"/>
          <w:lang w:val="sw-KE"/>
        </w:rPr>
        <w:t>fond d’assistance technique constitué par plusieurs bailleurs de fondset</w:t>
      </w:r>
      <w:r>
        <w:rPr>
          <w:rFonts w:ascii="Arial" w:hAnsi="Arial"/>
          <w:sz w:val="20"/>
          <w:szCs w:val="20"/>
          <w:lang w:val="sw-KE"/>
        </w:rPr>
        <w:t xml:space="preserve"> </w:t>
      </w:r>
      <w:r w:rsidRPr="001126DF">
        <w:rPr>
          <w:rFonts w:ascii="Arial" w:hAnsi="Arial"/>
          <w:sz w:val="20"/>
          <w:szCs w:val="20"/>
          <w:lang w:val="sw-KE"/>
        </w:rPr>
        <w:t>géré par la Banque mondiale</w:t>
      </w:r>
      <w:r>
        <w:rPr>
          <w:rFonts w:ascii="Arial" w:hAnsi="Arial"/>
          <w:sz w:val="20"/>
          <w:szCs w:val="20"/>
          <w:lang w:val="sw-KE"/>
        </w:rPr>
        <w:t xml:space="preserve">. Le PPIAF a été </w:t>
      </w:r>
      <w:r w:rsidRPr="001126DF">
        <w:rPr>
          <w:rFonts w:ascii="Arial" w:hAnsi="Arial"/>
          <w:sz w:val="20"/>
          <w:szCs w:val="20"/>
          <w:lang w:val="sw-KE"/>
        </w:rPr>
        <w:t>créé pour assister les gouvernements qui</w:t>
      </w:r>
      <w:r>
        <w:rPr>
          <w:rFonts w:ascii="Arial" w:hAnsi="Arial"/>
          <w:sz w:val="20"/>
          <w:szCs w:val="20"/>
          <w:lang w:val="sw-KE"/>
        </w:rPr>
        <w:t xml:space="preserve"> </w:t>
      </w:r>
      <w:r w:rsidRPr="001126DF">
        <w:rPr>
          <w:rFonts w:ascii="Arial" w:hAnsi="Arial"/>
          <w:sz w:val="20"/>
          <w:szCs w:val="20"/>
          <w:lang w:val="sw-KE"/>
        </w:rPr>
        <w:t>désirent explorer des partenariats avec le secteur privé afin de développer et</w:t>
      </w:r>
      <w:r>
        <w:rPr>
          <w:rFonts w:ascii="Arial" w:hAnsi="Arial"/>
          <w:sz w:val="20"/>
          <w:szCs w:val="20"/>
          <w:lang w:val="sw-KE"/>
        </w:rPr>
        <w:t xml:space="preserve"> </w:t>
      </w:r>
      <w:r w:rsidRPr="001126DF">
        <w:rPr>
          <w:rFonts w:ascii="Arial" w:hAnsi="Arial"/>
          <w:sz w:val="20"/>
          <w:szCs w:val="20"/>
          <w:lang w:val="sw-KE"/>
        </w:rPr>
        <w:t>améliorer leurs services d’infrastructure</w:t>
      </w:r>
      <w:r>
        <w:rPr>
          <w:rFonts w:ascii="Arial" w:hAnsi="Arial"/>
          <w:sz w:val="20"/>
          <w:szCs w:val="20"/>
          <w:lang w:val="sw-KE"/>
        </w:rPr>
        <w:t xml:space="preserve"> (</w:t>
      </w:r>
      <w:r w:rsidRPr="001E6DA7">
        <w:rPr>
          <w:rFonts w:ascii="Arial" w:hAnsi="Arial"/>
          <w:sz w:val="20"/>
          <w:szCs w:val="20"/>
          <w:u w:val="single"/>
          <w:lang w:val="sw-KE"/>
        </w:rPr>
        <w:t>source</w:t>
      </w:r>
      <w:r>
        <w:rPr>
          <w:rFonts w:ascii="Arial" w:hAnsi="Arial"/>
          <w:sz w:val="20"/>
          <w:szCs w:val="20"/>
          <w:lang w:val="sw-KE"/>
        </w:rPr>
        <w:t xml:space="preserve">: </w:t>
      </w:r>
      <w:hyperlink r:id="rId1" w:history="1">
        <w:r w:rsidRPr="00423518">
          <w:rPr>
            <w:rStyle w:val="Hyperlink"/>
            <w:rFonts w:ascii="Arial" w:hAnsi="Arial"/>
            <w:sz w:val="20"/>
            <w:szCs w:val="20"/>
            <w:lang w:val="sw-KE"/>
          </w:rPr>
          <w:t>www.ppiaf.org</w:t>
        </w:r>
      </w:hyperlink>
      <w:r>
        <w:rPr>
          <w:rFonts w:ascii="Arial" w:hAnsi="Arial"/>
          <w:sz w:val="20"/>
          <w:szCs w:val="20"/>
          <w:lang w:val="sw-KE"/>
        </w:rPr>
        <w:t xml:space="preserve">) </w:t>
      </w:r>
      <w:r w:rsidRPr="002F51A9">
        <w:rPr>
          <w:rFonts w:ascii="Arial" w:hAnsi="Arial"/>
        </w:rPr>
        <w:tab/>
      </w:r>
    </w:p>
  </w:footnote>
  <w:footnote w:id="4">
    <w:p w:rsidR="0034021B" w:rsidRDefault="0034021B" w:rsidP="00961468">
      <w:pPr>
        <w:pStyle w:val="FootnoteText"/>
        <w:rPr>
          <w:lang w:val="en-GB"/>
        </w:rPr>
      </w:pPr>
      <w:r>
        <w:rPr>
          <w:rStyle w:val="FootnoteReference"/>
        </w:rPr>
        <w:footnoteRef/>
      </w:r>
      <w:r>
        <w:rPr>
          <w:lang w:val="en-US"/>
        </w:rPr>
        <w:t xml:space="preserve"> </w:t>
      </w:r>
      <w:r>
        <w:rPr>
          <w:i/>
          <w:iCs/>
          <w:lang w:val="en-GB"/>
        </w:rPr>
        <w:t>Sub National Technical Assistance Program - Public –Private Infrastructure Advisory Facility</w:t>
      </w:r>
    </w:p>
  </w:footnote>
  <w:footnote w:id="5">
    <w:p w:rsidR="0034021B" w:rsidRDefault="0034021B" w:rsidP="00961468">
      <w:pPr>
        <w:pStyle w:val="FootnoteText"/>
      </w:pPr>
      <w:r>
        <w:rPr>
          <w:rStyle w:val="FootnoteReference"/>
        </w:rPr>
        <w:footnoteRef/>
      </w:r>
      <w:r>
        <w:t xml:space="preserve"> Voir la bibliographie en annexe.</w:t>
      </w:r>
    </w:p>
  </w:footnote>
  <w:footnote w:id="6">
    <w:p w:rsidR="0034021B" w:rsidRPr="00D87C9A" w:rsidRDefault="0034021B" w:rsidP="00C24A07">
      <w:pPr>
        <w:pStyle w:val="Default"/>
        <w:jc w:val="both"/>
        <w:rPr>
          <w:rStyle w:val="apple-converted-space"/>
          <w:lang w:val="fr-FR"/>
        </w:rPr>
      </w:pPr>
      <w:r w:rsidRPr="00D87C9A">
        <w:rPr>
          <w:rStyle w:val="FootnoteReference"/>
          <w:lang w:val="fr-FR"/>
        </w:rPr>
        <w:footnoteRef/>
      </w:r>
      <w:r w:rsidRPr="00D87C9A">
        <w:rPr>
          <w:rFonts w:asciiTheme="minorHAnsi" w:hAnsiTheme="minorHAnsi" w:cstheme="minorBidi"/>
          <w:color w:val="auto"/>
          <w:sz w:val="20"/>
          <w:szCs w:val="20"/>
          <w:lang w:val="fr-FR"/>
        </w:rPr>
        <w:t>243 Etablissements publics opérant, notamment dans les domaines des infrastructures, de l'agriculture, de la santé, de l'éducation, de l'urbanisme, de l'aménagement et de la distribution d'eau et d'électricité.</w:t>
      </w:r>
    </w:p>
    <w:p w:rsidR="0034021B" w:rsidRPr="00D87C9A" w:rsidRDefault="0034021B" w:rsidP="00C24A07">
      <w:pPr>
        <w:pStyle w:val="FootnoteText"/>
      </w:pPr>
    </w:p>
  </w:footnote>
  <w:footnote w:id="7">
    <w:p w:rsidR="0034021B" w:rsidRPr="00D87C9A" w:rsidRDefault="0034021B" w:rsidP="00C24A07">
      <w:pPr>
        <w:pStyle w:val="Default"/>
        <w:jc w:val="both"/>
        <w:rPr>
          <w:rStyle w:val="apple-converted-space"/>
          <w:lang w:val="fr-FR"/>
        </w:rPr>
      </w:pPr>
      <w:r w:rsidRPr="00D87C9A">
        <w:rPr>
          <w:rStyle w:val="FootnoteReference"/>
          <w:lang w:val="fr-FR"/>
        </w:rPr>
        <w:footnoteRef/>
      </w:r>
      <w:r w:rsidRPr="00D87C9A">
        <w:rPr>
          <w:rFonts w:asciiTheme="minorHAnsi" w:hAnsiTheme="minorHAnsi" w:cstheme="minorBidi"/>
          <w:color w:val="auto"/>
          <w:sz w:val="20"/>
          <w:szCs w:val="20"/>
          <w:lang w:val="fr-FR"/>
        </w:rPr>
        <w:t>42 Entreprises publiques à participation directe du Trésor dominées majoritairement (35 unités, soit 83%) par des sociétés d'Etat de grande importance dont OCP SA, HAO, ADM, Barid Al Maghrib, CAM, MASEN et RAM. Par ailleurs, 17 sociétés relèvent directement des collectivités territoriales.</w:t>
      </w:r>
    </w:p>
    <w:p w:rsidR="0034021B" w:rsidRDefault="0034021B" w:rsidP="00C24A07">
      <w:pPr>
        <w:pStyle w:val="FootnoteText"/>
      </w:pPr>
    </w:p>
  </w:footnote>
  <w:footnote w:id="8">
    <w:p w:rsidR="0034021B" w:rsidRPr="00D95308" w:rsidRDefault="0034021B" w:rsidP="00C24A07">
      <w:pPr>
        <w:spacing w:line="240" w:lineRule="atLeast"/>
        <w:jc w:val="both"/>
        <w:rPr>
          <w:sz w:val="20"/>
          <w:szCs w:val="20"/>
          <w:lang w:bidi="ml-IN"/>
        </w:rPr>
      </w:pPr>
      <w:r w:rsidRPr="00D95308">
        <w:rPr>
          <w:sz w:val="20"/>
          <w:szCs w:val="20"/>
          <w:lang w:bidi="ml-IN"/>
        </w:rPr>
        <w:footnoteRef/>
      </w:r>
      <w:r w:rsidRPr="00D95308">
        <w:rPr>
          <w:sz w:val="20"/>
          <w:szCs w:val="20"/>
          <w:lang w:bidi="ml-IN"/>
        </w:rPr>
        <w:t>L’analyse montre que les transferts budgétaires de l’Etat aux EEP continuent à être orientés vers des secteurs prioritaires : secteur social (10.640 MDH), agriculture (2.981 MDH) et infrastructures (1.112 MDH).</w:t>
      </w:r>
    </w:p>
    <w:p w:rsidR="0034021B" w:rsidRPr="00D95308" w:rsidRDefault="0034021B" w:rsidP="00C24A07">
      <w:pPr>
        <w:pStyle w:val="FootnoteText"/>
        <w:rPr>
          <w:lang w:bidi="ml-IN"/>
        </w:rPr>
      </w:pPr>
    </w:p>
  </w:footnote>
  <w:footnote w:id="9">
    <w:p w:rsidR="0034021B" w:rsidRPr="00D95308" w:rsidRDefault="0034021B" w:rsidP="00C24A07">
      <w:pPr>
        <w:pStyle w:val="CTBCorpsdetexte"/>
        <w:spacing w:after="0"/>
        <w:rPr>
          <w:rFonts w:asciiTheme="minorHAnsi" w:hAnsiTheme="minorHAnsi" w:cstheme="minorBidi"/>
          <w:kern w:val="0"/>
          <w:lang w:val="fr-FR" w:bidi="ml-IN"/>
        </w:rPr>
      </w:pPr>
      <w:r w:rsidRPr="00D95308">
        <w:rPr>
          <w:rFonts w:asciiTheme="minorHAnsi" w:hAnsiTheme="minorHAnsi" w:cstheme="minorBidi"/>
          <w:kern w:val="0"/>
          <w:lang w:val="fr-FR" w:bidi="ml-IN"/>
        </w:rPr>
        <w:footnoteRef/>
      </w:r>
      <w:r w:rsidRPr="00D95308">
        <w:rPr>
          <w:rFonts w:asciiTheme="minorHAnsi" w:hAnsiTheme="minorHAnsi" w:cstheme="minorBidi"/>
          <w:kern w:val="0"/>
          <w:lang w:val="fr-FR" w:bidi="ml-IN"/>
        </w:rPr>
        <w:t xml:space="preserve"> Le nouveau découpage régional mis en place après les élections du 4 septembre 2015 a réduit le nombre de régions à 12. </w:t>
      </w:r>
    </w:p>
  </w:footnote>
  <w:footnote w:id="10">
    <w:p w:rsidR="0034021B" w:rsidRPr="00D95308" w:rsidRDefault="0034021B" w:rsidP="00C24A07">
      <w:pPr>
        <w:pStyle w:val="CTBCorpsdetexte"/>
        <w:rPr>
          <w:rFonts w:asciiTheme="minorHAnsi" w:hAnsiTheme="minorHAnsi" w:cstheme="minorBidi"/>
          <w:kern w:val="0"/>
          <w:lang w:val="fr-FR" w:bidi="ml-IN"/>
        </w:rPr>
      </w:pPr>
    </w:p>
  </w:footnote>
  <w:footnote w:id="11">
    <w:p w:rsidR="0034021B" w:rsidRPr="003E29D5" w:rsidRDefault="0034021B" w:rsidP="00C24A07">
      <w:pPr>
        <w:pStyle w:val="FootnoteText"/>
        <w:jc w:val="both"/>
        <w:rPr>
          <w:rFonts w:ascii="Arial" w:hAnsi="Arial" w:cs="Arial"/>
        </w:rPr>
      </w:pPr>
      <w:r w:rsidRPr="003E29D5">
        <w:rPr>
          <w:rStyle w:val="FootnoteReference"/>
          <w:rFonts w:eastAsia="Arial Unicode MS"/>
        </w:rPr>
        <w:footnoteRef/>
      </w:r>
      <w:r w:rsidRPr="003E29D5">
        <w:rPr>
          <w:rFonts w:ascii="Arial" w:hAnsi="Arial" w:cs="Arial"/>
        </w:rPr>
        <w:t xml:space="preserve">  Les transferts de 1% au titre de l’Impôt sur les Sociétés et de 1% au titre de l’Impôt sur les revenus profitent uniquement au</w:t>
      </w:r>
      <w:r>
        <w:rPr>
          <w:rFonts w:ascii="Arial" w:hAnsi="Arial" w:cs="Arial"/>
        </w:rPr>
        <w:t>x régions. Une</w:t>
      </w:r>
      <w:r w:rsidRPr="003E29D5">
        <w:rPr>
          <w:rFonts w:ascii="Arial" w:hAnsi="Arial" w:cs="Arial"/>
        </w:rPr>
        <w:t xml:space="preserve"> révision de ces taux à la hausse pour </w:t>
      </w:r>
      <w:r>
        <w:rPr>
          <w:rFonts w:ascii="Arial" w:hAnsi="Arial" w:cs="Arial"/>
        </w:rPr>
        <w:t>atteindre</w:t>
      </w:r>
      <w:r w:rsidRPr="003E29D5">
        <w:rPr>
          <w:rFonts w:ascii="Arial" w:hAnsi="Arial" w:cs="Arial"/>
        </w:rPr>
        <w:t xml:space="preserve"> les </w:t>
      </w:r>
      <w:r>
        <w:rPr>
          <w:rFonts w:ascii="Arial" w:hAnsi="Arial" w:cs="Arial"/>
        </w:rPr>
        <w:t>5% est intégrée dans la nouvelle loi (juillet 2015)</w:t>
      </w:r>
      <w:r w:rsidRPr="003E29D5">
        <w:rPr>
          <w:rFonts w:ascii="Arial" w:hAnsi="Arial" w:cs="Arial"/>
        </w:rPr>
        <w:t xml:space="preserve">.  </w:t>
      </w:r>
    </w:p>
  </w:footnote>
  <w:footnote w:id="12">
    <w:p w:rsidR="0034021B" w:rsidRPr="007A64FB" w:rsidRDefault="0034021B" w:rsidP="00C24A07">
      <w:pPr>
        <w:pStyle w:val="FootnoteText"/>
        <w:rPr>
          <w:rFonts w:ascii="Arial" w:hAnsi="Arial" w:cs="Arial"/>
        </w:rPr>
      </w:pPr>
      <w:r w:rsidRPr="007A64FB">
        <w:rPr>
          <w:rStyle w:val="FootnoteReference"/>
          <w:rFonts w:eastAsia="Arial Unicode MS"/>
        </w:rPr>
        <w:footnoteRef/>
      </w:r>
      <w:r w:rsidRPr="007A64FB">
        <w:rPr>
          <w:rFonts w:ascii="Arial" w:hAnsi="Arial" w:cs="Arial"/>
        </w:rPr>
        <w:t xml:space="preserve"> Charte Communale, déjà cité, art. 47</w:t>
      </w:r>
    </w:p>
  </w:footnote>
  <w:footnote w:id="13">
    <w:p w:rsidR="0034021B" w:rsidRPr="00957ADD" w:rsidRDefault="0034021B" w:rsidP="00C24A07">
      <w:pPr>
        <w:jc w:val="both"/>
      </w:pPr>
      <w:r w:rsidRPr="007A64FB">
        <w:rPr>
          <w:rStyle w:val="FootnoteReference"/>
          <w:rFonts w:eastAsia="Arial Unicode MS"/>
        </w:rPr>
        <w:footnoteRef/>
      </w:r>
      <w:r>
        <w:rPr>
          <w:rFonts w:ascii="Arial" w:hAnsi="Arial" w:cs="Arial"/>
          <w:sz w:val="20"/>
          <w:szCs w:val="20"/>
        </w:rPr>
        <w:t xml:space="preserve"> Loi n⁰ 4</w:t>
      </w:r>
      <w:r w:rsidRPr="007A64FB">
        <w:rPr>
          <w:rFonts w:ascii="Arial" w:hAnsi="Arial" w:cs="Arial"/>
          <w:sz w:val="20"/>
          <w:szCs w:val="20"/>
        </w:rPr>
        <w:t xml:space="preserve">7-06 </w:t>
      </w:r>
      <w:r>
        <w:rPr>
          <w:rFonts w:ascii="Arial" w:hAnsi="Arial" w:cs="Arial"/>
          <w:sz w:val="20"/>
          <w:szCs w:val="20"/>
        </w:rPr>
        <w:t xml:space="preserve">relative à la fiscalité des collectivités locales </w:t>
      </w:r>
      <w:r w:rsidRPr="007A64FB">
        <w:rPr>
          <w:rFonts w:ascii="Arial" w:hAnsi="Arial" w:cs="Arial"/>
          <w:sz w:val="20"/>
          <w:szCs w:val="20"/>
        </w:rPr>
        <w:t>promulguée par le Dahir n° 1-07-195 du 30 novembre 2007 et complété</w:t>
      </w:r>
      <w:r>
        <w:rPr>
          <w:rFonts w:ascii="Arial" w:hAnsi="Arial" w:cs="Arial"/>
          <w:sz w:val="20"/>
          <w:szCs w:val="20"/>
        </w:rPr>
        <w:t>e</w:t>
      </w:r>
      <w:r w:rsidRPr="007A64FB">
        <w:rPr>
          <w:rFonts w:ascii="Arial" w:hAnsi="Arial" w:cs="Arial"/>
          <w:sz w:val="20"/>
          <w:szCs w:val="20"/>
        </w:rPr>
        <w:t xml:space="preserve"> par la loi 39-07 du 31 décembre 2007 qui reconduit l’application de la loi 30-89 en ce qui concerne certains droits redevances et taxes.</w:t>
      </w:r>
    </w:p>
  </w:footnote>
  <w:footnote w:id="14">
    <w:p w:rsidR="0034021B" w:rsidRDefault="0034021B" w:rsidP="0070479E">
      <w:pPr>
        <w:pStyle w:val="FootnoteText"/>
      </w:pPr>
      <w:r>
        <w:rPr>
          <w:rStyle w:val="FootnoteReference"/>
        </w:rPr>
        <w:footnoteRef/>
      </w:r>
      <w:r>
        <w:t xml:space="preserve"> Cette conférence des présidents au sein de la CUC n’a pas été suffisamment effective (6 réunions au cours du dernier mandat).</w:t>
      </w:r>
    </w:p>
  </w:footnote>
  <w:footnote w:id="15">
    <w:p w:rsidR="0034021B" w:rsidRPr="00A16D29" w:rsidRDefault="0034021B" w:rsidP="0070479E">
      <w:pPr>
        <w:jc w:val="both"/>
        <w:rPr>
          <w:rFonts w:asciiTheme="minorHAnsi" w:hAnsiTheme="minorHAnsi" w:cs="Arial"/>
          <w:sz w:val="18"/>
          <w:szCs w:val="18"/>
        </w:rPr>
      </w:pPr>
      <w:r>
        <w:rPr>
          <w:rStyle w:val="FootnoteReference"/>
        </w:rPr>
        <w:footnoteRef/>
      </w:r>
      <w:r>
        <w:rPr>
          <w:rFonts w:asciiTheme="minorHAnsi" w:hAnsiTheme="minorHAnsi" w:cs="Arial"/>
          <w:sz w:val="18"/>
          <w:szCs w:val="18"/>
        </w:rPr>
        <w:t>N</w:t>
      </w:r>
      <w:r w:rsidRPr="00A16D29">
        <w:rPr>
          <w:rFonts w:asciiTheme="minorHAnsi" w:hAnsiTheme="minorHAnsi" w:cs="Arial"/>
          <w:sz w:val="18"/>
          <w:szCs w:val="18"/>
        </w:rPr>
        <w:t xml:space="preserve">on </w:t>
      </w:r>
      <w:r>
        <w:rPr>
          <w:rFonts w:asciiTheme="minorHAnsi" w:hAnsiTheme="minorHAnsi" w:cs="Arial"/>
          <w:sz w:val="18"/>
          <w:szCs w:val="18"/>
        </w:rPr>
        <w:t>officiel</w:t>
      </w:r>
    </w:p>
    <w:p w:rsidR="0034021B" w:rsidRDefault="0034021B" w:rsidP="0070479E">
      <w:pPr>
        <w:pStyle w:val="FootnoteText"/>
      </w:pPr>
    </w:p>
  </w:footnote>
  <w:footnote w:id="16">
    <w:p w:rsidR="0034021B" w:rsidRPr="00957ADD" w:rsidRDefault="0034021B" w:rsidP="003A596A">
      <w:pPr>
        <w:pStyle w:val="FootnoteText"/>
        <w:rPr>
          <w:rFonts w:ascii="Arial" w:hAnsi="Arial" w:cs="Arial"/>
        </w:rPr>
      </w:pPr>
      <w:r w:rsidRPr="00CB3116">
        <w:rPr>
          <w:rStyle w:val="FootnoteReference"/>
          <w:rFonts w:cs="Arial"/>
        </w:rPr>
        <w:footnoteRef/>
      </w:r>
      <w:r>
        <w:rPr>
          <w:rFonts w:ascii="Arial" w:hAnsi="Arial" w:cs="Arial"/>
        </w:rPr>
        <w:t>N</w:t>
      </w:r>
      <w:r w:rsidRPr="00CB3116">
        <w:rPr>
          <w:rFonts w:ascii="Arial" w:hAnsi="Arial" w:cs="Arial"/>
        </w:rPr>
        <w:t>ote circulaire N° 128 du Ministère de l'Intérieur datée du 27 Août 2002.</w:t>
      </w:r>
    </w:p>
  </w:footnote>
  <w:footnote w:id="17">
    <w:p w:rsidR="0034021B" w:rsidRPr="00957ADD" w:rsidRDefault="0034021B" w:rsidP="003A596A">
      <w:pPr>
        <w:pStyle w:val="FootnoteText"/>
      </w:pPr>
      <w:r w:rsidRPr="004E0CB1">
        <w:rPr>
          <w:rStyle w:val="FootnoteReference"/>
          <w:rFonts w:cs="Arial"/>
        </w:rPr>
        <w:footnoteRef/>
      </w:r>
      <w:r w:rsidRPr="00715DF4">
        <w:rPr>
          <w:rFonts w:ascii="Arial" w:hAnsi="Arial" w:cs="Arial"/>
        </w:rPr>
        <w:t>Loi Organique relative aux Lois de Finances promulguée le 26 novembre1998</w:t>
      </w:r>
      <w:r>
        <w:rPr>
          <w:rFonts w:ascii="Arial" w:hAnsi="Arial" w:cs="Arial"/>
        </w:rPr>
        <w:t>, art. 29</w:t>
      </w:r>
    </w:p>
  </w:footnote>
  <w:footnote w:id="18">
    <w:p w:rsidR="0034021B" w:rsidRDefault="0034021B" w:rsidP="003A596A">
      <w:pPr>
        <w:pStyle w:val="FootnoteText"/>
      </w:pPr>
      <w:r>
        <w:rPr>
          <w:rStyle w:val="FootnoteReference"/>
        </w:rPr>
        <w:footnoteRef/>
      </w:r>
      <w:r>
        <w:t xml:space="preserve"> Articles 157 à 159 de la loi 113.14 sur les communes.</w:t>
      </w:r>
    </w:p>
  </w:footnote>
  <w:footnote w:id="19">
    <w:p w:rsidR="0034021B" w:rsidRPr="00957ADD" w:rsidRDefault="0034021B" w:rsidP="003A596A">
      <w:pPr>
        <w:pStyle w:val="FootnoteText"/>
        <w:rPr>
          <w:rFonts w:ascii="Arial" w:hAnsi="Arial" w:cs="Arial"/>
        </w:rPr>
      </w:pPr>
      <w:r w:rsidRPr="00D026A6">
        <w:rPr>
          <w:rStyle w:val="FootnoteReference"/>
          <w:rFonts w:cs="Arial"/>
        </w:rPr>
        <w:footnoteRef/>
      </w:r>
      <w:r w:rsidRPr="00D026A6">
        <w:rPr>
          <w:rFonts w:ascii="Arial" w:hAnsi="Arial" w:cs="Arial"/>
        </w:rPr>
        <w:t xml:space="preserve"> Loi n°45-08 relative à l’organisation des finances des collectivités locales et de leurs groupements (1</w:t>
      </w:r>
      <w:r w:rsidRPr="003B557E">
        <w:rPr>
          <w:rFonts w:ascii="Arial" w:hAnsi="Arial" w:cs="Arial"/>
        </w:rPr>
        <w:t>8 février 2009),  art.</w:t>
      </w:r>
      <w:r w:rsidRPr="00D026A6">
        <w:rPr>
          <w:rFonts w:ascii="Arial" w:hAnsi="Arial" w:cs="Arial"/>
        </w:rPr>
        <w:t xml:space="preserve"> 16</w:t>
      </w:r>
    </w:p>
  </w:footnote>
  <w:footnote w:id="20">
    <w:p w:rsidR="0034021B" w:rsidRPr="004E0CB1" w:rsidRDefault="0034021B" w:rsidP="003A596A">
      <w:pPr>
        <w:pStyle w:val="FootnoteText"/>
        <w:rPr>
          <w:rFonts w:ascii="Arial" w:hAnsi="Arial" w:cs="Arial"/>
        </w:rPr>
      </w:pPr>
      <w:r w:rsidRPr="004E0CB1">
        <w:rPr>
          <w:rStyle w:val="FootnoteReference"/>
          <w:rFonts w:cs="Arial"/>
        </w:rPr>
        <w:footnoteRef/>
      </w:r>
      <w:r w:rsidRPr="004E0CB1">
        <w:rPr>
          <w:rFonts w:ascii="Arial" w:hAnsi="Arial" w:cs="Arial"/>
        </w:rPr>
        <w:t xml:space="preserve"> Circulaire du</w:t>
      </w:r>
      <w:r>
        <w:rPr>
          <w:rFonts w:ascii="Arial" w:hAnsi="Arial" w:cs="Arial"/>
        </w:rPr>
        <w:t xml:space="preserve"> Ministère de l’Intérieur en date du 9 octobre 2014</w:t>
      </w:r>
    </w:p>
  </w:footnote>
  <w:footnote w:id="21">
    <w:p w:rsidR="0034021B" w:rsidRDefault="0034021B" w:rsidP="003A596A">
      <w:pPr>
        <w:pStyle w:val="FootnoteText"/>
      </w:pPr>
      <w:r>
        <w:rPr>
          <w:rStyle w:val="FootnoteReference"/>
        </w:rPr>
        <w:footnoteRef/>
      </w:r>
      <w:r>
        <w:t xml:space="preserve"> Courrier du Wali en date du 28 novembre 2015</w:t>
      </w:r>
    </w:p>
  </w:footnote>
  <w:footnote w:id="22">
    <w:p w:rsidR="0034021B" w:rsidRPr="00957ADD" w:rsidRDefault="0034021B" w:rsidP="003A596A">
      <w:pPr>
        <w:pStyle w:val="FootnoteText"/>
      </w:pPr>
      <w:r w:rsidRPr="00D026A6">
        <w:rPr>
          <w:rStyle w:val="FootnoteReference"/>
          <w:rFonts w:cs="Arial"/>
        </w:rPr>
        <w:footnoteRef/>
      </w:r>
      <w:r w:rsidRPr="00715DF4">
        <w:rPr>
          <w:rFonts w:ascii="Arial" w:hAnsi="Arial" w:cs="Arial"/>
        </w:rPr>
        <w:t>Loi n°45-08</w:t>
      </w:r>
      <w:r>
        <w:rPr>
          <w:rFonts w:ascii="Arial" w:hAnsi="Arial" w:cs="Arial"/>
        </w:rPr>
        <w:t>, déjà cité,</w:t>
      </w:r>
      <w:r w:rsidRPr="00715DF4">
        <w:rPr>
          <w:rFonts w:ascii="Arial" w:hAnsi="Arial" w:cs="Arial"/>
        </w:rPr>
        <w:t xml:space="preserve"> art.6</w:t>
      </w:r>
    </w:p>
  </w:footnote>
  <w:footnote w:id="23">
    <w:p w:rsidR="0034021B" w:rsidRPr="00957ADD" w:rsidRDefault="0034021B" w:rsidP="003A596A">
      <w:pPr>
        <w:pStyle w:val="FootnoteText"/>
      </w:pPr>
      <w:r w:rsidRPr="003B557E">
        <w:rPr>
          <w:rStyle w:val="FootnoteReference"/>
          <w:rFonts w:ascii="Arial" w:hAnsi="Arial" w:cs="Arial"/>
        </w:rPr>
        <w:footnoteRef/>
      </w:r>
      <w:r>
        <w:rPr>
          <w:rFonts w:ascii="Arial" w:hAnsi="Arial" w:cs="Arial"/>
          <w:color w:val="141414"/>
          <w:lang w:eastAsia="fr-FR"/>
        </w:rPr>
        <w:t>Da</w:t>
      </w:r>
      <w:r w:rsidRPr="00715DF4">
        <w:rPr>
          <w:rFonts w:ascii="Arial" w:hAnsi="Arial" w:cs="Arial"/>
          <w:color w:val="141414"/>
          <w:lang w:eastAsia="fr-FR"/>
        </w:rPr>
        <w:t>hir portant loi n°1.76.584 et la loi n° 45.08</w:t>
      </w:r>
    </w:p>
  </w:footnote>
  <w:footnote w:id="24">
    <w:p w:rsidR="0034021B" w:rsidRDefault="0034021B" w:rsidP="003A596A">
      <w:pPr>
        <w:pStyle w:val="FootnoteText"/>
      </w:pPr>
      <w:r>
        <w:rPr>
          <w:rStyle w:val="FootnoteReference"/>
        </w:rPr>
        <w:footnoteRef/>
      </w:r>
      <w:r>
        <w:t xml:space="preserve"> Ce pourcentage sera revu à la hausse compte tenu des dispositions de la nouvelle loi organique 113.14 sur les communes qui stipule dans son article 245 que le montant des dotations aux arrondissements ne peut être inférieur à 10% du budget de la commune.</w:t>
      </w:r>
    </w:p>
  </w:footnote>
  <w:footnote w:id="25">
    <w:p w:rsidR="0034021B" w:rsidRPr="00A35EEC" w:rsidRDefault="0034021B" w:rsidP="003A596A">
      <w:pPr>
        <w:autoSpaceDE w:val="0"/>
        <w:autoSpaceDN w:val="0"/>
        <w:adjustRightInd w:val="0"/>
        <w:jc w:val="both"/>
        <w:rPr>
          <w:rFonts w:ascii="ArialMT" w:hAnsi="ArialMT" w:cs="ArialMT"/>
          <w:sz w:val="16"/>
          <w:szCs w:val="16"/>
        </w:rPr>
      </w:pPr>
      <w:r>
        <w:rPr>
          <w:rStyle w:val="FootnoteReference"/>
        </w:rPr>
        <w:footnoteRef/>
      </w:r>
      <w:r>
        <w:rPr>
          <w:rFonts w:ascii="ArialMT" w:hAnsi="ArialMT" w:cs="ArialMT"/>
          <w:sz w:val="16"/>
          <w:szCs w:val="16"/>
        </w:rPr>
        <w:t>Article 12 de la loi 45-08 : Tout compte d'affectation spéciale qui n'a pas donné lieu à dépenses pendant trois années consécutives peut être soldé au terme de la troisième année et le solde pris en recette à la deuxième partie du budget.</w:t>
      </w:r>
    </w:p>
  </w:footnote>
  <w:footnote w:id="26">
    <w:p w:rsidR="0034021B" w:rsidRPr="003C29F8" w:rsidRDefault="0034021B" w:rsidP="003A596A">
      <w:pPr>
        <w:spacing w:before="100" w:beforeAutospacing="1" w:after="100" w:afterAutospacing="1"/>
        <w:ind w:left="75"/>
        <w:rPr>
          <w:rFonts w:ascii="Arial" w:hAnsi="Arial" w:cs="Arial"/>
          <w:lang w:eastAsia="fr-FR"/>
        </w:rPr>
      </w:pPr>
      <w:r>
        <w:rPr>
          <w:rStyle w:val="FootnoteReference"/>
        </w:rPr>
        <w:footnoteRef/>
      </w:r>
      <w:r>
        <w:rPr>
          <w:rFonts w:ascii="ArialMT" w:hAnsi="ArialMT" w:cs="ArialMT"/>
          <w:sz w:val="16"/>
          <w:szCs w:val="16"/>
        </w:rPr>
        <w:t>D</w:t>
      </w:r>
      <w:r w:rsidRPr="00A35EEC">
        <w:rPr>
          <w:rFonts w:ascii="ArialMT" w:hAnsi="ArialMT" w:cs="ArialMT"/>
          <w:sz w:val="16"/>
          <w:szCs w:val="16"/>
        </w:rPr>
        <w:t xml:space="preserve">épourvus de la personnalité juridique mais jouissant d'une autonomie administrative et financière </w:t>
      </w:r>
      <w:bookmarkStart w:id="159" w:name="fnref20"/>
      <w:bookmarkEnd w:id="159"/>
    </w:p>
    <w:p w:rsidR="0034021B" w:rsidRDefault="0034021B" w:rsidP="003A596A">
      <w:pPr>
        <w:pStyle w:val="FootnoteText"/>
      </w:pPr>
    </w:p>
  </w:footnote>
  <w:footnote w:id="27">
    <w:p w:rsidR="0034021B" w:rsidRDefault="0034021B" w:rsidP="003A596A">
      <w:pPr>
        <w:pStyle w:val="FootnoteText"/>
      </w:pPr>
      <w:r>
        <w:rPr>
          <w:rStyle w:val="FootnoteReference"/>
        </w:rPr>
        <w:footnoteRef/>
      </w:r>
      <w:r>
        <w:rPr>
          <w:rFonts w:ascii="Arial" w:hAnsi="Arial" w:cs="Arial"/>
        </w:rPr>
        <w:t>Comme toutes les villes de plus de 500 000 habitants.</w:t>
      </w:r>
    </w:p>
  </w:footnote>
  <w:footnote w:id="28">
    <w:p w:rsidR="0034021B" w:rsidRDefault="0034021B" w:rsidP="003A596A">
      <w:pPr>
        <w:pStyle w:val="FootnoteText"/>
      </w:pPr>
      <w:r>
        <w:rPr>
          <w:rStyle w:val="FootnoteReference"/>
        </w:rPr>
        <w:footnoteRef/>
      </w:r>
      <w:r>
        <w:t xml:space="preserve"> La CUC ne tient pas de statistiques précises de ces demandes et selon les informations obtenues le nombre des requêtes reçues par la CUC pendant la période sous revue n’est pas très important. </w:t>
      </w:r>
    </w:p>
  </w:footnote>
  <w:footnote w:id="29">
    <w:p w:rsidR="0034021B" w:rsidRPr="00957ADD" w:rsidRDefault="0034021B" w:rsidP="003A596A">
      <w:pPr>
        <w:pStyle w:val="FootnoteText"/>
        <w:rPr>
          <w:rFonts w:ascii="Arial" w:hAnsi="Arial" w:cs="Arial"/>
        </w:rPr>
      </w:pPr>
      <w:r w:rsidRPr="004A37C7">
        <w:rPr>
          <w:rStyle w:val="FootnoteReference"/>
          <w:rFonts w:cs="Arial"/>
        </w:rPr>
        <w:footnoteRef/>
      </w:r>
      <w:r>
        <w:rPr>
          <w:rFonts w:ascii="Arial" w:hAnsi="Arial" w:cs="Arial"/>
        </w:rPr>
        <w:t xml:space="preserve"> Charte Communal</w:t>
      </w:r>
      <w:r w:rsidRPr="004A37C7">
        <w:rPr>
          <w:rFonts w:ascii="Arial" w:hAnsi="Arial" w:cs="Arial"/>
        </w:rPr>
        <w:t>, art. 67</w:t>
      </w:r>
    </w:p>
  </w:footnote>
  <w:footnote w:id="30">
    <w:p w:rsidR="0034021B" w:rsidRPr="00957ADD" w:rsidRDefault="0034021B" w:rsidP="003A596A">
      <w:pPr>
        <w:pStyle w:val="FootnoteText"/>
      </w:pPr>
      <w:r w:rsidRPr="00D77371">
        <w:rPr>
          <w:rStyle w:val="FootnoteReference"/>
          <w:rFonts w:cs="Arial"/>
        </w:rPr>
        <w:footnoteRef/>
      </w:r>
      <w:hyperlink r:id="rId2" w:history="1">
        <w:r w:rsidRPr="003E1CB2">
          <w:rPr>
            <w:rStyle w:val="Hyperlink"/>
            <w:rFonts w:ascii="Arial" w:hAnsi="Arial" w:cs="Arial"/>
            <w:color w:val="0070C0"/>
          </w:rPr>
          <w:t>www.marchespublics.gov.ma</w:t>
        </w:r>
      </w:hyperlink>
    </w:p>
  </w:footnote>
  <w:footnote w:id="31">
    <w:p w:rsidR="0034021B" w:rsidRDefault="0034021B" w:rsidP="003A596A">
      <w:pPr>
        <w:pStyle w:val="FootnoteText"/>
      </w:pPr>
      <w:r>
        <w:rPr>
          <w:rStyle w:val="FootnoteReference"/>
        </w:rPr>
        <w:footnoteRef/>
      </w:r>
      <w:r>
        <w:t xml:space="preserve"> Art 119 de la Loi 113.14 instauré pour se conformer à l’art 139 de la constitution.</w:t>
      </w:r>
    </w:p>
  </w:footnote>
  <w:footnote w:id="32">
    <w:p w:rsidR="0034021B" w:rsidRDefault="0034021B" w:rsidP="003A596A">
      <w:pPr>
        <w:pStyle w:val="FootnoteText"/>
      </w:pPr>
      <w:r>
        <w:rPr>
          <w:rStyle w:val="FootnoteReference"/>
        </w:rPr>
        <w:footnoteRef/>
      </w:r>
      <w:r>
        <w:t xml:space="preserve"> Art 272 et suivants de la Loi 113.14.</w:t>
      </w:r>
    </w:p>
  </w:footnote>
  <w:footnote w:id="33">
    <w:p w:rsidR="0034021B" w:rsidRDefault="0034021B" w:rsidP="00F53182">
      <w:pPr>
        <w:pStyle w:val="FootnoteText"/>
        <w:jc w:val="both"/>
      </w:pPr>
      <w:r>
        <w:rPr>
          <w:rStyle w:val="FootnoteReference"/>
        </w:rPr>
        <w:footnoteRef/>
      </w:r>
      <w:r>
        <w:t xml:space="preserve"> </w:t>
      </w:r>
      <w:r>
        <w:rPr>
          <w:sz w:val="22"/>
          <w:szCs w:val="22"/>
        </w:rPr>
        <w:t>L’analyse économique a fréquemment recours aux techniques suivantes : l’analyse coûts-avantages, l’analyse coût-efficacité, l’analyse multicritères. Pour être objective, elle doit être réalisée indépendamment de l’organisme parrainant du projet.</w:t>
      </w:r>
    </w:p>
  </w:footnote>
  <w:footnote w:id="34">
    <w:p w:rsidR="0034021B" w:rsidRDefault="0034021B" w:rsidP="003A596A">
      <w:pPr>
        <w:pStyle w:val="FootnoteText"/>
      </w:pPr>
      <w:r>
        <w:rPr>
          <w:rStyle w:val="FootnoteReference"/>
        </w:rPr>
        <w:footnoteRef/>
      </w:r>
      <w:r>
        <w:t xml:space="preserve"> Les autres actionnaires peuvent être la région, l’Etat ou d’autres établissements publics ou privés.</w:t>
      </w:r>
    </w:p>
  </w:footnote>
  <w:footnote w:id="35">
    <w:p w:rsidR="0034021B" w:rsidRDefault="0034021B" w:rsidP="00206632">
      <w:pPr>
        <w:spacing w:after="200" w:line="276" w:lineRule="auto"/>
        <w:contextualSpacing/>
        <w:jc w:val="both"/>
      </w:pPr>
      <w:r>
        <w:rPr>
          <w:rStyle w:val="FootnoteReference"/>
        </w:rPr>
        <w:footnoteRef/>
      </w:r>
      <w:r>
        <w:t xml:space="preserve"> </w:t>
      </w:r>
      <w:r w:rsidRPr="00EC3826">
        <w:rPr>
          <w:i/>
          <w:iCs/>
          <w:sz w:val="20"/>
          <w:szCs w:val="20"/>
        </w:rPr>
        <w:t>l’Inspection Générale de l’Administration Territoriale (IGAT),</w:t>
      </w:r>
      <w:r w:rsidRPr="00EC3826">
        <w:rPr>
          <w:sz w:val="20"/>
          <w:szCs w:val="20"/>
        </w:rPr>
        <w:t xml:space="preserve"> créée en 1994 au sein du Ministère de l’Intérieur (avec des statuts similaires à ceux de l’IGF). L’IGAT a pour rôle le contrôle du Ministère de l’Intérieur, des collectivités territoriales et de leurs groupements.</w:t>
      </w:r>
      <w:r w:rsidRPr="00AF672A">
        <w:t xml:space="preserve"> </w:t>
      </w:r>
    </w:p>
  </w:footnote>
  <w:footnote w:id="36">
    <w:p w:rsidR="0034021B" w:rsidRDefault="0034021B" w:rsidP="003A596A">
      <w:pPr>
        <w:pStyle w:val="FootnoteText"/>
      </w:pPr>
      <w:r>
        <w:rPr>
          <w:rStyle w:val="FootnoteReference"/>
        </w:rPr>
        <w:footnoteRef/>
      </w:r>
      <w:r>
        <w:t xml:space="preserve"> Charte communale, art 69 et art 73</w:t>
      </w:r>
    </w:p>
  </w:footnote>
  <w:footnote w:id="37">
    <w:p w:rsidR="0034021B" w:rsidRDefault="0034021B" w:rsidP="003A596A">
      <w:pPr>
        <w:pStyle w:val="FootnoteText"/>
        <w:jc w:val="both"/>
      </w:pPr>
      <w:r w:rsidRPr="00C7294A">
        <w:footnoteRef/>
      </w:r>
      <w:r>
        <w:t xml:space="preserve"> A</w:t>
      </w:r>
      <w:r w:rsidRPr="00C7294A">
        <w:t>rticle 75 de la constitution</w:t>
      </w:r>
      <w:r>
        <w:t> : l</w:t>
      </w:r>
      <w:r w:rsidRPr="00C7294A">
        <w:t>es dépenses d’investissement nécessaires à la réalisation des plans de développement stratégiques ou des programmes pluriannuels, ne sont votées qu’une seule fois, lors de l’approbation de ces derniers par le Parlement et sont reconduites automatiquement pendant leur durée</w:t>
      </w:r>
    </w:p>
  </w:footnote>
  <w:footnote w:id="38">
    <w:p w:rsidR="0034021B" w:rsidRPr="00A71697" w:rsidRDefault="0034021B" w:rsidP="003A596A">
      <w:pPr>
        <w:pStyle w:val="FootnoteText"/>
        <w:jc w:val="both"/>
        <w:rPr>
          <w:rFonts w:ascii="Calibri" w:eastAsia="Calibri" w:hAnsi="Calibri"/>
        </w:rPr>
      </w:pPr>
      <w:r w:rsidRPr="00892F7A">
        <w:rPr>
          <w:rFonts w:ascii="Calibri" w:eastAsia="Calibri" w:hAnsi="Calibri"/>
        </w:rPr>
        <w:footnoteRef/>
      </w:r>
      <w:r w:rsidRPr="00A71697">
        <w:t xml:space="preserve"> Loi 17-08</w:t>
      </w:r>
      <w:r w:rsidRPr="00A71697">
        <w:rPr>
          <w:rFonts w:ascii="Calibri" w:eastAsia="Calibri" w:hAnsi="Calibri"/>
        </w:rPr>
        <w:t>, art. 36</w:t>
      </w:r>
    </w:p>
  </w:footnote>
  <w:footnote w:id="39">
    <w:p w:rsidR="0034021B" w:rsidRPr="00A71697" w:rsidRDefault="0034021B" w:rsidP="00B76DCA">
      <w:pPr>
        <w:pStyle w:val="FootnoteText"/>
        <w:jc w:val="both"/>
      </w:pPr>
      <w:r w:rsidRPr="00892F7A">
        <w:footnoteRef/>
      </w:r>
      <w:r w:rsidRPr="00A71697">
        <w:t xml:space="preserve"> Loi 113.1R art 163 &amp; art 183.</w:t>
      </w:r>
    </w:p>
  </w:footnote>
  <w:footnote w:id="40">
    <w:p w:rsidR="0034021B" w:rsidRPr="007A64FB" w:rsidRDefault="0034021B" w:rsidP="003A596A">
      <w:pPr>
        <w:pStyle w:val="FootnoteText"/>
        <w:rPr>
          <w:rFonts w:ascii="Arial" w:hAnsi="Arial" w:cs="Arial"/>
        </w:rPr>
      </w:pPr>
      <w:r w:rsidRPr="007A64FB">
        <w:rPr>
          <w:rStyle w:val="FootnoteReference"/>
          <w:rFonts w:ascii="Arial" w:hAnsi="Arial" w:cs="Arial"/>
        </w:rPr>
        <w:footnoteRef/>
      </w:r>
      <w:r w:rsidRPr="007A64FB">
        <w:rPr>
          <w:rFonts w:ascii="Arial" w:hAnsi="Arial" w:cs="Arial"/>
        </w:rPr>
        <w:t xml:space="preserve"> Charte Communale, déjà cité, art. 47</w:t>
      </w:r>
    </w:p>
  </w:footnote>
  <w:footnote w:id="41">
    <w:p w:rsidR="0034021B" w:rsidRPr="00957ADD" w:rsidRDefault="0034021B" w:rsidP="003A596A">
      <w:pPr>
        <w:jc w:val="both"/>
      </w:pPr>
      <w:r w:rsidRPr="007A64FB">
        <w:rPr>
          <w:rStyle w:val="FootnoteReference"/>
          <w:rFonts w:ascii="Arial" w:hAnsi="Arial" w:cs="Arial"/>
        </w:rPr>
        <w:footnoteRef/>
      </w:r>
      <w:r>
        <w:rPr>
          <w:rFonts w:ascii="Arial" w:hAnsi="Arial" w:cs="Arial"/>
          <w:sz w:val="20"/>
          <w:szCs w:val="20"/>
        </w:rPr>
        <w:t xml:space="preserve"> Loi n⁰ 4</w:t>
      </w:r>
      <w:r w:rsidRPr="007A64FB">
        <w:rPr>
          <w:rFonts w:ascii="Arial" w:hAnsi="Arial" w:cs="Arial"/>
          <w:sz w:val="20"/>
          <w:szCs w:val="20"/>
        </w:rPr>
        <w:t xml:space="preserve">7-06 </w:t>
      </w:r>
      <w:r>
        <w:rPr>
          <w:rFonts w:ascii="Arial" w:hAnsi="Arial" w:cs="Arial"/>
          <w:sz w:val="20"/>
          <w:szCs w:val="20"/>
        </w:rPr>
        <w:t xml:space="preserve">relative à la fiscalité des collectivités locales </w:t>
      </w:r>
      <w:r w:rsidRPr="007A64FB">
        <w:rPr>
          <w:rFonts w:ascii="Arial" w:hAnsi="Arial" w:cs="Arial"/>
          <w:sz w:val="20"/>
          <w:szCs w:val="20"/>
        </w:rPr>
        <w:t>promulguée par le Dahir n° 1-07-195 du 30 novembre 2007 et complété</w:t>
      </w:r>
      <w:r>
        <w:rPr>
          <w:rFonts w:ascii="Arial" w:hAnsi="Arial" w:cs="Arial"/>
          <w:sz w:val="20"/>
          <w:szCs w:val="20"/>
        </w:rPr>
        <w:t>e</w:t>
      </w:r>
      <w:r w:rsidRPr="007A64FB">
        <w:rPr>
          <w:rFonts w:ascii="Arial" w:hAnsi="Arial" w:cs="Arial"/>
          <w:sz w:val="20"/>
          <w:szCs w:val="20"/>
        </w:rPr>
        <w:t xml:space="preserve"> par la loi 39-07 du 31 décembre 2007 qui reconduit l’application de la loi 30-89 en ce qui concerne certains droits redevances et taxes.</w:t>
      </w:r>
    </w:p>
  </w:footnote>
  <w:footnote w:id="42">
    <w:p w:rsidR="0034021B" w:rsidRPr="00957ADD" w:rsidRDefault="0034021B" w:rsidP="003A596A">
      <w:pPr>
        <w:pStyle w:val="FootnoteText"/>
      </w:pPr>
      <w:r w:rsidRPr="007A64FB">
        <w:rPr>
          <w:rStyle w:val="FootnoteReference"/>
          <w:rFonts w:ascii="Arial" w:hAnsi="Arial" w:cs="Arial"/>
        </w:rPr>
        <w:footnoteRef/>
      </w:r>
      <w:r>
        <w:rPr>
          <w:rFonts w:ascii="Arial" w:hAnsi="Arial" w:cs="Arial"/>
        </w:rPr>
        <w:t>Loi n⁰ 4</w:t>
      </w:r>
      <w:r w:rsidRPr="00715DF4">
        <w:rPr>
          <w:rFonts w:ascii="Arial" w:hAnsi="Arial" w:cs="Arial"/>
        </w:rPr>
        <w:t>7-06</w:t>
      </w:r>
      <w:r>
        <w:rPr>
          <w:rFonts w:ascii="Arial" w:hAnsi="Arial" w:cs="Arial"/>
        </w:rPr>
        <w:t>, art. 2</w:t>
      </w:r>
    </w:p>
  </w:footnote>
  <w:footnote w:id="43">
    <w:p w:rsidR="0034021B" w:rsidRDefault="0034021B" w:rsidP="003A596A">
      <w:pPr>
        <w:pStyle w:val="FootnoteText"/>
      </w:pPr>
      <w:r>
        <w:rPr>
          <w:rStyle w:val="FootnoteReference"/>
        </w:rPr>
        <w:footnoteRef/>
      </w:r>
      <w:r>
        <w:t xml:space="preserve"> Hors transferts de TVA de respectivement 373 millions de dh et 533 millions de dh respectivement en 2013 et 2014 </w:t>
      </w:r>
    </w:p>
  </w:footnote>
  <w:footnote w:id="44">
    <w:p w:rsidR="0034021B" w:rsidRPr="00957ADD" w:rsidRDefault="0034021B" w:rsidP="003A596A">
      <w:pPr>
        <w:pStyle w:val="FootnoteText"/>
        <w:jc w:val="both"/>
        <w:rPr>
          <w:rFonts w:ascii="Arial" w:hAnsi="Arial" w:cs="Arial"/>
        </w:rPr>
      </w:pPr>
      <w:r w:rsidRPr="00E979E1">
        <w:rPr>
          <w:rStyle w:val="FootnoteReference"/>
          <w:rFonts w:ascii="Arial" w:hAnsi="Arial" w:cs="Arial"/>
        </w:rPr>
        <w:footnoteRef/>
      </w:r>
      <w:r w:rsidRPr="00E979E1">
        <w:rPr>
          <w:rFonts w:ascii="Arial" w:hAnsi="Arial" w:cs="Arial"/>
        </w:rPr>
        <w:t xml:space="preserve"> Décret </w:t>
      </w:r>
      <w:r>
        <w:rPr>
          <w:rFonts w:ascii="Arial" w:hAnsi="Arial" w:cs="Arial"/>
        </w:rPr>
        <w:t xml:space="preserve">n° 2-09-441 </w:t>
      </w:r>
      <w:r w:rsidRPr="00E979E1">
        <w:rPr>
          <w:rFonts w:ascii="Arial" w:hAnsi="Arial" w:cs="Arial"/>
        </w:rPr>
        <w:t>du 3 janvier 2010 sur la comptabilité portant règlement de la comptabilité publique des collectivités locales et de leurs groupements,</w:t>
      </w:r>
    </w:p>
  </w:footnote>
  <w:footnote w:id="45">
    <w:p w:rsidR="0034021B" w:rsidRPr="00957ADD" w:rsidRDefault="0034021B" w:rsidP="003A596A">
      <w:pPr>
        <w:pStyle w:val="FootnoteText"/>
        <w:jc w:val="both"/>
        <w:rPr>
          <w:rFonts w:ascii="Arial" w:hAnsi="Arial" w:cs="Arial"/>
        </w:rPr>
      </w:pPr>
      <w:r w:rsidRPr="00E979E1">
        <w:rPr>
          <w:rStyle w:val="FootnoteReference"/>
          <w:rFonts w:ascii="Arial" w:hAnsi="Arial" w:cs="Arial"/>
        </w:rPr>
        <w:footnoteRef/>
      </w:r>
      <w:r>
        <w:rPr>
          <w:rFonts w:ascii="Arial" w:hAnsi="Arial" w:cs="Arial"/>
        </w:rPr>
        <w:t xml:space="preserve">Loi </w:t>
      </w:r>
      <w:r w:rsidRPr="00E979E1">
        <w:rPr>
          <w:rFonts w:ascii="Arial" w:hAnsi="Arial" w:cs="Arial"/>
        </w:rPr>
        <w:t xml:space="preserve">n° 15-97 </w:t>
      </w:r>
      <w:r>
        <w:rPr>
          <w:rFonts w:ascii="Arial" w:hAnsi="Arial" w:cs="Arial"/>
        </w:rPr>
        <w:t xml:space="preserve">du 3 mai 2000 </w:t>
      </w:r>
      <w:r w:rsidRPr="00E979E1">
        <w:rPr>
          <w:rFonts w:ascii="Arial" w:hAnsi="Arial" w:cs="Arial"/>
        </w:rPr>
        <w:t xml:space="preserve">formant code de recouvrement des créances publiques et la loi n° 47-06 </w:t>
      </w:r>
      <w:r>
        <w:rPr>
          <w:rFonts w:ascii="Arial" w:hAnsi="Arial" w:cs="Arial"/>
        </w:rPr>
        <w:t xml:space="preserve"> du 30 novembre 2007 </w:t>
      </w:r>
      <w:r w:rsidRPr="00E979E1">
        <w:rPr>
          <w:rFonts w:ascii="Arial" w:hAnsi="Arial" w:cs="Arial"/>
        </w:rPr>
        <w:t>relative à la fiscalité locale</w:t>
      </w:r>
      <w:r>
        <w:rPr>
          <w:rFonts w:ascii="Arial" w:hAnsi="Arial" w:cs="Arial"/>
        </w:rPr>
        <w:t>, déjà cité.</w:t>
      </w:r>
    </w:p>
  </w:footnote>
  <w:footnote w:id="46">
    <w:p w:rsidR="0034021B" w:rsidRPr="00957ADD" w:rsidRDefault="0034021B" w:rsidP="003A596A">
      <w:pPr>
        <w:pStyle w:val="FootnoteText"/>
      </w:pPr>
      <w:r w:rsidRPr="00971C45">
        <w:rPr>
          <w:rStyle w:val="FootnoteReference"/>
          <w:rFonts w:ascii="Arial" w:hAnsi="Arial" w:cs="Arial"/>
        </w:rPr>
        <w:footnoteRef/>
      </w:r>
      <w:r w:rsidRPr="00715DF4">
        <w:rPr>
          <w:rFonts w:ascii="Arial" w:hAnsi="Arial" w:cs="Arial"/>
        </w:rPr>
        <w:t>D</w:t>
      </w:r>
      <w:r w:rsidRPr="00E979E1">
        <w:rPr>
          <w:rFonts w:ascii="Arial" w:hAnsi="Arial" w:cs="Arial"/>
        </w:rPr>
        <w:t>écret du 3 janvier 2010</w:t>
      </w:r>
      <w:r>
        <w:rPr>
          <w:rFonts w:ascii="Arial" w:hAnsi="Arial" w:cs="Arial"/>
        </w:rPr>
        <w:t>, déjà cité, art. 133</w:t>
      </w:r>
    </w:p>
  </w:footnote>
  <w:footnote w:id="47">
    <w:p w:rsidR="0034021B" w:rsidRPr="0010496A" w:rsidRDefault="0034021B" w:rsidP="003A596A">
      <w:pPr>
        <w:autoSpaceDE w:val="0"/>
        <w:autoSpaceDN w:val="0"/>
        <w:adjustRightInd w:val="0"/>
        <w:rPr>
          <w:rFonts w:ascii="Arial" w:hAnsi="Arial" w:cs="Arial"/>
        </w:rPr>
      </w:pPr>
      <w:r w:rsidRPr="0010496A">
        <w:rPr>
          <w:rStyle w:val="FootnoteReference"/>
          <w:rFonts w:ascii="Arial" w:hAnsi="Arial" w:cs="Arial"/>
        </w:rPr>
        <w:footnoteRef/>
      </w:r>
      <w:r w:rsidRPr="0010496A">
        <w:rPr>
          <w:rFonts w:ascii="Arial" w:hAnsi="Arial" w:cs="Arial"/>
          <w:sz w:val="20"/>
          <w:szCs w:val="20"/>
        </w:rPr>
        <w:t>Article 43 du Décret n° 2-09-441 du 3 janvier 2010 portant règlement de la comptabilité publique des collectivités locales et de leurs groupements</w:t>
      </w:r>
    </w:p>
  </w:footnote>
  <w:footnote w:id="48">
    <w:p w:rsidR="0034021B" w:rsidRDefault="0034021B" w:rsidP="003A596A">
      <w:pPr>
        <w:pStyle w:val="FootnoteText"/>
      </w:pPr>
      <w:r w:rsidRPr="0010496A">
        <w:rPr>
          <w:rStyle w:val="FootnoteReference"/>
          <w:rFonts w:ascii="Arial" w:hAnsi="Arial" w:cs="Arial"/>
        </w:rPr>
        <w:footnoteRef/>
      </w:r>
      <w:r>
        <w:rPr>
          <w:rFonts w:ascii="Arial" w:hAnsi="Arial" w:cs="Arial"/>
        </w:rPr>
        <w:t xml:space="preserve"> L</w:t>
      </w:r>
      <w:r w:rsidRPr="0010496A">
        <w:rPr>
          <w:rFonts w:ascii="Arial" w:hAnsi="Arial" w:cs="Arial"/>
        </w:rPr>
        <w:t xml:space="preserve">a situation </w:t>
      </w:r>
      <w:r>
        <w:rPr>
          <w:rFonts w:ascii="Arial" w:hAnsi="Arial" w:cs="Arial"/>
        </w:rPr>
        <w:t xml:space="preserve">mensuelle </w:t>
      </w:r>
      <w:r w:rsidRPr="0010496A">
        <w:rPr>
          <w:rFonts w:ascii="Arial" w:hAnsi="Arial" w:cs="Arial"/>
        </w:rPr>
        <w:t>des r</w:t>
      </w:r>
      <w:r>
        <w:rPr>
          <w:rFonts w:ascii="Arial" w:hAnsi="Arial" w:cs="Arial"/>
        </w:rPr>
        <w:t>ecettes n’est pas</w:t>
      </w:r>
      <w:r w:rsidRPr="0010496A">
        <w:rPr>
          <w:rFonts w:ascii="Arial" w:hAnsi="Arial" w:cs="Arial"/>
        </w:rPr>
        <w:t xml:space="preserve"> communiquée par bordereau par la T</w:t>
      </w:r>
      <w:r>
        <w:rPr>
          <w:rFonts w:ascii="Arial" w:hAnsi="Arial" w:cs="Arial"/>
        </w:rPr>
        <w:t>résorerie Communale à l’AFC</w:t>
      </w:r>
      <w:r w:rsidRPr="0010496A">
        <w:rPr>
          <w:rFonts w:ascii="Arial" w:hAnsi="Arial" w:cs="Arial"/>
        </w:rPr>
        <w:t>.</w:t>
      </w:r>
    </w:p>
  </w:footnote>
  <w:footnote w:id="49">
    <w:p w:rsidR="0034021B" w:rsidRPr="00957ADD" w:rsidRDefault="0034021B" w:rsidP="003A596A">
      <w:pPr>
        <w:pStyle w:val="FootnoteText"/>
      </w:pPr>
      <w:r w:rsidRPr="00971C45">
        <w:rPr>
          <w:rStyle w:val="FootnoteReference"/>
          <w:rFonts w:ascii="Arial" w:hAnsi="Arial" w:cs="Arial"/>
        </w:rPr>
        <w:footnoteRef/>
      </w:r>
      <w:r w:rsidRPr="00715DF4">
        <w:rPr>
          <w:rFonts w:ascii="Arial" w:hAnsi="Arial" w:cs="Arial"/>
        </w:rPr>
        <w:t>D</w:t>
      </w:r>
      <w:r w:rsidRPr="00E979E1">
        <w:rPr>
          <w:rFonts w:ascii="Arial" w:hAnsi="Arial" w:cs="Arial"/>
        </w:rPr>
        <w:t>écret du 3 janvier 2010</w:t>
      </w:r>
      <w:r>
        <w:rPr>
          <w:rFonts w:ascii="Arial" w:hAnsi="Arial" w:cs="Arial"/>
        </w:rPr>
        <w:t>, déjà cité, art. 133</w:t>
      </w:r>
    </w:p>
  </w:footnote>
  <w:footnote w:id="50">
    <w:p w:rsidR="0034021B" w:rsidRPr="008D5851" w:rsidRDefault="0034021B" w:rsidP="003A596A">
      <w:pPr>
        <w:pStyle w:val="FootnoteText"/>
        <w:rPr>
          <w:rFonts w:ascii="Arial" w:hAnsi="Arial" w:cs="Arial"/>
        </w:rPr>
      </w:pPr>
      <w:r w:rsidRPr="008D5851">
        <w:rPr>
          <w:rStyle w:val="FootnoteReference"/>
          <w:rFonts w:ascii="Arial" w:hAnsi="Arial" w:cs="Arial"/>
        </w:rPr>
        <w:footnoteRef/>
      </w:r>
      <w:r w:rsidRPr="008D5851">
        <w:rPr>
          <w:rFonts w:ascii="Arial" w:hAnsi="Arial" w:cs="Arial"/>
        </w:rPr>
        <w:t xml:space="preserve"> Article 37 de loi 78-00 du 3 octobre 2002 portant </w:t>
      </w:r>
      <w:r>
        <w:rPr>
          <w:rFonts w:ascii="Arial" w:hAnsi="Arial" w:cs="Arial"/>
        </w:rPr>
        <w:t>C</w:t>
      </w:r>
      <w:r w:rsidRPr="008D5851">
        <w:rPr>
          <w:rFonts w:ascii="Arial" w:hAnsi="Arial" w:cs="Arial"/>
        </w:rPr>
        <w:t xml:space="preserve">harte </w:t>
      </w:r>
      <w:r>
        <w:rPr>
          <w:rFonts w:ascii="Arial" w:hAnsi="Arial" w:cs="Arial"/>
        </w:rPr>
        <w:t>C</w:t>
      </w:r>
      <w:r w:rsidRPr="008D5851">
        <w:rPr>
          <w:rFonts w:ascii="Arial" w:hAnsi="Arial" w:cs="Arial"/>
        </w:rPr>
        <w:t>ommunale</w:t>
      </w:r>
    </w:p>
  </w:footnote>
  <w:footnote w:id="51">
    <w:p w:rsidR="0034021B" w:rsidRDefault="0034021B" w:rsidP="003A596A">
      <w:pPr>
        <w:pStyle w:val="FootnoteText"/>
      </w:pPr>
      <w:r w:rsidRPr="008D5851">
        <w:rPr>
          <w:rStyle w:val="FootnoteReference"/>
          <w:rFonts w:ascii="Arial" w:hAnsi="Arial" w:cs="Arial"/>
        </w:rPr>
        <w:footnoteRef/>
      </w:r>
      <w:r w:rsidRPr="008D5851">
        <w:rPr>
          <w:rFonts w:ascii="Arial" w:hAnsi="Arial" w:cs="Arial"/>
        </w:rPr>
        <w:t xml:space="preserve"> Article 47 de la loi 78-00 du 3 octobre 2002 portant </w:t>
      </w:r>
      <w:r>
        <w:rPr>
          <w:rFonts w:ascii="Arial" w:hAnsi="Arial" w:cs="Arial"/>
        </w:rPr>
        <w:t>C</w:t>
      </w:r>
      <w:r w:rsidRPr="008D5851">
        <w:rPr>
          <w:rFonts w:ascii="Arial" w:hAnsi="Arial" w:cs="Arial"/>
        </w:rPr>
        <w:t xml:space="preserve">harte </w:t>
      </w:r>
      <w:r>
        <w:rPr>
          <w:rFonts w:ascii="Arial" w:hAnsi="Arial" w:cs="Arial"/>
        </w:rPr>
        <w:t>C</w:t>
      </w:r>
      <w:r w:rsidRPr="008D5851">
        <w:rPr>
          <w:rFonts w:ascii="Arial" w:hAnsi="Arial" w:cs="Arial"/>
        </w:rPr>
        <w:t>ommunale</w:t>
      </w:r>
    </w:p>
  </w:footnote>
  <w:footnote w:id="52">
    <w:p w:rsidR="0034021B" w:rsidRPr="008D5851" w:rsidRDefault="0034021B" w:rsidP="003A596A">
      <w:pPr>
        <w:pStyle w:val="FootnoteText"/>
        <w:rPr>
          <w:rFonts w:ascii="Arial" w:hAnsi="Arial" w:cs="Arial"/>
        </w:rPr>
      </w:pPr>
      <w:r w:rsidRPr="008D5851">
        <w:rPr>
          <w:rStyle w:val="FootnoteReference"/>
          <w:rFonts w:ascii="Arial" w:hAnsi="Arial" w:cs="Arial"/>
        </w:rPr>
        <w:footnoteRef/>
      </w:r>
      <w:r w:rsidRPr="008D5851">
        <w:rPr>
          <w:rFonts w:ascii="Arial" w:hAnsi="Arial" w:cs="Arial"/>
        </w:rPr>
        <w:t xml:space="preserve"> Article 28 de la loi 45-08 du 18 février 2009 relative à l’organisation des finances locales</w:t>
      </w:r>
    </w:p>
  </w:footnote>
  <w:footnote w:id="53">
    <w:p w:rsidR="0034021B" w:rsidRDefault="0034021B" w:rsidP="003A596A">
      <w:pPr>
        <w:pStyle w:val="FootnoteText"/>
        <w:jc w:val="both"/>
      </w:pPr>
      <w:r>
        <w:rPr>
          <w:rStyle w:val="FootnoteReference"/>
        </w:rPr>
        <w:footnoteRef/>
      </w:r>
      <w:r>
        <w:t xml:space="preserve"> Compte tenu d’une augmentation des </w:t>
      </w:r>
      <w:r w:rsidRPr="00EA3306">
        <w:t>Traitements et indemnitéspermanentes du personnel titulaire et assimilés</w:t>
      </w:r>
      <w:r>
        <w:t xml:space="preserve"> pour 107 millions de DH et une augmentation des dotations aux arrondissements de 112 millions de DH</w:t>
      </w:r>
      <w:r w:rsidRPr="00EA3306">
        <w:t>.</w:t>
      </w:r>
    </w:p>
  </w:footnote>
  <w:footnote w:id="54">
    <w:p w:rsidR="0034021B" w:rsidRPr="003E29D5" w:rsidRDefault="0034021B" w:rsidP="003A596A">
      <w:pPr>
        <w:pStyle w:val="FootnoteText"/>
      </w:pPr>
      <w:r w:rsidRPr="007A207D">
        <w:rPr>
          <w:rStyle w:val="FootnoteReference"/>
          <w:rFonts w:ascii="Arial" w:hAnsi="Arial" w:cs="Arial"/>
          <w:lang w:val="fr-BE"/>
        </w:rPr>
        <w:footnoteRef/>
      </w:r>
      <w:r w:rsidRPr="007A207D">
        <w:rPr>
          <w:rFonts w:ascii="Arial" w:hAnsi="Arial" w:cs="Arial"/>
          <w:lang w:val="fr-BE"/>
        </w:rPr>
        <w:t>Loi 45-08 relative à l’organisation des finances des collectivités locales (2009), Art. 53</w:t>
      </w:r>
    </w:p>
  </w:footnote>
  <w:footnote w:id="55">
    <w:p w:rsidR="0034021B" w:rsidRPr="00F84A39" w:rsidRDefault="0034021B" w:rsidP="003A596A">
      <w:pPr>
        <w:pStyle w:val="FootnoteText"/>
        <w:rPr>
          <w:rFonts w:ascii="Arial" w:hAnsi="Arial" w:cs="Arial"/>
        </w:rPr>
      </w:pPr>
      <w:r w:rsidRPr="007A207D">
        <w:rPr>
          <w:rStyle w:val="FootnoteReference"/>
          <w:rFonts w:ascii="Arial" w:hAnsi="Arial" w:cs="Arial"/>
        </w:rPr>
        <w:footnoteRef/>
      </w:r>
      <w:r w:rsidRPr="00F84A39">
        <w:rPr>
          <w:rFonts w:ascii="Arial" w:hAnsi="Arial" w:cs="Arial"/>
          <w:i/>
          <w:iCs/>
        </w:rPr>
        <w:t>Idem</w:t>
      </w:r>
      <w:r w:rsidRPr="00F84A39">
        <w:rPr>
          <w:rFonts w:ascii="Arial" w:hAnsi="Arial" w:cs="Arial"/>
        </w:rPr>
        <w:t>, Art. 52</w:t>
      </w:r>
    </w:p>
  </w:footnote>
  <w:footnote w:id="56">
    <w:p w:rsidR="0034021B" w:rsidRPr="00875DF1" w:rsidRDefault="0034021B" w:rsidP="003A596A">
      <w:pPr>
        <w:pStyle w:val="FootnoteText"/>
        <w:rPr>
          <w:rFonts w:ascii="Arial" w:hAnsi="Arial" w:cs="Arial"/>
          <w:lang w:val="fr-BE"/>
        </w:rPr>
      </w:pPr>
      <w:r w:rsidRPr="00875DF1">
        <w:rPr>
          <w:rStyle w:val="FootnoteReference"/>
          <w:rFonts w:ascii="Arial" w:hAnsi="Arial" w:cs="Arial"/>
          <w:lang w:val="fr-BE"/>
        </w:rPr>
        <w:footnoteRef/>
      </w:r>
      <w:r w:rsidRPr="00875DF1">
        <w:rPr>
          <w:rFonts w:ascii="Arial" w:hAnsi="Arial" w:cs="Arial"/>
          <w:lang w:val="fr-BE"/>
        </w:rPr>
        <w:t xml:space="preserve"> Décret no 2-49-441 portant règlement de la comptabilité publique des collectivités locales et de leurs groupements (janvier 2010).</w:t>
      </w:r>
    </w:p>
  </w:footnote>
  <w:footnote w:id="57">
    <w:p w:rsidR="0034021B" w:rsidRPr="005A3DEB" w:rsidRDefault="0034021B" w:rsidP="003A596A">
      <w:pPr>
        <w:autoSpaceDE w:val="0"/>
        <w:autoSpaceDN w:val="0"/>
        <w:adjustRightInd w:val="0"/>
        <w:jc w:val="both"/>
        <w:rPr>
          <w:rFonts w:ascii="Arial" w:hAnsi="Arial" w:cs="Arial"/>
          <w:sz w:val="20"/>
          <w:szCs w:val="20"/>
        </w:rPr>
      </w:pPr>
      <w:r w:rsidRPr="005A3DEB">
        <w:rPr>
          <w:rStyle w:val="FootnoteReference"/>
          <w:rFonts w:ascii="Arial" w:hAnsi="Arial" w:cs="Arial"/>
          <w:sz w:val="20"/>
          <w:szCs w:val="20"/>
        </w:rPr>
        <w:footnoteRef/>
      </w:r>
      <w:r w:rsidRPr="005A3DEB">
        <w:rPr>
          <w:rFonts w:ascii="Arial" w:hAnsi="Arial" w:cs="Arial"/>
          <w:sz w:val="20"/>
          <w:szCs w:val="20"/>
        </w:rPr>
        <w:t xml:space="preserve"> Article 149 de la constitution</w:t>
      </w:r>
      <w:r w:rsidRPr="005A3DEB">
        <w:rPr>
          <w:rFonts w:ascii="Arial" w:hAnsi="Arial" w:cs="Arial"/>
          <w:b/>
          <w:bCs/>
          <w:sz w:val="20"/>
          <w:szCs w:val="20"/>
        </w:rPr>
        <w:t> : </w:t>
      </w:r>
      <w:r>
        <w:rPr>
          <w:rFonts w:ascii="Arial" w:hAnsi="Arial" w:cs="Arial"/>
          <w:b/>
          <w:bCs/>
          <w:sz w:val="20"/>
          <w:szCs w:val="20"/>
        </w:rPr>
        <w:t>"</w:t>
      </w:r>
      <w:r w:rsidRPr="005A3DEB">
        <w:rPr>
          <w:rFonts w:ascii="Arial" w:hAnsi="Arial" w:cs="Arial"/>
          <w:i/>
          <w:iCs/>
          <w:sz w:val="20"/>
          <w:szCs w:val="20"/>
        </w:rPr>
        <w:t>Les Cours régionales des comptes sont chargées d’assurer le contrôle des comptes et de la gestion desrégions et des autres collectivités territoriales et de leurs groupements. Elles sanctionnent, le cas échéant,les manquements aux règles qui régissent les opérations financières publiques</w:t>
      </w:r>
      <w:r w:rsidRPr="005A3DEB">
        <w:rPr>
          <w:rFonts w:ascii="Arial" w:hAnsi="Arial" w:cs="Arial"/>
          <w:sz w:val="20"/>
          <w:szCs w:val="20"/>
        </w:rPr>
        <w:t>.</w:t>
      </w:r>
      <w:r>
        <w:rPr>
          <w:rFonts w:ascii="Arial" w:hAnsi="Arial" w:cs="Arial"/>
          <w:sz w:val="20"/>
          <w:szCs w:val="20"/>
        </w:rPr>
        <w:t xml:space="preserve">" </w:t>
      </w:r>
    </w:p>
  </w:footnote>
  <w:footnote w:id="58">
    <w:p w:rsidR="0034021B" w:rsidRDefault="0034021B" w:rsidP="003A596A">
      <w:pPr>
        <w:pStyle w:val="FootnoteText"/>
      </w:pPr>
      <w:r w:rsidRPr="005A3DEB">
        <w:rPr>
          <w:rStyle w:val="FootnoteReference"/>
          <w:rFonts w:ascii="Arial" w:hAnsi="Arial" w:cs="Arial"/>
        </w:rPr>
        <w:footnoteRef/>
      </w:r>
      <w:r w:rsidRPr="005A3DEB">
        <w:rPr>
          <w:rFonts w:ascii="Arial" w:hAnsi="Arial" w:cs="Arial"/>
        </w:rPr>
        <w:t xml:space="preserve"> Source rapport annuel de la Cour des comptes au titre de l’exercice 2012</w:t>
      </w:r>
    </w:p>
  </w:footnote>
  <w:footnote w:id="59">
    <w:p w:rsidR="0034021B" w:rsidRPr="008D5851" w:rsidRDefault="0034021B" w:rsidP="003A596A">
      <w:pPr>
        <w:pStyle w:val="FootnoteText"/>
        <w:rPr>
          <w:rFonts w:ascii="Arial" w:hAnsi="Arial" w:cs="Arial"/>
        </w:rPr>
      </w:pPr>
      <w:r w:rsidRPr="008D5851">
        <w:rPr>
          <w:rStyle w:val="FootnoteReference"/>
          <w:rFonts w:ascii="Arial" w:hAnsi="Arial" w:cs="Arial"/>
        </w:rPr>
        <w:footnoteRef/>
      </w:r>
      <w:r w:rsidRPr="008D5851">
        <w:rPr>
          <w:rFonts w:ascii="Arial" w:hAnsi="Arial" w:cs="Arial"/>
        </w:rPr>
        <w:t xml:space="preserve"> Source rapport annuel de la Cour des Comptes au titre de l’année 2011.</w:t>
      </w:r>
    </w:p>
  </w:footnote>
  <w:footnote w:id="60">
    <w:p w:rsidR="0034021B" w:rsidRPr="00494324" w:rsidRDefault="0034021B" w:rsidP="003A596A">
      <w:pPr>
        <w:pStyle w:val="FootnoteText"/>
        <w:rPr>
          <w:rFonts w:ascii="Arial" w:hAnsi="Arial" w:cs="Arial"/>
        </w:rPr>
      </w:pPr>
      <w:r w:rsidRPr="00494324">
        <w:rPr>
          <w:rStyle w:val="FootnoteReference"/>
          <w:rFonts w:ascii="Arial" w:hAnsi="Arial" w:cs="Arial"/>
        </w:rPr>
        <w:footnoteRef/>
      </w:r>
      <w:r w:rsidRPr="00494324">
        <w:rPr>
          <w:rFonts w:ascii="Arial" w:hAnsi="Arial" w:cs="Arial"/>
        </w:rPr>
        <w:t xml:space="preserve"> Article 53 de la loi 45-08 du 18 février 2009 portant organisation des finances locales</w:t>
      </w:r>
    </w:p>
  </w:footnote>
  <w:footnote w:id="61">
    <w:p w:rsidR="0034021B" w:rsidRPr="003C56BD" w:rsidRDefault="0034021B" w:rsidP="007C616A">
      <w:pPr>
        <w:jc w:val="both"/>
        <w:rPr>
          <w:rFonts w:ascii="Arial" w:hAnsi="Arial" w:cs="Arial"/>
          <w:sz w:val="20"/>
          <w:szCs w:val="20"/>
          <w:lang w:eastAsia="fr-FR"/>
        </w:rPr>
      </w:pPr>
      <w:r>
        <w:rPr>
          <w:rStyle w:val="FootnoteReference"/>
        </w:rPr>
        <w:footnoteRef/>
      </w:r>
      <w:r>
        <w:t xml:space="preserve"> </w:t>
      </w:r>
      <w:r w:rsidRPr="003C56BD">
        <w:rPr>
          <w:rFonts w:ascii="Arial" w:hAnsi="Arial" w:cs="Arial"/>
          <w:sz w:val="20"/>
          <w:szCs w:val="20"/>
          <w:lang w:eastAsia="fr-FR"/>
        </w:rPr>
        <w:t>Il s'agit de loi organique 111-14 relative aux régions, la loi organique 112-14 concernant les préfectures et les provinces et la loi organique 113-14 sur les communes adoptées en juillet 2015.</w:t>
      </w:r>
    </w:p>
    <w:p w:rsidR="0034021B" w:rsidRPr="003C56BD" w:rsidRDefault="0034021B" w:rsidP="007C616A">
      <w:pPr>
        <w:pStyle w:val="FootnoteText"/>
      </w:pPr>
    </w:p>
  </w:footnote>
  <w:footnote w:id="62">
    <w:p w:rsidR="0034021B" w:rsidRDefault="0034021B">
      <w:pPr>
        <w:pStyle w:val="FootnoteText"/>
      </w:pPr>
      <w:r>
        <w:rPr>
          <w:rStyle w:val="FootnoteReference"/>
        </w:rPr>
        <w:footnoteRef/>
      </w:r>
      <w:r>
        <w:t xml:space="preserve"> Article 220 de la loi organique 113-14.</w:t>
      </w:r>
    </w:p>
  </w:footnote>
  <w:footnote w:id="63">
    <w:p w:rsidR="0034021B" w:rsidRDefault="0034021B">
      <w:pPr>
        <w:pStyle w:val="FootnoteText"/>
      </w:pPr>
      <w:r>
        <w:rPr>
          <w:rStyle w:val="FootnoteReference"/>
        </w:rPr>
        <w:footnoteRef/>
      </w:r>
      <w:r>
        <w:t xml:space="preserve"> Articles 98 et 99 de la loi organique 113-14.</w:t>
      </w:r>
    </w:p>
  </w:footnote>
  <w:footnote w:id="64">
    <w:p w:rsidR="0034021B" w:rsidRDefault="0034021B">
      <w:pPr>
        <w:pStyle w:val="FootnoteText"/>
      </w:pPr>
      <w:r>
        <w:rPr>
          <w:rStyle w:val="FootnoteReference"/>
        </w:rPr>
        <w:footnoteRef/>
      </w:r>
      <w:r>
        <w:t xml:space="preserve"> Article 128 de la loi organique 113-14.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D779DB">
    <w:pPr>
      <w:pStyle w:val="Header"/>
      <w:jc w:val="center"/>
      <w:rPr>
        <w:rFonts w:ascii="Arial" w:hAnsi="Arial"/>
        <w:sz w:val="18"/>
        <w:szCs w:val="18"/>
      </w:rPr>
    </w:pPr>
    <w:r>
      <w:rPr>
        <w:rFonts w:ascii="Arial" w:hAnsi="Arial"/>
        <w:sz w:val="18"/>
        <w:szCs w:val="18"/>
      </w:rPr>
      <w:t xml:space="preserve">- </w:t>
    </w:r>
    <w:r w:rsidRPr="00766D15">
      <w:rPr>
        <w:rFonts w:ascii="Arial" w:hAnsi="Arial"/>
        <w:i/>
        <w:sz w:val="16"/>
        <w:szCs w:val="16"/>
      </w:rPr>
      <w:t xml:space="preserve">Evaluation de la gestion des finances publiques </w:t>
    </w:r>
    <w:r>
      <w:rPr>
        <w:rFonts w:ascii="Arial" w:hAnsi="Arial"/>
        <w:i/>
        <w:sz w:val="16"/>
        <w:szCs w:val="16"/>
      </w:rPr>
      <w:t xml:space="preserve">PEFA </w:t>
    </w:r>
    <w:r w:rsidRPr="00766D15">
      <w:rPr>
        <w:rFonts w:ascii="Arial" w:hAnsi="Arial"/>
        <w:i/>
        <w:sz w:val="16"/>
        <w:szCs w:val="16"/>
      </w:rPr>
      <w:t xml:space="preserve">de la </w:t>
    </w:r>
    <w:r>
      <w:rPr>
        <w:rFonts w:ascii="Arial" w:hAnsi="Arial"/>
        <w:i/>
        <w:sz w:val="16"/>
        <w:szCs w:val="16"/>
      </w:rPr>
      <w:t>Commune de Casablanca</w:t>
    </w:r>
    <w:r>
      <w:rPr>
        <w:rFonts w:ascii="Arial" w:hAnsi="Arial"/>
        <w:sz w:val="18"/>
        <w:szCs w:val="18"/>
      </w:rPr>
      <w:t>-</w:t>
    </w:r>
  </w:p>
  <w:p w:rsidR="0034021B" w:rsidRDefault="0034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rsidP="0031692E">
    <w:pPr>
      <w:pStyle w:val="Header"/>
      <w:jc w:val="center"/>
      <w:rPr>
        <w:rFonts w:ascii="Arial" w:hAnsi="Arial"/>
        <w:sz w:val="18"/>
        <w:szCs w:val="18"/>
      </w:rPr>
    </w:pPr>
    <w:r>
      <w:rPr>
        <w:rFonts w:ascii="Arial" w:hAnsi="Arial"/>
        <w:sz w:val="18"/>
        <w:szCs w:val="18"/>
      </w:rPr>
      <w:t xml:space="preserve">- </w:t>
    </w:r>
    <w:r w:rsidRPr="00766D15">
      <w:rPr>
        <w:rFonts w:ascii="Arial" w:hAnsi="Arial"/>
        <w:i/>
        <w:sz w:val="16"/>
        <w:szCs w:val="16"/>
      </w:rPr>
      <w:t>Evaluation de la gestion des finances publiques</w:t>
    </w:r>
    <w:r>
      <w:rPr>
        <w:rFonts w:ascii="Arial" w:hAnsi="Arial"/>
        <w:i/>
        <w:sz w:val="16"/>
        <w:szCs w:val="16"/>
      </w:rPr>
      <w:t xml:space="preserve"> PEFA </w:t>
    </w:r>
    <w:r w:rsidRPr="00766D15">
      <w:rPr>
        <w:rFonts w:ascii="Arial" w:hAnsi="Arial"/>
        <w:i/>
        <w:sz w:val="16"/>
        <w:szCs w:val="16"/>
      </w:rPr>
      <w:t xml:space="preserve">de la </w:t>
    </w:r>
    <w:r>
      <w:rPr>
        <w:rFonts w:ascii="Arial" w:hAnsi="Arial"/>
        <w:i/>
        <w:sz w:val="16"/>
        <w:szCs w:val="16"/>
      </w:rPr>
      <w:t>CC</w:t>
    </w:r>
    <w:r>
      <w:rPr>
        <w:rFonts w:ascii="Arial" w:hAnsi="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Header"/>
      <w:jc w:val="center"/>
      <w:rPr>
        <w:rFonts w:ascii="Arial" w:hAnsi="Arial"/>
        <w:sz w:val="18"/>
        <w:szCs w:val="18"/>
      </w:rPr>
    </w:pPr>
    <w:r>
      <w:rPr>
        <w:rFonts w:ascii="Arial" w:hAnsi="Arial"/>
        <w:sz w:val="18"/>
        <w:szCs w:val="18"/>
      </w:rPr>
      <w:t xml:space="preserve">- </w:t>
    </w:r>
    <w:r w:rsidRPr="00766D15">
      <w:rPr>
        <w:rFonts w:ascii="Arial" w:hAnsi="Arial"/>
        <w:i/>
        <w:sz w:val="16"/>
        <w:szCs w:val="16"/>
      </w:rPr>
      <w:t xml:space="preserve">Evaluation de la gestion des finances publiques </w:t>
    </w:r>
    <w:r>
      <w:rPr>
        <w:rFonts w:ascii="Arial" w:hAnsi="Arial"/>
        <w:i/>
        <w:sz w:val="16"/>
        <w:szCs w:val="16"/>
      </w:rPr>
      <w:t xml:space="preserve">PEFA </w:t>
    </w:r>
    <w:r w:rsidRPr="00766D15">
      <w:rPr>
        <w:rFonts w:ascii="Arial" w:hAnsi="Arial"/>
        <w:i/>
        <w:sz w:val="16"/>
        <w:szCs w:val="16"/>
      </w:rPr>
      <w:t xml:space="preserve">de </w:t>
    </w:r>
    <w:r>
      <w:rPr>
        <w:rFonts w:ascii="Arial" w:hAnsi="Arial"/>
        <w:i/>
        <w:sz w:val="16"/>
        <w:szCs w:val="16"/>
      </w:rPr>
      <w:t>Casablanca</w:t>
    </w:r>
    <w:r>
      <w:rPr>
        <w:rFonts w:ascii="Arial" w:hAnsi="Arial"/>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B" w:rsidRDefault="0034021B">
    <w:pPr>
      <w:pStyle w:val="Header"/>
      <w:jc w:val="center"/>
      <w:rPr>
        <w:rFonts w:ascii="Arial" w:hAnsi="Arial"/>
        <w:sz w:val="18"/>
        <w:szCs w:val="18"/>
      </w:rPr>
    </w:pPr>
    <w:r>
      <w:rPr>
        <w:rFonts w:ascii="Arial" w:hAnsi="Arial"/>
        <w:sz w:val="18"/>
        <w:szCs w:val="18"/>
      </w:rPr>
      <w:t xml:space="preserve">- </w:t>
    </w:r>
    <w:r w:rsidRPr="00766D15">
      <w:rPr>
        <w:rFonts w:ascii="Arial" w:hAnsi="Arial"/>
        <w:i/>
        <w:sz w:val="16"/>
        <w:szCs w:val="16"/>
      </w:rPr>
      <w:t>Evaluation de la gestion des finances publiques de</w:t>
    </w:r>
    <w:r>
      <w:rPr>
        <w:rFonts w:ascii="Arial" w:hAnsi="Arial"/>
        <w:i/>
        <w:sz w:val="16"/>
        <w:szCs w:val="16"/>
      </w:rPr>
      <w:t xml:space="preserve"> Casablanca</w:t>
    </w:r>
    <w:r>
      <w:rPr>
        <w:rFonts w:ascii="Arial" w:hAnsi="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D02"/>
    <w:multiLevelType w:val="hybridMultilevel"/>
    <w:tmpl w:val="BD9CB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05C63"/>
    <w:multiLevelType w:val="multilevel"/>
    <w:tmpl w:val="3056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F20AF"/>
    <w:multiLevelType w:val="hybridMultilevel"/>
    <w:tmpl w:val="2738D7E6"/>
    <w:lvl w:ilvl="0" w:tplc="339429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B18CB"/>
    <w:multiLevelType w:val="hybridMultilevel"/>
    <w:tmpl w:val="CCC400EE"/>
    <w:lvl w:ilvl="0" w:tplc="F0ACABA2">
      <w:start w:val="1"/>
      <w:numFmt w:val="bullet"/>
      <w:lvlText w:val="•"/>
      <w:lvlJc w:val="left"/>
      <w:pPr>
        <w:tabs>
          <w:tab w:val="num" w:pos="720"/>
        </w:tabs>
        <w:ind w:left="720" w:hanging="360"/>
      </w:pPr>
      <w:rPr>
        <w:rFonts w:ascii="Arial" w:hAnsi="Arial" w:hint="default"/>
      </w:rPr>
    </w:lvl>
    <w:lvl w:ilvl="1" w:tplc="F272881C" w:tentative="1">
      <w:start w:val="1"/>
      <w:numFmt w:val="bullet"/>
      <w:lvlText w:val="•"/>
      <w:lvlJc w:val="left"/>
      <w:pPr>
        <w:tabs>
          <w:tab w:val="num" w:pos="1440"/>
        </w:tabs>
        <w:ind w:left="1440" w:hanging="360"/>
      </w:pPr>
      <w:rPr>
        <w:rFonts w:ascii="Arial" w:hAnsi="Arial" w:hint="default"/>
      </w:rPr>
    </w:lvl>
    <w:lvl w:ilvl="2" w:tplc="1DCEEC46" w:tentative="1">
      <w:start w:val="1"/>
      <w:numFmt w:val="bullet"/>
      <w:lvlText w:val="•"/>
      <w:lvlJc w:val="left"/>
      <w:pPr>
        <w:tabs>
          <w:tab w:val="num" w:pos="2160"/>
        </w:tabs>
        <w:ind w:left="2160" w:hanging="360"/>
      </w:pPr>
      <w:rPr>
        <w:rFonts w:ascii="Arial" w:hAnsi="Arial" w:hint="default"/>
      </w:rPr>
    </w:lvl>
    <w:lvl w:ilvl="3" w:tplc="E834B99E" w:tentative="1">
      <w:start w:val="1"/>
      <w:numFmt w:val="bullet"/>
      <w:lvlText w:val="•"/>
      <w:lvlJc w:val="left"/>
      <w:pPr>
        <w:tabs>
          <w:tab w:val="num" w:pos="2880"/>
        </w:tabs>
        <w:ind w:left="2880" w:hanging="360"/>
      </w:pPr>
      <w:rPr>
        <w:rFonts w:ascii="Arial" w:hAnsi="Arial" w:hint="default"/>
      </w:rPr>
    </w:lvl>
    <w:lvl w:ilvl="4" w:tplc="93B27B1E" w:tentative="1">
      <w:start w:val="1"/>
      <w:numFmt w:val="bullet"/>
      <w:lvlText w:val="•"/>
      <w:lvlJc w:val="left"/>
      <w:pPr>
        <w:tabs>
          <w:tab w:val="num" w:pos="3600"/>
        </w:tabs>
        <w:ind w:left="3600" w:hanging="360"/>
      </w:pPr>
      <w:rPr>
        <w:rFonts w:ascii="Arial" w:hAnsi="Arial" w:hint="default"/>
      </w:rPr>
    </w:lvl>
    <w:lvl w:ilvl="5" w:tplc="8CD8E04E" w:tentative="1">
      <w:start w:val="1"/>
      <w:numFmt w:val="bullet"/>
      <w:lvlText w:val="•"/>
      <w:lvlJc w:val="left"/>
      <w:pPr>
        <w:tabs>
          <w:tab w:val="num" w:pos="4320"/>
        </w:tabs>
        <w:ind w:left="4320" w:hanging="360"/>
      </w:pPr>
      <w:rPr>
        <w:rFonts w:ascii="Arial" w:hAnsi="Arial" w:hint="default"/>
      </w:rPr>
    </w:lvl>
    <w:lvl w:ilvl="6" w:tplc="C0DA04F4" w:tentative="1">
      <w:start w:val="1"/>
      <w:numFmt w:val="bullet"/>
      <w:lvlText w:val="•"/>
      <w:lvlJc w:val="left"/>
      <w:pPr>
        <w:tabs>
          <w:tab w:val="num" w:pos="5040"/>
        </w:tabs>
        <w:ind w:left="5040" w:hanging="360"/>
      </w:pPr>
      <w:rPr>
        <w:rFonts w:ascii="Arial" w:hAnsi="Arial" w:hint="default"/>
      </w:rPr>
    </w:lvl>
    <w:lvl w:ilvl="7" w:tplc="61268128" w:tentative="1">
      <w:start w:val="1"/>
      <w:numFmt w:val="bullet"/>
      <w:lvlText w:val="•"/>
      <w:lvlJc w:val="left"/>
      <w:pPr>
        <w:tabs>
          <w:tab w:val="num" w:pos="5760"/>
        </w:tabs>
        <w:ind w:left="5760" w:hanging="360"/>
      </w:pPr>
      <w:rPr>
        <w:rFonts w:ascii="Arial" w:hAnsi="Arial" w:hint="default"/>
      </w:rPr>
    </w:lvl>
    <w:lvl w:ilvl="8" w:tplc="7E8ADF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5F3131"/>
    <w:multiLevelType w:val="hybridMultilevel"/>
    <w:tmpl w:val="79BEE2B8"/>
    <w:lvl w:ilvl="0" w:tplc="6EE8482C">
      <w:start w:val="2013"/>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56A6C45"/>
    <w:multiLevelType w:val="hybridMultilevel"/>
    <w:tmpl w:val="DDF80158"/>
    <w:lvl w:ilvl="0" w:tplc="040C0001">
      <w:start w:val="1"/>
      <w:numFmt w:val="bullet"/>
      <w:lvlText w:val=""/>
      <w:lvlJc w:val="left"/>
      <w:pPr>
        <w:ind w:left="435" w:hanging="360"/>
      </w:pPr>
      <w:rPr>
        <w:rFonts w:ascii="Symbol" w:hAnsi="Symbo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15:restartNumberingAfterBreak="0">
    <w:nsid w:val="07027C67"/>
    <w:multiLevelType w:val="hybridMultilevel"/>
    <w:tmpl w:val="857432A2"/>
    <w:lvl w:ilvl="0" w:tplc="1E0070D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7C3DAA"/>
    <w:multiLevelType w:val="hybridMultilevel"/>
    <w:tmpl w:val="BDFE6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9C12FF"/>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626A2"/>
    <w:multiLevelType w:val="hybridMultilevel"/>
    <w:tmpl w:val="DE90B94E"/>
    <w:lvl w:ilvl="0" w:tplc="CF8E1B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ED0EBB"/>
    <w:multiLevelType w:val="hybridMultilevel"/>
    <w:tmpl w:val="ABDCB804"/>
    <w:lvl w:ilvl="0" w:tplc="29BC92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800280"/>
    <w:multiLevelType w:val="hybridMultilevel"/>
    <w:tmpl w:val="33383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FA5C63"/>
    <w:multiLevelType w:val="hybridMultilevel"/>
    <w:tmpl w:val="F5428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BB7E2C"/>
    <w:multiLevelType w:val="hybridMultilevel"/>
    <w:tmpl w:val="F57C255E"/>
    <w:lvl w:ilvl="0" w:tplc="EA0A0928">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2953BB"/>
    <w:multiLevelType w:val="hybridMultilevel"/>
    <w:tmpl w:val="C7C4297C"/>
    <w:lvl w:ilvl="0" w:tplc="EC9EEC26">
      <w:numFmt w:val="bullet"/>
      <w:lvlText w:val="-"/>
      <w:lvlJc w:val="left"/>
      <w:pPr>
        <w:ind w:left="795" w:hanging="360"/>
      </w:pPr>
      <w:rPr>
        <w:rFonts w:ascii="Arial" w:eastAsiaTheme="minorHAnsi" w:hAnsi="Aria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0013C72"/>
    <w:multiLevelType w:val="hybridMultilevel"/>
    <w:tmpl w:val="44D04308"/>
    <w:lvl w:ilvl="0" w:tplc="040C0001">
      <w:start w:val="1"/>
      <w:numFmt w:val="bullet"/>
      <w:lvlText w:val=""/>
      <w:lvlJc w:val="left"/>
      <w:pPr>
        <w:tabs>
          <w:tab w:val="num" w:pos="720"/>
        </w:tabs>
        <w:ind w:left="720" w:hanging="360"/>
      </w:pPr>
      <w:rPr>
        <w:rFonts w:ascii="Symbol" w:hAnsi="Symbol" w:hint="default"/>
      </w:rPr>
    </w:lvl>
    <w:lvl w:ilvl="1" w:tplc="0E7E7EEA" w:tentative="1">
      <w:start w:val="1"/>
      <w:numFmt w:val="bullet"/>
      <w:lvlText w:val=""/>
      <w:lvlJc w:val="left"/>
      <w:pPr>
        <w:tabs>
          <w:tab w:val="num" w:pos="1440"/>
        </w:tabs>
        <w:ind w:left="1440" w:hanging="360"/>
      </w:pPr>
      <w:rPr>
        <w:rFonts w:ascii="Wingdings" w:hAnsi="Wingdings" w:hint="default"/>
      </w:rPr>
    </w:lvl>
    <w:lvl w:ilvl="2" w:tplc="769CCA50" w:tentative="1">
      <w:start w:val="1"/>
      <w:numFmt w:val="bullet"/>
      <w:lvlText w:val=""/>
      <w:lvlJc w:val="left"/>
      <w:pPr>
        <w:tabs>
          <w:tab w:val="num" w:pos="2160"/>
        </w:tabs>
        <w:ind w:left="2160" w:hanging="360"/>
      </w:pPr>
      <w:rPr>
        <w:rFonts w:ascii="Wingdings" w:hAnsi="Wingdings" w:hint="default"/>
      </w:rPr>
    </w:lvl>
    <w:lvl w:ilvl="3" w:tplc="0FBE39BA" w:tentative="1">
      <w:start w:val="1"/>
      <w:numFmt w:val="bullet"/>
      <w:lvlText w:val=""/>
      <w:lvlJc w:val="left"/>
      <w:pPr>
        <w:tabs>
          <w:tab w:val="num" w:pos="2880"/>
        </w:tabs>
        <w:ind w:left="2880" w:hanging="360"/>
      </w:pPr>
      <w:rPr>
        <w:rFonts w:ascii="Wingdings" w:hAnsi="Wingdings" w:hint="default"/>
      </w:rPr>
    </w:lvl>
    <w:lvl w:ilvl="4" w:tplc="018EEF80" w:tentative="1">
      <w:start w:val="1"/>
      <w:numFmt w:val="bullet"/>
      <w:lvlText w:val=""/>
      <w:lvlJc w:val="left"/>
      <w:pPr>
        <w:tabs>
          <w:tab w:val="num" w:pos="3600"/>
        </w:tabs>
        <w:ind w:left="3600" w:hanging="360"/>
      </w:pPr>
      <w:rPr>
        <w:rFonts w:ascii="Wingdings" w:hAnsi="Wingdings" w:hint="default"/>
      </w:rPr>
    </w:lvl>
    <w:lvl w:ilvl="5" w:tplc="999A3D8A" w:tentative="1">
      <w:start w:val="1"/>
      <w:numFmt w:val="bullet"/>
      <w:lvlText w:val=""/>
      <w:lvlJc w:val="left"/>
      <w:pPr>
        <w:tabs>
          <w:tab w:val="num" w:pos="4320"/>
        </w:tabs>
        <w:ind w:left="4320" w:hanging="360"/>
      </w:pPr>
      <w:rPr>
        <w:rFonts w:ascii="Wingdings" w:hAnsi="Wingdings" w:hint="default"/>
      </w:rPr>
    </w:lvl>
    <w:lvl w:ilvl="6" w:tplc="3EE426CA" w:tentative="1">
      <w:start w:val="1"/>
      <w:numFmt w:val="bullet"/>
      <w:lvlText w:val=""/>
      <w:lvlJc w:val="left"/>
      <w:pPr>
        <w:tabs>
          <w:tab w:val="num" w:pos="5040"/>
        </w:tabs>
        <w:ind w:left="5040" w:hanging="360"/>
      </w:pPr>
      <w:rPr>
        <w:rFonts w:ascii="Wingdings" w:hAnsi="Wingdings" w:hint="default"/>
      </w:rPr>
    </w:lvl>
    <w:lvl w:ilvl="7" w:tplc="796E06D8" w:tentative="1">
      <w:start w:val="1"/>
      <w:numFmt w:val="bullet"/>
      <w:lvlText w:val=""/>
      <w:lvlJc w:val="left"/>
      <w:pPr>
        <w:tabs>
          <w:tab w:val="num" w:pos="5760"/>
        </w:tabs>
        <w:ind w:left="5760" w:hanging="360"/>
      </w:pPr>
      <w:rPr>
        <w:rFonts w:ascii="Wingdings" w:hAnsi="Wingdings" w:hint="default"/>
      </w:rPr>
    </w:lvl>
    <w:lvl w:ilvl="8" w:tplc="F46C7F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05615"/>
    <w:multiLevelType w:val="hybridMultilevel"/>
    <w:tmpl w:val="F566094E"/>
    <w:lvl w:ilvl="0" w:tplc="5C6882EC">
      <w:start w:val="356"/>
      <w:numFmt w:val="bullet"/>
      <w:lvlText w:val="-"/>
      <w:lvlJc w:val="left"/>
      <w:pPr>
        <w:ind w:left="435" w:hanging="360"/>
      </w:pPr>
      <w:rPr>
        <w:rFonts w:ascii="Arial Narrow" w:eastAsia="Times New Roman" w:hAnsi="Arial Narrow" w:cs="Calibr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7" w15:restartNumberingAfterBreak="0">
    <w:nsid w:val="12840F7F"/>
    <w:multiLevelType w:val="hybridMultilevel"/>
    <w:tmpl w:val="75081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A2657D"/>
    <w:multiLevelType w:val="hybridMultilevel"/>
    <w:tmpl w:val="39247CBE"/>
    <w:lvl w:ilvl="0" w:tplc="FC96B0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836ECE"/>
    <w:multiLevelType w:val="hybridMultilevel"/>
    <w:tmpl w:val="3DDC71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5947A9D"/>
    <w:multiLevelType w:val="multilevel"/>
    <w:tmpl w:val="43CC3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3E65BF"/>
    <w:multiLevelType w:val="hybridMultilevel"/>
    <w:tmpl w:val="9FD43228"/>
    <w:lvl w:ilvl="0" w:tplc="0FBE32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D45FEF"/>
    <w:multiLevelType w:val="hybridMultilevel"/>
    <w:tmpl w:val="F1F8693E"/>
    <w:lvl w:ilvl="0" w:tplc="EC9EEC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1F5EE3"/>
    <w:multiLevelType w:val="hybridMultilevel"/>
    <w:tmpl w:val="3236B634"/>
    <w:lvl w:ilvl="0" w:tplc="040C000D">
      <w:start w:val="1"/>
      <w:numFmt w:val="bullet"/>
      <w:lvlText w:val=""/>
      <w:lvlJc w:val="left"/>
      <w:pPr>
        <w:ind w:left="720" w:hanging="360"/>
      </w:pPr>
      <w:rPr>
        <w:rFonts w:ascii="Wingdings" w:hAnsi="Wingdings" w:hint="default"/>
      </w:rPr>
    </w:lvl>
    <w:lvl w:ilvl="1" w:tplc="5E44CCDE">
      <w:start w:val="4"/>
      <w:numFmt w:val="bullet"/>
      <w:lvlText w:val="-"/>
      <w:lvlJc w:val="left"/>
      <w:pPr>
        <w:ind w:left="1440" w:hanging="360"/>
      </w:pPr>
      <w:rPr>
        <w:rFonts w:ascii="ComicSansMS" w:eastAsiaTheme="minorHAnsi" w:hAnsi="ComicSansMS" w:cs="ComicSansMS" w:hint="default"/>
        <w:color w:val="9A9A9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9593194"/>
    <w:multiLevelType w:val="hybridMultilevel"/>
    <w:tmpl w:val="7184303A"/>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color w:val="9A9A9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9B44585"/>
    <w:multiLevelType w:val="hybridMultilevel"/>
    <w:tmpl w:val="A7C82BE0"/>
    <w:lvl w:ilvl="0" w:tplc="DB6EB09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9EB7C05"/>
    <w:multiLevelType w:val="hybridMultilevel"/>
    <w:tmpl w:val="208E2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B3F0580"/>
    <w:multiLevelType w:val="hybridMultilevel"/>
    <w:tmpl w:val="9A289D00"/>
    <w:lvl w:ilvl="0" w:tplc="BE78810E">
      <w:start w:val="47"/>
      <w:numFmt w:val="bullet"/>
      <w:lvlText w:val="-"/>
      <w:lvlJc w:val="left"/>
      <w:pPr>
        <w:ind w:left="480" w:hanging="360"/>
      </w:pPr>
      <w:rPr>
        <w:rFonts w:ascii="Arial Narrow" w:eastAsia="Times New Roman" w:hAnsi="Arial Narrow"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8" w15:restartNumberingAfterBreak="0">
    <w:nsid w:val="1BBF27DB"/>
    <w:multiLevelType w:val="hybridMultilevel"/>
    <w:tmpl w:val="7CA4F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C33016A"/>
    <w:multiLevelType w:val="hybridMultilevel"/>
    <w:tmpl w:val="D696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0F0865"/>
    <w:multiLevelType w:val="multilevel"/>
    <w:tmpl w:val="9C98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4453AD"/>
    <w:multiLevelType w:val="hybridMultilevel"/>
    <w:tmpl w:val="DACEA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D4780C"/>
    <w:multiLevelType w:val="hybridMultilevel"/>
    <w:tmpl w:val="3F562788"/>
    <w:lvl w:ilvl="0" w:tplc="DD7C92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71204FE"/>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8A27836"/>
    <w:multiLevelType w:val="hybridMultilevel"/>
    <w:tmpl w:val="09B0EA3E"/>
    <w:lvl w:ilvl="0" w:tplc="D5EE90A2">
      <w:start w:val="47"/>
      <w:numFmt w:val="bullet"/>
      <w:lvlText w:val="-"/>
      <w:lvlJc w:val="left"/>
      <w:pPr>
        <w:ind w:left="480" w:hanging="360"/>
      </w:pPr>
      <w:rPr>
        <w:rFonts w:ascii="Arial Narrow" w:eastAsia="Times New Roman" w:hAnsi="Arial Narrow"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5" w15:restartNumberingAfterBreak="0">
    <w:nsid w:val="2931039D"/>
    <w:multiLevelType w:val="hybridMultilevel"/>
    <w:tmpl w:val="92A8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A72044A"/>
    <w:multiLevelType w:val="hybridMultilevel"/>
    <w:tmpl w:val="8B549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B534D2E"/>
    <w:multiLevelType w:val="hybridMultilevel"/>
    <w:tmpl w:val="6BEE2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B5B793A"/>
    <w:multiLevelType w:val="hybridMultilevel"/>
    <w:tmpl w:val="055A9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C946860"/>
    <w:multiLevelType w:val="hybridMultilevel"/>
    <w:tmpl w:val="24AC3F8C"/>
    <w:lvl w:ilvl="0" w:tplc="339429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10721CB"/>
    <w:multiLevelType w:val="hybridMultilevel"/>
    <w:tmpl w:val="31AA9614"/>
    <w:lvl w:ilvl="0" w:tplc="4D3419C0">
      <w:numFmt w:val="bullet"/>
      <w:lvlText w:val="•"/>
      <w:lvlJc w:val="left"/>
      <w:pPr>
        <w:ind w:left="720" w:hanging="360"/>
      </w:pPr>
      <w:rPr>
        <w:rFonts w:ascii="Times New Roman" w:eastAsia="Calibri" w:hAnsi="Times New Roman" w:cs="Times New Roman" w:hint="default"/>
        <w:color w:val="B6E2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2617D89"/>
    <w:multiLevelType w:val="hybridMultilevel"/>
    <w:tmpl w:val="9D8E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28A0C4C"/>
    <w:multiLevelType w:val="hybridMultilevel"/>
    <w:tmpl w:val="E34EAC68"/>
    <w:lvl w:ilvl="0" w:tplc="EA0A0928">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5A186E"/>
    <w:multiLevelType w:val="hybridMultilevel"/>
    <w:tmpl w:val="C324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46307A4"/>
    <w:multiLevelType w:val="hybridMultilevel"/>
    <w:tmpl w:val="92E8394E"/>
    <w:lvl w:ilvl="0" w:tplc="C0EE00F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5A401F5"/>
    <w:multiLevelType w:val="hybridMultilevel"/>
    <w:tmpl w:val="D6481FC4"/>
    <w:lvl w:ilvl="0" w:tplc="8CBEFFE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6B20C76"/>
    <w:multiLevelType w:val="hybridMultilevel"/>
    <w:tmpl w:val="B12682E8"/>
    <w:lvl w:ilvl="0" w:tplc="EE0625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DCC7CE8"/>
    <w:multiLevelType w:val="hybridMultilevel"/>
    <w:tmpl w:val="1A8CCC1E"/>
    <w:lvl w:ilvl="0" w:tplc="DB6EB0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EE63E68"/>
    <w:multiLevelType w:val="hybridMultilevel"/>
    <w:tmpl w:val="D8F4BA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3F5D193D"/>
    <w:multiLevelType w:val="hybridMultilevel"/>
    <w:tmpl w:val="F332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0401C1D"/>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04F6117"/>
    <w:multiLevelType w:val="hybridMultilevel"/>
    <w:tmpl w:val="C02E1A0E"/>
    <w:lvl w:ilvl="0" w:tplc="39B67D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25B5CA4"/>
    <w:multiLevelType w:val="hybridMultilevel"/>
    <w:tmpl w:val="B49C3D1E"/>
    <w:lvl w:ilvl="0" w:tplc="040C0001">
      <w:start w:val="1"/>
      <w:numFmt w:val="bullet"/>
      <w:lvlText w:val=""/>
      <w:lvlJc w:val="left"/>
      <w:pPr>
        <w:ind w:left="435" w:hanging="360"/>
      </w:pPr>
      <w:rPr>
        <w:rFonts w:ascii="Symbol" w:hAnsi="Symbo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3" w15:restartNumberingAfterBreak="0">
    <w:nsid w:val="430A1EDA"/>
    <w:multiLevelType w:val="hybridMultilevel"/>
    <w:tmpl w:val="9E7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6050286"/>
    <w:multiLevelType w:val="hybridMultilevel"/>
    <w:tmpl w:val="4718BFF6"/>
    <w:lvl w:ilvl="0" w:tplc="2CCCD49E">
      <w:start w:val="1"/>
      <w:numFmt w:val="bullet"/>
      <w:lvlText w:val="-"/>
      <w:lvlJc w:val="left"/>
      <w:pPr>
        <w:ind w:left="720" w:hanging="360"/>
      </w:pPr>
      <w:rPr>
        <w:rFonts w:ascii="Frutiger-LightCn" w:eastAsia="Calibr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6CA7AA6"/>
    <w:multiLevelType w:val="hybridMultilevel"/>
    <w:tmpl w:val="D3109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8F05947"/>
    <w:multiLevelType w:val="hybridMultilevel"/>
    <w:tmpl w:val="7CB0E0B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A281CC4"/>
    <w:multiLevelType w:val="hybridMultilevel"/>
    <w:tmpl w:val="5E6A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AA26EC4"/>
    <w:multiLevelType w:val="hybridMultilevel"/>
    <w:tmpl w:val="6D04A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AAF707F"/>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AC12557"/>
    <w:multiLevelType w:val="hybridMultilevel"/>
    <w:tmpl w:val="7DFA5C88"/>
    <w:lvl w:ilvl="0" w:tplc="6436E63A">
      <w:start w:val="3"/>
      <w:numFmt w:val="bullet"/>
      <w:lvlText w:val="-"/>
      <w:lvlJc w:val="left"/>
      <w:pPr>
        <w:ind w:left="720" w:hanging="360"/>
      </w:pPr>
      <w:rPr>
        <w:rFonts w:ascii="Arial" w:eastAsia="Calibri"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D1E4F7F"/>
    <w:multiLevelType w:val="hybridMultilevel"/>
    <w:tmpl w:val="00CC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DD4745D"/>
    <w:multiLevelType w:val="hybridMultilevel"/>
    <w:tmpl w:val="0AB07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F8F5634"/>
    <w:multiLevelType w:val="hybridMultilevel"/>
    <w:tmpl w:val="3294A5CE"/>
    <w:lvl w:ilvl="0" w:tplc="88103F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1F456AD"/>
    <w:multiLevelType w:val="hybridMultilevel"/>
    <w:tmpl w:val="C02E1A0E"/>
    <w:lvl w:ilvl="0" w:tplc="39B67D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2AA0BC0"/>
    <w:multiLevelType w:val="hybridMultilevel"/>
    <w:tmpl w:val="70AA9636"/>
    <w:lvl w:ilvl="0" w:tplc="848A306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5EA3E1C"/>
    <w:multiLevelType w:val="hybridMultilevel"/>
    <w:tmpl w:val="EF728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9BB195E"/>
    <w:multiLevelType w:val="hybridMultilevel"/>
    <w:tmpl w:val="F8E644DE"/>
    <w:lvl w:ilvl="0" w:tplc="040C0001">
      <w:start w:val="1"/>
      <w:numFmt w:val="bullet"/>
      <w:lvlText w:val=""/>
      <w:lvlJc w:val="left"/>
      <w:pPr>
        <w:ind w:left="720" w:hanging="360"/>
      </w:pPr>
      <w:rPr>
        <w:rFonts w:ascii="Symbol" w:hAnsi="Symbol" w:hint="default"/>
      </w:rPr>
    </w:lvl>
    <w:lvl w:ilvl="1" w:tplc="4B5698A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CE61F2E"/>
    <w:multiLevelType w:val="hybridMultilevel"/>
    <w:tmpl w:val="C16A9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DB114EB"/>
    <w:multiLevelType w:val="hybridMultilevel"/>
    <w:tmpl w:val="7D84B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DB95C48"/>
    <w:multiLevelType w:val="hybridMultilevel"/>
    <w:tmpl w:val="EAB0E6F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105B06"/>
    <w:multiLevelType w:val="hybridMultilevel"/>
    <w:tmpl w:val="C02E1A0E"/>
    <w:lvl w:ilvl="0" w:tplc="39B67D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F477CDB"/>
    <w:multiLevelType w:val="hybridMultilevel"/>
    <w:tmpl w:val="7280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FA932E3"/>
    <w:multiLevelType w:val="hybridMultilevel"/>
    <w:tmpl w:val="E1AAE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FC60A19"/>
    <w:multiLevelType w:val="hybridMultilevel"/>
    <w:tmpl w:val="46022492"/>
    <w:lvl w:ilvl="0" w:tplc="7752FE8E">
      <w:start w:val="1"/>
      <w:numFmt w:val="bullet"/>
      <w:pStyle w:val="Paragraphedeliste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15:restartNumberingAfterBreak="0">
    <w:nsid w:val="60946955"/>
    <w:multiLevelType w:val="hybridMultilevel"/>
    <w:tmpl w:val="7068E7D8"/>
    <w:lvl w:ilvl="0" w:tplc="F6F47CCE">
      <w:start w:val="1"/>
      <w:numFmt w:val="bullet"/>
      <w:lvlText w:val=""/>
      <w:lvlJc w:val="left"/>
      <w:pPr>
        <w:tabs>
          <w:tab w:val="num" w:pos="720"/>
        </w:tabs>
        <w:ind w:left="720" w:hanging="360"/>
      </w:pPr>
      <w:rPr>
        <w:rFonts w:ascii="Wingdings" w:hAnsi="Wingdings" w:hint="default"/>
      </w:rPr>
    </w:lvl>
    <w:lvl w:ilvl="1" w:tplc="733408B0" w:tentative="1">
      <w:start w:val="1"/>
      <w:numFmt w:val="bullet"/>
      <w:lvlText w:val=""/>
      <w:lvlJc w:val="left"/>
      <w:pPr>
        <w:tabs>
          <w:tab w:val="num" w:pos="1440"/>
        </w:tabs>
        <w:ind w:left="1440" w:hanging="360"/>
      </w:pPr>
      <w:rPr>
        <w:rFonts w:ascii="Wingdings" w:hAnsi="Wingdings" w:hint="default"/>
      </w:rPr>
    </w:lvl>
    <w:lvl w:ilvl="2" w:tplc="9EC6BDBA" w:tentative="1">
      <w:start w:val="1"/>
      <w:numFmt w:val="bullet"/>
      <w:lvlText w:val=""/>
      <w:lvlJc w:val="left"/>
      <w:pPr>
        <w:tabs>
          <w:tab w:val="num" w:pos="2160"/>
        </w:tabs>
        <w:ind w:left="2160" w:hanging="360"/>
      </w:pPr>
      <w:rPr>
        <w:rFonts w:ascii="Wingdings" w:hAnsi="Wingdings" w:hint="default"/>
      </w:rPr>
    </w:lvl>
    <w:lvl w:ilvl="3" w:tplc="FBA46B82" w:tentative="1">
      <w:start w:val="1"/>
      <w:numFmt w:val="bullet"/>
      <w:lvlText w:val=""/>
      <w:lvlJc w:val="left"/>
      <w:pPr>
        <w:tabs>
          <w:tab w:val="num" w:pos="2880"/>
        </w:tabs>
        <w:ind w:left="2880" w:hanging="360"/>
      </w:pPr>
      <w:rPr>
        <w:rFonts w:ascii="Wingdings" w:hAnsi="Wingdings" w:hint="default"/>
      </w:rPr>
    </w:lvl>
    <w:lvl w:ilvl="4" w:tplc="D278F43C" w:tentative="1">
      <w:start w:val="1"/>
      <w:numFmt w:val="bullet"/>
      <w:lvlText w:val=""/>
      <w:lvlJc w:val="left"/>
      <w:pPr>
        <w:tabs>
          <w:tab w:val="num" w:pos="3600"/>
        </w:tabs>
        <w:ind w:left="3600" w:hanging="360"/>
      </w:pPr>
      <w:rPr>
        <w:rFonts w:ascii="Wingdings" w:hAnsi="Wingdings" w:hint="default"/>
      </w:rPr>
    </w:lvl>
    <w:lvl w:ilvl="5" w:tplc="548C05AC" w:tentative="1">
      <w:start w:val="1"/>
      <w:numFmt w:val="bullet"/>
      <w:lvlText w:val=""/>
      <w:lvlJc w:val="left"/>
      <w:pPr>
        <w:tabs>
          <w:tab w:val="num" w:pos="4320"/>
        </w:tabs>
        <w:ind w:left="4320" w:hanging="360"/>
      </w:pPr>
      <w:rPr>
        <w:rFonts w:ascii="Wingdings" w:hAnsi="Wingdings" w:hint="default"/>
      </w:rPr>
    </w:lvl>
    <w:lvl w:ilvl="6" w:tplc="E4005E90" w:tentative="1">
      <w:start w:val="1"/>
      <w:numFmt w:val="bullet"/>
      <w:lvlText w:val=""/>
      <w:lvlJc w:val="left"/>
      <w:pPr>
        <w:tabs>
          <w:tab w:val="num" w:pos="5040"/>
        </w:tabs>
        <w:ind w:left="5040" w:hanging="360"/>
      </w:pPr>
      <w:rPr>
        <w:rFonts w:ascii="Wingdings" w:hAnsi="Wingdings" w:hint="default"/>
      </w:rPr>
    </w:lvl>
    <w:lvl w:ilvl="7" w:tplc="26AC03E0" w:tentative="1">
      <w:start w:val="1"/>
      <w:numFmt w:val="bullet"/>
      <w:lvlText w:val=""/>
      <w:lvlJc w:val="left"/>
      <w:pPr>
        <w:tabs>
          <w:tab w:val="num" w:pos="5760"/>
        </w:tabs>
        <w:ind w:left="5760" w:hanging="360"/>
      </w:pPr>
      <w:rPr>
        <w:rFonts w:ascii="Wingdings" w:hAnsi="Wingdings" w:hint="default"/>
      </w:rPr>
    </w:lvl>
    <w:lvl w:ilvl="8" w:tplc="07A494F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13D29E6"/>
    <w:multiLevelType w:val="hybridMultilevel"/>
    <w:tmpl w:val="C02E1A0E"/>
    <w:lvl w:ilvl="0" w:tplc="39B67D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2EA6578"/>
    <w:multiLevelType w:val="hybridMultilevel"/>
    <w:tmpl w:val="C02E1A0E"/>
    <w:lvl w:ilvl="0" w:tplc="39B67D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5D309AF"/>
    <w:multiLevelType w:val="hybridMultilevel"/>
    <w:tmpl w:val="77F2F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6B02C00"/>
    <w:multiLevelType w:val="hybridMultilevel"/>
    <w:tmpl w:val="59DCB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9745D44"/>
    <w:multiLevelType w:val="hybridMultilevel"/>
    <w:tmpl w:val="88825C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D1809A7"/>
    <w:multiLevelType w:val="hybridMultilevel"/>
    <w:tmpl w:val="13283330"/>
    <w:lvl w:ilvl="0" w:tplc="2BF82406">
      <w:start w:val="1"/>
      <w:numFmt w:val="bullet"/>
      <w:lvlText w:val="•"/>
      <w:lvlJc w:val="left"/>
      <w:pPr>
        <w:tabs>
          <w:tab w:val="num" w:pos="720"/>
        </w:tabs>
        <w:ind w:left="720" w:hanging="360"/>
      </w:pPr>
      <w:rPr>
        <w:rFonts w:ascii="Arial" w:hAnsi="Arial" w:hint="default"/>
      </w:rPr>
    </w:lvl>
    <w:lvl w:ilvl="1" w:tplc="592ECDDA" w:tentative="1">
      <w:start w:val="1"/>
      <w:numFmt w:val="bullet"/>
      <w:lvlText w:val="•"/>
      <w:lvlJc w:val="left"/>
      <w:pPr>
        <w:tabs>
          <w:tab w:val="num" w:pos="1440"/>
        </w:tabs>
        <w:ind w:left="1440" w:hanging="360"/>
      </w:pPr>
      <w:rPr>
        <w:rFonts w:ascii="Arial" w:hAnsi="Arial" w:hint="default"/>
      </w:rPr>
    </w:lvl>
    <w:lvl w:ilvl="2" w:tplc="A0402F38" w:tentative="1">
      <w:start w:val="1"/>
      <w:numFmt w:val="bullet"/>
      <w:lvlText w:val="•"/>
      <w:lvlJc w:val="left"/>
      <w:pPr>
        <w:tabs>
          <w:tab w:val="num" w:pos="2160"/>
        </w:tabs>
        <w:ind w:left="2160" w:hanging="360"/>
      </w:pPr>
      <w:rPr>
        <w:rFonts w:ascii="Arial" w:hAnsi="Arial" w:hint="default"/>
      </w:rPr>
    </w:lvl>
    <w:lvl w:ilvl="3" w:tplc="C5EA509E" w:tentative="1">
      <w:start w:val="1"/>
      <w:numFmt w:val="bullet"/>
      <w:lvlText w:val="•"/>
      <w:lvlJc w:val="left"/>
      <w:pPr>
        <w:tabs>
          <w:tab w:val="num" w:pos="2880"/>
        </w:tabs>
        <w:ind w:left="2880" w:hanging="360"/>
      </w:pPr>
      <w:rPr>
        <w:rFonts w:ascii="Arial" w:hAnsi="Arial" w:hint="default"/>
      </w:rPr>
    </w:lvl>
    <w:lvl w:ilvl="4" w:tplc="205A6610" w:tentative="1">
      <w:start w:val="1"/>
      <w:numFmt w:val="bullet"/>
      <w:lvlText w:val="•"/>
      <w:lvlJc w:val="left"/>
      <w:pPr>
        <w:tabs>
          <w:tab w:val="num" w:pos="3600"/>
        </w:tabs>
        <w:ind w:left="3600" w:hanging="360"/>
      </w:pPr>
      <w:rPr>
        <w:rFonts w:ascii="Arial" w:hAnsi="Arial" w:hint="default"/>
      </w:rPr>
    </w:lvl>
    <w:lvl w:ilvl="5" w:tplc="CF86E45E" w:tentative="1">
      <w:start w:val="1"/>
      <w:numFmt w:val="bullet"/>
      <w:lvlText w:val="•"/>
      <w:lvlJc w:val="left"/>
      <w:pPr>
        <w:tabs>
          <w:tab w:val="num" w:pos="4320"/>
        </w:tabs>
        <w:ind w:left="4320" w:hanging="360"/>
      </w:pPr>
      <w:rPr>
        <w:rFonts w:ascii="Arial" w:hAnsi="Arial" w:hint="default"/>
      </w:rPr>
    </w:lvl>
    <w:lvl w:ilvl="6" w:tplc="88DCD676" w:tentative="1">
      <w:start w:val="1"/>
      <w:numFmt w:val="bullet"/>
      <w:lvlText w:val="•"/>
      <w:lvlJc w:val="left"/>
      <w:pPr>
        <w:tabs>
          <w:tab w:val="num" w:pos="5040"/>
        </w:tabs>
        <w:ind w:left="5040" w:hanging="360"/>
      </w:pPr>
      <w:rPr>
        <w:rFonts w:ascii="Arial" w:hAnsi="Arial" w:hint="default"/>
      </w:rPr>
    </w:lvl>
    <w:lvl w:ilvl="7" w:tplc="2FD68F5C" w:tentative="1">
      <w:start w:val="1"/>
      <w:numFmt w:val="bullet"/>
      <w:lvlText w:val="•"/>
      <w:lvlJc w:val="left"/>
      <w:pPr>
        <w:tabs>
          <w:tab w:val="num" w:pos="5760"/>
        </w:tabs>
        <w:ind w:left="5760" w:hanging="360"/>
      </w:pPr>
      <w:rPr>
        <w:rFonts w:ascii="Arial" w:hAnsi="Arial" w:hint="default"/>
      </w:rPr>
    </w:lvl>
    <w:lvl w:ilvl="8" w:tplc="3668B264"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E2378B1"/>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1E6657A"/>
    <w:multiLevelType w:val="hybridMultilevel"/>
    <w:tmpl w:val="8B5A7C1C"/>
    <w:lvl w:ilvl="0" w:tplc="E3A249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2D360B6"/>
    <w:multiLevelType w:val="hybridMultilevel"/>
    <w:tmpl w:val="D2AEE4EC"/>
    <w:lvl w:ilvl="0" w:tplc="D69490A6">
      <w:numFmt w:val="bullet"/>
      <w:lvlText w:val="-"/>
      <w:lvlJc w:val="left"/>
      <w:pPr>
        <w:ind w:left="1080" w:hanging="360"/>
      </w:pPr>
      <w:rPr>
        <w:rFonts w:ascii="Century Gothic" w:eastAsiaTheme="minorHAnsi" w:hAnsi="Century Gothic"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15:restartNumberingAfterBreak="0">
    <w:nsid w:val="75581307"/>
    <w:multiLevelType w:val="hybridMultilevel"/>
    <w:tmpl w:val="6052832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6" w15:restartNumberingAfterBreak="0">
    <w:nsid w:val="761274A5"/>
    <w:multiLevelType w:val="hybridMultilevel"/>
    <w:tmpl w:val="5E322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75F4A4D"/>
    <w:multiLevelType w:val="hybridMultilevel"/>
    <w:tmpl w:val="3AD43D56"/>
    <w:lvl w:ilvl="0" w:tplc="AF3656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7930B6B"/>
    <w:multiLevelType w:val="hybridMultilevel"/>
    <w:tmpl w:val="84AE83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9" w15:restartNumberingAfterBreak="0">
    <w:nsid w:val="7A266089"/>
    <w:multiLevelType w:val="hybridMultilevel"/>
    <w:tmpl w:val="D2EE8BEA"/>
    <w:lvl w:ilvl="0" w:tplc="7302A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ACD5B3D"/>
    <w:multiLevelType w:val="hybridMultilevel"/>
    <w:tmpl w:val="F1C01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D3B1B0E"/>
    <w:multiLevelType w:val="hybridMultilevel"/>
    <w:tmpl w:val="35DE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E8A3993"/>
    <w:multiLevelType w:val="hybridMultilevel"/>
    <w:tmpl w:val="FFB68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FCC1730"/>
    <w:multiLevelType w:val="hybridMultilevel"/>
    <w:tmpl w:val="4A4E115E"/>
    <w:lvl w:ilvl="0" w:tplc="C1E04930">
      <w:start w:val="1"/>
      <w:numFmt w:val="lowerRoman"/>
      <w:pStyle w:val="Comp"/>
      <w:lvlText w:val="%1)"/>
      <w:lvlJc w:val="left"/>
      <w:pPr>
        <w:ind w:left="1287" w:hanging="720"/>
      </w:pPr>
      <w:rPr>
        <w:b w:val="0"/>
        <w:color w:val="0000F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4" w15:restartNumberingAfterBreak="0">
    <w:nsid w:val="7FF416E8"/>
    <w:multiLevelType w:val="hybridMultilevel"/>
    <w:tmpl w:val="4462D37E"/>
    <w:lvl w:ilvl="0" w:tplc="F6220C8A">
      <w:start w:val="47"/>
      <w:numFmt w:val="bullet"/>
      <w:lvlText w:val="-"/>
      <w:lvlJc w:val="left"/>
      <w:pPr>
        <w:ind w:left="480" w:hanging="360"/>
      </w:pPr>
      <w:rPr>
        <w:rFonts w:ascii="Arial Narrow" w:eastAsia="Times New Roman" w:hAnsi="Arial Narrow"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40"/>
  </w:num>
  <w:num w:numId="2">
    <w:abstractNumId w:val="65"/>
  </w:num>
  <w:num w:numId="3">
    <w:abstractNumId w:val="19"/>
  </w:num>
  <w:num w:numId="4">
    <w:abstractNumId w:val="55"/>
  </w:num>
  <w:num w:numId="5">
    <w:abstractNumId w:val="39"/>
  </w:num>
  <w:num w:numId="6">
    <w:abstractNumId w:val="2"/>
  </w:num>
  <w:num w:numId="7">
    <w:abstractNumId w:val="60"/>
  </w:num>
  <w:num w:numId="8">
    <w:abstractNumId w:val="54"/>
  </w:num>
  <w:num w:numId="9">
    <w:abstractNumId w:val="79"/>
  </w:num>
  <w:num w:numId="10">
    <w:abstractNumId w:val="26"/>
  </w:num>
  <w:num w:numId="11">
    <w:abstractNumId w:val="57"/>
  </w:num>
  <w:num w:numId="12">
    <w:abstractNumId w:val="63"/>
  </w:num>
  <w:num w:numId="13">
    <w:abstractNumId w:val="47"/>
  </w:num>
  <w:num w:numId="14">
    <w:abstractNumId w:val="11"/>
  </w:num>
  <w:num w:numId="15">
    <w:abstractNumId w:val="38"/>
  </w:num>
  <w:num w:numId="16">
    <w:abstractNumId w:val="78"/>
  </w:num>
  <w:num w:numId="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0"/>
  </w:num>
  <w:num w:numId="20">
    <w:abstractNumId w:val="93"/>
    <w:lvlOverride w:ilvl="0">
      <w:startOverride w:val="1"/>
    </w:lvlOverride>
  </w:num>
  <w:num w:numId="21">
    <w:abstractNumId w:val="22"/>
  </w:num>
  <w:num w:numId="22">
    <w:abstractNumId w:val="14"/>
  </w:num>
  <w:num w:numId="23">
    <w:abstractNumId w:val="52"/>
  </w:num>
  <w:num w:numId="24">
    <w:abstractNumId w:val="5"/>
  </w:num>
  <w:num w:numId="25">
    <w:abstractNumId w:val="64"/>
  </w:num>
  <w:num w:numId="26">
    <w:abstractNumId w:val="66"/>
  </w:num>
  <w:num w:numId="27">
    <w:abstractNumId w:val="12"/>
  </w:num>
  <w:num w:numId="28">
    <w:abstractNumId w:val="89"/>
  </w:num>
  <w:num w:numId="29">
    <w:abstractNumId w:val="31"/>
  </w:num>
  <w:num w:numId="30">
    <w:abstractNumId w:val="32"/>
  </w:num>
  <w:num w:numId="31">
    <w:abstractNumId w:val="69"/>
  </w:num>
  <w:num w:numId="32">
    <w:abstractNumId w:val="44"/>
  </w:num>
  <w:num w:numId="33">
    <w:abstractNumId w:val="36"/>
  </w:num>
  <w:num w:numId="34">
    <w:abstractNumId w:val="85"/>
  </w:num>
  <w:num w:numId="35">
    <w:abstractNumId w:val="73"/>
  </w:num>
  <w:num w:numId="36">
    <w:abstractNumId w:val="82"/>
  </w:num>
  <w:num w:numId="37">
    <w:abstractNumId w:val="33"/>
  </w:num>
  <w:num w:numId="38">
    <w:abstractNumId w:val="20"/>
  </w:num>
  <w:num w:numId="39">
    <w:abstractNumId w:val="1"/>
  </w:num>
  <w:num w:numId="40">
    <w:abstractNumId w:val="30"/>
  </w:num>
  <w:num w:numId="41">
    <w:abstractNumId w:val="43"/>
  </w:num>
  <w:num w:numId="42">
    <w:abstractNumId w:val="68"/>
  </w:num>
  <w:num w:numId="43">
    <w:abstractNumId w:val="8"/>
  </w:num>
  <w:num w:numId="44">
    <w:abstractNumId w:val="58"/>
  </w:num>
  <w:num w:numId="45">
    <w:abstractNumId w:val="35"/>
  </w:num>
  <w:num w:numId="46">
    <w:abstractNumId w:val="76"/>
  </w:num>
  <w:num w:numId="47">
    <w:abstractNumId w:val="28"/>
  </w:num>
  <w:num w:numId="48">
    <w:abstractNumId w:val="83"/>
  </w:num>
  <w:num w:numId="49">
    <w:abstractNumId w:val="93"/>
    <w:lvlOverride w:ilvl="0">
      <w:startOverride w:val="1"/>
    </w:lvlOverride>
  </w:num>
  <w:num w:numId="50">
    <w:abstractNumId w:val="93"/>
    <w:lvlOverride w:ilvl="0">
      <w:startOverride w:val="1"/>
    </w:lvlOverride>
  </w:num>
  <w:num w:numId="51">
    <w:abstractNumId w:val="93"/>
    <w:lvlOverride w:ilvl="0">
      <w:startOverride w:val="1"/>
    </w:lvlOverride>
  </w:num>
  <w:num w:numId="52">
    <w:abstractNumId w:val="93"/>
    <w:lvlOverride w:ilvl="0">
      <w:startOverride w:val="1"/>
    </w:lvlOverride>
  </w:num>
  <w:num w:numId="53">
    <w:abstractNumId w:val="87"/>
  </w:num>
  <w:num w:numId="54">
    <w:abstractNumId w:val="93"/>
    <w:lvlOverride w:ilvl="0">
      <w:startOverride w:val="1"/>
    </w:lvlOverride>
  </w:num>
  <w:num w:numId="55">
    <w:abstractNumId w:val="67"/>
  </w:num>
  <w:num w:numId="56">
    <w:abstractNumId w:val="18"/>
  </w:num>
  <w:num w:numId="57">
    <w:abstractNumId w:val="61"/>
  </w:num>
  <w:num w:numId="58">
    <w:abstractNumId w:val="56"/>
  </w:num>
  <w:num w:numId="59">
    <w:abstractNumId w:val="4"/>
  </w:num>
  <w:num w:numId="60">
    <w:abstractNumId w:val="17"/>
  </w:num>
  <w:num w:numId="61">
    <w:abstractNumId w:val="49"/>
  </w:num>
  <w:num w:numId="62">
    <w:abstractNumId w:val="34"/>
  </w:num>
  <w:num w:numId="63">
    <w:abstractNumId w:val="94"/>
  </w:num>
  <w:num w:numId="64">
    <w:abstractNumId w:val="27"/>
  </w:num>
  <w:num w:numId="65">
    <w:abstractNumId w:val="16"/>
  </w:num>
  <w:num w:numId="66">
    <w:abstractNumId w:val="23"/>
  </w:num>
  <w:num w:numId="67">
    <w:abstractNumId w:val="24"/>
  </w:num>
  <w:num w:numId="68">
    <w:abstractNumId w:val="88"/>
  </w:num>
  <w:num w:numId="69">
    <w:abstractNumId w:val="7"/>
  </w:num>
  <w:num w:numId="70">
    <w:abstractNumId w:val="15"/>
  </w:num>
  <w:num w:numId="71">
    <w:abstractNumId w:val="48"/>
  </w:num>
  <w:num w:numId="72">
    <w:abstractNumId w:val="80"/>
  </w:num>
  <w:num w:numId="73">
    <w:abstractNumId w:val="86"/>
  </w:num>
  <w:num w:numId="74">
    <w:abstractNumId w:val="37"/>
  </w:num>
  <w:num w:numId="75">
    <w:abstractNumId w:val="10"/>
  </w:num>
  <w:num w:numId="76">
    <w:abstractNumId w:val="93"/>
    <w:lvlOverride w:ilvl="0">
      <w:startOverride w:val="1"/>
    </w:lvlOverride>
  </w:num>
  <w:num w:numId="77">
    <w:abstractNumId w:val="77"/>
  </w:num>
  <w:num w:numId="78">
    <w:abstractNumId w:val="50"/>
  </w:num>
  <w:num w:numId="79">
    <w:abstractNumId w:val="93"/>
    <w:lvlOverride w:ilvl="0">
      <w:startOverride w:val="1"/>
    </w:lvlOverride>
  </w:num>
  <w:num w:numId="80">
    <w:abstractNumId w:val="59"/>
  </w:num>
  <w:num w:numId="81">
    <w:abstractNumId w:val="93"/>
    <w:lvlOverride w:ilvl="0">
      <w:startOverride w:val="1"/>
    </w:lvlOverride>
  </w:num>
  <w:num w:numId="82">
    <w:abstractNumId w:val="93"/>
    <w:lvlOverride w:ilvl="0">
      <w:startOverride w:val="1"/>
    </w:lvlOverride>
  </w:num>
  <w:num w:numId="83">
    <w:abstractNumId w:val="93"/>
    <w:lvlOverride w:ilvl="0">
      <w:startOverride w:val="1"/>
    </w:lvlOverride>
  </w:num>
  <w:num w:numId="84">
    <w:abstractNumId w:val="71"/>
  </w:num>
  <w:num w:numId="85">
    <w:abstractNumId w:val="51"/>
  </w:num>
  <w:num w:numId="86">
    <w:abstractNumId w:val="93"/>
    <w:lvlOverride w:ilvl="0">
      <w:startOverride w:val="1"/>
    </w:lvlOverride>
  </w:num>
  <w:num w:numId="87">
    <w:abstractNumId w:val="53"/>
  </w:num>
  <w:num w:numId="88">
    <w:abstractNumId w:val="72"/>
  </w:num>
  <w:num w:numId="89">
    <w:abstractNumId w:val="46"/>
  </w:num>
  <w:num w:numId="90">
    <w:abstractNumId w:val="84"/>
  </w:num>
  <w:num w:numId="91">
    <w:abstractNumId w:val="6"/>
  </w:num>
  <w:num w:numId="92">
    <w:abstractNumId w:val="90"/>
  </w:num>
  <w:num w:numId="93">
    <w:abstractNumId w:val="70"/>
  </w:num>
  <w:num w:numId="94">
    <w:abstractNumId w:val="93"/>
  </w:num>
  <w:num w:numId="95">
    <w:abstractNumId w:val="93"/>
    <w:lvlOverride w:ilvl="0">
      <w:startOverride w:val="1"/>
    </w:lvlOverride>
  </w:num>
  <w:num w:numId="96">
    <w:abstractNumId w:val="25"/>
  </w:num>
  <w:num w:numId="97">
    <w:abstractNumId w:val="41"/>
  </w:num>
  <w:num w:numId="98">
    <w:abstractNumId w:val="29"/>
  </w:num>
  <w:num w:numId="99">
    <w:abstractNumId w:val="93"/>
    <w:lvlOverride w:ilvl="0">
      <w:startOverride w:val="1"/>
    </w:lvlOverride>
  </w:num>
  <w:num w:numId="100">
    <w:abstractNumId w:val="21"/>
  </w:num>
  <w:num w:numId="101">
    <w:abstractNumId w:val="92"/>
  </w:num>
  <w:num w:numId="102">
    <w:abstractNumId w:val="74"/>
  </w:num>
  <w:num w:numId="103">
    <w:abstractNumId w:val="45"/>
  </w:num>
  <w:num w:numId="104">
    <w:abstractNumId w:val="75"/>
  </w:num>
  <w:num w:numId="105">
    <w:abstractNumId w:val="3"/>
  </w:num>
  <w:num w:numId="106">
    <w:abstractNumId w:val="81"/>
  </w:num>
  <w:num w:numId="107">
    <w:abstractNumId w:val="13"/>
  </w:num>
  <w:num w:numId="108">
    <w:abstractNumId w:val="42"/>
  </w:num>
  <w:num w:numId="109">
    <w:abstractNumId w:val="91"/>
  </w:num>
  <w:num w:numId="110">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EB"/>
    <w:rsid w:val="00003185"/>
    <w:rsid w:val="0000336B"/>
    <w:rsid w:val="00004233"/>
    <w:rsid w:val="00004E98"/>
    <w:rsid w:val="000057D2"/>
    <w:rsid w:val="000114CE"/>
    <w:rsid w:val="00015C94"/>
    <w:rsid w:val="00016C7D"/>
    <w:rsid w:val="000172C5"/>
    <w:rsid w:val="0002156C"/>
    <w:rsid w:val="000271D4"/>
    <w:rsid w:val="00031F05"/>
    <w:rsid w:val="00032307"/>
    <w:rsid w:val="000326B8"/>
    <w:rsid w:val="00033578"/>
    <w:rsid w:val="00037CF1"/>
    <w:rsid w:val="000413DF"/>
    <w:rsid w:val="00043005"/>
    <w:rsid w:val="00044568"/>
    <w:rsid w:val="000506C9"/>
    <w:rsid w:val="00050C68"/>
    <w:rsid w:val="00051B09"/>
    <w:rsid w:val="00051C46"/>
    <w:rsid w:val="00051FBB"/>
    <w:rsid w:val="0005206B"/>
    <w:rsid w:val="00052E86"/>
    <w:rsid w:val="000541FA"/>
    <w:rsid w:val="00057F0B"/>
    <w:rsid w:val="0006133D"/>
    <w:rsid w:val="00061D28"/>
    <w:rsid w:val="000626F9"/>
    <w:rsid w:val="000633BE"/>
    <w:rsid w:val="00063CF8"/>
    <w:rsid w:val="00067A54"/>
    <w:rsid w:val="00071A67"/>
    <w:rsid w:val="000720C0"/>
    <w:rsid w:val="00072A4E"/>
    <w:rsid w:val="00074F7F"/>
    <w:rsid w:val="000767D0"/>
    <w:rsid w:val="00077C75"/>
    <w:rsid w:val="00080568"/>
    <w:rsid w:val="00080D45"/>
    <w:rsid w:val="00080D64"/>
    <w:rsid w:val="000822F0"/>
    <w:rsid w:val="0008266C"/>
    <w:rsid w:val="00084601"/>
    <w:rsid w:val="000855EB"/>
    <w:rsid w:val="000858C8"/>
    <w:rsid w:val="00086007"/>
    <w:rsid w:val="000877D9"/>
    <w:rsid w:val="00091A59"/>
    <w:rsid w:val="00091CB4"/>
    <w:rsid w:val="00091D51"/>
    <w:rsid w:val="000945EF"/>
    <w:rsid w:val="00095A66"/>
    <w:rsid w:val="000960F2"/>
    <w:rsid w:val="000A04CE"/>
    <w:rsid w:val="000A0DFF"/>
    <w:rsid w:val="000A1B98"/>
    <w:rsid w:val="000A2AD2"/>
    <w:rsid w:val="000A61FC"/>
    <w:rsid w:val="000A7763"/>
    <w:rsid w:val="000B2618"/>
    <w:rsid w:val="000B3ED2"/>
    <w:rsid w:val="000B53D5"/>
    <w:rsid w:val="000B7D03"/>
    <w:rsid w:val="000C0414"/>
    <w:rsid w:val="000C052F"/>
    <w:rsid w:val="000C0B95"/>
    <w:rsid w:val="000C0D05"/>
    <w:rsid w:val="000C0E94"/>
    <w:rsid w:val="000C205A"/>
    <w:rsid w:val="000C2349"/>
    <w:rsid w:val="000C25E8"/>
    <w:rsid w:val="000C393A"/>
    <w:rsid w:val="000C6E7F"/>
    <w:rsid w:val="000D1F74"/>
    <w:rsid w:val="000D2D89"/>
    <w:rsid w:val="000D4D00"/>
    <w:rsid w:val="000D7C74"/>
    <w:rsid w:val="000E53DF"/>
    <w:rsid w:val="000E57BE"/>
    <w:rsid w:val="000F22B4"/>
    <w:rsid w:val="000F25D7"/>
    <w:rsid w:val="000F418C"/>
    <w:rsid w:val="000F43E0"/>
    <w:rsid w:val="000F43FB"/>
    <w:rsid w:val="000F4A58"/>
    <w:rsid w:val="000F5E29"/>
    <w:rsid w:val="000F6470"/>
    <w:rsid w:val="000F6815"/>
    <w:rsid w:val="000F6D25"/>
    <w:rsid w:val="00101349"/>
    <w:rsid w:val="001018CC"/>
    <w:rsid w:val="00102537"/>
    <w:rsid w:val="0010496A"/>
    <w:rsid w:val="001052C5"/>
    <w:rsid w:val="00105BAB"/>
    <w:rsid w:val="00106354"/>
    <w:rsid w:val="00106CCC"/>
    <w:rsid w:val="00106CE9"/>
    <w:rsid w:val="001102EA"/>
    <w:rsid w:val="001126DF"/>
    <w:rsid w:val="001148B0"/>
    <w:rsid w:val="001152BE"/>
    <w:rsid w:val="00115815"/>
    <w:rsid w:val="00115A7E"/>
    <w:rsid w:val="001163C7"/>
    <w:rsid w:val="00116C71"/>
    <w:rsid w:val="00116D9B"/>
    <w:rsid w:val="00117763"/>
    <w:rsid w:val="00121526"/>
    <w:rsid w:val="0012169F"/>
    <w:rsid w:val="00121B7D"/>
    <w:rsid w:val="00123E42"/>
    <w:rsid w:val="00125696"/>
    <w:rsid w:val="001261FA"/>
    <w:rsid w:val="0012766A"/>
    <w:rsid w:val="00127700"/>
    <w:rsid w:val="00127793"/>
    <w:rsid w:val="00127A81"/>
    <w:rsid w:val="00131180"/>
    <w:rsid w:val="00131CE5"/>
    <w:rsid w:val="00131DB5"/>
    <w:rsid w:val="00136087"/>
    <w:rsid w:val="0013697E"/>
    <w:rsid w:val="0014034B"/>
    <w:rsid w:val="00140732"/>
    <w:rsid w:val="00141000"/>
    <w:rsid w:val="001449E5"/>
    <w:rsid w:val="00145089"/>
    <w:rsid w:val="0014516D"/>
    <w:rsid w:val="00145C88"/>
    <w:rsid w:val="00145F47"/>
    <w:rsid w:val="00147006"/>
    <w:rsid w:val="001502B6"/>
    <w:rsid w:val="00150D66"/>
    <w:rsid w:val="001515D0"/>
    <w:rsid w:val="00151AD3"/>
    <w:rsid w:val="001554F5"/>
    <w:rsid w:val="00155BA9"/>
    <w:rsid w:val="00157AE6"/>
    <w:rsid w:val="00160123"/>
    <w:rsid w:val="00161E47"/>
    <w:rsid w:val="0016218B"/>
    <w:rsid w:val="00162652"/>
    <w:rsid w:val="00163636"/>
    <w:rsid w:val="00163B6C"/>
    <w:rsid w:val="001640C4"/>
    <w:rsid w:val="001643C2"/>
    <w:rsid w:val="00165C12"/>
    <w:rsid w:val="00170133"/>
    <w:rsid w:val="00171AD6"/>
    <w:rsid w:val="0017246A"/>
    <w:rsid w:val="00172CC6"/>
    <w:rsid w:val="00173EF2"/>
    <w:rsid w:val="00174A91"/>
    <w:rsid w:val="00175B04"/>
    <w:rsid w:val="0018030A"/>
    <w:rsid w:val="0018151E"/>
    <w:rsid w:val="00181642"/>
    <w:rsid w:val="00181A82"/>
    <w:rsid w:val="00183393"/>
    <w:rsid w:val="00185DB1"/>
    <w:rsid w:val="00187FC4"/>
    <w:rsid w:val="00191A1A"/>
    <w:rsid w:val="001923F0"/>
    <w:rsid w:val="00192429"/>
    <w:rsid w:val="00193DB0"/>
    <w:rsid w:val="001948AD"/>
    <w:rsid w:val="00196060"/>
    <w:rsid w:val="0019606F"/>
    <w:rsid w:val="0019642A"/>
    <w:rsid w:val="001973F2"/>
    <w:rsid w:val="00197A8A"/>
    <w:rsid w:val="001A1B53"/>
    <w:rsid w:val="001A21FF"/>
    <w:rsid w:val="001A26A4"/>
    <w:rsid w:val="001A28A7"/>
    <w:rsid w:val="001A5C87"/>
    <w:rsid w:val="001A613C"/>
    <w:rsid w:val="001A644E"/>
    <w:rsid w:val="001B02D1"/>
    <w:rsid w:val="001B0856"/>
    <w:rsid w:val="001B1DD8"/>
    <w:rsid w:val="001B2F99"/>
    <w:rsid w:val="001B3517"/>
    <w:rsid w:val="001B4824"/>
    <w:rsid w:val="001B64B7"/>
    <w:rsid w:val="001C11BA"/>
    <w:rsid w:val="001C251F"/>
    <w:rsid w:val="001C2C31"/>
    <w:rsid w:val="001C3404"/>
    <w:rsid w:val="001C39AB"/>
    <w:rsid w:val="001C3B80"/>
    <w:rsid w:val="001C3C09"/>
    <w:rsid w:val="001C4320"/>
    <w:rsid w:val="001C4F52"/>
    <w:rsid w:val="001C567D"/>
    <w:rsid w:val="001C73E0"/>
    <w:rsid w:val="001C7EA3"/>
    <w:rsid w:val="001D15FA"/>
    <w:rsid w:val="001D2EB4"/>
    <w:rsid w:val="001D306E"/>
    <w:rsid w:val="001D40F6"/>
    <w:rsid w:val="001D4EEE"/>
    <w:rsid w:val="001D4F7B"/>
    <w:rsid w:val="001D5DA1"/>
    <w:rsid w:val="001E0EB0"/>
    <w:rsid w:val="001E1B67"/>
    <w:rsid w:val="001E273C"/>
    <w:rsid w:val="001E396B"/>
    <w:rsid w:val="001E45B6"/>
    <w:rsid w:val="001E4AD3"/>
    <w:rsid w:val="001E4EFF"/>
    <w:rsid w:val="001E51A5"/>
    <w:rsid w:val="001E6DA7"/>
    <w:rsid w:val="001E766C"/>
    <w:rsid w:val="001F1FFB"/>
    <w:rsid w:val="001F2465"/>
    <w:rsid w:val="001F3370"/>
    <w:rsid w:val="001F3A83"/>
    <w:rsid w:val="001F44B5"/>
    <w:rsid w:val="001F57C2"/>
    <w:rsid w:val="001F5AD3"/>
    <w:rsid w:val="001F683C"/>
    <w:rsid w:val="002012B6"/>
    <w:rsid w:val="00202BBF"/>
    <w:rsid w:val="002039D7"/>
    <w:rsid w:val="00203A4E"/>
    <w:rsid w:val="00204550"/>
    <w:rsid w:val="00206632"/>
    <w:rsid w:val="00207052"/>
    <w:rsid w:val="00207940"/>
    <w:rsid w:val="00207A73"/>
    <w:rsid w:val="002101E0"/>
    <w:rsid w:val="00210ACA"/>
    <w:rsid w:val="00210C82"/>
    <w:rsid w:val="00212005"/>
    <w:rsid w:val="002120E9"/>
    <w:rsid w:val="0021250C"/>
    <w:rsid w:val="00215A98"/>
    <w:rsid w:val="00216629"/>
    <w:rsid w:val="00216F4A"/>
    <w:rsid w:val="00217A69"/>
    <w:rsid w:val="00220C4E"/>
    <w:rsid w:val="00221FD9"/>
    <w:rsid w:val="00222094"/>
    <w:rsid w:val="00222EC5"/>
    <w:rsid w:val="00223281"/>
    <w:rsid w:val="00223FF9"/>
    <w:rsid w:val="0022536B"/>
    <w:rsid w:val="00225945"/>
    <w:rsid w:val="00225E4F"/>
    <w:rsid w:val="00226164"/>
    <w:rsid w:val="00226746"/>
    <w:rsid w:val="0022737B"/>
    <w:rsid w:val="00227BE8"/>
    <w:rsid w:val="00230805"/>
    <w:rsid w:val="0023137A"/>
    <w:rsid w:val="00231653"/>
    <w:rsid w:val="00231837"/>
    <w:rsid w:val="00232281"/>
    <w:rsid w:val="00233371"/>
    <w:rsid w:val="0023599A"/>
    <w:rsid w:val="002374FE"/>
    <w:rsid w:val="00237EEF"/>
    <w:rsid w:val="0024165B"/>
    <w:rsid w:val="00241ADE"/>
    <w:rsid w:val="00242071"/>
    <w:rsid w:val="002426CD"/>
    <w:rsid w:val="00243E06"/>
    <w:rsid w:val="002445C5"/>
    <w:rsid w:val="00245F47"/>
    <w:rsid w:val="00247377"/>
    <w:rsid w:val="002527E5"/>
    <w:rsid w:val="002528BE"/>
    <w:rsid w:val="002542F4"/>
    <w:rsid w:val="0025467E"/>
    <w:rsid w:val="00254BD5"/>
    <w:rsid w:val="0025557B"/>
    <w:rsid w:val="00256425"/>
    <w:rsid w:val="00256A5D"/>
    <w:rsid w:val="00256DA9"/>
    <w:rsid w:val="002573CB"/>
    <w:rsid w:val="00257B56"/>
    <w:rsid w:val="0026041A"/>
    <w:rsid w:val="00260CB9"/>
    <w:rsid w:val="00262DE5"/>
    <w:rsid w:val="00262F9D"/>
    <w:rsid w:val="0026344C"/>
    <w:rsid w:val="00264975"/>
    <w:rsid w:val="002650E5"/>
    <w:rsid w:val="00266280"/>
    <w:rsid w:val="002665E2"/>
    <w:rsid w:val="00266E38"/>
    <w:rsid w:val="0027230E"/>
    <w:rsid w:val="00272FA1"/>
    <w:rsid w:val="00273A39"/>
    <w:rsid w:val="0027488C"/>
    <w:rsid w:val="00276679"/>
    <w:rsid w:val="002768B1"/>
    <w:rsid w:val="00276A89"/>
    <w:rsid w:val="00280D09"/>
    <w:rsid w:val="002816EB"/>
    <w:rsid w:val="002824E5"/>
    <w:rsid w:val="0028342C"/>
    <w:rsid w:val="0028407E"/>
    <w:rsid w:val="00284A4F"/>
    <w:rsid w:val="002852BD"/>
    <w:rsid w:val="002856FC"/>
    <w:rsid w:val="00286CBE"/>
    <w:rsid w:val="00287764"/>
    <w:rsid w:val="002918F5"/>
    <w:rsid w:val="002920AE"/>
    <w:rsid w:val="00292AF6"/>
    <w:rsid w:val="00292C05"/>
    <w:rsid w:val="0029572C"/>
    <w:rsid w:val="00296910"/>
    <w:rsid w:val="002A00D3"/>
    <w:rsid w:val="002A06A0"/>
    <w:rsid w:val="002A0DBA"/>
    <w:rsid w:val="002A208A"/>
    <w:rsid w:val="002A24D6"/>
    <w:rsid w:val="002A50E7"/>
    <w:rsid w:val="002A5A2B"/>
    <w:rsid w:val="002A6208"/>
    <w:rsid w:val="002B0231"/>
    <w:rsid w:val="002B14CF"/>
    <w:rsid w:val="002B20B0"/>
    <w:rsid w:val="002B2327"/>
    <w:rsid w:val="002B27C2"/>
    <w:rsid w:val="002B54FE"/>
    <w:rsid w:val="002B6B8F"/>
    <w:rsid w:val="002B7953"/>
    <w:rsid w:val="002C0CC3"/>
    <w:rsid w:val="002C14A3"/>
    <w:rsid w:val="002C179E"/>
    <w:rsid w:val="002C4453"/>
    <w:rsid w:val="002C4459"/>
    <w:rsid w:val="002C481E"/>
    <w:rsid w:val="002C66B7"/>
    <w:rsid w:val="002D0849"/>
    <w:rsid w:val="002D25B3"/>
    <w:rsid w:val="002D409E"/>
    <w:rsid w:val="002D5A1B"/>
    <w:rsid w:val="002D5EF8"/>
    <w:rsid w:val="002D67FB"/>
    <w:rsid w:val="002D6831"/>
    <w:rsid w:val="002D77DC"/>
    <w:rsid w:val="002D7FAD"/>
    <w:rsid w:val="002E0F27"/>
    <w:rsid w:val="002E21E5"/>
    <w:rsid w:val="002E29CE"/>
    <w:rsid w:val="002E2DC7"/>
    <w:rsid w:val="002E30D7"/>
    <w:rsid w:val="002E3126"/>
    <w:rsid w:val="002E3738"/>
    <w:rsid w:val="002E478C"/>
    <w:rsid w:val="002E4DCF"/>
    <w:rsid w:val="002E6D18"/>
    <w:rsid w:val="002E748A"/>
    <w:rsid w:val="002F16C3"/>
    <w:rsid w:val="002F190C"/>
    <w:rsid w:val="002F2574"/>
    <w:rsid w:val="002F2DCC"/>
    <w:rsid w:val="002F3124"/>
    <w:rsid w:val="002F4692"/>
    <w:rsid w:val="002F4845"/>
    <w:rsid w:val="002F51A9"/>
    <w:rsid w:val="002F5B33"/>
    <w:rsid w:val="002F5B6D"/>
    <w:rsid w:val="002F6115"/>
    <w:rsid w:val="002F6248"/>
    <w:rsid w:val="002F759E"/>
    <w:rsid w:val="002F7C0D"/>
    <w:rsid w:val="0030058F"/>
    <w:rsid w:val="00302A06"/>
    <w:rsid w:val="00302C39"/>
    <w:rsid w:val="00303526"/>
    <w:rsid w:val="00304012"/>
    <w:rsid w:val="00304CFE"/>
    <w:rsid w:val="00304EB4"/>
    <w:rsid w:val="00306360"/>
    <w:rsid w:val="00306C5F"/>
    <w:rsid w:val="003121FF"/>
    <w:rsid w:val="003132FF"/>
    <w:rsid w:val="00313821"/>
    <w:rsid w:val="00315308"/>
    <w:rsid w:val="003159B6"/>
    <w:rsid w:val="00315A0F"/>
    <w:rsid w:val="0031692E"/>
    <w:rsid w:val="00316CBF"/>
    <w:rsid w:val="003174F9"/>
    <w:rsid w:val="00317F4F"/>
    <w:rsid w:val="003214E1"/>
    <w:rsid w:val="003222A9"/>
    <w:rsid w:val="0032246F"/>
    <w:rsid w:val="00322495"/>
    <w:rsid w:val="00323CE1"/>
    <w:rsid w:val="003260B7"/>
    <w:rsid w:val="003262BE"/>
    <w:rsid w:val="00330626"/>
    <w:rsid w:val="00330C07"/>
    <w:rsid w:val="00331D0F"/>
    <w:rsid w:val="00332A49"/>
    <w:rsid w:val="00332B47"/>
    <w:rsid w:val="0033454F"/>
    <w:rsid w:val="00334D92"/>
    <w:rsid w:val="0034021B"/>
    <w:rsid w:val="00340BC2"/>
    <w:rsid w:val="0034341A"/>
    <w:rsid w:val="0034419B"/>
    <w:rsid w:val="003447C4"/>
    <w:rsid w:val="003465BF"/>
    <w:rsid w:val="0034684F"/>
    <w:rsid w:val="00346D57"/>
    <w:rsid w:val="003475F8"/>
    <w:rsid w:val="003511B2"/>
    <w:rsid w:val="003549C0"/>
    <w:rsid w:val="003566F1"/>
    <w:rsid w:val="0035677A"/>
    <w:rsid w:val="003602A0"/>
    <w:rsid w:val="003621BF"/>
    <w:rsid w:val="00362800"/>
    <w:rsid w:val="00364F6D"/>
    <w:rsid w:val="00366EE5"/>
    <w:rsid w:val="00370022"/>
    <w:rsid w:val="00370264"/>
    <w:rsid w:val="003709B4"/>
    <w:rsid w:val="00370FED"/>
    <w:rsid w:val="00371755"/>
    <w:rsid w:val="00372EA2"/>
    <w:rsid w:val="00374350"/>
    <w:rsid w:val="00375367"/>
    <w:rsid w:val="00375C13"/>
    <w:rsid w:val="00376A16"/>
    <w:rsid w:val="0038175F"/>
    <w:rsid w:val="00381C7E"/>
    <w:rsid w:val="003821F1"/>
    <w:rsid w:val="003824AC"/>
    <w:rsid w:val="00382FCD"/>
    <w:rsid w:val="00384C41"/>
    <w:rsid w:val="00385E0C"/>
    <w:rsid w:val="003863C8"/>
    <w:rsid w:val="0038651F"/>
    <w:rsid w:val="00387203"/>
    <w:rsid w:val="003876A5"/>
    <w:rsid w:val="003935A7"/>
    <w:rsid w:val="003941D0"/>
    <w:rsid w:val="003962D6"/>
    <w:rsid w:val="00397FB0"/>
    <w:rsid w:val="00397FB3"/>
    <w:rsid w:val="003A094C"/>
    <w:rsid w:val="003A0980"/>
    <w:rsid w:val="003A1530"/>
    <w:rsid w:val="003A29CD"/>
    <w:rsid w:val="003A2D49"/>
    <w:rsid w:val="003A3509"/>
    <w:rsid w:val="003A3AEC"/>
    <w:rsid w:val="003A596A"/>
    <w:rsid w:val="003A7CE0"/>
    <w:rsid w:val="003B0750"/>
    <w:rsid w:val="003B0C0A"/>
    <w:rsid w:val="003B0DD3"/>
    <w:rsid w:val="003B2ABC"/>
    <w:rsid w:val="003B3271"/>
    <w:rsid w:val="003B397A"/>
    <w:rsid w:val="003B4188"/>
    <w:rsid w:val="003B4ADB"/>
    <w:rsid w:val="003C030B"/>
    <w:rsid w:val="003C1449"/>
    <w:rsid w:val="003C429A"/>
    <w:rsid w:val="003C69E6"/>
    <w:rsid w:val="003C6D12"/>
    <w:rsid w:val="003C7204"/>
    <w:rsid w:val="003C74E5"/>
    <w:rsid w:val="003C7856"/>
    <w:rsid w:val="003C7C55"/>
    <w:rsid w:val="003D129F"/>
    <w:rsid w:val="003D13B5"/>
    <w:rsid w:val="003D39B6"/>
    <w:rsid w:val="003D3FEA"/>
    <w:rsid w:val="003D4891"/>
    <w:rsid w:val="003D6475"/>
    <w:rsid w:val="003D7EF3"/>
    <w:rsid w:val="003E08B8"/>
    <w:rsid w:val="003E1CB2"/>
    <w:rsid w:val="003E23E3"/>
    <w:rsid w:val="003E29D5"/>
    <w:rsid w:val="003E2AE1"/>
    <w:rsid w:val="003E2EEE"/>
    <w:rsid w:val="003E3215"/>
    <w:rsid w:val="003E46FB"/>
    <w:rsid w:val="003E5376"/>
    <w:rsid w:val="003E5C64"/>
    <w:rsid w:val="003E7412"/>
    <w:rsid w:val="003F0AA4"/>
    <w:rsid w:val="003F1DFA"/>
    <w:rsid w:val="003F2125"/>
    <w:rsid w:val="003F4FFA"/>
    <w:rsid w:val="003F5582"/>
    <w:rsid w:val="003F63A0"/>
    <w:rsid w:val="003F647C"/>
    <w:rsid w:val="003F730B"/>
    <w:rsid w:val="003F7B1A"/>
    <w:rsid w:val="00402055"/>
    <w:rsid w:val="00402448"/>
    <w:rsid w:val="00403879"/>
    <w:rsid w:val="00406DDF"/>
    <w:rsid w:val="00410B00"/>
    <w:rsid w:val="00411C77"/>
    <w:rsid w:val="00412F34"/>
    <w:rsid w:val="00414672"/>
    <w:rsid w:val="00414751"/>
    <w:rsid w:val="00414B2C"/>
    <w:rsid w:val="00414E3A"/>
    <w:rsid w:val="00415DA1"/>
    <w:rsid w:val="00417ADA"/>
    <w:rsid w:val="004216FD"/>
    <w:rsid w:val="004218AD"/>
    <w:rsid w:val="00423E15"/>
    <w:rsid w:val="00426E00"/>
    <w:rsid w:val="004277A2"/>
    <w:rsid w:val="0042782B"/>
    <w:rsid w:val="00430686"/>
    <w:rsid w:val="00430B2A"/>
    <w:rsid w:val="0043178A"/>
    <w:rsid w:val="00431A97"/>
    <w:rsid w:val="00431F82"/>
    <w:rsid w:val="004322F4"/>
    <w:rsid w:val="00432A3C"/>
    <w:rsid w:val="004343BA"/>
    <w:rsid w:val="0043504C"/>
    <w:rsid w:val="00437C96"/>
    <w:rsid w:val="004404EB"/>
    <w:rsid w:val="00441428"/>
    <w:rsid w:val="004425D8"/>
    <w:rsid w:val="0044265E"/>
    <w:rsid w:val="00444F69"/>
    <w:rsid w:val="004457FD"/>
    <w:rsid w:val="00445E1C"/>
    <w:rsid w:val="004463A0"/>
    <w:rsid w:val="00447B33"/>
    <w:rsid w:val="0045012C"/>
    <w:rsid w:val="004503BF"/>
    <w:rsid w:val="00451506"/>
    <w:rsid w:val="00452AF0"/>
    <w:rsid w:val="00453B93"/>
    <w:rsid w:val="004559AF"/>
    <w:rsid w:val="00457192"/>
    <w:rsid w:val="00462CC3"/>
    <w:rsid w:val="004631FD"/>
    <w:rsid w:val="00463AB9"/>
    <w:rsid w:val="004649A5"/>
    <w:rsid w:val="00464A80"/>
    <w:rsid w:val="0046536A"/>
    <w:rsid w:val="00465674"/>
    <w:rsid w:val="00465756"/>
    <w:rsid w:val="004657FD"/>
    <w:rsid w:val="00465CAA"/>
    <w:rsid w:val="00465D31"/>
    <w:rsid w:val="00466BF8"/>
    <w:rsid w:val="004731CE"/>
    <w:rsid w:val="004732E1"/>
    <w:rsid w:val="0047447E"/>
    <w:rsid w:val="0047593A"/>
    <w:rsid w:val="00476490"/>
    <w:rsid w:val="00476CA3"/>
    <w:rsid w:val="00476F51"/>
    <w:rsid w:val="00480298"/>
    <w:rsid w:val="0048097A"/>
    <w:rsid w:val="00480EEC"/>
    <w:rsid w:val="00482393"/>
    <w:rsid w:val="00485AA2"/>
    <w:rsid w:val="00485AA5"/>
    <w:rsid w:val="00485D5A"/>
    <w:rsid w:val="00486C3E"/>
    <w:rsid w:val="00487FCC"/>
    <w:rsid w:val="004917B4"/>
    <w:rsid w:val="00491C47"/>
    <w:rsid w:val="004927BA"/>
    <w:rsid w:val="00492CCF"/>
    <w:rsid w:val="0049383E"/>
    <w:rsid w:val="00493B62"/>
    <w:rsid w:val="00494455"/>
    <w:rsid w:val="00494B12"/>
    <w:rsid w:val="00494DB5"/>
    <w:rsid w:val="00495717"/>
    <w:rsid w:val="00497E70"/>
    <w:rsid w:val="004A006B"/>
    <w:rsid w:val="004A538C"/>
    <w:rsid w:val="004A60CA"/>
    <w:rsid w:val="004A612C"/>
    <w:rsid w:val="004B0600"/>
    <w:rsid w:val="004B1528"/>
    <w:rsid w:val="004B2712"/>
    <w:rsid w:val="004B3295"/>
    <w:rsid w:val="004B3562"/>
    <w:rsid w:val="004B3DAA"/>
    <w:rsid w:val="004B46C6"/>
    <w:rsid w:val="004B57C3"/>
    <w:rsid w:val="004B6174"/>
    <w:rsid w:val="004B78A1"/>
    <w:rsid w:val="004B797A"/>
    <w:rsid w:val="004C1FC5"/>
    <w:rsid w:val="004C3682"/>
    <w:rsid w:val="004C518D"/>
    <w:rsid w:val="004C6CAB"/>
    <w:rsid w:val="004C76B7"/>
    <w:rsid w:val="004C7BBB"/>
    <w:rsid w:val="004D509B"/>
    <w:rsid w:val="004D70B4"/>
    <w:rsid w:val="004E1AC3"/>
    <w:rsid w:val="004E3230"/>
    <w:rsid w:val="004E3279"/>
    <w:rsid w:val="004E475E"/>
    <w:rsid w:val="004E4A73"/>
    <w:rsid w:val="004E4D7F"/>
    <w:rsid w:val="004E4FFF"/>
    <w:rsid w:val="004E6293"/>
    <w:rsid w:val="004E6743"/>
    <w:rsid w:val="004F0354"/>
    <w:rsid w:val="004F098B"/>
    <w:rsid w:val="004F0EAD"/>
    <w:rsid w:val="004F1CF3"/>
    <w:rsid w:val="004F20E0"/>
    <w:rsid w:val="004F2EB1"/>
    <w:rsid w:val="004F3D31"/>
    <w:rsid w:val="004F3F0C"/>
    <w:rsid w:val="004F4EC5"/>
    <w:rsid w:val="004F5D6B"/>
    <w:rsid w:val="004F720D"/>
    <w:rsid w:val="005001EB"/>
    <w:rsid w:val="0050128C"/>
    <w:rsid w:val="00503107"/>
    <w:rsid w:val="00503333"/>
    <w:rsid w:val="00503816"/>
    <w:rsid w:val="00503CA9"/>
    <w:rsid w:val="005046A5"/>
    <w:rsid w:val="005058F4"/>
    <w:rsid w:val="0050642A"/>
    <w:rsid w:val="00506A63"/>
    <w:rsid w:val="005071BE"/>
    <w:rsid w:val="00510828"/>
    <w:rsid w:val="00510BBD"/>
    <w:rsid w:val="0051198B"/>
    <w:rsid w:val="00512CDC"/>
    <w:rsid w:val="00512D69"/>
    <w:rsid w:val="00512F6B"/>
    <w:rsid w:val="005143B3"/>
    <w:rsid w:val="00514419"/>
    <w:rsid w:val="00514571"/>
    <w:rsid w:val="00514A0F"/>
    <w:rsid w:val="005151A8"/>
    <w:rsid w:val="00516D1E"/>
    <w:rsid w:val="00517CBD"/>
    <w:rsid w:val="005221A3"/>
    <w:rsid w:val="005237C0"/>
    <w:rsid w:val="00523EBA"/>
    <w:rsid w:val="00523F0A"/>
    <w:rsid w:val="00524048"/>
    <w:rsid w:val="00524B17"/>
    <w:rsid w:val="005259E0"/>
    <w:rsid w:val="00525ABA"/>
    <w:rsid w:val="00525CE2"/>
    <w:rsid w:val="00525DA1"/>
    <w:rsid w:val="00526518"/>
    <w:rsid w:val="00530C86"/>
    <w:rsid w:val="0053131E"/>
    <w:rsid w:val="00531383"/>
    <w:rsid w:val="0053256A"/>
    <w:rsid w:val="005328A4"/>
    <w:rsid w:val="005328CC"/>
    <w:rsid w:val="00533CF6"/>
    <w:rsid w:val="00534CBA"/>
    <w:rsid w:val="00536970"/>
    <w:rsid w:val="0053794B"/>
    <w:rsid w:val="00537C91"/>
    <w:rsid w:val="005409DB"/>
    <w:rsid w:val="00540C6B"/>
    <w:rsid w:val="00540F16"/>
    <w:rsid w:val="00541774"/>
    <w:rsid w:val="00542A3C"/>
    <w:rsid w:val="00542DCE"/>
    <w:rsid w:val="00542E09"/>
    <w:rsid w:val="005433F7"/>
    <w:rsid w:val="00544726"/>
    <w:rsid w:val="0054791F"/>
    <w:rsid w:val="00547B8C"/>
    <w:rsid w:val="00550BA2"/>
    <w:rsid w:val="00551808"/>
    <w:rsid w:val="00554371"/>
    <w:rsid w:val="00555598"/>
    <w:rsid w:val="0055576C"/>
    <w:rsid w:val="00561594"/>
    <w:rsid w:val="00563252"/>
    <w:rsid w:val="00565CDB"/>
    <w:rsid w:val="005664CE"/>
    <w:rsid w:val="00566583"/>
    <w:rsid w:val="00570EE3"/>
    <w:rsid w:val="00570F91"/>
    <w:rsid w:val="005713F8"/>
    <w:rsid w:val="00571632"/>
    <w:rsid w:val="00571CC8"/>
    <w:rsid w:val="00573FD6"/>
    <w:rsid w:val="00574D05"/>
    <w:rsid w:val="00575D02"/>
    <w:rsid w:val="005768C5"/>
    <w:rsid w:val="005772E6"/>
    <w:rsid w:val="005775EF"/>
    <w:rsid w:val="00580342"/>
    <w:rsid w:val="005807EB"/>
    <w:rsid w:val="005808FC"/>
    <w:rsid w:val="00580BE3"/>
    <w:rsid w:val="00581667"/>
    <w:rsid w:val="005832F0"/>
    <w:rsid w:val="0058393F"/>
    <w:rsid w:val="00584FD3"/>
    <w:rsid w:val="00586208"/>
    <w:rsid w:val="00586C6E"/>
    <w:rsid w:val="00587381"/>
    <w:rsid w:val="005913FD"/>
    <w:rsid w:val="005918C9"/>
    <w:rsid w:val="00591B4F"/>
    <w:rsid w:val="00591B58"/>
    <w:rsid w:val="00592ACC"/>
    <w:rsid w:val="00592C7E"/>
    <w:rsid w:val="0059301D"/>
    <w:rsid w:val="005948B8"/>
    <w:rsid w:val="005949F6"/>
    <w:rsid w:val="00596082"/>
    <w:rsid w:val="005A18FD"/>
    <w:rsid w:val="005A2A3E"/>
    <w:rsid w:val="005B0365"/>
    <w:rsid w:val="005B217E"/>
    <w:rsid w:val="005B4891"/>
    <w:rsid w:val="005B522A"/>
    <w:rsid w:val="005B5EBE"/>
    <w:rsid w:val="005B6D10"/>
    <w:rsid w:val="005B72B6"/>
    <w:rsid w:val="005B76FD"/>
    <w:rsid w:val="005B7B35"/>
    <w:rsid w:val="005C11CB"/>
    <w:rsid w:val="005C15A7"/>
    <w:rsid w:val="005C1DA8"/>
    <w:rsid w:val="005C218D"/>
    <w:rsid w:val="005C3563"/>
    <w:rsid w:val="005C6545"/>
    <w:rsid w:val="005C7A1A"/>
    <w:rsid w:val="005D0BC5"/>
    <w:rsid w:val="005D1275"/>
    <w:rsid w:val="005D15FA"/>
    <w:rsid w:val="005D1865"/>
    <w:rsid w:val="005D2FE7"/>
    <w:rsid w:val="005D32AF"/>
    <w:rsid w:val="005D39B7"/>
    <w:rsid w:val="005E18FF"/>
    <w:rsid w:val="005E24DE"/>
    <w:rsid w:val="005E381C"/>
    <w:rsid w:val="005E3954"/>
    <w:rsid w:val="005E3A53"/>
    <w:rsid w:val="005E4292"/>
    <w:rsid w:val="005E639C"/>
    <w:rsid w:val="005F0AD4"/>
    <w:rsid w:val="005F0AE4"/>
    <w:rsid w:val="005F1569"/>
    <w:rsid w:val="005F15D6"/>
    <w:rsid w:val="005F284B"/>
    <w:rsid w:val="005F30DA"/>
    <w:rsid w:val="005F31A5"/>
    <w:rsid w:val="005F3239"/>
    <w:rsid w:val="005F3479"/>
    <w:rsid w:val="005F3A5D"/>
    <w:rsid w:val="005F3E8A"/>
    <w:rsid w:val="005F4883"/>
    <w:rsid w:val="005F602B"/>
    <w:rsid w:val="005F681A"/>
    <w:rsid w:val="005F6836"/>
    <w:rsid w:val="005F6F32"/>
    <w:rsid w:val="005F781F"/>
    <w:rsid w:val="006007D2"/>
    <w:rsid w:val="00603A02"/>
    <w:rsid w:val="00604020"/>
    <w:rsid w:val="00604433"/>
    <w:rsid w:val="006044BD"/>
    <w:rsid w:val="00604ECA"/>
    <w:rsid w:val="006051F1"/>
    <w:rsid w:val="00606053"/>
    <w:rsid w:val="00606B90"/>
    <w:rsid w:val="00610807"/>
    <w:rsid w:val="00611BF6"/>
    <w:rsid w:val="00616DC0"/>
    <w:rsid w:val="00616FA9"/>
    <w:rsid w:val="006177E6"/>
    <w:rsid w:val="0062090F"/>
    <w:rsid w:val="00621670"/>
    <w:rsid w:val="00621C5F"/>
    <w:rsid w:val="00624648"/>
    <w:rsid w:val="006262D0"/>
    <w:rsid w:val="00626ACF"/>
    <w:rsid w:val="00626E5B"/>
    <w:rsid w:val="00626EDF"/>
    <w:rsid w:val="00626FFD"/>
    <w:rsid w:val="006306F4"/>
    <w:rsid w:val="0063087C"/>
    <w:rsid w:val="00630889"/>
    <w:rsid w:val="0063162D"/>
    <w:rsid w:val="00631C67"/>
    <w:rsid w:val="00631D45"/>
    <w:rsid w:val="00632108"/>
    <w:rsid w:val="0063214E"/>
    <w:rsid w:val="006347C3"/>
    <w:rsid w:val="00634C31"/>
    <w:rsid w:val="00635690"/>
    <w:rsid w:val="00641116"/>
    <w:rsid w:val="00642205"/>
    <w:rsid w:val="0064303D"/>
    <w:rsid w:val="0064487C"/>
    <w:rsid w:val="0064512D"/>
    <w:rsid w:val="006456E6"/>
    <w:rsid w:val="00645DE2"/>
    <w:rsid w:val="00646F5D"/>
    <w:rsid w:val="0064719F"/>
    <w:rsid w:val="00647714"/>
    <w:rsid w:val="00647D20"/>
    <w:rsid w:val="0065163F"/>
    <w:rsid w:val="0065363A"/>
    <w:rsid w:val="00653D93"/>
    <w:rsid w:val="006549CC"/>
    <w:rsid w:val="00654BFF"/>
    <w:rsid w:val="0065624F"/>
    <w:rsid w:val="00657070"/>
    <w:rsid w:val="00660F62"/>
    <w:rsid w:val="00663B90"/>
    <w:rsid w:val="00665E8A"/>
    <w:rsid w:val="00666AD0"/>
    <w:rsid w:val="00666B98"/>
    <w:rsid w:val="00666DCC"/>
    <w:rsid w:val="0067072E"/>
    <w:rsid w:val="00670EE5"/>
    <w:rsid w:val="0067108F"/>
    <w:rsid w:val="00671278"/>
    <w:rsid w:val="0067199E"/>
    <w:rsid w:val="00672A1A"/>
    <w:rsid w:val="00673DC2"/>
    <w:rsid w:val="00674315"/>
    <w:rsid w:val="006747AD"/>
    <w:rsid w:val="00675115"/>
    <w:rsid w:val="00675236"/>
    <w:rsid w:val="006768C0"/>
    <w:rsid w:val="00677672"/>
    <w:rsid w:val="00677C9F"/>
    <w:rsid w:val="006803C2"/>
    <w:rsid w:val="00680620"/>
    <w:rsid w:val="0068206F"/>
    <w:rsid w:val="0068275A"/>
    <w:rsid w:val="00682996"/>
    <w:rsid w:val="006842A6"/>
    <w:rsid w:val="006851B7"/>
    <w:rsid w:val="006851E5"/>
    <w:rsid w:val="006863D3"/>
    <w:rsid w:val="00695D95"/>
    <w:rsid w:val="006969BE"/>
    <w:rsid w:val="006A1474"/>
    <w:rsid w:val="006A182F"/>
    <w:rsid w:val="006A2D51"/>
    <w:rsid w:val="006A3D08"/>
    <w:rsid w:val="006A4EEA"/>
    <w:rsid w:val="006B10AA"/>
    <w:rsid w:val="006B2AE9"/>
    <w:rsid w:val="006B3826"/>
    <w:rsid w:val="006B3DD4"/>
    <w:rsid w:val="006B45F7"/>
    <w:rsid w:val="006B4B5C"/>
    <w:rsid w:val="006B4C9C"/>
    <w:rsid w:val="006B574F"/>
    <w:rsid w:val="006C057F"/>
    <w:rsid w:val="006C0D39"/>
    <w:rsid w:val="006C18A1"/>
    <w:rsid w:val="006C1EEA"/>
    <w:rsid w:val="006C268B"/>
    <w:rsid w:val="006C57D9"/>
    <w:rsid w:val="006C67E5"/>
    <w:rsid w:val="006C7735"/>
    <w:rsid w:val="006C7AA6"/>
    <w:rsid w:val="006C7C75"/>
    <w:rsid w:val="006D0A3B"/>
    <w:rsid w:val="006D17EA"/>
    <w:rsid w:val="006D5489"/>
    <w:rsid w:val="006D5EE3"/>
    <w:rsid w:val="006D6111"/>
    <w:rsid w:val="006D6CB4"/>
    <w:rsid w:val="006E0486"/>
    <w:rsid w:val="006E2447"/>
    <w:rsid w:val="006E3FAC"/>
    <w:rsid w:val="006E740B"/>
    <w:rsid w:val="006F2542"/>
    <w:rsid w:val="006F3054"/>
    <w:rsid w:val="006F3897"/>
    <w:rsid w:val="006F45BA"/>
    <w:rsid w:val="006F68AB"/>
    <w:rsid w:val="006F784D"/>
    <w:rsid w:val="006F7A5A"/>
    <w:rsid w:val="006F7C14"/>
    <w:rsid w:val="0070470D"/>
    <w:rsid w:val="0070479E"/>
    <w:rsid w:val="00704FC5"/>
    <w:rsid w:val="00705FBE"/>
    <w:rsid w:val="0070610B"/>
    <w:rsid w:val="007076E2"/>
    <w:rsid w:val="00707B62"/>
    <w:rsid w:val="00710A1F"/>
    <w:rsid w:val="00711F1F"/>
    <w:rsid w:val="00713010"/>
    <w:rsid w:val="0071362D"/>
    <w:rsid w:val="0071543A"/>
    <w:rsid w:val="00716BD3"/>
    <w:rsid w:val="007200A3"/>
    <w:rsid w:val="0072069F"/>
    <w:rsid w:val="00720B9D"/>
    <w:rsid w:val="007212C1"/>
    <w:rsid w:val="007244B6"/>
    <w:rsid w:val="00724DAC"/>
    <w:rsid w:val="00725016"/>
    <w:rsid w:val="00725F18"/>
    <w:rsid w:val="00726D94"/>
    <w:rsid w:val="00731884"/>
    <w:rsid w:val="00733578"/>
    <w:rsid w:val="007337CA"/>
    <w:rsid w:val="0073416E"/>
    <w:rsid w:val="00736323"/>
    <w:rsid w:val="00737AFE"/>
    <w:rsid w:val="00740EBF"/>
    <w:rsid w:val="00741C77"/>
    <w:rsid w:val="00744A39"/>
    <w:rsid w:val="00746B2D"/>
    <w:rsid w:val="00747F2D"/>
    <w:rsid w:val="007503F5"/>
    <w:rsid w:val="007504B6"/>
    <w:rsid w:val="00750580"/>
    <w:rsid w:val="00750B89"/>
    <w:rsid w:val="00750BC9"/>
    <w:rsid w:val="0075182B"/>
    <w:rsid w:val="00751983"/>
    <w:rsid w:val="0075291A"/>
    <w:rsid w:val="00753DC4"/>
    <w:rsid w:val="007547D5"/>
    <w:rsid w:val="007577F6"/>
    <w:rsid w:val="00760D8D"/>
    <w:rsid w:val="00764B16"/>
    <w:rsid w:val="00764F6B"/>
    <w:rsid w:val="00765DE6"/>
    <w:rsid w:val="0076686D"/>
    <w:rsid w:val="00766D15"/>
    <w:rsid w:val="00766E29"/>
    <w:rsid w:val="00766EE5"/>
    <w:rsid w:val="00767DC3"/>
    <w:rsid w:val="0077043B"/>
    <w:rsid w:val="007714D9"/>
    <w:rsid w:val="00771BB1"/>
    <w:rsid w:val="00772798"/>
    <w:rsid w:val="00772835"/>
    <w:rsid w:val="00774B2C"/>
    <w:rsid w:val="0077546D"/>
    <w:rsid w:val="0077564C"/>
    <w:rsid w:val="007770CD"/>
    <w:rsid w:val="007772F8"/>
    <w:rsid w:val="00777B8D"/>
    <w:rsid w:val="00780A60"/>
    <w:rsid w:val="00782A0E"/>
    <w:rsid w:val="00782EE3"/>
    <w:rsid w:val="007831AA"/>
    <w:rsid w:val="0078320D"/>
    <w:rsid w:val="00783B6E"/>
    <w:rsid w:val="00783E97"/>
    <w:rsid w:val="00784098"/>
    <w:rsid w:val="007872FD"/>
    <w:rsid w:val="007915FC"/>
    <w:rsid w:val="007943D6"/>
    <w:rsid w:val="00795863"/>
    <w:rsid w:val="007A0011"/>
    <w:rsid w:val="007A0BF5"/>
    <w:rsid w:val="007A207D"/>
    <w:rsid w:val="007A2381"/>
    <w:rsid w:val="007A2720"/>
    <w:rsid w:val="007A2CBB"/>
    <w:rsid w:val="007A3707"/>
    <w:rsid w:val="007A6DF2"/>
    <w:rsid w:val="007A797F"/>
    <w:rsid w:val="007B00D3"/>
    <w:rsid w:val="007B019C"/>
    <w:rsid w:val="007B045B"/>
    <w:rsid w:val="007B0C2C"/>
    <w:rsid w:val="007B0D07"/>
    <w:rsid w:val="007B1104"/>
    <w:rsid w:val="007B17B1"/>
    <w:rsid w:val="007B1DEC"/>
    <w:rsid w:val="007B436F"/>
    <w:rsid w:val="007B4370"/>
    <w:rsid w:val="007C3084"/>
    <w:rsid w:val="007C4320"/>
    <w:rsid w:val="007C616A"/>
    <w:rsid w:val="007D17AE"/>
    <w:rsid w:val="007D6791"/>
    <w:rsid w:val="007D7C58"/>
    <w:rsid w:val="007E0547"/>
    <w:rsid w:val="007E2273"/>
    <w:rsid w:val="007E2816"/>
    <w:rsid w:val="007E2D77"/>
    <w:rsid w:val="007E45EB"/>
    <w:rsid w:val="007E5821"/>
    <w:rsid w:val="007E73CB"/>
    <w:rsid w:val="007F1B71"/>
    <w:rsid w:val="007F2697"/>
    <w:rsid w:val="007F335C"/>
    <w:rsid w:val="007F380C"/>
    <w:rsid w:val="007F43B1"/>
    <w:rsid w:val="007F51EF"/>
    <w:rsid w:val="0080480F"/>
    <w:rsid w:val="0080530F"/>
    <w:rsid w:val="00807254"/>
    <w:rsid w:val="008102D1"/>
    <w:rsid w:val="00810B2C"/>
    <w:rsid w:val="008114D4"/>
    <w:rsid w:val="008120A8"/>
    <w:rsid w:val="0081416D"/>
    <w:rsid w:val="00814B3E"/>
    <w:rsid w:val="0081544E"/>
    <w:rsid w:val="00817522"/>
    <w:rsid w:val="00817DC4"/>
    <w:rsid w:val="0082013C"/>
    <w:rsid w:val="00820C3B"/>
    <w:rsid w:val="00822196"/>
    <w:rsid w:val="0082282D"/>
    <w:rsid w:val="0082283F"/>
    <w:rsid w:val="00823AD9"/>
    <w:rsid w:val="00824592"/>
    <w:rsid w:val="00824D5A"/>
    <w:rsid w:val="00824EED"/>
    <w:rsid w:val="00825335"/>
    <w:rsid w:val="00825910"/>
    <w:rsid w:val="00826943"/>
    <w:rsid w:val="00827BC2"/>
    <w:rsid w:val="0083101C"/>
    <w:rsid w:val="00831625"/>
    <w:rsid w:val="00831F66"/>
    <w:rsid w:val="00832646"/>
    <w:rsid w:val="00832E2C"/>
    <w:rsid w:val="00833A73"/>
    <w:rsid w:val="008345F9"/>
    <w:rsid w:val="00834741"/>
    <w:rsid w:val="00835A2F"/>
    <w:rsid w:val="00837226"/>
    <w:rsid w:val="00840879"/>
    <w:rsid w:val="00841AA9"/>
    <w:rsid w:val="00841FFC"/>
    <w:rsid w:val="00843481"/>
    <w:rsid w:val="00843591"/>
    <w:rsid w:val="008464FF"/>
    <w:rsid w:val="00846AFC"/>
    <w:rsid w:val="00846F31"/>
    <w:rsid w:val="00851660"/>
    <w:rsid w:val="00851731"/>
    <w:rsid w:val="0085360B"/>
    <w:rsid w:val="00855A56"/>
    <w:rsid w:val="00857B43"/>
    <w:rsid w:val="00857C33"/>
    <w:rsid w:val="00860E83"/>
    <w:rsid w:val="00861864"/>
    <w:rsid w:val="00862F81"/>
    <w:rsid w:val="00862FD2"/>
    <w:rsid w:val="00863075"/>
    <w:rsid w:val="00863788"/>
    <w:rsid w:val="00866133"/>
    <w:rsid w:val="00866BD2"/>
    <w:rsid w:val="008703B1"/>
    <w:rsid w:val="00870AFD"/>
    <w:rsid w:val="008714A0"/>
    <w:rsid w:val="008736F9"/>
    <w:rsid w:val="00873D1C"/>
    <w:rsid w:val="00874152"/>
    <w:rsid w:val="00874B9A"/>
    <w:rsid w:val="008751C0"/>
    <w:rsid w:val="008751CD"/>
    <w:rsid w:val="00875D3B"/>
    <w:rsid w:val="00875DF1"/>
    <w:rsid w:val="0087602A"/>
    <w:rsid w:val="008803FE"/>
    <w:rsid w:val="00880A79"/>
    <w:rsid w:val="00887D8F"/>
    <w:rsid w:val="0089006E"/>
    <w:rsid w:val="008909C3"/>
    <w:rsid w:val="0089144C"/>
    <w:rsid w:val="00892FF8"/>
    <w:rsid w:val="00893487"/>
    <w:rsid w:val="00893AC5"/>
    <w:rsid w:val="00894C35"/>
    <w:rsid w:val="0089684A"/>
    <w:rsid w:val="00896A43"/>
    <w:rsid w:val="008970C1"/>
    <w:rsid w:val="008A0433"/>
    <w:rsid w:val="008A0D49"/>
    <w:rsid w:val="008A17F9"/>
    <w:rsid w:val="008A6FB0"/>
    <w:rsid w:val="008A769F"/>
    <w:rsid w:val="008A7AAF"/>
    <w:rsid w:val="008B0301"/>
    <w:rsid w:val="008B2643"/>
    <w:rsid w:val="008B36C0"/>
    <w:rsid w:val="008B38D5"/>
    <w:rsid w:val="008B390B"/>
    <w:rsid w:val="008B5B38"/>
    <w:rsid w:val="008B5F97"/>
    <w:rsid w:val="008B609D"/>
    <w:rsid w:val="008B66C1"/>
    <w:rsid w:val="008B6AA8"/>
    <w:rsid w:val="008B7353"/>
    <w:rsid w:val="008C04E0"/>
    <w:rsid w:val="008C0638"/>
    <w:rsid w:val="008C0D9C"/>
    <w:rsid w:val="008C0DDA"/>
    <w:rsid w:val="008C0E61"/>
    <w:rsid w:val="008C1673"/>
    <w:rsid w:val="008C172F"/>
    <w:rsid w:val="008C1854"/>
    <w:rsid w:val="008C4631"/>
    <w:rsid w:val="008C61A0"/>
    <w:rsid w:val="008C7C6F"/>
    <w:rsid w:val="008C7EED"/>
    <w:rsid w:val="008D0A1E"/>
    <w:rsid w:val="008D1996"/>
    <w:rsid w:val="008D42A9"/>
    <w:rsid w:val="008D574D"/>
    <w:rsid w:val="008D5791"/>
    <w:rsid w:val="008D6134"/>
    <w:rsid w:val="008D6738"/>
    <w:rsid w:val="008D7D66"/>
    <w:rsid w:val="008E0ACF"/>
    <w:rsid w:val="008E0F52"/>
    <w:rsid w:val="008E375C"/>
    <w:rsid w:val="008E699C"/>
    <w:rsid w:val="008E6BB2"/>
    <w:rsid w:val="008E7FB8"/>
    <w:rsid w:val="008F14C5"/>
    <w:rsid w:val="008F14E1"/>
    <w:rsid w:val="008F19FD"/>
    <w:rsid w:val="008F2A2E"/>
    <w:rsid w:val="008F63D7"/>
    <w:rsid w:val="008F656C"/>
    <w:rsid w:val="008F6BBD"/>
    <w:rsid w:val="009001D0"/>
    <w:rsid w:val="00900753"/>
    <w:rsid w:val="009007DB"/>
    <w:rsid w:val="0090276E"/>
    <w:rsid w:val="009046BC"/>
    <w:rsid w:val="009047FF"/>
    <w:rsid w:val="00906145"/>
    <w:rsid w:val="0090683E"/>
    <w:rsid w:val="00906EA8"/>
    <w:rsid w:val="0090788B"/>
    <w:rsid w:val="00910F10"/>
    <w:rsid w:val="00912968"/>
    <w:rsid w:val="00913D5F"/>
    <w:rsid w:val="009144C3"/>
    <w:rsid w:val="009171E2"/>
    <w:rsid w:val="00920AE5"/>
    <w:rsid w:val="009214B6"/>
    <w:rsid w:val="0092320D"/>
    <w:rsid w:val="00923A5E"/>
    <w:rsid w:val="009241FF"/>
    <w:rsid w:val="0092426D"/>
    <w:rsid w:val="009245CE"/>
    <w:rsid w:val="0092688E"/>
    <w:rsid w:val="00927AEB"/>
    <w:rsid w:val="00927BE5"/>
    <w:rsid w:val="00927E0B"/>
    <w:rsid w:val="00931285"/>
    <w:rsid w:val="00932617"/>
    <w:rsid w:val="00933720"/>
    <w:rsid w:val="00933A07"/>
    <w:rsid w:val="009343CD"/>
    <w:rsid w:val="0093450E"/>
    <w:rsid w:val="00935AD4"/>
    <w:rsid w:val="00937B71"/>
    <w:rsid w:val="00940829"/>
    <w:rsid w:val="0094152A"/>
    <w:rsid w:val="009426F8"/>
    <w:rsid w:val="00942E76"/>
    <w:rsid w:val="0094467D"/>
    <w:rsid w:val="009467B7"/>
    <w:rsid w:val="009468FA"/>
    <w:rsid w:val="009524E8"/>
    <w:rsid w:val="00952C93"/>
    <w:rsid w:val="009540B3"/>
    <w:rsid w:val="00954D51"/>
    <w:rsid w:val="0095598A"/>
    <w:rsid w:val="00956476"/>
    <w:rsid w:val="00957E82"/>
    <w:rsid w:val="00960301"/>
    <w:rsid w:val="00960DFD"/>
    <w:rsid w:val="00961468"/>
    <w:rsid w:val="00962141"/>
    <w:rsid w:val="009625DB"/>
    <w:rsid w:val="00963CD3"/>
    <w:rsid w:val="009642B2"/>
    <w:rsid w:val="0096568C"/>
    <w:rsid w:val="00966EFE"/>
    <w:rsid w:val="00967E23"/>
    <w:rsid w:val="00970241"/>
    <w:rsid w:val="00973985"/>
    <w:rsid w:val="00973B3B"/>
    <w:rsid w:val="00973FC3"/>
    <w:rsid w:val="00974213"/>
    <w:rsid w:val="00976E36"/>
    <w:rsid w:val="00983379"/>
    <w:rsid w:val="00987B49"/>
    <w:rsid w:val="00990B9E"/>
    <w:rsid w:val="00991362"/>
    <w:rsid w:val="009918A0"/>
    <w:rsid w:val="00991970"/>
    <w:rsid w:val="00991E43"/>
    <w:rsid w:val="009920A0"/>
    <w:rsid w:val="0099232B"/>
    <w:rsid w:val="009929F5"/>
    <w:rsid w:val="00992EB2"/>
    <w:rsid w:val="00995D07"/>
    <w:rsid w:val="009964D6"/>
    <w:rsid w:val="00996F17"/>
    <w:rsid w:val="009A0311"/>
    <w:rsid w:val="009A2F28"/>
    <w:rsid w:val="009A2F44"/>
    <w:rsid w:val="009A575E"/>
    <w:rsid w:val="009A5D27"/>
    <w:rsid w:val="009A62D4"/>
    <w:rsid w:val="009A70E9"/>
    <w:rsid w:val="009A71AC"/>
    <w:rsid w:val="009B19DC"/>
    <w:rsid w:val="009B1AD1"/>
    <w:rsid w:val="009B1FCD"/>
    <w:rsid w:val="009B3251"/>
    <w:rsid w:val="009B3416"/>
    <w:rsid w:val="009B4010"/>
    <w:rsid w:val="009B6125"/>
    <w:rsid w:val="009B753D"/>
    <w:rsid w:val="009C02FC"/>
    <w:rsid w:val="009C04F2"/>
    <w:rsid w:val="009C0DF2"/>
    <w:rsid w:val="009C0E44"/>
    <w:rsid w:val="009C1BB5"/>
    <w:rsid w:val="009C247D"/>
    <w:rsid w:val="009C2CA4"/>
    <w:rsid w:val="009C3331"/>
    <w:rsid w:val="009C5D59"/>
    <w:rsid w:val="009D1111"/>
    <w:rsid w:val="009D16C3"/>
    <w:rsid w:val="009D2E0A"/>
    <w:rsid w:val="009D3B57"/>
    <w:rsid w:val="009D3B8C"/>
    <w:rsid w:val="009D4759"/>
    <w:rsid w:val="009D6B4B"/>
    <w:rsid w:val="009E25A0"/>
    <w:rsid w:val="009E2836"/>
    <w:rsid w:val="009E423A"/>
    <w:rsid w:val="009E4533"/>
    <w:rsid w:val="009E55CB"/>
    <w:rsid w:val="009E5A6D"/>
    <w:rsid w:val="009E62D8"/>
    <w:rsid w:val="009E6915"/>
    <w:rsid w:val="009F2659"/>
    <w:rsid w:val="009F3ABA"/>
    <w:rsid w:val="009F4208"/>
    <w:rsid w:val="009F6A0F"/>
    <w:rsid w:val="00A007D9"/>
    <w:rsid w:val="00A00BFE"/>
    <w:rsid w:val="00A01740"/>
    <w:rsid w:val="00A05942"/>
    <w:rsid w:val="00A07D79"/>
    <w:rsid w:val="00A07E88"/>
    <w:rsid w:val="00A104E9"/>
    <w:rsid w:val="00A11342"/>
    <w:rsid w:val="00A11EA2"/>
    <w:rsid w:val="00A13202"/>
    <w:rsid w:val="00A13C7F"/>
    <w:rsid w:val="00A14A59"/>
    <w:rsid w:val="00A14B17"/>
    <w:rsid w:val="00A14D9E"/>
    <w:rsid w:val="00A17E25"/>
    <w:rsid w:val="00A20E24"/>
    <w:rsid w:val="00A218B5"/>
    <w:rsid w:val="00A22981"/>
    <w:rsid w:val="00A22F5F"/>
    <w:rsid w:val="00A233DA"/>
    <w:rsid w:val="00A24ED5"/>
    <w:rsid w:val="00A2759B"/>
    <w:rsid w:val="00A307BF"/>
    <w:rsid w:val="00A30CC0"/>
    <w:rsid w:val="00A30F81"/>
    <w:rsid w:val="00A31D57"/>
    <w:rsid w:val="00A329A5"/>
    <w:rsid w:val="00A32EBC"/>
    <w:rsid w:val="00A3310D"/>
    <w:rsid w:val="00A3569B"/>
    <w:rsid w:val="00A3630A"/>
    <w:rsid w:val="00A40CBC"/>
    <w:rsid w:val="00A41D51"/>
    <w:rsid w:val="00A4253D"/>
    <w:rsid w:val="00A4272C"/>
    <w:rsid w:val="00A42E00"/>
    <w:rsid w:val="00A444B4"/>
    <w:rsid w:val="00A45ADB"/>
    <w:rsid w:val="00A45D38"/>
    <w:rsid w:val="00A47359"/>
    <w:rsid w:val="00A4778F"/>
    <w:rsid w:val="00A5002E"/>
    <w:rsid w:val="00A50D4D"/>
    <w:rsid w:val="00A51B71"/>
    <w:rsid w:val="00A521B8"/>
    <w:rsid w:val="00A53AE5"/>
    <w:rsid w:val="00A54F97"/>
    <w:rsid w:val="00A56ADD"/>
    <w:rsid w:val="00A56BE7"/>
    <w:rsid w:val="00A57804"/>
    <w:rsid w:val="00A607E4"/>
    <w:rsid w:val="00A60E82"/>
    <w:rsid w:val="00A61182"/>
    <w:rsid w:val="00A645B6"/>
    <w:rsid w:val="00A64D8C"/>
    <w:rsid w:val="00A665F2"/>
    <w:rsid w:val="00A668ED"/>
    <w:rsid w:val="00A66F41"/>
    <w:rsid w:val="00A70419"/>
    <w:rsid w:val="00A71681"/>
    <w:rsid w:val="00A71697"/>
    <w:rsid w:val="00A74F1F"/>
    <w:rsid w:val="00A76242"/>
    <w:rsid w:val="00A7671E"/>
    <w:rsid w:val="00A77B7F"/>
    <w:rsid w:val="00A8015C"/>
    <w:rsid w:val="00A803AA"/>
    <w:rsid w:val="00A808C0"/>
    <w:rsid w:val="00A80911"/>
    <w:rsid w:val="00A8478F"/>
    <w:rsid w:val="00A849CF"/>
    <w:rsid w:val="00A85B6D"/>
    <w:rsid w:val="00A8677D"/>
    <w:rsid w:val="00A90806"/>
    <w:rsid w:val="00A913D5"/>
    <w:rsid w:val="00A91A5C"/>
    <w:rsid w:val="00A94FF8"/>
    <w:rsid w:val="00A95C93"/>
    <w:rsid w:val="00A95EBB"/>
    <w:rsid w:val="00A971E5"/>
    <w:rsid w:val="00A97AD2"/>
    <w:rsid w:val="00AA4580"/>
    <w:rsid w:val="00AA49A7"/>
    <w:rsid w:val="00AA4FDD"/>
    <w:rsid w:val="00AA58EF"/>
    <w:rsid w:val="00AA62A9"/>
    <w:rsid w:val="00AA6495"/>
    <w:rsid w:val="00AA6D00"/>
    <w:rsid w:val="00AA7434"/>
    <w:rsid w:val="00AA7DCD"/>
    <w:rsid w:val="00AA7FF7"/>
    <w:rsid w:val="00AB2253"/>
    <w:rsid w:val="00AB30C3"/>
    <w:rsid w:val="00AB3665"/>
    <w:rsid w:val="00AB3900"/>
    <w:rsid w:val="00AB39FE"/>
    <w:rsid w:val="00AB484D"/>
    <w:rsid w:val="00AB54DC"/>
    <w:rsid w:val="00AB64E0"/>
    <w:rsid w:val="00AB78F8"/>
    <w:rsid w:val="00AC0B7B"/>
    <w:rsid w:val="00AC3813"/>
    <w:rsid w:val="00AC4722"/>
    <w:rsid w:val="00AC4834"/>
    <w:rsid w:val="00AC48CF"/>
    <w:rsid w:val="00AC5248"/>
    <w:rsid w:val="00AC5655"/>
    <w:rsid w:val="00AC5A8E"/>
    <w:rsid w:val="00AC5DD1"/>
    <w:rsid w:val="00AC6C65"/>
    <w:rsid w:val="00AC725D"/>
    <w:rsid w:val="00AC7462"/>
    <w:rsid w:val="00AC7A5E"/>
    <w:rsid w:val="00AD062F"/>
    <w:rsid w:val="00AD2631"/>
    <w:rsid w:val="00AD2E29"/>
    <w:rsid w:val="00AD309B"/>
    <w:rsid w:val="00AD4A2A"/>
    <w:rsid w:val="00AD5C9B"/>
    <w:rsid w:val="00AD6AB6"/>
    <w:rsid w:val="00AD6F26"/>
    <w:rsid w:val="00AD72B3"/>
    <w:rsid w:val="00AD7F72"/>
    <w:rsid w:val="00AE1326"/>
    <w:rsid w:val="00AE2144"/>
    <w:rsid w:val="00AE2F6D"/>
    <w:rsid w:val="00AE487B"/>
    <w:rsid w:val="00AE4970"/>
    <w:rsid w:val="00AE4BB6"/>
    <w:rsid w:val="00AE65F5"/>
    <w:rsid w:val="00AE6D8C"/>
    <w:rsid w:val="00AE743D"/>
    <w:rsid w:val="00AE7AEB"/>
    <w:rsid w:val="00AF521F"/>
    <w:rsid w:val="00AF57D5"/>
    <w:rsid w:val="00AF6451"/>
    <w:rsid w:val="00AF757D"/>
    <w:rsid w:val="00AF77D5"/>
    <w:rsid w:val="00B0081E"/>
    <w:rsid w:val="00B014D2"/>
    <w:rsid w:val="00B0221F"/>
    <w:rsid w:val="00B039DE"/>
    <w:rsid w:val="00B04A71"/>
    <w:rsid w:val="00B06675"/>
    <w:rsid w:val="00B06980"/>
    <w:rsid w:val="00B100AE"/>
    <w:rsid w:val="00B1087D"/>
    <w:rsid w:val="00B12179"/>
    <w:rsid w:val="00B12775"/>
    <w:rsid w:val="00B13C68"/>
    <w:rsid w:val="00B148E5"/>
    <w:rsid w:val="00B16601"/>
    <w:rsid w:val="00B17047"/>
    <w:rsid w:val="00B17201"/>
    <w:rsid w:val="00B2080E"/>
    <w:rsid w:val="00B220E5"/>
    <w:rsid w:val="00B25617"/>
    <w:rsid w:val="00B27178"/>
    <w:rsid w:val="00B30398"/>
    <w:rsid w:val="00B305F1"/>
    <w:rsid w:val="00B30DBA"/>
    <w:rsid w:val="00B3374E"/>
    <w:rsid w:val="00B37FB7"/>
    <w:rsid w:val="00B42ED0"/>
    <w:rsid w:val="00B44011"/>
    <w:rsid w:val="00B44AC4"/>
    <w:rsid w:val="00B44F50"/>
    <w:rsid w:val="00B515D6"/>
    <w:rsid w:val="00B51DBB"/>
    <w:rsid w:val="00B53A57"/>
    <w:rsid w:val="00B53D3A"/>
    <w:rsid w:val="00B55A37"/>
    <w:rsid w:val="00B57986"/>
    <w:rsid w:val="00B57A05"/>
    <w:rsid w:val="00B600A5"/>
    <w:rsid w:val="00B6157B"/>
    <w:rsid w:val="00B617DA"/>
    <w:rsid w:val="00B619A1"/>
    <w:rsid w:val="00B61E60"/>
    <w:rsid w:val="00B62BCF"/>
    <w:rsid w:val="00B632B0"/>
    <w:rsid w:val="00B6473B"/>
    <w:rsid w:val="00B6636C"/>
    <w:rsid w:val="00B668B1"/>
    <w:rsid w:val="00B70C16"/>
    <w:rsid w:val="00B7233A"/>
    <w:rsid w:val="00B73D8F"/>
    <w:rsid w:val="00B75A7F"/>
    <w:rsid w:val="00B76008"/>
    <w:rsid w:val="00B7617F"/>
    <w:rsid w:val="00B76DCA"/>
    <w:rsid w:val="00B77BE6"/>
    <w:rsid w:val="00B820BA"/>
    <w:rsid w:val="00B8251C"/>
    <w:rsid w:val="00B83CA2"/>
    <w:rsid w:val="00B84D19"/>
    <w:rsid w:val="00B85257"/>
    <w:rsid w:val="00B85BC7"/>
    <w:rsid w:val="00B871AC"/>
    <w:rsid w:val="00B87A4A"/>
    <w:rsid w:val="00B944A3"/>
    <w:rsid w:val="00B94F3C"/>
    <w:rsid w:val="00B95A29"/>
    <w:rsid w:val="00B96903"/>
    <w:rsid w:val="00B97008"/>
    <w:rsid w:val="00B97737"/>
    <w:rsid w:val="00BA2015"/>
    <w:rsid w:val="00BA4C65"/>
    <w:rsid w:val="00BA525B"/>
    <w:rsid w:val="00BB06BC"/>
    <w:rsid w:val="00BB1889"/>
    <w:rsid w:val="00BB3759"/>
    <w:rsid w:val="00BB3A64"/>
    <w:rsid w:val="00BB531D"/>
    <w:rsid w:val="00BB5D24"/>
    <w:rsid w:val="00BB75AE"/>
    <w:rsid w:val="00BB7E15"/>
    <w:rsid w:val="00BC19EE"/>
    <w:rsid w:val="00BC2249"/>
    <w:rsid w:val="00BC5C46"/>
    <w:rsid w:val="00BC600C"/>
    <w:rsid w:val="00BC64F6"/>
    <w:rsid w:val="00BC7B49"/>
    <w:rsid w:val="00BD0090"/>
    <w:rsid w:val="00BD23F4"/>
    <w:rsid w:val="00BD40C7"/>
    <w:rsid w:val="00BD46C3"/>
    <w:rsid w:val="00BD4879"/>
    <w:rsid w:val="00BE14C1"/>
    <w:rsid w:val="00BE3F78"/>
    <w:rsid w:val="00BE53FE"/>
    <w:rsid w:val="00BE55A8"/>
    <w:rsid w:val="00BE6A68"/>
    <w:rsid w:val="00BE7E9B"/>
    <w:rsid w:val="00BE7FFD"/>
    <w:rsid w:val="00BF1FC0"/>
    <w:rsid w:val="00BF268D"/>
    <w:rsid w:val="00BF3460"/>
    <w:rsid w:val="00BF3854"/>
    <w:rsid w:val="00BF40C7"/>
    <w:rsid w:val="00BF4204"/>
    <w:rsid w:val="00BF5A38"/>
    <w:rsid w:val="00BF796A"/>
    <w:rsid w:val="00C00C6B"/>
    <w:rsid w:val="00C00E59"/>
    <w:rsid w:val="00C00E8B"/>
    <w:rsid w:val="00C02F31"/>
    <w:rsid w:val="00C040D3"/>
    <w:rsid w:val="00C04242"/>
    <w:rsid w:val="00C04F89"/>
    <w:rsid w:val="00C057B2"/>
    <w:rsid w:val="00C05A23"/>
    <w:rsid w:val="00C05EC0"/>
    <w:rsid w:val="00C06163"/>
    <w:rsid w:val="00C104D1"/>
    <w:rsid w:val="00C10C8B"/>
    <w:rsid w:val="00C114F3"/>
    <w:rsid w:val="00C1168D"/>
    <w:rsid w:val="00C12024"/>
    <w:rsid w:val="00C1584C"/>
    <w:rsid w:val="00C15981"/>
    <w:rsid w:val="00C16051"/>
    <w:rsid w:val="00C17D0C"/>
    <w:rsid w:val="00C20A71"/>
    <w:rsid w:val="00C224FE"/>
    <w:rsid w:val="00C2288D"/>
    <w:rsid w:val="00C24809"/>
    <w:rsid w:val="00C24A07"/>
    <w:rsid w:val="00C25D5B"/>
    <w:rsid w:val="00C27E61"/>
    <w:rsid w:val="00C30787"/>
    <w:rsid w:val="00C30CC9"/>
    <w:rsid w:val="00C3253F"/>
    <w:rsid w:val="00C342CB"/>
    <w:rsid w:val="00C34D6F"/>
    <w:rsid w:val="00C3652E"/>
    <w:rsid w:val="00C36BDD"/>
    <w:rsid w:val="00C379D9"/>
    <w:rsid w:val="00C41BFA"/>
    <w:rsid w:val="00C45108"/>
    <w:rsid w:val="00C468D5"/>
    <w:rsid w:val="00C47A46"/>
    <w:rsid w:val="00C5074D"/>
    <w:rsid w:val="00C525CF"/>
    <w:rsid w:val="00C542DD"/>
    <w:rsid w:val="00C5775E"/>
    <w:rsid w:val="00C609E5"/>
    <w:rsid w:val="00C60F67"/>
    <w:rsid w:val="00C61042"/>
    <w:rsid w:val="00C63616"/>
    <w:rsid w:val="00C6432D"/>
    <w:rsid w:val="00C64E4E"/>
    <w:rsid w:val="00C6626B"/>
    <w:rsid w:val="00C67408"/>
    <w:rsid w:val="00C72DA3"/>
    <w:rsid w:val="00C7471F"/>
    <w:rsid w:val="00C74899"/>
    <w:rsid w:val="00C751BC"/>
    <w:rsid w:val="00C7582F"/>
    <w:rsid w:val="00C77E22"/>
    <w:rsid w:val="00C81477"/>
    <w:rsid w:val="00C81D4F"/>
    <w:rsid w:val="00C8372B"/>
    <w:rsid w:val="00C84AA3"/>
    <w:rsid w:val="00C8586E"/>
    <w:rsid w:val="00C86231"/>
    <w:rsid w:val="00C8762C"/>
    <w:rsid w:val="00C90251"/>
    <w:rsid w:val="00C90AC5"/>
    <w:rsid w:val="00C921EC"/>
    <w:rsid w:val="00C92388"/>
    <w:rsid w:val="00C92D0F"/>
    <w:rsid w:val="00C931DA"/>
    <w:rsid w:val="00C93D36"/>
    <w:rsid w:val="00C94E0A"/>
    <w:rsid w:val="00C9624C"/>
    <w:rsid w:val="00C97D6E"/>
    <w:rsid w:val="00CA09F7"/>
    <w:rsid w:val="00CA0B21"/>
    <w:rsid w:val="00CA14AC"/>
    <w:rsid w:val="00CA3D61"/>
    <w:rsid w:val="00CA45F7"/>
    <w:rsid w:val="00CA4D61"/>
    <w:rsid w:val="00CA5450"/>
    <w:rsid w:val="00CA55D4"/>
    <w:rsid w:val="00CA633E"/>
    <w:rsid w:val="00CB0ED2"/>
    <w:rsid w:val="00CB3432"/>
    <w:rsid w:val="00CB43FB"/>
    <w:rsid w:val="00CB591B"/>
    <w:rsid w:val="00CB5B2C"/>
    <w:rsid w:val="00CB5EFA"/>
    <w:rsid w:val="00CC0032"/>
    <w:rsid w:val="00CC112B"/>
    <w:rsid w:val="00CC3ED7"/>
    <w:rsid w:val="00CC403C"/>
    <w:rsid w:val="00CC4A6C"/>
    <w:rsid w:val="00CD1013"/>
    <w:rsid w:val="00CD11F6"/>
    <w:rsid w:val="00CD161D"/>
    <w:rsid w:val="00CD1FA3"/>
    <w:rsid w:val="00CD238F"/>
    <w:rsid w:val="00CD7A1D"/>
    <w:rsid w:val="00CE1C8F"/>
    <w:rsid w:val="00CE1F9C"/>
    <w:rsid w:val="00CE32D0"/>
    <w:rsid w:val="00CE421C"/>
    <w:rsid w:val="00CE4960"/>
    <w:rsid w:val="00CE6328"/>
    <w:rsid w:val="00CE6B1B"/>
    <w:rsid w:val="00CE6F59"/>
    <w:rsid w:val="00CE7758"/>
    <w:rsid w:val="00CF2B88"/>
    <w:rsid w:val="00CF3BBC"/>
    <w:rsid w:val="00CF45AC"/>
    <w:rsid w:val="00CF4912"/>
    <w:rsid w:val="00CF4D0B"/>
    <w:rsid w:val="00CF607B"/>
    <w:rsid w:val="00CF7DAB"/>
    <w:rsid w:val="00D02603"/>
    <w:rsid w:val="00D02C32"/>
    <w:rsid w:val="00D02F97"/>
    <w:rsid w:val="00D0415B"/>
    <w:rsid w:val="00D07C60"/>
    <w:rsid w:val="00D10A85"/>
    <w:rsid w:val="00D12243"/>
    <w:rsid w:val="00D15F67"/>
    <w:rsid w:val="00D1610B"/>
    <w:rsid w:val="00D1722C"/>
    <w:rsid w:val="00D1753A"/>
    <w:rsid w:val="00D20B98"/>
    <w:rsid w:val="00D20EC6"/>
    <w:rsid w:val="00D21528"/>
    <w:rsid w:val="00D22ACC"/>
    <w:rsid w:val="00D2384E"/>
    <w:rsid w:val="00D25617"/>
    <w:rsid w:val="00D25ECB"/>
    <w:rsid w:val="00D270FB"/>
    <w:rsid w:val="00D32FE0"/>
    <w:rsid w:val="00D34808"/>
    <w:rsid w:val="00D359DF"/>
    <w:rsid w:val="00D3669F"/>
    <w:rsid w:val="00D3694D"/>
    <w:rsid w:val="00D36C92"/>
    <w:rsid w:val="00D36C93"/>
    <w:rsid w:val="00D407E2"/>
    <w:rsid w:val="00D41269"/>
    <w:rsid w:val="00D41983"/>
    <w:rsid w:val="00D44B70"/>
    <w:rsid w:val="00D4593E"/>
    <w:rsid w:val="00D4672A"/>
    <w:rsid w:val="00D506C5"/>
    <w:rsid w:val="00D5136A"/>
    <w:rsid w:val="00D5198E"/>
    <w:rsid w:val="00D51C34"/>
    <w:rsid w:val="00D5318C"/>
    <w:rsid w:val="00D538E2"/>
    <w:rsid w:val="00D53ACE"/>
    <w:rsid w:val="00D54B11"/>
    <w:rsid w:val="00D55A3A"/>
    <w:rsid w:val="00D56FBD"/>
    <w:rsid w:val="00D57226"/>
    <w:rsid w:val="00D57815"/>
    <w:rsid w:val="00D60CEB"/>
    <w:rsid w:val="00D61812"/>
    <w:rsid w:val="00D62AAC"/>
    <w:rsid w:val="00D64CE5"/>
    <w:rsid w:val="00D66D1C"/>
    <w:rsid w:val="00D713B7"/>
    <w:rsid w:val="00D71B87"/>
    <w:rsid w:val="00D72636"/>
    <w:rsid w:val="00D7378D"/>
    <w:rsid w:val="00D749A4"/>
    <w:rsid w:val="00D774A0"/>
    <w:rsid w:val="00D779DB"/>
    <w:rsid w:val="00D80DB7"/>
    <w:rsid w:val="00D8102C"/>
    <w:rsid w:val="00D820FE"/>
    <w:rsid w:val="00D823D6"/>
    <w:rsid w:val="00D85A81"/>
    <w:rsid w:val="00D85E38"/>
    <w:rsid w:val="00D86F5E"/>
    <w:rsid w:val="00D87C9A"/>
    <w:rsid w:val="00D92148"/>
    <w:rsid w:val="00D922FE"/>
    <w:rsid w:val="00D925E5"/>
    <w:rsid w:val="00D93D14"/>
    <w:rsid w:val="00D946A2"/>
    <w:rsid w:val="00D96920"/>
    <w:rsid w:val="00D96ED4"/>
    <w:rsid w:val="00DA2CD4"/>
    <w:rsid w:val="00DA2FD6"/>
    <w:rsid w:val="00DA5427"/>
    <w:rsid w:val="00DA76B4"/>
    <w:rsid w:val="00DB02D4"/>
    <w:rsid w:val="00DB1631"/>
    <w:rsid w:val="00DB17E4"/>
    <w:rsid w:val="00DB367C"/>
    <w:rsid w:val="00DB53F5"/>
    <w:rsid w:val="00DB5BD1"/>
    <w:rsid w:val="00DB625D"/>
    <w:rsid w:val="00DC05F5"/>
    <w:rsid w:val="00DC122C"/>
    <w:rsid w:val="00DC157A"/>
    <w:rsid w:val="00DC1958"/>
    <w:rsid w:val="00DC21B8"/>
    <w:rsid w:val="00DC33BC"/>
    <w:rsid w:val="00DC3737"/>
    <w:rsid w:val="00DC41FA"/>
    <w:rsid w:val="00DC47AC"/>
    <w:rsid w:val="00DC573F"/>
    <w:rsid w:val="00DD0B25"/>
    <w:rsid w:val="00DD125A"/>
    <w:rsid w:val="00DD17C8"/>
    <w:rsid w:val="00DD17FD"/>
    <w:rsid w:val="00DD20AA"/>
    <w:rsid w:val="00DD3964"/>
    <w:rsid w:val="00DD3EF8"/>
    <w:rsid w:val="00DD4E0A"/>
    <w:rsid w:val="00DD577E"/>
    <w:rsid w:val="00DD581C"/>
    <w:rsid w:val="00DD5AD1"/>
    <w:rsid w:val="00DD61EE"/>
    <w:rsid w:val="00DD6228"/>
    <w:rsid w:val="00DD6BDD"/>
    <w:rsid w:val="00DD7CB7"/>
    <w:rsid w:val="00DE145A"/>
    <w:rsid w:val="00DE2E1E"/>
    <w:rsid w:val="00DE3166"/>
    <w:rsid w:val="00DE3943"/>
    <w:rsid w:val="00DE5A2C"/>
    <w:rsid w:val="00DE5B35"/>
    <w:rsid w:val="00DE737F"/>
    <w:rsid w:val="00DE7F9B"/>
    <w:rsid w:val="00DF3591"/>
    <w:rsid w:val="00DF3C2B"/>
    <w:rsid w:val="00DF431E"/>
    <w:rsid w:val="00DF5BC0"/>
    <w:rsid w:val="00DF6B17"/>
    <w:rsid w:val="00E0131F"/>
    <w:rsid w:val="00E02379"/>
    <w:rsid w:val="00E03418"/>
    <w:rsid w:val="00E04BC8"/>
    <w:rsid w:val="00E05D79"/>
    <w:rsid w:val="00E0681C"/>
    <w:rsid w:val="00E06F3A"/>
    <w:rsid w:val="00E07640"/>
    <w:rsid w:val="00E12808"/>
    <w:rsid w:val="00E12AEC"/>
    <w:rsid w:val="00E12DA3"/>
    <w:rsid w:val="00E13F0B"/>
    <w:rsid w:val="00E149E0"/>
    <w:rsid w:val="00E154F1"/>
    <w:rsid w:val="00E1593B"/>
    <w:rsid w:val="00E15BD2"/>
    <w:rsid w:val="00E16026"/>
    <w:rsid w:val="00E1683A"/>
    <w:rsid w:val="00E21048"/>
    <w:rsid w:val="00E21B37"/>
    <w:rsid w:val="00E24FD4"/>
    <w:rsid w:val="00E261C9"/>
    <w:rsid w:val="00E26689"/>
    <w:rsid w:val="00E27AF7"/>
    <w:rsid w:val="00E27F28"/>
    <w:rsid w:val="00E3147C"/>
    <w:rsid w:val="00E3182C"/>
    <w:rsid w:val="00E433A7"/>
    <w:rsid w:val="00E448D3"/>
    <w:rsid w:val="00E45139"/>
    <w:rsid w:val="00E4518D"/>
    <w:rsid w:val="00E463E6"/>
    <w:rsid w:val="00E47367"/>
    <w:rsid w:val="00E5041F"/>
    <w:rsid w:val="00E51276"/>
    <w:rsid w:val="00E5438F"/>
    <w:rsid w:val="00E54EEA"/>
    <w:rsid w:val="00E5551D"/>
    <w:rsid w:val="00E5558C"/>
    <w:rsid w:val="00E5579F"/>
    <w:rsid w:val="00E57F4F"/>
    <w:rsid w:val="00E6018A"/>
    <w:rsid w:val="00E609A7"/>
    <w:rsid w:val="00E60C6A"/>
    <w:rsid w:val="00E618E8"/>
    <w:rsid w:val="00E6298B"/>
    <w:rsid w:val="00E630A9"/>
    <w:rsid w:val="00E63659"/>
    <w:rsid w:val="00E64904"/>
    <w:rsid w:val="00E64C17"/>
    <w:rsid w:val="00E66BE3"/>
    <w:rsid w:val="00E67B20"/>
    <w:rsid w:val="00E72257"/>
    <w:rsid w:val="00E722E3"/>
    <w:rsid w:val="00E73D32"/>
    <w:rsid w:val="00E74A56"/>
    <w:rsid w:val="00E74B3B"/>
    <w:rsid w:val="00E75D20"/>
    <w:rsid w:val="00E77186"/>
    <w:rsid w:val="00E8040E"/>
    <w:rsid w:val="00E817AD"/>
    <w:rsid w:val="00E831DC"/>
    <w:rsid w:val="00E835B3"/>
    <w:rsid w:val="00E83CED"/>
    <w:rsid w:val="00E846EC"/>
    <w:rsid w:val="00E84CD6"/>
    <w:rsid w:val="00E85181"/>
    <w:rsid w:val="00E87A6B"/>
    <w:rsid w:val="00E91419"/>
    <w:rsid w:val="00E92283"/>
    <w:rsid w:val="00E9336C"/>
    <w:rsid w:val="00E9467F"/>
    <w:rsid w:val="00E95712"/>
    <w:rsid w:val="00E9671B"/>
    <w:rsid w:val="00E96D5B"/>
    <w:rsid w:val="00EA30C2"/>
    <w:rsid w:val="00EA3B7A"/>
    <w:rsid w:val="00EA3CDF"/>
    <w:rsid w:val="00EB548D"/>
    <w:rsid w:val="00EB5CC4"/>
    <w:rsid w:val="00EB5EFE"/>
    <w:rsid w:val="00EB63C5"/>
    <w:rsid w:val="00EB6786"/>
    <w:rsid w:val="00EB7903"/>
    <w:rsid w:val="00EB7A1D"/>
    <w:rsid w:val="00EC3826"/>
    <w:rsid w:val="00EC565D"/>
    <w:rsid w:val="00EC7225"/>
    <w:rsid w:val="00EC771E"/>
    <w:rsid w:val="00ED03AB"/>
    <w:rsid w:val="00ED08DA"/>
    <w:rsid w:val="00ED157A"/>
    <w:rsid w:val="00ED1C7D"/>
    <w:rsid w:val="00ED4DEF"/>
    <w:rsid w:val="00ED5B7C"/>
    <w:rsid w:val="00ED65D0"/>
    <w:rsid w:val="00ED78E1"/>
    <w:rsid w:val="00ED7F0C"/>
    <w:rsid w:val="00EE068A"/>
    <w:rsid w:val="00EE14A0"/>
    <w:rsid w:val="00EE21AE"/>
    <w:rsid w:val="00EE30DF"/>
    <w:rsid w:val="00EE403B"/>
    <w:rsid w:val="00EE6A0E"/>
    <w:rsid w:val="00EE6FDA"/>
    <w:rsid w:val="00EE7F25"/>
    <w:rsid w:val="00EF218E"/>
    <w:rsid w:val="00EF2641"/>
    <w:rsid w:val="00EF270A"/>
    <w:rsid w:val="00EF3478"/>
    <w:rsid w:val="00EF4420"/>
    <w:rsid w:val="00EF6372"/>
    <w:rsid w:val="00EF67C1"/>
    <w:rsid w:val="00EF68CB"/>
    <w:rsid w:val="00F00AB0"/>
    <w:rsid w:val="00F00D11"/>
    <w:rsid w:val="00F02CFF"/>
    <w:rsid w:val="00F040EF"/>
    <w:rsid w:val="00F04990"/>
    <w:rsid w:val="00F051DF"/>
    <w:rsid w:val="00F07C55"/>
    <w:rsid w:val="00F07CF5"/>
    <w:rsid w:val="00F12690"/>
    <w:rsid w:val="00F140C4"/>
    <w:rsid w:val="00F14D1D"/>
    <w:rsid w:val="00F14DC3"/>
    <w:rsid w:val="00F15BB7"/>
    <w:rsid w:val="00F1618B"/>
    <w:rsid w:val="00F16EA2"/>
    <w:rsid w:val="00F201F5"/>
    <w:rsid w:val="00F2115A"/>
    <w:rsid w:val="00F22AAF"/>
    <w:rsid w:val="00F22E05"/>
    <w:rsid w:val="00F23EB3"/>
    <w:rsid w:val="00F24F6D"/>
    <w:rsid w:val="00F25012"/>
    <w:rsid w:val="00F25C9F"/>
    <w:rsid w:val="00F26737"/>
    <w:rsid w:val="00F26E62"/>
    <w:rsid w:val="00F27F23"/>
    <w:rsid w:val="00F32BC9"/>
    <w:rsid w:val="00F331A3"/>
    <w:rsid w:val="00F338AC"/>
    <w:rsid w:val="00F33A8D"/>
    <w:rsid w:val="00F33B0A"/>
    <w:rsid w:val="00F378C0"/>
    <w:rsid w:val="00F37B06"/>
    <w:rsid w:val="00F37F95"/>
    <w:rsid w:val="00F4112C"/>
    <w:rsid w:val="00F419A2"/>
    <w:rsid w:val="00F42101"/>
    <w:rsid w:val="00F43304"/>
    <w:rsid w:val="00F44BAC"/>
    <w:rsid w:val="00F44C95"/>
    <w:rsid w:val="00F450C1"/>
    <w:rsid w:val="00F4536D"/>
    <w:rsid w:val="00F455FC"/>
    <w:rsid w:val="00F45A92"/>
    <w:rsid w:val="00F467FF"/>
    <w:rsid w:val="00F47CB0"/>
    <w:rsid w:val="00F51517"/>
    <w:rsid w:val="00F51741"/>
    <w:rsid w:val="00F53182"/>
    <w:rsid w:val="00F534CA"/>
    <w:rsid w:val="00F55F64"/>
    <w:rsid w:val="00F55FB3"/>
    <w:rsid w:val="00F56B72"/>
    <w:rsid w:val="00F57A3C"/>
    <w:rsid w:val="00F60FFC"/>
    <w:rsid w:val="00F626FB"/>
    <w:rsid w:val="00F632A0"/>
    <w:rsid w:val="00F66846"/>
    <w:rsid w:val="00F67537"/>
    <w:rsid w:val="00F7069B"/>
    <w:rsid w:val="00F70E46"/>
    <w:rsid w:val="00F718D4"/>
    <w:rsid w:val="00F71976"/>
    <w:rsid w:val="00F71CBC"/>
    <w:rsid w:val="00F728CA"/>
    <w:rsid w:val="00F73873"/>
    <w:rsid w:val="00F73D44"/>
    <w:rsid w:val="00F73EFA"/>
    <w:rsid w:val="00F75220"/>
    <w:rsid w:val="00F75631"/>
    <w:rsid w:val="00F77882"/>
    <w:rsid w:val="00F80661"/>
    <w:rsid w:val="00F80F37"/>
    <w:rsid w:val="00F839D8"/>
    <w:rsid w:val="00F845B5"/>
    <w:rsid w:val="00F84A39"/>
    <w:rsid w:val="00F85295"/>
    <w:rsid w:val="00F8589F"/>
    <w:rsid w:val="00F8631A"/>
    <w:rsid w:val="00F86504"/>
    <w:rsid w:val="00F90C46"/>
    <w:rsid w:val="00F928CC"/>
    <w:rsid w:val="00F92A11"/>
    <w:rsid w:val="00F92FF8"/>
    <w:rsid w:val="00F95C41"/>
    <w:rsid w:val="00F95FF6"/>
    <w:rsid w:val="00F96E4C"/>
    <w:rsid w:val="00F9719C"/>
    <w:rsid w:val="00F97991"/>
    <w:rsid w:val="00FA03F9"/>
    <w:rsid w:val="00FA1012"/>
    <w:rsid w:val="00FA12DE"/>
    <w:rsid w:val="00FA3772"/>
    <w:rsid w:val="00FA4AA8"/>
    <w:rsid w:val="00FA4FC0"/>
    <w:rsid w:val="00FA5BBC"/>
    <w:rsid w:val="00FA7A3F"/>
    <w:rsid w:val="00FB0982"/>
    <w:rsid w:val="00FB0ABF"/>
    <w:rsid w:val="00FB0BAB"/>
    <w:rsid w:val="00FB0C92"/>
    <w:rsid w:val="00FB1BB4"/>
    <w:rsid w:val="00FB2AD5"/>
    <w:rsid w:val="00FB5900"/>
    <w:rsid w:val="00FC2C9C"/>
    <w:rsid w:val="00FC342B"/>
    <w:rsid w:val="00FC3B94"/>
    <w:rsid w:val="00FC5471"/>
    <w:rsid w:val="00FC55ED"/>
    <w:rsid w:val="00FC7F5F"/>
    <w:rsid w:val="00FD071E"/>
    <w:rsid w:val="00FD27AC"/>
    <w:rsid w:val="00FD3AB4"/>
    <w:rsid w:val="00FD3FAF"/>
    <w:rsid w:val="00FD41E5"/>
    <w:rsid w:val="00FD67DF"/>
    <w:rsid w:val="00FD7007"/>
    <w:rsid w:val="00FE08A5"/>
    <w:rsid w:val="00FE09C7"/>
    <w:rsid w:val="00FE20A6"/>
    <w:rsid w:val="00FE35ED"/>
    <w:rsid w:val="00FE40EE"/>
    <w:rsid w:val="00FE4161"/>
    <w:rsid w:val="00FE45D5"/>
    <w:rsid w:val="00FE4BE1"/>
    <w:rsid w:val="00FE544E"/>
    <w:rsid w:val="00FE6049"/>
    <w:rsid w:val="00FE7153"/>
    <w:rsid w:val="00FF1E5C"/>
    <w:rsid w:val="00FF30CC"/>
    <w:rsid w:val="00FF3BB1"/>
    <w:rsid w:val="00FF49DA"/>
    <w:rsid w:val="00FF4FED"/>
    <w:rsid w:val="00FF51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F4FD5EE-BC6D-44FA-B015-46F74589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AB"/>
    <w:rPr>
      <w:sz w:val="24"/>
      <w:szCs w:val="24"/>
      <w:lang w:eastAsia="en-US"/>
    </w:rPr>
  </w:style>
  <w:style w:type="paragraph" w:styleId="Heading1">
    <w:name w:val="heading 1"/>
    <w:basedOn w:val="Normal"/>
    <w:next w:val="Normal"/>
    <w:qFormat/>
    <w:rsid w:val="00CF7DAB"/>
    <w:pPr>
      <w:keepNext/>
      <w:spacing w:before="240" w:after="60"/>
      <w:outlineLvl w:val="0"/>
    </w:pPr>
    <w:rPr>
      <w:rFonts w:ascii="Arial" w:hAnsi="Arial"/>
      <w:b/>
      <w:bCs/>
      <w:kern w:val="32"/>
      <w:sz w:val="32"/>
      <w:szCs w:val="32"/>
    </w:rPr>
  </w:style>
  <w:style w:type="paragraph" w:styleId="Heading2">
    <w:name w:val="heading 2"/>
    <w:basedOn w:val="Normal"/>
    <w:next w:val="Normal"/>
    <w:qFormat/>
    <w:rsid w:val="00CF7D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7DAB"/>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rsid w:val="00DD577E"/>
    <w:pPr>
      <w:keepNext/>
      <w:spacing w:before="240" w:after="60"/>
      <w:outlineLvl w:val="3"/>
    </w:pPr>
    <w:rPr>
      <w:rFonts w:ascii="Calibri" w:hAnsi="Calibri"/>
      <w:b/>
      <w:bCs/>
      <w:sz w:val="28"/>
      <w:szCs w:val="28"/>
    </w:rPr>
  </w:style>
  <w:style w:type="paragraph" w:styleId="Heading5">
    <w:name w:val="heading 5"/>
    <w:basedOn w:val="Normal"/>
    <w:next w:val="Normal"/>
    <w:qFormat/>
    <w:rsid w:val="00CF7DAB"/>
    <w:pPr>
      <w:spacing w:before="240" w:after="60"/>
      <w:outlineLvl w:val="4"/>
    </w:pPr>
    <w:rPr>
      <w:b/>
      <w:bCs/>
      <w:i/>
      <w:iCs/>
      <w:sz w:val="26"/>
      <w:szCs w:val="26"/>
    </w:rPr>
  </w:style>
  <w:style w:type="paragraph" w:styleId="Heading6">
    <w:name w:val="heading 6"/>
    <w:basedOn w:val="Normal"/>
    <w:next w:val="Normal"/>
    <w:qFormat/>
    <w:rsid w:val="00CF7DAB"/>
    <w:pPr>
      <w:spacing w:before="240" w:after="60"/>
      <w:outlineLvl w:val="5"/>
    </w:pPr>
    <w:rPr>
      <w:b/>
      <w:bCs/>
      <w:sz w:val="22"/>
      <w:szCs w:val="22"/>
    </w:rPr>
  </w:style>
  <w:style w:type="paragraph" w:styleId="Heading7">
    <w:name w:val="heading 7"/>
    <w:basedOn w:val="Normal"/>
    <w:next w:val="Normal"/>
    <w:link w:val="Heading7Char"/>
    <w:unhideWhenUsed/>
    <w:qFormat/>
    <w:rsid w:val="00476CA3"/>
    <w:pPr>
      <w:spacing w:before="240" w:after="60"/>
      <w:outlineLvl w:val="6"/>
    </w:pPr>
    <w:rPr>
      <w:rFonts w:ascii="Calibri" w:hAnsi="Calibri"/>
    </w:rPr>
  </w:style>
  <w:style w:type="paragraph" w:styleId="Heading8">
    <w:name w:val="heading 8"/>
    <w:basedOn w:val="Normal"/>
    <w:next w:val="Normal"/>
    <w:link w:val="Heading8Char"/>
    <w:unhideWhenUsed/>
    <w:qFormat/>
    <w:rsid w:val="00641116"/>
    <w:pPr>
      <w:spacing w:before="240" w:after="60"/>
      <w:outlineLvl w:val="7"/>
    </w:pPr>
    <w:rPr>
      <w:rFonts w:ascii="Calibri" w:hAnsi="Calibri"/>
      <w:i/>
      <w:iCs/>
    </w:rPr>
  </w:style>
  <w:style w:type="paragraph" w:styleId="Heading9">
    <w:name w:val="heading 9"/>
    <w:basedOn w:val="Normal"/>
    <w:next w:val="Normal"/>
    <w:link w:val="Heading9Char"/>
    <w:qFormat/>
    <w:rsid w:val="00ED7F0C"/>
    <w:pPr>
      <w:keepNext/>
      <w:jc w:val="center"/>
      <w:outlineLvl w:val="8"/>
    </w:pPr>
    <w:rPr>
      <w:rFonts w:ascii="Arial Narrow" w:eastAsia="Arial Unicode MS" w:hAnsi="Arial Narrow"/>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ist Paragraph Char Char Char,Main numbered paragraph,Bullet paras,List Paragraph (numbered (a)) Char,List Paragraph2,References"/>
    <w:basedOn w:val="Normal"/>
    <w:link w:val="ListParagraphChar"/>
    <w:uiPriority w:val="34"/>
    <w:qFormat/>
    <w:rsid w:val="00BE53FE"/>
    <w:pPr>
      <w:ind w:left="720"/>
    </w:pPr>
  </w:style>
  <w:style w:type="paragraph" w:styleId="FootnoteText">
    <w:name w:val="footnote text"/>
    <w:aliases w:val="single space,footnote text,fn,Footnote Text Char"/>
    <w:basedOn w:val="Normal"/>
    <w:link w:val="FootnoteTextChar1"/>
    <w:rsid w:val="00CF7DAB"/>
    <w:rPr>
      <w:sz w:val="20"/>
      <w:szCs w:val="20"/>
    </w:r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
    <w:rsid w:val="00CF7DAB"/>
    <w:rPr>
      <w:vertAlign w:val="superscript"/>
    </w:rPr>
  </w:style>
  <w:style w:type="paragraph" w:styleId="Footer">
    <w:name w:val="footer"/>
    <w:basedOn w:val="Normal"/>
    <w:link w:val="FooterChar"/>
    <w:uiPriority w:val="99"/>
    <w:rsid w:val="00CF7DAB"/>
    <w:pPr>
      <w:tabs>
        <w:tab w:val="center" w:pos="4320"/>
        <w:tab w:val="right" w:pos="8640"/>
      </w:tabs>
    </w:pPr>
  </w:style>
  <w:style w:type="character" w:styleId="PageNumber">
    <w:name w:val="page number"/>
    <w:basedOn w:val="DefaultParagraphFont"/>
    <w:rsid w:val="00CF7DAB"/>
  </w:style>
  <w:style w:type="paragraph" w:styleId="Header">
    <w:name w:val="header"/>
    <w:basedOn w:val="Normal"/>
    <w:link w:val="HeaderChar"/>
    <w:rsid w:val="00CF7DAB"/>
    <w:pPr>
      <w:tabs>
        <w:tab w:val="center" w:pos="4320"/>
        <w:tab w:val="right" w:pos="8640"/>
      </w:tabs>
    </w:pPr>
  </w:style>
  <w:style w:type="character" w:customStyle="1" w:styleId="Heading2Char">
    <w:name w:val="Heading 2 Char"/>
    <w:rsid w:val="00CF7DAB"/>
    <w:rPr>
      <w:rFonts w:ascii="Arial" w:hAnsi="Arial" w:cs="Arial"/>
      <w:b/>
      <w:bCs/>
      <w:i/>
      <w:iCs/>
      <w:sz w:val="28"/>
      <w:szCs w:val="28"/>
      <w:lang w:val="es-ES" w:eastAsia="en-US" w:bidi="ar-SA"/>
    </w:rPr>
  </w:style>
  <w:style w:type="paragraph" w:customStyle="1" w:styleId="Default">
    <w:name w:val="Default"/>
    <w:link w:val="DefaultChar"/>
    <w:rsid w:val="00CF7DAB"/>
    <w:pPr>
      <w:autoSpaceDE w:val="0"/>
      <w:autoSpaceDN w:val="0"/>
      <w:adjustRightInd w:val="0"/>
    </w:pPr>
    <w:rPr>
      <w:color w:val="000000"/>
      <w:sz w:val="24"/>
      <w:szCs w:val="24"/>
      <w:lang w:val="en-US" w:eastAsia="en-US" w:bidi="ml-IN"/>
    </w:rPr>
  </w:style>
  <w:style w:type="character" w:customStyle="1" w:styleId="Heading1Char">
    <w:name w:val="Heading 1 Char"/>
    <w:rsid w:val="00CF7DAB"/>
    <w:rPr>
      <w:rFonts w:ascii="Arial" w:hAnsi="Arial"/>
      <w:b/>
      <w:bCs/>
      <w:kern w:val="32"/>
      <w:sz w:val="32"/>
      <w:szCs w:val="32"/>
      <w:lang w:val="es-ES" w:eastAsia="en-US" w:bidi="ar-SA"/>
    </w:rPr>
  </w:style>
  <w:style w:type="paragraph" w:styleId="TOC1">
    <w:name w:val="toc 1"/>
    <w:basedOn w:val="Normal"/>
    <w:next w:val="Normal"/>
    <w:autoRedefine/>
    <w:uiPriority w:val="39"/>
    <w:rsid w:val="00910F10"/>
    <w:pPr>
      <w:tabs>
        <w:tab w:val="right" w:leader="dot" w:pos="9111"/>
      </w:tabs>
      <w:jc w:val="both"/>
    </w:pPr>
    <w:rPr>
      <w:rFonts w:ascii="Arial" w:hAnsi="Arial" w:cs="Arial"/>
      <w:b/>
      <w:noProof/>
      <w:sz w:val="20"/>
      <w:szCs w:val="20"/>
      <w:lang w:bidi="ml-IN"/>
    </w:rPr>
  </w:style>
  <w:style w:type="paragraph" w:styleId="TOC2">
    <w:name w:val="toc 2"/>
    <w:basedOn w:val="Normal"/>
    <w:next w:val="Normal"/>
    <w:autoRedefine/>
    <w:uiPriority w:val="39"/>
    <w:rsid w:val="00163636"/>
    <w:pPr>
      <w:tabs>
        <w:tab w:val="right" w:leader="dot" w:pos="9111"/>
      </w:tabs>
      <w:ind w:left="240"/>
      <w:jc w:val="both"/>
    </w:pPr>
    <w:rPr>
      <w:rFonts w:ascii="Arial" w:hAnsi="Arial" w:cs="Arial"/>
      <w:smallCaps/>
      <w:noProof/>
      <w:sz w:val="20"/>
      <w:szCs w:val="20"/>
    </w:rPr>
  </w:style>
  <w:style w:type="paragraph" w:styleId="TOC3">
    <w:name w:val="toc 3"/>
    <w:basedOn w:val="Normal"/>
    <w:next w:val="Normal"/>
    <w:autoRedefine/>
    <w:uiPriority w:val="39"/>
    <w:rsid w:val="00CF7DAB"/>
    <w:pPr>
      <w:ind w:left="480"/>
    </w:pPr>
    <w:rPr>
      <w:i/>
      <w:iCs/>
      <w:sz w:val="20"/>
    </w:rPr>
  </w:style>
  <w:style w:type="paragraph" w:styleId="TOC4">
    <w:name w:val="toc 4"/>
    <w:basedOn w:val="Normal"/>
    <w:next w:val="Normal"/>
    <w:autoRedefine/>
    <w:uiPriority w:val="39"/>
    <w:rsid w:val="00CF7DAB"/>
    <w:pPr>
      <w:ind w:left="720"/>
    </w:pPr>
    <w:rPr>
      <w:sz w:val="18"/>
      <w:szCs w:val="21"/>
    </w:rPr>
  </w:style>
  <w:style w:type="paragraph" w:styleId="TOC5">
    <w:name w:val="toc 5"/>
    <w:basedOn w:val="Normal"/>
    <w:next w:val="Normal"/>
    <w:autoRedefine/>
    <w:uiPriority w:val="39"/>
    <w:rsid w:val="00CF7DAB"/>
    <w:pPr>
      <w:ind w:left="960"/>
    </w:pPr>
    <w:rPr>
      <w:sz w:val="18"/>
      <w:szCs w:val="21"/>
    </w:rPr>
  </w:style>
  <w:style w:type="paragraph" w:styleId="TOC6">
    <w:name w:val="toc 6"/>
    <w:basedOn w:val="Normal"/>
    <w:next w:val="Normal"/>
    <w:autoRedefine/>
    <w:uiPriority w:val="39"/>
    <w:rsid w:val="00CF7DAB"/>
    <w:pPr>
      <w:ind w:left="1200"/>
    </w:pPr>
    <w:rPr>
      <w:sz w:val="18"/>
      <w:szCs w:val="21"/>
    </w:rPr>
  </w:style>
  <w:style w:type="paragraph" w:styleId="TOC7">
    <w:name w:val="toc 7"/>
    <w:basedOn w:val="Normal"/>
    <w:next w:val="Normal"/>
    <w:autoRedefine/>
    <w:uiPriority w:val="39"/>
    <w:rsid w:val="00CF7DAB"/>
    <w:pPr>
      <w:ind w:left="1440"/>
    </w:pPr>
    <w:rPr>
      <w:sz w:val="18"/>
      <w:szCs w:val="21"/>
    </w:rPr>
  </w:style>
  <w:style w:type="paragraph" w:styleId="TOC8">
    <w:name w:val="toc 8"/>
    <w:basedOn w:val="Normal"/>
    <w:next w:val="Normal"/>
    <w:autoRedefine/>
    <w:uiPriority w:val="39"/>
    <w:rsid w:val="00CF7DAB"/>
    <w:pPr>
      <w:ind w:left="1680"/>
    </w:pPr>
    <w:rPr>
      <w:sz w:val="18"/>
      <w:szCs w:val="21"/>
    </w:rPr>
  </w:style>
  <w:style w:type="paragraph" w:styleId="TOC9">
    <w:name w:val="toc 9"/>
    <w:basedOn w:val="Normal"/>
    <w:next w:val="Normal"/>
    <w:autoRedefine/>
    <w:uiPriority w:val="39"/>
    <w:rsid w:val="00CF7DAB"/>
    <w:pPr>
      <w:ind w:left="1920"/>
    </w:pPr>
    <w:rPr>
      <w:sz w:val="18"/>
      <w:szCs w:val="21"/>
    </w:rPr>
  </w:style>
  <w:style w:type="character" w:styleId="Hyperlink">
    <w:name w:val="Hyperlink"/>
    <w:uiPriority w:val="99"/>
    <w:rsid w:val="00CF7DAB"/>
    <w:rPr>
      <w:color w:val="0000FF"/>
      <w:u w:val="single"/>
    </w:rPr>
  </w:style>
  <w:style w:type="character" w:styleId="CommentReference">
    <w:name w:val="annotation reference"/>
    <w:semiHidden/>
    <w:rsid w:val="00CF7DAB"/>
    <w:rPr>
      <w:sz w:val="16"/>
      <w:szCs w:val="16"/>
    </w:rPr>
  </w:style>
  <w:style w:type="paragraph" w:styleId="CommentText">
    <w:name w:val="annotation text"/>
    <w:basedOn w:val="Normal"/>
    <w:semiHidden/>
    <w:rsid w:val="00CF7DAB"/>
    <w:rPr>
      <w:sz w:val="20"/>
      <w:szCs w:val="20"/>
    </w:rPr>
  </w:style>
  <w:style w:type="paragraph" w:styleId="BalloonText">
    <w:name w:val="Balloon Text"/>
    <w:basedOn w:val="Normal"/>
    <w:semiHidden/>
    <w:rsid w:val="00CF7DAB"/>
    <w:rPr>
      <w:rFonts w:ascii="Tahoma" w:hAnsi="Tahoma"/>
      <w:sz w:val="16"/>
      <w:szCs w:val="16"/>
    </w:rPr>
  </w:style>
  <w:style w:type="paragraph" w:styleId="CommentSubject">
    <w:name w:val="annotation subject"/>
    <w:basedOn w:val="CommentText"/>
    <w:next w:val="CommentText"/>
    <w:semiHidden/>
    <w:rsid w:val="00CF7DAB"/>
    <w:rPr>
      <w:b/>
      <w:bCs/>
    </w:rPr>
  </w:style>
  <w:style w:type="paragraph" w:styleId="BodyText">
    <w:name w:val="Body Text"/>
    <w:basedOn w:val="Normal"/>
    <w:link w:val="BodyTextChar"/>
    <w:rsid w:val="00CF7DAB"/>
    <w:pPr>
      <w:jc w:val="both"/>
    </w:pPr>
    <w:rPr>
      <w:rFonts w:eastAsia="Arial Unicode MS"/>
      <w:szCs w:val="20"/>
      <w:lang w:eastAsia="fr-FR"/>
    </w:rPr>
  </w:style>
  <w:style w:type="paragraph" w:styleId="BodyText3">
    <w:name w:val="Body Text 3"/>
    <w:basedOn w:val="Normal"/>
    <w:link w:val="BodyText3Char"/>
    <w:rsid w:val="00CF7DAB"/>
    <w:pPr>
      <w:spacing w:after="120"/>
    </w:pPr>
    <w:rPr>
      <w:sz w:val="16"/>
      <w:szCs w:val="16"/>
    </w:rPr>
  </w:style>
  <w:style w:type="paragraph" w:styleId="NormalWeb">
    <w:name w:val="Normal (Web)"/>
    <w:basedOn w:val="Normal"/>
    <w:link w:val="NormalWebChar"/>
    <w:uiPriority w:val="99"/>
    <w:rsid w:val="00CF7DAB"/>
    <w:pPr>
      <w:spacing w:before="100" w:beforeAutospacing="1" w:after="100" w:afterAutospacing="1"/>
    </w:pPr>
    <w:rPr>
      <w:lang w:bidi="ml-IN"/>
    </w:rPr>
  </w:style>
  <w:style w:type="character" w:customStyle="1" w:styleId="titreune1">
    <w:name w:val="titreune1"/>
    <w:basedOn w:val="DefaultParagraphFont"/>
    <w:rsid w:val="00CF7DAB"/>
  </w:style>
  <w:style w:type="paragraph" w:customStyle="1" w:styleId="spip">
    <w:name w:val="spip"/>
    <w:basedOn w:val="Normal"/>
    <w:rsid w:val="00CF7DAB"/>
    <w:pPr>
      <w:spacing w:before="100" w:beforeAutospacing="1" w:after="100" w:afterAutospacing="1"/>
      <w:jc w:val="both"/>
    </w:pPr>
    <w:rPr>
      <w:rFonts w:ascii="Arial Unicode MS" w:eastAsia="Arial Unicode MS" w:hAnsi="Arial Unicode MS" w:cs="Arial Unicode MS"/>
      <w:lang w:eastAsia="fr-FR"/>
    </w:rPr>
  </w:style>
  <w:style w:type="character" w:styleId="FollowedHyperlink">
    <w:name w:val="FollowedHyperlink"/>
    <w:rsid w:val="005808FC"/>
    <w:rPr>
      <w:color w:val="800080"/>
      <w:u w:val="single"/>
    </w:rPr>
  </w:style>
  <w:style w:type="character" w:customStyle="1" w:styleId="notebasdepageCar">
    <w:name w:val="note bas de page Car"/>
    <w:rsid w:val="00CF7DAB"/>
    <w:rPr>
      <w:lang w:val="fr-FR" w:eastAsia="fr-FR" w:bidi="ar-SA"/>
    </w:rPr>
  </w:style>
  <w:style w:type="character" w:styleId="Strong">
    <w:name w:val="Strong"/>
    <w:uiPriority w:val="22"/>
    <w:qFormat/>
    <w:rsid w:val="00CF7DAB"/>
    <w:rPr>
      <w:b/>
      <w:bCs/>
    </w:rPr>
  </w:style>
  <w:style w:type="character" w:styleId="Emphasis">
    <w:name w:val="Emphasis"/>
    <w:uiPriority w:val="20"/>
    <w:qFormat/>
    <w:rsid w:val="00CF7DAB"/>
    <w:rPr>
      <w:i/>
      <w:iCs/>
    </w:rPr>
  </w:style>
  <w:style w:type="paragraph" w:styleId="PlainText">
    <w:name w:val="Plain Text"/>
    <w:basedOn w:val="Normal"/>
    <w:link w:val="PlainTextChar"/>
    <w:unhideWhenUsed/>
    <w:rsid w:val="00EF67C1"/>
    <w:rPr>
      <w:rFonts w:ascii="Consolas" w:eastAsia="Calibri" w:hAnsi="Consolas"/>
      <w:sz w:val="21"/>
      <w:szCs w:val="21"/>
      <w:lang w:val="es-BO"/>
    </w:rPr>
  </w:style>
  <w:style w:type="character" w:customStyle="1" w:styleId="PlainTextChar">
    <w:name w:val="Plain Text Char"/>
    <w:link w:val="PlainText"/>
    <w:rsid w:val="00EF67C1"/>
    <w:rPr>
      <w:rFonts w:ascii="Consolas" w:eastAsia="Calibri" w:hAnsi="Consolas" w:cs="Times New Roman"/>
      <w:sz w:val="21"/>
      <w:szCs w:val="21"/>
      <w:lang w:val="es-BO" w:eastAsia="en-US"/>
    </w:rPr>
  </w:style>
  <w:style w:type="paragraph" w:styleId="BodyTextIndent">
    <w:name w:val="Body Text Indent"/>
    <w:basedOn w:val="Normal"/>
    <w:link w:val="BodyTextIndentChar"/>
    <w:rsid w:val="00051B09"/>
    <w:pPr>
      <w:spacing w:after="120"/>
      <w:ind w:left="283"/>
    </w:pPr>
  </w:style>
  <w:style w:type="character" w:customStyle="1" w:styleId="BodyTextIndentChar">
    <w:name w:val="Body Text Indent Char"/>
    <w:link w:val="BodyTextIndent"/>
    <w:rsid w:val="00051B09"/>
    <w:rPr>
      <w:sz w:val="24"/>
      <w:szCs w:val="24"/>
      <w:lang w:val="fr-FR" w:eastAsia="en-US"/>
    </w:rPr>
  </w:style>
  <w:style w:type="character" w:customStyle="1" w:styleId="Heading4Char">
    <w:name w:val="Heading 4 Char"/>
    <w:link w:val="Heading4"/>
    <w:uiPriority w:val="9"/>
    <w:rsid w:val="00DD577E"/>
    <w:rPr>
      <w:rFonts w:ascii="Calibri" w:eastAsia="Times New Roman" w:hAnsi="Calibri" w:cs="Times New Roman"/>
      <w:b/>
      <w:bCs/>
      <w:sz w:val="28"/>
      <w:szCs w:val="28"/>
      <w:lang w:val="fr-FR" w:eastAsia="en-US"/>
    </w:rPr>
  </w:style>
  <w:style w:type="character" w:customStyle="1" w:styleId="Heading7Char">
    <w:name w:val="Heading 7 Char"/>
    <w:link w:val="Heading7"/>
    <w:semiHidden/>
    <w:rsid w:val="00476CA3"/>
    <w:rPr>
      <w:rFonts w:ascii="Calibri" w:eastAsia="Times New Roman" w:hAnsi="Calibri" w:cs="Times New Roman"/>
      <w:sz w:val="24"/>
      <w:szCs w:val="24"/>
      <w:lang w:val="fr-FR" w:eastAsia="en-US"/>
    </w:rPr>
  </w:style>
  <w:style w:type="paragraph" w:styleId="BodyTextIndent3">
    <w:name w:val="Body Text Indent 3"/>
    <w:basedOn w:val="Normal"/>
    <w:link w:val="BodyTextIndent3Char"/>
    <w:rsid w:val="00D86F5E"/>
    <w:pPr>
      <w:spacing w:after="120"/>
      <w:ind w:left="283"/>
    </w:pPr>
    <w:rPr>
      <w:sz w:val="16"/>
      <w:szCs w:val="16"/>
    </w:rPr>
  </w:style>
  <w:style w:type="character" w:customStyle="1" w:styleId="BodyTextIndent3Char">
    <w:name w:val="Body Text Indent 3 Char"/>
    <w:link w:val="BodyTextIndent3"/>
    <w:rsid w:val="00D86F5E"/>
    <w:rPr>
      <w:sz w:val="16"/>
      <w:szCs w:val="16"/>
      <w:lang w:val="fr-FR" w:eastAsia="en-US"/>
    </w:rPr>
  </w:style>
  <w:style w:type="paragraph" w:styleId="BodyTextIndent2">
    <w:name w:val="Body Text Indent 2"/>
    <w:basedOn w:val="Normal"/>
    <w:link w:val="BodyTextIndent2Char"/>
    <w:rsid w:val="00634C31"/>
    <w:pPr>
      <w:spacing w:after="120" w:line="480" w:lineRule="auto"/>
      <w:ind w:left="283"/>
    </w:pPr>
  </w:style>
  <w:style w:type="character" w:customStyle="1" w:styleId="BodyTextIndent2Char">
    <w:name w:val="Body Text Indent 2 Char"/>
    <w:link w:val="BodyTextIndent2"/>
    <w:rsid w:val="00634C31"/>
    <w:rPr>
      <w:sz w:val="24"/>
      <w:szCs w:val="24"/>
      <w:lang w:val="fr-FR" w:eastAsia="en-US"/>
    </w:rPr>
  </w:style>
  <w:style w:type="character" w:customStyle="1" w:styleId="police">
    <w:name w:val="police"/>
    <w:basedOn w:val="DefaultParagraphFont"/>
    <w:rsid w:val="004D509B"/>
  </w:style>
  <w:style w:type="character" w:customStyle="1" w:styleId="Heading8Char">
    <w:name w:val="Heading 8 Char"/>
    <w:link w:val="Heading8"/>
    <w:semiHidden/>
    <w:rsid w:val="00641116"/>
    <w:rPr>
      <w:rFonts w:ascii="Calibri" w:eastAsia="Times New Roman" w:hAnsi="Calibri" w:cs="Times New Roman"/>
      <w:i/>
      <w:iCs/>
      <w:sz w:val="24"/>
      <w:szCs w:val="24"/>
      <w:lang w:val="fr-FR" w:eastAsia="en-US"/>
    </w:rPr>
  </w:style>
  <w:style w:type="paragraph" w:styleId="Revision">
    <w:name w:val="Revision"/>
    <w:hidden/>
    <w:uiPriority w:val="99"/>
    <w:semiHidden/>
    <w:rsid w:val="00330626"/>
    <w:rPr>
      <w:sz w:val="24"/>
      <w:szCs w:val="24"/>
      <w:lang w:eastAsia="en-US"/>
    </w:rPr>
  </w:style>
  <w:style w:type="character" w:customStyle="1" w:styleId="Heading9Char">
    <w:name w:val="Heading 9 Char"/>
    <w:link w:val="Heading9"/>
    <w:rsid w:val="00ED7F0C"/>
    <w:rPr>
      <w:rFonts w:ascii="Arial Narrow" w:eastAsia="Arial Unicode MS" w:hAnsi="Arial Narrow"/>
      <w:b/>
      <w:color w:val="FF0000"/>
      <w:lang w:val="fr-FR" w:eastAsia="en-US"/>
    </w:rPr>
  </w:style>
  <w:style w:type="paragraph" w:styleId="BodyText2">
    <w:name w:val="Body Text 2"/>
    <w:basedOn w:val="Normal"/>
    <w:link w:val="BodyText2Char"/>
    <w:rsid w:val="00ED7F0C"/>
    <w:pPr>
      <w:jc w:val="center"/>
    </w:pPr>
    <w:rPr>
      <w:rFonts w:ascii="Arial" w:hAnsi="Arial"/>
      <w:b/>
      <w:bCs/>
      <w:color w:val="FF00FF"/>
      <w:sz w:val="20"/>
      <w:szCs w:val="20"/>
    </w:rPr>
  </w:style>
  <w:style w:type="character" w:customStyle="1" w:styleId="BodyText2Char">
    <w:name w:val="Body Text 2 Char"/>
    <w:link w:val="BodyText2"/>
    <w:rsid w:val="00ED7F0C"/>
    <w:rPr>
      <w:rFonts w:ascii="Arial" w:hAnsi="Arial"/>
      <w:b/>
      <w:bCs/>
      <w:color w:val="FF00FF"/>
      <w:lang w:val="fr-FR" w:eastAsia="en-US"/>
    </w:rPr>
  </w:style>
  <w:style w:type="paragraph" w:styleId="TOCHeading">
    <w:name w:val="TOC Heading"/>
    <w:basedOn w:val="Heading1"/>
    <w:next w:val="Normal"/>
    <w:uiPriority w:val="39"/>
    <w:semiHidden/>
    <w:unhideWhenUsed/>
    <w:qFormat/>
    <w:rsid w:val="0049383E"/>
    <w:pPr>
      <w:keepLines/>
      <w:spacing w:before="480" w:after="0" w:line="276" w:lineRule="auto"/>
      <w:outlineLvl w:val="9"/>
    </w:pPr>
    <w:rPr>
      <w:rFonts w:ascii="Cambria" w:hAnsi="Cambria"/>
      <w:color w:val="365F91"/>
      <w:kern w:val="0"/>
      <w:sz w:val="28"/>
      <w:szCs w:val="28"/>
      <w:lang w:val="en-US"/>
    </w:rPr>
  </w:style>
  <w:style w:type="character" w:customStyle="1" w:styleId="FootnoteTextChar1">
    <w:name w:val="Footnote Text Char1"/>
    <w:aliases w:val="single space Char,footnote text Char,fn Char,Footnote Text Char Char"/>
    <w:link w:val="FootnoteText"/>
    <w:rsid w:val="004B3DAA"/>
    <w:rPr>
      <w:lang w:val="fr-FR" w:eastAsia="en-US"/>
    </w:rPr>
  </w:style>
  <w:style w:type="character" w:customStyle="1" w:styleId="HeaderChar">
    <w:name w:val="Header Char"/>
    <w:link w:val="Header"/>
    <w:rsid w:val="004B3DAA"/>
    <w:rPr>
      <w:sz w:val="24"/>
      <w:szCs w:val="24"/>
      <w:lang w:val="fr-FR" w:eastAsia="en-US"/>
    </w:rPr>
  </w:style>
  <w:style w:type="table" w:styleId="TableGrid">
    <w:name w:val="Table Grid"/>
    <w:basedOn w:val="TableNormal"/>
    <w:uiPriority w:val="59"/>
    <w:rsid w:val="004B3D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
    <w:name w:val="1normal"/>
    <w:basedOn w:val="Normal"/>
    <w:rsid w:val="003C6D12"/>
    <w:pPr>
      <w:spacing w:before="100" w:beforeAutospacing="1" w:after="120"/>
      <w:jc w:val="both"/>
    </w:pPr>
    <w:rPr>
      <w:lang w:eastAsia="fr-FR"/>
    </w:rPr>
  </w:style>
  <w:style w:type="character" w:customStyle="1" w:styleId="BodyTextChar">
    <w:name w:val="Body Text Char"/>
    <w:link w:val="BodyText"/>
    <w:rsid w:val="003C6D12"/>
    <w:rPr>
      <w:rFonts w:eastAsia="Arial Unicode MS"/>
      <w:sz w:val="24"/>
      <w:lang w:val="fr-FR" w:eastAsia="fr-FR"/>
    </w:rPr>
  </w:style>
  <w:style w:type="character" w:customStyle="1" w:styleId="FooterChar">
    <w:name w:val="Footer Char"/>
    <w:link w:val="Footer"/>
    <w:uiPriority w:val="99"/>
    <w:rsid w:val="008B36C0"/>
    <w:rPr>
      <w:sz w:val="24"/>
      <w:szCs w:val="24"/>
      <w:lang w:val="fr-FR" w:eastAsia="en-US"/>
    </w:rPr>
  </w:style>
  <w:style w:type="character" w:customStyle="1" w:styleId="Heading3Char">
    <w:name w:val="Heading 3 Char"/>
    <w:link w:val="Heading3"/>
    <w:rsid w:val="00FD67DF"/>
    <w:rPr>
      <w:rFonts w:ascii="Arial" w:hAnsi="Arial"/>
      <w:b/>
      <w:bCs/>
      <w:sz w:val="26"/>
      <w:szCs w:val="26"/>
      <w:lang w:val="fr-FR" w:eastAsia="en-US"/>
    </w:rPr>
  </w:style>
  <w:style w:type="paragraph" w:customStyle="1" w:styleId="Style16">
    <w:name w:val="Style 16"/>
    <w:basedOn w:val="Normal"/>
    <w:rsid w:val="00284A4F"/>
    <w:pPr>
      <w:widowControl w:val="0"/>
      <w:autoSpaceDE w:val="0"/>
      <w:autoSpaceDN w:val="0"/>
      <w:ind w:left="432" w:hanging="396"/>
    </w:pPr>
    <w:rPr>
      <w:lang w:eastAsia="fr-FR"/>
    </w:rPr>
  </w:style>
  <w:style w:type="character" w:customStyle="1" w:styleId="BodyText3Char">
    <w:name w:val="Body Text 3 Char"/>
    <w:link w:val="BodyText3"/>
    <w:rsid w:val="005E18FF"/>
    <w:rPr>
      <w:sz w:val="16"/>
      <w:szCs w:val="16"/>
      <w:lang w:val="fr-FR" w:eastAsia="en-US"/>
    </w:rPr>
  </w:style>
  <w:style w:type="paragraph" w:styleId="Title">
    <w:name w:val="Title"/>
    <w:basedOn w:val="Normal"/>
    <w:next w:val="Normal"/>
    <w:link w:val="TitleChar"/>
    <w:qFormat/>
    <w:rsid w:val="00F96E4C"/>
    <w:pPr>
      <w:spacing w:before="240" w:after="60"/>
      <w:jc w:val="center"/>
      <w:outlineLvl w:val="0"/>
    </w:pPr>
    <w:rPr>
      <w:rFonts w:ascii="Cambria" w:hAnsi="Cambria"/>
      <w:b/>
      <w:bCs/>
      <w:kern w:val="28"/>
      <w:sz w:val="32"/>
      <w:szCs w:val="32"/>
    </w:rPr>
  </w:style>
  <w:style w:type="character" w:customStyle="1" w:styleId="TitleChar">
    <w:name w:val="Title Char"/>
    <w:link w:val="Title"/>
    <w:rsid w:val="00F96E4C"/>
    <w:rPr>
      <w:rFonts w:ascii="Cambria" w:eastAsia="Times New Roman" w:hAnsi="Cambria" w:cs="Times New Roman"/>
      <w:b/>
      <w:bCs/>
      <w:kern w:val="28"/>
      <w:sz w:val="32"/>
      <w:szCs w:val="32"/>
      <w:lang w:val="fr-FR" w:eastAsia="en-US"/>
    </w:rPr>
  </w:style>
  <w:style w:type="paragraph" w:styleId="Subtitle">
    <w:name w:val="Subtitle"/>
    <w:basedOn w:val="Normal"/>
    <w:next w:val="Normal"/>
    <w:link w:val="SubtitleChar"/>
    <w:qFormat/>
    <w:rsid w:val="00F96E4C"/>
    <w:pPr>
      <w:spacing w:after="60"/>
      <w:jc w:val="center"/>
      <w:outlineLvl w:val="1"/>
    </w:pPr>
    <w:rPr>
      <w:rFonts w:ascii="Cambria" w:hAnsi="Cambria"/>
    </w:rPr>
  </w:style>
  <w:style w:type="character" w:customStyle="1" w:styleId="SubtitleChar">
    <w:name w:val="Subtitle Char"/>
    <w:link w:val="Subtitle"/>
    <w:rsid w:val="00F96E4C"/>
    <w:rPr>
      <w:rFonts w:ascii="Cambria" w:eastAsia="Times New Roman" w:hAnsi="Cambria" w:cs="Times New Roman"/>
      <w:sz w:val="24"/>
      <w:szCs w:val="24"/>
      <w:lang w:val="fr-FR" w:eastAsia="en-US"/>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
    <w:link w:val="ListParagraph"/>
    <w:uiPriority w:val="34"/>
    <w:rsid w:val="003E1CB2"/>
    <w:rPr>
      <w:sz w:val="24"/>
      <w:szCs w:val="24"/>
      <w:lang w:val="fr-FR" w:bidi="ar-SA"/>
    </w:rPr>
  </w:style>
  <w:style w:type="character" w:customStyle="1" w:styleId="hps">
    <w:name w:val="hps"/>
    <w:rsid w:val="009B1FCD"/>
  </w:style>
  <w:style w:type="character" w:customStyle="1" w:styleId="NormalWebChar">
    <w:name w:val="Normal (Web) Char"/>
    <w:link w:val="NormalWeb"/>
    <w:uiPriority w:val="99"/>
    <w:rsid w:val="009B1FCD"/>
    <w:rPr>
      <w:sz w:val="24"/>
      <w:szCs w:val="24"/>
      <w:lang w:bidi="ml-IN"/>
    </w:rPr>
  </w:style>
  <w:style w:type="paragraph" w:customStyle="1" w:styleId="CTBCorpsdetexte">
    <w:name w:val="CTB Corps de texte"/>
    <w:basedOn w:val="Normal"/>
    <w:link w:val="CTBCorpsdetexteChar"/>
    <w:rsid w:val="009B1FCD"/>
    <w:pPr>
      <w:widowControl w:val="0"/>
      <w:suppressAutoHyphens/>
      <w:spacing w:after="120"/>
      <w:jc w:val="both"/>
    </w:pPr>
    <w:rPr>
      <w:rFonts w:ascii="Arial" w:hAnsi="Arial"/>
      <w:kern w:val="18"/>
      <w:sz w:val="20"/>
      <w:szCs w:val="20"/>
      <w:lang w:val="fr-BE"/>
    </w:rPr>
  </w:style>
  <w:style w:type="paragraph" w:customStyle="1" w:styleId="Style19">
    <w:name w:val="Style 19"/>
    <w:rsid w:val="009B1FCD"/>
    <w:pPr>
      <w:widowControl w:val="0"/>
      <w:autoSpaceDE w:val="0"/>
      <w:autoSpaceDN w:val="0"/>
      <w:spacing w:before="108" w:line="268" w:lineRule="auto"/>
    </w:pPr>
    <w:rPr>
      <w:sz w:val="18"/>
      <w:szCs w:val="18"/>
    </w:rPr>
  </w:style>
  <w:style w:type="character" w:customStyle="1" w:styleId="CharacterStyle1">
    <w:name w:val="Character Style 1"/>
    <w:rsid w:val="009B1FCD"/>
    <w:rPr>
      <w:sz w:val="18"/>
      <w:szCs w:val="18"/>
    </w:rPr>
  </w:style>
  <w:style w:type="paragraph" w:customStyle="1" w:styleId="Pa55">
    <w:name w:val="Pa5+5"/>
    <w:basedOn w:val="Default"/>
    <w:next w:val="Default"/>
    <w:uiPriority w:val="99"/>
    <w:rsid w:val="0010496A"/>
    <w:pPr>
      <w:spacing w:line="161" w:lineRule="atLeast"/>
    </w:pPr>
    <w:rPr>
      <w:rFonts w:ascii="Arial" w:eastAsia="Calibri" w:hAnsi="Arial" w:cs="Arial"/>
      <w:color w:val="auto"/>
      <w:lang w:val="fr-FR" w:bidi="ar-SA"/>
    </w:rPr>
  </w:style>
  <w:style w:type="paragraph" w:customStyle="1" w:styleId="Pa65">
    <w:name w:val="Pa6+5"/>
    <w:basedOn w:val="Default"/>
    <w:next w:val="Default"/>
    <w:uiPriority w:val="99"/>
    <w:rsid w:val="0010496A"/>
    <w:pPr>
      <w:spacing w:line="161" w:lineRule="atLeast"/>
    </w:pPr>
    <w:rPr>
      <w:rFonts w:ascii="Arial" w:eastAsia="Calibri" w:hAnsi="Arial" w:cs="Arial"/>
      <w:color w:val="auto"/>
      <w:lang w:val="fr-FR" w:bidi="ar-SA"/>
    </w:rPr>
  </w:style>
  <w:style w:type="paragraph" w:customStyle="1" w:styleId="Pa310">
    <w:name w:val="Pa3+10"/>
    <w:basedOn w:val="Default"/>
    <w:next w:val="Default"/>
    <w:uiPriority w:val="99"/>
    <w:rsid w:val="0077546D"/>
    <w:pPr>
      <w:spacing w:line="161" w:lineRule="atLeast"/>
    </w:pPr>
    <w:rPr>
      <w:rFonts w:ascii="Arial" w:eastAsia="Calibri" w:hAnsi="Arial" w:cs="Arial"/>
      <w:color w:val="auto"/>
      <w:lang w:val="fr-FR" w:bidi="ar-SA"/>
    </w:rPr>
  </w:style>
  <w:style w:type="paragraph" w:customStyle="1" w:styleId="champ">
    <w:name w:val="champ"/>
    <w:basedOn w:val="Normal"/>
    <w:link w:val="champChar"/>
    <w:qFormat/>
    <w:rsid w:val="002B2327"/>
    <w:pPr>
      <w:spacing w:after="160" w:line="259" w:lineRule="auto"/>
      <w:jc w:val="both"/>
    </w:pPr>
    <w:rPr>
      <w:rFonts w:eastAsiaTheme="minorHAnsi"/>
      <w:b/>
      <w:i/>
      <w:sz w:val="22"/>
      <w:szCs w:val="22"/>
    </w:rPr>
  </w:style>
  <w:style w:type="character" w:customStyle="1" w:styleId="champChar">
    <w:name w:val="champ Char"/>
    <w:basedOn w:val="DefaultParagraphFont"/>
    <w:link w:val="champ"/>
    <w:rsid w:val="002B2327"/>
    <w:rPr>
      <w:rFonts w:eastAsiaTheme="minorHAnsi"/>
      <w:b/>
      <w:i/>
      <w:sz w:val="22"/>
      <w:szCs w:val="22"/>
      <w:lang w:eastAsia="en-US"/>
    </w:rPr>
  </w:style>
  <w:style w:type="character" w:customStyle="1" w:styleId="DefaultChar">
    <w:name w:val="Default Char"/>
    <w:basedOn w:val="DefaultParagraphFont"/>
    <w:link w:val="Default"/>
    <w:locked/>
    <w:rsid w:val="002A50E7"/>
    <w:rPr>
      <w:color w:val="000000"/>
      <w:sz w:val="24"/>
      <w:szCs w:val="24"/>
      <w:lang w:val="en-US" w:eastAsia="en-US" w:bidi="ml-IN"/>
    </w:rPr>
  </w:style>
  <w:style w:type="paragraph" w:customStyle="1" w:styleId="Comp">
    <w:name w:val="Comp"/>
    <w:basedOn w:val="Heading1"/>
    <w:link w:val="CompChar"/>
    <w:qFormat/>
    <w:rsid w:val="002A50E7"/>
    <w:pPr>
      <w:keepLines/>
      <w:numPr>
        <w:numId w:val="17"/>
      </w:numPr>
      <w:spacing w:after="240" w:line="259" w:lineRule="auto"/>
      <w:ind w:left="1077"/>
      <w:jc w:val="both"/>
    </w:pPr>
    <w:rPr>
      <w:rFonts w:ascii="Times New Roman" w:eastAsiaTheme="majorEastAsia" w:hAnsi="Times New Roman"/>
      <w:bCs w:val="0"/>
      <w:i/>
      <w:kern w:val="0"/>
      <w:sz w:val="22"/>
    </w:rPr>
  </w:style>
  <w:style w:type="character" w:customStyle="1" w:styleId="CompChar">
    <w:name w:val="Comp Char"/>
    <w:basedOn w:val="ListParagraphChar"/>
    <w:link w:val="Comp"/>
    <w:rsid w:val="002A50E7"/>
    <w:rPr>
      <w:rFonts w:eastAsiaTheme="majorEastAsia"/>
      <w:b/>
      <w:i/>
      <w:sz w:val="22"/>
      <w:szCs w:val="32"/>
      <w:lang w:val="fr-FR" w:eastAsia="en-US" w:bidi="ar-SA"/>
    </w:rPr>
  </w:style>
  <w:style w:type="paragraph" w:customStyle="1" w:styleId="twunmatched">
    <w:name w:val="twunmatched"/>
    <w:basedOn w:val="Normal"/>
    <w:rsid w:val="00626E5B"/>
    <w:pPr>
      <w:spacing w:before="100" w:beforeAutospacing="1" w:after="100" w:afterAutospacing="1"/>
    </w:pPr>
    <w:rPr>
      <w:lang w:eastAsia="fr-FR"/>
    </w:rPr>
  </w:style>
  <w:style w:type="table" w:customStyle="1" w:styleId="TableGrid0">
    <w:name w:val="TableGrid"/>
    <w:rsid w:val="00EC771E"/>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Ind">
    <w:name w:val="Ind"/>
    <w:basedOn w:val="Heading1"/>
    <w:link w:val="IndChar"/>
    <w:qFormat/>
    <w:rsid w:val="00EC771E"/>
    <w:pPr>
      <w:keepLines/>
      <w:spacing w:after="0" w:line="259" w:lineRule="auto"/>
    </w:pPr>
    <w:rPr>
      <w:rFonts w:asciiTheme="majorHAnsi" w:eastAsiaTheme="majorEastAsia" w:hAnsiTheme="majorHAnsi" w:cstheme="majorBidi"/>
      <w:b w:val="0"/>
      <w:bCs w:val="0"/>
      <w:color w:val="365F91" w:themeColor="accent1" w:themeShade="BF"/>
      <w:kern w:val="0"/>
    </w:rPr>
  </w:style>
  <w:style w:type="character" w:customStyle="1" w:styleId="IndChar">
    <w:name w:val="Ind Char"/>
    <w:basedOn w:val="DefaultParagraphFont"/>
    <w:link w:val="Ind"/>
    <w:rsid w:val="00EC771E"/>
    <w:rPr>
      <w:rFonts w:asciiTheme="majorHAnsi" w:eastAsiaTheme="majorEastAsia" w:hAnsiTheme="majorHAnsi" w:cstheme="majorBidi"/>
      <w:color w:val="365F91" w:themeColor="accent1" w:themeShade="BF"/>
      <w:sz w:val="32"/>
      <w:szCs w:val="32"/>
      <w:lang w:eastAsia="en-US"/>
    </w:rPr>
  </w:style>
  <w:style w:type="paragraph" w:customStyle="1" w:styleId="PJ">
    <w:name w:val="PJ"/>
    <w:basedOn w:val="Normal"/>
    <w:link w:val="PJChar"/>
    <w:qFormat/>
    <w:rsid w:val="00485D5A"/>
    <w:pPr>
      <w:spacing w:after="160" w:line="259" w:lineRule="auto"/>
      <w:jc w:val="both"/>
    </w:pPr>
    <w:rPr>
      <w:rFonts w:eastAsiaTheme="minorHAnsi"/>
    </w:rPr>
  </w:style>
  <w:style w:type="character" w:customStyle="1" w:styleId="PJChar">
    <w:name w:val="PJ Char"/>
    <w:basedOn w:val="DefaultParagraphFont"/>
    <w:link w:val="PJ"/>
    <w:rsid w:val="00485D5A"/>
    <w:rPr>
      <w:rFonts w:eastAsiaTheme="minorHAnsi"/>
      <w:sz w:val="24"/>
      <w:szCs w:val="24"/>
      <w:lang w:eastAsia="en-US"/>
    </w:rPr>
  </w:style>
  <w:style w:type="character" w:customStyle="1" w:styleId="PIChar">
    <w:name w:val="PI Char"/>
    <w:basedOn w:val="DefaultParagraphFont"/>
    <w:link w:val="PI"/>
    <w:locked/>
    <w:rsid w:val="003B0C0A"/>
    <w:rPr>
      <w:rFonts w:eastAsia="PMingLiU"/>
      <w:sz w:val="24"/>
      <w:szCs w:val="24"/>
    </w:rPr>
  </w:style>
  <w:style w:type="paragraph" w:customStyle="1" w:styleId="PI">
    <w:name w:val="PI"/>
    <w:basedOn w:val="Normal"/>
    <w:link w:val="PIChar"/>
    <w:qFormat/>
    <w:rsid w:val="003B0C0A"/>
    <w:pPr>
      <w:jc w:val="both"/>
    </w:pPr>
    <w:rPr>
      <w:rFonts w:eastAsia="PMingLiU"/>
      <w:lang w:eastAsia="fr-FR"/>
    </w:rPr>
  </w:style>
  <w:style w:type="character" w:customStyle="1" w:styleId="details">
    <w:name w:val="details"/>
    <w:basedOn w:val="DefaultParagraphFont"/>
    <w:rsid w:val="001449E5"/>
  </w:style>
  <w:style w:type="paragraph" w:customStyle="1" w:styleId="tahomagris">
    <w:name w:val="tahomagris"/>
    <w:basedOn w:val="Normal"/>
    <w:rsid w:val="001449E5"/>
    <w:pPr>
      <w:spacing w:before="100" w:beforeAutospacing="1" w:after="100" w:afterAutospacing="1"/>
    </w:pPr>
    <w:rPr>
      <w:lang w:eastAsia="fr-FR"/>
    </w:rPr>
  </w:style>
  <w:style w:type="paragraph" w:styleId="Quote">
    <w:name w:val="Quote"/>
    <w:basedOn w:val="Normal"/>
    <w:next w:val="Normal"/>
    <w:link w:val="QuoteChar"/>
    <w:uiPriority w:val="29"/>
    <w:qFormat/>
    <w:rsid w:val="000C0E9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0C0E94"/>
    <w:rPr>
      <w:rFonts w:asciiTheme="minorHAnsi" w:eastAsiaTheme="minorHAnsi" w:hAnsiTheme="minorHAnsi" w:cstheme="minorBidi"/>
      <w:i/>
      <w:iCs/>
      <w:color w:val="404040" w:themeColor="text1" w:themeTint="BF"/>
      <w:sz w:val="22"/>
      <w:szCs w:val="22"/>
      <w:lang w:eastAsia="en-US"/>
    </w:rPr>
  </w:style>
  <w:style w:type="paragraph" w:customStyle="1" w:styleId="Paragraphedeliste1">
    <w:name w:val="Paragraphe de liste1"/>
    <w:basedOn w:val="Normal"/>
    <w:rsid w:val="00834741"/>
    <w:pPr>
      <w:numPr>
        <w:numId w:val="102"/>
      </w:numPr>
      <w:suppressAutoHyphens/>
    </w:pPr>
    <w:rPr>
      <w:rFonts w:eastAsia="SimSun"/>
      <w:kern w:val="1"/>
      <w:szCs w:val="22"/>
      <w:lang w:eastAsia="ar-SA"/>
    </w:rPr>
  </w:style>
  <w:style w:type="character" w:customStyle="1" w:styleId="CTBCorpsdetexteChar">
    <w:name w:val="CTB Corps de texte Char"/>
    <w:basedOn w:val="DefaultParagraphFont"/>
    <w:link w:val="CTBCorpsdetexte"/>
    <w:rsid w:val="00C24A07"/>
    <w:rPr>
      <w:rFonts w:ascii="Arial" w:hAnsi="Arial"/>
      <w:kern w:val="18"/>
      <w:lang w:val="fr-BE" w:eastAsia="en-US"/>
    </w:rPr>
  </w:style>
  <w:style w:type="character" w:customStyle="1" w:styleId="apple-converted-space">
    <w:name w:val="apple-converted-space"/>
    <w:basedOn w:val="DefaultParagraphFont"/>
    <w:rsid w:val="00C2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956">
      <w:bodyDiv w:val="1"/>
      <w:marLeft w:val="0"/>
      <w:marRight w:val="0"/>
      <w:marTop w:val="0"/>
      <w:marBottom w:val="0"/>
      <w:divBdr>
        <w:top w:val="none" w:sz="0" w:space="0" w:color="auto"/>
        <w:left w:val="none" w:sz="0" w:space="0" w:color="auto"/>
        <w:bottom w:val="none" w:sz="0" w:space="0" w:color="auto"/>
        <w:right w:val="none" w:sz="0" w:space="0" w:color="auto"/>
      </w:divBdr>
    </w:div>
    <w:div w:id="34239053">
      <w:bodyDiv w:val="1"/>
      <w:marLeft w:val="0"/>
      <w:marRight w:val="0"/>
      <w:marTop w:val="0"/>
      <w:marBottom w:val="0"/>
      <w:divBdr>
        <w:top w:val="none" w:sz="0" w:space="0" w:color="auto"/>
        <w:left w:val="none" w:sz="0" w:space="0" w:color="auto"/>
        <w:bottom w:val="none" w:sz="0" w:space="0" w:color="auto"/>
        <w:right w:val="none" w:sz="0" w:space="0" w:color="auto"/>
      </w:divBdr>
    </w:div>
    <w:div w:id="50351842">
      <w:bodyDiv w:val="1"/>
      <w:marLeft w:val="0"/>
      <w:marRight w:val="0"/>
      <w:marTop w:val="0"/>
      <w:marBottom w:val="0"/>
      <w:divBdr>
        <w:top w:val="none" w:sz="0" w:space="0" w:color="auto"/>
        <w:left w:val="none" w:sz="0" w:space="0" w:color="auto"/>
        <w:bottom w:val="none" w:sz="0" w:space="0" w:color="auto"/>
        <w:right w:val="none" w:sz="0" w:space="0" w:color="auto"/>
      </w:divBdr>
    </w:div>
    <w:div w:id="55664583">
      <w:bodyDiv w:val="1"/>
      <w:marLeft w:val="0"/>
      <w:marRight w:val="0"/>
      <w:marTop w:val="0"/>
      <w:marBottom w:val="0"/>
      <w:divBdr>
        <w:top w:val="none" w:sz="0" w:space="0" w:color="auto"/>
        <w:left w:val="none" w:sz="0" w:space="0" w:color="auto"/>
        <w:bottom w:val="none" w:sz="0" w:space="0" w:color="auto"/>
        <w:right w:val="none" w:sz="0" w:space="0" w:color="auto"/>
      </w:divBdr>
    </w:div>
    <w:div w:id="62414866">
      <w:bodyDiv w:val="1"/>
      <w:marLeft w:val="0"/>
      <w:marRight w:val="0"/>
      <w:marTop w:val="0"/>
      <w:marBottom w:val="0"/>
      <w:divBdr>
        <w:top w:val="none" w:sz="0" w:space="0" w:color="auto"/>
        <w:left w:val="none" w:sz="0" w:space="0" w:color="auto"/>
        <w:bottom w:val="none" w:sz="0" w:space="0" w:color="auto"/>
        <w:right w:val="none" w:sz="0" w:space="0" w:color="auto"/>
      </w:divBdr>
    </w:div>
    <w:div w:id="66922830">
      <w:bodyDiv w:val="1"/>
      <w:marLeft w:val="0"/>
      <w:marRight w:val="0"/>
      <w:marTop w:val="0"/>
      <w:marBottom w:val="0"/>
      <w:divBdr>
        <w:top w:val="none" w:sz="0" w:space="0" w:color="auto"/>
        <w:left w:val="none" w:sz="0" w:space="0" w:color="auto"/>
        <w:bottom w:val="none" w:sz="0" w:space="0" w:color="auto"/>
        <w:right w:val="none" w:sz="0" w:space="0" w:color="auto"/>
      </w:divBdr>
    </w:div>
    <w:div w:id="76363017">
      <w:bodyDiv w:val="1"/>
      <w:marLeft w:val="0"/>
      <w:marRight w:val="0"/>
      <w:marTop w:val="0"/>
      <w:marBottom w:val="0"/>
      <w:divBdr>
        <w:top w:val="none" w:sz="0" w:space="0" w:color="auto"/>
        <w:left w:val="none" w:sz="0" w:space="0" w:color="auto"/>
        <w:bottom w:val="none" w:sz="0" w:space="0" w:color="auto"/>
        <w:right w:val="none" w:sz="0" w:space="0" w:color="auto"/>
      </w:divBdr>
    </w:div>
    <w:div w:id="87236667">
      <w:bodyDiv w:val="1"/>
      <w:marLeft w:val="0"/>
      <w:marRight w:val="0"/>
      <w:marTop w:val="0"/>
      <w:marBottom w:val="0"/>
      <w:divBdr>
        <w:top w:val="none" w:sz="0" w:space="0" w:color="auto"/>
        <w:left w:val="none" w:sz="0" w:space="0" w:color="auto"/>
        <w:bottom w:val="none" w:sz="0" w:space="0" w:color="auto"/>
        <w:right w:val="none" w:sz="0" w:space="0" w:color="auto"/>
      </w:divBdr>
    </w:div>
    <w:div w:id="89666053">
      <w:bodyDiv w:val="1"/>
      <w:marLeft w:val="0"/>
      <w:marRight w:val="0"/>
      <w:marTop w:val="0"/>
      <w:marBottom w:val="0"/>
      <w:divBdr>
        <w:top w:val="none" w:sz="0" w:space="0" w:color="auto"/>
        <w:left w:val="none" w:sz="0" w:space="0" w:color="auto"/>
        <w:bottom w:val="none" w:sz="0" w:space="0" w:color="auto"/>
        <w:right w:val="none" w:sz="0" w:space="0" w:color="auto"/>
      </w:divBdr>
    </w:div>
    <w:div w:id="170990967">
      <w:bodyDiv w:val="1"/>
      <w:marLeft w:val="0"/>
      <w:marRight w:val="0"/>
      <w:marTop w:val="0"/>
      <w:marBottom w:val="0"/>
      <w:divBdr>
        <w:top w:val="none" w:sz="0" w:space="0" w:color="auto"/>
        <w:left w:val="none" w:sz="0" w:space="0" w:color="auto"/>
        <w:bottom w:val="none" w:sz="0" w:space="0" w:color="auto"/>
        <w:right w:val="none" w:sz="0" w:space="0" w:color="auto"/>
      </w:divBdr>
    </w:div>
    <w:div w:id="182521876">
      <w:bodyDiv w:val="1"/>
      <w:marLeft w:val="0"/>
      <w:marRight w:val="0"/>
      <w:marTop w:val="0"/>
      <w:marBottom w:val="0"/>
      <w:divBdr>
        <w:top w:val="none" w:sz="0" w:space="0" w:color="auto"/>
        <w:left w:val="none" w:sz="0" w:space="0" w:color="auto"/>
        <w:bottom w:val="none" w:sz="0" w:space="0" w:color="auto"/>
        <w:right w:val="none" w:sz="0" w:space="0" w:color="auto"/>
      </w:divBdr>
    </w:div>
    <w:div w:id="236748012">
      <w:bodyDiv w:val="1"/>
      <w:marLeft w:val="0"/>
      <w:marRight w:val="0"/>
      <w:marTop w:val="0"/>
      <w:marBottom w:val="0"/>
      <w:divBdr>
        <w:top w:val="none" w:sz="0" w:space="0" w:color="auto"/>
        <w:left w:val="none" w:sz="0" w:space="0" w:color="auto"/>
        <w:bottom w:val="none" w:sz="0" w:space="0" w:color="auto"/>
        <w:right w:val="none" w:sz="0" w:space="0" w:color="auto"/>
      </w:divBdr>
    </w:div>
    <w:div w:id="238178054">
      <w:bodyDiv w:val="1"/>
      <w:marLeft w:val="0"/>
      <w:marRight w:val="0"/>
      <w:marTop w:val="0"/>
      <w:marBottom w:val="0"/>
      <w:divBdr>
        <w:top w:val="none" w:sz="0" w:space="0" w:color="auto"/>
        <w:left w:val="none" w:sz="0" w:space="0" w:color="auto"/>
        <w:bottom w:val="none" w:sz="0" w:space="0" w:color="auto"/>
        <w:right w:val="none" w:sz="0" w:space="0" w:color="auto"/>
      </w:divBdr>
    </w:div>
    <w:div w:id="272834515">
      <w:bodyDiv w:val="1"/>
      <w:marLeft w:val="0"/>
      <w:marRight w:val="0"/>
      <w:marTop w:val="0"/>
      <w:marBottom w:val="0"/>
      <w:divBdr>
        <w:top w:val="none" w:sz="0" w:space="0" w:color="auto"/>
        <w:left w:val="none" w:sz="0" w:space="0" w:color="auto"/>
        <w:bottom w:val="none" w:sz="0" w:space="0" w:color="auto"/>
        <w:right w:val="none" w:sz="0" w:space="0" w:color="auto"/>
      </w:divBdr>
    </w:div>
    <w:div w:id="273171390">
      <w:bodyDiv w:val="1"/>
      <w:marLeft w:val="0"/>
      <w:marRight w:val="0"/>
      <w:marTop w:val="0"/>
      <w:marBottom w:val="0"/>
      <w:divBdr>
        <w:top w:val="none" w:sz="0" w:space="0" w:color="auto"/>
        <w:left w:val="none" w:sz="0" w:space="0" w:color="auto"/>
        <w:bottom w:val="none" w:sz="0" w:space="0" w:color="auto"/>
        <w:right w:val="none" w:sz="0" w:space="0" w:color="auto"/>
      </w:divBdr>
      <w:divsChild>
        <w:div w:id="1543439571">
          <w:marLeft w:val="0"/>
          <w:marRight w:val="0"/>
          <w:marTop w:val="0"/>
          <w:marBottom w:val="0"/>
          <w:divBdr>
            <w:top w:val="none" w:sz="0" w:space="0" w:color="auto"/>
            <w:left w:val="none" w:sz="0" w:space="0" w:color="auto"/>
            <w:bottom w:val="none" w:sz="0" w:space="0" w:color="auto"/>
            <w:right w:val="none" w:sz="0" w:space="0" w:color="auto"/>
          </w:divBdr>
          <w:divsChild>
            <w:div w:id="1434977259">
              <w:marLeft w:val="0"/>
              <w:marRight w:val="0"/>
              <w:marTop w:val="0"/>
              <w:marBottom w:val="0"/>
              <w:divBdr>
                <w:top w:val="none" w:sz="0" w:space="0" w:color="auto"/>
                <w:left w:val="none" w:sz="0" w:space="0" w:color="auto"/>
                <w:bottom w:val="none" w:sz="0" w:space="0" w:color="auto"/>
                <w:right w:val="none" w:sz="0" w:space="0" w:color="auto"/>
              </w:divBdr>
              <w:divsChild>
                <w:div w:id="101649863">
                  <w:marLeft w:val="0"/>
                  <w:marRight w:val="0"/>
                  <w:marTop w:val="0"/>
                  <w:marBottom w:val="0"/>
                  <w:divBdr>
                    <w:top w:val="none" w:sz="0" w:space="0" w:color="auto"/>
                    <w:left w:val="none" w:sz="0" w:space="0" w:color="auto"/>
                    <w:bottom w:val="none" w:sz="0" w:space="0" w:color="auto"/>
                    <w:right w:val="none" w:sz="0" w:space="0" w:color="auto"/>
                  </w:divBdr>
                </w:div>
                <w:div w:id="113712499">
                  <w:marLeft w:val="0"/>
                  <w:marRight w:val="0"/>
                  <w:marTop w:val="0"/>
                  <w:marBottom w:val="0"/>
                  <w:divBdr>
                    <w:top w:val="none" w:sz="0" w:space="0" w:color="auto"/>
                    <w:left w:val="none" w:sz="0" w:space="0" w:color="auto"/>
                    <w:bottom w:val="none" w:sz="0" w:space="0" w:color="auto"/>
                    <w:right w:val="none" w:sz="0" w:space="0" w:color="auto"/>
                  </w:divBdr>
                </w:div>
                <w:div w:id="156457195">
                  <w:marLeft w:val="0"/>
                  <w:marRight w:val="0"/>
                  <w:marTop w:val="0"/>
                  <w:marBottom w:val="0"/>
                  <w:divBdr>
                    <w:top w:val="none" w:sz="0" w:space="0" w:color="auto"/>
                    <w:left w:val="none" w:sz="0" w:space="0" w:color="auto"/>
                    <w:bottom w:val="none" w:sz="0" w:space="0" w:color="auto"/>
                    <w:right w:val="none" w:sz="0" w:space="0" w:color="auto"/>
                  </w:divBdr>
                </w:div>
                <w:div w:id="364673482">
                  <w:marLeft w:val="0"/>
                  <w:marRight w:val="0"/>
                  <w:marTop w:val="0"/>
                  <w:marBottom w:val="0"/>
                  <w:divBdr>
                    <w:top w:val="none" w:sz="0" w:space="0" w:color="auto"/>
                    <w:left w:val="none" w:sz="0" w:space="0" w:color="auto"/>
                    <w:bottom w:val="none" w:sz="0" w:space="0" w:color="auto"/>
                    <w:right w:val="none" w:sz="0" w:space="0" w:color="auto"/>
                  </w:divBdr>
                </w:div>
                <w:div w:id="458957243">
                  <w:marLeft w:val="0"/>
                  <w:marRight w:val="0"/>
                  <w:marTop w:val="0"/>
                  <w:marBottom w:val="0"/>
                  <w:divBdr>
                    <w:top w:val="none" w:sz="0" w:space="0" w:color="auto"/>
                    <w:left w:val="none" w:sz="0" w:space="0" w:color="auto"/>
                    <w:bottom w:val="none" w:sz="0" w:space="0" w:color="auto"/>
                    <w:right w:val="none" w:sz="0" w:space="0" w:color="auto"/>
                  </w:divBdr>
                </w:div>
                <w:div w:id="466439746">
                  <w:marLeft w:val="0"/>
                  <w:marRight w:val="0"/>
                  <w:marTop w:val="0"/>
                  <w:marBottom w:val="0"/>
                  <w:divBdr>
                    <w:top w:val="none" w:sz="0" w:space="0" w:color="auto"/>
                    <w:left w:val="none" w:sz="0" w:space="0" w:color="auto"/>
                    <w:bottom w:val="none" w:sz="0" w:space="0" w:color="auto"/>
                    <w:right w:val="none" w:sz="0" w:space="0" w:color="auto"/>
                  </w:divBdr>
                </w:div>
                <w:div w:id="554705253">
                  <w:marLeft w:val="0"/>
                  <w:marRight w:val="0"/>
                  <w:marTop w:val="0"/>
                  <w:marBottom w:val="0"/>
                  <w:divBdr>
                    <w:top w:val="none" w:sz="0" w:space="0" w:color="auto"/>
                    <w:left w:val="none" w:sz="0" w:space="0" w:color="auto"/>
                    <w:bottom w:val="none" w:sz="0" w:space="0" w:color="auto"/>
                    <w:right w:val="none" w:sz="0" w:space="0" w:color="auto"/>
                  </w:divBdr>
                </w:div>
                <w:div w:id="886600839">
                  <w:marLeft w:val="0"/>
                  <w:marRight w:val="0"/>
                  <w:marTop w:val="0"/>
                  <w:marBottom w:val="0"/>
                  <w:divBdr>
                    <w:top w:val="none" w:sz="0" w:space="0" w:color="auto"/>
                    <w:left w:val="none" w:sz="0" w:space="0" w:color="auto"/>
                    <w:bottom w:val="none" w:sz="0" w:space="0" w:color="auto"/>
                    <w:right w:val="none" w:sz="0" w:space="0" w:color="auto"/>
                  </w:divBdr>
                </w:div>
                <w:div w:id="1261256195">
                  <w:marLeft w:val="0"/>
                  <w:marRight w:val="0"/>
                  <w:marTop w:val="0"/>
                  <w:marBottom w:val="0"/>
                  <w:divBdr>
                    <w:top w:val="none" w:sz="0" w:space="0" w:color="auto"/>
                    <w:left w:val="none" w:sz="0" w:space="0" w:color="auto"/>
                    <w:bottom w:val="none" w:sz="0" w:space="0" w:color="auto"/>
                    <w:right w:val="none" w:sz="0" w:space="0" w:color="auto"/>
                  </w:divBdr>
                </w:div>
                <w:div w:id="1317370300">
                  <w:marLeft w:val="0"/>
                  <w:marRight w:val="0"/>
                  <w:marTop w:val="0"/>
                  <w:marBottom w:val="0"/>
                  <w:divBdr>
                    <w:top w:val="none" w:sz="0" w:space="0" w:color="auto"/>
                    <w:left w:val="none" w:sz="0" w:space="0" w:color="auto"/>
                    <w:bottom w:val="none" w:sz="0" w:space="0" w:color="auto"/>
                    <w:right w:val="none" w:sz="0" w:space="0" w:color="auto"/>
                  </w:divBdr>
                </w:div>
                <w:div w:id="1381635608">
                  <w:marLeft w:val="0"/>
                  <w:marRight w:val="0"/>
                  <w:marTop w:val="0"/>
                  <w:marBottom w:val="0"/>
                  <w:divBdr>
                    <w:top w:val="none" w:sz="0" w:space="0" w:color="auto"/>
                    <w:left w:val="none" w:sz="0" w:space="0" w:color="auto"/>
                    <w:bottom w:val="none" w:sz="0" w:space="0" w:color="auto"/>
                    <w:right w:val="none" w:sz="0" w:space="0" w:color="auto"/>
                  </w:divBdr>
                </w:div>
                <w:div w:id="1462114879">
                  <w:marLeft w:val="0"/>
                  <w:marRight w:val="0"/>
                  <w:marTop w:val="0"/>
                  <w:marBottom w:val="0"/>
                  <w:divBdr>
                    <w:top w:val="none" w:sz="0" w:space="0" w:color="auto"/>
                    <w:left w:val="none" w:sz="0" w:space="0" w:color="auto"/>
                    <w:bottom w:val="none" w:sz="0" w:space="0" w:color="auto"/>
                    <w:right w:val="none" w:sz="0" w:space="0" w:color="auto"/>
                  </w:divBdr>
                </w:div>
                <w:div w:id="1574317688">
                  <w:marLeft w:val="0"/>
                  <w:marRight w:val="0"/>
                  <w:marTop w:val="0"/>
                  <w:marBottom w:val="0"/>
                  <w:divBdr>
                    <w:top w:val="none" w:sz="0" w:space="0" w:color="auto"/>
                    <w:left w:val="none" w:sz="0" w:space="0" w:color="auto"/>
                    <w:bottom w:val="none" w:sz="0" w:space="0" w:color="auto"/>
                    <w:right w:val="none" w:sz="0" w:space="0" w:color="auto"/>
                  </w:divBdr>
                </w:div>
                <w:div w:id="1612931745">
                  <w:marLeft w:val="0"/>
                  <w:marRight w:val="0"/>
                  <w:marTop w:val="0"/>
                  <w:marBottom w:val="0"/>
                  <w:divBdr>
                    <w:top w:val="none" w:sz="0" w:space="0" w:color="auto"/>
                    <w:left w:val="none" w:sz="0" w:space="0" w:color="auto"/>
                    <w:bottom w:val="none" w:sz="0" w:space="0" w:color="auto"/>
                    <w:right w:val="none" w:sz="0" w:space="0" w:color="auto"/>
                  </w:divBdr>
                </w:div>
                <w:div w:id="1919289161">
                  <w:marLeft w:val="0"/>
                  <w:marRight w:val="0"/>
                  <w:marTop w:val="0"/>
                  <w:marBottom w:val="0"/>
                  <w:divBdr>
                    <w:top w:val="none" w:sz="0" w:space="0" w:color="auto"/>
                    <w:left w:val="none" w:sz="0" w:space="0" w:color="auto"/>
                    <w:bottom w:val="none" w:sz="0" w:space="0" w:color="auto"/>
                    <w:right w:val="none" w:sz="0" w:space="0" w:color="auto"/>
                  </w:divBdr>
                </w:div>
                <w:div w:id="1979070470">
                  <w:marLeft w:val="0"/>
                  <w:marRight w:val="0"/>
                  <w:marTop w:val="0"/>
                  <w:marBottom w:val="0"/>
                  <w:divBdr>
                    <w:top w:val="none" w:sz="0" w:space="0" w:color="auto"/>
                    <w:left w:val="none" w:sz="0" w:space="0" w:color="auto"/>
                    <w:bottom w:val="none" w:sz="0" w:space="0" w:color="auto"/>
                    <w:right w:val="none" w:sz="0" w:space="0" w:color="auto"/>
                  </w:divBdr>
                </w:div>
                <w:div w:id="19855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642">
      <w:bodyDiv w:val="1"/>
      <w:marLeft w:val="0"/>
      <w:marRight w:val="0"/>
      <w:marTop w:val="0"/>
      <w:marBottom w:val="0"/>
      <w:divBdr>
        <w:top w:val="none" w:sz="0" w:space="0" w:color="auto"/>
        <w:left w:val="none" w:sz="0" w:space="0" w:color="auto"/>
        <w:bottom w:val="none" w:sz="0" w:space="0" w:color="auto"/>
        <w:right w:val="none" w:sz="0" w:space="0" w:color="auto"/>
      </w:divBdr>
    </w:div>
    <w:div w:id="301467601">
      <w:bodyDiv w:val="1"/>
      <w:marLeft w:val="0"/>
      <w:marRight w:val="0"/>
      <w:marTop w:val="0"/>
      <w:marBottom w:val="0"/>
      <w:divBdr>
        <w:top w:val="none" w:sz="0" w:space="0" w:color="auto"/>
        <w:left w:val="none" w:sz="0" w:space="0" w:color="auto"/>
        <w:bottom w:val="none" w:sz="0" w:space="0" w:color="auto"/>
        <w:right w:val="none" w:sz="0" w:space="0" w:color="auto"/>
      </w:divBdr>
    </w:div>
    <w:div w:id="314573456">
      <w:bodyDiv w:val="1"/>
      <w:marLeft w:val="0"/>
      <w:marRight w:val="0"/>
      <w:marTop w:val="0"/>
      <w:marBottom w:val="0"/>
      <w:divBdr>
        <w:top w:val="none" w:sz="0" w:space="0" w:color="auto"/>
        <w:left w:val="none" w:sz="0" w:space="0" w:color="auto"/>
        <w:bottom w:val="none" w:sz="0" w:space="0" w:color="auto"/>
        <w:right w:val="none" w:sz="0" w:space="0" w:color="auto"/>
      </w:divBdr>
    </w:div>
    <w:div w:id="359165162">
      <w:bodyDiv w:val="1"/>
      <w:marLeft w:val="0"/>
      <w:marRight w:val="0"/>
      <w:marTop w:val="0"/>
      <w:marBottom w:val="0"/>
      <w:divBdr>
        <w:top w:val="none" w:sz="0" w:space="0" w:color="auto"/>
        <w:left w:val="none" w:sz="0" w:space="0" w:color="auto"/>
        <w:bottom w:val="none" w:sz="0" w:space="0" w:color="auto"/>
        <w:right w:val="none" w:sz="0" w:space="0" w:color="auto"/>
      </w:divBdr>
    </w:div>
    <w:div w:id="424375852">
      <w:bodyDiv w:val="1"/>
      <w:marLeft w:val="0"/>
      <w:marRight w:val="0"/>
      <w:marTop w:val="0"/>
      <w:marBottom w:val="0"/>
      <w:divBdr>
        <w:top w:val="none" w:sz="0" w:space="0" w:color="auto"/>
        <w:left w:val="none" w:sz="0" w:space="0" w:color="auto"/>
        <w:bottom w:val="none" w:sz="0" w:space="0" w:color="auto"/>
        <w:right w:val="none" w:sz="0" w:space="0" w:color="auto"/>
      </w:divBdr>
    </w:div>
    <w:div w:id="428358750">
      <w:bodyDiv w:val="1"/>
      <w:marLeft w:val="0"/>
      <w:marRight w:val="0"/>
      <w:marTop w:val="0"/>
      <w:marBottom w:val="0"/>
      <w:divBdr>
        <w:top w:val="none" w:sz="0" w:space="0" w:color="auto"/>
        <w:left w:val="none" w:sz="0" w:space="0" w:color="auto"/>
        <w:bottom w:val="none" w:sz="0" w:space="0" w:color="auto"/>
        <w:right w:val="none" w:sz="0" w:space="0" w:color="auto"/>
      </w:divBdr>
    </w:div>
    <w:div w:id="494494828">
      <w:bodyDiv w:val="1"/>
      <w:marLeft w:val="0"/>
      <w:marRight w:val="0"/>
      <w:marTop w:val="0"/>
      <w:marBottom w:val="0"/>
      <w:divBdr>
        <w:top w:val="none" w:sz="0" w:space="0" w:color="auto"/>
        <w:left w:val="none" w:sz="0" w:space="0" w:color="auto"/>
        <w:bottom w:val="none" w:sz="0" w:space="0" w:color="auto"/>
        <w:right w:val="none" w:sz="0" w:space="0" w:color="auto"/>
      </w:divBdr>
    </w:div>
    <w:div w:id="502472649">
      <w:bodyDiv w:val="1"/>
      <w:marLeft w:val="0"/>
      <w:marRight w:val="0"/>
      <w:marTop w:val="0"/>
      <w:marBottom w:val="0"/>
      <w:divBdr>
        <w:top w:val="none" w:sz="0" w:space="0" w:color="auto"/>
        <w:left w:val="none" w:sz="0" w:space="0" w:color="auto"/>
        <w:bottom w:val="none" w:sz="0" w:space="0" w:color="auto"/>
        <w:right w:val="none" w:sz="0" w:space="0" w:color="auto"/>
      </w:divBdr>
    </w:div>
    <w:div w:id="511145561">
      <w:bodyDiv w:val="1"/>
      <w:marLeft w:val="0"/>
      <w:marRight w:val="0"/>
      <w:marTop w:val="0"/>
      <w:marBottom w:val="0"/>
      <w:divBdr>
        <w:top w:val="none" w:sz="0" w:space="0" w:color="auto"/>
        <w:left w:val="none" w:sz="0" w:space="0" w:color="auto"/>
        <w:bottom w:val="none" w:sz="0" w:space="0" w:color="auto"/>
        <w:right w:val="none" w:sz="0" w:space="0" w:color="auto"/>
      </w:divBdr>
    </w:div>
    <w:div w:id="539317766">
      <w:bodyDiv w:val="1"/>
      <w:marLeft w:val="0"/>
      <w:marRight w:val="0"/>
      <w:marTop w:val="0"/>
      <w:marBottom w:val="0"/>
      <w:divBdr>
        <w:top w:val="none" w:sz="0" w:space="0" w:color="auto"/>
        <w:left w:val="none" w:sz="0" w:space="0" w:color="auto"/>
        <w:bottom w:val="none" w:sz="0" w:space="0" w:color="auto"/>
        <w:right w:val="none" w:sz="0" w:space="0" w:color="auto"/>
      </w:divBdr>
    </w:div>
    <w:div w:id="547380775">
      <w:bodyDiv w:val="1"/>
      <w:marLeft w:val="0"/>
      <w:marRight w:val="0"/>
      <w:marTop w:val="0"/>
      <w:marBottom w:val="0"/>
      <w:divBdr>
        <w:top w:val="none" w:sz="0" w:space="0" w:color="auto"/>
        <w:left w:val="none" w:sz="0" w:space="0" w:color="auto"/>
        <w:bottom w:val="none" w:sz="0" w:space="0" w:color="auto"/>
        <w:right w:val="none" w:sz="0" w:space="0" w:color="auto"/>
      </w:divBdr>
    </w:div>
    <w:div w:id="551503878">
      <w:bodyDiv w:val="1"/>
      <w:marLeft w:val="0"/>
      <w:marRight w:val="0"/>
      <w:marTop w:val="0"/>
      <w:marBottom w:val="0"/>
      <w:divBdr>
        <w:top w:val="none" w:sz="0" w:space="0" w:color="auto"/>
        <w:left w:val="none" w:sz="0" w:space="0" w:color="auto"/>
        <w:bottom w:val="none" w:sz="0" w:space="0" w:color="auto"/>
        <w:right w:val="none" w:sz="0" w:space="0" w:color="auto"/>
      </w:divBdr>
      <w:divsChild>
        <w:div w:id="1284727656">
          <w:marLeft w:val="0"/>
          <w:marRight w:val="0"/>
          <w:marTop w:val="0"/>
          <w:marBottom w:val="0"/>
          <w:divBdr>
            <w:top w:val="none" w:sz="0" w:space="0" w:color="auto"/>
            <w:left w:val="none" w:sz="0" w:space="0" w:color="auto"/>
            <w:bottom w:val="none" w:sz="0" w:space="0" w:color="auto"/>
            <w:right w:val="none" w:sz="0" w:space="0" w:color="auto"/>
          </w:divBdr>
          <w:divsChild>
            <w:div w:id="30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916">
      <w:bodyDiv w:val="1"/>
      <w:marLeft w:val="0"/>
      <w:marRight w:val="0"/>
      <w:marTop w:val="0"/>
      <w:marBottom w:val="0"/>
      <w:divBdr>
        <w:top w:val="none" w:sz="0" w:space="0" w:color="auto"/>
        <w:left w:val="none" w:sz="0" w:space="0" w:color="auto"/>
        <w:bottom w:val="none" w:sz="0" w:space="0" w:color="auto"/>
        <w:right w:val="none" w:sz="0" w:space="0" w:color="auto"/>
      </w:divBdr>
    </w:div>
    <w:div w:id="580409331">
      <w:bodyDiv w:val="1"/>
      <w:marLeft w:val="0"/>
      <w:marRight w:val="0"/>
      <w:marTop w:val="0"/>
      <w:marBottom w:val="0"/>
      <w:divBdr>
        <w:top w:val="none" w:sz="0" w:space="0" w:color="auto"/>
        <w:left w:val="none" w:sz="0" w:space="0" w:color="auto"/>
        <w:bottom w:val="none" w:sz="0" w:space="0" w:color="auto"/>
        <w:right w:val="none" w:sz="0" w:space="0" w:color="auto"/>
      </w:divBdr>
    </w:div>
    <w:div w:id="587889006">
      <w:bodyDiv w:val="1"/>
      <w:marLeft w:val="0"/>
      <w:marRight w:val="0"/>
      <w:marTop w:val="0"/>
      <w:marBottom w:val="0"/>
      <w:divBdr>
        <w:top w:val="none" w:sz="0" w:space="0" w:color="auto"/>
        <w:left w:val="none" w:sz="0" w:space="0" w:color="auto"/>
        <w:bottom w:val="none" w:sz="0" w:space="0" w:color="auto"/>
        <w:right w:val="none" w:sz="0" w:space="0" w:color="auto"/>
      </w:divBdr>
    </w:div>
    <w:div w:id="619461344">
      <w:bodyDiv w:val="1"/>
      <w:marLeft w:val="0"/>
      <w:marRight w:val="0"/>
      <w:marTop w:val="0"/>
      <w:marBottom w:val="0"/>
      <w:divBdr>
        <w:top w:val="none" w:sz="0" w:space="0" w:color="auto"/>
        <w:left w:val="none" w:sz="0" w:space="0" w:color="auto"/>
        <w:bottom w:val="none" w:sz="0" w:space="0" w:color="auto"/>
        <w:right w:val="none" w:sz="0" w:space="0" w:color="auto"/>
      </w:divBdr>
      <w:divsChild>
        <w:div w:id="318924551">
          <w:marLeft w:val="547"/>
          <w:marRight w:val="0"/>
          <w:marTop w:val="134"/>
          <w:marBottom w:val="0"/>
          <w:divBdr>
            <w:top w:val="none" w:sz="0" w:space="0" w:color="auto"/>
            <w:left w:val="none" w:sz="0" w:space="0" w:color="auto"/>
            <w:bottom w:val="none" w:sz="0" w:space="0" w:color="auto"/>
            <w:right w:val="none" w:sz="0" w:space="0" w:color="auto"/>
          </w:divBdr>
        </w:div>
        <w:div w:id="52777390">
          <w:marLeft w:val="547"/>
          <w:marRight w:val="0"/>
          <w:marTop w:val="134"/>
          <w:marBottom w:val="0"/>
          <w:divBdr>
            <w:top w:val="none" w:sz="0" w:space="0" w:color="auto"/>
            <w:left w:val="none" w:sz="0" w:space="0" w:color="auto"/>
            <w:bottom w:val="none" w:sz="0" w:space="0" w:color="auto"/>
            <w:right w:val="none" w:sz="0" w:space="0" w:color="auto"/>
          </w:divBdr>
        </w:div>
        <w:div w:id="160587957">
          <w:marLeft w:val="547"/>
          <w:marRight w:val="0"/>
          <w:marTop w:val="134"/>
          <w:marBottom w:val="0"/>
          <w:divBdr>
            <w:top w:val="none" w:sz="0" w:space="0" w:color="auto"/>
            <w:left w:val="none" w:sz="0" w:space="0" w:color="auto"/>
            <w:bottom w:val="none" w:sz="0" w:space="0" w:color="auto"/>
            <w:right w:val="none" w:sz="0" w:space="0" w:color="auto"/>
          </w:divBdr>
        </w:div>
      </w:divsChild>
    </w:div>
    <w:div w:id="659506230">
      <w:bodyDiv w:val="1"/>
      <w:marLeft w:val="0"/>
      <w:marRight w:val="0"/>
      <w:marTop w:val="0"/>
      <w:marBottom w:val="0"/>
      <w:divBdr>
        <w:top w:val="none" w:sz="0" w:space="0" w:color="auto"/>
        <w:left w:val="none" w:sz="0" w:space="0" w:color="auto"/>
        <w:bottom w:val="none" w:sz="0" w:space="0" w:color="auto"/>
        <w:right w:val="none" w:sz="0" w:space="0" w:color="auto"/>
      </w:divBdr>
    </w:div>
    <w:div w:id="665597806">
      <w:bodyDiv w:val="1"/>
      <w:marLeft w:val="0"/>
      <w:marRight w:val="0"/>
      <w:marTop w:val="0"/>
      <w:marBottom w:val="0"/>
      <w:divBdr>
        <w:top w:val="none" w:sz="0" w:space="0" w:color="auto"/>
        <w:left w:val="none" w:sz="0" w:space="0" w:color="auto"/>
        <w:bottom w:val="none" w:sz="0" w:space="0" w:color="auto"/>
        <w:right w:val="none" w:sz="0" w:space="0" w:color="auto"/>
      </w:divBdr>
    </w:div>
    <w:div w:id="692653648">
      <w:bodyDiv w:val="1"/>
      <w:marLeft w:val="0"/>
      <w:marRight w:val="0"/>
      <w:marTop w:val="0"/>
      <w:marBottom w:val="0"/>
      <w:divBdr>
        <w:top w:val="none" w:sz="0" w:space="0" w:color="auto"/>
        <w:left w:val="none" w:sz="0" w:space="0" w:color="auto"/>
        <w:bottom w:val="none" w:sz="0" w:space="0" w:color="auto"/>
        <w:right w:val="none" w:sz="0" w:space="0" w:color="auto"/>
      </w:divBdr>
    </w:div>
    <w:div w:id="711612747">
      <w:bodyDiv w:val="1"/>
      <w:marLeft w:val="0"/>
      <w:marRight w:val="0"/>
      <w:marTop w:val="0"/>
      <w:marBottom w:val="0"/>
      <w:divBdr>
        <w:top w:val="none" w:sz="0" w:space="0" w:color="auto"/>
        <w:left w:val="none" w:sz="0" w:space="0" w:color="auto"/>
        <w:bottom w:val="none" w:sz="0" w:space="0" w:color="auto"/>
        <w:right w:val="none" w:sz="0" w:space="0" w:color="auto"/>
      </w:divBdr>
    </w:div>
    <w:div w:id="741103539">
      <w:bodyDiv w:val="1"/>
      <w:marLeft w:val="0"/>
      <w:marRight w:val="0"/>
      <w:marTop w:val="0"/>
      <w:marBottom w:val="0"/>
      <w:divBdr>
        <w:top w:val="none" w:sz="0" w:space="0" w:color="auto"/>
        <w:left w:val="none" w:sz="0" w:space="0" w:color="auto"/>
        <w:bottom w:val="none" w:sz="0" w:space="0" w:color="auto"/>
        <w:right w:val="none" w:sz="0" w:space="0" w:color="auto"/>
      </w:divBdr>
    </w:div>
    <w:div w:id="741758413">
      <w:bodyDiv w:val="1"/>
      <w:marLeft w:val="0"/>
      <w:marRight w:val="0"/>
      <w:marTop w:val="0"/>
      <w:marBottom w:val="0"/>
      <w:divBdr>
        <w:top w:val="none" w:sz="0" w:space="0" w:color="auto"/>
        <w:left w:val="none" w:sz="0" w:space="0" w:color="auto"/>
        <w:bottom w:val="none" w:sz="0" w:space="0" w:color="auto"/>
        <w:right w:val="none" w:sz="0" w:space="0" w:color="auto"/>
      </w:divBdr>
    </w:div>
    <w:div w:id="751584169">
      <w:bodyDiv w:val="1"/>
      <w:marLeft w:val="0"/>
      <w:marRight w:val="0"/>
      <w:marTop w:val="0"/>
      <w:marBottom w:val="0"/>
      <w:divBdr>
        <w:top w:val="none" w:sz="0" w:space="0" w:color="auto"/>
        <w:left w:val="none" w:sz="0" w:space="0" w:color="auto"/>
        <w:bottom w:val="none" w:sz="0" w:space="0" w:color="auto"/>
        <w:right w:val="none" w:sz="0" w:space="0" w:color="auto"/>
      </w:divBdr>
    </w:div>
    <w:div w:id="810249233">
      <w:bodyDiv w:val="1"/>
      <w:marLeft w:val="0"/>
      <w:marRight w:val="0"/>
      <w:marTop w:val="0"/>
      <w:marBottom w:val="0"/>
      <w:divBdr>
        <w:top w:val="none" w:sz="0" w:space="0" w:color="auto"/>
        <w:left w:val="none" w:sz="0" w:space="0" w:color="auto"/>
        <w:bottom w:val="none" w:sz="0" w:space="0" w:color="auto"/>
        <w:right w:val="none" w:sz="0" w:space="0" w:color="auto"/>
      </w:divBdr>
    </w:div>
    <w:div w:id="899100339">
      <w:bodyDiv w:val="1"/>
      <w:marLeft w:val="0"/>
      <w:marRight w:val="0"/>
      <w:marTop w:val="0"/>
      <w:marBottom w:val="0"/>
      <w:divBdr>
        <w:top w:val="none" w:sz="0" w:space="0" w:color="auto"/>
        <w:left w:val="none" w:sz="0" w:space="0" w:color="auto"/>
        <w:bottom w:val="none" w:sz="0" w:space="0" w:color="auto"/>
        <w:right w:val="none" w:sz="0" w:space="0" w:color="auto"/>
      </w:divBdr>
    </w:div>
    <w:div w:id="901604186">
      <w:bodyDiv w:val="1"/>
      <w:marLeft w:val="0"/>
      <w:marRight w:val="0"/>
      <w:marTop w:val="0"/>
      <w:marBottom w:val="0"/>
      <w:divBdr>
        <w:top w:val="none" w:sz="0" w:space="0" w:color="auto"/>
        <w:left w:val="none" w:sz="0" w:space="0" w:color="auto"/>
        <w:bottom w:val="none" w:sz="0" w:space="0" w:color="auto"/>
        <w:right w:val="none" w:sz="0" w:space="0" w:color="auto"/>
      </w:divBdr>
    </w:div>
    <w:div w:id="919022708">
      <w:bodyDiv w:val="1"/>
      <w:marLeft w:val="0"/>
      <w:marRight w:val="0"/>
      <w:marTop w:val="0"/>
      <w:marBottom w:val="0"/>
      <w:divBdr>
        <w:top w:val="none" w:sz="0" w:space="0" w:color="auto"/>
        <w:left w:val="none" w:sz="0" w:space="0" w:color="auto"/>
        <w:bottom w:val="none" w:sz="0" w:space="0" w:color="auto"/>
        <w:right w:val="none" w:sz="0" w:space="0" w:color="auto"/>
      </w:divBdr>
    </w:div>
    <w:div w:id="940841018">
      <w:bodyDiv w:val="1"/>
      <w:marLeft w:val="0"/>
      <w:marRight w:val="0"/>
      <w:marTop w:val="0"/>
      <w:marBottom w:val="0"/>
      <w:divBdr>
        <w:top w:val="none" w:sz="0" w:space="0" w:color="auto"/>
        <w:left w:val="none" w:sz="0" w:space="0" w:color="auto"/>
        <w:bottom w:val="none" w:sz="0" w:space="0" w:color="auto"/>
        <w:right w:val="none" w:sz="0" w:space="0" w:color="auto"/>
      </w:divBdr>
    </w:div>
    <w:div w:id="941186466">
      <w:bodyDiv w:val="1"/>
      <w:marLeft w:val="0"/>
      <w:marRight w:val="0"/>
      <w:marTop w:val="0"/>
      <w:marBottom w:val="0"/>
      <w:divBdr>
        <w:top w:val="none" w:sz="0" w:space="0" w:color="auto"/>
        <w:left w:val="none" w:sz="0" w:space="0" w:color="auto"/>
        <w:bottom w:val="none" w:sz="0" w:space="0" w:color="auto"/>
        <w:right w:val="none" w:sz="0" w:space="0" w:color="auto"/>
      </w:divBdr>
    </w:div>
    <w:div w:id="991104439">
      <w:bodyDiv w:val="1"/>
      <w:marLeft w:val="0"/>
      <w:marRight w:val="0"/>
      <w:marTop w:val="0"/>
      <w:marBottom w:val="0"/>
      <w:divBdr>
        <w:top w:val="none" w:sz="0" w:space="0" w:color="auto"/>
        <w:left w:val="none" w:sz="0" w:space="0" w:color="auto"/>
        <w:bottom w:val="none" w:sz="0" w:space="0" w:color="auto"/>
        <w:right w:val="none" w:sz="0" w:space="0" w:color="auto"/>
      </w:divBdr>
    </w:div>
    <w:div w:id="993680746">
      <w:bodyDiv w:val="1"/>
      <w:marLeft w:val="0"/>
      <w:marRight w:val="0"/>
      <w:marTop w:val="0"/>
      <w:marBottom w:val="0"/>
      <w:divBdr>
        <w:top w:val="none" w:sz="0" w:space="0" w:color="auto"/>
        <w:left w:val="none" w:sz="0" w:space="0" w:color="auto"/>
        <w:bottom w:val="none" w:sz="0" w:space="0" w:color="auto"/>
        <w:right w:val="none" w:sz="0" w:space="0" w:color="auto"/>
      </w:divBdr>
    </w:div>
    <w:div w:id="998845597">
      <w:bodyDiv w:val="1"/>
      <w:marLeft w:val="0"/>
      <w:marRight w:val="0"/>
      <w:marTop w:val="0"/>
      <w:marBottom w:val="0"/>
      <w:divBdr>
        <w:top w:val="none" w:sz="0" w:space="0" w:color="auto"/>
        <w:left w:val="none" w:sz="0" w:space="0" w:color="auto"/>
        <w:bottom w:val="none" w:sz="0" w:space="0" w:color="auto"/>
        <w:right w:val="none" w:sz="0" w:space="0" w:color="auto"/>
      </w:divBdr>
    </w:div>
    <w:div w:id="1007681567">
      <w:bodyDiv w:val="1"/>
      <w:marLeft w:val="0"/>
      <w:marRight w:val="0"/>
      <w:marTop w:val="0"/>
      <w:marBottom w:val="0"/>
      <w:divBdr>
        <w:top w:val="none" w:sz="0" w:space="0" w:color="auto"/>
        <w:left w:val="none" w:sz="0" w:space="0" w:color="auto"/>
        <w:bottom w:val="none" w:sz="0" w:space="0" w:color="auto"/>
        <w:right w:val="none" w:sz="0" w:space="0" w:color="auto"/>
      </w:divBdr>
    </w:div>
    <w:div w:id="1056586382">
      <w:bodyDiv w:val="1"/>
      <w:marLeft w:val="0"/>
      <w:marRight w:val="0"/>
      <w:marTop w:val="0"/>
      <w:marBottom w:val="0"/>
      <w:divBdr>
        <w:top w:val="none" w:sz="0" w:space="0" w:color="auto"/>
        <w:left w:val="none" w:sz="0" w:space="0" w:color="auto"/>
        <w:bottom w:val="none" w:sz="0" w:space="0" w:color="auto"/>
        <w:right w:val="none" w:sz="0" w:space="0" w:color="auto"/>
      </w:divBdr>
    </w:div>
    <w:div w:id="1066997607">
      <w:bodyDiv w:val="1"/>
      <w:marLeft w:val="0"/>
      <w:marRight w:val="0"/>
      <w:marTop w:val="0"/>
      <w:marBottom w:val="0"/>
      <w:divBdr>
        <w:top w:val="none" w:sz="0" w:space="0" w:color="auto"/>
        <w:left w:val="none" w:sz="0" w:space="0" w:color="auto"/>
        <w:bottom w:val="none" w:sz="0" w:space="0" w:color="auto"/>
        <w:right w:val="none" w:sz="0" w:space="0" w:color="auto"/>
      </w:divBdr>
    </w:div>
    <w:div w:id="1086071161">
      <w:bodyDiv w:val="1"/>
      <w:marLeft w:val="0"/>
      <w:marRight w:val="0"/>
      <w:marTop w:val="0"/>
      <w:marBottom w:val="0"/>
      <w:divBdr>
        <w:top w:val="none" w:sz="0" w:space="0" w:color="auto"/>
        <w:left w:val="none" w:sz="0" w:space="0" w:color="auto"/>
        <w:bottom w:val="none" w:sz="0" w:space="0" w:color="auto"/>
        <w:right w:val="none" w:sz="0" w:space="0" w:color="auto"/>
      </w:divBdr>
    </w:div>
    <w:div w:id="1099764478">
      <w:bodyDiv w:val="1"/>
      <w:marLeft w:val="0"/>
      <w:marRight w:val="0"/>
      <w:marTop w:val="0"/>
      <w:marBottom w:val="0"/>
      <w:divBdr>
        <w:top w:val="none" w:sz="0" w:space="0" w:color="auto"/>
        <w:left w:val="none" w:sz="0" w:space="0" w:color="auto"/>
        <w:bottom w:val="none" w:sz="0" w:space="0" w:color="auto"/>
        <w:right w:val="none" w:sz="0" w:space="0" w:color="auto"/>
      </w:divBdr>
    </w:div>
    <w:div w:id="1103375764">
      <w:bodyDiv w:val="1"/>
      <w:marLeft w:val="0"/>
      <w:marRight w:val="0"/>
      <w:marTop w:val="0"/>
      <w:marBottom w:val="0"/>
      <w:divBdr>
        <w:top w:val="none" w:sz="0" w:space="0" w:color="auto"/>
        <w:left w:val="none" w:sz="0" w:space="0" w:color="auto"/>
        <w:bottom w:val="none" w:sz="0" w:space="0" w:color="auto"/>
        <w:right w:val="none" w:sz="0" w:space="0" w:color="auto"/>
      </w:divBdr>
    </w:div>
    <w:div w:id="1121145693">
      <w:bodyDiv w:val="1"/>
      <w:marLeft w:val="0"/>
      <w:marRight w:val="0"/>
      <w:marTop w:val="0"/>
      <w:marBottom w:val="0"/>
      <w:divBdr>
        <w:top w:val="none" w:sz="0" w:space="0" w:color="auto"/>
        <w:left w:val="none" w:sz="0" w:space="0" w:color="auto"/>
        <w:bottom w:val="none" w:sz="0" w:space="0" w:color="auto"/>
        <w:right w:val="none" w:sz="0" w:space="0" w:color="auto"/>
      </w:divBdr>
      <w:divsChild>
        <w:div w:id="1667049193">
          <w:marLeft w:val="0"/>
          <w:marRight w:val="0"/>
          <w:marTop w:val="0"/>
          <w:marBottom w:val="0"/>
          <w:divBdr>
            <w:top w:val="none" w:sz="0" w:space="0" w:color="auto"/>
            <w:left w:val="none" w:sz="0" w:space="0" w:color="auto"/>
            <w:bottom w:val="none" w:sz="0" w:space="0" w:color="auto"/>
            <w:right w:val="none" w:sz="0" w:space="0" w:color="auto"/>
          </w:divBdr>
          <w:divsChild>
            <w:div w:id="23214103">
              <w:marLeft w:val="0"/>
              <w:marRight w:val="0"/>
              <w:marTop w:val="0"/>
              <w:marBottom w:val="0"/>
              <w:divBdr>
                <w:top w:val="none" w:sz="0" w:space="0" w:color="auto"/>
                <w:left w:val="none" w:sz="0" w:space="0" w:color="auto"/>
                <w:bottom w:val="none" w:sz="0" w:space="0" w:color="auto"/>
                <w:right w:val="none" w:sz="0" w:space="0" w:color="auto"/>
              </w:divBdr>
              <w:divsChild>
                <w:div w:id="707527923">
                  <w:marLeft w:val="0"/>
                  <w:marRight w:val="0"/>
                  <w:marTop w:val="0"/>
                  <w:marBottom w:val="0"/>
                  <w:divBdr>
                    <w:top w:val="none" w:sz="0" w:space="0" w:color="auto"/>
                    <w:left w:val="none" w:sz="0" w:space="0" w:color="auto"/>
                    <w:bottom w:val="none" w:sz="0" w:space="0" w:color="auto"/>
                    <w:right w:val="none" w:sz="0" w:space="0" w:color="auto"/>
                  </w:divBdr>
                </w:div>
                <w:div w:id="1590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5123">
      <w:bodyDiv w:val="1"/>
      <w:marLeft w:val="0"/>
      <w:marRight w:val="0"/>
      <w:marTop w:val="0"/>
      <w:marBottom w:val="0"/>
      <w:divBdr>
        <w:top w:val="none" w:sz="0" w:space="0" w:color="auto"/>
        <w:left w:val="none" w:sz="0" w:space="0" w:color="auto"/>
        <w:bottom w:val="none" w:sz="0" w:space="0" w:color="auto"/>
        <w:right w:val="none" w:sz="0" w:space="0" w:color="auto"/>
      </w:divBdr>
    </w:div>
    <w:div w:id="1197885514">
      <w:bodyDiv w:val="1"/>
      <w:marLeft w:val="0"/>
      <w:marRight w:val="0"/>
      <w:marTop w:val="0"/>
      <w:marBottom w:val="0"/>
      <w:divBdr>
        <w:top w:val="none" w:sz="0" w:space="0" w:color="auto"/>
        <w:left w:val="none" w:sz="0" w:space="0" w:color="auto"/>
        <w:bottom w:val="none" w:sz="0" w:space="0" w:color="auto"/>
        <w:right w:val="none" w:sz="0" w:space="0" w:color="auto"/>
      </w:divBdr>
    </w:div>
    <w:div w:id="1259947300">
      <w:bodyDiv w:val="1"/>
      <w:marLeft w:val="0"/>
      <w:marRight w:val="0"/>
      <w:marTop w:val="0"/>
      <w:marBottom w:val="0"/>
      <w:divBdr>
        <w:top w:val="none" w:sz="0" w:space="0" w:color="auto"/>
        <w:left w:val="none" w:sz="0" w:space="0" w:color="auto"/>
        <w:bottom w:val="none" w:sz="0" w:space="0" w:color="auto"/>
        <w:right w:val="none" w:sz="0" w:space="0" w:color="auto"/>
      </w:divBdr>
    </w:div>
    <w:div w:id="1261448631">
      <w:bodyDiv w:val="1"/>
      <w:marLeft w:val="0"/>
      <w:marRight w:val="0"/>
      <w:marTop w:val="0"/>
      <w:marBottom w:val="0"/>
      <w:divBdr>
        <w:top w:val="none" w:sz="0" w:space="0" w:color="auto"/>
        <w:left w:val="none" w:sz="0" w:space="0" w:color="auto"/>
        <w:bottom w:val="none" w:sz="0" w:space="0" w:color="auto"/>
        <w:right w:val="none" w:sz="0" w:space="0" w:color="auto"/>
      </w:divBdr>
    </w:div>
    <w:div w:id="1281911365">
      <w:bodyDiv w:val="1"/>
      <w:marLeft w:val="0"/>
      <w:marRight w:val="0"/>
      <w:marTop w:val="0"/>
      <w:marBottom w:val="0"/>
      <w:divBdr>
        <w:top w:val="none" w:sz="0" w:space="0" w:color="auto"/>
        <w:left w:val="none" w:sz="0" w:space="0" w:color="auto"/>
        <w:bottom w:val="none" w:sz="0" w:space="0" w:color="auto"/>
        <w:right w:val="none" w:sz="0" w:space="0" w:color="auto"/>
      </w:divBdr>
    </w:div>
    <w:div w:id="1306005857">
      <w:bodyDiv w:val="1"/>
      <w:marLeft w:val="0"/>
      <w:marRight w:val="0"/>
      <w:marTop w:val="0"/>
      <w:marBottom w:val="0"/>
      <w:divBdr>
        <w:top w:val="none" w:sz="0" w:space="0" w:color="auto"/>
        <w:left w:val="none" w:sz="0" w:space="0" w:color="auto"/>
        <w:bottom w:val="none" w:sz="0" w:space="0" w:color="auto"/>
        <w:right w:val="none" w:sz="0" w:space="0" w:color="auto"/>
      </w:divBdr>
      <w:divsChild>
        <w:div w:id="2026471054">
          <w:marLeft w:val="0"/>
          <w:marRight w:val="0"/>
          <w:marTop w:val="0"/>
          <w:marBottom w:val="0"/>
          <w:divBdr>
            <w:top w:val="none" w:sz="0" w:space="0" w:color="auto"/>
            <w:left w:val="none" w:sz="0" w:space="0" w:color="auto"/>
            <w:bottom w:val="none" w:sz="0" w:space="0" w:color="auto"/>
            <w:right w:val="none" w:sz="0" w:space="0" w:color="auto"/>
          </w:divBdr>
          <w:divsChild>
            <w:div w:id="144594256">
              <w:marLeft w:val="0"/>
              <w:marRight w:val="0"/>
              <w:marTop w:val="0"/>
              <w:marBottom w:val="0"/>
              <w:divBdr>
                <w:top w:val="none" w:sz="0" w:space="0" w:color="auto"/>
                <w:left w:val="none" w:sz="0" w:space="0" w:color="auto"/>
                <w:bottom w:val="none" w:sz="0" w:space="0" w:color="auto"/>
                <w:right w:val="none" w:sz="0" w:space="0" w:color="auto"/>
              </w:divBdr>
              <w:divsChild>
                <w:div w:id="790442555">
                  <w:marLeft w:val="0"/>
                  <w:marRight w:val="0"/>
                  <w:marTop w:val="0"/>
                  <w:marBottom w:val="0"/>
                  <w:divBdr>
                    <w:top w:val="none" w:sz="0" w:space="0" w:color="auto"/>
                    <w:left w:val="none" w:sz="0" w:space="0" w:color="auto"/>
                    <w:bottom w:val="none" w:sz="0" w:space="0" w:color="auto"/>
                    <w:right w:val="none" w:sz="0" w:space="0" w:color="auto"/>
                  </w:divBdr>
                </w:div>
                <w:div w:id="880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8393">
      <w:bodyDiv w:val="1"/>
      <w:marLeft w:val="0"/>
      <w:marRight w:val="0"/>
      <w:marTop w:val="0"/>
      <w:marBottom w:val="0"/>
      <w:divBdr>
        <w:top w:val="none" w:sz="0" w:space="0" w:color="auto"/>
        <w:left w:val="none" w:sz="0" w:space="0" w:color="auto"/>
        <w:bottom w:val="none" w:sz="0" w:space="0" w:color="auto"/>
        <w:right w:val="none" w:sz="0" w:space="0" w:color="auto"/>
      </w:divBdr>
      <w:divsChild>
        <w:div w:id="1141728092">
          <w:marLeft w:val="547"/>
          <w:marRight w:val="0"/>
          <w:marTop w:val="120"/>
          <w:marBottom w:val="0"/>
          <w:divBdr>
            <w:top w:val="none" w:sz="0" w:space="0" w:color="auto"/>
            <w:left w:val="none" w:sz="0" w:space="0" w:color="auto"/>
            <w:bottom w:val="none" w:sz="0" w:space="0" w:color="auto"/>
            <w:right w:val="none" w:sz="0" w:space="0" w:color="auto"/>
          </w:divBdr>
        </w:div>
        <w:div w:id="1860050080">
          <w:marLeft w:val="547"/>
          <w:marRight w:val="0"/>
          <w:marTop w:val="120"/>
          <w:marBottom w:val="0"/>
          <w:divBdr>
            <w:top w:val="none" w:sz="0" w:space="0" w:color="auto"/>
            <w:left w:val="none" w:sz="0" w:space="0" w:color="auto"/>
            <w:bottom w:val="none" w:sz="0" w:space="0" w:color="auto"/>
            <w:right w:val="none" w:sz="0" w:space="0" w:color="auto"/>
          </w:divBdr>
        </w:div>
        <w:div w:id="1729185589">
          <w:marLeft w:val="547"/>
          <w:marRight w:val="0"/>
          <w:marTop w:val="120"/>
          <w:marBottom w:val="0"/>
          <w:divBdr>
            <w:top w:val="none" w:sz="0" w:space="0" w:color="auto"/>
            <w:left w:val="none" w:sz="0" w:space="0" w:color="auto"/>
            <w:bottom w:val="none" w:sz="0" w:space="0" w:color="auto"/>
            <w:right w:val="none" w:sz="0" w:space="0" w:color="auto"/>
          </w:divBdr>
        </w:div>
      </w:divsChild>
    </w:div>
    <w:div w:id="1307128823">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29358647">
      <w:bodyDiv w:val="1"/>
      <w:marLeft w:val="0"/>
      <w:marRight w:val="0"/>
      <w:marTop w:val="0"/>
      <w:marBottom w:val="0"/>
      <w:divBdr>
        <w:top w:val="none" w:sz="0" w:space="0" w:color="auto"/>
        <w:left w:val="none" w:sz="0" w:space="0" w:color="auto"/>
        <w:bottom w:val="none" w:sz="0" w:space="0" w:color="auto"/>
        <w:right w:val="none" w:sz="0" w:space="0" w:color="auto"/>
      </w:divBdr>
    </w:div>
    <w:div w:id="1330602302">
      <w:bodyDiv w:val="1"/>
      <w:marLeft w:val="0"/>
      <w:marRight w:val="0"/>
      <w:marTop w:val="0"/>
      <w:marBottom w:val="0"/>
      <w:divBdr>
        <w:top w:val="none" w:sz="0" w:space="0" w:color="auto"/>
        <w:left w:val="none" w:sz="0" w:space="0" w:color="auto"/>
        <w:bottom w:val="none" w:sz="0" w:space="0" w:color="auto"/>
        <w:right w:val="none" w:sz="0" w:space="0" w:color="auto"/>
      </w:divBdr>
    </w:div>
    <w:div w:id="1336570139">
      <w:bodyDiv w:val="1"/>
      <w:marLeft w:val="0"/>
      <w:marRight w:val="0"/>
      <w:marTop w:val="0"/>
      <w:marBottom w:val="0"/>
      <w:divBdr>
        <w:top w:val="none" w:sz="0" w:space="0" w:color="auto"/>
        <w:left w:val="none" w:sz="0" w:space="0" w:color="auto"/>
        <w:bottom w:val="none" w:sz="0" w:space="0" w:color="auto"/>
        <w:right w:val="none" w:sz="0" w:space="0" w:color="auto"/>
      </w:divBdr>
    </w:div>
    <w:div w:id="1354382913">
      <w:bodyDiv w:val="1"/>
      <w:marLeft w:val="0"/>
      <w:marRight w:val="0"/>
      <w:marTop w:val="0"/>
      <w:marBottom w:val="0"/>
      <w:divBdr>
        <w:top w:val="none" w:sz="0" w:space="0" w:color="auto"/>
        <w:left w:val="none" w:sz="0" w:space="0" w:color="auto"/>
        <w:bottom w:val="none" w:sz="0" w:space="0" w:color="auto"/>
        <w:right w:val="none" w:sz="0" w:space="0" w:color="auto"/>
      </w:divBdr>
    </w:div>
    <w:div w:id="1372613294">
      <w:bodyDiv w:val="1"/>
      <w:marLeft w:val="0"/>
      <w:marRight w:val="0"/>
      <w:marTop w:val="0"/>
      <w:marBottom w:val="0"/>
      <w:divBdr>
        <w:top w:val="none" w:sz="0" w:space="0" w:color="auto"/>
        <w:left w:val="none" w:sz="0" w:space="0" w:color="auto"/>
        <w:bottom w:val="none" w:sz="0" w:space="0" w:color="auto"/>
        <w:right w:val="none" w:sz="0" w:space="0" w:color="auto"/>
      </w:divBdr>
    </w:div>
    <w:div w:id="1401828600">
      <w:bodyDiv w:val="1"/>
      <w:marLeft w:val="0"/>
      <w:marRight w:val="0"/>
      <w:marTop w:val="0"/>
      <w:marBottom w:val="0"/>
      <w:divBdr>
        <w:top w:val="none" w:sz="0" w:space="0" w:color="auto"/>
        <w:left w:val="none" w:sz="0" w:space="0" w:color="auto"/>
        <w:bottom w:val="none" w:sz="0" w:space="0" w:color="auto"/>
        <w:right w:val="none" w:sz="0" w:space="0" w:color="auto"/>
      </w:divBdr>
    </w:div>
    <w:div w:id="1424110963">
      <w:bodyDiv w:val="1"/>
      <w:marLeft w:val="0"/>
      <w:marRight w:val="0"/>
      <w:marTop w:val="0"/>
      <w:marBottom w:val="0"/>
      <w:divBdr>
        <w:top w:val="none" w:sz="0" w:space="0" w:color="auto"/>
        <w:left w:val="none" w:sz="0" w:space="0" w:color="auto"/>
        <w:bottom w:val="none" w:sz="0" w:space="0" w:color="auto"/>
        <w:right w:val="none" w:sz="0" w:space="0" w:color="auto"/>
      </w:divBdr>
    </w:div>
    <w:div w:id="1445421605">
      <w:bodyDiv w:val="1"/>
      <w:marLeft w:val="0"/>
      <w:marRight w:val="0"/>
      <w:marTop w:val="0"/>
      <w:marBottom w:val="0"/>
      <w:divBdr>
        <w:top w:val="none" w:sz="0" w:space="0" w:color="auto"/>
        <w:left w:val="none" w:sz="0" w:space="0" w:color="auto"/>
        <w:bottom w:val="none" w:sz="0" w:space="0" w:color="auto"/>
        <w:right w:val="none" w:sz="0" w:space="0" w:color="auto"/>
      </w:divBdr>
    </w:div>
    <w:div w:id="1467045122">
      <w:bodyDiv w:val="1"/>
      <w:marLeft w:val="0"/>
      <w:marRight w:val="0"/>
      <w:marTop w:val="0"/>
      <w:marBottom w:val="0"/>
      <w:divBdr>
        <w:top w:val="none" w:sz="0" w:space="0" w:color="auto"/>
        <w:left w:val="none" w:sz="0" w:space="0" w:color="auto"/>
        <w:bottom w:val="none" w:sz="0" w:space="0" w:color="auto"/>
        <w:right w:val="none" w:sz="0" w:space="0" w:color="auto"/>
      </w:divBdr>
    </w:div>
    <w:div w:id="1533767937">
      <w:bodyDiv w:val="1"/>
      <w:marLeft w:val="0"/>
      <w:marRight w:val="0"/>
      <w:marTop w:val="0"/>
      <w:marBottom w:val="0"/>
      <w:divBdr>
        <w:top w:val="none" w:sz="0" w:space="0" w:color="auto"/>
        <w:left w:val="none" w:sz="0" w:space="0" w:color="auto"/>
        <w:bottom w:val="none" w:sz="0" w:space="0" w:color="auto"/>
        <w:right w:val="none" w:sz="0" w:space="0" w:color="auto"/>
      </w:divBdr>
    </w:div>
    <w:div w:id="1541431967">
      <w:bodyDiv w:val="1"/>
      <w:marLeft w:val="0"/>
      <w:marRight w:val="0"/>
      <w:marTop w:val="0"/>
      <w:marBottom w:val="0"/>
      <w:divBdr>
        <w:top w:val="none" w:sz="0" w:space="0" w:color="auto"/>
        <w:left w:val="none" w:sz="0" w:space="0" w:color="auto"/>
        <w:bottom w:val="none" w:sz="0" w:space="0" w:color="auto"/>
        <w:right w:val="none" w:sz="0" w:space="0" w:color="auto"/>
      </w:divBdr>
    </w:div>
    <w:div w:id="1551845282">
      <w:bodyDiv w:val="1"/>
      <w:marLeft w:val="0"/>
      <w:marRight w:val="0"/>
      <w:marTop w:val="0"/>
      <w:marBottom w:val="0"/>
      <w:divBdr>
        <w:top w:val="none" w:sz="0" w:space="0" w:color="auto"/>
        <w:left w:val="none" w:sz="0" w:space="0" w:color="auto"/>
        <w:bottom w:val="none" w:sz="0" w:space="0" w:color="auto"/>
        <w:right w:val="none" w:sz="0" w:space="0" w:color="auto"/>
      </w:divBdr>
    </w:div>
    <w:div w:id="1669938296">
      <w:bodyDiv w:val="1"/>
      <w:marLeft w:val="0"/>
      <w:marRight w:val="0"/>
      <w:marTop w:val="0"/>
      <w:marBottom w:val="0"/>
      <w:divBdr>
        <w:top w:val="none" w:sz="0" w:space="0" w:color="auto"/>
        <w:left w:val="none" w:sz="0" w:space="0" w:color="auto"/>
        <w:bottom w:val="none" w:sz="0" w:space="0" w:color="auto"/>
        <w:right w:val="none" w:sz="0" w:space="0" w:color="auto"/>
      </w:divBdr>
    </w:div>
    <w:div w:id="1694378745">
      <w:bodyDiv w:val="1"/>
      <w:marLeft w:val="0"/>
      <w:marRight w:val="0"/>
      <w:marTop w:val="0"/>
      <w:marBottom w:val="0"/>
      <w:divBdr>
        <w:top w:val="none" w:sz="0" w:space="0" w:color="auto"/>
        <w:left w:val="none" w:sz="0" w:space="0" w:color="auto"/>
        <w:bottom w:val="none" w:sz="0" w:space="0" w:color="auto"/>
        <w:right w:val="none" w:sz="0" w:space="0" w:color="auto"/>
      </w:divBdr>
    </w:div>
    <w:div w:id="1713378771">
      <w:bodyDiv w:val="1"/>
      <w:marLeft w:val="0"/>
      <w:marRight w:val="0"/>
      <w:marTop w:val="0"/>
      <w:marBottom w:val="0"/>
      <w:divBdr>
        <w:top w:val="none" w:sz="0" w:space="0" w:color="auto"/>
        <w:left w:val="none" w:sz="0" w:space="0" w:color="auto"/>
        <w:bottom w:val="none" w:sz="0" w:space="0" w:color="auto"/>
        <w:right w:val="none" w:sz="0" w:space="0" w:color="auto"/>
      </w:divBdr>
    </w:div>
    <w:div w:id="1752465042">
      <w:bodyDiv w:val="1"/>
      <w:marLeft w:val="0"/>
      <w:marRight w:val="0"/>
      <w:marTop w:val="0"/>
      <w:marBottom w:val="0"/>
      <w:divBdr>
        <w:top w:val="none" w:sz="0" w:space="0" w:color="auto"/>
        <w:left w:val="none" w:sz="0" w:space="0" w:color="auto"/>
        <w:bottom w:val="none" w:sz="0" w:space="0" w:color="auto"/>
        <w:right w:val="none" w:sz="0" w:space="0" w:color="auto"/>
      </w:divBdr>
    </w:div>
    <w:div w:id="1789935752">
      <w:bodyDiv w:val="1"/>
      <w:marLeft w:val="0"/>
      <w:marRight w:val="0"/>
      <w:marTop w:val="0"/>
      <w:marBottom w:val="0"/>
      <w:divBdr>
        <w:top w:val="none" w:sz="0" w:space="0" w:color="auto"/>
        <w:left w:val="none" w:sz="0" w:space="0" w:color="auto"/>
        <w:bottom w:val="none" w:sz="0" w:space="0" w:color="auto"/>
        <w:right w:val="none" w:sz="0" w:space="0" w:color="auto"/>
      </w:divBdr>
    </w:div>
    <w:div w:id="1790467328">
      <w:bodyDiv w:val="1"/>
      <w:marLeft w:val="0"/>
      <w:marRight w:val="0"/>
      <w:marTop w:val="0"/>
      <w:marBottom w:val="0"/>
      <w:divBdr>
        <w:top w:val="none" w:sz="0" w:space="0" w:color="auto"/>
        <w:left w:val="none" w:sz="0" w:space="0" w:color="auto"/>
        <w:bottom w:val="none" w:sz="0" w:space="0" w:color="auto"/>
        <w:right w:val="none" w:sz="0" w:space="0" w:color="auto"/>
      </w:divBdr>
    </w:div>
    <w:div w:id="1804344531">
      <w:bodyDiv w:val="1"/>
      <w:marLeft w:val="0"/>
      <w:marRight w:val="0"/>
      <w:marTop w:val="0"/>
      <w:marBottom w:val="0"/>
      <w:divBdr>
        <w:top w:val="none" w:sz="0" w:space="0" w:color="auto"/>
        <w:left w:val="none" w:sz="0" w:space="0" w:color="auto"/>
        <w:bottom w:val="none" w:sz="0" w:space="0" w:color="auto"/>
        <w:right w:val="none" w:sz="0" w:space="0" w:color="auto"/>
      </w:divBdr>
    </w:div>
    <w:div w:id="1805076885">
      <w:bodyDiv w:val="1"/>
      <w:marLeft w:val="0"/>
      <w:marRight w:val="0"/>
      <w:marTop w:val="0"/>
      <w:marBottom w:val="0"/>
      <w:divBdr>
        <w:top w:val="none" w:sz="0" w:space="0" w:color="auto"/>
        <w:left w:val="none" w:sz="0" w:space="0" w:color="auto"/>
        <w:bottom w:val="none" w:sz="0" w:space="0" w:color="auto"/>
        <w:right w:val="none" w:sz="0" w:space="0" w:color="auto"/>
      </w:divBdr>
    </w:div>
    <w:div w:id="1838225024">
      <w:bodyDiv w:val="1"/>
      <w:marLeft w:val="0"/>
      <w:marRight w:val="0"/>
      <w:marTop w:val="0"/>
      <w:marBottom w:val="0"/>
      <w:divBdr>
        <w:top w:val="none" w:sz="0" w:space="0" w:color="auto"/>
        <w:left w:val="none" w:sz="0" w:space="0" w:color="auto"/>
        <w:bottom w:val="none" w:sz="0" w:space="0" w:color="auto"/>
        <w:right w:val="none" w:sz="0" w:space="0" w:color="auto"/>
      </w:divBdr>
    </w:div>
    <w:div w:id="1862620629">
      <w:bodyDiv w:val="1"/>
      <w:marLeft w:val="0"/>
      <w:marRight w:val="0"/>
      <w:marTop w:val="0"/>
      <w:marBottom w:val="0"/>
      <w:divBdr>
        <w:top w:val="none" w:sz="0" w:space="0" w:color="auto"/>
        <w:left w:val="none" w:sz="0" w:space="0" w:color="auto"/>
        <w:bottom w:val="none" w:sz="0" w:space="0" w:color="auto"/>
        <w:right w:val="none" w:sz="0" w:space="0" w:color="auto"/>
      </w:divBdr>
    </w:div>
    <w:div w:id="1864248513">
      <w:bodyDiv w:val="1"/>
      <w:marLeft w:val="0"/>
      <w:marRight w:val="0"/>
      <w:marTop w:val="0"/>
      <w:marBottom w:val="0"/>
      <w:divBdr>
        <w:top w:val="none" w:sz="0" w:space="0" w:color="auto"/>
        <w:left w:val="none" w:sz="0" w:space="0" w:color="auto"/>
        <w:bottom w:val="none" w:sz="0" w:space="0" w:color="auto"/>
        <w:right w:val="none" w:sz="0" w:space="0" w:color="auto"/>
      </w:divBdr>
    </w:div>
    <w:div w:id="1933929025">
      <w:bodyDiv w:val="1"/>
      <w:marLeft w:val="0"/>
      <w:marRight w:val="0"/>
      <w:marTop w:val="0"/>
      <w:marBottom w:val="0"/>
      <w:divBdr>
        <w:top w:val="none" w:sz="0" w:space="0" w:color="auto"/>
        <w:left w:val="none" w:sz="0" w:space="0" w:color="auto"/>
        <w:bottom w:val="none" w:sz="0" w:space="0" w:color="auto"/>
        <w:right w:val="none" w:sz="0" w:space="0" w:color="auto"/>
      </w:divBdr>
      <w:divsChild>
        <w:div w:id="1230379957">
          <w:marLeft w:val="0"/>
          <w:marRight w:val="0"/>
          <w:marTop w:val="0"/>
          <w:marBottom w:val="0"/>
          <w:divBdr>
            <w:top w:val="none" w:sz="0" w:space="0" w:color="auto"/>
            <w:left w:val="none" w:sz="0" w:space="0" w:color="auto"/>
            <w:bottom w:val="none" w:sz="0" w:space="0" w:color="auto"/>
            <w:right w:val="none" w:sz="0" w:space="0" w:color="auto"/>
          </w:divBdr>
          <w:divsChild>
            <w:div w:id="1523855455">
              <w:marLeft w:val="0"/>
              <w:marRight w:val="0"/>
              <w:marTop w:val="0"/>
              <w:marBottom w:val="0"/>
              <w:divBdr>
                <w:top w:val="none" w:sz="0" w:space="0" w:color="auto"/>
                <w:left w:val="none" w:sz="0" w:space="0" w:color="auto"/>
                <w:bottom w:val="none" w:sz="0" w:space="0" w:color="auto"/>
                <w:right w:val="none" w:sz="0" w:space="0" w:color="auto"/>
              </w:divBdr>
              <w:divsChild>
                <w:div w:id="70857767">
                  <w:marLeft w:val="0"/>
                  <w:marRight w:val="0"/>
                  <w:marTop w:val="0"/>
                  <w:marBottom w:val="0"/>
                  <w:divBdr>
                    <w:top w:val="none" w:sz="0" w:space="0" w:color="auto"/>
                    <w:left w:val="none" w:sz="0" w:space="0" w:color="auto"/>
                    <w:bottom w:val="none" w:sz="0" w:space="0" w:color="auto"/>
                    <w:right w:val="none" w:sz="0" w:space="0" w:color="auto"/>
                  </w:divBdr>
                </w:div>
                <w:div w:id="216473100">
                  <w:marLeft w:val="0"/>
                  <w:marRight w:val="0"/>
                  <w:marTop w:val="0"/>
                  <w:marBottom w:val="0"/>
                  <w:divBdr>
                    <w:top w:val="none" w:sz="0" w:space="0" w:color="auto"/>
                    <w:left w:val="none" w:sz="0" w:space="0" w:color="auto"/>
                    <w:bottom w:val="none" w:sz="0" w:space="0" w:color="auto"/>
                    <w:right w:val="none" w:sz="0" w:space="0" w:color="auto"/>
                  </w:divBdr>
                </w:div>
                <w:div w:id="222183771">
                  <w:marLeft w:val="0"/>
                  <w:marRight w:val="0"/>
                  <w:marTop w:val="0"/>
                  <w:marBottom w:val="0"/>
                  <w:divBdr>
                    <w:top w:val="none" w:sz="0" w:space="0" w:color="auto"/>
                    <w:left w:val="none" w:sz="0" w:space="0" w:color="auto"/>
                    <w:bottom w:val="none" w:sz="0" w:space="0" w:color="auto"/>
                    <w:right w:val="none" w:sz="0" w:space="0" w:color="auto"/>
                  </w:divBdr>
                </w:div>
                <w:div w:id="476187939">
                  <w:marLeft w:val="0"/>
                  <w:marRight w:val="0"/>
                  <w:marTop w:val="0"/>
                  <w:marBottom w:val="0"/>
                  <w:divBdr>
                    <w:top w:val="none" w:sz="0" w:space="0" w:color="auto"/>
                    <w:left w:val="none" w:sz="0" w:space="0" w:color="auto"/>
                    <w:bottom w:val="none" w:sz="0" w:space="0" w:color="auto"/>
                    <w:right w:val="none" w:sz="0" w:space="0" w:color="auto"/>
                  </w:divBdr>
                </w:div>
                <w:div w:id="837385619">
                  <w:marLeft w:val="0"/>
                  <w:marRight w:val="0"/>
                  <w:marTop w:val="0"/>
                  <w:marBottom w:val="0"/>
                  <w:divBdr>
                    <w:top w:val="none" w:sz="0" w:space="0" w:color="auto"/>
                    <w:left w:val="none" w:sz="0" w:space="0" w:color="auto"/>
                    <w:bottom w:val="none" w:sz="0" w:space="0" w:color="auto"/>
                    <w:right w:val="none" w:sz="0" w:space="0" w:color="auto"/>
                  </w:divBdr>
                </w:div>
                <w:div w:id="933127478">
                  <w:marLeft w:val="0"/>
                  <w:marRight w:val="0"/>
                  <w:marTop w:val="0"/>
                  <w:marBottom w:val="0"/>
                  <w:divBdr>
                    <w:top w:val="none" w:sz="0" w:space="0" w:color="auto"/>
                    <w:left w:val="none" w:sz="0" w:space="0" w:color="auto"/>
                    <w:bottom w:val="none" w:sz="0" w:space="0" w:color="auto"/>
                    <w:right w:val="none" w:sz="0" w:space="0" w:color="auto"/>
                  </w:divBdr>
                </w:div>
                <w:div w:id="1186094058">
                  <w:marLeft w:val="0"/>
                  <w:marRight w:val="0"/>
                  <w:marTop w:val="0"/>
                  <w:marBottom w:val="0"/>
                  <w:divBdr>
                    <w:top w:val="none" w:sz="0" w:space="0" w:color="auto"/>
                    <w:left w:val="none" w:sz="0" w:space="0" w:color="auto"/>
                    <w:bottom w:val="none" w:sz="0" w:space="0" w:color="auto"/>
                    <w:right w:val="none" w:sz="0" w:space="0" w:color="auto"/>
                  </w:divBdr>
                </w:div>
                <w:div w:id="1198546443">
                  <w:marLeft w:val="0"/>
                  <w:marRight w:val="0"/>
                  <w:marTop w:val="0"/>
                  <w:marBottom w:val="0"/>
                  <w:divBdr>
                    <w:top w:val="none" w:sz="0" w:space="0" w:color="auto"/>
                    <w:left w:val="none" w:sz="0" w:space="0" w:color="auto"/>
                    <w:bottom w:val="none" w:sz="0" w:space="0" w:color="auto"/>
                    <w:right w:val="none" w:sz="0" w:space="0" w:color="auto"/>
                  </w:divBdr>
                </w:div>
                <w:div w:id="1290281900">
                  <w:marLeft w:val="0"/>
                  <w:marRight w:val="0"/>
                  <w:marTop w:val="0"/>
                  <w:marBottom w:val="0"/>
                  <w:divBdr>
                    <w:top w:val="none" w:sz="0" w:space="0" w:color="auto"/>
                    <w:left w:val="none" w:sz="0" w:space="0" w:color="auto"/>
                    <w:bottom w:val="none" w:sz="0" w:space="0" w:color="auto"/>
                    <w:right w:val="none" w:sz="0" w:space="0" w:color="auto"/>
                  </w:divBdr>
                </w:div>
                <w:div w:id="1368723759">
                  <w:marLeft w:val="0"/>
                  <w:marRight w:val="0"/>
                  <w:marTop w:val="0"/>
                  <w:marBottom w:val="0"/>
                  <w:divBdr>
                    <w:top w:val="none" w:sz="0" w:space="0" w:color="auto"/>
                    <w:left w:val="none" w:sz="0" w:space="0" w:color="auto"/>
                    <w:bottom w:val="none" w:sz="0" w:space="0" w:color="auto"/>
                    <w:right w:val="none" w:sz="0" w:space="0" w:color="auto"/>
                  </w:divBdr>
                </w:div>
                <w:div w:id="1579703389">
                  <w:marLeft w:val="0"/>
                  <w:marRight w:val="0"/>
                  <w:marTop w:val="0"/>
                  <w:marBottom w:val="0"/>
                  <w:divBdr>
                    <w:top w:val="none" w:sz="0" w:space="0" w:color="auto"/>
                    <w:left w:val="none" w:sz="0" w:space="0" w:color="auto"/>
                    <w:bottom w:val="none" w:sz="0" w:space="0" w:color="auto"/>
                    <w:right w:val="none" w:sz="0" w:space="0" w:color="auto"/>
                  </w:divBdr>
                </w:div>
                <w:div w:id="1672558695">
                  <w:marLeft w:val="0"/>
                  <w:marRight w:val="0"/>
                  <w:marTop w:val="0"/>
                  <w:marBottom w:val="0"/>
                  <w:divBdr>
                    <w:top w:val="none" w:sz="0" w:space="0" w:color="auto"/>
                    <w:left w:val="none" w:sz="0" w:space="0" w:color="auto"/>
                    <w:bottom w:val="none" w:sz="0" w:space="0" w:color="auto"/>
                    <w:right w:val="none" w:sz="0" w:space="0" w:color="auto"/>
                  </w:divBdr>
                </w:div>
                <w:div w:id="1716732734">
                  <w:marLeft w:val="0"/>
                  <w:marRight w:val="0"/>
                  <w:marTop w:val="0"/>
                  <w:marBottom w:val="0"/>
                  <w:divBdr>
                    <w:top w:val="none" w:sz="0" w:space="0" w:color="auto"/>
                    <w:left w:val="none" w:sz="0" w:space="0" w:color="auto"/>
                    <w:bottom w:val="none" w:sz="0" w:space="0" w:color="auto"/>
                    <w:right w:val="none" w:sz="0" w:space="0" w:color="auto"/>
                  </w:divBdr>
                </w:div>
                <w:div w:id="2023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11449">
      <w:bodyDiv w:val="1"/>
      <w:marLeft w:val="0"/>
      <w:marRight w:val="0"/>
      <w:marTop w:val="0"/>
      <w:marBottom w:val="0"/>
      <w:divBdr>
        <w:top w:val="none" w:sz="0" w:space="0" w:color="auto"/>
        <w:left w:val="none" w:sz="0" w:space="0" w:color="auto"/>
        <w:bottom w:val="none" w:sz="0" w:space="0" w:color="auto"/>
        <w:right w:val="none" w:sz="0" w:space="0" w:color="auto"/>
      </w:divBdr>
    </w:div>
    <w:div w:id="1993752023">
      <w:bodyDiv w:val="1"/>
      <w:marLeft w:val="0"/>
      <w:marRight w:val="0"/>
      <w:marTop w:val="0"/>
      <w:marBottom w:val="0"/>
      <w:divBdr>
        <w:top w:val="none" w:sz="0" w:space="0" w:color="auto"/>
        <w:left w:val="none" w:sz="0" w:space="0" w:color="auto"/>
        <w:bottom w:val="none" w:sz="0" w:space="0" w:color="auto"/>
        <w:right w:val="none" w:sz="0" w:space="0" w:color="auto"/>
      </w:divBdr>
    </w:div>
    <w:div w:id="2011520909">
      <w:bodyDiv w:val="1"/>
      <w:marLeft w:val="0"/>
      <w:marRight w:val="0"/>
      <w:marTop w:val="0"/>
      <w:marBottom w:val="0"/>
      <w:divBdr>
        <w:top w:val="none" w:sz="0" w:space="0" w:color="auto"/>
        <w:left w:val="none" w:sz="0" w:space="0" w:color="auto"/>
        <w:bottom w:val="none" w:sz="0" w:space="0" w:color="auto"/>
        <w:right w:val="none" w:sz="0" w:space="0" w:color="auto"/>
      </w:divBdr>
    </w:div>
    <w:div w:id="2015377377">
      <w:bodyDiv w:val="1"/>
      <w:marLeft w:val="0"/>
      <w:marRight w:val="0"/>
      <w:marTop w:val="0"/>
      <w:marBottom w:val="0"/>
      <w:divBdr>
        <w:top w:val="none" w:sz="0" w:space="0" w:color="auto"/>
        <w:left w:val="none" w:sz="0" w:space="0" w:color="auto"/>
        <w:bottom w:val="none" w:sz="0" w:space="0" w:color="auto"/>
        <w:right w:val="none" w:sz="0" w:space="0" w:color="auto"/>
      </w:divBdr>
    </w:div>
    <w:div w:id="2019691635">
      <w:bodyDiv w:val="1"/>
      <w:marLeft w:val="0"/>
      <w:marRight w:val="0"/>
      <w:marTop w:val="0"/>
      <w:marBottom w:val="0"/>
      <w:divBdr>
        <w:top w:val="none" w:sz="0" w:space="0" w:color="auto"/>
        <w:left w:val="none" w:sz="0" w:space="0" w:color="auto"/>
        <w:bottom w:val="none" w:sz="0" w:space="0" w:color="auto"/>
        <w:right w:val="none" w:sz="0" w:space="0" w:color="auto"/>
      </w:divBdr>
    </w:div>
    <w:div w:id="2025208388">
      <w:bodyDiv w:val="1"/>
      <w:marLeft w:val="0"/>
      <w:marRight w:val="0"/>
      <w:marTop w:val="0"/>
      <w:marBottom w:val="0"/>
      <w:divBdr>
        <w:top w:val="none" w:sz="0" w:space="0" w:color="auto"/>
        <w:left w:val="none" w:sz="0" w:space="0" w:color="auto"/>
        <w:bottom w:val="none" w:sz="0" w:space="0" w:color="auto"/>
        <w:right w:val="none" w:sz="0" w:space="0" w:color="auto"/>
      </w:divBdr>
    </w:div>
    <w:div w:id="2062441083">
      <w:bodyDiv w:val="1"/>
      <w:marLeft w:val="0"/>
      <w:marRight w:val="0"/>
      <w:marTop w:val="0"/>
      <w:marBottom w:val="0"/>
      <w:divBdr>
        <w:top w:val="none" w:sz="0" w:space="0" w:color="auto"/>
        <w:left w:val="none" w:sz="0" w:space="0" w:color="auto"/>
        <w:bottom w:val="none" w:sz="0" w:space="0" w:color="auto"/>
        <w:right w:val="none" w:sz="0" w:space="0" w:color="auto"/>
      </w:divBdr>
    </w:div>
    <w:div w:id="2073580867">
      <w:bodyDiv w:val="1"/>
      <w:marLeft w:val="0"/>
      <w:marRight w:val="0"/>
      <w:marTop w:val="0"/>
      <w:marBottom w:val="0"/>
      <w:divBdr>
        <w:top w:val="none" w:sz="0" w:space="0" w:color="auto"/>
        <w:left w:val="none" w:sz="0" w:space="0" w:color="auto"/>
        <w:bottom w:val="none" w:sz="0" w:space="0" w:color="auto"/>
        <w:right w:val="none" w:sz="0" w:space="0" w:color="auto"/>
      </w:divBdr>
    </w:div>
    <w:div w:id="2099673191">
      <w:bodyDiv w:val="1"/>
      <w:marLeft w:val="0"/>
      <w:marRight w:val="0"/>
      <w:marTop w:val="0"/>
      <w:marBottom w:val="0"/>
      <w:divBdr>
        <w:top w:val="none" w:sz="0" w:space="0" w:color="auto"/>
        <w:left w:val="none" w:sz="0" w:space="0" w:color="auto"/>
        <w:bottom w:val="none" w:sz="0" w:space="0" w:color="auto"/>
        <w:right w:val="none" w:sz="0" w:space="0" w:color="auto"/>
      </w:divBdr>
    </w:div>
    <w:div w:id="2111967802">
      <w:bodyDiv w:val="1"/>
      <w:marLeft w:val="0"/>
      <w:marRight w:val="0"/>
      <w:marTop w:val="0"/>
      <w:marBottom w:val="0"/>
      <w:divBdr>
        <w:top w:val="none" w:sz="0" w:space="0" w:color="auto"/>
        <w:left w:val="none" w:sz="0" w:space="0" w:color="auto"/>
        <w:bottom w:val="none" w:sz="0" w:space="0" w:color="auto"/>
        <w:right w:val="none" w:sz="0" w:space="0" w:color="auto"/>
      </w:divBdr>
    </w:div>
    <w:div w:id="2116363751">
      <w:bodyDiv w:val="1"/>
      <w:marLeft w:val="0"/>
      <w:marRight w:val="0"/>
      <w:marTop w:val="0"/>
      <w:marBottom w:val="0"/>
      <w:divBdr>
        <w:top w:val="none" w:sz="0" w:space="0" w:color="auto"/>
        <w:left w:val="none" w:sz="0" w:space="0" w:color="auto"/>
        <w:bottom w:val="none" w:sz="0" w:space="0" w:color="auto"/>
        <w:right w:val="none" w:sz="0" w:space="0" w:color="auto"/>
      </w:divBdr>
    </w:div>
    <w:div w:id="2132701173">
      <w:bodyDiv w:val="1"/>
      <w:marLeft w:val="0"/>
      <w:marRight w:val="0"/>
      <w:marTop w:val="0"/>
      <w:marBottom w:val="0"/>
      <w:divBdr>
        <w:top w:val="none" w:sz="0" w:space="0" w:color="auto"/>
        <w:left w:val="none" w:sz="0" w:space="0" w:color="auto"/>
        <w:bottom w:val="none" w:sz="0" w:space="0" w:color="auto"/>
        <w:right w:val="none" w:sz="0" w:space="0" w:color="auto"/>
      </w:divBdr>
    </w:div>
    <w:div w:id="21419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inances.gov.ma/fr/Pages/Gestion-entreprises-publics.aspx?m=NOS%20METIERS" TargetMode="External"/><Relationship Id="rId20" Type="http://schemas.openxmlformats.org/officeDocument/2006/relationships/image" Target="media/image6.png"/><Relationship Id="rId29"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D016F2.2F56F8B0" TargetMode="Externa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inances.gov.ma/fr/Pages/Gestion-entreprises-publics.aspx?m=NOS%20METIERS" TargetMode="External"/><Relationship Id="rId23" Type="http://schemas.openxmlformats.org/officeDocument/2006/relationships/footer" Target="footer4.xml"/><Relationship Id="rId28" Type="http://schemas.openxmlformats.org/officeDocument/2006/relationships/hyperlink" Target="http://www.courdescomptes.ma"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nances.gov.ma/fr/Pages/Gestion-entreprises-publics.aspx?m=NOS%20METIERS" TargetMode="External"/><Relationship Id="rId22" Type="http://schemas.openxmlformats.org/officeDocument/2006/relationships/footer" Target="footer3.xml"/><Relationship Id="rId27" Type="http://schemas.openxmlformats.org/officeDocument/2006/relationships/hyperlink" Target="http://www.pncl.gov.ma" TargetMode="External"/><Relationship Id="rId30" Type="http://schemas.openxmlformats.org/officeDocument/2006/relationships/hyperlink" Target="http://www.sgg.gov.m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rchespublics.gov.ma" TargetMode="External"/><Relationship Id="rId1" Type="http://schemas.openxmlformats.org/officeDocument/2006/relationships/hyperlink" Target="http://www.ppi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3503-F840-4117-A10C-8D340F36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52247</Words>
  <Characters>297810</Characters>
  <Application>Microsoft Office Word</Application>
  <DocSecurity>0</DocSecurity>
  <Lines>2481</Lines>
  <Paragraphs>698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Évaluation PEFA de la CUA</vt:lpstr>
      <vt:lpstr>Évaluation PEFA de la CUA</vt:lpstr>
      <vt:lpstr>Évaluation PEFA de la CUA</vt:lpstr>
    </vt:vector>
  </TitlesOfParts>
  <Company>Microsoft</Company>
  <LinksUpToDate>false</LinksUpToDate>
  <CharactersWithSpaces>349359</CharactersWithSpaces>
  <SharedDoc>false</SharedDoc>
  <HLinks>
    <vt:vector size="216" baseType="variant">
      <vt:variant>
        <vt:i4>7077945</vt:i4>
      </vt:variant>
      <vt:variant>
        <vt:i4>168</vt:i4>
      </vt:variant>
      <vt:variant>
        <vt:i4>0</vt:i4>
      </vt:variant>
      <vt:variant>
        <vt:i4>5</vt:i4>
      </vt:variant>
      <vt:variant>
        <vt:lpwstr>http://www.sgg.gov.ma/</vt:lpwstr>
      </vt:variant>
      <vt:variant>
        <vt:lpwstr/>
      </vt:variant>
      <vt:variant>
        <vt:i4>5111900</vt:i4>
      </vt:variant>
      <vt:variant>
        <vt:i4>165</vt:i4>
      </vt:variant>
      <vt:variant>
        <vt:i4>0</vt:i4>
      </vt:variant>
      <vt:variant>
        <vt:i4>5</vt:i4>
      </vt:variant>
      <vt:variant>
        <vt:lpwstr>http://www.pefa.org/</vt:lpwstr>
      </vt:variant>
      <vt:variant>
        <vt:lpwstr/>
      </vt:variant>
      <vt:variant>
        <vt:i4>2031692</vt:i4>
      </vt:variant>
      <vt:variant>
        <vt:i4>162</vt:i4>
      </vt:variant>
      <vt:variant>
        <vt:i4>0</vt:i4>
      </vt:variant>
      <vt:variant>
        <vt:i4>5</vt:i4>
      </vt:variant>
      <vt:variant>
        <vt:lpwstr>http://www.courdescomptes.ma/</vt:lpwstr>
      </vt:variant>
      <vt:variant>
        <vt:lpwstr/>
      </vt:variant>
      <vt:variant>
        <vt:i4>3538990</vt:i4>
      </vt:variant>
      <vt:variant>
        <vt:i4>159</vt:i4>
      </vt:variant>
      <vt:variant>
        <vt:i4>0</vt:i4>
      </vt:variant>
      <vt:variant>
        <vt:i4>5</vt:i4>
      </vt:variant>
      <vt:variant>
        <vt:lpwstr>http://www.pncl.gov.ma/</vt:lpwstr>
      </vt:variant>
      <vt:variant>
        <vt:lpwstr/>
      </vt:variant>
      <vt:variant>
        <vt:i4>852044</vt:i4>
      </vt:variant>
      <vt:variant>
        <vt:i4>156</vt:i4>
      </vt:variant>
      <vt:variant>
        <vt:i4>0</vt:i4>
      </vt:variant>
      <vt:variant>
        <vt:i4>5</vt:i4>
      </vt:variant>
      <vt:variant>
        <vt:lpwstr>http://www.agadir.ma/</vt:lpwstr>
      </vt:variant>
      <vt:variant>
        <vt:lpwstr/>
      </vt:variant>
      <vt:variant>
        <vt:i4>5963843</vt:i4>
      </vt:variant>
      <vt:variant>
        <vt:i4>153</vt:i4>
      </vt:variant>
      <vt:variant>
        <vt:i4>0</vt:i4>
      </vt:variant>
      <vt:variant>
        <vt:i4>5</vt:i4>
      </vt:variant>
      <vt:variant>
        <vt:lpwstr>http://www.marchespublics.gov.ma/</vt:lpwstr>
      </vt:variant>
      <vt:variant>
        <vt:lpwstr/>
      </vt:variant>
      <vt:variant>
        <vt:i4>6225927</vt:i4>
      </vt:variant>
      <vt:variant>
        <vt:i4>150</vt:i4>
      </vt:variant>
      <vt:variant>
        <vt:i4>0</vt:i4>
      </vt:variant>
      <vt:variant>
        <vt:i4>5</vt:i4>
      </vt:variant>
      <vt:variant>
        <vt:lpwstr>https://www.marchespublics.gov.ma/pmmp/spip.php?rubrique6&amp;lang=fr</vt:lpwstr>
      </vt:variant>
      <vt:variant>
        <vt:lpwstr/>
      </vt:variant>
      <vt:variant>
        <vt:i4>852044</vt:i4>
      </vt:variant>
      <vt:variant>
        <vt:i4>147</vt:i4>
      </vt:variant>
      <vt:variant>
        <vt:i4>0</vt:i4>
      </vt:variant>
      <vt:variant>
        <vt:i4>5</vt:i4>
      </vt:variant>
      <vt:variant>
        <vt:lpwstr>http://www.agadir.ma/</vt:lpwstr>
      </vt:variant>
      <vt:variant>
        <vt:lpwstr/>
      </vt:variant>
      <vt:variant>
        <vt:i4>1179697</vt:i4>
      </vt:variant>
      <vt:variant>
        <vt:i4>140</vt:i4>
      </vt:variant>
      <vt:variant>
        <vt:i4>0</vt:i4>
      </vt:variant>
      <vt:variant>
        <vt:i4>5</vt:i4>
      </vt:variant>
      <vt:variant>
        <vt:lpwstr/>
      </vt:variant>
      <vt:variant>
        <vt:lpwstr>_Toc412839454</vt:lpwstr>
      </vt:variant>
      <vt:variant>
        <vt:i4>1179697</vt:i4>
      </vt:variant>
      <vt:variant>
        <vt:i4>134</vt:i4>
      </vt:variant>
      <vt:variant>
        <vt:i4>0</vt:i4>
      </vt:variant>
      <vt:variant>
        <vt:i4>5</vt:i4>
      </vt:variant>
      <vt:variant>
        <vt:lpwstr/>
      </vt:variant>
      <vt:variant>
        <vt:lpwstr>_Toc412839453</vt:lpwstr>
      </vt:variant>
      <vt:variant>
        <vt:i4>1179697</vt:i4>
      </vt:variant>
      <vt:variant>
        <vt:i4>128</vt:i4>
      </vt:variant>
      <vt:variant>
        <vt:i4>0</vt:i4>
      </vt:variant>
      <vt:variant>
        <vt:i4>5</vt:i4>
      </vt:variant>
      <vt:variant>
        <vt:lpwstr/>
      </vt:variant>
      <vt:variant>
        <vt:lpwstr>_Toc412839452</vt:lpwstr>
      </vt:variant>
      <vt:variant>
        <vt:i4>1179697</vt:i4>
      </vt:variant>
      <vt:variant>
        <vt:i4>122</vt:i4>
      </vt:variant>
      <vt:variant>
        <vt:i4>0</vt:i4>
      </vt:variant>
      <vt:variant>
        <vt:i4>5</vt:i4>
      </vt:variant>
      <vt:variant>
        <vt:lpwstr/>
      </vt:variant>
      <vt:variant>
        <vt:lpwstr>_Toc412839451</vt:lpwstr>
      </vt:variant>
      <vt:variant>
        <vt:i4>1179697</vt:i4>
      </vt:variant>
      <vt:variant>
        <vt:i4>116</vt:i4>
      </vt:variant>
      <vt:variant>
        <vt:i4>0</vt:i4>
      </vt:variant>
      <vt:variant>
        <vt:i4>5</vt:i4>
      </vt:variant>
      <vt:variant>
        <vt:lpwstr/>
      </vt:variant>
      <vt:variant>
        <vt:lpwstr>_Toc412839450</vt:lpwstr>
      </vt:variant>
      <vt:variant>
        <vt:i4>1245233</vt:i4>
      </vt:variant>
      <vt:variant>
        <vt:i4>110</vt:i4>
      </vt:variant>
      <vt:variant>
        <vt:i4>0</vt:i4>
      </vt:variant>
      <vt:variant>
        <vt:i4>5</vt:i4>
      </vt:variant>
      <vt:variant>
        <vt:lpwstr/>
      </vt:variant>
      <vt:variant>
        <vt:lpwstr>_Toc412839449</vt:lpwstr>
      </vt:variant>
      <vt:variant>
        <vt:i4>1245233</vt:i4>
      </vt:variant>
      <vt:variant>
        <vt:i4>104</vt:i4>
      </vt:variant>
      <vt:variant>
        <vt:i4>0</vt:i4>
      </vt:variant>
      <vt:variant>
        <vt:i4>5</vt:i4>
      </vt:variant>
      <vt:variant>
        <vt:lpwstr/>
      </vt:variant>
      <vt:variant>
        <vt:lpwstr>_Toc412839448</vt:lpwstr>
      </vt:variant>
      <vt:variant>
        <vt:i4>1245233</vt:i4>
      </vt:variant>
      <vt:variant>
        <vt:i4>98</vt:i4>
      </vt:variant>
      <vt:variant>
        <vt:i4>0</vt:i4>
      </vt:variant>
      <vt:variant>
        <vt:i4>5</vt:i4>
      </vt:variant>
      <vt:variant>
        <vt:lpwstr/>
      </vt:variant>
      <vt:variant>
        <vt:lpwstr>_Toc412839447</vt:lpwstr>
      </vt:variant>
      <vt:variant>
        <vt:i4>1245233</vt:i4>
      </vt:variant>
      <vt:variant>
        <vt:i4>92</vt:i4>
      </vt:variant>
      <vt:variant>
        <vt:i4>0</vt:i4>
      </vt:variant>
      <vt:variant>
        <vt:i4>5</vt:i4>
      </vt:variant>
      <vt:variant>
        <vt:lpwstr/>
      </vt:variant>
      <vt:variant>
        <vt:lpwstr>_Toc412839446</vt:lpwstr>
      </vt:variant>
      <vt:variant>
        <vt:i4>1245233</vt:i4>
      </vt:variant>
      <vt:variant>
        <vt:i4>86</vt:i4>
      </vt:variant>
      <vt:variant>
        <vt:i4>0</vt:i4>
      </vt:variant>
      <vt:variant>
        <vt:i4>5</vt:i4>
      </vt:variant>
      <vt:variant>
        <vt:lpwstr/>
      </vt:variant>
      <vt:variant>
        <vt:lpwstr>_Toc412839445</vt:lpwstr>
      </vt:variant>
      <vt:variant>
        <vt:i4>1245233</vt:i4>
      </vt:variant>
      <vt:variant>
        <vt:i4>80</vt:i4>
      </vt:variant>
      <vt:variant>
        <vt:i4>0</vt:i4>
      </vt:variant>
      <vt:variant>
        <vt:i4>5</vt:i4>
      </vt:variant>
      <vt:variant>
        <vt:lpwstr/>
      </vt:variant>
      <vt:variant>
        <vt:lpwstr>_Toc412839443</vt:lpwstr>
      </vt:variant>
      <vt:variant>
        <vt:i4>1245233</vt:i4>
      </vt:variant>
      <vt:variant>
        <vt:i4>74</vt:i4>
      </vt:variant>
      <vt:variant>
        <vt:i4>0</vt:i4>
      </vt:variant>
      <vt:variant>
        <vt:i4>5</vt:i4>
      </vt:variant>
      <vt:variant>
        <vt:lpwstr/>
      </vt:variant>
      <vt:variant>
        <vt:lpwstr>_Toc412839442</vt:lpwstr>
      </vt:variant>
      <vt:variant>
        <vt:i4>1245233</vt:i4>
      </vt:variant>
      <vt:variant>
        <vt:i4>68</vt:i4>
      </vt:variant>
      <vt:variant>
        <vt:i4>0</vt:i4>
      </vt:variant>
      <vt:variant>
        <vt:i4>5</vt:i4>
      </vt:variant>
      <vt:variant>
        <vt:lpwstr/>
      </vt:variant>
      <vt:variant>
        <vt:lpwstr>_Toc412839441</vt:lpwstr>
      </vt:variant>
      <vt:variant>
        <vt:i4>1245233</vt:i4>
      </vt:variant>
      <vt:variant>
        <vt:i4>62</vt:i4>
      </vt:variant>
      <vt:variant>
        <vt:i4>0</vt:i4>
      </vt:variant>
      <vt:variant>
        <vt:i4>5</vt:i4>
      </vt:variant>
      <vt:variant>
        <vt:lpwstr/>
      </vt:variant>
      <vt:variant>
        <vt:lpwstr>_Toc412839440</vt:lpwstr>
      </vt:variant>
      <vt:variant>
        <vt:i4>1310769</vt:i4>
      </vt:variant>
      <vt:variant>
        <vt:i4>56</vt:i4>
      </vt:variant>
      <vt:variant>
        <vt:i4>0</vt:i4>
      </vt:variant>
      <vt:variant>
        <vt:i4>5</vt:i4>
      </vt:variant>
      <vt:variant>
        <vt:lpwstr/>
      </vt:variant>
      <vt:variant>
        <vt:lpwstr>_Toc412839436</vt:lpwstr>
      </vt:variant>
      <vt:variant>
        <vt:i4>1310769</vt:i4>
      </vt:variant>
      <vt:variant>
        <vt:i4>50</vt:i4>
      </vt:variant>
      <vt:variant>
        <vt:i4>0</vt:i4>
      </vt:variant>
      <vt:variant>
        <vt:i4>5</vt:i4>
      </vt:variant>
      <vt:variant>
        <vt:lpwstr/>
      </vt:variant>
      <vt:variant>
        <vt:lpwstr>_Toc412839435</vt:lpwstr>
      </vt:variant>
      <vt:variant>
        <vt:i4>1310769</vt:i4>
      </vt:variant>
      <vt:variant>
        <vt:i4>44</vt:i4>
      </vt:variant>
      <vt:variant>
        <vt:i4>0</vt:i4>
      </vt:variant>
      <vt:variant>
        <vt:i4>5</vt:i4>
      </vt:variant>
      <vt:variant>
        <vt:lpwstr/>
      </vt:variant>
      <vt:variant>
        <vt:lpwstr>_Toc412839430</vt:lpwstr>
      </vt:variant>
      <vt:variant>
        <vt:i4>1376305</vt:i4>
      </vt:variant>
      <vt:variant>
        <vt:i4>38</vt:i4>
      </vt:variant>
      <vt:variant>
        <vt:i4>0</vt:i4>
      </vt:variant>
      <vt:variant>
        <vt:i4>5</vt:i4>
      </vt:variant>
      <vt:variant>
        <vt:lpwstr/>
      </vt:variant>
      <vt:variant>
        <vt:lpwstr>_Toc412839429</vt:lpwstr>
      </vt:variant>
      <vt:variant>
        <vt:i4>1376305</vt:i4>
      </vt:variant>
      <vt:variant>
        <vt:i4>32</vt:i4>
      </vt:variant>
      <vt:variant>
        <vt:i4>0</vt:i4>
      </vt:variant>
      <vt:variant>
        <vt:i4>5</vt:i4>
      </vt:variant>
      <vt:variant>
        <vt:lpwstr/>
      </vt:variant>
      <vt:variant>
        <vt:lpwstr>_Toc412839428</vt:lpwstr>
      </vt:variant>
      <vt:variant>
        <vt:i4>1376305</vt:i4>
      </vt:variant>
      <vt:variant>
        <vt:i4>26</vt:i4>
      </vt:variant>
      <vt:variant>
        <vt:i4>0</vt:i4>
      </vt:variant>
      <vt:variant>
        <vt:i4>5</vt:i4>
      </vt:variant>
      <vt:variant>
        <vt:lpwstr/>
      </vt:variant>
      <vt:variant>
        <vt:lpwstr>_Toc412839427</vt:lpwstr>
      </vt:variant>
      <vt:variant>
        <vt:i4>1376305</vt:i4>
      </vt:variant>
      <vt:variant>
        <vt:i4>20</vt:i4>
      </vt:variant>
      <vt:variant>
        <vt:i4>0</vt:i4>
      </vt:variant>
      <vt:variant>
        <vt:i4>5</vt:i4>
      </vt:variant>
      <vt:variant>
        <vt:lpwstr/>
      </vt:variant>
      <vt:variant>
        <vt:lpwstr>_Toc412839426</vt:lpwstr>
      </vt:variant>
      <vt:variant>
        <vt:i4>1376305</vt:i4>
      </vt:variant>
      <vt:variant>
        <vt:i4>14</vt:i4>
      </vt:variant>
      <vt:variant>
        <vt:i4>0</vt:i4>
      </vt:variant>
      <vt:variant>
        <vt:i4>5</vt:i4>
      </vt:variant>
      <vt:variant>
        <vt:lpwstr/>
      </vt:variant>
      <vt:variant>
        <vt:lpwstr>_Toc412839423</vt:lpwstr>
      </vt:variant>
      <vt:variant>
        <vt:i4>1376305</vt:i4>
      </vt:variant>
      <vt:variant>
        <vt:i4>8</vt:i4>
      </vt:variant>
      <vt:variant>
        <vt:i4>0</vt:i4>
      </vt:variant>
      <vt:variant>
        <vt:i4>5</vt:i4>
      </vt:variant>
      <vt:variant>
        <vt:lpwstr/>
      </vt:variant>
      <vt:variant>
        <vt:lpwstr>_Toc412839422</vt:lpwstr>
      </vt:variant>
      <vt:variant>
        <vt:i4>1376305</vt:i4>
      </vt:variant>
      <vt:variant>
        <vt:i4>2</vt:i4>
      </vt:variant>
      <vt:variant>
        <vt:i4>0</vt:i4>
      </vt:variant>
      <vt:variant>
        <vt:i4>5</vt:i4>
      </vt:variant>
      <vt:variant>
        <vt:lpwstr/>
      </vt:variant>
      <vt:variant>
        <vt:lpwstr>_Toc412839421</vt:lpwstr>
      </vt:variant>
      <vt:variant>
        <vt:i4>5963843</vt:i4>
      </vt:variant>
      <vt:variant>
        <vt:i4>6</vt:i4>
      </vt:variant>
      <vt:variant>
        <vt:i4>0</vt:i4>
      </vt:variant>
      <vt:variant>
        <vt:i4>5</vt:i4>
      </vt:variant>
      <vt:variant>
        <vt:lpwstr>http://www.marchespublics.gov.ma/</vt:lpwstr>
      </vt:variant>
      <vt:variant>
        <vt:lpwstr/>
      </vt:variant>
      <vt:variant>
        <vt:i4>1835096</vt:i4>
      </vt:variant>
      <vt:variant>
        <vt:i4>3</vt:i4>
      </vt:variant>
      <vt:variant>
        <vt:i4>0</vt:i4>
      </vt:variant>
      <vt:variant>
        <vt:i4>5</vt:i4>
      </vt:variant>
      <vt:variant>
        <vt:lpwstr>http://www.courdescomptes.ma/fr/Page-27/publications/rapport-annuel/rapport-annuel-de-la-cour-des-comptes-2012/1-47/</vt:lpwstr>
      </vt:variant>
      <vt:variant>
        <vt:lpwstr/>
      </vt:variant>
      <vt:variant>
        <vt:i4>6029341</vt:i4>
      </vt:variant>
      <vt:variant>
        <vt:i4>0</vt:i4>
      </vt:variant>
      <vt:variant>
        <vt:i4>0</vt:i4>
      </vt:variant>
      <vt:variant>
        <vt:i4>5</vt:i4>
      </vt:variant>
      <vt:variant>
        <vt:lpwstr>http://www.ppiaf.org/</vt:lpwstr>
      </vt:variant>
      <vt:variant>
        <vt:lpwstr/>
      </vt:variant>
      <vt:variant>
        <vt:i4>2883675</vt:i4>
      </vt:variant>
      <vt:variant>
        <vt:i4>-1</vt:i4>
      </vt:variant>
      <vt:variant>
        <vt:i4>1260</vt:i4>
      </vt:variant>
      <vt:variant>
        <vt:i4>1</vt:i4>
      </vt:variant>
      <vt:variant>
        <vt:lpwstr>cid:image001.gif@01D016F2.2F56F8B0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PEFA de la CUA</dc:title>
  <dc:subject>PEFA</dc:subject>
  <dc:creator>GC-AA</dc:creator>
  <cp:keywords>Rapport Préliminaire PEFA de Cotonou</cp:keywords>
  <cp:lastModifiedBy>Lina Janenaite</cp:lastModifiedBy>
  <cp:revision>2</cp:revision>
  <cp:lastPrinted>2015-02-28T15:09:00Z</cp:lastPrinted>
  <dcterms:created xsi:type="dcterms:W3CDTF">2016-07-07T19:03:00Z</dcterms:created>
  <dcterms:modified xsi:type="dcterms:W3CDTF">2016-07-07T19:03:00Z</dcterms:modified>
</cp:coreProperties>
</file>