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D2D" w:rsidRPr="00F52105" w:rsidRDefault="00196D2D" w:rsidP="00196D2D">
      <w:pPr>
        <w:rPr>
          <w:b/>
          <w:bCs/>
          <w:szCs w:val="22"/>
        </w:rPr>
      </w:pPr>
      <w:bookmarkStart w:id="0" w:name="_GoBack"/>
      <w:bookmarkEnd w:id="0"/>
      <w:r w:rsidRPr="00F52105">
        <w:rPr>
          <w:b/>
          <w:bCs/>
          <w:szCs w:val="22"/>
        </w:rPr>
        <w:t xml:space="preserve">Report No. </w:t>
      </w:r>
      <w:r w:rsidR="00FA749C" w:rsidRPr="00FA749C">
        <w:rPr>
          <w:b/>
          <w:bCs/>
          <w:szCs w:val="22"/>
        </w:rPr>
        <w:t>70645-AF</w:t>
      </w:r>
    </w:p>
    <w:p w:rsidR="00196D2D" w:rsidRPr="00F52105" w:rsidRDefault="00196D2D" w:rsidP="00196D2D">
      <w:pPr>
        <w:jc w:val="center"/>
        <w:rPr>
          <w:b/>
          <w:bCs/>
          <w:sz w:val="28"/>
          <w:szCs w:val="28"/>
        </w:rPr>
      </w:pPr>
    </w:p>
    <w:p w:rsidR="00196D2D" w:rsidRPr="00F52105" w:rsidRDefault="00196D2D" w:rsidP="00196D2D">
      <w:pPr>
        <w:rPr>
          <w:rFonts w:ascii="Palatino Linotype" w:hAnsi="Palatino Linotype"/>
          <w:b/>
          <w:bCs/>
          <w:i/>
          <w:sz w:val="40"/>
          <w:szCs w:val="40"/>
        </w:rPr>
      </w:pPr>
    </w:p>
    <w:p w:rsidR="00196D2D" w:rsidRPr="006C766C" w:rsidRDefault="00196D2D" w:rsidP="00196D2D">
      <w:pPr>
        <w:jc w:val="center"/>
        <w:rPr>
          <w:rFonts w:cstheme="minorHAnsi"/>
          <w:b/>
          <w:bCs/>
          <w:color w:val="200041" w:themeColor="text1" w:themeShade="80"/>
          <w:sz w:val="44"/>
          <w:szCs w:val="44"/>
        </w:rPr>
      </w:pPr>
      <w:r w:rsidRPr="006C766C">
        <w:rPr>
          <w:rFonts w:cstheme="minorHAnsi"/>
          <w:b/>
          <w:bCs/>
          <w:color w:val="200041" w:themeColor="text1" w:themeShade="80"/>
          <w:sz w:val="44"/>
          <w:szCs w:val="44"/>
        </w:rPr>
        <w:t>Afghanistan Diagnostics Trade Integration Study (DTIS):</w:t>
      </w:r>
    </w:p>
    <w:p w:rsidR="00196D2D" w:rsidRDefault="00196D2D" w:rsidP="00196D2D">
      <w:pPr>
        <w:rPr>
          <w:b/>
          <w:bCs/>
          <w:sz w:val="28"/>
          <w:szCs w:val="28"/>
        </w:rPr>
      </w:pPr>
    </w:p>
    <w:p w:rsidR="00196D2D" w:rsidRPr="00C231B8" w:rsidRDefault="00196D2D" w:rsidP="00196D2D">
      <w:pPr>
        <w:rPr>
          <w:b/>
          <w:bCs/>
          <w:i/>
          <w:sz w:val="28"/>
          <w:szCs w:val="28"/>
        </w:rPr>
      </w:pPr>
    </w:p>
    <w:p w:rsidR="00196D2D" w:rsidRPr="00C231B8" w:rsidRDefault="00196D2D" w:rsidP="00196D2D">
      <w:pPr>
        <w:rPr>
          <w:b/>
          <w:bCs/>
          <w:szCs w:val="22"/>
        </w:rPr>
      </w:pPr>
    </w:p>
    <w:p w:rsidR="00196D2D" w:rsidRDefault="00590524" w:rsidP="00554E4E">
      <w:pPr>
        <w:jc w:val="center"/>
        <w:rPr>
          <w:b/>
          <w:bCs/>
          <w:szCs w:val="22"/>
        </w:rPr>
      </w:pPr>
      <w:r>
        <w:rPr>
          <w:b/>
          <w:bCs/>
          <w:szCs w:val="22"/>
        </w:rPr>
        <w:t>November</w:t>
      </w:r>
      <w:r w:rsidR="00196D2D">
        <w:rPr>
          <w:b/>
          <w:bCs/>
          <w:szCs w:val="22"/>
        </w:rPr>
        <w:t>, 2012</w:t>
      </w:r>
    </w:p>
    <w:p w:rsidR="00F71015" w:rsidRDefault="00F71015" w:rsidP="00554E4E">
      <w:pPr>
        <w:jc w:val="center"/>
        <w:rPr>
          <w:b/>
          <w:bCs/>
          <w:szCs w:val="22"/>
        </w:rPr>
      </w:pPr>
    </w:p>
    <w:p w:rsidR="00196D2D" w:rsidRDefault="00196D2D" w:rsidP="00196D2D">
      <w:pPr>
        <w:jc w:val="center"/>
        <w:rPr>
          <w:b/>
          <w:bCs/>
          <w:sz w:val="28"/>
          <w:szCs w:val="28"/>
        </w:rPr>
      </w:pPr>
    </w:p>
    <w:p w:rsidR="00554E4E" w:rsidRDefault="00554E4E" w:rsidP="00196D2D">
      <w:pPr>
        <w:jc w:val="center"/>
        <w:rPr>
          <w:b/>
          <w:bCs/>
          <w:sz w:val="28"/>
          <w:szCs w:val="28"/>
        </w:rPr>
      </w:pPr>
    </w:p>
    <w:p w:rsidR="00554E4E" w:rsidRDefault="00554E4E" w:rsidP="00196D2D">
      <w:pPr>
        <w:jc w:val="center"/>
        <w:rPr>
          <w:b/>
          <w:bCs/>
          <w:sz w:val="28"/>
          <w:szCs w:val="28"/>
        </w:rPr>
      </w:pPr>
    </w:p>
    <w:p w:rsidR="00554E4E" w:rsidRDefault="00554E4E" w:rsidP="00196D2D">
      <w:pPr>
        <w:jc w:val="center"/>
        <w:rPr>
          <w:b/>
          <w:bCs/>
          <w:sz w:val="28"/>
          <w:szCs w:val="28"/>
        </w:rPr>
      </w:pPr>
    </w:p>
    <w:p w:rsidR="00196D2D" w:rsidRDefault="00196D2D" w:rsidP="00196D2D">
      <w:pPr>
        <w:jc w:val="center"/>
        <w:rPr>
          <w:b/>
          <w:bCs/>
          <w:sz w:val="28"/>
          <w:szCs w:val="28"/>
        </w:rPr>
      </w:pPr>
    </w:p>
    <w:p w:rsidR="00FC48D4" w:rsidRDefault="00FC48D4" w:rsidP="00196D2D">
      <w:pPr>
        <w:jc w:val="center"/>
        <w:rPr>
          <w:b/>
          <w:bCs/>
          <w:sz w:val="28"/>
          <w:szCs w:val="28"/>
        </w:rPr>
      </w:pPr>
    </w:p>
    <w:p w:rsidR="005E4B18" w:rsidRDefault="005E4B18" w:rsidP="00196D2D">
      <w:pPr>
        <w:jc w:val="center"/>
        <w:rPr>
          <w:b/>
          <w:bCs/>
          <w:sz w:val="28"/>
          <w:szCs w:val="28"/>
        </w:rPr>
      </w:pPr>
    </w:p>
    <w:p w:rsidR="005E4B18" w:rsidRDefault="005E4B18" w:rsidP="00196D2D">
      <w:pPr>
        <w:jc w:val="center"/>
        <w:rPr>
          <w:b/>
          <w:bCs/>
          <w:sz w:val="28"/>
          <w:szCs w:val="28"/>
        </w:rPr>
      </w:pPr>
    </w:p>
    <w:p w:rsidR="005E4B18" w:rsidRDefault="005E4B18" w:rsidP="00196D2D">
      <w:pPr>
        <w:jc w:val="center"/>
        <w:rPr>
          <w:b/>
          <w:bCs/>
          <w:sz w:val="28"/>
          <w:szCs w:val="28"/>
        </w:rPr>
      </w:pPr>
    </w:p>
    <w:p w:rsidR="00196D2D" w:rsidRPr="008B67D7" w:rsidRDefault="00196D2D" w:rsidP="00554E4E">
      <w:pPr>
        <w:jc w:val="center"/>
        <w:rPr>
          <w:b/>
          <w:szCs w:val="22"/>
        </w:rPr>
      </w:pPr>
      <w:r w:rsidRPr="008B67D7">
        <w:rPr>
          <w:b/>
          <w:szCs w:val="22"/>
        </w:rPr>
        <w:t>Poverty Reduction and Economic Management Unit</w:t>
      </w:r>
    </w:p>
    <w:p w:rsidR="00196D2D" w:rsidRDefault="00196D2D" w:rsidP="00554E4E">
      <w:pPr>
        <w:jc w:val="center"/>
        <w:rPr>
          <w:b/>
          <w:szCs w:val="22"/>
        </w:rPr>
      </w:pPr>
      <w:r w:rsidRPr="008B67D7">
        <w:rPr>
          <w:b/>
          <w:szCs w:val="22"/>
        </w:rPr>
        <w:t>South Asia Region</w:t>
      </w:r>
    </w:p>
    <w:p w:rsidR="005E4B18" w:rsidRDefault="005E4B18" w:rsidP="00554E4E">
      <w:pPr>
        <w:jc w:val="center"/>
        <w:rPr>
          <w:b/>
          <w:szCs w:val="22"/>
        </w:rPr>
      </w:pPr>
      <w:r>
        <w:rPr>
          <w:b/>
          <w:szCs w:val="22"/>
        </w:rPr>
        <w:t>The World Bank</w:t>
      </w:r>
    </w:p>
    <w:p w:rsidR="005E4B18" w:rsidRDefault="005E4B18" w:rsidP="005E4B18">
      <w:pPr>
        <w:jc w:val="left"/>
        <w:rPr>
          <w:b/>
          <w:noProof/>
          <w:sz w:val="28"/>
          <w:szCs w:val="28"/>
        </w:rPr>
      </w:pPr>
      <w:r>
        <w:rPr>
          <w:b/>
          <w:noProof/>
          <w:sz w:val="28"/>
          <w:szCs w:val="28"/>
          <w:lang w:bidi="ar-SA"/>
        </w:rPr>
        <w:drawing>
          <wp:inline distT="0" distB="0" distL="0" distR="0" wp14:anchorId="0425468A" wp14:editId="250FC499">
            <wp:extent cx="342900" cy="342900"/>
            <wp:effectExtent l="19050" t="0" r="0" b="0"/>
            <wp:docPr id="10" name="Picture 1" descr="wb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cube-s"/>
                    <pic:cNvPicPr>
                      <a:picLocks noChangeAspect="1" noChangeArrowheads="1"/>
                    </pic:cNvPicPr>
                  </pic:nvPicPr>
                  <pic:blipFill>
                    <a:blip r:embed="rId10"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r w:rsidR="00252647">
        <w:rPr>
          <w:b/>
          <w:noProof/>
          <w:sz w:val="28"/>
          <w:szCs w:val="28"/>
        </w:rPr>
        <w:br w:type="page"/>
      </w:r>
    </w:p>
    <w:p w:rsidR="00252647" w:rsidRDefault="00252647" w:rsidP="00252647">
      <w:pPr>
        <w:spacing w:line="240" w:lineRule="auto"/>
        <w:ind w:left="2160" w:firstLine="720"/>
        <w:rPr>
          <w:rFonts w:ascii="Calibri" w:hAnsi="Calibri"/>
          <w:b/>
        </w:rPr>
      </w:pPr>
      <w:r w:rsidRPr="00994A61">
        <w:rPr>
          <w:rFonts w:ascii="Calibri" w:hAnsi="Calibri"/>
          <w:b/>
        </w:rPr>
        <w:lastRenderedPageBreak/>
        <w:t>ABBREVIATION AND ACRONYMS</w:t>
      </w:r>
    </w:p>
    <w:p w:rsidR="005E4B18" w:rsidRDefault="005E4B18" w:rsidP="00252647">
      <w:pPr>
        <w:spacing w:line="240" w:lineRule="auto"/>
        <w:ind w:left="2160" w:firstLine="720"/>
        <w:rPr>
          <w:rFonts w:ascii="Calibri" w:hAnsi="Calibri"/>
          <w:b/>
        </w:rPr>
      </w:pPr>
    </w:p>
    <w:tbl>
      <w:tblPr>
        <w:tblW w:w="5000" w:type="pct"/>
        <w:tblLook w:val="04A0" w:firstRow="1" w:lastRow="0" w:firstColumn="1" w:lastColumn="0" w:noHBand="0" w:noVBand="1"/>
      </w:tblPr>
      <w:tblGrid>
        <w:gridCol w:w="1475"/>
        <w:gridCol w:w="7381"/>
      </w:tblGrid>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AAA</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Analytical and Advisory Activities</w:t>
            </w:r>
          </w:p>
        </w:tc>
      </w:tr>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AfTel</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Afghan Telecom</w:t>
            </w:r>
          </w:p>
        </w:tc>
      </w:tr>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ANDS</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Afghan National Development Strategy</w:t>
            </w:r>
          </w:p>
        </w:tc>
      </w:tr>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ANSF</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Afghan National Security Force</w:t>
            </w:r>
          </w:p>
        </w:tc>
      </w:tr>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ARTF</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Afghanistan Reconstruction Trust Fund</w:t>
            </w:r>
          </w:p>
        </w:tc>
      </w:tr>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ATRA</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Afghan Telecom Regulatory Agency</w:t>
            </w:r>
          </w:p>
        </w:tc>
      </w:tr>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CPI</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Consumer Price Inflation</w:t>
            </w:r>
          </w:p>
        </w:tc>
      </w:tr>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CSO</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Central Statistics Office</w:t>
            </w:r>
          </w:p>
        </w:tc>
      </w:tr>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DABS</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Da Afghanistan Breshna Sherkat</w:t>
            </w:r>
          </w:p>
        </w:tc>
      </w:tr>
      <w:tr w:rsidR="009D7EFC" w:rsidRPr="009D7EFC" w:rsidTr="00A867AB">
        <w:trPr>
          <w:trHeight w:hRule="exact" w:val="288"/>
        </w:trPr>
        <w:tc>
          <w:tcPr>
            <w:tcW w:w="833" w:type="pct"/>
            <w:shd w:val="clear" w:color="auto" w:fill="auto"/>
            <w:hideMark/>
          </w:tcPr>
          <w:p w:rsidR="009D7EFC" w:rsidRPr="009D7EFC" w:rsidRDefault="009D7EFC" w:rsidP="009D7EFC">
            <w:pPr>
              <w:rPr>
                <w:rFonts w:cstheme="minorHAnsi"/>
                <w:color w:val="000000"/>
                <w:sz w:val="20"/>
              </w:rPr>
            </w:pPr>
            <w:r w:rsidRPr="009D7EFC">
              <w:rPr>
                <w:rFonts w:cstheme="minorHAnsi"/>
                <w:color w:val="000000"/>
                <w:sz w:val="20"/>
              </w:rPr>
              <w:t>D</w:t>
            </w:r>
            <w:r>
              <w:rPr>
                <w:rFonts w:cstheme="minorHAnsi"/>
                <w:color w:val="000000"/>
                <w:sz w:val="20"/>
              </w:rPr>
              <w:t>TIS</w:t>
            </w:r>
          </w:p>
        </w:tc>
        <w:tc>
          <w:tcPr>
            <w:tcW w:w="4167" w:type="pct"/>
            <w:shd w:val="clear" w:color="auto" w:fill="auto"/>
            <w:hideMark/>
          </w:tcPr>
          <w:p w:rsidR="009D7EFC" w:rsidRPr="009D7EFC" w:rsidRDefault="009D7EFC" w:rsidP="009D7EFC">
            <w:pPr>
              <w:rPr>
                <w:rFonts w:cstheme="minorHAnsi"/>
                <w:color w:val="000000"/>
                <w:sz w:val="20"/>
              </w:rPr>
            </w:pPr>
            <w:r w:rsidRPr="009D7EFC">
              <w:rPr>
                <w:rFonts w:cstheme="minorHAnsi"/>
                <w:color w:val="000000"/>
                <w:sz w:val="20"/>
              </w:rPr>
              <w:t>D</w:t>
            </w:r>
            <w:r>
              <w:rPr>
                <w:rFonts w:cstheme="minorHAnsi"/>
                <w:color w:val="000000"/>
                <w:sz w:val="20"/>
              </w:rPr>
              <w:t>iagnostics Trade Integration Study</w:t>
            </w:r>
          </w:p>
        </w:tc>
      </w:tr>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DSA</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Debt Sustainability Analysis</w:t>
            </w:r>
          </w:p>
        </w:tc>
      </w:tr>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GDP</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Gross Domestic Product</w:t>
            </w:r>
          </w:p>
        </w:tc>
      </w:tr>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GoA</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Government of Afghanistan</w:t>
            </w:r>
          </w:p>
        </w:tc>
      </w:tr>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HIPC</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Heavily Indebted Poor Countries</w:t>
            </w:r>
          </w:p>
        </w:tc>
      </w:tr>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IBRD</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International Bank for Reconstruction and Development</w:t>
            </w:r>
          </w:p>
        </w:tc>
      </w:tr>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ICT</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Information and Communication Technologies</w:t>
            </w:r>
          </w:p>
        </w:tc>
      </w:tr>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IMF</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International Monetary Fund</w:t>
            </w:r>
          </w:p>
        </w:tc>
      </w:tr>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ISPs</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Internet Service Providers</w:t>
            </w:r>
          </w:p>
        </w:tc>
      </w:tr>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MCC</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MCC-Jiangxi Copper Consortium</w:t>
            </w:r>
          </w:p>
        </w:tc>
      </w:tr>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MCIT</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Ministry of Communication and Information Technology</w:t>
            </w:r>
          </w:p>
        </w:tc>
      </w:tr>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MDGs</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Millennium Development Goals</w:t>
            </w:r>
          </w:p>
        </w:tc>
      </w:tr>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MEW</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Ministry of Energy and Water</w:t>
            </w:r>
          </w:p>
        </w:tc>
      </w:tr>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MOF</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Ministry of  Finance</w:t>
            </w:r>
          </w:p>
        </w:tc>
      </w:tr>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MOH</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Ministry of Health</w:t>
            </w:r>
          </w:p>
        </w:tc>
      </w:tr>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MoM</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Ministry of Mines</w:t>
            </w:r>
          </w:p>
        </w:tc>
      </w:tr>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MoPW</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Ministry of Public Works</w:t>
            </w:r>
          </w:p>
        </w:tc>
      </w:tr>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NEPA</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National Environment Protection Agency</w:t>
            </w:r>
          </w:p>
        </w:tc>
      </w:tr>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NPP’s</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National Priority Programs</w:t>
            </w:r>
          </w:p>
        </w:tc>
      </w:tr>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NRRCP</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National and Regional Resource Corridor Program</w:t>
            </w:r>
          </w:p>
        </w:tc>
      </w:tr>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O&amp;M</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Operational Maintenance</w:t>
            </w:r>
          </w:p>
        </w:tc>
      </w:tr>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UNODC</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United Nations Office on Drug and Crime</w:t>
            </w:r>
          </w:p>
        </w:tc>
      </w:tr>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VAT</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Value Added Tax</w:t>
            </w:r>
          </w:p>
        </w:tc>
      </w:tr>
      <w:tr w:rsidR="009D7EFC" w:rsidRPr="009D7EFC" w:rsidTr="00A867AB">
        <w:trPr>
          <w:trHeight w:hRule="exact" w:val="288"/>
        </w:trPr>
        <w:tc>
          <w:tcPr>
            <w:tcW w:w="833"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WB</w:t>
            </w:r>
          </w:p>
        </w:tc>
        <w:tc>
          <w:tcPr>
            <w:tcW w:w="4167" w:type="pct"/>
            <w:shd w:val="clear" w:color="auto" w:fill="auto"/>
            <w:hideMark/>
          </w:tcPr>
          <w:p w:rsidR="009D7EFC" w:rsidRPr="009D7EFC" w:rsidRDefault="009D7EFC" w:rsidP="00C525B7">
            <w:pPr>
              <w:rPr>
                <w:rFonts w:cstheme="minorHAnsi"/>
                <w:color w:val="000000"/>
                <w:sz w:val="20"/>
              </w:rPr>
            </w:pPr>
            <w:r w:rsidRPr="009D7EFC">
              <w:rPr>
                <w:rFonts w:cstheme="minorHAnsi"/>
                <w:color w:val="000000"/>
                <w:sz w:val="20"/>
              </w:rPr>
              <w:t>World Bank</w:t>
            </w:r>
          </w:p>
        </w:tc>
      </w:tr>
    </w:tbl>
    <w:p w:rsidR="00252647" w:rsidRPr="00994A61" w:rsidRDefault="00252647" w:rsidP="00EB665D">
      <w:pPr>
        <w:spacing w:line="240" w:lineRule="auto"/>
        <w:rPr>
          <w:rFonts w:ascii="Calibri" w:hAnsi="Calibri"/>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28"/>
        <w:gridCol w:w="4428"/>
      </w:tblGrid>
      <w:tr w:rsidR="005E4B18" w:rsidRPr="00994A61" w:rsidTr="00EB665D">
        <w:trPr>
          <w:trHeight w:val="432"/>
        </w:trPr>
        <w:tc>
          <w:tcPr>
            <w:tcW w:w="4428" w:type="dxa"/>
          </w:tcPr>
          <w:p w:rsidR="005E4B18" w:rsidRPr="00994A61" w:rsidRDefault="005E4B18" w:rsidP="00EB665D">
            <w:pPr>
              <w:spacing w:line="240" w:lineRule="auto"/>
              <w:rPr>
                <w:rFonts w:ascii="Calibri" w:hAnsi="Calibri"/>
              </w:rPr>
            </w:pPr>
            <w:r w:rsidRPr="00994A61">
              <w:rPr>
                <w:rFonts w:ascii="Calibri" w:hAnsi="Calibri"/>
              </w:rPr>
              <w:t>Vice President:</w:t>
            </w:r>
          </w:p>
          <w:p w:rsidR="005E4B18" w:rsidRPr="00994A61" w:rsidRDefault="005E4B18" w:rsidP="00EB665D">
            <w:pPr>
              <w:spacing w:line="240" w:lineRule="auto"/>
              <w:rPr>
                <w:rFonts w:ascii="Calibri" w:hAnsi="Calibri"/>
              </w:rPr>
            </w:pPr>
            <w:r w:rsidRPr="00994A61">
              <w:rPr>
                <w:rFonts w:ascii="Calibri" w:hAnsi="Calibri"/>
              </w:rPr>
              <w:t>Country Director:</w:t>
            </w:r>
          </w:p>
          <w:p w:rsidR="005E4B18" w:rsidRPr="00994A61" w:rsidRDefault="005E4B18" w:rsidP="00EB665D">
            <w:pPr>
              <w:spacing w:line="240" w:lineRule="auto"/>
              <w:rPr>
                <w:rFonts w:ascii="Calibri" w:hAnsi="Calibri"/>
              </w:rPr>
            </w:pPr>
            <w:r w:rsidRPr="00994A61">
              <w:rPr>
                <w:rFonts w:ascii="Calibri" w:hAnsi="Calibri"/>
              </w:rPr>
              <w:t>Sector Manager:</w:t>
            </w:r>
          </w:p>
          <w:p w:rsidR="005E4B18" w:rsidRPr="00994A61" w:rsidRDefault="005E4B18" w:rsidP="00EB665D">
            <w:pPr>
              <w:spacing w:line="240" w:lineRule="auto"/>
              <w:rPr>
                <w:rFonts w:ascii="Calibri" w:hAnsi="Calibri"/>
              </w:rPr>
            </w:pPr>
            <w:r w:rsidRPr="00994A61">
              <w:rPr>
                <w:rFonts w:ascii="Calibri" w:hAnsi="Calibri"/>
              </w:rPr>
              <w:t>Task Team Leader:</w:t>
            </w:r>
          </w:p>
        </w:tc>
        <w:tc>
          <w:tcPr>
            <w:tcW w:w="4428" w:type="dxa"/>
          </w:tcPr>
          <w:p w:rsidR="005E4B18" w:rsidRPr="00994A61" w:rsidRDefault="005E4B18" w:rsidP="00EB665D">
            <w:pPr>
              <w:spacing w:line="240" w:lineRule="auto"/>
              <w:rPr>
                <w:rFonts w:ascii="Calibri" w:hAnsi="Calibri"/>
                <w:lang w:val="es-AR"/>
              </w:rPr>
            </w:pPr>
            <w:r w:rsidRPr="00994A61">
              <w:rPr>
                <w:rFonts w:ascii="Calibri" w:hAnsi="Calibri"/>
              </w:rPr>
              <w:fldChar w:fldCharType="begin"/>
            </w:r>
            <w:r w:rsidRPr="00DF3261">
              <w:rPr>
                <w:rFonts w:ascii="Calibri" w:hAnsi="Calibri"/>
              </w:rPr>
              <w:instrText xml:space="preserve"> DOCPROPERTY VicePresident \* MERGEFORMA</w:instrText>
            </w:r>
            <w:r w:rsidRPr="00994A61">
              <w:rPr>
                <w:rFonts w:ascii="Calibri" w:hAnsi="Calibri"/>
                <w:lang w:val="es-AR"/>
              </w:rPr>
              <w:instrText xml:space="preserve">T </w:instrText>
            </w:r>
            <w:r w:rsidRPr="00994A61">
              <w:rPr>
                <w:rFonts w:ascii="Calibri" w:hAnsi="Calibri"/>
              </w:rPr>
              <w:fldChar w:fldCharType="separate"/>
            </w:r>
            <w:r w:rsidRPr="00994A61">
              <w:rPr>
                <w:rFonts w:ascii="Calibri" w:hAnsi="Calibri"/>
                <w:lang w:val="es-AR"/>
              </w:rPr>
              <w:t>(Isabel M. Guerrero)</w:t>
            </w:r>
            <w:r w:rsidRPr="00994A61">
              <w:rPr>
                <w:rFonts w:ascii="Calibri" w:hAnsi="Calibri"/>
              </w:rPr>
              <w:fldChar w:fldCharType="end"/>
            </w:r>
          </w:p>
          <w:p w:rsidR="005E4B18" w:rsidRPr="00994A61" w:rsidRDefault="005E4B18" w:rsidP="00EB665D">
            <w:pPr>
              <w:spacing w:line="240" w:lineRule="auto"/>
              <w:rPr>
                <w:rFonts w:ascii="Calibri" w:hAnsi="Calibri"/>
                <w:lang w:val="es-AR"/>
              </w:rPr>
            </w:pPr>
            <w:r w:rsidRPr="00994A61">
              <w:rPr>
                <w:rFonts w:ascii="Calibri" w:hAnsi="Calibri"/>
              </w:rPr>
              <w:fldChar w:fldCharType="begin"/>
            </w:r>
            <w:r w:rsidRPr="00994A61">
              <w:rPr>
                <w:rFonts w:ascii="Calibri" w:hAnsi="Calibri"/>
                <w:lang w:val="es-AR"/>
              </w:rPr>
              <w:instrText xml:space="preserve"> DOCPROPERTY CountryDirector \* MERGEFORMAT </w:instrText>
            </w:r>
            <w:r w:rsidRPr="00994A61">
              <w:rPr>
                <w:rFonts w:ascii="Calibri" w:hAnsi="Calibri"/>
              </w:rPr>
              <w:fldChar w:fldCharType="separate"/>
            </w:r>
            <w:r w:rsidRPr="00994A61">
              <w:rPr>
                <w:rFonts w:ascii="Calibri" w:hAnsi="Calibri"/>
                <w:lang w:val="es-AR"/>
              </w:rPr>
              <w:t xml:space="preserve">(Robert J. </w:t>
            </w:r>
            <w:proofErr w:type="spellStart"/>
            <w:r w:rsidRPr="00994A61">
              <w:rPr>
                <w:rFonts w:ascii="Calibri" w:hAnsi="Calibri"/>
                <w:lang w:val="es-AR"/>
              </w:rPr>
              <w:t>Saum</w:t>
            </w:r>
            <w:proofErr w:type="spellEnd"/>
            <w:r w:rsidRPr="00994A61">
              <w:rPr>
                <w:rFonts w:ascii="Calibri" w:hAnsi="Calibri"/>
                <w:lang w:val="es-AR"/>
              </w:rPr>
              <w:t>)</w:t>
            </w:r>
            <w:r w:rsidRPr="00994A61">
              <w:rPr>
                <w:rFonts w:ascii="Calibri" w:hAnsi="Calibri"/>
              </w:rPr>
              <w:fldChar w:fldCharType="end"/>
            </w:r>
          </w:p>
          <w:p w:rsidR="005E4B18" w:rsidRPr="00994A61" w:rsidRDefault="005E4B18" w:rsidP="00EB665D">
            <w:pPr>
              <w:spacing w:line="240" w:lineRule="auto"/>
              <w:rPr>
                <w:rFonts w:ascii="Calibri" w:hAnsi="Calibri"/>
              </w:rPr>
            </w:pPr>
            <w:r w:rsidRPr="00994A61">
              <w:rPr>
                <w:rFonts w:ascii="Calibri" w:hAnsi="Calibri"/>
              </w:rPr>
              <w:fldChar w:fldCharType="begin"/>
            </w:r>
            <w:r w:rsidRPr="00994A61">
              <w:rPr>
                <w:rFonts w:ascii="Calibri" w:hAnsi="Calibri"/>
              </w:rPr>
              <w:instrText xml:space="preserve"> DOCPROPERTY SectorManager \* MERGEFORMAT </w:instrText>
            </w:r>
            <w:r w:rsidRPr="00994A61">
              <w:rPr>
                <w:rFonts w:ascii="Calibri" w:hAnsi="Calibri"/>
              </w:rPr>
              <w:fldChar w:fldCharType="separate"/>
            </w:r>
            <w:r w:rsidRPr="00994A61">
              <w:rPr>
                <w:rFonts w:ascii="Calibri" w:hAnsi="Calibri"/>
              </w:rPr>
              <w:t>(</w:t>
            </w:r>
            <w:proofErr w:type="spellStart"/>
            <w:r w:rsidRPr="00994A61">
              <w:rPr>
                <w:rFonts w:ascii="Calibri" w:hAnsi="Calibri"/>
              </w:rPr>
              <w:t>Vinaya</w:t>
            </w:r>
            <w:proofErr w:type="spellEnd"/>
            <w:r w:rsidRPr="00994A61">
              <w:rPr>
                <w:rFonts w:ascii="Calibri" w:hAnsi="Calibri"/>
              </w:rPr>
              <w:t xml:space="preserve"> </w:t>
            </w:r>
            <w:proofErr w:type="spellStart"/>
            <w:r w:rsidRPr="00994A61">
              <w:rPr>
                <w:rFonts w:ascii="Calibri" w:hAnsi="Calibri"/>
              </w:rPr>
              <w:t>Swaroop</w:t>
            </w:r>
            <w:proofErr w:type="spellEnd"/>
            <w:r w:rsidRPr="00994A61">
              <w:rPr>
                <w:rFonts w:ascii="Calibri" w:hAnsi="Calibri"/>
              </w:rPr>
              <w:t>)</w:t>
            </w:r>
            <w:r w:rsidRPr="00994A61">
              <w:rPr>
                <w:rFonts w:ascii="Calibri" w:hAnsi="Calibri"/>
              </w:rPr>
              <w:fldChar w:fldCharType="end"/>
            </w:r>
          </w:p>
          <w:p w:rsidR="005E4B18" w:rsidRPr="00994A61" w:rsidRDefault="005E4B18" w:rsidP="00EB665D">
            <w:pPr>
              <w:spacing w:line="240" w:lineRule="auto"/>
              <w:rPr>
                <w:rFonts w:ascii="Calibri" w:hAnsi="Calibri"/>
              </w:rPr>
            </w:pPr>
            <w:r w:rsidRPr="00994A61">
              <w:rPr>
                <w:rFonts w:ascii="Calibri" w:hAnsi="Calibri"/>
              </w:rPr>
              <w:t>(</w:t>
            </w:r>
            <w:proofErr w:type="spellStart"/>
            <w:r w:rsidRPr="00994A61">
              <w:rPr>
                <w:rFonts w:ascii="Calibri" w:hAnsi="Calibri"/>
              </w:rPr>
              <w:fldChar w:fldCharType="begin"/>
            </w:r>
            <w:r w:rsidRPr="00994A61">
              <w:rPr>
                <w:rFonts w:ascii="Calibri" w:hAnsi="Calibri"/>
              </w:rPr>
              <w:instrText xml:space="preserve"> DOCPROPERTY TeamLeaderName \* MERGEFORMAT </w:instrText>
            </w:r>
            <w:r w:rsidRPr="00994A61">
              <w:rPr>
                <w:rFonts w:ascii="Calibri" w:hAnsi="Calibri"/>
              </w:rPr>
              <w:fldChar w:fldCharType="separate"/>
            </w:r>
            <w:r w:rsidRPr="00994A61">
              <w:rPr>
                <w:rFonts w:ascii="Calibri" w:hAnsi="Calibri"/>
              </w:rPr>
              <w:t>C</w:t>
            </w:r>
            <w:r>
              <w:rPr>
                <w:rFonts w:ascii="Calibri" w:hAnsi="Calibri"/>
              </w:rPr>
              <w:t>amilo</w:t>
            </w:r>
            <w:proofErr w:type="spellEnd"/>
            <w:r>
              <w:rPr>
                <w:rFonts w:ascii="Calibri" w:hAnsi="Calibri"/>
              </w:rPr>
              <w:t xml:space="preserve"> Gomez Osorio</w:t>
            </w:r>
            <w:r w:rsidRPr="00994A61">
              <w:rPr>
                <w:rFonts w:ascii="Calibri" w:hAnsi="Calibri"/>
              </w:rPr>
              <w:fldChar w:fldCharType="end"/>
            </w:r>
            <w:r w:rsidRPr="00994A61">
              <w:rPr>
                <w:rFonts w:ascii="Calibri" w:hAnsi="Calibri"/>
              </w:rPr>
              <w:t>)</w:t>
            </w:r>
          </w:p>
        </w:tc>
      </w:tr>
    </w:tbl>
    <w:p w:rsidR="00252647" w:rsidRPr="00994A61" w:rsidRDefault="00252647" w:rsidP="00252647">
      <w:pPr>
        <w:rPr>
          <w:rFonts w:ascii="Calibri" w:hAnsi="Calibri"/>
        </w:rPr>
      </w:pPr>
    </w:p>
    <w:p w:rsidR="00252647" w:rsidRPr="00994A61" w:rsidRDefault="00252647" w:rsidP="00252647">
      <w:pPr>
        <w:rPr>
          <w:rFonts w:ascii="Calibri" w:hAnsi="Calibri"/>
          <w:b/>
        </w:rPr>
      </w:pPr>
    </w:p>
    <w:p w:rsidR="00252647" w:rsidRPr="00994A61" w:rsidRDefault="00252647" w:rsidP="00252647">
      <w:pPr>
        <w:rPr>
          <w:rFonts w:ascii="Calibri" w:hAnsi="Calibri"/>
          <w:b/>
        </w:rPr>
        <w:sectPr w:rsidR="00252647" w:rsidRPr="00994A61">
          <w:footerReference w:type="default" r:id="rId11"/>
          <w:pgSz w:w="12240" w:h="15840"/>
          <w:pgMar w:top="1152" w:right="1800" w:bottom="1152" w:left="1800" w:header="720" w:footer="720" w:gutter="0"/>
          <w:pgNumType w:fmt="lowerRoman" w:start="1"/>
          <w:cols w:space="720"/>
          <w:titlePg/>
        </w:sectPr>
      </w:pPr>
    </w:p>
    <w:sdt>
      <w:sdtPr>
        <w:rPr>
          <w:rFonts w:asciiTheme="minorHAnsi" w:eastAsiaTheme="minorEastAsia" w:hAnsiTheme="minorHAnsi" w:cstheme="minorBidi"/>
          <w:b w:val="0"/>
          <w:bCs w:val="0"/>
          <w:color w:val="auto"/>
          <w:sz w:val="20"/>
          <w:szCs w:val="20"/>
          <w:lang w:eastAsia="en-US" w:bidi="en-US"/>
        </w:rPr>
        <w:id w:val="76443844"/>
        <w:docPartObj>
          <w:docPartGallery w:val="Table of Contents"/>
          <w:docPartUnique/>
        </w:docPartObj>
      </w:sdtPr>
      <w:sdtEndPr>
        <w:rPr>
          <w:sz w:val="22"/>
        </w:rPr>
      </w:sdtEndPr>
      <w:sdtContent>
        <w:p w:rsidR="00196D2D" w:rsidRDefault="00196D2D" w:rsidP="00196D2D">
          <w:pPr>
            <w:pStyle w:val="TOCHeading"/>
            <w:spacing w:line="240" w:lineRule="auto"/>
            <w:rPr>
              <w:rFonts w:asciiTheme="minorHAnsi" w:hAnsiTheme="minorHAnsi" w:cstheme="minorHAnsi"/>
            </w:rPr>
          </w:pPr>
          <w:r w:rsidRPr="00323BB0">
            <w:rPr>
              <w:rFonts w:asciiTheme="minorHAnsi" w:hAnsiTheme="minorHAnsi" w:cstheme="minorHAnsi"/>
            </w:rPr>
            <w:t>Contents</w:t>
          </w:r>
        </w:p>
        <w:p w:rsidR="002214AA" w:rsidRPr="002214AA" w:rsidRDefault="002214AA" w:rsidP="002214AA">
          <w:pPr>
            <w:rPr>
              <w:lang w:eastAsia="ja-JP" w:bidi="ar-SA"/>
            </w:rPr>
          </w:pPr>
        </w:p>
        <w:p w:rsidR="00A47248" w:rsidRDefault="00196D2D">
          <w:pPr>
            <w:pStyle w:val="TOC2"/>
            <w:tabs>
              <w:tab w:val="right" w:leader="dot" w:pos="9350"/>
            </w:tabs>
            <w:rPr>
              <w:noProof/>
              <w:szCs w:val="22"/>
              <w:lang w:bidi="ar-SA"/>
            </w:rPr>
          </w:pPr>
          <w:r>
            <w:fldChar w:fldCharType="begin"/>
          </w:r>
          <w:r>
            <w:instrText xml:space="preserve"> TOC \o "1-3" \h \z \u </w:instrText>
          </w:r>
          <w:r>
            <w:fldChar w:fldCharType="separate"/>
          </w:r>
          <w:hyperlink w:anchor="_Toc348451652" w:history="1">
            <w:r w:rsidR="00A47248" w:rsidRPr="007C4807">
              <w:rPr>
                <w:rStyle w:val="Hyperlink"/>
                <w:rFonts w:ascii="Calibri" w:eastAsia="Times New Roman" w:hAnsi="Calibri" w:cs="Calibri"/>
                <w:b/>
                <w:bCs/>
                <w:noProof/>
              </w:rPr>
              <w:t>Executive Summary</w:t>
            </w:r>
            <w:r w:rsidR="00A47248">
              <w:rPr>
                <w:noProof/>
                <w:webHidden/>
              </w:rPr>
              <w:tab/>
            </w:r>
            <w:r w:rsidR="00A47248">
              <w:rPr>
                <w:noProof/>
                <w:webHidden/>
              </w:rPr>
              <w:fldChar w:fldCharType="begin"/>
            </w:r>
            <w:r w:rsidR="00A47248">
              <w:rPr>
                <w:noProof/>
                <w:webHidden/>
              </w:rPr>
              <w:instrText xml:space="preserve"> PAGEREF _Toc348451652 \h </w:instrText>
            </w:r>
            <w:r w:rsidR="00A47248">
              <w:rPr>
                <w:noProof/>
                <w:webHidden/>
              </w:rPr>
            </w:r>
            <w:r w:rsidR="00A47248">
              <w:rPr>
                <w:noProof/>
                <w:webHidden/>
              </w:rPr>
              <w:fldChar w:fldCharType="separate"/>
            </w:r>
            <w:r w:rsidR="00A47248">
              <w:rPr>
                <w:noProof/>
                <w:webHidden/>
              </w:rPr>
              <w:t>3</w:t>
            </w:r>
            <w:r w:rsidR="00A47248">
              <w:rPr>
                <w:noProof/>
                <w:webHidden/>
              </w:rPr>
              <w:fldChar w:fldCharType="end"/>
            </w:r>
          </w:hyperlink>
        </w:p>
        <w:p w:rsidR="00A47248" w:rsidRDefault="00D4318B">
          <w:pPr>
            <w:pStyle w:val="TOC1"/>
            <w:rPr>
              <w:rFonts w:cstheme="minorBidi"/>
              <w:b w:val="0"/>
              <w:bCs w:val="0"/>
              <w:szCs w:val="22"/>
              <w:lang w:bidi="ar-SA"/>
            </w:rPr>
          </w:pPr>
          <w:hyperlink w:anchor="_Toc348451673" w:history="1">
            <w:r w:rsidR="00A47248" w:rsidRPr="007C4807">
              <w:rPr>
                <w:rStyle w:val="Hyperlink"/>
              </w:rPr>
              <w:t>Lowering the Transaction Costs of Trade in Afghanistan</w:t>
            </w:r>
            <w:r w:rsidR="00A47248">
              <w:rPr>
                <w:webHidden/>
              </w:rPr>
              <w:tab/>
            </w:r>
            <w:r w:rsidR="00A47248">
              <w:rPr>
                <w:webHidden/>
              </w:rPr>
              <w:fldChar w:fldCharType="begin"/>
            </w:r>
            <w:r w:rsidR="00A47248">
              <w:rPr>
                <w:webHidden/>
              </w:rPr>
              <w:instrText xml:space="preserve"> PAGEREF _Toc348451673 \h </w:instrText>
            </w:r>
            <w:r w:rsidR="00A47248">
              <w:rPr>
                <w:webHidden/>
              </w:rPr>
            </w:r>
            <w:r w:rsidR="00A47248">
              <w:rPr>
                <w:webHidden/>
              </w:rPr>
              <w:fldChar w:fldCharType="separate"/>
            </w:r>
            <w:r w:rsidR="00A47248">
              <w:rPr>
                <w:webHidden/>
              </w:rPr>
              <w:t>19</w:t>
            </w:r>
            <w:r w:rsidR="00A47248">
              <w:rPr>
                <w:webHidden/>
              </w:rPr>
              <w:fldChar w:fldCharType="end"/>
            </w:r>
          </w:hyperlink>
        </w:p>
        <w:p w:rsidR="00A47248" w:rsidRDefault="00D4318B">
          <w:pPr>
            <w:pStyle w:val="TOC2"/>
            <w:tabs>
              <w:tab w:val="right" w:leader="dot" w:pos="9350"/>
            </w:tabs>
            <w:rPr>
              <w:noProof/>
              <w:szCs w:val="22"/>
              <w:lang w:bidi="ar-SA"/>
            </w:rPr>
          </w:pPr>
          <w:hyperlink w:anchor="_Toc348451674" w:history="1">
            <w:r w:rsidR="00A47248" w:rsidRPr="007C4807">
              <w:rPr>
                <w:rStyle w:val="Hyperlink"/>
                <w:noProof/>
              </w:rPr>
              <w:t>Introduction</w:t>
            </w:r>
            <w:r w:rsidR="00A47248">
              <w:rPr>
                <w:noProof/>
                <w:webHidden/>
              </w:rPr>
              <w:tab/>
            </w:r>
            <w:r w:rsidR="00A47248">
              <w:rPr>
                <w:noProof/>
                <w:webHidden/>
              </w:rPr>
              <w:fldChar w:fldCharType="begin"/>
            </w:r>
            <w:r w:rsidR="00A47248">
              <w:rPr>
                <w:noProof/>
                <w:webHidden/>
              </w:rPr>
              <w:instrText xml:space="preserve"> PAGEREF _Toc348451674 \h </w:instrText>
            </w:r>
            <w:r w:rsidR="00A47248">
              <w:rPr>
                <w:noProof/>
                <w:webHidden/>
              </w:rPr>
            </w:r>
            <w:r w:rsidR="00A47248">
              <w:rPr>
                <w:noProof/>
                <w:webHidden/>
              </w:rPr>
              <w:fldChar w:fldCharType="separate"/>
            </w:r>
            <w:r w:rsidR="00A47248">
              <w:rPr>
                <w:noProof/>
                <w:webHidden/>
              </w:rPr>
              <w:t>19</w:t>
            </w:r>
            <w:r w:rsidR="00A47248">
              <w:rPr>
                <w:noProof/>
                <w:webHidden/>
              </w:rPr>
              <w:fldChar w:fldCharType="end"/>
            </w:r>
          </w:hyperlink>
        </w:p>
        <w:p w:rsidR="00A47248" w:rsidRDefault="00D4318B">
          <w:pPr>
            <w:pStyle w:val="TOC2"/>
            <w:tabs>
              <w:tab w:val="right" w:leader="dot" w:pos="9350"/>
            </w:tabs>
            <w:rPr>
              <w:noProof/>
              <w:szCs w:val="22"/>
              <w:lang w:bidi="ar-SA"/>
            </w:rPr>
          </w:pPr>
          <w:hyperlink w:anchor="_Toc348451675" w:history="1">
            <w:r w:rsidR="00A47248" w:rsidRPr="007C4807">
              <w:rPr>
                <w:rStyle w:val="Hyperlink"/>
                <w:noProof/>
              </w:rPr>
              <w:t>Afghanistan’s Macroeconomic Environment</w:t>
            </w:r>
            <w:r w:rsidR="00A47248">
              <w:rPr>
                <w:noProof/>
                <w:webHidden/>
              </w:rPr>
              <w:tab/>
            </w:r>
            <w:r w:rsidR="00A47248">
              <w:rPr>
                <w:noProof/>
                <w:webHidden/>
              </w:rPr>
              <w:fldChar w:fldCharType="begin"/>
            </w:r>
            <w:r w:rsidR="00A47248">
              <w:rPr>
                <w:noProof/>
                <w:webHidden/>
              </w:rPr>
              <w:instrText xml:space="preserve"> PAGEREF _Toc348451675 \h </w:instrText>
            </w:r>
            <w:r w:rsidR="00A47248">
              <w:rPr>
                <w:noProof/>
                <w:webHidden/>
              </w:rPr>
            </w:r>
            <w:r w:rsidR="00A47248">
              <w:rPr>
                <w:noProof/>
                <w:webHidden/>
              </w:rPr>
              <w:fldChar w:fldCharType="separate"/>
            </w:r>
            <w:r w:rsidR="00A47248">
              <w:rPr>
                <w:noProof/>
                <w:webHidden/>
              </w:rPr>
              <w:t>19</w:t>
            </w:r>
            <w:r w:rsidR="00A47248">
              <w:rPr>
                <w:noProof/>
                <w:webHidden/>
              </w:rPr>
              <w:fldChar w:fldCharType="end"/>
            </w:r>
          </w:hyperlink>
        </w:p>
        <w:p w:rsidR="00A47248" w:rsidRDefault="00D4318B">
          <w:pPr>
            <w:pStyle w:val="TOC1"/>
            <w:rPr>
              <w:rFonts w:cstheme="minorBidi"/>
              <w:b w:val="0"/>
              <w:bCs w:val="0"/>
              <w:szCs w:val="22"/>
              <w:lang w:bidi="ar-SA"/>
            </w:rPr>
          </w:pPr>
          <w:hyperlink w:anchor="_Toc348451676" w:history="1">
            <w:r w:rsidR="00A47248" w:rsidRPr="007C4807">
              <w:rPr>
                <w:rStyle w:val="Hyperlink"/>
              </w:rPr>
              <w:t>Chapter I:  Trade Performance and Policy in Afghanistan</w:t>
            </w:r>
            <w:r w:rsidR="00A47248">
              <w:rPr>
                <w:webHidden/>
              </w:rPr>
              <w:tab/>
            </w:r>
            <w:r w:rsidR="00A47248">
              <w:rPr>
                <w:webHidden/>
              </w:rPr>
              <w:fldChar w:fldCharType="begin"/>
            </w:r>
            <w:r w:rsidR="00A47248">
              <w:rPr>
                <w:webHidden/>
              </w:rPr>
              <w:instrText xml:space="preserve"> PAGEREF _Toc348451676 \h </w:instrText>
            </w:r>
            <w:r w:rsidR="00A47248">
              <w:rPr>
                <w:webHidden/>
              </w:rPr>
            </w:r>
            <w:r w:rsidR="00A47248">
              <w:rPr>
                <w:webHidden/>
              </w:rPr>
              <w:fldChar w:fldCharType="separate"/>
            </w:r>
            <w:r w:rsidR="00A47248">
              <w:rPr>
                <w:webHidden/>
              </w:rPr>
              <w:t>26</w:t>
            </w:r>
            <w:r w:rsidR="00A47248">
              <w:rPr>
                <w:webHidden/>
              </w:rPr>
              <w:fldChar w:fldCharType="end"/>
            </w:r>
          </w:hyperlink>
        </w:p>
        <w:p w:rsidR="00A47248" w:rsidRDefault="00D4318B">
          <w:pPr>
            <w:pStyle w:val="TOC2"/>
            <w:tabs>
              <w:tab w:val="right" w:leader="dot" w:pos="9350"/>
            </w:tabs>
            <w:rPr>
              <w:noProof/>
              <w:szCs w:val="22"/>
              <w:lang w:bidi="ar-SA"/>
            </w:rPr>
          </w:pPr>
          <w:hyperlink w:anchor="_Toc348451677" w:history="1">
            <w:r w:rsidR="00A47248" w:rsidRPr="007C4807">
              <w:rPr>
                <w:rStyle w:val="Hyperlink"/>
                <w:noProof/>
              </w:rPr>
              <w:t>Trade Performance</w:t>
            </w:r>
            <w:r w:rsidR="00A47248">
              <w:rPr>
                <w:noProof/>
                <w:webHidden/>
              </w:rPr>
              <w:tab/>
            </w:r>
            <w:r w:rsidR="00A47248">
              <w:rPr>
                <w:noProof/>
                <w:webHidden/>
              </w:rPr>
              <w:fldChar w:fldCharType="begin"/>
            </w:r>
            <w:r w:rsidR="00A47248">
              <w:rPr>
                <w:noProof/>
                <w:webHidden/>
              </w:rPr>
              <w:instrText xml:space="preserve"> PAGEREF _Toc348451677 \h </w:instrText>
            </w:r>
            <w:r w:rsidR="00A47248">
              <w:rPr>
                <w:noProof/>
                <w:webHidden/>
              </w:rPr>
            </w:r>
            <w:r w:rsidR="00A47248">
              <w:rPr>
                <w:noProof/>
                <w:webHidden/>
              </w:rPr>
              <w:fldChar w:fldCharType="separate"/>
            </w:r>
            <w:r w:rsidR="00A47248">
              <w:rPr>
                <w:noProof/>
                <w:webHidden/>
              </w:rPr>
              <w:t>26</w:t>
            </w:r>
            <w:r w:rsidR="00A47248">
              <w:rPr>
                <w:noProof/>
                <w:webHidden/>
              </w:rPr>
              <w:fldChar w:fldCharType="end"/>
            </w:r>
          </w:hyperlink>
        </w:p>
        <w:p w:rsidR="00A47248" w:rsidRDefault="00D4318B">
          <w:pPr>
            <w:pStyle w:val="TOC2"/>
            <w:tabs>
              <w:tab w:val="right" w:leader="dot" w:pos="9350"/>
            </w:tabs>
            <w:rPr>
              <w:noProof/>
              <w:szCs w:val="22"/>
              <w:lang w:bidi="ar-SA"/>
            </w:rPr>
          </w:pPr>
          <w:hyperlink w:anchor="_Toc348451678" w:history="1">
            <w:r w:rsidR="00A47248" w:rsidRPr="007C4807">
              <w:rPr>
                <w:rStyle w:val="Hyperlink"/>
                <w:noProof/>
              </w:rPr>
              <w:t>Diversification</w:t>
            </w:r>
            <w:r w:rsidR="00A47248">
              <w:rPr>
                <w:noProof/>
                <w:webHidden/>
              </w:rPr>
              <w:tab/>
            </w:r>
            <w:r w:rsidR="00A47248">
              <w:rPr>
                <w:noProof/>
                <w:webHidden/>
              </w:rPr>
              <w:fldChar w:fldCharType="begin"/>
            </w:r>
            <w:r w:rsidR="00A47248">
              <w:rPr>
                <w:noProof/>
                <w:webHidden/>
              </w:rPr>
              <w:instrText xml:space="preserve"> PAGEREF _Toc348451678 \h </w:instrText>
            </w:r>
            <w:r w:rsidR="00A47248">
              <w:rPr>
                <w:noProof/>
                <w:webHidden/>
              </w:rPr>
            </w:r>
            <w:r w:rsidR="00A47248">
              <w:rPr>
                <w:noProof/>
                <w:webHidden/>
              </w:rPr>
              <w:fldChar w:fldCharType="separate"/>
            </w:r>
            <w:r w:rsidR="00A47248">
              <w:rPr>
                <w:noProof/>
                <w:webHidden/>
              </w:rPr>
              <w:t>30</w:t>
            </w:r>
            <w:r w:rsidR="00A47248">
              <w:rPr>
                <w:noProof/>
                <w:webHidden/>
              </w:rPr>
              <w:fldChar w:fldCharType="end"/>
            </w:r>
          </w:hyperlink>
        </w:p>
        <w:p w:rsidR="00A47248" w:rsidRDefault="00D4318B">
          <w:pPr>
            <w:pStyle w:val="TOC2"/>
            <w:tabs>
              <w:tab w:val="right" w:leader="dot" w:pos="9350"/>
            </w:tabs>
            <w:rPr>
              <w:noProof/>
              <w:szCs w:val="22"/>
              <w:lang w:bidi="ar-SA"/>
            </w:rPr>
          </w:pPr>
          <w:hyperlink w:anchor="_Toc348451679" w:history="1">
            <w:r w:rsidR="00A47248" w:rsidRPr="007C4807">
              <w:rPr>
                <w:rStyle w:val="Hyperlink"/>
                <w:noProof/>
              </w:rPr>
              <w:t>Afghanistan’s Trade Policy</w:t>
            </w:r>
            <w:r w:rsidR="00A47248">
              <w:rPr>
                <w:noProof/>
                <w:webHidden/>
              </w:rPr>
              <w:tab/>
            </w:r>
            <w:r w:rsidR="00A47248">
              <w:rPr>
                <w:noProof/>
                <w:webHidden/>
              </w:rPr>
              <w:fldChar w:fldCharType="begin"/>
            </w:r>
            <w:r w:rsidR="00A47248">
              <w:rPr>
                <w:noProof/>
                <w:webHidden/>
              </w:rPr>
              <w:instrText xml:space="preserve"> PAGEREF _Toc348451679 \h </w:instrText>
            </w:r>
            <w:r w:rsidR="00A47248">
              <w:rPr>
                <w:noProof/>
                <w:webHidden/>
              </w:rPr>
            </w:r>
            <w:r w:rsidR="00A47248">
              <w:rPr>
                <w:noProof/>
                <w:webHidden/>
              </w:rPr>
              <w:fldChar w:fldCharType="separate"/>
            </w:r>
            <w:r w:rsidR="00A47248">
              <w:rPr>
                <w:noProof/>
                <w:webHidden/>
              </w:rPr>
              <w:t>32</w:t>
            </w:r>
            <w:r w:rsidR="00A47248">
              <w:rPr>
                <w:noProof/>
                <w:webHidden/>
              </w:rPr>
              <w:fldChar w:fldCharType="end"/>
            </w:r>
          </w:hyperlink>
        </w:p>
        <w:p w:rsidR="00A47248" w:rsidRDefault="00D4318B">
          <w:pPr>
            <w:pStyle w:val="TOC3"/>
            <w:tabs>
              <w:tab w:val="right" w:leader="dot" w:pos="9350"/>
            </w:tabs>
            <w:rPr>
              <w:rFonts w:cstheme="minorBidi"/>
              <w:noProof/>
              <w:szCs w:val="22"/>
              <w:lang w:bidi="ar-SA"/>
            </w:rPr>
          </w:pPr>
          <w:hyperlink w:anchor="_Toc348451680" w:history="1">
            <w:r w:rsidR="00A47248" w:rsidRPr="007C4807">
              <w:rPr>
                <w:rStyle w:val="Hyperlink"/>
                <w:noProof/>
              </w:rPr>
              <w:t>Tariff Policy</w:t>
            </w:r>
            <w:r w:rsidR="00A47248">
              <w:rPr>
                <w:noProof/>
                <w:webHidden/>
              </w:rPr>
              <w:tab/>
            </w:r>
            <w:r w:rsidR="00A47248">
              <w:rPr>
                <w:noProof/>
                <w:webHidden/>
              </w:rPr>
              <w:fldChar w:fldCharType="begin"/>
            </w:r>
            <w:r w:rsidR="00A47248">
              <w:rPr>
                <w:noProof/>
                <w:webHidden/>
              </w:rPr>
              <w:instrText xml:space="preserve"> PAGEREF _Toc348451680 \h </w:instrText>
            </w:r>
            <w:r w:rsidR="00A47248">
              <w:rPr>
                <w:noProof/>
                <w:webHidden/>
              </w:rPr>
            </w:r>
            <w:r w:rsidR="00A47248">
              <w:rPr>
                <w:noProof/>
                <w:webHidden/>
              </w:rPr>
              <w:fldChar w:fldCharType="separate"/>
            </w:r>
            <w:r w:rsidR="00A47248">
              <w:rPr>
                <w:noProof/>
                <w:webHidden/>
              </w:rPr>
              <w:t>32</w:t>
            </w:r>
            <w:r w:rsidR="00A47248">
              <w:rPr>
                <w:noProof/>
                <w:webHidden/>
              </w:rPr>
              <w:fldChar w:fldCharType="end"/>
            </w:r>
          </w:hyperlink>
        </w:p>
        <w:p w:rsidR="00A47248" w:rsidRDefault="00D4318B">
          <w:pPr>
            <w:pStyle w:val="TOC2"/>
            <w:tabs>
              <w:tab w:val="right" w:leader="dot" w:pos="9350"/>
            </w:tabs>
            <w:rPr>
              <w:noProof/>
              <w:szCs w:val="22"/>
              <w:lang w:bidi="ar-SA"/>
            </w:rPr>
          </w:pPr>
          <w:hyperlink w:anchor="_Toc348451681" w:history="1">
            <w:r w:rsidR="00A47248" w:rsidRPr="007C4807">
              <w:rPr>
                <w:rStyle w:val="Hyperlink"/>
                <w:noProof/>
              </w:rPr>
              <w:t>Impact of Afghanistan’s Tariff Structure on Poverty</w:t>
            </w:r>
            <w:r w:rsidR="00A47248">
              <w:rPr>
                <w:noProof/>
                <w:webHidden/>
              </w:rPr>
              <w:tab/>
            </w:r>
            <w:r w:rsidR="00A47248">
              <w:rPr>
                <w:noProof/>
                <w:webHidden/>
              </w:rPr>
              <w:fldChar w:fldCharType="begin"/>
            </w:r>
            <w:r w:rsidR="00A47248">
              <w:rPr>
                <w:noProof/>
                <w:webHidden/>
              </w:rPr>
              <w:instrText xml:space="preserve"> PAGEREF _Toc348451681 \h </w:instrText>
            </w:r>
            <w:r w:rsidR="00A47248">
              <w:rPr>
                <w:noProof/>
                <w:webHidden/>
              </w:rPr>
            </w:r>
            <w:r w:rsidR="00A47248">
              <w:rPr>
                <w:noProof/>
                <w:webHidden/>
              </w:rPr>
              <w:fldChar w:fldCharType="separate"/>
            </w:r>
            <w:r w:rsidR="00A47248">
              <w:rPr>
                <w:noProof/>
                <w:webHidden/>
              </w:rPr>
              <w:t>36</w:t>
            </w:r>
            <w:r w:rsidR="00A47248">
              <w:rPr>
                <w:noProof/>
                <w:webHidden/>
              </w:rPr>
              <w:fldChar w:fldCharType="end"/>
            </w:r>
          </w:hyperlink>
        </w:p>
        <w:p w:rsidR="00A47248" w:rsidRDefault="00D4318B">
          <w:pPr>
            <w:pStyle w:val="TOC2"/>
            <w:tabs>
              <w:tab w:val="right" w:leader="dot" w:pos="9350"/>
            </w:tabs>
            <w:rPr>
              <w:noProof/>
              <w:szCs w:val="22"/>
              <w:lang w:bidi="ar-SA"/>
            </w:rPr>
          </w:pPr>
          <w:hyperlink w:anchor="_Toc348451682" w:history="1">
            <w:r w:rsidR="00A47248" w:rsidRPr="007C4807">
              <w:rPr>
                <w:rStyle w:val="Hyperlink"/>
                <w:noProof/>
              </w:rPr>
              <w:t>Non-Tariff Measures</w:t>
            </w:r>
            <w:r w:rsidR="00A47248">
              <w:rPr>
                <w:noProof/>
                <w:webHidden/>
              </w:rPr>
              <w:tab/>
            </w:r>
            <w:r w:rsidR="00A47248">
              <w:rPr>
                <w:noProof/>
                <w:webHidden/>
              </w:rPr>
              <w:fldChar w:fldCharType="begin"/>
            </w:r>
            <w:r w:rsidR="00A47248">
              <w:rPr>
                <w:noProof/>
                <w:webHidden/>
              </w:rPr>
              <w:instrText xml:space="preserve"> PAGEREF _Toc348451682 \h </w:instrText>
            </w:r>
            <w:r w:rsidR="00A47248">
              <w:rPr>
                <w:noProof/>
                <w:webHidden/>
              </w:rPr>
            </w:r>
            <w:r w:rsidR="00A47248">
              <w:rPr>
                <w:noProof/>
                <w:webHidden/>
              </w:rPr>
              <w:fldChar w:fldCharType="separate"/>
            </w:r>
            <w:r w:rsidR="00A47248">
              <w:rPr>
                <w:noProof/>
                <w:webHidden/>
              </w:rPr>
              <w:t>37</w:t>
            </w:r>
            <w:r w:rsidR="00A47248">
              <w:rPr>
                <w:noProof/>
                <w:webHidden/>
              </w:rPr>
              <w:fldChar w:fldCharType="end"/>
            </w:r>
          </w:hyperlink>
        </w:p>
        <w:p w:rsidR="00A47248" w:rsidRDefault="00D4318B">
          <w:pPr>
            <w:pStyle w:val="TOC2"/>
            <w:tabs>
              <w:tab w:val="right" w:leader="dot" w:pos="9350"/>
            </w:tabs>
            <w:rPr>
              <w:noProof/>
              <w:szCs w:val="22"/>
              <w:lang w:bidi="ar-SA"/>
            </w:rPr>
          </w:pPr>
          <w:hyperlink w:anchor="_Toc348451683" w:history="1">
            <w:r w:rsidR="00A47248" w:rsidRPr="007C4807">
              <w:rPr>
                <w:rStyle w:val="Hyperlink"/>
                <w:noProof/>
              </w:rPr>
              <w:t>Standards</w:t>
            </w:r>
            <w:r w:rsidR="00A47248">
              <w:rPr>
                <w:noProof/>
                <w:webHidden/>
              </w:rPr>
              <w:tab/>
            </w:r>
            <w:r w:rsidR="00A47248">
              <w:rPr>
                <w:noProof/>
                <w:webHidden/>
              </w:rPr>
              <w:fldChar w:fldCharType="begin"/>
            </w:r>
            <w:r w:rsidR="00A47248">
              <w:rPr>
                <w:noProof/>
                <w:webHidden/>
              </w:rPr>
              <w:instrText xml:space="preserve"> PAGEREF _Toc348451683 \h </w:instrText>
            </w:r>
            <w:r w:rsidR="00A47248">
              <w:rPr>
                <w:noProof/>
                <w:webHidden/>
              </w:rPr>
            </w:r>
            <w:r w:rsidR="00A47248">
              <w:rPr>
                <w:noProof/>
                <w:webHidden/>
              </w:rPr>
              <w:fldChar w:fldCharType="separate"/>
            </w:r>
            <w:r w:rsidR="00A47248">
              <w:rPr>
                <w:noProof/>
                <w:webHidden/>
              </w:rPr>
              <w:t>38</w:t>
            </w:r>
            <w:r w:rsidR="00A47248">
              <w:rPr>
                <w:noProof/>
                <w:webHidden/>
              </w:rPr>
              <w:fldChar w:fldCharType="end"/>
            </w:r>
          </w:hyperlink>
        </w:p>
        <w:p w:rsidR="00A47248" w:rsidRDefault="00D4318B">
          <w:pPr>
            <w:pStyle w:val="TOC2"/>
            <w:tabs>
              <w:tab w:val="right" w:leader="dot" w:pos="9350"/>
            </w:tabs>
            <w:rPr>
              <w:noProof/>
              <w:szCs w:val="22"/>
              <w:lang w:bidi="ar-SA"/>
            </w:rPr>
          </w:pPr>
          <w:hyperlink w:anchor="_Toc348451684" w:history="1">
            <w:r w:rsidR="00A47248" w:rsidRPr="007C4807">
              <w:rPr>
                <w:rStyle w:val="Hyperlink"/>
                <w:noProof/>
              </w:rPr>
              <w:t>Opportunities and Recommendations</w:t>
            </w:r>
            <w:r w:rsidR="00A47248">
              <w:rPr>
                <w:noProof/>
                <w:webHidden/>
              </w:rPr>
              <w:tab/>
            </w:r>
            <w:r w:rsidR="00A47248">
              <w:rPr>
                <w:noProof/>
                <w:webHidden/>
              </w:rPr>
              <w:fldChar w:fldCharType="begin"/>
            </w:r>
            <w:r w:rsidR="00A47248">
              <w:rPr>
                <w:noProof/>
                <w:webHidden/>
              </w:rPr>
              <w:instrText xml:space="preserve"> PAGEREF _Toc348451684 \h </w:instrText>
            </w:r>
            <w:r w:rsidR="00A47248">
              <w:rPr>
                <w:noProof/>
                <w:webHidden/>
              </w:rPr>
            </w:r>
            <w:r w:rsidR="00A47248">
              <w:rPr>
                <w:noProof/>
                <w:webHidden/>
              </w:rPr>
              <w:fldChar w:fldCharType="separate"/>
            </w:r>
            <w:r w:rsidR="00A47248">
              <w:rPr>
                <w:noProof/>
                <w:webHidden/>
              </w:rPr>
              <w:t>40</w:t>
            </w:r>
            <w:r w:rsidR="00A47248">
              <w:rPr>
                <w:noProof/>
                <w:webHidden/>
              </w:rPr>
              <w:fldChar w:fldCharType="end"/>
            </w:r>
          </w:hyperlink>
        </w:p>
        <w:p w:rsidR="00A47248" w:rsidRDefault="00D4318B">
          <w:pPr>
            <w:pStyle w:val="TOC1"/>
            <w:rPr>
              <w:rFonts w:cstheme="minorBidi"/>
              <w:b w:val="0"/>
              <w:bCs w:val="0"/>
              <w:szCs w:val="22"/>
              <w:lang w:bidi="ar-SA"/>
            </w:rPr>
          </w:pPr>
          <w:hyperlink w:anchor="_Toc348451685" w:history="1">
            <w:r w:rsidR="00A47248" w:rsidRPr="007C4807">
              <w:rPr>
                <w:rStyle w:val="Hyperlink"/>
              </w:rPr>
              <w:t>Chapter II.  Trade Development and Export Promotion</w:t>
            </w:r>
            <w:r w:rsidR="00A47248">
              <w:rPr>
                <w:webHidden/>
              </w:rPr>
              <w:tab/>
            </w:r>
            <w:r w:rsidR="00A47248">
              <w:rPr>
                <w:webHidden/>
              </w:rPr>
              <w:fldChar w:fldCharType="begin"/>
            </w:r>
            <w:r w:rsidR="00A47248">
              <w:rPr>
                <w:webHidden/>
              </w:rPr>
              <w:instrText xml:space="preserve"> PAGEREF _Toc348451685 \h </w:instrText>
            </w:r>
            <w:r w:rsidR="00A47248">
              <w:rPr>
                <w:webHidden/>
              </w:rPr>
            </w:r>
            <w:r w:rsidR="00A47248">
              <w:rPr>
                <w:webHidden/>
              </w:rPr>
              <w:fldChar w:fldCharType="separate"/>
            </w:r>
            <w:r w:rsidR="00A47248">
              <w:rPr>
                <w:webHidden/>
              </w:rPr>
              <w:t>41</w:t>
            </w:r>
            <w:r w:rsidR="00A47248">
              <w:rPr>
                <w:webHidden/>
              </w:rPr>
              <w:fldChar w:fldCharType="end"/>
            </w:r>
          </w:hyperlink>
        </w:p>
        <w:p w:rsidR="00A47248" w:rsidRDefault="00D4318B">
          <w:pPr>
            <w:pStyle w:val="TOC2"/>
            <w:tabs>
              <w:tab w:val="right" w:leader="dot" w:pos="9350"/>
            </w:tabs>
            <w:rPr>
              <w:noProof/>
              <w:szCs w:val="22"/>
              <w:lang w:bidi="ar-SA"/>
            </w:rPr>
          </w:pPr>
          <w:hyperlink w:anchor="_Toc348451686" w:history="1">
            <w:r w:rsidR="00A47248" w:rsidRPr="007C4807">
              <w:rPr>
                <w:rStyle w:val="Hyperlink"/>
                <w:noProof/>
              </w:rPr>
              <w:t>Private-Sector Development</w:t>
            </w:r>
            <w:r w:rsidR="00A47248">
              <w:rPr>
                <w:noProof/>
                <w:webHidden/>
              </w:rPr>
              <w:tab/>
            </w:r>
            <w:r w:rsidR="00A47248">
              <w:rPr>
                <w:noProof/>
                <w:webHidden/>
              </w:rPr>
              <w:fldChar w:fldCharType="begin"/>
            </w:r>
            <w:r w:rsidR="00A47248">
              <w:rPr>
                <w:noProof/>
                <w:webHidden/>
              </w:rPr>
              <w:instrText xml:space="preserve"> PAGEREF _Toc348451686 \h </w:instrText>
            </w:r>
            <w:r w:rsidR="00A47248">
              <w:rPr>
                <w:noProof/>
                <w:webHidden/>
              </w:rPr>
            </w:r>
            <w:r w:rsidR="00A47248">
              <w:rPr>
                <w:noProof/>
                <w:webHidden/>
              </w:rPr>
              <w:fldChar w:fldCharType="separate"/>
            </w:r>
            <w:r w:rsidR="00A47248">
              <w:rPr>
                <w:noProof/>
                <w:webHidden/>
              </w:rPr>
              <w:t>41</w:t>
            </w:r>
            <w:r w:rsidR="00A47248">
              <w:rPr>
                <w:noProof/>
                <w:webHidden/>
              </w:rPr>
              <w:fldChar w:fldCharType="end"/>
            </w:r>
          </w:hyperlink>
        </w:p>
        <w:p w:rsidR="00A47248" w:rsidRDefault="00D4318B">
          <w:pPr>
            <w:pStyle w:val="TOC3"/>
            <w:tabs>
              <w:tab w:val="right" w:leader="dot" w:pos="9350"/>
            </w:tabs>
            <w:rPr>
              <w:rFonts w:cstheme="minorBidi"/>
              <w:noProof/>
              <w:szCs w:val="22"/>
              <w:lang w:bidi="ar-SA"/>
            </w:rPr>
          </w:pPr>
          <w:hyperlink w:anchor="_Toc348451687" w:history="1">
            <w:r w:rsidR="00A47248" w:rsidRPr="007C4807">
              <w:rPr>
                <w:rStyle w:val="Hyperlink"/>
                <w:noProof/>
              </w:rPr>
              <w:t>The Role of the Public Sector</w:t>
            </w:r>
            <w:r w:rsidR="00A47248">
              <w:rPr>
                <w:noProof/>
                <w:webHidden/>
              </w:rPr>
              <w:tab/>
            </w:r>
            <w:r w:rsidR="00A47248">
              <w:rPr>
                <w:noProof/>
                <w:webHidden/>
              </w:rPr>
              <w:fldChar w:fldCharType="begin"/>
            </w:r>
            <w:r w:rsidR="00A47248">
              <w:rPr>
                <w:noProof/>
                <w:webHidden/>
              </w:rPr>
              <w:instrText xml:space="preserve"> PAGEREF _Toc348451687 \h </w:instrText>
            </w:r>
            <w:r w:rsidR="00A47248">
              <w:rPr>
                <w:noProof/>
                <w:webHidden/>
              </w:rPr>
            </w:r>
            <w:r w:rsidR="00A47248">
              <w:rPr>
                <w:noProof/>
                <w:webHidden/>
              </w:rPr>
              <w:fldChar w:fldCharType="separate"/>
            </w:r>
            <w:r w:rsidR="00A47248">
              <w:rPr>
                <w:noProof/>
                <w:webHidden/>
              </w:rPr>
              <w:t>41</w:t>
            </w:r>
            <w:r w:rsidR="00A47248">
              <w:rPr>
                <w:noProof/>
                <w:webHidden/>
              </w:rPr>
              <w:fldChar w:fldCharType="end"/>
            </w:r>
          </w:hyperlink>
        </w:p>
        <w:p w:rsidR="00A47248" w:rsidRDefault="00D4318B">
          <w:pPr>
            <w:pStyle w:val="TOC3"/>
            <w:tabs>
              <w:tab w:val="right" w:leader="dot" w:pos="9350"/>
            </w:tabs>
            <w:rPr>
              <w:rFonts w:cstheme="minorBidi"/>
              <w:noProof/>
              <w:szCs w:val="22"/>
              <w:lang w:bidi="ar-SA"/>
            </w:rPr>
          </w:pPr>
          <w:hyperlink w:anchor="_Toc348451688" w:history="1">
            <w:r w:rsidR="00A47248" w:rsidRPr="007C4807">
              <w:rPr>
                <w:rStyle w:val="Hyperlink"/>
                <w:rFonts w:eastAsia="Times New Roman"/>
                <w:noProof/>
                <w:lang w:eastAsia="de-DE"/>
              </w:rPr>
              <w:t>Opportunities and Recommendations</w:t>
            </w:r>
            <w:r w:rsidR="00A47248">
              <w:rPr>
                <w:noProof/>
                <w:webHidden/>
              </w:rPr>
              <w:tab/>
            </w:r>
            <w:r w:rsidR="00A47248">
              <w:rPr>
                <w:noProof/>
                <w:webHidden/>
              </w:rPr>
              <w:fldChar w:fldCharType="begin"/>
            </w:r>
            <w:r w:rsidR="00A47248">
              <w:rPr>
                <w:noProof/>
                <w:webHidden/>
              </w:rPr>
              <w:instrText xml:space="preserve"> PAGEREF _Toc348451688 \h </w:instrText>
            </w:r>
            <w:r w:rsidR="00A47248">
              <w:rPr>
                <w:noProof/>
                <w:webHidden/>
              </w:rPr>
            </w:r>
            <w:r w:rsidR="00A47248">
              <w:rPr>
                <w:noProof/>
                <w:webHidden/>
              </w:rPr>
              <w:fldChar w:fldCharType="separate"/>
            </w:r>
            <w:r w:rsidR="00A47248">
              <w:rPr>
                <w:noProof/>
                <w:webHidden/>
              </w:rPr>
              <w:t>45</w:t>
            </w:r>
            <w:r w:rsidR="00A47248">
              <w:rPr>
                <w:noProof/>
                <w:webHidden/>
              </w:rPr>
              <w:fldChar w:fldCharType="end"/>
            </w:r>
          </w:hyperlink>
        </w:p>
        <w:p w:rsidR="00A47248" w:rsidRDefault="00D4318B">
          <w:pPr>
            <w:pStyle w:val="TOC2"/>
            <w:tabs>
              <w:tab w:val="right" w:leader="dot" w:pos="9350"/>
            </w:tabs>
            <w:rPr>
              <w:noProof/>
              <w:szCs w:val="22"/>
              <w:lang w:bidi="ar-SA"/>
            </w:rPr>
          </w:pPr>
          <w:hyperlink w:anchor="_Toc348451689" w:history="1">
            <w:r w:rsidR="00A47248" w:rsidRPr="007C4807">
              <w:rPr>
                <w:rStyle w:val="Hyperlink"/>
                <w:noProof/>
              </w:rPr>
              <w:t>Why Export Promotion is Important</w:t>
            </w:r>
            <w:r w:rsidR="00A47248">
              <w:rPr>
                <w:noProof/>
                <w:webHidden/>
              </w:rPr>
              <w:tab/>
            </w:r>
            <w:r w:rsidR="00A47248">
              <w:rPr>
                <w:noProof/>
                <w:webHidden/>
              </w:rPr>
              <w:fldChar w:fldCharType="begin"/>
            </w:r>
            <w:r w:rsidR="00A47248">
              <w:rPr>
                <w:noProof/>
                <w:webHidden/>
              </w:rPr>
              <w:instrText xml:space="preserve"> PAGEREF _Toc348451689 \h </w:instrText>
            </w:r>
            <w:r w:rsidR="00A47248">
              <w:rPr>
                <w:noProof/>
                <w:webHidden/>
              </w:rPr>
            </w:r>
            <w:r w:rsidR="00A47248">
              <w:rPr>
                <w:noProof/>
                <w:webHidden/>
              </w:rPr>
              <w:fldChar w:fldCharType="separate"/>
            </w:r>
            <w:r w:rsidR="00A47248">
              <w:rPr>
                <w:noProof/>
                <w:webHidden/>
              </w:rPr>
              <w:t>46</w:t>
            </w:r>
            <w:r w:rsidR="00A47248">
              <w:rPr>
                <w:noProof/>
                <w:webHidden/>
              </w:rPr>
              <w:fldChar w:fldCharType="end"/>
            </w:r>
          </w:hyperlink>
        </w:p>
        <w:p w:rsidR="00A47248" w:rsidRDefault="00D4318B">
          <w:pPr>
            <w:pStyle w:val="TOC3"/>
            <w:tabs>
              <w:tab w:val="right" w:leader="dot" w:pos="9350"/>
            </w:tabs>
            <w:rPr>
              <w:rFonts w:cstheme="minorBidi"/>
              <w:noProof/>
              <w:szCs w:val="22"/>
              <w:lang w:bidi="ar-SA"/>
            </w:rPr>
          </w:pPr>
          <w:hyperlink w:anchor="_Toc348451690" w:history="1">
            <w:r w:rsidR="00A47248" w:rsidRPr="007C4807">
              <w:rPr>
                <w:rStyle w:val="Hyperlink"/>
                <w:noProof/>
              </w:rPr>
              <w:t>The Role of the Export Promotion Agency (EPAA) in Afghanistan</w:t>
            </w:r>
            <w:r w:rsidR="00A47248">
              <w:rPr>
                <w:noProof/>
                <w:webHidden/>
              </w:rPr>
              <w:tab/>
            </w:r>
            <w:r w:rsidR="00A47248">
              <w:rPr>
                <w:noProof/>
                <w:webHidden/>
              </w:rPr>
              <w:fldChar w:fldCharType="begin"/>
            </w:r>
            <w:r w:rsidR="00A47248">
              <w:rPr>
                <w:noProof/>
                <w:webHidden/>
              </w:rPr>
              <w:instrText xml:space="preserve"> PAGEREF _Toc348451690 \h </w:instrText>
            </w:r>
            <w:r w:rsidR="00A47248">
              <w:rPr>
                <w:noProof/>
                <w:webHidden/>
              </w:rPr>
            </w:r>
            <w:r w:rsidR="00A47248">
              <w:rPr>
                <w:noProof/>
                <w:webHidden/>
              </w:rPr>
              <w:fldChar w:fldCharType="separate"/>
            </w:r>
            <w:r w:rsidR="00A47248">
              <w:rPr>
                <w:noProof/>
                <w:webHidden/>
              </w:rPr>
              <w:t>47</w:t>
            </w:r>
            <w:r w:rsidR="00A47248">
              <w:rPr>
                <w:noProof/>
                <w:webHidden/>
              </w:rPr>
              <w:fldChar w:fldCharType="end"/>
            </w:r>
          </w:hyperlink>
        </w:p>
        <w:p w:rsidR="00A47248" w:rsidRDefault="00D4318B">
          <w:pPr>
            <w:pStyle w:val="TOC3"/>
            <w:tabs>
              <w:tab w:val="right" w:leader="dot" w:pos="9350"/>
            </w:tabs>
            <w:rPr>
              <w:rFonts w:cstheme="minorBidi"/>
              <w:noProof/>
              <w:szCs w:val="22"/>
              <w:lang w:bidi="ar-SA"/>
            </w:rPr>
          </w:pPr>
          <w:hyperlink w:anchor="_Toc348451691" w:history="1">
            <w:r w:rsidR="00A47248" w:rsidRPr="007C4807">
              <w:rPr>
                <w:rStyle w:val="Hyperlink"/>
                <w:rFonts w:eastAsia="Times New Roman"/>
                <w:noProof/>
                <w:lang w:eastAsia="de-DE"/>
              </w:rPr>
              <w:t>Opportunities and Recommendations</w:t>
            </w:r>
            <w:r w:rsidR="00A47248">
              <w:rPr>
                <w:noProof/>
                <w:webHidden/>
              </w:rPr>
              <w:tab/>
            </w:r>
            <w:r w:rsidR="00A47248">
              <w:rPr>
                <w:noProof/>
                <w:webHidden/>
              </w:rPr>
              <w:fldChar w:fldCharType="begin"/>
            </w:r>
            <w:r w:rsidR="00A47248">
              <w:rPr>
                <w:noProof/>
                <w:webHidden/>
              </w:rPr>
              <w:instrText xml:space="preserve"> PAGEREF _Toc348451691 \h </w:instrText>
            </w:r>
            <w:r w:rsidR="00A47248">
              <w:rPr>
                <w:noProof/>
                <w:webHidden/>
              </w:rPr>
            </w:r>
            <w:r w:rsidR="00A47248">
              <w:rPr>
                <w:noProof/>
                <w:webHidden/>
              </w:rPr>
              <w:fldChar w:fldCharType="separate"/>
            </w:r>
            <w:r w:rsidR="00A47248">
              <w:rPr>
                <w:noProof/>
                <w:webHidden/>
              </w:rPr>
              <w:t>49</w:t>
            </w:r>
            <w:r w:rsidR="00A47248">
              <w:rPr>
                <w:noProof/>
                <w:webHidden/>
              </w:rPr>
              <w:fldChar w:fldCharType="end"/>
            </w:r>
          </w:hyperlink>
        </w:p>
        <w:p w:rsidR="00A47248" w:rsidRDefault="00D4318B">
          <w:pPr>
            <w:pStyle w:val="TOC3"/>
            <w:tabs>
              <w:tab w:val="right" w:leader="dot" w:pos="9350"/>
            </w:tabs>
            <w:rPr>
              <w:rFonts w:cstheme="minorBidi"/>
              <w:noProof/>
              <w:szCs w:val="22"/>
              <w:lang w:bidi="ar-SA"/>
            </w:rPr>
          </w:pPr>
          <w:hyperlink w:anchor="_Toc348451692" w:history="1">
            <w:r w:rsidR="00A47248" w:rsidRPr="007C4807">
              <w:rPr>
                <w:rStyle w:val="Hyperlink"/>
                <w:rFonts w:eastAsia="Times New Roman"/>
                <w:noProof/>
                <w:lang w:eastAsia="de-DE"/>
              </w:rPr>
              <w:t>The Barriers to Export Development</w:t>
            </w:r>
            <w:r w:rsidR="00A47248">
              <w:rPr>
                <w:noProof/>
                <w:webHidden/>
              </w:rPr>
              <w:tab/>
            </w:r>
            <w:r w:rsidR="00A47248">
              <w:rPr>
                <w:noProof/>
                <w:webHidden/>
              </w:rPr>
              <w:fldChar w:fldCharType="begin"/>
            </w:r>
            <w:r w:rsidR="00A47248">
              <w:rPr>
                <w:noProof/>
                <w:webHidden/>
              </w:rPr>
              <w:instrText xml:space="preserve"> PAGEREF _Toc348451692 \h </w:instrText>
            </w:r>
            <w:r w:rsidR="00A47248">
              <w:rPr>
                <w:noProof/>
                <w:webHidden/>
              </w:rPr>
            </w:r>
            <w:r w:rsidR="00A47248">
              <w:rPr>
                <w:noProof/>
                <w:webHidden/>
              </w:rPr>
              <w:fldChar w:fldCharType="separate"/>
            </w:r>
            <w:r w:rsidR="00A47248">
              <w:rPr>
                <w:noProof/>
                <w:webHidden/>
              </w:rPr>
              <w:t>49</w:t>
            </w:r>
            <w:r w:rsidR="00A47248">
              <w:rPr>
                <w:noProof/>
                <w:webHidden/>
              </w:rPr>
              <w:fldChar w:fldCharType="end"/>
            </w:r>
          </w:hyperlink>
        </w:p>
        <w:p w:rsidR="00A47248" w:rsidRDefault="00D4318B">
          <w:pPr>
            <w:pStyle w:val="TOC2"/>
            <w:tabs>
              <w:tab w:val="right" w:leader="dot" w:pos="9350"/>
            </w:tabs>
            <w:rPr>
              <w:noProof/>
              <w:szCs w:val="22"/>
              <w:lang w:bidi="ar-SA"/>
            </w:rPr>
          </w:pPr>
          <w:hyperlink w:anchor="_Toc348451693" w:history="1">
            <w:r w:rsidR="00A47248" w:rsidRPr="007C4807">
              <w:rPr>
                <w:rStyle w:val="Hyperlink"/>
                <w:rFonts w:eastAsia="Times New Roman"/>
                <w:noProof/>
                <w:lang w:eastAsia="de-DE"/>
              </w:rPr>
              <w:t>Factors Influencing the Competiveness of Afghanistan’s Export Sector</w:t>
            </w:r>
            <w:r w:rsidR="00A47248">
              <w:rPr>
                <w:noProof/>
                <w:webHidden/>
              </w:rPr>
              <w:tab/>
            </w:r>
            <w:r w:rsidR="00A47248">
              <w:rPr>
                <w:noProof/>
                <w:webHidden/>
              </w:rPr>
              <w:fldChar w:fldCharType="begin"/>
            </w:r>
            <w:r w:rsidR="00A47248">
              <w:rPr>
                <w:noProof/>
                <w:webHidden/>
              </w:rPr>
              <w:instrText xml:space="preserve"> PAGEREF _Toc348451693 \h </w:instrText>
            </w:r>
            <w:r w:rsidR="00A47248">
              <w:rPr>
                <w:noProof/>
                <w:webHidden/>
              </w:rPr>
            </w:r>
            <w:r w:rsidR="00A47248">
              <w:rPr>
                <w:noProof/>
                <w:webHidden/>
              </w:rPr>
              <w:fldChar w:fldCharType="separate"/>
            </w:r>
            <w:r w:rsidR="00A47248">
              <w:rPr>
                <w:noProof/>
                <w:webHidden/>
              </w:rPr>
              <w:t>50</w:t>
            </w:r>
            <w:r w:rsidR="00A47248">
              <w:rPr>
                <w:noProof/>
                <w:webHidden/>
              </w:rPr>
              <w:fldChar w:fldCharType="end"/>
            </w:r>
          </w:hyperlink>
        </w:p>
        <w:p w:rsidR="00A47248" w:rsidRDefault="00D4318B">
          <w:pPr>
            <w:pStyle w:val="TOC2"/>
            <w:tabs>
              <w:tab w:val="right" w:leader="dot" w:pos="9350"/>
            </w:tabs>
            <w:rPr>
              <w:noProof/>
              <w:szCs w:val="22"/>
              <w:lang w:bidi="ar-SA"/>
            </w:rPr>
          </w:pPr>
          <w:hyperlink w:anchor="_Toc348451694" w:history="1">
            <w:r w:rsidR="00A47248" w:rsidRPr="007C4807">
              <w:rPr>
                <w:rStyle w:val="Hyperlink"/>
                <w:rFonts w:eastAsia="Times New Roman"/>
                <w:noProof/>
                <w:lang w:eastAsia="de-DE"/>
              </w:rPr>
              <w:t>Case Studies:  Opportunities for Export Growth in Key Sectors</w:t>
            </w:r>
            <w:r w:rsidR="00A47248">
              <w:rPr>
                <w:noProof/>
                <w:webHidden/>
              </w:rPr>
              <w:tab/>
            </w:r>
            <w:r w:rsidR="00A47248">
              <w:rPr>
                <w:noProof/>
                <w:webHidden/>
              </w:rPr>
              <w:fldChar w:fldCharType="begin"/>
            </w:r>
            <w:r w:rsidR="00A47248">
              <w:rPr>
                <w:noProof/>
                <w:webHidden/>
              </w:rPr>
              <w:instrText xml:space="preserve"> PAGEREF _Toc348451694 \h </w:instrText>
            </w:r>
            <w:r w:rsidR="00A47248">
              <w:rPr>
                <w:noProof/>
                <w:webHidden/>
              </w:rPr>
            </w:r>
            <w:r w:rsidR="00A47248">
              <w:rPr>
                <w:noProof/>
                <w:webHidden/>
              </w:rPr>
              <w:fldChar w:fldCharType="separate"/>
            </w:r>
            <w:r w:rsidR="00A47248">
              <w:rPr>
                <w:noProof/>
                <w:webHidden/>
              </w:rPr>
              <w:t>54</w:t>
            </w:r>
            <w:r w:rsidR="00A47248">
              <w:rPr>
                <w:noProof/>
                <w:webHidden/>
              </w:rPr>
              <w:fldChar w:fldCharType="end"/>
            </w:r>
          </w:hyperlink>
        </w:p>
        <w:p w:rsidR="00A47248" w:rsidRDefault="00D4318B">
          <w:pPr>
            <w:pStyle w:val="TOC3"/>
            <w:tabs>
              <w:tab w:val="right" w:leader="dot" w:pos="9350"/>
            </w:tabs>
            <w:rPr>
              <w:rFonts w:cstheme="minorBidi"/>
              <w:noProof/>
              <w:szCs w:val="22"/>
              <w:lang w:bidi="ar-SA"/>
            </w:rPr>
          </w:pPr>
          <w:hyperlink w:anchor="_Toc348451695" w:history="1">
            <w:r w:rsidR="00A47248" w:rsidRPr="007C4807">
              <w:rPr>
                <w:rStyle w:val="Hyperlink"/>
                <w:rFonts w:eastAsia="Times New Roman"/>
                <w:noProof/>
                <w:lang w:eastAsia="de-DE"/>
              </w:rPr>
              <w:t>Agriculture and Agri-Business</w:t>
            </w:r>
            <w:r w:rsidR="00A47248">
              <w:rPr>
                <w:noProof/>
                <w:webHidden/>
              </w:rPr>
              <w:tab/>
            </w:r>
            <w:r w:rsidR="00A47248">
              <w:rPr>
                <w:noProof/>
                <w:webHidden/>
              </w:rPr>
              <w:fldChar w:fldCharType="begin"/>
            </w:r>
            <w:r w:rsidR="00A47248">
              <w:rPr>
                <w:noProof/>
                <w:webHidden/>
              </w:rPr>
              <w:instrText xml:space="preserve"> PAGEREF _Toc348451695 \h </w:instrText>
            </w:r>
            <w:r w:rsidR="00A47248">
              <w:rPr>
                <w:noProof/>
                <w:webHidden/>
              </w:rPr>
            </w:r>
            <w:r w:rsidR="00A47248">
              <w:rPr>
                <w:noProof/>
                <w:webHidden/>
              </w:rPr>
              <w:fldChar w:fldCharType="separate"/>
            </w:r>
            <w:r w:rsidR="00A47248">
              <w:rPr>
                <w:noProof/>
                <w:webHidden/>
              </w:rPr>
              <w:t>54</w:t>
            </w:r>
            <w:r w:rsidR="00A47248">
              <w:rPr>
                <w:noProof/>
                <w:webHidden/>
              </w:rPr>
              <w:fldChar w:fldCharType="end"/>
            </w:r>
          </w:hyperlink>
        </w:p>
        <w:p w:rsidR="00A47248" w:rsidRDefault="00D4318B">
          <w:pPr>
            <w:pStyle w:val="TOC3"/>
            <w:tabs>
              <w:tab w:val="right" w:leader="dot" w:pos="9350"/>
            </w:tabs>
            <w:rPr>
              <w:rFonts w:cstheme="minorBidi"/>
              <w:noProof/>
              <w:szCs w:val="22"/>
              <w:lang w:bidi="ar-SA"/>
            </w:rPr>
          </w:pPr>
          <w:hyperlink w:anchor="_Toc348451696" w:history="1">
            <w:r w:rsidR="00A47248" w:rsidRPr="007C4807">
              <w:rPr>
                <w:rStyle w:val="Hyperlink"/>
                <w:rFonts w:eastAsia="Times New Roman"/>
                <w:noProof/>
                <w:lang w:eastAsia="de-DE"/>
              </w:rPr>
              <w:t>Opportunities and Recommendations</w:t>
            </w:r>
            <w:r w:rsidR="00A47248">
              <w:rPr>
                <w:noProof/>
                <w:webHidden/>
              </w:rPr>
              <w:tab/>
            </w:r>
            <w:r w:rsidR="00A47248">
              <w:rPr>
                <w:noProof/>
                <w:webHidden/>
              </w:rPr>
              <w:fldChar w:fldCharType="begin"/>
            </w:r>
            <w:r w:rsidR="00A47248">
              <w:rPr>
                <w:noProof/>
                <w:webHidden/>
              </w:rPr>
              <w:instrText xml:space="preserve"> PAGEREF _Toc348451696 \h </w:instrText>
            </w:r>
            <w:r w:rsidR="00A47248">
              <w:rPr>
                <w:noProof/>
                <w:webHidden/>
              </w:rPr>
            </w:r>
            <w:r w:rsidR="00A47248">
              <w:rPr>
                <w:noProof/>
                <w:webHidden/>
              </w:rPr>
              <w:fldChar w:fldCharType="separate"/>
            </w:r>
            <w:r w:rsidR="00A47248">
              <w:rPr>
                <w:noProof/>
                <w:webHidden/>
              </w:rPr>
              <w:t>58</w:t>
            </w:r>
            <w:r w:rsidR="00A47248">
              <w:rPr>
                <w:noProof/>
                <w:webHidden/>
              </w:rPr>
              <w:fldChar w:fldCharType="end"/>
            </w:r>
          </w:hyperlink>
        </w:p>
        <w:p w:rsidR="00A47248" w:rsidRDefault="00D4318B">
          <w:pPr>
            <w:pStyle w:val="TOC3"/>
            <w:tabs>
              <w:tab w:val="right" w:leader="dot" w:pos="9350"/>
            </w:tabs>
            <w:rPr>
              <w:rFonts w:cstheme="minorBidi"/>
              <w:noProof/>
              <w:szCs w:val="22"/>
              <w:lang w:bidi="ar-SA"/>
            </w:rPr>
          </w:pPr>
          <w:hyperlink w:anchor="_Toc348451697" w:history="1">
            <w:r w:rsidR="00A47248" w:rsidRPr="007C4807">
              <w:rPr>
                <w:rStyle w:val="Hyperlink"/>
                <w:rFonts w:eastAsia="Times New Roman"/>
                <w:noProof/>
                <w:lang w:eastAsia="de-DE"/>
              </w:rPr>
              <w:t>Gemstones</w:t>
            </w:r>
            <w:r w:rsidR="00A47248">
              <w:rPr>
                <w:noProof/>
                <w:webHidden/>
              </w:rPr>
              <w:tab/>
            </w:r>
            <w:r w:rsidR="00A47248">
              <w:rPr>
                <w:noProof/>
                <w:webHidden/>
              </w:rPr>
              <w:fldChar w:fldCharType="begin"/>
            </w:r>
            <w:r w:rsidR="00A47248">
              <w:rPr>
                <w:noProof/>
                <w:webHidden/>
              </w:rPr>
              <w:instrText xml:space="preserve"> PAGEREF _Toc348451697 \h </w:instrText>
            </w:r>
            <w:r w:rsidR="00A47248">
              <w:rPr>
                <w:noProof/>
                <w:webHidden/>
              </w:rPr>
            </w:r>
            <w:r w:rsidR="00A47248">
              <w:rPr>
                <w:noProof/>
                <w:webHidden/>
              </w:rPr>
              <w:fldChar w:fldCharType="separate"/>
            </w:r>
            <w:r w:rsidR="00A47248">
              <w:rPr>
                <w:noProof/>
                <w:webHidden/>
              </w:rPr>
              <w:t>58</w:t>
            </w:r>
            <w:r w:rsidR="00A47248">
              <w:rPr>
                <w:noProof/>
                <w:webHidden/>
              </w:rPr>
              <w:fldChar w:fldCharType="end"/>
            </w:r>
          </w:hyperlink>
        </w:p>
        <w:p w:rsidR="00A47248" w:rsidRDefault="00D4318B">
          <w:pPr>
            <w:pStyle w:val="TOC3"/>
            <w:tabs>
              <w:tab w:val="right" w:leader="dot" w:pos="9350"/>
            </w:tabs>
            <w:rPr>
              <w:rFonts w:cstheme="minorBidi"/>
              <w:noProof/>
              <w:szCs w:val="22"/>
              <w:lang w:bidi="ar-SA"/>
            </w:rPr>
          </w:pPr>
          <w:hyperlink w:anchor="_Toc348451698" w:history="1">
            <w:r w:rsidR="00A47248" w:rsidRPr="007C4807">
              <w:rPr>
                <w:rStyle w:val="Hyperlink"/>
                <w:rFonts w:eastAsia="Times New Roman"/>
                <w:noProof/>
                <w:lang w:eastAsia="de-DE"/>
              </w:rPr>
              <w:t>Opportunities and Recommendations</w:t>
            </w:r>
            <w:r w:rsidR="00A47248">
              <w:rPr>
                <w:noProof/>
                <w:webHidden/>
              </w:rPr>
              <w:tab/>
            </w:r>
            <w:r w:rsidR="00A47248">
              <w:rPr>
                <w:noProof/>
                <w:webHidden/>
              </w:rPr>
              <w:fldChar w:fldCharType="begin"/>
            </w:r>
            <w:r w:rsidR="00A47248">
              <w:rPr>
                <w:noProof/>
                <w:webHidden/>
              </w:rPr>
              <w:instrText xml:space="preserve"> PAGEREF _Toc348451698 \h </w:instrText>
            </w:r>
            <w:r w:rsidR="00A47248">
              <w:rPr>
                <w:noProof/>
                <w:webHidden/>
              </w:rPr>
            </w:r>
            <w:r w:rsidR="00A47248">
              <w:rPr>
                <w:noProof/>
                <w:webHidden/>
              </w:rPr>
              <w:fldChar w:fldCharType="separate"/>
            </w:r>
            <w:r w:rsidR="00A47248">
              <w:rPr>
                <w:noProof/>
                <w:webHidden/>
              </w:rPr>
              <w:t>62</w:t>
            </w:r>
            <w:r w:rsidR="00A47248">
              <w:rPr>
                <w:noProof/>
                <w:webHidden/>
              </w:rPr>
              <w:fldChar w:fldCharType="end"/>
            </w:r>
          </w:hyperlink>
        </w:p>
        <w:p w:rsidR="00A47248" w:rsidRDefault="00D4318B">
          <w:pPr>
            <w:pStyle w:val="TOC3"/>
            <w:tabs>
              <w:tab w:val="right" w:leader="dot" w:pos="9350"/>
            </w:tabs>
            <w:rPr>
              <w:rFonts w:cstheme="minorBidi"/>
              <w:noProof/>
              <w:szCs w:val="22"/>
              <w:lang w:bidi="ar-SA"/>
            </w:rPr>
          </w:pPr>
          <w:hyperlink w:anchor="_Toc348451699" w:history="1">
            <w:r w:rsidR="00A47248" w:rsidRPr="007C4807">
              <w:rPr>
                <w:rStyle w:val="Hyperlink"/>
                <w:rFonts w:eastAsia="Times New Roman"/>
                <w:noProof/>
                <w:lang w:eastAsia="de-DE"/>
              </w:rPr>
              <w:t>Carpets</w:t>
            </w:r>
            <w:r w:rsidR="00A47248">
              <w:rPr>
                <w:noProof/>
                <w:webHidden/>
              </w:rPr>
              <w:tab/>
            </w:r>
            <w:r w:rsidR="00A47248">
              <w:rPr>
                <w:noProof/>
                <w:webHidden/>
              </w:rPr>
              <w:fldChar w:fldCharType="begin"/>
            </w:r>
            <w:r w:rsidR="00A47248">
              <w:rPr>
                <w:noProof/>
                <w:webHidden/>
              </w:rPr>
              <w:instrText xml:space="preserve"> PAGEREF _Toc348451699 \h </w:instrText>
            </w:r>
            <w:r w:rsidR="00A47248">
              <w:rPr>
                <w:noProof/>
                <w:webHidden/>
              </w:rPr>
            </w:r>
            <w:r w:rsidR="00A47248">
              <w:rPr>
                <w:noProof/>
                <w:webHidden/>
              </w:rPr>
              <w:fldChar w:fldCharType="separate"/>
            </w:r>
            <w:r w:rsidR="00A47248">
              <w:rPr>
                <w:noProof/>
                <w:webHidden/>
              </w:rPr>
              <w:t>62</w:t>
            </w:r>
            <w:r w:rsidR="00A47248">
              <w:rPr>
                <w:noProof/>
                <w:webHidden/>
              </w:rPr>
              <w:fldChar w:fldCharType="end"/>
            </w:r>
          </w:hyperlink>
        </w:p>
        <w:p w:rsidR="00A47248" w:rsidRDefault="00D4318B">
          <w:pPr>
            <w:pStyle w:val="TOC3"/>
            <w:tabs>
              <w:tab w:val="right" w:leader="dot" w:pos="9350"/>
            </w:tabs>
            <w:rPr>
              <w:rFonts w:cstheme="minorBidi"/>
              <w:noProof/>
              <w:szCs w:val="22"/>
              <w:lang w:bidi="ar-SA"/>
            </w:rPr>
          </w:pPr>
          <w:hyperlink w:anchor="_Toc348451700" w:history="1">
            <w:r w:rsidR="00A47248" w:rsidRPr="007C4807">
              <w:rPr>
                <w:rStyle w:val="Hyperlink"/>
                <w:rFonts w:eastAsia="Times New Roman"/>
                <w:noProof/>
                <w:lang w:eastAsia="de-DE"/>
              </w:rPr>
              <w:t>Opportunities and Recommendations</w:t>
            </w:r>
            <w:r w:rsidR="00A47248">
              <w:rPr>
                <w:noProof/>
                <w:webHidden/>
              </w:rPr>
              <w:tab/>
            </w:r>
            <w:r w:rsidR="00A47248">
              <w:rPr>
                <w:noProof/>
                <w:webHidden/>
              </w:rPr>
              <w:fldChar w:fldCharType="begin"/>
            </w:r>
            <w:r w:rsidR="00A47248">
              <w:rPr>
                <w:noProof/>
                <w:webHidden/>
              </w:rPr>
              <w:instrText xml:space="preserve"> PAGEREF _Toc348451700 \h </w:instrText>
            </w:r>
            <w:r w:rsidR="00A47248">
              <w:rPr>
                <w:noProof/>
                <w:webHidden/>
              </w:rPr>
            </w:r>
            <w:r w:rsidR="00A47248">
              <w:rPr>
                <w:noProof/>
                <w:webHidden/>
              </w:rPr>
              <w:fldChar w:fldCharType="separate"/>
            </w:r>
            <w:r w:rsidR="00A47248">
              <w:rPr>
                <w:noProof/>
                <w:webHidden/>
              </w:rPr>
              <w:t>64</w:t>
            </w:r>
            <w:r w:rsidR="00A47248">
              <w:rPr>
                <w:noProof/>
                <w:webHidden/>
              </w:rPr>
              <w:fldChar w:fldCharType="end"/>
            </w:r>
          </w:hyperlink>
        </w:p>
        <w:p w:rsidR="00A47248" w:rsidRDefault="00D4318B">
          <w:pPr>
            <w:pStyle w:val="TOC1"/>
            <w:rPr>
              <w:rFonts w:cstheme="minorBidi"/>
              <w:b w:val="0"/>
              <w:bCs w:val="0"/>
              <w:szCs w:val="22"/>
              <w:lang w:bidi="ar-SA"/>
            </w:rPr>
          </w:pPr>
          <w:hyperlink w:anchor="_Toc348451701" w:history="1">
            <w:r w:rsidR="00A47248" w:rsidRPr="007C4807">
              <w:rPr>
                <w:rStyle w:val="Hyperlink"/>
              </w:rPr>
              <w:t>Chapter III:  Customs Reform Will Strengthen Trade Facilitation</w:t>
            </w:r>
            <w:r w:rsidR="00A47248">
              <w:rPr>
                <w:webHidden/>
              </w:rPr>
              <w:tab/>
            </w:r>
            <w:r w:rsidR="00A47248">
              <w:rPr>
                <w:webHidden/>
              </w:rPr>
              <w:fldChar w:fldCharType="begin"/>
            </w:r>
            <w:r w:rsidR="00A47248">
              <w:rPr>
                <w:webHidden/>
              </w:rPr>
              <w:instrText xml:space="preserve"> PAGEREF _Toc348451701 \h </w:instrText>
            </w:r>
            <w:r w:rsidR="00A47248">
              <w:rPr>
                <w:webHidden/>
              </w:rPr>
            </w:r>
            <w:r w:rsidR="00A47248">
              <w:rPr>
                <w:webHidden/>
              </w:rPr>
              <w:fldChar w:fldCharType="separate"/>
            </w:r>
            <w:r w:rsidR="00A47248">
              <w:rPr>
                <w:webHidden/>
              </w:rPr>
              <w:t>66</w:t>
            </w:r>
            <w:r w:rsidR="00A47248">
              <w:rPr>
                <w:webHidden/>
              </w:rPr>
              <w:fldChar w:fldCharType="end"/>
            </w:r>
          </w:hyperlink>
        </w:p>
        <w:p w:rsidR="00A47248" w:rsidRDefault="00D4318B">
          <w:pPr>
            <w:pStyle w:val="TOC2"/>
            <w:tabs>
              <w:tab w:val="right" w:leader="dot" w:pos="9350"/>
            </w:tabs>
            <w:rPr>
              <w:noProof/>
              <w:szCs w:val="22"/>
              <w:lang w:bidi="ar-SA"/>
            </w:rPr>
          </w:pPr>
          <w:hyperlink w:anchor="_Toc348451702" w:history="1">
            <w:r w:rsidR="00A47248" w:rsidRPr="007C4807">
              <w:rPr>
                <w:rStyle w:val="Hyperlink"/>
                <w:noProof/>
              </w:rPr>
              <w:t>Customs Performance Significantly Improved Since 2003</w:t>
            </w:r>
            <w:r w:rsidR="00A47248">
              <w:rPr>
                <w:noProof/>
                <w:webHidden/>
              </w:rPr>
              <w:tab/>
            </w:r>
            <w:r w:rsidR="00A47248">
              <w:rPr>
                <w:noProof/>
                <w:webHidden/>
              </w:rPr>
              <w:fldChar w:fldCharType="begin"/>
            </w:r>
            <w:r w:rsidR="00A47248">
              <w:rPr>
                <w:noProof/>
                <w:webHidden/>
              </w:rPr>
              <w:instrText xml:space="preserve"> PAGEREF _Toc348451702 \h </w:instrText>
            </w:r>
            <w:r w:rsidR="00A47248">
              <w:rPr>
                <w:noProof/>
                <w:webHidden/>
              </w:rPr>
            </w:r>
            <w:r w:rsidR="00A47248">
              <w:rPr>
                <w:noProof/>
                <w:webHidden/>
              </w:rPr>
              <w:fldChar w:fldCharType="separate"/>
            </w:r>
            <w:r w:rsidR="00A47248">
              <w:rPr>
                <w:noProof/>
                <w:webHidden/>
              </w:rPr>
              <w:t>67</w:t>
            </w:r>
            <w:r w:rsidR="00A47248">
              <w:rPr>
                <w:noProof/>
                <w:webHidden/>
              </w:rPr>
              <w:fldChar w:fldCharType="end"/>
            </w:r>
          </w:hyperlink>
        </w:p>
        <w:p w:rsidR="00A47248" w:rsidRDefault="00D4318B">
          <w:pPr>
            <w:pStyle w:val="TOC2"/>
            <w:tabs>
              <w:tab w:val="right" w:leader="dot" w:pos="9350"/>
            </w:tabs>
            <w:rPr>
              <w:noProof/>
              <w:szCs w:val="22"/>
              <w:lang w:bidi="ar-SA"/>
            </w:rPr>
          </w:pPr>
          <w:hyperlink w:anchor="_Toc348451703" w:history="1">
            <w:r w:rsidR="00A47248" w:rsidRPr="007C4807">
              <w:rPr>
                <w:rStyle w:val="Hyperlink"/>
                <w:noProof/>
              </w:rPr>
              <w:t>Reforms in Basic Customs Administration Need to be Consolidated</w:t>
            </w:r>
            <w:r w:rsidR="00A47248">
              <w:rPr>
                <w:noProof/>
                <w:webHidden/>
              </w:rPr>
              <w:tab/>
            </w:r>
            <w:r w:rsidR="00A47248">
              <w:rPr>
                <w:noProof/>
                <w:webHidden/>
              </w:rPr>
              <w:fldChar w:fldCharType="begin"/>
            </w:r>
            <w:r w:rsidR="00A47248">
              <w:rPr>
                <w:noProof/>
                <w:webHidden/>
              </w:rPr>
              <w:instrText xml:space="preserve"> PAGEREF _Toc348451703 \h </w:instrText>
            </w:r>
            <w:r w:rsidR="00A47248">
              <w:rPr>
                <w:noProof/>
                <w:webHidden/>
              </w:rPr>
            </w:r>
            <w:r w:rsidR="00A47248">
              <w:rPr>
                <w:noProof/>
                <w:webHidden/>
              </w:rPr>
              <w:fldChar w:fldCharType="separate"/>
            </w:r>
            <w:r w:rsidR="00A47248">
              <w:rPr>
                <w:noProof/>
                <w:webHidden/>
              </w:rPr>
              <w:t>71</w:t>
            </w:r>
            <w:r w:rsidR="00A47248">
              <w:rPr>
                <w:noProof/>
                <w:webHidden/>
              </w:rPr>
              <w:fldChar w:fldCharType="end"/>
            </w:r>
          </w:hyperlink>
        </w:p>
        <w:p w:rsidR="00A47248" w:rsidRDefault="00D4318B">
          <w:pPr>
            <w:pStyle w:val="TOC3"/>
            <w:tabs>
              <w:tab w:val="right" w:leader="dot" w:pos="9350"/>
            </w:tabs>
            <w:rPr>
              <w:rFonts w:cstheme="minorBidi"/>
              <w:noProof/>
              <w:szCs w:val="22"/>
              <w:lang w:bidi="ar-SA"/>
            </w:rPr>
          </w:pPr>
          <w:hyperlink w:anchor="_Toc348451704" w:history="1">
            <w:r w:rsidR="00A47248" w:rsidRPr="007C4807">
              <w:rPr>
                <w:rStyle w:val="Hyperlink"/>
                <w:noProof/>
              </w:rPr>
              <w:t>Improving Customs Procedures</w:t>
            </w:r>
            <w:r w:rsidR="00A47248">
              <w:rPr>
                <w:noProof/>
                <w:webHidden/>
              </w:rPr>
              <w:tab/>
            </w:r>
            <w:r w:rsidR="00A47248">
              <w:rPr>
                <w:noProof/>
                <w:webHidden/>
              </w:rPr>
              <w:fldChar w:fldCharType="begin"/>
            </w:r>
            <w:r w:rsidR="00A47248">
              <w:rPr>
                <w:noProof/>
                <w:webHidden/>
              </w:rPr>
              <w:instrText xml:space="preserve"> PAGEREF _Toc348451704 \h </w:instrText>
            </w:r>
            <w:r w:rsidR="00A47248">
              <w:rPr>
                <w:noProof/>
                <w:webHidden/>
              </w:rPr>
            </w:r>
            <w:r w:rsidR="00A47248">
              <w:rPr>
                <w:noProof/>
                <w:webHidden/>
              </w:rPr>
              <w:fldChar w:fldCharType="separate"/>
            </w:r>
            <w:r w:rsidR="00A47248">
              <w:rPr>
                <w:noProof/>
                <w:webHidden/>
              </w:rPr>
              <w:t>71</w:t>
            </w:r>
            <w:r w:rsidR="00A47248">
              <w:rPr>
                <w:noProof/>
                <w:webHidden/>
              </w:rPr>
              <w:fldChar w:fldCharType="end"/>
            </w:r>
          </w:hyperlink>
        </w:p>
        <w:p w:rsidR="00A47248" w:rsidRDefault="00D4318B">
          <w:pPr>
            <w:pStyle w:val="TOC3"/>
            <w:tabs>
              <w:tab w:val="right" w:leader="dot" w:pos="9350"/>
            </w:tabs>
            <w:rPr>
              <w:rFonts w:cstheme="minorBidi"/>
              <w:noProof/>
              <w:szCs w:val="22"/>
              <w:lang w:bidi="ar-SA"/>
            </w:rPr>
          </w:pPr>
          <w:hyperlink w:anchor="_Toc348451705" w:history="1">
            <w:r w:rsidR="00A47248" w:rsidRPr="007C4807">
              <w:rPr>
                <w:rStyle w:val="Hyperlink"/>
                <w:noProof/>
              </w:rPr>
              <w:t>Organizational and Human Resource Management in the Afghan Customs Department</w:t>
            </w:r>
            <w:r w:rsidR="00A47248">
              <w:rPr>
                <w:noProof/>
                <w:webHidden/>
              </w:rPr>
              <w:tab/>
            </w:r>
            <w:r w:rsidR="00A47248">
              <w:rPr>
                <w:noProof/>
                <w:webHidden/>
              </w:rPr>
              <w:fldChar w:fldCharType="begin"/>
            </w:r>
            <w:r w:rsidR="00A47248">
              <w:rPr>
                <w:noProof/>
                <w:webHidden/>
              </w:rPr>
              <w:instrText xml:space="preserve"> PAGEREF _Toc348451705 \h </w:instrText>
            </w:r>
            <w:r w:rsidR="00A47248">
              <w:rPr>
                <w:noProof/>
                <w:webHidden/>
              </w:rPr>
            </w:r>
            <w:r w:rsidR="00A47248">
              <w:rPr>
                <w:noProof/>
                <w:webHidden/>
              </w:rPr>
              <w:fldChar w:fldCharType="separate"/>
            </w:r>
            <w:r w:rsidR="00A47248">
              <w:rPr>
                <w:noProof/>
                <w:webHidden/>
              </w:rPr>
              <w:t>75</w:t>
            </w:r>
            <w:r w:rsidR="00A47248">
              <w:rPr>
                <w:noProof/>
                <w:webHidden/>
              </w:rPr>
              <w:fldChar w:fldCharType="end"/>
            </w:r>
          </w:hyperlink>
        </w:p>
        <w:p w:rsidR="00A47248" w:rsidRDefault="00D4318B">
          <w:pPr>
            <w:pStyle w:val="TOC3"/>
            <w:tabs>
              <w:tab w:val="right" w:leader="dot" w:pos="9350"/>
            </w:tabs>
            <w:rPr>
              <w:rFonts w:cstheme="minorBidi"/>
              <w:noProof/>
              <w:szCs w:val="22"/>
              <w:lang w:bidi="ar-SA"/>
            </w:rPr>
          </w:pPr>
          <w:hyperlink w:anchor="_Toc348451706" w:history="1">
            <w:r w:rsidR="00A47248" w:rsidRPr="007C4807">
              <w:rPr>
                <w:rStyle w:val="Hyperlink"/>
                <w:noProof/>
              </w:rPr>
              <w:t>Interagency Coordination is Important</w:t>
            </w:r>
            <w:r w:rsidR="00A47248">
              <w:rPr>
                <w:noProof/>
                <w:webHidden/>
              </w:rPr>
              <w:tab/>
            </w:r>
            <w:r w:rsidR="00A47248">
              <w:rPr>
                <w:noProof/>
                <w:webHidden/>
              </w:rPr>
              <w:fldChar w:fldCharType="begin"/>
            </w:r>
            <w:r w:rsidR="00A47248">
              <w:rPr>
                <w:noProof/>
                <w:webHidden/>
              </w:rPr>
              <w:instrText xml:space="preserve"> PAGEREF _Toc348451706 \h </w:instrText>
            </w:r>
            <w:r w:rsidR="00A47248">
              <w:rPr>
                <w:noProof/>
                <w:webHidden/>
              </w:rPr>
            </w:r>
            <w:r w:rsidR="00A47248">
              <w:rPr>
                <w:noProof/>
                <w:webHidden/>
              </w:rPr>
              <w:fldChar w:fldCharType="separate"/>
            </w:r>
            <w:r w:rsidR="00A47248">
              <w:rPr>
                <w:noProof/>
                <w:webHidden/>
              </w:rPr>
              <w:t>77</w:t>
            </w:r>
            <w:r w:rsidR="00A47248">
              <w:rPr>
                <w:noProof/>
                <w:webHidden/>
              </w:rPr>
              <w:fldChar w:fldCharType="end"/>
            </w:r>
          </w:hyperlink>
        </w:p>
        <w:p w:rsidR="00A47248" w:rsidRDefault="00D4318B">
          <w:pPr>
            <w:pStyle w:val="TOC2"/>
            <w:tabs>
              <w:tab w:val="right" w:leader="dot" w:pos="9350"/>
            </w:tabs>
            <w:rPr>
              <w:noProof/>
              <w:szCs w:val="22"/>
              <w:lang w:bidi="ar-SA"/>
            </w:rPr>
          </w:pPr>
          <w:hyperlink w:anchor="_Toc348451707" w:history="1">
            <w:r w:rsidR="00A47248" w:rsidRPr="007C4807">
              <w:rPr>
                <w:rStyle w:val="Hyperlink"/>
                <w:noProof/>
              </w:rPr>
              <w:t>Opportunities and Recommendations</w:t>
            </w:r>
            <w:r w:rsidR="00A47248">
              <w:rPr>
                <w:noProof/>
                <w:webHidden/>
              </w:rPr>
              <w:tab/>
            </w:r>
            <w:r w:rsidR="00A47248">
              <w:rPr>
                <w:noProof/>
                <w:webHidden/>
              </w:rPr>
              <w:fldChar w:fldCharType="begin"/>
            </w:r>
            <w:r w:rsidR="00A47248">
              <w:rPr>
                <w:noProof/>
                <w:webHidden/>
              </w:rPr>
              <w:instrText xml:space="preserve"> PAGEREF _Toc348451707 \h </w:instrText>
            </w:r>
            <w:r w:rsidR="00A47248">
              <w:rPr>
                <w:noProof/>
                <w:webHidden/>
              </w:rPr>
            </w:r>
            <w:r w:rsidR="00A47248">
              <w:rPr>
                <w:noProof/>
                <w:webHidden/>
              </w:rPr>
              <w:fldChar w:fldCharType="separate"/>
            </w:r>
            <w:r w:rsidR="00A47248">
              <w:rPr>
                <w:noProof/>
                <w:webHidden/>
              </w:rPr>
              <w:t>77</w:t>
            </w:r>
            <w:r w:rsidR="00A47248">
              <w:rPr>
                <w:noProof/>
                <w:webHidden/>
              </w:rPr>
              <w:fldChar w:fldCharType="end"/>
            </w:r>
          </w:hyperlink>
        </w:p>
        <w:p w:rsidR="00A47248" w:rsidRDefault="00D4318B">
          <w:pPr>
            <w:pStyle w:val="TOC2"/>
            <w:tabs>
              <w:tab w:val="right" w:leader="dot" w:pos="9350"/>
            </w:tabs>
            <w:rPr>
              <w:noProof/>
              <w:szCs w:val="22"/>
              <w:lang w:bidi="ar-SA"/>
            </w:rPr>
          </w:pPr>
          <w:hyperlink w:anchor="_Toc348451708" w:history="1">
            <w:r w:rsidR="00A47248" w:rsidRPr="007C4807">
              <w:rPr>
                <w:rStyle w:val="Hyperlink"/>
                <w:rFonts w:cs="Times New Roman"/>
                <w:noProof/>
              </w:rPr>
              <w:t>Table 2.6.</w:t>
            </w:r>
            <w:r w:rsidR="00A47248" w:rsidRPr="007C4807">
              <w:rPr>
                <w:rStyle w:val="Hyperlink"/>
                <w:noProof/>
              </w:rPr>
              <w:t xml:space="preserve"> Overall Performance Indicators for the Afghan Customs Department (ACD)</w:t>
            </w:r>
            <w:r w:rsidR="00A47248">
              <w:rPr>
                <w:noProof/>
                <w:webHidden/>
              </w:rPr>
              <w:tab/>
            </w:r>
            <w:r w:rsidR="00A47248">
              <w:rPr>
                <w:noProof/>
                <w:webHidden/>
              </w:rPr>
              <w:fldChar w:fldCharType="begin"/>
            </w:r>
            <w:r w:rsidR="00A47248">
              <w:rPr>
                <w:noProof/>
                <w:webHidden/>
              </w:rPr>
              <w:instrText xml:space="preserve"> PAGEREF _Toc348451708 \h </w:instrText>
            </w:r>
            <w:r w:rsidR="00A47248">
              <w:rPr>
                <w:noProof/>
                <w:webHidden/>
              </w:rPr>
            </w:r>
            <w:r w:rsidR="00A47248">
              <w:rPr>
                <w:noProof/>
                <w:webHidden/>
              </w:rPr>
              <w:fldChar w:fldCharType="separate"/>
            </w:r>
            <w:r w:rsidR="00A47248">
              <w:rPr>
                <w:noProof/>
                <w:webHidden/>
              </w:rPr>
              <w:t>79</w:t>
            </w:r>
            <w:r w:rsidR="00A47248">
              <w:rPr>
                <w:noProof/>
                <w:webHidden/>
              </w:rPr>
              <w:fldChar w:fldCharType="end"/>
            </w:r>
          </w:hyperlink>
        </w:p>
        <w:p w:rsidR="00A47248" w:rsidRDefault="00D4318B">
          <w:pPr>
            <w:pStyle w:val="TOC1"/>
            <w:rPr>
              <w:rFonts w:cstheme="minorBidi"/>
              <w:b w:val="0"/>
              <w:bCs w:val="0"/>
              <w:szCs w:val="22"/>
              <w:lang w:bidi="ar-SA"/>
            </w:rPr>
          </w:pPr>
          <w:hyperlink w:anchor="_Toc348451709" w:history="1">
            <w:r w:rsidR="00A47248" w:rsidRPr="007C4807">
              <w:rPr>
                <w:rStyle w:val="Hyperlink"/>
              </w:rPr>
              <w:t>Chapter IV: Infrastructure Services</w:t>
            </w:r>
            <w:r w:rsidR="00A47248">
              <w:rPr>
                <w:webHidden/>
              </w:rPr>
              <w:tab/>
            </w:r>
            <w:r w:rsidR="00A47248">
              <w:rPr>
                <w:webHidden/>
              </w:rPr>
              <w:fldChar w:fldCharType="begin"/>
            </w:r>
            <w:r w:rsidR="00A47248">
              <w:rPr>
                <w:webHidden/>
              </w:rPr>
              <w:instrText xml:space="preserve"> PAGEREF _Toc348451709 \h </w:instrText>
            </w:r>
            <w:r w:rsidR="00A47248">
              <w:rPr>
                <w:webHidden/>
              </w:rPr>
            </w:r>
            <w:r w:rsidR="00A47248">
              <w:rPr>
                <w:webHidden/>
              </w:rPr>
              <w:fldChar w:fldCharType="separate"/>
            </w:r>
            <w:r w:rsidR="00A47248">
              <w:rPr>
                <w:webHidden/>
              </w:rPr>
              <w:t>80</w:t>
            </w:r>
            <w:r w:rsidR="00A47248">
              <w:rPr>
                <w:webHidden/>
              </w:rPr>
              <w:fldChar w:fldCharType="end"/>
            </w:r>
          </w:hyperlink>
        </w:p>
        <w:p w:rsidR="00A47248" w:rsidRDefault="00D4318B">
          <w:pPr>
            <w:pStyle w:val="TOC2"/>
            <w:tabs>
              <w:tab w:val="right" w:leader="dot" w:pos="9350"/>
            </w:tabs>
            <w:rPr>
              <w:noProof/>
              <w:szCs w:val="22"/>
              <w:lang w:bidi="ar-SA"/>
            </w:rPr>
          </w:pPr>
          <w:hyperlink w:anchor="_Toc348451710" w:history="1">
            <w:r w:rsidR="00A47248" w:rsidRPr="007C4807">
              <w:rPr>
                <w:rStyle w:val="Hyperlink"/>
                <w:noProof/>
              </w:rPr>
              <w:t>A: Electricity</w:t>
            </w:r>
            <w:r w:rsidR="00A47248">
              <w:rPr>
                <w:noProof/>
                <w:webHidden/>
              </w:rPr>
              <w:tab/>
            </w:r>
            <w:r w:rsidR="00A47248">
              <w:rPr>
                <w:noProof/>
                <w:webHidden/>
              </w:rPr>
              <w:fldChar w:fldCharType="begin"/>
            </w:r>
            <w:r w:rsidR="00A47248">
              <w:rPr>
                <w:noProof/>
                <w:webHidden/>
              </w:rPr>
              <w:instrText xml:space="preserve"> PAGEREF _Toc348451710 \h </w:instrText>
            </w:r>
            <w:r w:rsidR="00A47248">
              <w:rPr>
                <w:noProof/>
                <w:webHidden/>
              </w:rPr>
            </w:r>
            <w:r w:rsidR="00A47248">
              <w:rPr>
                <w:noProof/>
                <w:webHidden/>
              </w:rPr>
              <w:fldChar w:fldCharType="separate"/>
            </w:r>
            <w:r w:rsidR="00A47248">
              <w:rPr>
                <w:noProof/>
                <w:webHidden/>
              </w:rPr>
              <w:t>80</w:t>
            </w:r>
            <w:r w:rsidR="00A47248">
              <w:rPr>
                <w:noProof/>
                <w:webHidden/>
              </w:rPr>
              <w:fldChar w:fldCharType="end"/>
            </w:r>
          </w:hyperlink>
        </w:p>
        <w:p w:rsidR="00A47248" w:rsidRDefault="00D4318B">
          <w:pPr>
            <w:pStyle w:val="TOC2"/>
            <w:tabs>
              <w:tab w:val="right" w:leader="dot" w:pos="9350"/>
            </w:tabs>
            <w:rPr>
              <w:noProof/>
              <w:szCs w:val="22"/>
              <w:lang w:bidi="ar-SA"/>
            </w:rPr>
          </w:pPr>
          <w:hyperlink w:anchor="_Toc348451711" w:history="1">
            <w:r w:rsidR="00A47248" w:rsidRPr="007C4807">
              <w:rPr>
                <w:rStyle w:val="Hyperlink"/>
                <w:noProof/>
              </w:rPr>
              <w:t>Opportunities and recommendations</w:t>
            </w:r>
            <w:r w:rsidR="00A47248">
              <w:rPr>
                <w:noProof/>
                <w:webHidden/>
              </w:rPr>
              <w:tab/>
            </w:r>
            <w:r w:rsidR="00A47248">
              <w:rPr>
                <w:noProof/>
                <w:webHidden/>
              </w:rPr>
              <w:fldChar w:fldCharType="begin"/>
            </w:r>
            <w:r w:rsidR="00A47248">
              <w:rPr>
                <w:noProof/>
                <w:webHidden/>
              </w:rPr>
              <w:instrText xml:space="preserve"> PAGEREF _Toc348451711 \h </w:instrText>
            </w:r>
            <w:r w:rsidR="00A47248">
              <w:rPr>
                <w:noProof/>
                <w:webHidden/>
              </w:rPr>
            </w:r>
            <w:r w:rsidR="00A47248">
              <w:rPr>
                <w:noProof/>
                <w:webHidden/>
              </w:rPr>
              <w:fldChar w:fldCharType="separate"/>
            </w:r>
            <w:r w:rsidR="00A47248">
              <w:rPr>
                <w:noProof/>
                <w:webHidden/>
              </w:rPr>
              <w:t>87</w:t>
            </w:r>
            <w:r w:rsidR="00A47248">
              <w:rPr>
                <w:noProof/>
                <w:webHidden/>
              </w:rPr>
              <w:fldChar w:fldCharType="end"/>
            </w:r>
          </w:hyperlink>
        </w:p>
        <w:p w:rsidR="00A47248" w:rsidRDefault="00D4318B">
          <w:pPr>
            <w:pStyle w:val="TOC2"/>
            <w:tabs>
              <w:tab w:val="right" w:leader="dot" w:pos="9350"/>
            </w:tabs>
            <w:rPr>
              <w:noProof/>
              <w:szCs w:val="22"/>
              <w:lang w:bidi="ar-SA"/>
            </w:rPr>
          </w:pPr>
          <w:hyperlink w:anchor="_Toc348451712" w:history="1">
            <w:r w:rsidR="00A47248" w:rsidRPr="007C4807">
              <w:rPr>
                <w:rStyle w:val="Hyperlink"/>
                <w:noProof/>
              </w:rPr>
              <w:t>B: Information and Communication Technology</w:t>
            </w:r>
            <w:r w:rsidR="00A47248">
              <w:rPr>
                <w:noProof/>
                <w:webHidden/>
              </w:rPr>
              <w:tab/>
            </w:r>
            <w:r w:rsidR="00A47248">
              <w:rPr>
                <w:noProof/>
                <w:webHidden/>
              </w:rPr>
              <w:fldChar w:fldCharType="begin"/>
            </w:r>
            <w:r w:rsidR="00A47248">
              <w:rPr>
                <w:noProof/>
                <w:webHidden/>
              </w:rPr>
              <w:instrText xml:space="preserve"> PAGEREF _Toc348451712 \h </w:instrText>
            </w:r>
            <w:r w:rsidR="00A47248">
              <w:rPr>
                <w:noProof/>
                <w:webHidden/>
              </w:rPr>
            </w:r>
            <w:r w:rsidR="00A47248">
              <w:rPr>
                <w:noProof/>
                <w:webHidden/>
              </w:rPr>
              <w:fldChar w:fldCharType="separate"/>
            </w:r>
            <w:r w:rsidR="00A47248">
              <w:rPr>
                <w:noProof/>
                <w:webHidden/>
              </w:rPr>
              <w:t>88</w:t>
            </w:r>
            <w:r w:rsidR="00A47248">
              <w:rPr>
                <w:noProof/>
                <w:webHidden/>
              </w:rPr>
              <w:fldChar w:fldCharType="end"/>
            </w:r>
          </w:hyperlink>
        </w:p>
        <w:p w:rsidR="00A47248" w:rsidRDefault="00D4318B">
          <w:pPr>
            <w:pStyle w:val="TOC2"/>
            <w:tabs>
              <w:tab w:val="right" w:leader="dot" w:pos="9350"/>
            </w:tabs>
            <w:rPr>
              <w:noProof/>
              <w:szCs w:val="22"/>
              <w:lang w:bidi="ar-SA"/>
            </w:rPr>
          </w:pPr>
          <w:hyperlink w:anchor="_Toc348451713" w:history="1">
            <w:r w:rsidR="00A47248" w:rsidRPr="007C4807">
              <w:rPr>
                <w:rStyle w:val="Hyperlink"/>
                <w:noProof/>
              </w:rPr>
              <w:t>Opportunities and recommendations</w:t>
            </w:r>
            <w:r w:rsidR="00A47248">
              <w:rPr>
                <w:noProof/>
                <w:webHidden/>
              </w:rPr>
              <w:tab/>
            </w:r>
            <w:r w:rsidR="00A47248">
              <w:rPr>
                <w:noProof/>
                <w:webHidden/>
              </w:rPr>
              <w:fldChar w:fldCharType="begin"/>
            </w:r>
            <w:r w:rsidR="00A47248">
              <w:rPr>
                <w:noProof/>
                <w:webHidden/>
              </w:rPr>
              <w:instrText xml:space="preserve"> PAGEREF _Toc348451713 \h </w:instrText>
            </w:r>
            <w:r w:rsidR="00A47248">
              <w:rPr>
                <w:noProof/>
                <w:webHidden/>
              </w:rPr>
            </w:r>
            <w:r w:rsidR="00A47248">
              <w:rPr>
                <w:noProof/>
                <w:webHidden/>
              </w:rPr>
              <w:fldChar w:fldCharType="separate"/>
            </w:r>
            <w:r w:rsidR="00A47248">
              <w:rPr>
                <w:noProof/>
                <w:webHidden/>
              </w:rPr>
              <w:t>95</w:t>
            </w:r>
            <w:r w:rsidR="00A47248">
              <w:rPr>
                <w:noProof/>
                <w:webHidden/>
              </w:rPr>
              <w:fldChar w:fldCharType="end"/>
            </w:r>
          </w:hyperlink>
        </w:p>
        <w:p w:rsidR="00A47248" w:rsidRDefault="00D4318B">
          <w:pPr>
            <w:pStyle w:val="TOC2"/>
            <w:tabs>
              <w:tab w:val="right" w:leader="dot" w:pos="9350"/>
            </w:tabs>
            <w:rPr>
              <w:noProof/>
              <w:szCs w:val="22"/>
              <w:lang w:bidi="ar-SA"/>
            </w:rPr>
          </w:pPr>
          <w:hyperlink w:anchor="_Toc348451714" w:history="1">
            <w:r w:rsidR="00A47248" w:rsidRPr="007C4807">
              <w:rPr>
                <w:rStyle w:val="Hyperlink"/>
                <w:noProof/>
              </w:rPr>
              <w:t>C: Roads</w:t>
            </w:r>
            <w:r w:rsidR="00A47248">
              <w:rPr>
                <w:noProof/>
                <w:webHidden/>
              </w:rPr>
              <w:tab/>
            </w:r>
            <w:r w:rsidR="00A47248">
              <w:rPr>
                <w:noProof/>
                <w:webHidden/>
              </w:rPr>
              <w:fldChar w:fldCharType="begin"/>
            </w:r>
            <w:r w:rsidR="00A47248">
              <w:rPr>
                <w:noProof/>
                <w:webHidden/>
              </w:rPr>
              <w:instrText xml:space="preserve"> PAGEREF _Toc348451714 \h </w:instrText>
            </w:r>
            <w:r w:rsidR="00A47248">
              <w:rPr>
                <w:noProof/>
                <w:webHidden/>
              </w:rPr>
            </w:r>
            <w:r w:rsidR="00A47248">
              <w:rPr>
                <w:noProof/>
                <w:webHidden/>
              </w:rPr>
              <w:fldChar w:fldCharType="separate"/>
            </w:r>
            <w:r w:rsidR="00A47248">
              <w:rPr>
                <w:noProof/>
                <w:webHidden/>
              </w:rPr>
              <w:t>96</w:t>
            </w:r>
            <w:r w:rsidR="00A47248">
              <w:rPr>
                <w:noProof/>
                <w:webHidden/>
              </w:rPr>
              <w:fldChar w:fldCharType="end"/>
            </w:r>
          </w:hyperlink>
        </w:p>
        <w:p w:rsidR="00A47248" w:rsidRDefault="00D4318B">
          <w:pPr>
            <w:pStyle w:val="TOC2"/>
            <w:tabs>
              <w:tab w:val="right" w:leader="dot" w:pos="9350"/>
            </w:tabs>
            <w:rPr>
              <w:noProof/>
              <w:szCs w:val="22"/>
              <w:lang w:bidi="ar-SA"/>
            </w:rPr>
          </w:pPr>
          <w:hyperlink w:anchor="_Toc348451715" w:history="1">
            <w:r w:rsidR="00A47248" w:rsidRPr="007C4807">
              <w:rPr>
                <w:rStyle w:val="Hyperlink"/>
                <w:noProof/>
              </w:rPr>
              <w:t>Opportunities and Recommendations</w:t>
            </w:r>
            <w:r w:rsidR="00A47248">
              <w:rPr>
                <w:noProof/>
                <w:webHidden/>
              </w:rPr>
              <w:tab/>
            </w:r>
            <w:r w:rsidR="00A47248">
              <w:rPr>
                <w:noProof/>
                <w:webHidden/>
              </w:rPr>
              <w:fldChar w:fldCharType="begin"/>
            </w:r>
            <w:r w:rsidR="00A47248">
              <w:rPr>
                <w:noProof/>
                <w:webHidden/>
              </w:rPr>
              <w:instrText xml:space="preserve"> PAGEREF _Toc348451715 \h </w:instrText>
            </w:r>
            <w:r w:rsidR="00A47248">
              <w:rPr>
                <w:noProof/>
                <w:webHidden/>
              </w:rPr>
            </w:r>
            <w:r w:rsidR="00A47248">
              <w:rPr>
                <w:noProof/>
                <w:webHidden/>
              </w:rPr>
              <w:fldChar w:fldCharType="separate"/>
            </w:r>
            <w:r w:rsidR="00A47248">
              <w:rPr>
                <w:noProof/>
                <w:webHidden/>
              </w:rPr>
              <w:t>98</w:t>
            </w:r>
            <w:r w:rsidR="00A47248">
              <w:rPr>
                <w:noProof/>
                <w:webHidden/>
              </w:rPr>
              <w:fldChar w:fldCharType="end"/>
            </w:r>
          </w:hyperlink>
        </w:p>
        <w:p w:rsidR="00A47248" w:rsidRDefault="00D4318B">
          <w:pPr>
            <w:pStyle w:val="TOC1"/>
            <w:rPr>
              <w:rFonts w:cstheme="minorBidi"/>
              <w:b w:val="0"/>
              <w:bCs w:val="0"/>
              <w:szCs w:val="22"/>
              <w:lang w:bidi="ar-SA"/>
            </w:rPr>
          </w:pPr>
          <w:hyperlink w:anchor="_Toc348451716" w:history="1">
            <w:r w:rsidR="00A47248" w:rsidRPr="007C4807">
              <w:rPr>
                <w:rStyle w:val="Hyperlink"/>
              </w:rPr>
              <w:t>Chapter V: Why Regional Cooperation is Important for Afghanistan</w:t>
            </w:r>
            <w:r w:rsidR="00A47248">
              <w:rPr>
                <w:webHidden/>
              </w:rPr>
              <w:tab/>
            </w:r>
            <w:r w:rsidR="00A47248">
              <w:rPr>
                <w:webHidden/>
              </w:rPr>
              <w:fldChar w:fldCharType="begin"/>
            </w:r>
            <w:r w:rsidR="00A47248">
              <w:rPr>
                <w:webHidden/>
              </w:rPr>
              <w:instrText xml:space="preserve"> PAGEREF _Toc348451716 \h </w:instrText>
            </w:r>
            <w:r w:rsidR="00A47248">
              <w:rPr>
                <w:webHidden/>
              </w:rPr>
            </w:r>
            <w:r w:rsidR="00A47248">
              <w:rPr>
                <w:webHidden/>
              </w:rPr>
              <w:fldChar w:fldCharType="separate"/>
            </w:r>
            <w:r w:rsidR="00A47248">
              <w:rPr>
                <w:webHidden/>
              </w:rPr>
              <w:t>100</w:t>
            </w:r>
            <w:r w:rsidR="00A47248">
              <w:rPr>
                <w:webHidden/>
              </w:rPr>
              <w:fldChar w:fldCharType="end"/>
            </w:r>
          </w:hyperlink>
        </w:p>
        <w:p w:rsidR="00A47248" w:rsidRDefault="00D4318B">
          <w:pPr>
            <w:pStyle w:val="TOC2"/>
            <w:tabs>
              <w:tab w:val="right" w:leader="dot" w:pos="9350"/>
            </w:tabs>
            <w:rPr>
              <w:noProof/>
              <w:szCs w:val="22"/>
              <w:lang w:bidi="ar-SA"/>
            </w:rPr>
          </w:pPr>
          <w:hyperlink w:anchor="_Toc348451717" w:history="1">
            <w:r w:rsidR="00A47248" w:rsidRPr="007C4807">
              <w:rPr>
                <w:rStyle w:val="Hyperlink"/>
                <w:noProof/>
              </w:rPr>
              <w:t>Existing Trade Arrangements</w:t>
            </w:r>
            <w:r w:rsidR="00A47248">
              <w:rPr>
                <w:noProof/>
                <w:webHidden/>
              </w:rPr>
              <w:tab/>
            </w:r>
            <w:r w:rsidR="00A47248">
              <w:rPr>
                <w:noProof/>
                <w:webHidden/>
              </w:rPr>
              <w:fldChar w:fldCharType="begin"/>
            </w:r>
            <w:r w:rsidR="00A47248">
              <w:rPr>
                <w:noProof/>
                <w:webHidden/>
              </w:rPr>
              <w:instrText xml:space="preserve"> PAGEREF _Toc348451717 \h </w:instrText>
            </w:r>
            <w:r w:rsidR="00A47248">
              <w:rPr>
                <w:noProof/>
                <w:webHidden/>
              </w:rPr>
            </w:r>
            <w:r w:rsidR="00A47248">
              <w:rPr>
                <w:noProof/>
                <w:webHidden/>
              </w:rPr>
              <w:fldChar w:fldCharType="separate"/>
            </w:r>
            <w:r w:rsidR="00A47248">
              <w:rPr>
                <w:noProof/>
                <w:webHidden/>
              </w:rPr>
              <w:t>100</w:t>
            </w:r>
            <w:r w:rsidR="00A47248">
              <w:rPr>
                <w:noProof/>
                <w:webHidden/>
              </w:rPr>
              <w:fldChar w:fldCharType="end"/>
            </w:r>
          </w:hyperlink>
        </w:p>
        <w:p w:rsidR="00A47248" w:rsidRDefault="00D4318B">
          <w:pPr>
            <w:pStyle w:val="TOC3"/>
            <w:tabs>
              <w:tab w:val="right" w:leader="dot" w:pos="9350"/>
            </w:tabs>
            <w:rPr>
              <w:rFonts w:cstheme="minorBidi"/>
              <w:noProof/>
              <w:szCs w:val="22"/>
              <w:lang w:bidi="ar-SA"/>
            </w:rPr>
          </w:pPr>
          <w:hyperlink w:anchor="_Toc348451718" w:history="1">
            <w:r w:rsidR="00A47248" w:rsidRPr="007C4807">
              <w:rPr>
                <w:rStyle w:val="Hyperlink"/>
                <w:noProof/>
              </w:rPr>
              <w:t>North-East Preferential Regimes</w:t>
            </w:r>
            <w:r w:rsidR="00A47248">
              <w:rPr>
                <w:noProof/>
                <w:webHidden/>
              </w:rPr>
              <w:tab/>
            </w:r>
            <w:r w:rsidR="00A47248">
              <w:rPr>
                <w:noProof/>
                <w:webHidden/>
              </w:rPr>
              <w:fldChar w:fldCharType="begin"/>
            </w:r>
            <w:r w:rsidR="00A47248">
              <w:rPr>
                <w:noProof/>
                <w:webHidden/>
              </w:rPr>
              <w:instrText xml:space="preserve"> PAGEREF _Toc348451718 \h </w:instrText>
            </w:r>
            <w:r w:rsidR="00A47248">
              <w:rPr>
                <w:noProof/>
                <w:webHidden/>
              </w:rPr>
            </w:r>
            <w:r w:rsidR="00A47248">
              <w:rPr>
                <w:noProof/>
                <w:webHidden/>
              </w:rPr>
              <w:fldChar w:fldCharType="separate"/>
            </w:r>
            <w:r w:rsidR="00A47248">
              <w:rPr>
                <w:noProof/>
                <w:webHidden/>
              </w:rPr>
              <w:t>101</w:t>
            </w:r>
            <w:r w:rsidR="00A47248">
              <w:rPr>
                <w:noProof/>
                <w:webHidden/>
              </w:rPr>
              <w:fldChar w:fldCharType="end"/>
            </w:r>
          </w:hyperlink>
        </w:p>
        <w:p w:rsidR="00A47248" w:rsidRDefault="00D4318B">
          <w:pPr>
            <w:pStyle w:val="TOC3"/>
            <w:tabs>
              <w:tab w:val="right" w:leader="dot" w:pos="9350"/>
            </w:tabs>
            <w:rPr>
              <w:rFonts w:cstheme="minorBidi"/>
              <w:noProof/>
              <w:szCs w:val="22"/>
              <w:lang w:bidi="ar-SA"/>
            </w:rPr>
          </w:pPr>
          <w:hyperlink w:anchor="_Toc348451719" w:history="1">
            <w:r w:rsidR="00A47248" w:rsidRPr="007C4807">
              <w:rPr>
                <w:rStyle w:val="Hyperlink"/>
                <w:noProof/>
              </w:rPr>
              <w:t>South-South Preferential Regimes</w:t>
            </w:r>
            <w:r w:rsidR="00A47248">
              <w:rPr>
                <w:noProof/>
                <w:webHidden/>
              </w:rPr>
              <w:tab/>
            </w:r>
            <w:r w:rsidR="00A47248">
              <w:rPr>
                <w:noProof/>
                <w:webHidden/>
              </w:rPr>
              <w:fldChar w:fldCharType="begin"/>
            </w:r>
            <w:r w:rsidR="00A47248">
              <w:rPr>
                <w:noProof/>
                <w:webHidden/>
              </w:rPr>
              <w:instrText xml:space="preserve"> PAGEREF _Toc348451719 \h </w:instrText>
            </w:r>
            <w:r w:rsidR="00A47248">
              <w:rPr>
                <w:noProof/>
                <w:webHidden/>
              </w:rPr>
            </w:r>
            <w:r w:rsidR="00A47248">
              <w:rPr>
                <w:noProof/>
                <w:webHidden/>
              </w:rPr>
              <w:fldChar w:fldCharType="separate"/>
            </w:r>
            <w:r w:rsidR="00A47248">
              <w:rPr>
                <w:noProof/>
                <w:webHidden/>
              </w:rPr>
              <w:t>101</w:t>
            </w:r>
            <w:r w:rsidR="00A47248">
              <w:rPr>
                <w:noProof/>
                <w:webHidden/>
              </w:rPr>
              <w:fldChar w:fldCharType="end"/>
            </w:r>
          </w:hyperlink>
        </w:p>
        <w:p w:rsidR="00A47248" w:rsidRDefault="00D4318B">
          <w:pPr>
            <w:pStyle w:val="TOC2"/>
            <w:tabs>
              <w:tab w:val="right" w:leader="dot" w:pos="9350"/>
            </w:tabs>
            <w:rPr>
              <w:noProof/>
              <w:szCs w:val="22"/>
              <w:lang w:bidi="ar-SA"/>
            </w:rPr>
          </w:pPr>
          <w:hyperlink w:anchor="_Toc348451720" w:history="1">
            <w:r w:rsidR="00A47248" w:rsidRPr="007C4807">
              <w:rPr>
                <w:rStyle w:val="Hyperlink"/>
                <w:noProof/>
              </w:rPr>
              <w:t>Impact of the SAFTA Agreement on Afghanistan’s Imports and Fiscal Revenues</w:t>
            </w:r>
            <w:r w:rsidR="00A47248">
              <w:rPr>
                <w:noProof/>
                <w:webHidden/>
              </w:rPr>
              <w:tab/>
            </w:r>
            <w:r w:rsidR="00A47248">
              <w:rPr>
                <w:noProof/>
                <w:webHidden/>
              </w:rPr>
              <w:fldChar w:fldCharType="begin"/>
            </w:r>
            <w:r w:rsidR="00A47248">
              <w:rPr>
                <w:noProof/>
                <w:webHidden/>
              </w:rPr>
              <w:instrText xml:space="preserve"> PAGEREF _Toc348451720 \h </w:instrText>
            </w:r>
            <w:r w:rsidR="00A47248">
              <w:rPr>
                <w:noProof/>
                <w:webHidden/>
              </w:rPr>
            </w:r>
            <w:r w:rsidR="00A47248">
              <w:rPr>
                <w:noProof/>
                <w:webHidden/>
              </w:rPr>
              <w:fldChar w:fldCharType="separate"/>
            </w:r>
            <w:r w:rsidR="00A47248">
              <w:rPr>
                <w:noProof/>
                <w:webHidden/>
              </w:rPr>
              <w:t>102</w:t>
            </w:r>
            <w:r w:rsidR="00A47248">
              <w:rPr>
                <w:noProof/>
                <w:webHidden/>
              </w:rPr>
              <w:fldChar w:fldCharType="end"/>
            </w:r>
          </w:hyperlink>
        </w:p>
        <w:p w:rsidR="00A47248" w:rsidRDefault="00D4318B">
          <w:pPr>
            <w:pStyle w:val="TOC2"/>
            <w:tabs>
              <w:tab w:val="right" w:leader="dot" w:pos="9350"/>
            </w:tabs>
            <w:rPr>
              <w:noProof/>
              <w:szCs w:val="22"/>
              <w:lang w:bidi="ar-SA"/>
            </w:rPr>
          </w:pPr>
          <w:hyperlink w:anchor="_Toc348451721" w:history="1">
            <w:r w:rsidR="00A47248" w:rsidRPr="007C4807">
              <w:rPr>
                <w:rStyle w:val="Hyperlink"/>
                <w:noProof/>
              </w:rPr>
              <w:t>WTO Accession</w:t>
            </w:r>
            <w:r w:rsidR="00A47248">
              <w:rPr>
                <w:noProof/>
                <w:webHidden/>
              </w:rPr>
              <w:tab/>
            </w:r>
            <w:r w:rsidR="00A47248">
              <w:rPr>
                <w:noProof/>
                <w:webHidden/>
              </w:rPr>
              <w:fldChar w:fldCharType="begin"/>
            </w:r>
            <w:r w:rsidR="00A47248">
              <w:rPr>
                <w:noProof/>
                <w:webHidden/>
              </w:rPr>
              <w:instrText xml:space="preserve"> PAGEREF _Toc348451721 \h </w:instrText>
            </w:r>
            <w:r w:rsidR="00A47248">
              <w:rPr>
                <w:noProof/>
                <w:webHidden/>
              </w:rPr>
            </w:r>
            <w:r w:rsidR="00A47248">
              <w:rPr>
                <w:noProof/>
                <w:webHidden/>
              </w:rPr>
              <w:fldChar w:fldCharType="separate"/>
            </w:r>
            <w:r w:rsidR="00A47248">
              <w:rPr>
                <w:noProof/>
                <w:webHidden/>
              </w:rPr>
              <w:t>105</w:t>
            </w:r>
            <w:r w:rsidR="00A47248">
              <w:rPr>
                <w:noProof/>
                <w:webHidden/>
              </w:rPr>
              <w:fldChar w:fldCharType="end"/>
            </w:r>
          </w:hyperlink>
        </w:p>
        <w:p w:rsidR="00A47248" w:rsidRDefault="00D4318B">
          <w:pPr>
            <w:pStyle w:val="TOC2"/>
            <w:tabs>
              <w:tab w:val="right" w:leader="dot" w:pos="9350"/>
            </w:tabs>
            <w:rPr>
              <w:noProof/>
              <w:szCs w:val="22"/>
              <w:lang w:bidi="ar-SA"/>
            </w:rPr>
          </w:pPr>
          <w:hyperlink w:anchor="_Toc348451722" w:history="1">
            <w:r w:rsidR="00A47248" w:rsidRPr="007C4807">
              <w:rPr>
                <w:rStyle w:val="Hyperlink"/>
                <w:noProof/>
              </w:rPr>
              <w:t>Resource Corridors</w:t>
            </w:r>
            <w:r w:rsidR="00A47248">
              <w:rPr>
                <w:noProof/>
                <w:webHidden/>
              </w:rPr>
              <w:tab/>
            </w:r>
            <w:r w:rsidR="00A47248">
              <w:rPr>
                <w:noProof/>
                <w:webHidden/>
              </w:rPr>
              <w:fldChar w:fldCharType="begin"/>
            </w:r>
            <w:r w:rsidR="00A47248">
              <w:rPr>
                <w:noProof/>
                <w:webHidden/>
              </w:rPr>
              <w:instrText xml:space="preserve"> PAGEREF _Toc348451722 \h </w:instrText>
            </w:r>
            <w:r w:rsidR="00A47248">
              <w:rPr>
                <w:noProof/>
                <w:webHidden/>
              </w:rPr>
            </w:r>
            <w:r w:rsidR="00A47248">
              <w:rPr>
                <w:noProof/>
                <w:webHidden/>
              </w:rPr>
              <w:fldChar w:fldCharType="separate"/>
            </w:r>
            <w:r w:rsidR="00A47248">
              <w:rPr>
                <w:noProof/>
                <w:webHidden/>
              </w:rPr>
              <w:t>106</w:t>
            </w:r>
            <w:r w:rsidR="00A47248">
              <w:rPr>
                <w:noProof/>
                <w:webHidden/>
              </w:rPr>
              <w:fldChar w:fldCharType="end"/>
            </w:r>
          </w:hyperlink>
        </w:p>
        <w:p w:rsidR="00A47248" w:rsidRDefault="00D4318B">
          <w:pPr>
            <w:pStyle w:val="TOC2"/>
            <w:tabs>
              <w:tab w:val="right" w:leader="dot" w:pos="9350"/>
            </w:tabs>
            <w:rPr>
              <w:noProof/>
              <w:szCs w:val="22"/>
              <w:lang w:bidi="ar-SA"/>
            </w:rPr>
          </w:pPr>
          <w:hyperlink w:anchor="_Toc348451723" w:history="1">
            <w:r w:rsidR="00A47248" w:rsidRPr="007C4807">
              <w:rPr>
                <w:rStyle w:val="Hyperlink"/>
                <w:noProof/>
              </w:rPr>
              <w:t>Annex I.  Policy Action Matrix and Recommendations</w:t>
            </w:r>
            <w:r w:rsidR="00A47248">
              <w:rPr>
                <w:noProof/>
                <w:webHidden/>
              </w:rPr>
              <w:tab/>
            </w:r>
            <w:r w:rsidR="00A47248">
              <w:rPr>
                <w:noProof/>
                <w:webHidden/>
              </w:rPr>
              <w:fldChar w:fldCharType="begin"/>
            </w:r>
            <w:r w:rsidR="00A47248">
              <w:rPr>
                <w:noProof/>
                <w:webHidden/>
              </w:rPr>
              <w:instrText xml:space="preserve"> PAGEREF _Toc348451723 \h </w:instrText>
            </w:r>
            <w:r w:rsidR="00A47248">
              <w:rPr>
                <w:noProof/>
                <w:webHidden/>
              </w:rPr>
            </w:r>
            <w:r w:rsidR="00A47248">
              <w:rPr>
                <w:noProof/>
                <w:webHidden/>
              </w:rPr>
              <w:fldChar w:fldCharType="separate"/>
            </w:r>
            <w:r w:rsidR="00A47248">
              <w:rPr>
                <w:noProof/>
                <w:webHidden/>
              </w:rPr>
              <w:t>1</w:t>
            </w:r>
            <w:r w:rsidR="00A47248">
              <w:rPr>
                <w:noProof/>
                <w:webHidden/>
              </w:rPr>
              <w:fldChar w:fldCharType="end"/>
            </w:r>
          </w:hyperlink>
        </w:p>
        <w:p w:rsidR="00A47248" w:rsidRDefault="00D4318B">
          <w:pPr>
            <w:pStyle w:val="TOC2"/>
            <w:tabs>
              <w:tab w:val="right" w:leader="dot" w:pos="9350"/>
            </w:tabs>
            <w:rPr>
              <w:noProof/>
              <w:szCs w:val="22"/>
              <w:lang w:bidi="ar-SA"/>
            </w:rPr>
          </w:pPr>
          <w:hyperlink w:anchor="_Toc348451724" w:history="1">
            <w:r w:rsidR="00A47248" w:rsidRPr="007C4807">
              <w:rPr>
                <w:rStyle w:val="Hyperlink"/>
                <w:noProof/>
              </w:rPr>
              <w:t>Annex II. Afghanistan’s Non- Tariff Measures</w:t>
            </w:r>
            <w:r w:rsidR="00A47248">
              <w:rPr>
                <w:noProof/>
                <w:webHidden/>
              </w:rPr>
              <w:tab/>
            </w:r>
            <w:r w:rsidR="00A47248">
              <w:rPr>
                <w:noProof/>
                <w:webHidden/>
              </w:rPr>
              <w:fldChar w:fldCharType="begin"/>
            </w:r>
            <w:r w:rsidR="00A47248">
              <w:rPr>
                <w:noProof/>
                <w:webHidden/>
              </w:rPr>
              <w:instrText xml:space="preserve"> PAGEREF _Toc348451724 \h </w:instrText>
            </w:r>
            <w:r w:rsidR="00A47248">
              <w:rPr>
                <w:noProof/>
                <w:webHidden/>
              </w:rPr>
            </w:r>
            <w:r w:rsidR="00A47248">
              <w:rPr>
                <w:noProof/>
                <w:webHidden/>
              </w:rPr>
              <w:fldChar w:fldCharType="separate"/>
            </w:r>
            <w:r w:rsidR="00A47248">
              <w:rPr>
                <w:noProof/>
                <w:webHidden/>
              </w:rPr>
              <w:t>8</w:t>
            </w:r>
            <w:r w:rsidR="00A47248">
              <w:rPr>
                <w:noProof/>
                <w:webHidden/>
              </w:rPr>
              <w:fldChar w:fldCharType="end"/>
            </w:r>
          </w:hyperlink>
        </w:p>
        <w:p w:rsidR="00A47248" w:rsidRDefault="00D4318B">
          <w:pPr>
            <w:pStyle w:val="TOC2"/>
            <w:tabs>
              <w:tab w:val="right" w:leader="dot" w:pos="9350"/>
            </w:tabs>
            <w:rPr>
              <w:noProof/>
              <w:szCs w:val="22"/>
              <w:lang w:bidi="ar-SA"/>
            </w:rPr>
          </w:pPr>
          <w:hyperlink w:anchor="_Toc348451725" w:history="1">
            <w:r w:rsidR="00A47248" w:rsidRPr="007C4807">
              <w:rPr>
                <w:rStyle w:val="Hyperlink"/>
                <w:noProof/>
              </w:rPr>
              <w:t>References</w:t>
            </w:r>
            <w:r w:rsidR="00A47248">
              <w:rPr>
                <w:noProof/>
                <w:webHidden/>
              </w:rPr>
              <w:tab/>
            </w:r>
            <w:r w:rsidR="00A47248">
              <w:rPr>
                <w:noProof/>
                <w:webHidden/>
              </w:rPr>
              <w:fldChar w:fldCharType="begin"/>
            </w:r>
            <w:r w:rsidR="00A47248">
              <w:rPr>
                <w:noProof/>
                <w:webHidden/>
              </w:rPr>
              <w:instrText xml:space="preserve"> PAGEREF _Toc348451725 \h </w:instrText>
            </w:r>
            <w:r w:rsidR="00A47248">
              <w:rPr>
                <w:noProof/>
                <w:webHidden/>
              </w:rPr>
            </w:r>
            <w:r w:rsidR="00A47248">
              <w:rPr>
                <w:noProof/>
                <w:webHidden/>
              </w:rPr>
              <w:fldChar w:fldCharType="separate"/>
            </w:r>
            <w:r w:rsidR="00A47248">
              <w:rPr>
                <w:noProof/>
                <w:webHidden/>
              </w:rPr>
              <w:t>10</w:t>
            </w:r>
            <w:r w:rsidR="00A47248">
              <w:rPr>
                <w:noProof/>
                <w:webHidden/>
              </w:rPr>
              <w:fldChar w:fldCharType="end"/>
            </w:r>
          </w:hyperlink>
        </w:p>
        <w:p w:rsidR="00196D2D" w:rsidRDefault="00196D2D" w:rsidP="00196D2D">
          <w:pPr>
            <w:spacing w:line="240" w:lineRule="auto"/>
          </w:pPr>
          <w:r>
            <w:fldChar w:fldCharType="end"/>
          </w:r>
        </w:p>
      </w:sdtContent>
    </w:sdt>
    <w:p w:rsidR="00A31296" w:rsidRDefault="00A31296">
      <w:pPr>
        <w:jc w:val="left"/>
        <w:rPr>
          <w:b/>
          <w:noProof/>
          <w:sz w:val="28"/>
          <w:szCs w:val="28"/>
        </w:rPr>
      </w:pPr>
      <w:r>
        <w:rPr>
          <w:b/>
          <w:noProof/>
          <w:sz w:val="28"/>
          <w:szCs w:val="28"/>
        </w:rPr>
        <w:br w:type="page"/>
      </w:r>
    </w:p>
    <w:p w:rsidR="00A31296" w:rsidRPr="00C6790D" w:rsidRDefault="00A31296" w:rsidP="00A31296">
      <w:pPr>
        <w:keepNext/>
        <w:keepLines/>
        <w:spacing w:before="240" w:after="120" w:line="240" w:lineRule="auto"/>
        <w:jc w:val="center"/>
        <w:outlineLvl w:val="1"/>
        <w:rPr>
          <w:rFonts w:ascii="Calibri" w:eastAsia="Times New Roman" w:hAnsi="Calibri" w:cs="Calibri"/>
          <w:b/>
          <w:bCs/>
          <w:color w:val="300061"/>
          <w:sz w:val="32"/>
          <w:szCs w:val="32"/>
        </w:rPr>
      </w:pPr>
      <w:bookmarkStart w:id="1" w:name="_Toc327208411"/>
      <w:bookmarkStart w:id="2" w:name="_Toc328672342"/>
      <w:bookmarkStart w:id="3" w:name="_Toc348451652"/>
      <w:r w:rsidRPr="00C6790D">
        <w:rPr>
          <w:rFonts w:ascii="Calibri" w:eastAsia="Times New Roman" w:hAnsi="Calibri" w:cs="Calibri"/>
          <w:b/>
          <w:bCs/>
          <w:color w:val="300061"/>
          <w:sz w:val="32"/>
          <w:szCs w:val="32"/>
        </w:rPr>
        <w:lastRenderedPageBreak/>
        <w:t>Executive Summary</w:t>
      </w:r>
      <w:bookmarkEnd w:id="1"/>
      <w:bookmarkEnd w:id="2"/>
      <w:bookmarkEnd w:id="3"/>
    </w:p>
    <w:p w:rsidR="00A31296" w:rsidRPr="00C6790D" w:rsidRDefault="00A31296" w:rsidP="00A31296">
      <w:pPr>
        <w:spacing w:line="240" w:lineRule="auto"/>
        <w:rPr>
          <w:rFonts w:ascii="Calibri" w:eastAsia="Times New Roman" w:hAnsi="Calibri" w:cs="Calibri"/>
          <w:i/>
        </w:rPr>
      </w:pPr>
      <w:r w:rsidRPr="00C6790D">
        <w:rPr>
          <w:rFonts w:ascii="Calibri" w:eastAsia="Times New Roman" w:hAnsi="Calibri" w:cs="Calibri"/>
          <w:i/>
        </w:rPr>
        <w:t>Trade enables countries to import ideas and technologies, realize comparative advantages and economies of scale, and foster competition and innovation, which in turn increases productivity and achieves higher sustainable employment and economic growth. Countries open to international trade tend to provide more opportunities to their people, and grow faster.</w:t>
      </w:r>
    </w:p>
    <w:p w:rsidR="00A31296" w:rsidRPr="00C6790D" w:rsidRDefault="00A31296" w:rsidP="00A31296">
      <w:pPr>
        <w:autoSpaceDE w:val="0"/>
        <w:autoSpaceDN w:val="0"/>
        <w:adjustRightInd w:val="0"/>
        <w:spacing w:line="240" w:lineRule="auto"/>
        <w:rPr>
          <w:rFonts w:ascii="Calibri" w:eastAsia="Times New Roman" w:hAnsi="Calibri" w:cs="Calibri"/>
        </w:rPr>
      </w:pPr>
      <w:r w:rsidRPr="00C6790D">
        <w:rPr>
          <w:rFonts w:ascii="Calibri" w:eastAsia="Times New Roman" w:hAnsi="Calibri" w:cs="Calibri"/>
          <w:b/>
        </w:rPr>
        <w:t>Afghanistan could derive far more benefit from its international trade opportunities than it does at present.</w:t>
      </w:r>
      <w:r w:rsidRPr="00C6790D">
        <w:rPr>
          <w:rFonts w:ascii="Calibri" w:eastAsia="Times New Roman" w:hAnsi="Calibri" w:cs="Calibri"/>
        </w:rPr>
        <w:t xml:space="preserve"> This DTIS report is intended to identify concrete policy actions in three areas of endeavor: lowering the transaction costs of trade, increasing Afghanistan’s competitiveness in world markets, and providing an analytical foundation for Afghanistan’s National Trade Strategy. The study examines how to do this, looking not only at trade performance and policy, but also at three sectors with great export potential: agriculture, gemstones and carpets, as well as the investment climate, customs as a driver of trade facilitation, and on promoting infrastructure services.  Key recommendations for growing trade and the role it could play in raising incomes and reducing poverty are summarized here. Annex I provides a more comprehensive policy action matrix. </w:t>
      </w:r>
    </w:p>
    <w:p w:rsidR="00A31296" w:rsidRPr="00C6790D" w:rsidRDefault="00A31296" w:rsidP="00A31296">
      <w:pPr>
        <w:autoSpaceDE w:val="0"/>
        <w:autoSpaceDN w:val="0"/>
        <w:adjustRightInd w:val="0"/>
        <w:spacing w:before="240" w:line="240" w:lineRule="auto"/>
        <w:rPr>
          <w:rFonts w:ascii="Calibri" w:eastAsia="Times New Roman" w:hAnsi="Calibri" w:cs="Calibri"/>
        </w:rPr>
      </w:pPr>
      <w:r w:rsidRPr="00C6790D">
        <w:rPr>
          <w:rFonts w:ascii="Calibri" w:eastAsia="Times New Roman" w:hAnsi="Calibri" w:cs="Calibri"/>
        </w:rPr>
        <w:t>All five chapters in this report provide a detailed and comprehensive analysis of trade issues intended to reduce the transaction costs of trade.  Chapter 2, in particular, looks at Afghanistan’s export competitiveness through three case studies (agriculture, carpets, gemstones), which in a sense cover the country’s export base, and sets out a strategy for trade development and export promotion.</w:t>
      </w:r>
    </w:p>
    <w:p w:rsidR="00A31296" w:rsidRPr="00C6790D" w:rsidRDefault="00A31296" w:rsidP="00A31296">
      <w:pPr>
        <w:keepNext/>
        <w:keepLines/>
        <w:spacing w:before="240" w:after="120" w:line="240" w:lineRule="auto"/>
        <w:outlineLvl w:val="1"/>
        <w:rPr>
          <w:rFonts w:ascii="Calibri" w:eastAsia="Times New Roman" w:hAnsi="Calibri" w:cs="Calibri"/>
          <w:b/>
          <w:bCs/>
          <w:i/>
          <w:color w:val="300061"/>
          <w:sz w:val="26"/>
          <w:szCs w:val="24"/>
        </w:rPr>
      </w:pPr>
      <w:bookmarkStart w:id="4" w:name="_Toc327207219"/>
      <w:bookmarkStart w:id="5" w:name="_Toc327208030"/>
      <w:bookmarkStart w:id="6" w:name="_Toc327208412"/>
      <w:bookmarkStart w:id="7" w:name="_Toc327252421"/>
      <w:bookmarkStart w:id="8" w:name="_Toc327282372"/>
      <w:bookmarkStart w:id="9" w:name="_Toc328672343"/>
      <w:bookmarkStart w:id="10" w:name="_Toc348451403"/>
      <w:bookmarkStart w:id="11" w:name="_Toc348451565"/>
      <w:bookmarkStart w:id="12" w:name="_Toc348451653"/>
      <w:r w:rsidRPr="00C6790D">
        <w:rPr>
          <w:rFonts w:ascii="Calibri" w:eastAsia="Times New Roman" w:hAnsi="Calibri" w:cs="Calibri"/>
          <w:b/>
          <w:bCs/>
          <w:i/>
          <w:color w:val="300061"/>
          <w:sz w:val="26"/>
          <w:szCs w:val="24"/>
        </w:rPr>
        <w:t>Afghanistan’s Macroeconomic Environment</w:t>
      </w:r>
      <w:bookmarkEnd w:id="4"/>
      <w:bookmarkEnd w:id="5"/>
      <w:bookmarkEnd w:id="6"/>
      <w:bookmarkEnd w:id="7"/>
      <w:bookmarkEnd w:id="8"/>
      <w:bookmarkEnd w:id="9"/>
      <w:bookmarkEnd w:id="10"/>
      <w:bookmarkEnd w:id="11"/>
      <w:bookmarkEnd w:id="12"/>
    </w:p>
    <w:p w:rsidR="00A31296" w:rsidRPr="00C6790D" w:rsidRDefault="00A31296" w:rsidP="00A31296">
      <w:pPr>
        <w:spacing w:line="240" w:lineRule="auto"/>
        <w:rPr>
          <w:rFonts w:ascii="Calibri" w:eastAsia="Times New Roman" w:hAnsi="Calibri" w:cs="Calibri"/>
          <w:i/>
        </w:rPr>
      </w:pPr>
      <w:r w:rsidRPr="00C6790D">
        <w:rPr>
          <w:rFonts w:ascii="Calibri" w:eastAsia="Times New Roman" w:hAnsi="Calibri" w:cs="Calibri"/>
          <w:i/>
        </w:rPr>
        <w:t xml:space="preserve">Growth in Afghanistan has been strong and volatile because of its heavy reliance on agriculture. Now it faces a transition: prospects of a drawdown of international military forces and a decline in civilian aid by 2014. The transition will change Afghanistan’s economic landscape, while security issues and political instability will likely remain a risk to macroeconomic prosperity. </w:t>
      </w:r>
    </w:p>
    <w:p w:rsidR="00A31296" w:rsidRPr="00C6790D" w:rsidRDefault="00A31296" w:rsidP="00A31296">
      <w:pPr>
        <w:spacing w:after="120" w:line="240" w:lineRule="auto"/>
        <w:rPr>
          <w:rFonts w:ascii="Calibri" w:eastAsia="Times New Roman" w:hAnsi="Calibri" w:cs="Calibri"/>
        </w:rPr>
      </w:pPr>
      <w:r w:rsidRPr="00C6790D">
        <w:rPr>
          <w:rFonts w:ascii="Calibri" w:eastAsia="Times New Roman" w:hAnsi="Calibri" w:cs="Calibri"/>
          <w:b/>
        </w:rPr>
        <w:t>Afghanistan is one of the world’s poorest countries</w:t>
      </w:r>
      <w:r w:rsidRPr="00C6790D">
        <w:rPr>
          <w:rFonts w:ascii="Calibri" w:eastAsia="Times New Roman" w:hAnsi="Calibri" w:cs="Calibri"/>
        </w:rPr>
        <w:t xml:space="preserve">. After nearly a decade of strong growth, GDP in 2010 was US$15.9 billion (excluding opium production). With an estimated population of 30.6 million and per-capita GDP of US$528, it is one of the world’s ten poorest countries. Since 2001 the country has seen improved development outcomes, such as rapid economic growth (with large fluctuations), relatively low inflation (after hyperinflation in the 1990s), better public financial management, and gains in basic health and education. Key social indicators, including life expectancy and maternal mortality, have improved markedly (though from an extremely low base), and women are participating more in the economy.  </w:t>
      </w:r>
    </w:p>
    <w:p w:rsidR="00A31296" w:rsidRPr="00C6790D" w:rsidRDefault="00A31296" w:rsidP="00A31296">
      <w:pPr>
        <w:spacing w:line="240" w:lineRule="auto"/>
        <w:rPr>
          <w:rFonts w:ascii="Calibri" w:eastAsia="Times New Roman" w:hAnsi="Calibri" w:cs="Calibri"/>
        </w:rPr>
      </w:pPr>
      <w:r w:rsidRPr="00C6790D">
        <w:rPr>
          <w:rFonts w:ascii="Calibri" w:eastAsia="Times New Roman" w:hAnsi="Calibri" w:cs="Calibri"/>
          <w:b/>
        </w:rPr>
        <w:t xml:space="preserve">Afghanistan has seen exceptionally high economic growth, averaging 9 percent annually. </w:t>
      </w:r>
      <w:r w:rsidRPr="00C6790D">
        <w:rPr>
          <w:rFonts w:ascii="Calibri" w:eastAsia="Times New Roman" w:hAnsi="Calibri" w:cs="Calibri"/>
        </w:rPr>
        <w:t xml:space="preserve">But this has been highly volatile because of its heavy reliance on agriculture and, to a lesser extent, aid flows that have driven demand for services. While it is dependent on international trade, on imports of fuel, raw materials and food, trade is not a main driver of growth.  The so-called </w:t>
      </w:r>
      <w:r w:rsidRPr="00C6790D">
        <w:rPr>
          <w:rFonts w:ascii="Calibri" w:eastAsia="Times New Roman" w:hAnsi="Calibri" w:cs="Calibri"/>
          <w:bCs/>
          <w:iCs/>
        </w:rPr>
        <w:t>Transition––the full assumption of responsibility for security by end-2014, the drawdown of international military forces and likely reduction in overall assistance––will profoundly alter Afghanistan’s economic landscape beyond 2014.  E</w:t>
      </w:r>
      <w:r w:rsidRPr="00C6790D">
        <w:rPr>
          <w:rFonts w:ascii="Calibri" w:eastAsia="Times New Roman" w:hAnsi="Calibri" w:cs="Calibri"/>
        </w:rPr>
        <w:t>ven with favorable assumptions, the WB projects real GDP growth may fall from the average of 9 percent per year of the past decade to 4-6 percent during 2013-18.</w:t>
      </w:r>
    </w:p>
    <w:p w:rsidR="00A31296" w:rsidRPr="00C6790D" w:rsidRDefault="00A31296" w:rsidP="00A31296">
      <w:pPr>
        <w:spacing w:after="120" w:line="240" w:lineRule="auto"/>
        <w:rPr>
          <w:rFonts w:ascii="Calibri" w:eastAsia="Times New Roman" w:hAnsi="Calibri" w:cs="Calibri"/>
          <w:bCs/>
          <w:iCs/>
        </w:rPr>
      </w:pPr>
    </w:p>
    <w:p w:rsidR="00A31296" w:rsidRPr="00C6790D" w:rsidRDefault="00A31296" w:rsidP="00A31296">
      <w:pPr>
        <w:overflowPunct w:val="0"/>
        <w:autoSpaceDE w:val="0"/>
        <w:autoSpaceDN w:val="0"/>
        <w:adjustRightInd w:val="0"/>
        <w:spacing w:line="240" w:lineRule="auto"/>
        <w:textAlignment w:val="baseline"/>
        <w:rPr>
          <w:rFonts w:ascii="Calibri" w:eastAsia="Times New Roman" w:hAnsi="Calibri" w:cs="Calibri"/>
        </w:rPr>
      </w:pPr>
      <w:r w:rsidRPr="00C6790D">
        <w:rPr>
          <w:rFonts w:ascii="Calibri" w:eastAsia="Times New Roman" w:hAnsi="Calibri" w:cs="Calibri"/>
          <w:b/>
        </w:rPr>
        <w:lastRenderedPageBreak/>
        <w:t>The country needs to ensure its long-term economic growth prospects</w:t>
      </w:r>
      <w:r w:rsidRPr="00C6790D">
        <w:rPr>
          <w:rFonts w:ascii="Calibri" w:eastAsia="Times New Roman" w:hAnsi="Calibri" w:cs="Calibri"/>
        </w:rPr>
        <w:t xml:space="preserve">. In view of Afghanistan’s rapid population growth (around 2.8 percent) and GDP growth of around 6 percent, progress in raising average per-capita incomes and reducing poverty will be limited and slow: it would take approximately 22 years, a generation, to double current per-capita income. Current drivers of growth, i.e., agriculture and mining, therefore are insufficient on their own to provide income for the increasing number of young people joining the labor force (400,000-500,000 per year) and lift the existing large number of poor out of poverty. </w:t>
      </w:r>
    </w:p>
    <w:p w:rsidR="00A31296" w:rsidRPr="00C6790D" w:rsidRDefault="00A31296" w:rsidP="00A31296">
      <w:pPr>
        <w:spacing w:line="240" w:lineRule="auto"/>
        <w:rPr>
          <w:rFonts w:ascii="Calibri" w:eastAsia="Times New Roman" w:hAnsi="Calibri" w:cs="Calibri"/>
        </w:rPr>
      </w:pPr>
      <w:r w:rsidRPr="00C6790D">
        <w:rPr>
          <w:rFonts w:ascii="Calibri" w:eastAsia="Times New Roman" w:hAnsi="Calibri" w:cs="Calibri"/>
          <w:b/>
        </w:rPr>
        <w:t>With fiscal pressures, authorities will need to do “more” with “less” in terms of trade and export promotion initiatives</w:t>
      </w:r>
      <w:r w:rsidRPr="00C6790D">
        <w:rPr>
          <w:rFonts w:ascii="Calibri" w:eastAsia="Times New Roman" w:hAnsi="Calibri" w:cs="Calibri"/>
        </w:rPr>
        <w:t xml:space="preserve">. The Afghan budget will continue to rely heavily on the donor community to pay for most security costs (salary and non-salary), and on civilian aid for development and operations &amp; maintenance (O&amp;M) needs. While customs is currently one of the main drivers of domestic tax collections, its contribution is likely to decline because of the contraction in demand for transport services and trade associated with the donor withdrawal of aid during the Transition.  </w:t>
      </w:r>
    </w:p>
    <w:p w:rsidR="00A31296" w:rsidRPr="00C6790D" w:rsidRDefault="00A31296" w:rsidP="00A31296">
      <w:pPr>
        <w:spacing w:before="240" w:line="240" w:lineRule="auto"/>
        <w:rPr>
          <w:rFonts w:ascii="Calibri" w:eastAsia="Times New Roman" w:hAnsi="Calibri" w:cs="Calibri"/>
        </w:rPr>
      </w:pPr>
      <w:r w:rsidRPr="00C6790D">
        <w:rPr>
          <w:rFonts w:ascii="Calibri" w:eastAsia="Times New Roman" w:hAnsi="Calibri" w:cs="Calibri"/>
          <w:b/>
        </w:rPr>
        <w:t xml:space="preserve">Security issues and political instability could undermine Afghanistan’s Transition. </w:t>
      </w:r>
      <w:r w:rsidRPr="00C6790D">
        <w:rPr>
          <w:rFonts w:ascii="Calibri" w:eastAsia="Times New Roman" w:hAnsi="Calibri" w:cs="Calibri"/>
        </w:rPr>
        <w:t xml:space="preserve">Such threats could harm not only economic growth, but a deterioration would repel private-sector investment.  </w:t>
      </w:r>
      <w:r w:rsidRPr="00C6790D">
        <w:rPr>
          <w:rFonts w:ascii="Calibri" w:eastAsia="Times New Roman" w:hAnsi="Calibri" w:cs="Calibri"/>
          <w:color w:val="000000"/>
        </w:rPr>
        <w:t xml:space="preserve">A resource corridor </w:t>
      </w:r>
      <w:r w:rsidRPr="00C6790D">
        <w:rPr>
          <w:rFonts w:ascii="Calibri" w:eastAsia="Times New Roman" w:hAnsi="Calibri" w:cs="Calibri"/>
        </w:rPr>
        <w:t xml:space="preserve">is critical </w:t>
      </w:r>
      <w:r w:rsidRPr="00C6790D">
        <w:rPr>
          <w:rFonts w:ascii="Calibri" w:eastAsia="Times New Roman" w:hAnsi="Calibri" w:cs="Calibri"/>
          <w:color w:val="000000"/>
        </w:rPr>
        <w:t>to leverage private sector investment in Afghanistan's mineral wealth, and associated activities, for broader economic development</w:t>
      </w:r>
      <w:r w:rsidRPr="00C6790D">
        <w:rPr>
          <w:rFonts w:ascii="Calibri" w:eastAsia="Times New Roman" w:hAnsi="Calibri" w:cs="Calibri"/>
        </w:rPr>
        <w:t xml:space="preserve"> and to grow mining revenues in order to bolster public services. Regression would also weaken trade flows and the ability of firms to grow and break through to international markets.</w:t>
      </w:r>
      <w:r w:rsidRPr="00C6790D">
        <w:rPr>
          <w:rFonts w:ascii="Calibri" w:eastAsia="Times New Roman" w:hAnsi="Calibri" w:cs="Calibri"/>
          <w:sz w:val="20"/>
          <w:vertAlign w:val="superscript"/>
        </w:rPr>
        <w:footnoteReference w:id="1"/>
      </w:r>
      <w:r w:rsidRPr="00C6790D">
        <w:rPr>
          <w:rFonts w:ascii="Calibri" w:eastAsia="Times New Roman" w:hAnsi="Calibri" w:cs="Calibri"/>
        </w:rPr>
        <w:t xml:space="preserve">      </w:t>
      </w:r>
    </w:p>
    <w:p w:rsidR="00A31296" w:rsidRPr="00C6790D" w:rsidRDefault="00A31296" w:rsidP="00A31296">
      <w:pPr>
        <w:keepNext/>
        <w:keepLines/>
        <w:spacing w:before="240" w:after="120" w:line="240" w:lineRule="auto"/>
        <w:outlineLvl w:val="1"/>
        <w:rPr>
          <w:rFonts w:ascii="Calibri" w:eastAsia="Times New Roman" w:hAnsi="Calibri" w:cs="Calibri"/>
          <w:b/>
          <w:bCs/>
          <w:i/>
          <w:color w:val="300061"/>
          <w:sz w:val="26"/>
          <w:szCs w:val="26"/>
        </w:rPr>
      </w:pPr>
      <w:bookmarkStart w:id="13" w:name="_Toc327207220"/>
      <w:bookmarkStart w:id="14" w:name="_Toc327208031"/>
      <w:bookmarkStart w:id="15" w:name="_Toc327208413"/>
      <w:bookmarkStart w:id="16" w:name="_Toc327252422"/>
      <w:bookmarkStart w:id="17" w:name="_Toc327282373"/>
      <w:bookmarkStart w:id="18" w:name="_Toc328672344"/>
      <w:bookmarkStart w:id="19" w:name="_Toc348451404"/>
      <w:bookmarkStart w:id="20" w:name="_Toc348451566"/>
      <w:bookmarkStart w:id="21" w:name="_Toc348451654"/>
      <w:r w:rsidRPr="00C6790D">
        <w:rPr>
          <w:rFonts w:ascii="Calibri" w:eastAsia="Times New Roman" w:hAnsi="Calibri" w:cs="Calibri"/>
          <w:b/>
          <w:bCs/>
          <w:i/>
          <w:color w:val="300061"/>
          <w:sz w:val="26"/>
          <w:szCs w:val="26"/>
        </w:rPr>
        <w:t>Trade Performance and Policy</w:t>
      </w:r>
      <w:bookmarkEnd w:id="13"/>
      <w:bookmarkEnd w:id="14"/>
      <w:bookmarkEnd w:id="15"/>
      <w:bookmarkEnd w:id="16"/>
      <w:bookmarkEnd w:id="17"/>
      <w:bookmarkEnd w:id="18"/>
      <w:bookmarkEnd w:id="19"/>
      <w:bookmarkEnd w:id="20"/>
      <w:bookmarkEnd w:id="21"/>
    </w:p>
    <w:p w:rsidR="00A31296" w:rsidRPr="00C6790D" w:rsidRDefault="00A31296" w:rsidP="00A31296">
      <w:pPr>
        <w:spacing w:before="240" w:line="240" w:lineRule="auto"/>
        <w:rPr>
          <w:rFonts w:ascii="Calibri" w:eastAsia="Times New Roman" w:hAnsi="Calibri" w:cs="Calibri"/>
          <w:i/>
        </w:rPr>
      </w:pPr>
      <w:r w:rsidRPr="00C6790D">
        <w:rPr>
          <w:rFonts w:ascii="Calibri" w:eastAsia="Times New Roman" w:hAnsi="Calibri" w:cs="Arial"/>
          <w:i/>
        </w:rPr>
        <w:t xml:space="preserve">Afghanistan is underperforming in exports relative to GDP, with an </w:t>
      </w:r>
      <w:r w:rsidRPr="00C6790D">
        <w:rPr>
          <w:rFonts w:ascii="Calibri" w:eastAsia="Times New Roman" w:hAnsi="Calibri" w:cs="Calibri"/>
          <w:i/>
          <w:lang w:eastAsia="fr-FR"/>
        </w:rPr>
        <w:t xml:space="preserve">unusually narrow export base, concentrated in few markets. </w:t>
      </w:r>
      <w:r w:rsidRPr="00C6790D">
        <w:rPr>
          <w:rFonts w:ascii="Calibri" w:eastAsia="Times New Roman" w:hAnsi="Calibri" w:cs="Calibri"/>
          <w:i/>
        </w:rPr>
        <w:t xml:space="preserve">While the country relies heavily on imports, amounting to three times the value of exports, some imported goods could be produced for less cost domestically. Afghanistan’s trade strategy should focus on private sector development to produce cheaper quality goods––promoting an attractive investment climate and lowering costs for quality inputs, and promoting exports by facilitating breakthroughs into international markets by established, competitive Afghan firms.  </w:t>
      </w:r>
    </w:p>
    <w:p w:rsidR="00A31296" w:rsidRPr="00C6790D" w:rsidRDefault="00A31296" w:rsidP="00A31296">
      <w:pPr>
        <w:spacing w:after="0" w:line="240" w:lineRule="auto"/>
        <w:rPr>
          <w:rFonts w:ascii="Calibri" w:eastAsia="Times New Roman" w:hAnsi="Calibri" w:cs="Arial"/>
        </w:rPr>
      </w:pPr>
      <w:r w:rsidRPr="00C6790D">
        <w:rPr>
          <w:rFonts w:ascii="Calibri" w:eastAsia="Times New Roman" w:hAnsi="Calibri" w:cs="Arial"/>
          <w:b/>
        </w:rPr>
        <w:t>Afghanistan’s import-heavy trade balance reflects the large aid flows to the country’s reconstruction and recovery efforts.</w:t>
      </w:r>
      <w:r w:rsidRPr="00C6790D">
        <w:rPr>
          <w:rFonts w:ascii="Calibri" w:eastAsia="Times New Roman" w:hAnsi="Calibri" w:cs="Arial"/>
        </w:rPr>
        <w:t xml:space="preserve"> While the trade gap has steadied, the relatively high import level has been driven in the last five years mostly by the demand for goods in donor-funded projects––particularly oil, machinery, household items and food (80 percent of incoming goods).</w:t>
      </w:r>
      <w:r w:rsidRPr="00C6790D">
        <w:rPr>
          <w:rFonts w:ascii="Calibri" w:eastAsia="Times New Roman" w:hAnsi="Calibri" w:cs="Arial"/>
          <w:sz w:val="20"/>
          <w:vertAlign w:val="superscript"/>
        </w:rPr>
        <w:footnoteReference w:id="2"/>
      </w:r>
      <w:r w:rsidRPr="00C6790D">
        <w:rPr>
          <w:rFonts w:ascii="Calibri" w:eastAsia="Times New Roman" w:hAnsi="Calibri" w:cs="Arial"/>
        </w:rPr>
        <w:t xml:space="preserve"> </w:t>
      </w:r>
      <w:r w:rsidRPr="00C6790D">
        <w:rPr>
          <w:rFonts w:ascii="Calibri" w:eastAsia="Times New Roman" w:hAnsi="Calibri" w:cs="Calibri"/>
          <w:lang w:eastAsia="fr-FR"/>
        </w:rPr>
        <w:t>Import values today are more than three times the size of exports</w:t>
      </w:r>
      <w:r w:rsidRPr="00C6790D">
        <w:rPr>
          <w:rFonts w:ascii="Calibri" w:eastAsia="Times New Roman" w:hAnsi="Calibri" w:cs="Calibri"/>
        </w:rPr>
        <w:t>.</w:t>
      </w:r>
      <w:r w:rsidRPr="00C6790D">
        <w:rPr>
          <w:rFonts w:ascii="Calibri" w:eastAsia="Times New Roman" w:hAnsi="Calibri" w:cs="Calibri"/>
          <w:sz w:val="20"/>
          <w:vertAlign w:val="superscript"/>
        </w:rPr>
        <w:footnoteReference w:id="3"/>
      </w:r>
      <w:r w:rsidRPr="00C6790D">
        <w:rPr>
          <w:rFonts w:ascii="Calibri" w:eastAsia="Times New Roman" w:hAnsi="Calibri" w:cs="Calibri"/>
        </w:rPr>
        <w:t xml:space="preserve">  </w:t>
      </w:r>
      <w:r w:rsidRPr="00C6790D">
        <w:rPr>
          <w:rFonts w:ascii="Calibri" w:eastAsia="Times New Roman" w:hAnsi="Calibri" w:cs="Arial"/>
        </w:rPr>
        <w:t>The current account deficit, excluding grants, went from 70 percent of GDP in fiscal year 2007 to 34 percent in 2012, and was financed, as in previous years, by grants. These grants are spent mostly on imports of goods and services; thereby not only financing the trade deficit but contributing to it (Figure S.1).</w:t>
      </w:r>
    </w:p>
    <w:p w:rsidR="00A31296" w:rsidRPr="00C6790D" w:rsidRDefault="00A31296" w:rsidP="00A31296">
      <w:pPr>
        <w:spacing w:after="0"/>
        <w:rPr>
          <w:rFonts w:ascii="Calibri" w:eastAsia="Times New Roman" w:hAnsi="Calibri" w:cs="Arial"/>
        </w:rPr>
      </w:pPr>
    </w:p>
    <w:p w:rsidR="00A31296" w:rsidRPr="00C6790D" w:rsidRDefault="00A31296" w:rsidP="00A31296">
      <w:pPr>
        <w:autoSpaceDE w:val="0"/>
        <w:autoSpaceDN w:val="0"/>
        <w:adjustRightInd w:val="0"/>
        <w:rPr>
          <w:rFonts w:ascii="Calibri" w:eastAsia="Times New Roman" w:hAnsi="Calibri" w:cs="Arial"/>
          <w:b/>
        </w:rPr>
      </w:pPr>
      <w:r w:rsidRPr="00C6790D">
        <w:rPr>
          <w:rFonts w:ascii="Calibri" w:eastAsia="Times New Roman" w:hAnsi="Calibri" w:cs="Arial"/>
          <w:b/>
          <w:color w:val="410082"/>
        </w:rPr>
        <w:t>Figure S.1: Export and Import Trends</w:t>
      </w:r>
      <w:r w:rsidRPr="00C6790D">
        <w:rPr>
          <w:rFonts w:ascii="Calibri" w:eastAsia="Times New Roman" w:hAnsi="Calibri" w:cs="Arial"/>
          <w:b/>
        </w:rPr>
        <w:t xml:space="preserve"> </w:t>
      </w:r>
      <w:r w:rsidRPr="00C6790D">
        <w:rPr>
          <w:rFonts w:ascii="Calibri" w:eastAsia="Times New Roman" w:hAnsi="Calibri" w:cs="Arial"/>
          <w:b/>
        </w:rPr>
        <w:tab/>
      </w:r>
      <w:r w:rsidRPr="00C6790D">
        <w:rPr>
          <w:rFonts w:ascii="Calibri" w:eastAsia="Times New Roman" w:hAnsi="Calibri" w:cs="Arial"/>
          <w:b/>
        </w:rPr>
        <w:tab/>
      </w:r>
      <w:r w:rsidRPr="00C6790D">
        <w:rPr>
          <w:rFonts w:ascii="Calibri" w:eastAsia="Times New Roman" w:hAnsi="Calibri" w:cs="Arial"/>
          <w:b/>
        </w:rPr>
        <w:tab/>
        <w:t xml:space="preserve">          </w:t>
      </w:r>
      <w:r w:rsidRPr="00C6790D">
        <w:rPr>
          <w:rFonts w:ascii="Calibri" w:eastAsia="Times New Roman" w:hAnsi="Calibri" w:cs="Arial"/>
          <w:b/>
          <w:color w:val="410082"/>
        </w:rPr>
        <w:t>Figure S.2: Export Ratio</w:t>
      </w:r>
      <w:r w:rsidRPr="00C6790D">
        <w:rPr>
          <w:rFonts w:ascii="Calibri" w:eastAsia="Times New Roman" w:hAnsi="Calibri" w:cs="Arial"/>
          <w:b/>
          <w:color w:val="410082"/>
        </w:rPr>
        <w:tab/>
      </w:r>
      <w:r w:rsidRPr="00C6790D">
        <w:rPr>
          <w:rFonts w:ascii="Calibri" w:eastAsia="Times New Roman" w:hAnsi="Calibri" w:cs="Arial"/>
          <w:b/>
        </w:rPr>
        <w:tab/>
      </w:r>
    </w:p>
    <w:p w:rsidR="00A31296" w:rsidRPr="00C6790D" w:rsidRDefault="00A31296" w:rsidP="00A31296">
      <w:pPr>
        <w:autoSpaceDE w:val="0"/>
        <w:autoSpaceDN w:val="0"/>
        <w:adjustRightInd w:val="0"/>
        <w:spacing w:after="0"/>
        <w:rPr>
          <w:rFonts w:ascii="Calibri" w:eastAsia="Times New Roman" w:hAnsi="Calibri" w:cs="Arial"/>
        </w:rPr>
      </w:pPr>
      <w:r w:rsidRPr="00C6790D">
        <w:rPr>
          <w:rFonts w:ascii="Calibri" w:eastAsia="Times New Roman" w:hAnsi="Calibri" w:cs="Arial"/>
          <w:noProof/>
          <w:lang w:bidi="ar-SA"/>
        </w:rPr>
        <w:drawing>
          <wp:inline distT="0" distB="0" distL="0" distR="0" wp14:anchorId="5AECF5FE" wp14:editId="4FA60629">
            <wp:extent cx="2737513" cy="2316313"/>
            <wp:effectExtent l="19050" t="0" r="5687"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740556" cy="2318888"/>
                    </a:xfrm>
                    <a:prstGeom prst="rect">
                      <a:avLst/>
                    </a:prstGeom>
                    <a:noFill/>
                    <a:ln w="9525">
                      <a:noFill/>
                      <a:miter lim="800000"/>
                      <a:headEnd/>
                      <a:tailEnd/>
                    </a:ln>
                  </pic:spPr>
                </pic:pic>
              </a:graphicData>
            </a:graphic>
          </wp:inline>
        </w:drawing>
      </w:r>
      <w:r w:rsidRPr="00C6790D">
        <w:rPr>
          <w:rFonts w:ascii="Calibri" w:eastAsia="Times New Roman" w:hAnsi="Calibri" w:cs="Arial"/>
        </w:rPr>
        <w:t xml:space="preserve">    </w:t>
      </w:r>
      <w:r w:rsidRPr="00C6790D">
        <w:rPr>
          <w:rFonts w:ascii="Calibri" w:eastAsia="Times New Roman" w:hAnsi="Calibri" w:cs="Arial"/>
          <w:noProof/>
          <w:lang w:bidi="ar-SA"/>
        </w:rPr>
        <w:drawing>
          <wp:inline distT="0" distB="0" distL="0" distR="0" wp14:anchorId="2F473A86" wp14:editId="5A9CE22C">
            <wp:extent cx="2941982" cy="23150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945271" cy="2317591"/>
                    </a:xfrm>
                    <a:prstGeom prst="rect">
                      <a:avLst/>
                    </a:prstGeom>
                    <a:noFill/>
                    <a:ln w="9525">
                      <a:noFill/>
                      <a:miter lim="800000"/>
                      <a:headEnd/>
                      <a:tailEnd/>
                    </a:ln>
                  </pic:spPr>
                </pic:pic>
              </a:graphicData>
            </a:graphic>
          </wp:inline>
        </w:drawing>
      </w:r>
    </w:p>
    <w:p w:rsidR="00A31296" w:rsidRPr="00C6790D" w:rsidRDefault="00A31296" w:rsidP="00A31296">
      <w:pPr>
        <w:autoSpaceDE w:val="0"/>
        <w:autoSpaceDN w:val="0"/>
        <w:adjustRightInd w:val="0"/>
        <w:rPr>
          <w:rFonts w:ascii="Calibri" w:eastAsia="Times New Roman" w:hAnsi="Calibri" w:cs="Arial"/>
          <w:sz w:val="18"/>
          <w:szCs w:val="18"/>
        </w:rPr>
      </w:pPr>
      <w:r w:rsidRPr="00C6790D">
        <w:rPr>
          <w:rFonts w:ascii="Calibri" w:eastAsia="Times New Roman" w:hAnsi="Calibri" w:cs="Arial"/>
          <w:sz w:val="18"/>
          <w:szCs w:val="18"/>
        </w:rPr>
        <w:t>Source: WDI, WB calculations.</w:t>
      </w:r>
    </w:p>
    <w:p w:rsidR="00A31296" w:rsidRPr="00C6790D" w:rsidRDefault="00A31296" w:rsidP="00A31296">
      <w:pPr>
        <w:autoSpaceDE w:val="0"/>
        <w:autoSpaceDN w:val="0"/>
        <w:adjustRightInd w:val="0"/>
        <w:rPr>
          <w:rFonts w:ascii="Calibri" w:eastAsia="Times New Roman" w:hAnsi="Calibri" w:cs="Arial"/>
          <w:sz w:val="18"/>
          <w:szCs w:val="18"/>
        </w:rPr>
      </w:pPr>
    </w:p>
    <w:p w:rsidR="00A31296" w:rsidRPr="00C6790D" w:rsidRDefault="00A31296" w:rsidP="00A31296">
      <w:pPr>
        <w:spacing w:line="240" w:lineRule="auto"/>
        <w:rPr>
          <w:rFonts w:ascii="Calibri" w:eastAsia="Times New Roman" w:hAnsi="Calibri" w:cs="Calibri"/>
        </w:rPr>
      </w:pPr>
      <w:r w:rsidRPr="00C6790D">
        <w:rPr>
          <w:rFonts w:ascii="Calibri" w:eastAsia="Times New Roman" w:hAnsi="Calibri" w:cs="Arial"/>
          <w:b/>
        </w:rPr>
        <w:t xml:space="preserve">Relative to its GDP, Afghanistan is underperforming in exports and their survivability is a challenge. </w:t>
      </w:r>
      <w:r w:rsidRPr="00C6790D">
        <w:rPr>
          <w:rFonts w:ascii="Calibri" w:eastAsia="Times New Roman" w:hAnsi="Calibri" w:cs="Arial"/>
        </w:rPr>
        <w:t>With its income level, the export-to-GDP ratio––which indicates the importance of exports of goods and services in an economy––should be close to 30 percent, but it is only 20 percent (Figure S.2).  Generally, countries tend to trade more as their per-capita income rises, though at a decreasing rate, but this is not Afghanistan’s experience.</w:t>
      </w:r>
      <w:r w:rsidRPr="00C6790D">
        <w:rPr>
          <w:rFonts w:ascii="Calibri" w:eastAsia="Times New Roman" w:hAnsi="Calibri" w:cs="Arial"/>
          <w:sz w:val="20"/>
          <w:vertAlign w:val="superscript"/>
        </w:rPr>
        <w:footnoteReference w:id="4"/>
      </w:r>
      <w:r w:rsidRPr="00C6790D">
        <w:rPr>
          <w:rFonts w:ascii="Calibri" w:eastAsia="Times New Roman" w:hAnsi="Calibri" w:cs="Arial"/>
        </w:rPr>
        <w:t xml:space="preserve"> </w:t>
      </w:r>
      <w:r w:rsidRPr="00C6790D">
        <w:rPr>
          <w:rFonts w:ascii="Calibri" w:eastAsia="Times New Roman" w:hAnsi="Calibri" w:cs="Calibri"/>
        </w:rPr>
        <w:t xml:space="preserve">Afghan export flows to individual countries between 2005 and 2009 have often faltered and disappeared, especially those to the EU that accounted for about 20 percent of the country’s export growth. Growth in carpet exports to Pakistan, also, dropped by 45 percent. </w:t>
      </w:r>
    </w:p>
    <w:p w:rsidR="00A31296" w:rsidRPr="00C6790D" w:rsidRDefault="00A31296" w:rsidP="00A31296">
      <w:pPr>
        <w:spacing w:before="200" w:after="240" w:line="240" w:lineRule="auto"/>
        <w:rPr>
          <w:rFonts w:ascii="Calibri" w:eastAsia="Times New Roman" w:hAnsi="Calibri" w:cs="Calibri"/>
        </w:rPr>
      </w:pPr>
      <w:r w:rsidRPr="00C6790D">
        <w:rPr>
          <w:rFonts w:ascii="Calibri" w:eastAsia="Times New Roman" w:hAnsi="Calibri" w:cs="Calibri"/>
          <w:b/>
        </w:rPr>
        <w:t xml:space="preserve">Afghanistan’s export base </w:t>
      </w:r>
      <w:r w:rsidRPr="00C6790D">
        <w:rPr>
          <w:rFonts w:ascii="Calibri" w:eastAsia="Times New Roman" w:hAnsi="Calibri" w:cs="Calibri"/>
          <w:b/>
          <w:lang w:eastAsia="fr-FR"/>
        </w:rPr>
        <w:t>is unusually narrow, with few tradable products going to few markets</w:t>
      </w:r>
      <w:r w:rsidRPr="00C6790D">
        <w:rPr>
          <w:rFonts w:ascii="Calibri" w:eastAsia="Times New Roman" w:hAnsi="Calibri" w:cs="Calibri"/>
          <w:b/>
          <w:i/>
          <w:lang w:eastAsia="fr-FR"/>
        </w:rPr>
        <w:t>.</w:t>
      </w:r>
      <w:r w:rsidRPr="00C6790D">
        <w:rPr>
          <w:rFonts w:ascii="Calibri" w:eastAsia="Times New Roman" w:hAnsi="Calibri" w:cs="Calibri"/>
          <w:i/>
          <w:lang w:eastAsia="fr-FR"/>
        </w:rPr>
        <w:t xml:space="preserve"> </w:t>
      </w:r>
      <w:r w:rsidRPr="00C6790D">
        <w:rPr>
          <w:rFonts w:ascii="Calibri" w:eastAsia="Times New Roman" w:hAnsi="Calibri" w:cs="Arial"/>
        </w:rPr>
        <w:t xml:space="preserve">Carpets and dry fruits account for close to three-quarters of total exports. </w:t>
      </w:r>
      <w:r w:rsidRPr="00C6790D">
        <w:rPr>
          <w:rFonts w:ascii="Calibri" w:eastAsia="Times New Roman" w:hAnsi="Calibri" w:cs="Calibri"/>
        </w:rPr>
        <w:t>The country exports only to 35 destinations, well below the average of about 90 markets for other LDCs.  However, it ha</w:t>
      </w:r>
      <w:r w:rsidRPr="00C6790D">
        <w:rPr>
          <w:rFonts w:ascii="Calibri" w:eastAsia="Times New Roman" w:hAnsi="Calibri" w:cs="Calibri"/>
          <w:bCs/>
        </w:rPr>
        <w:t xml:space="preserve">s reduced dependence on Pakistan and strengthened trade with the MENA region. </w:t>
      </w:r>
      <w:r w:rsidRPr="00C6790D">
        <w:rPr>
          <w:rFonts w:ascii="Calibri" w:eastAsia="Times New Roman" w:hAnsi="Calibri" w:cs="Calibri"/>
        </w:rPr>
        <w:t xml:space="preserve">The composition of exports has changed in the last 10 years, with dry fruits &amp; seeds becoming the largest official Afghan export. </w:t>
      </w:r>
    </w:p>
    <w:p w:rsidR="00A31296" w:rsidRPr="00C6790D" w:rsidRDefault="00A31296" w:rsidP="00A31296">
      <w:pPr>
        <w:autoSpaceDE w:val="0"/>
        <w:autoSpaceDN w:val="0"/>
        <w:adjustRightInd w:val="0"/>
        <w:spacing w:after="0" w:line="240" w:lineRule="auto"/>
        <w:rPr>
          <w:rFonts w:ascii="Calibri" w:eastAsia="Times New Roman" w:hAnsi="Calibri" w:cs="Arial"/>
        </w:rPr>
      </w:pPr>
      <w:r w:rsidRPr="00C6790D">
        <w:rPr>
          <w:rFonts w:ascii="Calibri" w:eastAsia="Times New Roman" w:hAnsi="Calibri" w:cs="Arial"/>
          <w:b/>
        </w:rPr>
        <w:t>Exports sectors that did grow did so mainly because of new product sales to Asia and the Middle East/North Africa (MENA)</w:t>
      </w:r>
      <w:r w:rsidRPr="00C6790D">
        <w:rPr>
          <w:rFonts w:ascii="Calibri" w:eastAsia="Times New Roman" w:hAnsi="Calibri" w:cs="Arial"/>
        </w:rPr>
        <w:t>. Over the last five years, Afghan exports to these two regions have grown the most, followed by exports to Europe and Central Asia (ECA). Afghan trade growth to MENA countries was due to a combination of new products and new markets, while growth in Asia and ECA was mostly new products going to existing partner countries, and intensifying trade of traditional exports (intensive margins).  In the USA, exports of new products drove growth, particularly for oil seed and lac, gums, and resins. Meanwhile, Afghanistan lost ground in traditional exports to the EU (Figures S.3 and S.4).</w:t>
      </w:r>
    </w:p>
    <w:p w:rsidR="00A31296" w:rsidRPr="00C6790D" w:rsidRDefault="00A31296" w:rsidP="00A31296">
      <w:pPr>
        <w:autoSpaceDE w:val="0"/>
        <w:autoSpaceDN w:val="0"/>
        <w:adjustRightInd w:val="0"/>
        <w:spacing w:after="0" w:line="240" w:lineRule="auto"/>
        <w:rPr>
          <w:rFonts w:ascii="Calibri" w:eastAsia="Times New Roman" w:hAnsi="Calibri" w:cs="Arial"/>
        </w:rPr>
      </w:pPr>
    </w:p>
    <w:p w:rsidR="00A31296" w:rsidRPr="00C6790D" w:rsidRDefault="00A31296" w:rsidP="00A31296">
      <w:pPr>
        <w:tabs>
          <w:tab w:val="left" w:pos="8622"/>
        </w:tabs>
        <w:spacing w:after="0"/>
        <w:rPr>
          <w:rFonts w:ascii="Calibri" w:eastAsia="Times New Roman" w:hAnsi="Calibri" w:cs="Arial"/>
          <w:b/>
          <w:color w:val="410082"/>
        </w:rPr>
      </w:pPr>
      <w:r w:rsidRPr="00C6790D">
        <w:rPr>
          <w:rFonts w:ascii="Calibri" w:eastAsia="Times New Roman" w:hAnsi="Calibri" w:cs="Arial"/>
          <w:b/>
          <w:color w:val="410082"/>
        </w:rPr>
        <w:t xml:space="preserve">           </w:t>
      </w:r>
    </w:p>
    <w:p w:rsidR="00A31296" w:rsidRPr="00C6790D" w:rsidRDefault="00A31296" w:rsidP="00A31296">
      <w:pPr>
        <w:tabs>
          <w:tab w:val="left" w:pos="8622"/>
        </w:tabs>
        <w:spacing w:after="0"/>
        <w:rPr>
          <w:rFonts w:ascii="Calibri" w:eastAsia="Times New Roman" w:hAnsi="Calibri" w:cs="Arial"/>
          <w:color w:val="410082"/>
        </w:rPr>
      </w:pPr>
      <w:r w:rsidRPr="00C6790D">
        <w:rPr>
          <w:rFonts w:ascii="Calibri" w:eastAsia="Times New Roman" w:hAnsi="Calibri" w:cs="Arial"/>
          <w:b/>
          <w:color w:val="410082"/>
        </w:rPr>
        <w:lastRenderedPageBreak/>
        <w:t xml:space="preserve">  Figure S.3: Margins, by region, 2005-09                          Figure S.4: Margins, by product 2005-09           </w:t>
      </w:r>
    </w:p>
    <w:p w:rsidR="00A31296" w:rsidRPr="00C6790D" w:rsidRDefault="00A31296" w:rsidP="00A31296">
      <w:pPr>
        <w:spacing w:after="0"/>
        <w:rPr>
          <w:rFonts w:ascii="Calibri" w:eastAsia="Times New Roman" w:hAnsi="Calibri" w:cs="Arial"/>
        </w:rPr>
      </w:pPr>
      <w:r w:rsidRPr="00C6790D">
        <w:rPr>
          <w:rFonts w:ascii="Calibri" w:eastAsia="Times New Roman" w:hAnsi="Calibri" w:cs="Arial"/>
          <w:noProof/>
          <w:lang w:bidi="ar-SA"/>
        </w:rPr>
        <mc:AlternateContent>
          <mc:Choice Requires="wpc">
            <w:drawing>
              <wp:inline distT="0" distB="0" distL="0" distR="0" wp14:anchorId="4F9D945D" wp14:editId="6B51A094">
                <wp:extent cx="2933700" cy="2146935"/>
                <wp:effectExtent l="0" t="0" r="0" b="0"/>
                <wp:docPr id="1770"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37" name="Freeform 10"/>
                        <wps:cNvSpPr>
                          <a:spLocks noEditPoints="1"/>
                        </wps:cNvSpPr>
                        <wps:spPr bwMode="auto">
                          <a:xfrm>
                            <a:off x="571500" y="1022350"/>
                            <a:ext cx="1722755" cy="782320"/>
                          </a:xfrm>
                          <a:custGeom>
                            <a:avLst/>
                            <a:gdLst>
                              <a:gd name="T0" fmla="*/ 0 w 2713"/>
                              <a:gd name="T1" fmla="*/ 0 h 1232"/>
                              <a:gd name="T2" fmla="*/ 248 w 2713"/>
                              <a:gd name="T3" fmla="*/ 0 h 1232"/>
                              <a:gd name="T4" fmla="*/ 248 w 2713"/>
                              <a:gd name="T5" fmla="*/ 584 h 1232"/>
                              <a:gd name="T6" fmla="*/ 0 w 2713"/>
                              <a:gd name="T7" fmla="*/ 584 h 1232"/>
                              <a:gd name="T8" fmla="*/ 0 w 2713"/>
                              <a:gd name="T9" fmla="*/ 0 h 1232"/>
                              <a:gd name="T10" fmla="*/ 621 w 2713"/>
                              <a:gd name="T11" fmla="*/ 183 h 1232"/>
                              <a:gd name="T12" fmla="*/ 860 w 2713"/>
                              <a:gd name="T13" fmla="*/ 183 h 1232"/>
                              <a:gd name="T14" fmla="*/ 860 w 2713"/>
                              <a:gd name="T15" fmla="*/ 584 h 1232"/>
                              <a:gd name="T16" fmla="*/ 621 w 2713"/>
                              <a:gd name="T17" fmla="*/ 584 h 1232"/>
                              <a:gd name="T18" fmla="*/ 621 w 2713"/>
                              <a:gd name="T19" fmla="*/ 183 h 1232"/>
                              <a:gd name="T20" fmla="*/ 1233 w 2713"/>
                              <a:gd name="T21" fmla="*/ 238 h 1232"/>
                              <a:gd name="T22" fmla="*/ 1481 w 2713"/>
                              <a:gd name="T23" fmla="*/ 238 h 1232"/>
                              <a:gd name="T24" fmla="*/ 1481 w 2713"/>
                              <a:gd name="T25" fmla="*/ 584 h 1232"/>
                              <a:gd name="T26" fmla="*/ 1233 w 2713"/>
                              <a:gd name="T27" fmla="*/ 584 h 1232"/>
                              <a:gd name="T28" fmla="*/ 1233 w 2713"/>
                              <a:gd name="T29" fmla="*/ 238 h 1232"/>
                              <a:gd name="T30" fmla="*/ 1853 w 2713"/>
                              <a:gd name="T31" fmla="*/ 584 h 1232"/>
                              <a:gd name="T32" fmla="*/ 2102 w 2713"/>
                              <a:gd name="T33" fmla="*/ 584 h 1232"/>
                              <a:gd name="T34" fmla="*/ 2102 w 2713"/>
                              <a:gd name="T35" fmla="*/ 1232 h 1232"/>
                              <a:gd name="T36" fmla="*/ 1853 w 2713"/>
                              <a:gd name="T37" fmla="*/ 1232 h 1232"/>
                              <a:gd name="T38" fmla="*/ 1853 w 2713"/>
                              <a:gd name="T39" fmla="*/ 584 h 1232"/>
                              <a:gd name="T40" fmla="*/ 2465 w 2713"/>
                              <a:gd name="T41" fmla="*/ 584 h 1232"/>
                              <a:gd name="T42" fmla="*/ 2713 w 2713"/>
                              <a:gd name="T43" fmla="*/ 584 h 1232"/>
                              <a:gd name="T44" fmla="*/ 2713 w 2713"/>
                              <a:gd name="T45" fmla="*/ 676 h 1232"/>
                              <a:gd name="T46" fmla="*/ 2465 w 2713"/>
                              <a:gd name="T47" fmla="*/ 676 h 1232"/>
                              <a:gd name="T48" fmla="*/ 2465 w 2713"/>
                              <a:gd name="T49" fmla="*/ 584 h 1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713" h="1232">
                                <a:moveTo>
                                  <a:pt x="0" y="0"/>
                                </a:moveTo>
                                <a:lnTo>
                                  <a:pt x="248" y="0"/>
                                </a:lnTo>
                                <a:lnTo>
                                  <a:pt x="248" y="584"/>
                                </a:lnTo>
                                <a:lnTo>
                                  <a:pt x="0" y="584"/>
                                </a:lnTo>
                                <a:lnTo>
                                  <a:pt x="0" y="0"/>
                                </a:lnTo>
                                <a:close/>
                                <a:moveTo>
                                  <a:pt x="621" y="183"/>
                                </a:moveTo>
                                <a:lnTo>
                                  <a:pt x="860" y="183"/>
                                </a:lnTo>
                                <a:lnTo>
                                  <a:pt x="860" y="584"/>
                                </a:lnTo>
                                <a:lnTo>
                                  <a:pt x="621" y="584"/>
                                </a:lnTo>
                                <a:lnTo>
                                  <a:pt x="621" y="183"/>
                                </a:lnTo>
                                <a:close/>
                                <a:moveTo>
                                  <a:pt x="1233" y="238"/>
                                </a:moveTo>
                                <a:lnTo>
                                  <a:pt x="1481" y="238"/>
                                </a:lnTo>
                                <a:lnTo>
                                  <a:pt x="1481" y="584"/>
                                </a:lnTo>
                                <a:lnTo>
                                  <a:pt x="1233" y="584"/>
                                </a:lnTo>
                                <a:lnTo>
                                  <a:pt x="1233" y="238"/>
                                </a:lnTo>
                                <a:close/>
                                <a:moveTo>
                                  <a:pt x="1853" y="584"/>
                                </a:moveTo>
                                <a:lnTo>
                                  <a:pt x="2102" y="584"/>
                                </a:lnTo>
                                <a:lnTo>
                                  <a:pt x="2102" y="1232"/>
                                </a:lnTo>
                                <a:lnTo>
                                  <a:pt x="1853" y="1232"/>
                                </a:lnTo>
                                <a:lnTo>
                                  <a:pt x="1853" y="584"/>
                                </a:lnTo>
                                <a:close/>
                                <a:moveTo>
                                  <a:pt x="2465" y="584"/>
                                </a:moveTo>
                                <a:lnTo>
                                  <a:pt x="2713" y="584"/>
                                </a:lnTo>
                                <a:lnTo>
                                  <a:pt x="2713" y="676"/>
                                </a:lnTo>
                                <a:lnTo>
                                  <a:pt x="2465" y="676"/>
                                </a:lnTo>
                                <a:lnTo>
                                  <a:pt x="2465" y="584"/>
                                </a:lnTo>
                                <a:close/>
                              </a:path>
                            </a:pathLst>
                          </a:custGeom>
                          <a:solidFill>
                            <a:srgbClr val="D99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 name="Freeform 11"/>
                        <wps:cNvSpPr>
                          <a:spLocks noEditPoints="1"/>
                        </wps:cNvSpPr>
                        <wps:spPr bwMode="auto">
                          <a:xfrm>
                            <a:off x="571500" y="796925"/>
                            <a:ext cx="2117090" cy="596265"/>
                          </a:xfrm>
                          <a:custGeom>
                            <a:avLst/>
                            <a:gdLst>
                              <a:gd name="T0" fmla="*/ 0 w 3334"/>
                              <a:gd name="T1" fmla="*/ 255 h 939"/>
                              <a:gd name="T2" fmla="*/ 248 w 3334"/>
                              <a:gd name="T3" fmla="*/ 255 h 939"/>
                              <a:gd name="T4" fmla="*/ 248 w 3334"/>
                              <a:gd name="T5" fmla="*/ 355 h 939"/>
                              <a:gd name="T6" fmla="*/ 0 w 3334"/>
                              <a:gd name="T7" fmla="*/ 355 h 939"/>
                              <a:gd name="T8" fmla="*/ 0 w 3334"/>
                              <a:gd name="T9" fmla="*/ 255 h 939"/>
                              <a:gd name="T10" fmla="*/ 621 w 3334"/>
                              <a:gd name="T11" fmla="*/ 456 h 939"/>
                              <a:gd name="T12" fmla="*/ 860 w 3334"/>
                              <a:gd name="T13" fmla="*/ 456 h 939"/>
                              <a:gd name="T14" fmla="*/ 860 w 3334"/>
                              <a:gd name="T15" fmla="*/ 538 h 939"/>
                              <a:gd name="T16" fmla="*/ 621 w 3334"/>
                              <a:gd name="T17" fmla="*/ 538 h 939"/>
                              <a:gd name="T18" fmla="*/ 621 w 3334"/>
                              <a:gd name="T19" fmla="*/ 456 h 939"/>
                              <a:gd name="T20" fmla="*/ 1233 w 3334"/>
                              <a:gd name="T21" fmla="*/ 0 h 939"/>
                              <a:gd name="T22" fmla="*/ 1481 w 3334"/>
                              <a:gd name="T23" fmla="*/ 0 h 939"/>
                              <a:gd name="T24" fmla="*/ 1481 w 3334"/>
                              <a:gd name="T25" fmla="*/ 593 h 939"/>
                              <a:gd name="T26" fmla="*/ 1233 w 3334"/>
                              <a:gd name="T27" fmla="*/ 593 h 939"/>
                              <a:gd name="T28" fmla="*/ 1233 w 3334"/>
                              <a:gd name="T29" fmla="*/ 0 h 939"/>
                              <a:gd name="T30" fmla="*/ 1853 w 3334"/>
                              <a:gd name="T31" fmla="*/ 885 h 939"/>
                              <a:gd name="T32" fmla="*/ 2102 w 3334"/>
                              <a:gd name="T33" fmla="*/ 885 h 939"/>
                              <a:gd name="T34" fmla="*/ 2102 w 3334"/>
                              <a:gd name="T35" fmla="*/ 939 h 939"/>
                              <a:gd name="T36" fmla="*/ 1853 w 3334"/>
                              <a:gd name="T37" fmla="*/ 939 h 939"/>
                              <a:gd name="T38" fmla="*/ 1853 w 3334"/>
                              <a:gd name="T39" fmla="*/ 885 h 939"/>
                              <a:gd name="T40" fmla="*/ 2465 w 3334"/>
                              <a:gd name="T41" fmla="*/ 374 h 939"/>
                              <a:gd name="T42" fmla="*/ 2713 w 3334"/>
                              <a:gd name="T43" fmla="*/ 374 h 939"/>
                              <a:gd name="T44" fmla="*/ 2713 w 3334"/>
                              <a:gd name="T45" fmla="*/ 939 h 939"/>
                              <a:gd name="T46" fmla="*/ 2465 w 3334"/>
                              <a:gd name="T47" fmla="*/ 939 h 939"/>
                              <a:gd name="T48" fmla="*/ 2465 w 3334"/>
                              <a:gd name="T49" fmla="*/ 374 h 939"/>
                              <a:gd name="T50" fmla="*/ 3086 w 3334"/>
                              <a:gd name="T51" fmla="*/ 775 h 939"/>
                              <a:gd name="T52" fmla="*/ 3334 w 3334"/>
                              <a:gd name="T53" fmla="*/ 775 h 939"/>
                              <a:gd name="T54" fmla="*/ 3334 w 3334"/>
                              <a:gd name="T55" fmla="*/ 939 h 939"/>
                              <a:gd name="T56" fmla="*/ 3086 w 3334"/>
                              <a:gd name="T57" fmla="*/ 939 h 939"/>
                              <a:gd name="T58" fmla="*/ 3086 w 3334"/>
                              <a:gd name="T59" fmla="*/ 775 h 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334" h="939">
                                <a:moveTo>
                                  <a:pt x="0" y="255"/>
                                </a:moveTo>
                                <a:lnTo>
                                  <a:pt x="248" y="255"/>
                                </a:lnTo>
                                <a:lnTo>
                                  <a:pt x="248" y="355"/>
                                </a:lnTo>
                                <a:lnTo>
                                  <a:pt x="0" y="355"/>
                                </a:lnTo>
                                <a:lnTo>
                                  <a:pt x="0" y="255"/>
                                </a:lnTo>
                                <a:close/>
                                <a:moveTo>
                                  <a:pt x="621" y="456"/>
                                </a:moveTo>
                                <a:lnTo>
                                  <a:pt x="860" y="456"/>
                                </a:lnTo>
                                <a:lnTo>
                                  <a:pt x="860" y="538"/>
                                </a:lnTo>
                                <a:lnTo>
                                  <a:pt x="621" y="538"/>
                                </a:lnTo>
                                <a:lnTo>
                                  <a:pt x="621" y="456"/>
                                </a:lnTo>
                                <a:close/>
                                <a:moveTo>
                                  <a:pt x="1233" y="0"/>
                                </a:moveTo>
                                <a:lnTo>
                                  <a:pt x="1481" y="0"/>
                                </a:lnTo>
                                <a:lnTo>
                                  <a:pt x="1481" y="593"/>
                                </a:lnTo>
                                <a:lnTo>
                                  <a:pt x="1233" y="593"/>
                                </a:lnTo>
                                <a:lnTo>
                                  <a:pt x="1233" y="0"/>
                                </a:lnTo>
                                <a:close/>
                                <a:moveTo>
                                  <a:pt x="1853" y="885"/>
                                </a:moveTo>
                                <a:lnTo>
                                  <a:pt x="2102" y="885"/>
                                </a:lnTo>
                                <a:lnTo>
                                  <a:pt x="2102" y="939"/>
                                </a:lnTo>
                                <a:lnTo>
                                  <a:pt x="1853" y="939"/>
                                </a:lnTo>
                                <a:lnTo>
                                  <a:pt x="1853" y="885"/>
                                </a:lnTo>
                                <a:close/>
                                <a:moveTo>
                                  <a:pt x="2465" y="374"/>
                                </a:moveTo>
                                <a:lnTo>
                                  <a:pt x="2713" y="374"/>
                                </a:lnTo>
                                <a:lnTo>
                                  <a:pt x="2713" y="939"/>
                                </a:lnTo>
                                <a:lnTo>
                                  <a:pt x="2465" y="939"/>
                                </a:lnTo>
                                <a:lnTo>
                                  <a:pt x="2465" y="374"/>
                                </a:lnTo>
                                <a:close/>
                                <a:moveTo>
                                  <a:pt x="3086" y="775"/>
                                </a:moveTo>
                                <a:lnTo>
                                  <a:pt x="3334" y="775"/>
                                </a:lnTo>
                                <a:lnTo>
                                  <a:pt x="3334" y="939"/>
                                </a:lnTo>
                                <a:lnTo>
                                  <a:pt x="3086" y="939"/>
                                </a:lnTo>
                                <a:lnTo>
                                  <a:pt x="3086" y="775"/>
                                </a:lnTo>
                                <a:close/>
                              </a:path>
                            </a:pathLst>
                          </a:custGeom>
                          <a:solidFill>
                            <a:srgbClr val="8064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Freeform 12"/>
                        <wps:cNvSpPr>
                          <a:spLocks noEditPoints="1"/>
                        </wps:cNvSpPr>
                        <wps:spPr bwMode="auto">
                          <a:xfrm>
                            <a:off x="571500" y="460375"/>
                            <a:ext cx="2117090" cy="898525"/>
                          </a:xfrm>
                          <a:custGeom>
                            <a:avLst/>
                            <a:gdLst>
                              <a:gd name="T0" fmla="*/ 0 w 3334"/>
                              <a:gd name="T1" fmla="*/ 19 h 1415"/>
                              <a:gd name="T2" fmla="*/ 248 w 3334"/>
                              <a:gd name="T3" fmla="*/ 19 h 1415"/>
                              <a:gd name="T4" fmla="*/ 248 w 3334"/>
                              <a:gd name="T5" fmla="*/ 785 h 1415"/>
                              <a:gd name="T6" fmla="*/ 0 w 3334"/>
                              <a:gd name="T7" fmla="*/ 785 h 1415"/>
                              <a:gd name="T8" fmla="*/ 0 w 3334"/>
                              <a:gd name="T9" fmla="*/ 19 h 1415"/>
                              <a:gd name="T10" fmla="*/ 621 w 3334"/>
                              <a:gd name="T11" fmla="*/ 256 h 1415"/>
                              <a:gd name="T12" fmla="*/ 860 w 3334"/>
                              <a:gd name="T13" fmla="*/ 256 h 1415"/>
                              <a:gd name="T14" fmla="*/ 860 w 3334"/>
                              <a:gd name="T15" fmla="*/ 986 h 1415"/>
                              <a:gd name="T16" fmla="*/ 621 w 3334"/>
                              <a:gd name="T17" fmla="*/ 986 h 1415"/>
                              <a:gd name="T18" fmla="*/ 621 w 3334"/>
                              <a:gd name="T19" fmla="*/ 256 h 1415"/>
                              <a:gd name="T20" fmla="*/ 1233 w 3334"/>
                              <a:gd name="T21" fmla="*/ 0 h 1415"/>
                              <a:gd name="T22" fmla="*/ 1481 w 3334"/>
                              <a:gd name="T23" fmla="*/ 0 h 1415"/>
                              <a:gd name="T24" fmla="*/ 1481 w 3334"/>
                              <a:gd name="T25" fmla="*/ 530 h 1415"/>
                              <a:gd name="T26" fmla="*/ 1233 w 3334"/>
                              <a:gd name="T27" fmla="*/ 530 h 1415"/>
                              <a:gd name="T28" fmla="*/ 1233 w 3334"/>
                              <a:gd name="T29" fmla="*/ 0 h 1415"/>
                              <a:gd name="T30" fmla="*/ 1853 w 3334"/>
                              <a:gd name="T31" fmla="*/ 1406 h 1415"/>
                              <a:gd name="T32" fmla="*/ 2102 w 3334"/>
                              <a:gd name="T33" fmla="*/ 1406 h 1415"/>
                              <a:gd name="T34" fmla="*/ 2102 w 3334"/>
                              <a:gd name="T35" fmla="*/ 1415 h 1415"/>
                              <a:gd name="T36" fmla="*/ 1853 w 3334"/>
                              <a:gd name="T37" fmla="*/ 1415 h 1415"/>
                              <a:gd name="T38" fmla="*/ 1853 w 3334"/>
                              <a:gd name="T39" fmla="*/ 1406 h 1415"/>
                              <a:gd name="T40" fmla="*/ 2465 w 3334"/>
                              <a:gd name="T41" fmla="*/ 703 h 1415"/>
                              <a:gd name="T42" fmla="*/ 2713 w 3334"/>
                              <a:gd name="T43" fmla="*/ 703 h 1415"/>
                              <a:gd name="T44" fmla="*/ 2713 w 3334"/>
                              <a:gd name="T45" fmla="*/ 904 h 1415"/>
                              <a:gd name="T46" fmla="*/ 2465 w 3334"/>
                              <a:gd name="T47" fmla="*/ 904 h 1415"/>
                              <a:gd name="T48" fmla="*/ 2465 w 3334"/>
                              <a:gd name="T49" fmla="*/ 703 h 1415"/>
                              <a:gd name="T50" fmla="*/ 3086 w 3334"/>
                              <a:gd name="T51" fmla="*/ 1296 h 1415"/>
                              <a:gd name="T52" fmla="*/ 3334 w 3334"/>
                              <a:gd name="T53" fmla="*/ 1296 h 1415"/>
                              <a:gd name="T54" fmla="*/ 3334 w 3334"/>
                              <a:gd name="T55" fmla="*/ 1305 h 1415"/>
                              <a:gd name="T56" fmla="*/ 3086 w 3334"/>
                              <a:gd name="T57" fmla="*/ 1305 h 1415"/>
                              <a:gd name="T58" fmla="*/ 3086 w 3334"/>
                              <a:gd name="T59" fmla="*/ 1296 h 1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334" h="1415">
                                <a:moveTo>
                                  <a:pt x="0" y="19"/>
                                </a:moveTo>
                                <a:lnTo>
                                  <a:pt x="248" y="19"/>
                                </a:lnTo>
                                <a:lnTo>
                                  <a:pt x="248" y="785"/>
                                </a:lnTo>
                                <a:lnTo>
                                  <a:pt x="0" y="785"/>
                                </a:lnTo>
                                <a:lnTo>
                                  <a:pt x="0" y="19"/>
                                </a:lnTo>
                                <a:close/>
                                <a:moveTo>
                                  <a:pt x="621" y="256"/>
                                </a:moveTo>
                                <a:lnTo>
                                  <a:pt x="860" y="256"/>
                                </a:lnTo>
                                <a:lnTo>
                                  <a:pt x="860" y="986"/>
                                </a:lnTo>
                                <a:lnTo>
                                  <a:pt x="621" y="986"/>
                                </a:lnTo>
                                <a:lnTo>
                                  <a:pt x="621" y="256"/>
                                </a:lnTo>
                                <a:close/>
                                <a:moveTo>
                                  <a:pt x="1233" y="0"/>
                                </a:moveTo>
                                <a:lnTo>
                                  <a:pt x="1481" y="0"/>
                                </a:lnTo>
                                <a:lnTo>
                                  <a:pt x="1481" y="530"/>
                                </a:lnTo>
                                <a:lnTo>
                                  <a:pt x="1233" y="530"/>
                                </a:lnTo>
                                <a:lnTo>
                                  <a:pt x="1233" y="0"/>
                                </a:lnTo>
                                <a:close/>
                                <a:moveTo>
                                  <a:pt x="1853" y="1406"/>
                                </a:moveTo>
                                <a:lnTo>
                                  <a:pt x="2102" y="1406"/>
                                </a:lnTo>
                                <a:lnTo>
                                  <a:pt x="2102" y="1415"/>
                                </a:lnTo>
                                <a:lnTo>
                                  <a:pt x="1853" y="1415"/>
                                </a:lnTo>
                                <a:lnTo>
                                  <a:pt x="1853" y="1406"/>
                                </a:lnTo>
                                <a:close/>
                                <a:moveTo>
                                  <a:pt x="2465" y="703"/>
                                </a:moveTo>
                                <a:lnTo>
                                  <a:pt x="2713" y="703"/>
                                </a:lnTo>
                                <a:lnTo>
                                  <a:pt x="2713" y="904"/>
                                </a:lnTo>
                                <a:lnTo>
                                  <a:pt x="2465" y="904"/>
                                </a:lnTo>
                                <a:lnTo>
                                  <a:pt x="2465" y="703"/>
                                </a:lnTo>
                                <a:close/>
                                <a:moveTo>
                                  <a:pt x="3086" y="1296"/>
                                </a:moveTo>
                                <a:lnTo>
                                  <a:pt x="3334" y="1296"/>
                                </a:lnTo>
                                <a:lnTo>
                                  <a:pt x="3334" y="1305"/>
                                </a:lnTo>
                                <a:lnTo>
                                  <a:pt x="3086" y="1305"/>
                                </a:lnTo>
                                <a:lnTo>
                                  <a:pt x="3086" y="1296"/>
                                </a:lnTo>
                                <a:close/>
                              </a:path>
                            </a:pathLst>
                          </a:custGeom>
                          <a:solidFill>
                            <a:srgbClr val="BAB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Rectangle 13"/>
                        <wps:cNvSpPr>
                          <a:spLocks noChangeArrowheads="1"/>
                        </wps:cNvSpPr>
                        <wps:spPr bwMode="auto">
                          <a:xfrm>
                            <a:off x="453390" y="278130"/>
                            <a:ext cx="5715" cy="1674495"/>
                          </a:xfrm>
                          <a:prstGeom prst="rect">
                            <a:avLst/>
                          </a:prstGeom>
                          <a:solidFill>
                            <a:srgbClr val="868686"/>
                          </a:solidFill>
                          <a:ln w="5715">
                            <a:solidFill>
                              <a:srgbClr val="868686"/>
                            </a:solidFill>
                            <a:bevel/>
                            <a:headEnd/>
                            <a:tailEnd/>
                          </a:ln>
                        </wps:spPr>
                        <wps:bodyPr rot="0" vert="horz" wrap="square" lIns="91440" tIns="45720" rIns="91440" bIns="45720" anchor="t" anchorCtr="0" upright="1">
                          <a:noAutofit/>
                        </wps:bodyPr>
                      </wps:wsp>
                      <wps:wsp>
                        <wps:cNvPr id="1741" name="Freeform 14"/>
                        <wps:cNvSpPr>
                          <a:spLocks noEditPoints="1"/>
                        </wps:cNvSpPr>
                        <wps:spPr bwMode="auto">
                          <a:xfrm>
                            <a:off x="427990" y="274955"/>
                            <a:ext cx="27940" cy="1680845"/>
                          </a:xfrm>
                          <a:custGeom>
                            <a:avLst/>
                            <a:gdLst>
                              <a:gd name="T0" fmla="*/ 0 w 44"/>
                              <a:gd name="T1" fmla="*/ 2637 h 2647"/>
                              <a:gd name="T2" fmla="*/ 44 w 44"/>
                              <a:gd name="T3" fmla="*/ 2637 h 2647"/>
                              <a:gd name="T4" fmla="*/ 44 w 44"/>
                              <a:gd name="T5" fmla="*/ 2647 h 2647"/>
                              <a:gd name="T6" fmla="*/ 0 w 44"/>
                              <a:gd name="T7" fmla="*/ 2647 h 2647"/>
                              <a:gd name="T8" fmla="*/ 0 w 44"/>
                              <a:gd name="T9" fmla="*/ 2637 h 2647"/>
                              <a:gd name="T10" fmla="*/ 0 w 44"/>
                              <a:gd name="T11" fmla="*/ 2199 h 2647"/>
                              <a:gd name="T12" fmla="*/ 44 w 44"/>
                              <a:gd name="T13" fmla="*/ 2199 h 2647"/>
                              <a:gd name="T14" fmla="*/ 44 w 44"/>
                              <a:gd name="T15" fmla="*/ 2209 h 2647"/>
                              <a:gd name="T16" fmla="*/ 0 w 44"/>
                              <a:gd name="T17" fmla="*/ 2209 h 2647"/>
                              <a:gd name="T18" fmla="*/ 0 w 44"/>
                              <a:gd name="T19" fmla="*/ 2199 h 2647"/>
                              <a:gd name="T20" fmla="*/ 0 w 44"/>
                              <a:gd name="T21" fmla="*/ 1761 h 2647"/>
                              <a:gd name="T22" fmla="*/ 44 w 44"/>
                              <a:gd name="T23" fmla="*/ 1761 h 2647"/>
                              <a:gd name="T24" fmla="*/ 44 w 44"/>
                              <a:gd name="T25" fmla="*/ 1771 h 2647"/>
                              <a:gd name="T26" fmla="*/ 0 w 44"/>
                              <a:gd name="T27" fmla="*/ 1771 h 2647"/>
                              <a:gd name="T28" fmla="*/ 0 w 44"/>
                              <a:gd name="T29" fmla="*/ 1761 h 2647"/>
                              <a:gd name="T30" fmla="*/ 0 w 44"/>
                              <a:gd name="T31" fmla="*/ 1323 h 2647"/>
                              <a:gd name="T32" fmla="*/ 44 w 44"/>
                              <a:gd name="T33" fmla="*/ 1323 h 2647"/>
                              <a:gd name="T34" fmla="*/ 44 w 44"/>
                              <a:gd name="T35" fmla="*/ 1333 h 2647"/>
                              <a:gd name="T36" fmla="*/ 0 w 44"/>
                              <a:gd name="T37" fmla="*/ 1333 h 2647"/>
                              <a:gd name="T38" fmla="*/ 0 w 44"/>
                              <a:gd name="T39" fmla="*/ 1323 h 2647"/>
                              <a:gd name="T40" fmla="*/ 0 w 44"/>
                              <a:gd name="T41" fmla="*/ 876 h 2647"/>
                              <a:gd name="T42" fmla="*/ 44 w 44"/>
                              <a:gd name="T43" fmla="*/ 876 h 2647"/>
                              <a:gd name="T44" fmla="*/ 44 w 44"/>
                              <a:gd name="T45" fmla="*/ 885 h 2647"/>
                              <a:gd name="T46" fmla="*/ 0 w 44"/>
                              <a:gd name="T47" fmla="*/ 885 h 2647"/>
                              <a:gd name="T48" fmla="*/ 0 w 44"/>
                              <a:gd name="T49" fmla="*/ 876 h 2647"/>
                              <a:gd name="T50" fmla="*/ 0 w 44"/>
                              <a:gd name="T51" fmla="*/ 438 h 2647"/>
                              <a:gd name="T52" fmla="*/ 44 w 44"/>
                              <a:gd name="T53" fmla="*/ 438 h 2647"/>
                              <a:gd name="T54" fmla="*/ 44 w 44"/>
                              <a:gd name="T55" fmla="*/ 448 h 2647"/>
                              <a:gd name="T56" fmla="*/ 0 w 44"/>
                              <a:gd name="T57" fmla="*/ 448 h 2647"/>
                              <a:gd name="T58" fmla="*/ 0 w 44"/>
                              <a:gd name="T59" fmla="*/ 438 h 2647"/>
                              <a:gd name="T60" fmla="*/ 0 w 44"/>
                              <a:gd name="T61" fmla="*/ 0 h 2647"/>
                              <a:gd name="T62" fmla="*/ 44 w 44"/>
                              <a:gd name="T63" fmla="*/ 0 h 2647"/>
                              <a:gd name="T64" fmla="*/ 44 w 44"/>
                              <a:gd name="T65" fmla="*/ 10 h 2647"/>
                              <a:gd name="T66" fmla="*/ 0 w 44"/>
                              <a:gd name="T67" fmla="*/ 10 h 2647"/>
                              <a:gd name="T68" fmla="*/ 0 w 44"/>
                              <a:gd name="T69" fmla="*/ 0 h 2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4" h="2647">
                                <a:moveTo>
                                  <a:pt x="0" y="2637"/>
                                </a:moveTo>
                                <a:lnTo>
                                  <a:pt x="44" y="2637"/>
                                </a:lnTo>
                                <a:lnTo>
                                  <a:pt x="44" y="2647"/>
                                </a:lnTo>
                                <a:lnTo>
                                  <a:pt x="0" y="2647"/>
                                </a:lnTo>
                                <a:lnTo>
                                  <a:pt x="0" y="2637"/>
                                </a:lnTo>
                                <a:close/>
                                <a:moveTo>
                                  <a:pt x="0" y="2199"/>
                                </a:moveTo>
                                <a:lnTo>
                                  <a:pt x="44" y="2199"/>
                                </a:lnTo>
                                <a:lnTo>
                                  <a:pt x="44" y="2209"/>
                                </a:lnTo>
                                <a:lnTo>
                                  <a:pt x="0" y="2209"/>
                                </a:lnTo>
                                <a:lnTo>
                                  <a:pt x="0" y="2199"/>
                                </a:lnTo>
                                <a:close/>
                                <a:moveTo>
                                  <a:pt x="0" y="1761"/>
                                </a:moveTo>
                                <a:lnTo>
                                  <a:pt x="44" y="1761"/>
                                </a:lnTo>
                                <a:lnTo>
                                  <a:pt x="44" y="1771"/>
                                </a:lnTo>
                                <a:lnTo>
                                  <a:pt x="0" y="1771"/>
                                </a:lnTo>
                                <a:lnTo>
                                  <a:pt x="0" y="1761"/>
                                </a:lnTo>
                                <a:close/>
                                <a:moveTo>
                                  <a:pt x="0" y="1323"/>
                                </a:moveTo>
                                <a:lnTo>
                                  <a:pt x="44" y="1323"/>
                                </a:lnTo>
                                <a:lnTo>
                                  <a:pt x="44" y="1333"/>
                                </a:lnTo>
                                <a:lnTo>
                                  <a:pt x="0" y="1333"/>
                                </a:lnTo>
                                <a:lnTo>
                                  <a:pt x="0" y="1323"/>
                                </a:lnTo>
                                <a:close/>
                                <a:moveTo>
                                  <a:pt x="0" y="876"/>
                                </a:moveTo>
                                <a:lnTo>
                                  <a:pt x="44" y="876"/>
                                </a:lnTo>
                                <a:lnTo>
                                  <a:pt x="44" y="885"/>
                                </a:lnTo>
                                <a:lnTo>
                                  <a:pt x="0" y="885"/>
                                </a:lnTo>
                                <a:lnTo>
                                  <a:pt x="0" y="876"/>
                                </a:lnTo>
                                <a:close/>
                                <a:moveTo>
                                  <a:pt x="0" y="438"/>
                                </a:moveTo>
                                <a:lnTo>
                                  <a:pt x="44" y="438"/>
                                </a:lnTo>
                                <a:lnTo>
                                  <a:pt x="44" y="448"/>
                                </a:lnTo>
                                <a:lnTo>
                                  <a:pt x="0" y="448"/>
                                </a:lnTo>
                                <a:lnTo>
                                  <a:pt x="0" y="438"/>
                                </a:lnTo>
                                <a:close/>
                                <a:moveTo>
                                  <a:pt x="0" y="0"/>
                                </a:moveTo>
                                <a:lnTo>
                                  <a:pt x="44" y="0"/>
                                </a:lnTo>
                                <a:lnTo>
                                  <a:pt x="44" y="10"/>
                                </a:lnTo>
                                <a:lnTo>
                                  <a:pt x="0" y="10"/>
                                </a:lnTo>
                                <a:lnTo>
                                  <a:pt x="0" y="0"/>
                                </a:lnTo>
                                <a:close/>
                              </a:path>
                            </a:pathLst>
                          </a:custGeom>
                          <a:solidFill>
                            <a:srgbClr val="868686"/>
                          </a:solidFill>
                          <a:ln w="5715">
                            <a:solidFill>
                              <a:srgbClr val="868686"/>
                            </a:solidFill>
                            <a:bevel/>
                            <a:headEnd/>
                            <a:tailEnd/>
                          </a:ln>
                        </wps:spPr>
                        <wps:bodyPr rot="0" vert="horz" wrap="square" lIns="91440" tIns="45720" rIns="91440" bIns="45720" anchor="t" anchorCtr="0" upright="1">
                          <a:noAutofit/>
                        </wps:bodyPr>
                      </wps:wsp>
                      <wps:wsp>
                        <wps:cNvPr id="1742" name="Rectangle 15"/>
                        <wps:cNvSpPr>
                          <a:spLocks noChangeArrowheads="1"/>
                        </wps:cNvSpPr>
                        <wps:spPr bwMode="auto">
                          <a:xfrm>
                            <a:off x="455930" y="1393190"/>
                            <a:ext cx="2348230" cy="6350"/>
                          </a:xfrm>
                          <a:prstGeom prst="rect">
                            <a:avLst/>
                          </a:prstGeom>
                          <a:solidFill>
                            <a:srgbClr val="868686"/>
                          </a:solidFill>
                          <a:ln w="5715">
                            <a:solidFill>
                              <a:srgbClr val="868686"/>
                            </a:solidFill>
                            <a:bevel/>
                            <a:headEnd/>
                            <a:tailEnd/>
                          </a:ln>
                        </wps:spPr>
                        <wps:bodyPr rot="0" vert="horz" wrap="square" lIns="91440" tIns="45720" rIns="91440" bIns="45720" anchor="t" anchorCtr="0" upright="1">
                          <a:noAutofit/>
                        </wps:bodyPr>
                      </wps:wsp>
                      <wps:wsp>
                        <wps:cNvPr id="1743" name="Freeform 16"/>
                        <wps:cNvSpPr>
                          <a:spLocks noEditPoints="1"/>
                        </wps:cNvSpPr>
                        <wps:spPr bwMode="auto">
                          <a:xfrm>
                            <a:off x="453390" y="1396365"/>
                            <a:ext cx="2353310" cy="29210"/>
                          </a:xfrm>
                          <a:custGeom>
                            <a:avLst/>
                            <a:gdLst>
                              <a:gd name="T0" fmla="*/ 9 w 3706"/>
                              <a:gd name="T1" fmla="*/ 0 h 46"/>
                              <a:gd name="T2" fmla="*/ 9 w 3706"/>
                              <a:gd name="T3" fmla="*/ 46 h 46"/>
                              <a:gd name="T4" fmla="*/ 0 w 3706"/>
                              <a:gd name="T5" fmla="*/ 46 h 46"/>
                              <a:gd name="T6" fmla="*/ 0 w 3706"/>
                              <a:gd name="T7" fmla="*/ 0 h 46"/>
                              <a:gd name="T8" fmla="*/ 9 w 3706"/>
                              <a:gd name="T9" fmla="*/ 0 h 46"/>
                              <a:gd name="T10" fmla="*/ 621 w 3706"/>
                              <a:gd name="T11" fmla="*/ 0 h 46"/>
                              <a:gd name="T12" fmla="*/ 621 w 3706"/>
                              <a:gd name="T13" fmla="*/ 46 h 46"/>
                              <a:gd name="T14" fmla="*/ 612 w 3706"/>
                              <a:gd name="T15" fmla="*/ 46 h 46"/>
                              <a:gd name="T16" fmla="*/ 612 w 3706"/>
                              <a:gd name="T17" fmla="*/ 0 h 46"/>
                              <a:gd name="T18" fmla="*/ 621 w 3706"/>
                              <a:gd name="T19" fmla="*/ 0 h 46"/>
                              <a:gd name="T20" fmla="*/ 1241 w 3706"/>
                              <a:gd name="T21" fmla="*/ 0 h 46"/>
                              <a:gd name="T22" fmla="*/ 1241 w 3706"/>
                              <a:gd name="T23" fmla="*/ 46 h 46"/>
                              <a:gd name="T24" fmla="*/ 1232 w 3706"/>
                              <a:gd name="T25" fmla="*/ 46 h 46"/>
                              <a:gd name="T26" fmla="*/ 1232 w 3706"/>
                              <a:gd name="T27" fmla="*/ 0 h 46"/>
                              <a:gd name="T28" fmla="*/ 1241 w 3706"/>
                              <a:gd name="T29" fmla="*/ 0 h 46"/>
                              <a:gd name="T30" fmla="*/ 1853 w 3706"/>
                              <a:gd name="T31" fmla="*/ 0 h 46"/>
                              <a:gd name="T32" fmla="*/ 1853 w 3706"/>
                              <a:gd name="T33" fmla="*/ 46 h 46"/>
                              <a:gd name="T34" fmla="*/ 1844 w 3706"/>
                              <a:gd name="T35" fmla="*/ 46 h 46"/>
                              <a:gd name="T36" fmla="*/ 1844 w 3706"/>
                              <a:gd name="T37" fmla="*/ 0 h 46"/>
                              <a:gd name="T38" fmla="*/ 1853 w 3706"/>
                              <a:gd name="T39" fmla="*/ 0 h 46"/>
                              <a:gd name="T40" fmla="*/ 2474 w 3706"/>
                              <a:gd name="T41" fmla="*/ 0 h 46"/>
                              <a:gd name="T42" fmla="*/ 2474 w 3706"/>
                              <a:gd name="T43" fmla="*/ 46 h 46"/>
                              <a:gd name="T44" fmla="*/ 2465 w 3706"/>
                              <a:gd name="T45" fmla="*/ 46 h 46"/>
                              <a:gd name="T46" fmla="*/ 2465 w 3706"/>
                              <a:gd name="T47" fmla="*/ 0 h 46"/>
                              <a:gd name="T48" fmla="*/ 2474 w 3706"/>
                              <a:gd name="T49" fmla="*/ 0 h 46"/>
                              <a:gd name="T50" fmla="*/ 3095 w 3706"/>
                              <a:gd name="T51" fmla="*/ 0 h 46"/>
                              <a:gd name="T52" fmla="*/ 3095 w 3706"/>
                              <a:gd name="T53" fmla="*/ 46 h 46"/>
                              <a:gd name="T54" fmla="*/ 3086 w 3706"/>
                              <a:gd name="T55" fmla="*/ 46 h 46"/>
                              <a:gd name="T56" fmla="*/ 3086 w 3706"/>
                              <a:gd name="T57" fmla="*/ 0 h 46"/>
                              <a:gd name="T58" fmla="*/ 3095 w 3706"/>
                              <a:gd name="T59" fmla="*/ 0 h 46"/>
                              <a:gd name="T60" fmla="*/ 3706 w 3706"/>
                              <a:gd name="T61" fmla="*/ 0 h 46"/>
                              <a:gd name="T62" fmla="*/ 3706 w 3706"/>
                              <a:gd name="T63" fmla="*/ 46 h 46"/>
                              <a:gd name="T64" fmla="*/ 3698 w 3706"/>
                              <a:gd name="T65" fmla="*/ 46 h 46"/>
                              <a:gd name="T66" fmla="*/ 3698 w 3706"/>
                              <a:gd name="T67" fmla="*/ 0 h 46"/>
                              <a:gd name="T68" fmla="*/ 3706 w 3706"/>
                              <a:gd name="T69"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706" h="46">
                                <a:moveTo>
                                  <a:pt x="9" y="0"/>
                                </a:moveTo>
                                <a:lnTo>
                                  <a:pt x="9" y="46"/>
                                </a:lnTo>
                                <a:lnTo>
                                  <a:pt x="0" y="46"/>
                                </a:lnTo>
                                <a:lnTo>
                                  <a:pt x="0" y="0"/>
                                </a:lnTo>
                                <a:lnTo>
                                  <a:pt x="9" y="0"/>
                                </a:lnTo>
                                <a:close/>
                                <a:moveTo>
                                  <a:pt x="621" y="0"/>
                                </a:moveTo>
                                <a:lnTo>
                                  <a:pt x="621" y="46"/>
                                </a:lnTo>
                                <a:lnTo>
                                  <a:pt x="612" y="46"/>
                                </a:lnTo>
                                <a:lnTo>
                                  <a:pt x="612" y="0"/>
                                </a:lnTo>
                                <a:lnTo>
                                  <a:pt x="621" y="0"/>
                                </a:lnTo>
                                <a:close/>
                                <a:moveTo>
                                  <a:pt x="1241" y="0"/>
                                </a:moveTo>
                                <a:lnTo>
                                  <a:pt x="1241" y="46"/>
                                </a:lnTo>
                                <a:lnTo>
                                  <a:pt x="1232" y="46"/>
                                </a:lnTo>
                                <a:lnTo>
                                  <a:pt x="1232" y="0"/>
                                </a:lnTo>
                                <a:lnTo>
                                  <a:pt x="1241" y="0"/>
                                </a:lnTo>
                                <a:close/>
                                <a:moveTo>
                                  <a:pt x="1853" y="0"/>
                                </a:moveTo>
                                <a:lnTo>
                                  <a:pt x="1853" y="46"/>
                                </a:lnTo>
                                <a:lnTo>
                                  <a:pt x="1844" y="46"/>
                                </a:lnTo>
                                <a:lnTo>
                                  <a:pt x="1844" y="0"/>
                                </a:lnTo>
                                <a:lnTo>
                                  <a:pt x="1853" y="0"/>
                                </a:lnTo>
                                <a:close/>
                                <a:moveTo>
                                  <a:pt x="2474" y="0"/>
                                </a:moveTo>
                                <a:lnTo>
                                  <a:pt x="2474" y="46"/>
                                </a:lnTo>
                                <a:lnTo>
                                  <a:pt x="2465" y="46"/>
                                </a:lnTo>
                                <a:lnTo>
                                  <a:pt x="2465" y="0"/>
                                </a:lnTo>
                                <a:lnTo>
                                  <a:pt x="2474" y="0"/>
                                </a:lnTo>
                                <a:close/>
                                <a:moveTo>
                                  <a:pt x="3095" y="0"/>
                                </a:moveTo>
                                <a:lnTo>
                                  <a:pt x="3095" y="46"/>
                                </a:lnTo>
                                <a:lnTo>
                                  <a:pt x="3086" y="46"/>
                                </a:lnTo>
                                <a:lnTo>
                                  <a:pt x="3086" y="0"/>
                                </a:lnTo>
                                <a:lnTo>
                                  <a:pt x="3095" y="0"/>
                                </a:lnTo>
                                <a:close/>
                                <a:moveTo>
                                  <a:pt x="3706" y="0"/>
                                </a:moveTo>
                                <a:lnTo>
                                  <a:pt x="3706" y="46"/>
                                </a:lnTo>
                                <a:lnTo>
                                  <a:pt x="3698" y="46"/>
                                </a:lnTo>
                                <a:lnTo>
                                  <a:pt x="3698" y="0"/>
                                </a:lnTo>
                                <a:lnTo>
                                  <a:pt x="3706" y="0"/>
                                </a:lnTo>
                                <a:close/>
                              </a:path>
                            </a:pathLst>
                          </a:custGeom>
                          <a:solidFill>
                            <a:srgbClr val="868686"/>
                          </a:solidFill>
                          <a:ln w="5715">
                            <a:solidFill>
                              <a:srgbClr val="868686"/>
                            </a:solidFill>
                            <a:bevel/>
                            <a:headEnd/>
                            <a:tailEnd/>
                          </a:ln>
                        </wps:spPr>
                        <wps:bodyPr rot="0" vert="horz" wrap="square" lIns="91440" tIns="45720" rIns="91440" bIns="45720" anchor="t" anchorCtr="0" upright="1">
                          <a:noAutofit/>
                        </wps:bodyPr>
                      </wps:wsp>
                      <wps:wsp>
                        <wps:cNvPr id="1744" name="Rectangle 17"/>
                        <wps:cNvSpPr>
                          <a:spLocks noChangeArrowheads="1"/>
                        </wps:cNvSpPr>
                        <wps:spPr bwMode="auto">
                          <a:xfrm>
                            <a:off x="190500" y="1894840"/>
                            <a:ext cx="2730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4"/>
                                  <w:szCs w:val="14"/>
                                </w:rPr>
                                <w:t>-</w:t>
                              </w:r>
                            </w:p>
                          </w:txbxContent>
                        </wps:txbx>
                        <wps:bodyPr rot="0" vert="horz" wrap="none" lIns="0" tIns="0" rIns="0" bIns="0" anchor="t" anchorCtr="0" upright="1">
                          <a:spAutoFit/>
                        </wps:bodyPr>
                      </wps:wsp>
                      <wps:wsp>
                        <wps:cNvPr id="1745" name="Rectangle 18"/>
                        <wps:cNvSpPr>
                          <a:spLocks noChangeArrowheads="1"/>
                        </wps:cNvSpPr>
                        <wps:spPr bwMode="auto">
                          <a:xfrm>
                            <a:off x="219075" y="1894840"/>
                            <a:ext cx="1536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4"/>
                                  <w:szCs w:val="14"/>
                                </w:rPr>
                                <w:t>20%</w:t>
                              </w:r>
                            </w:p>
                          </w:txbxContent>
                        </wps:txbx>
                        <wps:bodyPr rot="0" vert="horz" wrap="none" lIns="0" tIns="0" rIns="0" bIns="0" anchor="t" anchorCtr="0" upright="1">
                          <a:spAutoFit/>
                        </wps:bodyPr>
                      </wps:wsp>
                      <wps:wsp>
                        <wps:cNvPr id="1746" name="Rectangle 19"/>
                        <wps:cNvSpPr>
                          <a:spLocks noChangeArrowheads="1"/>
                        </wps:cNvSpPr>
                        <wps:spPr bwMode="auto">
                          <a:xfrm>
                            <a:off x="190500" y="1615440"/>
                            <a:ext cx="2730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4"/>
                                  <w:szCs w:val="14"/>
                                </w:rPr>
                                <w:t>-</w:t>
                              </w:r>
                            </w:p>
                          </w:txbxContent>
                        </wps:txbx>
                        <wps:bodyPr rot="0" vert="horz" wrap="none" lIns="0" tIns="0" rIns="0" bIns="0" anchor="t" anchorCtr="0" upright="1">
                          <a:spAutoFit/>
                        </wps:bodyPr>
                      </wps:wsp>
                      <wps:wsp>
                        <wps:cNvPr id="1751" name="Rectangle 20"/>
                        <wps:cNvSpPr>
                          <a:spLocks noChangeArrowheads="1"/>
                        </wps:cNvSpPr>
                        <wps:spPr bwMode="auto">
                          <a:xfrm>
                            <a:off x="219075" y="1615440"/>
                            <a:ext cx="1536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4"/>
                                  <w:szCs w:val="14"/>
                                </w:rPr>
                                <w:t>10%</w:t>
                              </w:r>
                            </w:p>
                          </w:txbxContent>
                        </wps:txbx>
                        <wps:bodyPr rot="0" vert="horz" wrap="none" lIns="0" tIns="0" rIns="0" bIns="0" anchor="t" anchorCtr="0" upright="1">
                          <a:spAutoFit/>
                        </wps:bodyPr>
                      </wps:wsp>
                      <wps:wsp>
                        <wps:cNvPr id="1752" name="Rectangle 21"/>
                        <wps:cNvSpPr>
                          <a:spLocks noChangeArrowheads="1"/>
                        </wps:cNvSpPr>
                        <wps:spPr bwMode="auto">
                          <a:xfrm>
                            <a:off x="260985" y="1336040"/>
                            <a:ext cx="1092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4"/>
                                  <w:szCs w:val="14"/>
                                </w:rPr>
                                <w:t>0%</w:t>
                              </w:r>
                            </w:p>
                          </w:txbxContent>
                        </wps:txbx>
                        <wps:bodyPr rot="0" vert="horz" wrap="none" lIns="0" tIns="0" rIns="0" bIns="0" anchor="t" anchorCtr="0" upright="1">
                          <a:spAutoFit/>
                        </wps:bodyPr>
                      </wps:wsp>
                      <wps:wsp>
                        <wps:cNvPr id="1753" name="Rectangle 22"/>
                        <wps:cNvSpPr>
                          <a:spLocks noChangeArrowheads="1"/>
                        </wps:cNvSpPr>
                        <wps:spPr bwMode="auto">
                          <a:xfrm>
                            <a:off x="215900" y="1056640"/>
                            <a:ext cx="1536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4"/>
                                  <w:szCs w:val="14"/>
                                </w:rPr>
                                <w:t>10%</w:t>
                              </w:r>
                            </w:p>
                          </w:txbxContent>
                        </wps:txbx>
                        <wps:bodyPr rot="0" vert="horz" wrap="none" lIns="0" tIns="0" rIns="0" bIns="0" anchor="t" anchorCtr="0" upright="1">
                          <a:spAutoFit/>
                        </wps:bodyPr>
                      </wps:wsp>
                      <wps:wsp>
                        <wps:cNvPr id="1754" name="Rectangle 23"/>
                        <wps:cNvSpPr>
                          <a:spLocks noChangeArrowheads="1"/>
                        </wps:cNvSpPr>
                        <wps:spPr bwMode="auto">
                          <a:xfrm>
                            <a:off x="215900" y="777240"/>
                            <a:ext cx="1536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4"/>
                                  <w:szCs w:val="14"/>
                                </w:rPr>
                                <w:t>20%</w:t>
                              </w:r>
                            </w:p>
                          </w:txbxContent>
                        </wps:txbx>
                        <wps:bodyPr rot="0" vert="horz" wrap="none" lIns="0" tIns="0" rIns="0" bIns="0" anchor="t" anchorCtr="0" upright="1">
                          <a:spAutoFit/>
                        </wps:bodyPr>
                      </wps:wsp>
                      <wps:wsp>
                        <wps:cNvPr id="1755" name="Rectangle 24"/>
                        <wps:cNvSpPr>
                          <a:spLocks noChangeArrowheads="1"/>
                        </wps:cNvSpPr>
                        <wps:spPr bwMode="auto">
                          <a:xfrm>
                            <a:off x="215900" y="497840"/>
                            <a:ext cx="1536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4"/>
                                  <w:szCs w:val="14"/>
                                </w:rPr>
                                <w:t>30%</w:t>
                              </w:r>
                            </w:p>
                          </w:txbxContent>
                        </wps:txbx>
                        <wps:bodyPr rot="0" vert="horz" wrap="none" lIns="0" tIns="0" rIns="0" bIns="0" anchor="t" anchorCtr="0" upright="1">
                          <a:spAutoFit/>
                        </wps:bodyPr>
                      </wps:wsp>
                      <wps:wsp>
                        <wps:cNvPr id="1756" name="Rectangle 25"/>
                        <wps:cNvSpPr>
                          <a:spLocks noChangeArrowheads="1"/>
                        </wps:cNvSpPr>
                        <wps:spPr bwMode="auto">
                          <a:xfrm>
                            <a:off x="215900" y="218440"/>
                            <a:ext cx="1536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4"/>
                                  <w:szCs w:val="14"/>
                                </w:rPr>
                                <w:t>40%</w:t>
                              </w:r>
                            </w:p>
                          </w:txbxContent>
                        </wps:txbx>
                        <wps:bodyPr rot="0" vert="horz" wrap="none" lIns="0" tIns="0" rIns="0" bIns="0" anchor="t" anchorCtr="0" upright="1">
                          <a:spAutoFit/>
                        </wps:bodyPr>
                      </wps:wsp>
                      <wps:wsp>
                        <wps:cNvPr id="1757" name="Rectangle 26"/>
                        <wps:cNvSpPr>
                          <a:spLocks noChangeArrowheads="1"/>
                        </wps:cNvSpPr>
                        <wps:spPr bwMode="auto">
                          <a:xfrm>
                            <a:off x="575310" y="1456690"/>
                            <a:ext cx="1492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4"/>
                                  <w:szCs w:val="14"/>
                                </w:rPr>
                                <w:t>Asia</w:t>
                              </w:r>
                            </w:p>
                          </w:txbxContent>
                        </wps:txbx>
                        <wps:bodyPr rot="0" vert="horz" wrap="none" lIns="0" tIns="0" rIns="0" bIns="0" anchor="t" anchorCtr="0" upright="1">
                          <a:spAutoFit/>
                        </wps:bodyPr>
                      </wps:wsp>
                      <wps:wsp>
                        <wps:cNvPr id="1758" name="Rectangle 27"/>
                        <wps:cNvSpPr>
                          <a:spLocks noChangeArrowheads="1"/>
                        </wps:cNvSpPr>
                        <wps:spPr bwMode="auto">
                          <a:xfrm>
                            <a:off x="972820" y="1456690"/>
                            <a:ext cx="1428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4"/>
                                  <w:szCs w:val="14"/>
                                </w:rPr>
                                <w:t>ECA</w:t>
                              </w:r>
                            </w:p>
                          </w:txbxContent>
                        </wps:txbx>
                        <wps:bodyPr rot="0" vert="horz" wrap="none" lIns="0" tIns="0" rIns="0" bIns="0" anchor="t" anchorCtr="0" upright="1">
                          <a:spAutoFit/>
                        </wps:bodyPr>
                      </wps:wsp>
                      <wps:wsp>
                        <wps:cNvPr id="1759" name="Rectangle 28"/>
                        <wps:cNvSpPr>
                          <a:spLocks noChangeArrowheads="1"/>
                        </wps:cNvSpPr>
                        <wps:spPr bwMode="auto">
                          <a:xfrm>
                            <a:off x="1319530" y="1456690"/>
                            <a:ext cx="2286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4"/>
                                  <w:szCs w:val="14"/>
                                </w:rPr>
                                <w:t>MENA</w:t>
                              </w:r>
                            </w:p>
                          </w:txbxContent>
                        </wps:txbx>
                        <wps:bodyPr rot="0" vert="horz" wrap="none" lIns="0" tIns="0" rIns="0" bIns="0" anchor="t" anchorCtr="0" upright="1">
                          <a:spAutoFit/>
                        </wps:bodyPr>
                      </wps:wsp>
                      <wps:wsp>
                        <wps:cNvPr id="1760" name="Rectangle 29"/>
                        <wps:cNvSpPr>
                          <a:spLocks noChangeArrowheads="1"/>
                        </wps:cNvSpPr>
                        <wps:spPr bwMode="auto">
                          <a:xfrm>
                            <a:off x="1778635" y="1456690"/>
                            <a:ext cx="10096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4"/>
                                  <w:szCs w:val="14"/>
                                </w:rPr>
                                <w:t>EU</w:t>
                              </w:r>
                            </w:p>
                          </w:txbxContent>
                        </wps:txbx>
                        <wps:bodyPr rot="0" vert="horz" wrap="none" lIns="0" tIns="0" rIns="0" bIns="0" anchor="t" anchorCtr="0" upright="1">
                          <a:spAutoFit/>
                        </wps:bodyPr>
                      </wps:wsp>
                      <wps:wsp>
                        <wps:cNvPr id="1761" name="Rectangle 30"/>
                        <wps:cNvSpPr>
                          <a:spLocks noChangeArrowheads="1"/>
                        </wps:cNvSpPr>
                        <wps:spPr bwMode="auto">
                          <a:xfrm>
                            <a:off x="2148205" y="1456690"/>
                            <a:ext cx="1498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4"/>
                                  <w:szCs w:val="14"/>
                                </w:rPr>
                                <w:t>USA</w:t>
                              </w:r>
                            </w:p>
                          </w:txbxContent>
                        </wps:txbx>
                        <wps:bodyPr rot="0" vert="horz" wrap="none" lIns="0" tIns="0" rIns="0" bIns="0" anchor="t" anchorCtr="0" upright="1">
                          <a:spAutoFit/>
                        </wps:bodyPr>
                      </wps:wsp>
                      <wps:wsp>
                        <wps:cNvPr id="1762" name="Rectangle 31"/>
                        <wps:cNvSpPr>
                          <a:spLocks noChangeArrowheads="1"/>
                        </wps:cNvSpPr>
                        <wps:spPr bwMode="auto">
                          <a:xfrm>
                            <a:off x="2522855" y="1456690"/>
                            <a:ext cx="1746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4"/>
                                  <w:szCs w:val="14"/>
                                </w:rPr>
                                <w:t>RoW</w:t>
                              </w:r>
                            </w:p>
                          </w:txbxContent>
                        </wps:txbx>
                        <wps:bodyPr rot="0" vert="horz" wrap="none" lIns="0" tIns="0" rIns="0" bIns="0" anchor="t" anchorCtr="0" upright="1">
                          <a:spAutoFit/>
                        </wps:bodyPr>
                      </wps:wsp>
                      <wps:wsp>
                        <wps:cNvPr id="1763" name="Rectangle 32"/>
                        <wps:cNvSpPr>
                          <a:spLocks noChangeArrowheads="1"/>
                        </wps:cNvSpPr>
                        <wps:spPr bwMode="auto">
                          <a:xfrm>
                            <a:off x="140970" y="1455420"/>
                            <a:ext cx="12255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b/>
                                  <w:bCs/>
                                  <w:color w:val="000000"/>
                                  <w:sz w:val="2"/>
                                  <w:szCs w:val="2"/>
                                </w:rPr>
                                <w:t xml:space="preserve">Share of export growth </w:t>
                              </w:r>
                            </w:p>
                          </w:txbxContent>
                        </wps:txbx>
                        <wps:bodyPr rot="0" vert="horz" wrap="none" lIns="0" tIns="0" rIns="0" bIns="0" anchor="t" anchorCtr="0" upright="1">
                          <a:spAutoFit/>
                        </wps:bodyPr>
                      </wps:wsp>
                      <wps:wsp>
                        <wps:cNvPr id="1764" name="Rectangle 33"/>
                        <wps:cNvSpPr>
                          <a:spLocks noChangeArrowheads="1"/>
                        </wps:cNvSpPr>
                        <wps:spPr bwMode="auto">
                          <a:xfrm>
                            <a:off x="1838325" y="222885"/>
                            <a:ext cx="56515" cy="58420"/>
                          </a:xfrm>
                          <a:prstGeom prst="rect">
                            <a:avLst/>
                          </a:prstGeom>
                          <a:solidFill>
                            <a:srgbClr val="BAB0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5" name="Rectangle 34"/>
                        <wps:cNvSpPr>
                          <a:spLocks noChangeArrowheads="1"/>
                        </wps:cNvSpPr>
                        <wps:spPr bwMode="auto">
                          <a:xfrm>
                            <a:off x="1912620" y="190500"/>
                            <a:ext cx="5048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4"/>
                                  <w:szCs w:val="14"/>
                                </w:rPr>
                                <w:t>New Products</w:t>
                              </w:r>
                            </w:p>
                          </w:txbxContent>
                        </wps:txbx>
                        <wps:bodyPr rot="0" vert="horz" wrap="none" lIns="0" tIns="0" rIns="0" bIns="0" anchor="t" anchorCtr="0" upright="1">
                          <a:spAutoFit/>
                        </wps:bodyPr>
                      </wps:wsp>
                      <wps:wsp>
                        <wps:cNvPr id="1766" name="Rectangle 35"/>
                        <wps:cNvSpPr>
                          <a:spLocks noChangeArrowheads="1"/>
                        </wps:cNvSpPr>
                        <wps:spPr bwMode="auto">
                          <a:xfrm>
                            <a:off x="1838325" y="402590"/>
                            <a:ext cx="56515" cy="57785"/>
                          </a:xfrm>
                          <a:prstGeom prst="rect">
                            <a:avLst/>
                          </a:prstGeom>
                          <a:solidFill>
                            <a:srgbClr val="8064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7" name="Rectangle 36"/>
                        <wps:cNvSpPr>
                          <a:spLocks noChangeArrowheads="1"/>
                        </wps:cNvSpPr>
                        <wps:spPr bwMode="auto">
                          <a:xfrm>
                            <a:off x="1912620" y="370840"/>
                            <a:ext cx="48450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4"/>
                                  <w:szCs w:val="14"/>
                                </w:rPr>
                                <w:t>New Markets</w:t>
                              </w:r>
                            </w:p>
                          </w:txbxContent>
                        </wps:txbx>
                        <wps:bodyPr rot="0" vert="horz" wrap="none" lIns="0" tIns="0" rIns="0" bIns="0" anchor="t" anchorCtr="0" upright="1">
                          <a:spAutoFit/>
                        </wps:bodyPr>
                      </wps:wsp>
                      <wps:wsp>
                        <wps:cNvPr id="1768" name="Rectangle 37"/>
                        <wps:cNvSpPr>
                          <a:spLocks noChangeArrowheads="1"/>
                        </wps:cNvSpPr>
                        <wps:spPr bwMode="auto">
                          <a:xfrm>
                            <a:off x="1838325" y="582295"/>
                            <a:ext cx="56515" cy="57785"/>
                          </a:xfrm>
                          <a:prstGeom prst="rect">
                            <a:avLst/>
                          </a:prstGeom>
                          <a:solidFill>
                            <a:srgbClr val="D996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9" name="Rectangle 38"/>
                        <wps:cNvSpPr>
                          <a:spLocks noChangeArrowheads="1"/>
                        </wps:cNvSpPr>
                        <wps:spPr bwMode="auto">
                          <a:xfrm>
                            <a:off x="1912620" y="550545"/>
                            <a:ext cx="6826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4"/>
                                  <w:szCs w:val="14"/>
                                </w:rPr>
                                <w:t>Intensive margins*</w:t>
                              </w:r>
                            </w:p>
                          </w:txbxContent>
                        </wps:txbx>
                        <wps:bodyPr rot="0" vert="horz" wrap="none" lIns="0" tIns="0" rIns="0" bIns="0" anchor="t" anchorCtr="0" upright="1">
                          <a:spAutoFit/>
                        </wps:bodyPr>
                      </wps:wsp>
                    </wpc:wpc>
                  </a:graphicData>
                </a:graphic>
              </wp:inline>
            </w:drawing>
          </mc:Choice>
          <mc:Fallback>
            <w:pict>
              <v:group id="Canvas 9" o:spid="_x0000_s1026" editas="canvas" style="width:231pt;height:169.05pt;mso-position-horizontal-relative:char;mso-position-vertical-relative:line" coordsize="29337,2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337;height:21469;visibility:visible;mso-wrap-style:square">
                  <v:fill o:detectmouseclick="t"/>
                  <v:path o:connecttype="none"/>
                </v:shape>
                <v:shape id="Freeform 10" o:spid="_x0000_s1028" style="position:absolute;left:5715;top:10223;width:17227;height:7823;visibility:visible;mso-wrap-style:square;v-text-anchor:top" coordsize="2713,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3bMQA&#10;AADdAAAADwAAAGRycy9kb3ducmV2LnhtbERPTWvCQBC9F/wPywje6qYNNTZ1DSVQ8NAKRi+9Ddlp&#10;EpqdTbMbE/99VxC8zeN9ziabTCvO1LvGsoKnZQSCuLS64UrB6fjxuAbhPLLG1jIpuJCDbDt72GCq&#10;7cgHOhe+EiGEXYoKau+7VEpX1mTQLW1HHLgf2xv0AfaV1D2OIdy08jmKVtJgw6Ghxo7ymsrfYjAK&#10;vuRLsj/iavjcf7/+2dOQx/5SKLWYT+9vIDxN/i6+uXc6zE/iBK7fhBP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5N2zEAAAA3QAAAA8AAAAAAAAAAAAAAAAAmAIAAGRycy9k&#10;b3ducmV2LnhtbFBLBQYAAAAABAAEAPUAAACJAwAAAAA=&#10;" path="m,l248,r,584l,584,,xm621,183r239,l860,584r-239,l621,183xm1233,238r248,l1481,584r-248,l1233,238xm1853,584r249,l2102,1232r-249,l1853,584xm2465,584r248,l2713,676r-248,l2465,584xe" fillcolor="#d99694" stroked="f">
                  <v:path arrowok="t" o:connecttype="custom" o:connectlocs="0,0;157480,0;157480,370840;0,370840;0,0;394335,116205;546100,116205;546100,370840;394335,370840;394335,116205;782955,151130;940435,151130;940435,370840;782955,370840;782955,151130;1176655,370840;1334770,370840;1334770,782320;1176655,782320;1176655,370840;1565275,370840;1722755,370840;1722755,429260;1565275,429260;1565275,370840" o:connectangles="0,0,0,0,0,0,0,0,0,0,0,0,0,0,0,0,0,0,0,0,0,0,0,0,0"/>
                  <o:lock v:ext="edit" verticies="t"/>
                </v:shape>
                <v:shape id="Freeform 11" o:spid="_x0000_s1029" style="position:absolute;left:5715;top:7969;width:21170;height:5962;visibility:visible;mso-wrap-style:square;v-text-anchor:top" coordsize="3334,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ZDy8UA&#10;AADdAAAADwAAAGRycy9kb3ducmV2LnhtbESPQU/DMAyF70j8h8hI3FjKKgrrllYIBOK6MYkdrcZr&#10;MxqnarKu/Ht8QOJm6z2/93lTz75XE43RBTZwv8hAETfBOm4N7D/f7p5AxYRssQ9MBn4oQl1dX22w&#10;tOHCW5p2qVUSwrFEA11KQ6l1bDryGBdhIBbtGEaPSdax1XbEi4T7Xi+zrNAeHUtDhwO9dNR8787e&#10;wNmd/H5aHabXfLkKhdt+vT8UuTG3N/PzGlSiOf2b/64/rOA/5oIr38gIuv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kPLxQAAAN0AAAAPAAAAAAAAAAAAAAAAAJgCAABkcnMv&#10;ZG93bnJldi54bWxQSwUGAAAAAAQABAD1AAAAigMAAAAA&#10;" path="m,255r248,l248,355,,355,,255xm621,456r239,l860,538r-239,l621,456xm1233,r248,l1481,593r-248,l1233,xm1853,885r249,l2102,939r-249,l1853,885xm2465,374r248,l2713,939r-248,l2465,374xm3086,775r248,l3334,939r-248,l3086,775xe" fillcolor="#8064a2" stroked="f">
                  <v:path arrowok="t" o:connecttype="custom" o:connectlocs="0,161925;157480,161925;157480,225425;0,225425;0,161925;394335,289560;546100,289560;546100,341630;394335,341630;394335,289560;782955,0;940435,0;940435,376555;782955,376555;782955,0;1176655,561975;1334770,561975;1334770,596265;1176655,596265;1176655,561975;1565275,237490;1722755,237490;1722755,596265;1565275,596265;1565275,237490;1959610,492125;2117090,492125;2117090,596265;1959610,596265;1959610,492125" o:connectangles="0,0,0,0,0,0,0,0,0,0,0,0,0,0,0,0,0,0,0,0,0,0,0,0,0,0,0,0,0,0"/>
                  <o:lock v:ext="edit" verticies="t"/>
                </v:shape>
                <v:shape id="Freeform 12" o:spid="_x0000_s1030" style="position:absolute;left:5715;top:4603;width:21170;height:8986;visibility:visible;mso-wrap-style:square;v-text-anchor:top" coordsize="3334,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33icUA&#10;AADdAAAADwAAAGRycy9kb3ducmV2LnhtbERPTWvCQBC9C/6HZYTe6iYtaE1dxVZaBA/S2EN7G7Jj&#10;Et2dDdmtRn+9KxS8zeN9znTeWSOO1PrasYJ0mIAgLpyuuVTwvf14fAHhA7JG45gUnMnDfNbvTTHT&#10;7sRfdMxDKWII+wwVVCE0mZS+qMiiH7qGOHI711oMEbal1C2eYrg18ilJRtJizbGhwobeKyoO+Z9V&#10;UO7N6ne51PYnf9ukyfqSXsKnUeph0C1eQQTqwl38717pOH/8PIHbN/E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7feJxQAAAN0AAAAPAAAAAAAAAAAAAAAAAJgCAABkcnMv&#10;ZG93bnJldi54bWxQSwUGAAAAAAQABAD1AAAAigMAAAAA&#10;" path="m,19r248,l248,785,,785,,19xm621,256r239,l860,986r-239,l621,256xm1233,r248,l1481,530r-248,l1233,xm1853,1406r249,l2102,1415r-249,l1853,1406xm2465,703r248,l2713,904r-248,l2465,703xm3086,1296r248,l3334,1305r-248,l3086,1296xe" fillcolor="#bab0c9" stroked="f">
                  <v:path arrowok="t" o:connecttype="custom" o:connectlocs="0,12065;157480,12065;157480,498475;0,498475;0,12065;394335,162560;546100,162560;546100,626110;394335,626110;394335,162560;782955,0;940435,0;940435,336550;782955,336550;782955,0;1176655,892810;1334770,892810;1334770,898525;1176655,898525;1176655,892810;1565275,446405;1722755,446405;1722755,574040;1565275,574040;1565275,446405;1959610,822960;2117090,822960;2117090,828675;1959610,828675;1959610,822960" o:connectangles="0,0,0,0,0,0,0,0,0,0,0,0,0,0,0,0,0,0,0,0,0,0,0,0,0,0,0,0,0,0"/>
                  <o:lock v:ext="edit" verticies="t"/>
                </v:shape>
                <v:rect id="Rectangle 13" o:spid="_x0000_s1031" style="position:absolute;left:4533;top:2781;width:58;height:16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N4/8UA&#10;AADdAAAADwAAAGRycy9kb3ducmV2LnhtbESPQWvDMAyF74P+B6PBbqvTENaS1S2jUNhtrFsPvWmx&#10;GqeN5WB7afbvp8NgNz30vqen9XbyvRoppi6wgcW8AEXcBNtxa+DzY/+4ApUyssU+MBn4oQTbzexu&#10;jbUNN36n8ZBbJSGcajTgch5qrVPjyGOah4FYducQPWaRsdU24k3Cfa/LonjSHjuWCw4H2jlqrodv&#10;LzWiq079uAzV5fr1tovlgsrhaMzD/fTyDCrTlP/Nf/SrFW5ZSX/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3j/xQAAAN0AAAAPAAAAAAAAAAAAAAAAAJgCAABkcnMv&#10;ZG93bnJldi54bWxQSwUGAAAAAAQABAD1AAAAigMAAAAA&#10;" fillcolor="#868686" strokecolor="#868686" strokeweight=".45pt">
                  <v:stroke joinstyle="bevel"/>
                </v:rect>
                <v:shape id="Freeform 14" o:spid="_x0000_s1032" style="position:absolute;left:4279;top:2749;width:280;height:16809;visibility:visible;mso-wrap-style:square;v-text-anchor:top" coordsize="44,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4B+8MA&#10;AADdAAAADwAAAGRycy9kb3ducmV2LnhtbERPTWsCMRC9C/6HMII3TSyisjWKWqQ9tIhW6HVIxt2l&#10;m8mSRN3++6ZQ8DaP9znLdecacaMQa88aJmMFgth4W3Op4fy5Hy1AxIRssfFMGn4ownrV7y2xsP7O&#10;R7qdUilyCMcCNVQptYWU0VTkMI59S5y5iw8OU4ahlDbgPYe7Rj4pNZMOa84NFba0q8h8n65Ow+y8&#10;uyxMHQ6v8xfz9fGuzPagjNbDQbd5BpGoSw/xv/vN5vnz6QT+vs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4B+8MAAADdAAAADwAAAAAAAAAAAAAAAACYAgAAZHJzL2Rv&#10;d25yZXYueG1sUEsFBgAAAAAEAAQA9QAAAIgDAAAAAA==&#10;" path="m,2637r44,l44,2647r-44,l,2637xm,2199r44,l44,2209r-44,l,2199xm,1761r44,l44,1771r-44,l,1761xm,1323r44,l44,1333r-44,l,1323xm,876r44,l44,885,,885r,-9xm,438r44,l44,448,,448,,438xm,l44,r,10l,10,,xe" fillcolor="#868686" strokecolor="#868686" strokeweight=".45pt">
                  <v:stroke joinstyle="bevel"/>
                  <v:path arrowok="t" o:connecttype="custom" o:connectlocs="0,1674495;27940,1674495;27940,1680845;0,1680845;0,1674495;0,1396365;27940,1396365;27940,1402715;0,1402715;0,1396365;0,1118235;27940,1118235;27940,1124585;0,1124585;0,1118235;0,840105;27940,840105;27940,846455;0,846455;0,840105;0,556260;27940,556260;27940,561975;0,561975;0,556260;0,278130;27940,278130;27940,284480;0,284480;0,278130;0,0;27940,0;27940,6350;0,6350;0,0" o:connectangles="0,0,0,0,0,0,0,0,0,0,0,0,0,0,0,0,0,0,0,0,0,0,0,0,0,0,0,0,0,0,0,0,0,0,0"/>
                  <o:lock v:ext="edit" verticies="t"/>
                </v:shape>
                <v:rect id="Rectangle 15" o:spid="_x0000_s1033" style="position:absolute;left:4559;top:13931;width:23482;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1DE8QA&#10;AADdAAAADwAAAGRycy9kb3ducmV2LnhtbESPQWsCMRCF7wX/QxjBW826LFVWo4gg9Fa07aG3cTNu&#10;VjeTJYnr+u9NodDbDO99b96sNoNtRU8+NI4VzKYZCOLK6YZrBV+f+9cFiBCRNbaOScGDAmzWo5cV&#10;ltrd+UD9MdYihXAoUYGJsSulDJUhi2HqOuKknZ23GNPqa6k93lO4bWWeZW/SYsPpgsGOdoaq6/Fm&#10;Uw1vip+2n7vicj197Hw+o7z7VmoyHrZLEJGG+G/+o9914uZFDr/fpBH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tQxPEAAAA3QAAAA8AAAAAAAAAAAAAAAAAmAIAAGRycy9k&#10;b3ducmV2LnhtbFBLBQYAAAAABAAEAPUAAACJAwAAAAA=&#10;" fillcolor="#868686" strokecolor="#868686" strokeweight=".45pt">
                  <v:stroke joinstyle="bevel"/>
                </v:rect>
                <v:shape id="Freeform 16" o:spid="_x0000_s1034" style="position:absolute;left:4533;top:13963;width:23534;height:292;visibility:visible;mso-wrap-style:square;v-text-anchor:top" coordsize="370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TqxsQA&#10;AADdAAAADwAAAGRycy9kb3ducmV2LnhtbERPS2vCQBC+F/wPywhepG7UPjS6iooFob00ae9Ddkyi&#10;2dmwu2r677sFobf5+J6zXHemEVdyvrasYDxKQBAXVtdcKvjK3x5nIHxA1thYJgU/5GG96j0sMdX2&#10;xp90zUIpYgj7FBVUIbSplL6oyKAf2ZY4ckfrDIYIXSm1w1sMN42cJMmLNFhzbKiwpV1FxTm7GAWn&#10;512W5dt9N/8eTz+2Z+3oMHxXatDvNgsQgbrwL767DzrOf32awt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6sbEAAAA3QAAAA8AAAAAAAAAAAAAAAAAmAIAAGRycy9k&#10;b3ducmV2LnhtbFBLBQYAAAAABAAEAPUAAACJAwAAAAA=&#10;" path="m9,r,46l,46,,,9,xm621,r,46l612,46,612,r9,xm1241,r,46l1232,46r,-46l1241,xm1853,r,46l1844,46r,-46l1853,xm2474,r,46l2465,46r,-46l2474,xm3095,r,46l3086,46r,-46l3095,xm3706,r,46l3698,46r,-46l3706,xe" fillcolor="#868686" strokecolor="#868686" strokeweight=".45pt">
                  <v:stroke joinstyle="bevel"/>
                  <v:path arrowok="t" o:connecttype="custom" o:connectlocs="5715,0;5715,29210;0,29210;0,0;5715,0;394335,0;394335,29210;388620,29210;388620,0;394335,0;788035,0;788035,29210;782320,29210;782320,0;788035,0;1176655,0;1176655,29210;1170940,29210;1170940,0;1176655,0;1570990,0;1570990,29210;1565275,29210;1565275,0;1570990,0;1965325,0;1965325,29210;1959610,29210;1959610,0;1965325,0;2353310,0;2353310,29210;2348230,29210;2348230,0;2353310,0" o:connectangles="0,0,0,0,0,0,0,0,0,0,0,0,0,0,0,0,0,0,0,0,0,0,0,0,0,0,0,0,0,0,0,0,0,0,0"/>
                  <o:lock v:ext="edit" verticies="t"/>
                </v:shape>
                <v:rect id="Rectangle 17" o:spid="_x0000_s1035" style="position:absolute;left:1905;top:18948;width:273;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OZ8AA&#10;AADdAAAADwAAAGRycy9kb3ducmV2LnhtbERP24rCMBB9F/yHMIJvmiqi0jWKCIIuvlj3A4ZmesFk&#10;UpKs7f79ZmHBtzmc6+wOgzXiRT60jhUs5hkI4tLplmsFX4/zbAsiRGSNxjEp+KEAh/14tMNcu57v&#10;9CpiLVIIhxwVNDF2uZShbMhimLuOOHGV8xZjgr6W2mOfwq2RyyxbS4stp4YGOzo1VD6Lb6tAPopz&#10;vy2Mz9znsrqZ6+VekVNqOhmOHyAiDfEt/ndfdJq/Wa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XOZ8AAAADdAAAADwAAAAAAAAAAAAAAAACYAgAAZHJzL2Rvd25y&#10;ZXYueG1sUEsFBgAAAAAEAAQA9QAAAIUDAAAAAA==&#10;" filled="f" stroked="f">
                  <v:textbox style="mso-fit-shape-to-text:t" inset="0,0,0,0">
                    <w:txbxContent>
                      <w:p w:rsidR="00FE3E5A" w:rsidRDefault="00FE3E5A" w:rsidP="00A31296">
                        <w:r>
                          <w:rPr>
                            <w:rFonts w:ascii="Calibri" w:hAnsi="Calibri" w:cs="Calibri"/>
                            <w:color w:val="000000"/>
                            <w:sz w:val="14"/>
                            <w:szCs w:val="14"/>
                          </w:rPr>
                          <w:t>-</w:t>
                        </w:r>
                      </w:p>
                    </w:txbxContent>
                  </v:textbox>
                </v:rect>
                <v:rect id="Rectangle 18" o:spid="_x0000_s1036" style="position:absolute;left:2190;top:18948;width:153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r/MEA&#10;AADdAAAADwAAAGRycy9kb3ducmV2LnhtbERP22oCMRB9L/gPYQTfalaxKqtRpCDY4ourHzBsZi+Y&#10;TJYkdbd/3xQE3+ZwrrPdD9aIB/nQOlYwm2YgiEunW64V3K7H9zWIEJE1Gsek4JcC7Hejty3m2vV8&#10;oUcRa5FCOOSooImxy6UMZUMWw9R1xImrnLcYE/S11B77FG6NnGfZUlpsOTU02NFnQ+W9+LEK5LU4&#10;9uvC+Mx9z6uz+TpdKnJKTcbDYQMi0hBf4qf7pNP81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5a/zBAAAA3QAAAA8AAAAAAAAAAAAAAAAAmAIAAGRycy9kb3du&#10;cmV2LnhtbFBLBQYAAAAABAAEAPUAAACGAwAAAAA=&#10;" filled="f" stroked="f">
                  <v:textbox style="mso-fit-shape-to-text:t" inset="0,0,0,0">
                    <w:txbxContent>
                      <w:p w:rsidR="00FE3E5A" w:rsidRDefault="00FE3E5A" w:rsidP="00A31296">
                        <w:r>
                          <w:rPr>
                            <w:rFonts w:ascii="Calibri" w:hAnsi="Calibri" w:cs="Calibri"/>
                            <w:color w:val="000000"/>
                            <w:sz w:val="14"/>
                            <w:szCs w:val="14"/>
                          </w:rPr>
                          <w:t>20%</w:t>
                        </w:r>
                      </w:p>
                    </w:txbxContent>
                  </v:textbox>
                </v:rect>
                <v:rect id="Rectangle 19" o:spid="_x0000_s1037" style="position:absolute;left:1905;top:16154;width:273;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1i8AA&#10;AADdAAAADwAAAGRycy9kb3ducmV2LnhtbERP24rCMBB9F/yHMMK+aaqIK12jiCCo+GLdDxia6QWT&#10;SUmytvv3G0HYtzmc62x2gzXiST60jhXMZxkI4tLplmsF3/fjdA0iRGSNxjEp+KUAu+14tMFcu55v&#10;9CxiLVIIhxwVNDF2uZShbMhimLmOOHGV8xZjgr6W2mOfwq2RiyxbSYstp4YGOzo0VD6KH6tA3otj&#10;vy6Mz9xlUV3N+XSryCn1MRn2XyAiDfFf/HafdJr/u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v1i8AAAADdAAAADwAAAAAAAAAAAAAAAACYAgAAZHJzL2Rvd25y&#10;ZXYueG1sUEsFBgAAAAAEAAQA9QAAAIUDAAAAAA==&#10;" filled="f" stroked="f">
                  <v:textbox style="mso-fit-shape-to-text:t" inset="0,0,0,0">
                    <w:txbxContent>
                      <w:p w:rsidR="00FE3E5A" w:rsidRDefault="00FE3E5A" w:rsidP="00A31296">
                        <w:r>
                          <w:rPr>
                            <w:rFonts w:ascii="Calibri" w:hAnsi="Calibri" w:cs="Calibri"/>
                            <w:color w:val="000000"/>
                            <w:sz w:val="14"/>
                            <w:szCs w:val="14"/>
                          </w:rPr>
                          <w:t>-</w:t>
                        </w:r>
                      </w:p>
                    </w:txbxContent>
                  </v:textbox>
                </v:rect>
                <v:rect id="Rectangle 20" o:spid="_x0000_s1038" style="position:absolute;left:2190;top:16154;width:153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7IsAA&#10;AADdAAAADwAAAGRycy9kb3ducmV2LnhtbERP24rCMBB9F/yHMIJvmiroSjWKCIK7+GL1A4ZmesFk&#10;UpJou3+/WVjYtzmc6+wOgzXiTT60jhUs5hkI4tLplmsFj/t5tgERIrJG45gUfFOAw3482mGuXc83&#10;ehexFimEQ44Kmhi7XMpQNmQxzF1HnLjKeYsxQV9L7bFP4dbIZZatpcWWU0ODHZ0aKp/FyyqQ9+Lc&#10;bwrjM/e1rK7m83KryCk1nQzHLYhIQ/wX/7kvOs3/WC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v7IsAAAADdAAAADwAAAAAAAAAAAAAAAACYAgAAZHJzL2Rvd25y&#10;ZXYueG1sUEsFBgAAAAAEAAQA9QAAAIUDAAAAAA==&#10;" filled="f" stroked="f">
                  <v:textbox style="mso-fit-shape-to-text:t" inset="0,0,0,0">
                    <w:txbxContent>
                      <w:p w:rsidR="00FE3E5A" w:rsidRDefault="00FE3E5A" w:rsidP="00A31296">
                        <w:r>
                          <w:rPr>
                            <w:rFonts w:ascii="Calibri" w:hAnsi="Calibri" w:cs="Calibri"/>
                            <w:color w:val="000000"/>
                            <w:sz w:val="14"/>
                            <w:szCs w:val="14"/>
                          </w:rPr>
                          <w:t>10%</w:t>
                        </w:r>
                      </w:p>
                    </w:txbxContent>
                  </v:textbox>
                </v:rect>
                <v:rect id="Rectangle 21" o:spid="_x0000_s1039" style="position:absolute;left:2609;top:13360;width:1093;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lVcAA&#10;AADdAAAADwAAAGRycy9kb3ducmV2LnhtbERP22oCMRB9F/yHMIJvmnXBVlajiCDY0hdXP2DYzF4w&#10;mSxJdLd/3xQKfZvDuc7uMFojXuRD51jBapmBIK6c7rhRcL+dFxsQISJrNI5JwTcFOOynkx0W2g18&#10;pVcZG5FCOBSooI2xL6QMVUsWw9L1xImrnbcYE/SN1B6HFG6NzLPsTVrsODW02NOppepRPq0CeSvP&#10;w6Y0PnOfef1lPi7XmpxS89l43IKINMZ/8Z/7otP89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llVcAAAADdAAAADwAAAAAAAAAAAAAAAACYAgAAZHJzL2Rvd25y&#10;ZXYueG1sUEsFBgAAAAAEAAQA9QAAAIUDAAAAAA==&#10;" filled="f" stroked="f">
                  <v:textbox style="mso-fit-shape-to-text:t" inset="0,0,0,0">
                    <w:txbxContent>
                      <w:p w:rsidR="00FE3E5A" w:rsidRDefault="00FE3E5A" w:rsidP="00A31296">
                        <w:r>
                          <w:rPr>
                            <w:rFonts w:ascii="Calibri" w:hAnsi="Calibri" w:cs="Calibri"/>
                            <w:color w:val="000000"/>
                            <w:sz w:val="14"/>
                            <w:szCs w:val="14"/>
                          </w:rPr>
                          <w:t>0%</w:t>
                        </w:r>
                      </w:p>
                    </w:txbxContent>
                  </v:textbox>
                </v:rect>
                <v:rect id="Rectangle 22" o:spid="_x0000_s1040" style="position:absolute;left:2159;top:10566;width:153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AzsEA&#10;AADdAAAADwAAAGRycy9kb3ducmV2LnhtbERP22oCMRB9L/gPYQTfalalKqtRpCDY4ourHzBsZi+Y&#10;TJYkdbd/3xQE3+ZwrrPdD9aIB/nQOlYwm2YgiEunW64V3K7H9zWIEJE1Gsek4JcC7Hejty3m2vV8&#10;oUcRa5FCOOSooImxy6UMZUMWw9R1xImrnLcYE/S11B77FG6NnGfZUlpsOTU02NFnQ+W9+LEK5LU4&#10;9uvC+Mx9z6uz+TpdKnJKTcbDYQMi0hBf4qf7pNP81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FwM7BAAAA3QAAAA8AAAAAAAAAAAAAAAAAmAIAAGRycy9kb3du&#10;cmV2LnhtbFBLBQYAAAAABAAEAPUAAACGAwAAAAA=&#10;" filled="f" stroked="f">
                  <v:textbox style="mso-fit-shape-to-text:t" inset="0,0,0,0">
                    <w:txbxContent>
                      <w:p w:rsidR="00FE3E5A" w:rsidRDefault="00FE3E5A" w:rsidP="00A31296">
                        <w:r>
                          <w:rPr>
                            <w:rFonts w:ascii="Calibri" w:hAnsi="Calibri" w:cs="Calibri"/>
                            <w:color w:val="000000"/>
                            <w:sz w:val="14"/>
                            <w:szCs w:val="14"/>
                          </w:rPr>
                          <w:t>10%</w:t>
                        </w:r>
                      </w:p>
                    </w:txbxContent>
                  </v:textbox>
                </v:rect>
                <v:rect id="Rectangle 23" o:spid="_x0000_s1041" style="position:absolute;left:2159;top:7772;width:153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YusEA&#10;AADdAAAADwAAAGRycy9kb3ducmV2LnhtbERP22oCMRB9L/gPYQTfalaxKqtRpCDY4ourHzBsZi+Y&#10;TJYkdbd/3xQE3+ZwrrPdD9aIB/nQOlYwm2YgiEunW64V3K7H9zWIEJE1Gsek4JcC7Hejty3m2vV8&#10;oUcRa5FCOOSooImxy6UMZUMWw9R1xImrnLcYE/S11B77FG6NnGfZUlpsOTU02NFnQ+W9+LEK5LU4&#10;9uvC+Mx9z6uz+TpdKnJKTcbDYQMi0hBf4qf7pNP81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sWLrBAAAA3QAAAA8AAAAAAAAAAAAAAAAAmAIAAGRycy9kb3du&#10;cmV2LnhtbFBLBQYAAAAABAAEAPUAAACGAwAAAAA=&#10;" filled="f" stroked="f">
                  <v:textbox style="mso-fit-shape-to-text:t" inset="0,0,0,0">
                    <w:txbxContent>
                      <w:p w:rsidR="00FE3E5A" w:rsidRDefault="00FE3E5A" w:rsidP="00A31296">
                        <w:r>
                          <w:rPr>
                            <w:rFonts w:ascii="Calibri" w:hAnsi="Calibri" w:cs="Calibri"/>
                            <w:color w:val="000000"/>
                            <w:sz w:val="14"/>
                            <w:szCs w:val="14"/>
                          </w:rPr>
                          <w:t>20%</w:t>
                        </w:r>
                      </w:p>
                    </w:txbxContent>
                  </v:textbox>
                </v:rect>
                <v:rect id="Rectangle 24" o:spid="_x0000_s1042" style="position:absolute;left:2159;top:4978;width:153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9IcAA&#10;AADdAAAADwAAAGRycy9kb3ducmV2LnhtbERP24rCMBB9F/yHMIJvmip4oWsUEQRdfLHuBwzN9ILJ&#10;pCRZ2/37zcKCb3M419kdBmvEi3xoHStYzDMQxKXTLdcKvh7n2RZEiMgajWNS8EMBDvvxaIe5dj3f&#10;6VXEWqQQDjkqaGLscilD2ZDFMHcdceIq5y3GBH0ttcc+hVsjl1m2lhZbTg0NdnRqqHwW31aBfBTn&#10;flsYn7nPZXUz18u9IqfUdDIcP0BEGuJb/O++6DR/s1rB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D9IcAAAADdAAAADwAAAAAAAAAAAAAAAACYAgAAZHJzL2Rvd25y&#10;ZXYueG1sUEsFBgAAAAAEAAQA9QAAAIUDAAAAAA==&#10;" filled="f" stroked="f">
                  <v:textbox style="mso-fit-shape-to-text:t" inset="0,0,0,0">
                    <w:txbxContent>
                      <w:p w:rsidR="00FE3E5A" w:rsidRDefault="00FE3E5A" w:rsidP="00A31296">
                        <w:r>
                          <w:rPr>
                            <w:rFonts w:ascii="Calibri" w:hAnsi="Calibri" w:cs="Calibri"/>
                            <w:color w:val="000000"/>
                            <w:sz w:val="14"/>
                            <w:szCs w:val="14"/>
                          </w:rPr>
                          <w:t>30%</w:t>
                        </w:r>
                      </w:p>
                    </w:txbxContent>
                  </v:textbox>
                </v:rect>
                <v:rect id="Rectangle 25" o:spid="_x0000_s1043" style="position:absolute;left:2159;top:2184;width:153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jVsAA&#10;AADdAAAADwAAAGRycy9kb3ducmV2LnhtbERP24rCMBB9F/yHMMK+aaqgK12jiCCo+GLdDxia6QWT&#10;SUmytvv3G0HYtzmc62x2gzXiST60jhXMZxkI4tLplmsF3/fjdA0iRGSNxjEp+KUAu+14tMFcu55v&#10;9CxiLVIIhxwVNDF2uZShbMhimLmOOHGV8xZjgr6W2mOfwq2RiyxbSYstp4YGOzo0VD6KH6tA3otj&#10;vy6Mz9xlUV3N+XSryCn1MRn2XyAiDfFf/HafdJr/u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JjVsAAAADdAAAADwAAAAAAAAAAAAAAAACYAgAAZHJzL2Rvd25y&#10;ZXYueG1sUEsFBgAAAAAEAAQA9QAAAIUDAAAAAA==&#10;" filled="f" stroked="f">
                  <v:textbox style="mso-fit-shape-to-text:t" inset="0,0,0,0">
                    <w:txbxContent>
                      <w:p w:rsidR="00FE3E5A" w:rsidRDefault="00FE3E5A" w:rsidP="00A31296">
                        <w:r>
                          <w:rPr>
                            <w:rFonts w:ascii="Calibri" w:hAnsi="Calibri" w:cs="Calibri"/>
                            <w:color w:val="000000"/>
                            <w:sz w:val="14"/>
                            <w:szCs w:val="14"/>
                          </w:rPr>
                          <w:t>40%</w:t>
                        </w:r>
                      </w:p>
                    </w:txbxContent>
                  </v:textbox>
                </v:rect>
                <v:rect id="Rectangle 26" o:spid="_x0000_s1044" style="position:absolute;left:5753;top:14566;width:149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GzcAA&#10;AADdAAAADwAAAGRycy9kb3ducmV2LnhtbERP24rCMBB9F/yHMIJvmiq4StcoIgi6+GLdDxia6QWT&#10;SUmytvv3ZkHYtzmc62z3gzXiST60jhUs5hkI4tLplmsF3/fTbAMiRGSNxjEp+KUA+914tMVcu55v&#10;9CxiLVIIhxwVNDF2uZShbMhimLuOOHGV8xZjgr6W2mOfwq2Ryyz7kBZbTg0NdnRsqHwUP1aBvBen&#10;flMYn7mvZXU1l/OtIqfUdDIcPkFEGuK/+O0+6zR/v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7GzcAAAADdAAAADwAAAAAAAAAAAAAAAACYAgAAZHJzL2Rvd25y&#10;ZXYueG1sUEsFBgAAAAAEAAQA9QAAAIUDAAAAAA==&#10;" filled="f" stroked="f">
                  <v:textbox style="mso-fit-shape-to-text:t" inset="0,0,0,0">
                    <w:txbxContent>
                      <w:p w:rsidR="00FE3E5A" w:rsidRDefault="00FE3E5A" w:rsidP="00A31296">
                        <w:r>
                          <w:rPr>
                            <w:rFonts w:ascii="Calibri" w:hAnsi="Calibri" w:cs="Calibri"/>
                            <w:color w:val="000000"/>
                            <w:sz w:val="14"/>
                            <w:szCs w:val="14"/>
                          </w:rPr>
                          <w:t>Asia</w:t>
                        </w:r>
                      </w:p>
                    </w:txbxContent>
                  </v:textbox>
                </v:rect>
                <v:rect id="Rectangle 27" o:spid="_x0000_s1045" style="position:absolute;left:9728;top:14566;width:142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FSv8QA&#10;AADdAAAADwAAAGRycy9kb3ducmV2LnhtbESP3WoCMRCF74W+Q5hC72q2gla2RpGCoMUb1z7AsJn9&#10;wWSyJKm7ffvORcG7Gc6Zc77Z7Cbv1J1i6gMbeJsXoIjrYHtuDXxfD69rUCkjW3SBycAvJdhtn2Yb&#10;LG0Y+UL3KrdKQjiVaKDLeSi1TnVHHtM8DMSiNSF6zLLGVtuIo4R7pxdFsdIee5aGDgf67Ki+VT/e&#10;gL5Wh3FduViEr0VzdqfjpaFgzMvztP8AlWnKD/P/9dEK/vt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r/EAAAA3QAAAA8AAAAAAAAAAAAAAAAAmAIAAGRycy9k&#10;b3ducmV2LnhtbFBLBQYAAAAABAAEAPUAAACJAwAAAAA=&#10;" filled="f" stroked="f">
                  <v:textbox style="mso-fit-shape-to-text:t" inset="0,0,0,0">
                    <w:txbxContent>
                      <w:p w:rsidR="00FE3E5A" w:rsidRDefault="00FE3E5A" w:rsidP="00A31296">
                        <w:r>
                          <w:rPr>
                            <w:rFonts w:ascii="Calibri" w:hAnsi="Calibri" w:cs="Calibri"/>
                            <w:color w:val="000000"/>
                            <w:sz w:val="14"/>
                            <w:szCs w:val="14"/>
                          </w:rPr>
                          <w:t>ECA</w:t>
                        </w:r>
                      </w:p>
                    </w:txbxContent>
                  </v:textbox>
                </v:rect>
                <v:rect id="Rectangle 28" o:spid="_x0000_s1046" style="position:absolute;left:13195;top:14566;width:228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3JMEA&#10;AADdAAAADwAAAGRycy9kb3ducmV2LnhtbERP22oCMRB9L/gPYQTfalbBqqtRpCDY4ourHzBsZi+Y&#10;TJYkdbd/3xQE3+ZwrrPdD9aIB/nQOlYwm2YgiEunW64V3K7H9xWIEJE1Gsek4JcC7Hejty3m2vV8&#10;oUcRa5FCOOSooImxy6UMZUMWw9R1xImrnLcYE/S11B77FG6NnGfZh7TYcmposKPPhsp78WMVyGtx&#10;7FeF8Zn7nldn83W6VOSUmoyHwwZEpCG+xE/3Saf5y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t9yTBAAAA3QAAAA8AAAAAAAAAAAAAAAAAmAIAAGRycy9kb3du&#10;cmV2LnhtbFBLBQYAAAAABAAEAPUAAACGAwAAAAA=&#10;" filled="f" stroked="f">
                  <v:textbox style="mso-fit-shape-to-text:t" inset="0,0,0,0">
                    <w:txbxContent>
                      <w:p w:rsidR="00FE3E5A" w:rsidRDefault="00FE3E5A" w:rsidP="00A31296">
                        <w:r>
                          <w:rPr>
                            <w:rFonts w:ascii="Calibri" w:hAnsi="Calibri" w:cs="Calibri"/>
                            <w:color w:val="000000"/>
                            <w:sz w:val="14"/>
                            <w:szCs w:val="14"/>
                          </w:rPr>
                          <w:t>MENA</w:t>
                        </w:r>
                      </w:p>
                    </w:txbxContent>
                  </v:textbox>
                </v:rect>
                <v:rect id="Rectangle 29" o:spid="_x0000_s1047" style="position:absolute;left:17786;top:14566;width:101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uUBMQA&#10;AADdAAAADwAAAGRycy9kb3ducmV2LnhtbESPT2sCMRDF70K/Q5hCb5qtB5XVKKUg2NKLqx9g2Mz+&#10;oclkSVJ3/fbOoeBthvfmvd/sDpN36kYx9YENvC8KUMR1sD23Bq6X43wDKmVkiy4wGbhTgsP+ZbbD&#10;0oaRz3SrcqskhFOJBrqch1LrVHfkMS3CQCxaE6LHLGtstY04Srh3elkUK+2xZ2nocKDPjurf6s8b&#10;0JfqOG4qF4vwvWx+3Nfp3FAw5u11+tiCyjTlp/n/+mQFf70S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lATEAAAA3QAAAA8AAAAAAAAAAAAAAAAAmAIAAGRycy9k&#10;b3ducmV2LnhtbFBLBQYAAAAABAAEAPUAAACJAwAAAAA=&#10;" filled="f" stroked="f">
                  <v:textbox style="mso-fit-shape-to-text:t" inset="0,0,0,0">
                    <w:txbxContent>
                      <w:p w:rsidR="00FE3E5A" w:rsidRDefault="00FE3E5A" w:rsidP="00A31296">
                        <w:r>
                          <w:rPr>
                            <w:rFonts w:ascii="Calibri" w:hAnsi="Calibri" w:cs="Calibri"/>
                            <w:color w:val="000000"/>
                            <w:sz w:val="14"/>
                            <w:szCs w:val="14"/>
                          </w:rPr>
                          <w:t>EU</w:t>
                        </w:r>
                      </w:p>
                    </w:txbxContent>
                  </v:textbox>
                </v:rect>
                <v:rect id="Rectangle 30" o:spid="_x0000_s1048" style="position:absolute;left:21482;top:14566;width:149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xn8AA&#10;AADdAAAADwAAAGRycy9kb3ducmV2LnhtbERPzYrCMBC+C/sOYQRvNtWDK12jLIKg4sW6DzA00x82&#10;mZQka+vbG0HY23x8v7PZjdaIO/nQOVawyHIQxJXTHTcKfm6H+RpEiMgajWNS8KAAu+3HZIOFdgNf&#10;6V7GRqQQDgUqaGPsCylD1ZLFkLmeOHG18xZjgr6R2uOQwq2RyzxfSYsdp4YWe9q3VP2Wf1aBvJWH&#10;YV0an7vzsr6Y0/Fak1NqNh2/v0BEGuO/+O0+6jT/c7W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cxn8AAAADdAAAADwAAAAAAAAAAAAAAAACYAgAAZHJzL2Rvd25y&#10;ZXYueG1sUEsFBgAAAAAEAAQA9QAAAIUDAAAAAA==&#10;" filled="f" stroked="f">
                  <v:textbox style="mso-fit-shape-to-text:t" inset="0,0,0,0">
                    <w:txbxContent>
                      <w:p w:rsidR="00FE3E5A" w:rsidRDefault="00FE3E5A" w:rsidP="00A31296">
                        <w:r>
                          <w:rPr>
                            <w:rFonts w:ascii="Calibri" w:hAnsi="Calibri" w:cs="Calibri"/>
                            <w:color w:val="000000"/>
                            <w:sz w:val="14"/>
                            <w:szCs w:val="14"/>
                          </w:rPr>
                          <w:t>USA</w:t>
                        </w:r>
                      </w:p>
                    </w:txbxContent>
                  </v:textbox>
                </v:rect>
                <v:rect id="Rectangle 31" o:spid="_x0000_s1049" style="position:absolute;left:25228;top:14566;width:174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v6MAA&#10;AADdAAAADwAAAGRycy9kb3ducmV2LnhtbERPzYrCMBC+C/sOYYS9aWoPrlSjiCC44sXqAwzN9AeT&#10;SUmytvv2ZkHY23x8v7PZjdaIJ/nQOVawmGcgiCunO24U3G/H2QpEiMgajWNS8EsBdtuPyQYL7Qa+&#10;0rOMjUghHApU0MbYF1KGqiWLYe564sTVzluMCfpGao9DCrdG5lm2lBY7Tg0t9nRoqXqUP1aBvJXH&#10;YVUan7lzXl/M9+lak1Pqczru1yAijfFf/HafdJr/tcz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Wv6MAAAADdAAAADwAAAAAAAAAAAAAAAACYAgAAZHJzL2Rvd25y&#10;ZXYueG1sUEsFBgAAAAAEAAQA9QAAAIUDAAAAAA==&#10;" filled="f" stroked="f">
                  <v:textbox style="mso-fit-shape-to-text:t" inset="0,0,0,0">
                    <w:txbxContent>
                      <w:p w:rsidR="00FE3E5A" w:rsidRDefault="00FE3E5A" w:rsidP="00A31296">
                        <w:r>
                          <w:rPr>
                            <w:rFonts w:ascii="Calibri" w:hAnsi="Calibri" w:cs="Calibri"/>
                            <w:color w:val="000000"/>
                            <w:sz w:val="14"/>
                            <w:szCs w:val="14"/>
                          </w:rPr>
                          <w:t>RoW</w:t>
                        </w:r>
                      </w:p>
                    </w:txbxContent>
                  </v:textbox>
                </v:rect>
                <v:rect id="Rectangle 32" o:spid="_x0000_s1050" style="position:absolute;left:1409;top:14554;width:1226;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kKc8AA&#10;AADdAAAADwAAAGRycy9kb3ducmV2LnhtbERP24rCMBB9F/yHMMK+aaqCK12jiCCo+GLdDxia6QWT&#10;SUmytvv3G0HYtzmc62x2gzXiST60jhXMZxkI4tLplmsF3/fjdA0iRGSNxjEp+KUAu+14tMFcu55v&#10;9CxiLVIIhxwVNDF2uZShbMhimLmOOHGV8xZjgr6W2mOfwq2RiyxbSYstp4YGOzo0VD6KH6tA3otj&#10;vy6Mz9xlUV3N+XSryCn1MRn2XyAiDfFf/HafdJr/u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2kKc8AAAADdAAAADwAAAAAAAAAAAAAAAACYAgAAZHJzL2Rvd25y&#10;ZXYueG1sUEsFBgAAAAAEAAQA9QAAAIUDAAAAAA==&#10;" filled="f" stroked="f">
                  <v:textbox style="mso-fit-shape-to-text:t" inset="0,0,0,0">
                    <w:txbxContent>
                      <w:p w:rsidR="00FE3E5A" w:rsidRDefault="00FE3E5A" w:rsidP="00A31296">
                        <w:r>
                          <w:rPr>
                            <w:rFonts w:ascii="Calibri" w:hAnsi="Calibri" w:cs="Calibri"/>
                            <w:b/>
                            <w:bCs/>
                            <w:color w:val="000000"/>
                            <w:sz w:val="2"/>
                            <w:szCs w:val="2"/>
                          </w:rPr>
                          <w:t xml:space="preserve">Share of export growth </w:t>
                        </w:r>
                      </w:p>
                    </w:txbxContent>
                  </v:textbox>
                </v:rect>
                <v:rect id="Rectangle 33" o:spid="_x0000_s1051" style="position:absolute;left:18383;top:2228;width:56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MAMQA&#10;AADdAAAADwAAAGRycy9kb3ducmV2LnhtbERPTWvCQBC9C/6HZYTe6iYiKtFVqlBsSxFNe/A4ZMds&#10;aHY2zW5j+u+7QsHbPN7nrDa9rUVHra8cK0jHCQjiwumKSwWfH8+PCxA+IGusHZOCX/KwWQ8HK8y0&#10;u/KJujyUIoawz1CBCaHJpPSFIYt+7BriyF1cazFE2JZSt3iN4baWkySZSYsVxwaDDe0MFV/5j1Xw&#10;7VN7LJP07fVy3ur3DvcHs2OlHkb90xJEoD7cxf/uFx3nz2dTuH0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NjADEAAAA3QAAAA8AAAAAAAAAAAAAAAAAmAIAAGRycy9k&#10;b3ducmV2LnhtbFBLBQYAAAAABAAEAPUAAACJAwAAAAA=&#10;" fillcolor="#bab0c9" stroked="f"/>
                <v:rect id="Rectangle 34" o:spid="_x0000_s1052" style="position:absolute;left:19126;top:1905;width:5048;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w3nMAA&#10;AADdAAAADwAAAGRycy9kb3ducmV2LnhtbERP24rCMBB9F/yHMMK+aaqgK12jiCCo+GLdDxia6QWT&#10;SUmytvv3G0HYtzmc62x2gzXiST60jhXMZxkI4tLplmsF3/fjdA0iRGSNxjEp+KUAu+14tMFcu55v&#10;9CxiLVIIhxwVNDF2uZShbMhimLmOOHGV8xZjgr6W2mOfwq2RiyxbSYstp4YGOzo0VD6KH6tA3otj&#10;vy6Mz9xlUV3N+XSryCn1MRn2XyAiDfFf/HafdJr/u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8w3nMAAAADdAAAADwAAAAAAAAAAAAAAAACYAgAAZHJzL2Rvd25y&#10;ZXYueG1sUEsFBgAAAAAEAAQA9QAAAIUDAAAAAA==&#10;" filled="f" stroked="f">
                  <v:textbox style="mso-fit-shape-to-text:t" inset="0,0,0,0">
                    <w:txbxContent>
                      <w:p w:rsidR="00FE3E5A" w:rsidRDefault="00FE3E5A" w:rsidP="00A31296">
                        <w:r>
                          <w:rPr>
                            <w:rFonts w:ascii="Calibri" w:hAnsi="Calibri" w:cs="Calibri"/>
                            <w:color w:val="000000"/>
                            <w:sz w:val="14"/>
                            <w:szCs w:val="14"/>
                          </w:rPr>
                          <w:t>New Products</w:t>
                        </w:r>
                      </w:p>
                    </w:txbxContent>
                  </v:textbox>
                </v:rect>
                <v:rect id="Rectangle 35" o:spid="_x0000_s1053" style="position:absolute;left:18383;top:4025;width:565;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NMMQA&#10;AADdAAAADwAAAGRycy9kb3ducmV2LnhtbERPS4vCMBC+L/gfwgje1tTHdqUaRQRBcA8+CutxaGab&#10;ss2kNFHrvzcLC97m43vOYtXZWtyo9ZVjBaNhAoK4cLriUkF+3r7PQPiArLF2TAoe5GG17L0tMNPu&#10;zke6nUIpYgj7DBWYEJpMSl8YsuiHriGO3I9rLYYI21LqFu8x3NZynCSptFhxbDDY0MZQ8Xu6WgW7&#10;g7luL3nyMXmUh3H+vf+y6XSm1KDfrecgAnXhJf5373Sc/5mm8PdNPEE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DTDEAAAA3QAAAA8AAAAAAAAAAAAAAAAAmAIAAGRycy9k&#10;b3ducmV2LnhtbFBLBQYAAAAABAAEAPUAAACJAwAAAAA=&#10;" fillcolor="#8064a2" stroked="f"/>
                <v:rect id="Rectangle 36" o:spid="_x0000_s1054" style="position:absolute;left:19126;top:3708;width:484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McL8A&#10;AADdAAAADwAAAGRycy9kb3ducmV2LnhtbERPzYrCMBC+L/gOYQRva6oHla5RRBBUvFj3AYZm+oPJ&#10;pCTR1rc3wsLe5uP7nfV2sEY8yYfWsYLZNANBXDrdcq3g93b4XoEIEVmjcUwKXhRguxl9rTHXrucr&#10;PYtYixTCIUcFTYxdLmUoG7IYpq4jTlzlvMWYoK+l9tincGvkPMsW0mLLqaHBjvYNlffiYRXIW3Ho&#10;V4XxmTvPq4s5Ha8VOaUm42H3AyLSEP/Ff+6jTvOXiy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UgxwvwAAAN0AAAAPAAAAAAAAAAAAAAAAAJgCAABkcnMvZG93bnJl&#10;di54bWxQSwUGAAAAAAQABAD1AAAAhAMAAAAA&#10;" filled="f" stroked="f">
                  <v:textbox style="mso-fit-shape-to-text:t" inset="0,0,0,0">
                    <w:txbxContent>
                      <w:p w:rsidR="00FE3E5A" w:rsidRDefault="00FE3E5A" w:rsidP="00A31296">
                        <w:r>
                          <w:rPr>
                            <w:rFonts w:ascii="Calibri" w:hAnsi="Calibri" w:cs="Calibri"/>
                            <w:color w:val="000000"/>
                            <w:sz w:val="14"/>
                            <w:szCs w:val="14"/>
                          </w:rPr>
                          <w:t>New Markets</w:t>
                        </w:r>
                      </w:p>
                    </w:txbxContent>
                  </v:textbox>
                </v:rect>
                <v:rect id="Rectangle 37" o:spid="_x0000_s1055" style="position:absolute;left:18383;top:5822;width:565;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Px8cA&#10;AADdAAAADwAAAGRycy9kb3ducmV2LnhtbESP0WoCQQxF3wv9hyFCX0RnqmhldRQRCi1IseoHhJ24&#10;u7iTWXemuvbrzUOhbwn35t6TxarztbpSG6vAFl6HBhRxHlzFhYXj4X0wAxUTssM6MFm4U4TV8vlp&#10;gZkLN/6m6z4VSkI4ZmihTKnJtI55SR7jMDTEop1C6zHJ2hbatXiTcF/rkTFT7bFiaSixoU1J+Xn/&#10;4y2Mfi+fX+uzMf3J9lLcu814d3Bja1963XoOKlGX/s1/1x9O8N+mgivfyAh6+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kD8fHAAAA3QAAAA8AAAAAAAAAAAAAAAAAmAIAAGRy&#10;cy9kb3ducmV2LnhtbFBLBQYAAAAABAAEAPUAAACMAwAAAAA=&#10;" fillcolor="#d99694" stroked="f"/>
                <v:rect id="Rectangle 38" o:spid="_x0000_s1056" style="position:absolute;left:19126;top:5505;width:682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9mcAA&#10;AADdAAAADwAAAGRycy9kb3ducmV2LnhtbERPzYrCMBC+L/gOYQRva6oH161GEUFQ2Yt1H2Bopj+Y&#10;TEoSbX17IyzsbT6+31lvB2vEg3xoHSuYTTMQxKXTLdcKfq+HzyWIEJE1Gsek4EkBtpvRxxpz7Xq+&#10;0KOItUghHHJU0MTY5VKGsiGLYeo64sRVzluMCfpaao99CrdGzrNsIS22nBoa7GjfUHkr7laBvBaH&#10;flkYn7nzvPoxp+OlIqfUZDzsViAiDfFf/Oc+6jT/a/EN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E9mcAAAADdAAAADwAAAAAAAAAAAAAAAACYAgAAZHJzL2Rvd25y&#10;ZXYueG1sUEsFBgAAAAAEAAQA9QAAAIUDAAAAAA==&#10;" filled="f" stroked="f">
                  <v:textbox style="mso-fit-shape-to-text:t" inset="0,0,0,0">
                    <w:txbxContent>
                      <w:p w:rsidR="00FE3E5A" w:rsidRDefault="00FE3E5A" w:rsidP="00A31296">
                        <w:r>
                          <w:rPr>
                            <w:rFonts w:ascii="Calibri" w:hAnsi="Calibri" w:cs="Calibri"/>
                            <w:color w:val="000000"/>
                            <w:sz w:val="14"/>
                            <w:szCs w:val="14"/>
                          </w:rPr>
                          <w:t>Intensive margins*</w:t>
                        </w:r>
                      </w:p>
                    </w:txbxContent>
                  </v:textbox>
                </v:rect>
                <w10:anchorlock/>
              </v:group>
            </w:pict>
          </mc:Fallback>
        </mc:AlternateContent>
      </w:r>
      <w:r w:rsidRPr="00C6790D">
        <w:rPr>
          <w:rFonts w:ascii="Calibri" w:eastAsia="Times New Roman" w:hAnsi="Calibri" w:cs="Arial"/>
        </w:rPr>
        <w:t xml:space="preserve"> </w:t>
      </w:r>
      <w:r w:rsidRPr="00C6790D">
        <w:rPr>
          <w:rFonts w:ascii="Calibri" w:eastAsia="Times New Roman" w:hAnsi="Calibri" w:cs="Arial"/>
          <w:noProof/>
          <w:lang w:bidi="ar-SA"/>
        </w:rPr>
        <mc:AlternateContent>
          <mc:Choice Requires="wpc">
            <w:drawing>
              <wp:inline distT="0" distB="0" distL="0" distR="0" wp14:anchorId="358A4414" wp14:editId="146285EA">
                <wp:extent cx="2916555" cy="2093595"/>
                <wp:effectExtent l="0" t="0" r="0" b="1905"/>
                <wp:docPr id="1736" name="Canvas 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0" name="Freeform 42"/>
                        <wps:cNvSpPr>
                          <a:spLocks noEditPoints="1"/>
                        </wps:cNvSpPr>
                        <wps:spPr bwMode="auto">
                          <a:xfrm>
                            <a:off x="560705" y="422275"/>
                            <a:ext cx="1954530" cy="1163320"/>
                          </a:xfrm>
                          <a:custGeom>
                            <a:avLst/>
                            <a:gdLst>
                              <a:gd name="T0" fmla="*/ 0 w 3078"/>
                              <a:gd name="T1" fmla="*/ 921 h 1832"/>
                              <a:gd name="T2" fmla="*/ 148 w 3078"/>
                              <a:gd name="T3" fmla="*/ 921 h 1832"/>
                              <a:gd name="T4" fmla="*/ 148 w 3078"/>
                              <a:gd name="T5" fmla="*/ 931 h 1832"/>
                              <a:gd name="T6" fmla="*/ 0 w 3078"/>
                              <a:gd name="T7" fmla="*/ 931 h 1832"/>
                              <a:gd name="T8" fmla="*/ 0 w 3078"/>
                              <a:gd name="T9" fmla="*/ 921 h 1832"/>
                              <a:gd name="T10" fmla="*/ 367 w 3078"/>
                              <a:gd name="T11" fmla="*/ 0 h 1832"/>
                              <a:gd name="T12" fmla="*/ 516 w 3078"/>
                              <a:gd name="T13" fmla="*/ 0 h 1832"/>
                              <a:gd name="T14" fmla="*/ 516 w 3078"/>
                              <a:gd name="T15" fmla="*/ 931 h 1832"/>
                              <a:gd name="T16" fmla="*/ 367 w 3078"/>
                              <a:gd name="T17" fmla="*/ 931 h 1832"/>
                              <a:gd name="T18" fmla="*/ 367 w 3078"/>
                              <a:gd name="T19" fmla="*/ 0 h 1832"/>
                              <a:gd name="T20" fmla="*/ 734 w 3078"/>
                              <a:gd name="T21" fmla="*/ 743 h 1832"/>
                              <a:gd name="T22" fmla="*/ 883 w 3078"/>
                              <a:gd name="T23" fmla="*/ 743 h 1832"/>
                              <a:gd name="T24" fmla="*/ 883 w 3078"/>
                              <a:gd name="T25" fmla="*/ 931 h 1832"/>
                              <a:gd name="T26" fmla="*/ 734 w 3078"/>
                              <a:gd name="T27" fmla="*/ 931 h 1832"/>
                              <a:gd name="T28" fmla="*/ 734 w 3078"/>
                              <a:gd name="T29" fmla="*/ 743 h 1832"/>
                              <a:gd name="T30" fmla="*/ 1101 w 3078"/>
                              <a:gd name="T31" fmla="*/ 785 h 1832"/>
                              <a:gd name="T32" fmla="*/ 1250 w 3078"/>
                              <a:gd name="T33" fmla="*/ 785 h 1832"/>
                              <a:gd name="T34" fmla="*/ 1250 w 3078"/>
                              <a:gd name="T35" fmla="*/ 931 h 1832"/>
                              <a:gd name="T36" fmla="*/ 1101 w 3078"/>
                              <a:gd name="T37" fmla="*/ 931 h 1832"/>
                              <a:gd name="T38" fmla="*/ 1101 w 3078"/>
                              <a:gd name="T39" fmla="*/ 785 h 1832"/>
                              <a:gd name="T40" fmla="*/ 1469 w 3078"/>
                              <a:gd name="T41" fmla="*/ 931 h 1832"/>
                              <a:gd name="T42" fmla="*/ 1617 w 3078"/>
                              <a:gd name="T43" fmla="*/ 931 h 1832"/>
                              <a:gd name="T44" fmla="*/ 1617 w 3078"/>
                              <a:gd name="T45" fmla="*/ 1193 h 1832"/>
                              <a:gd name="T46" fmla="*/ 1469 w 3078"/>
                              <a:gd name="T47" fmla="*/ 1193 h 1832"/>
                              <a:gd name="T48" fmla="*/ 1469 w 3078"/>
                              <a:gd name="T49" fmla="*/ 931 h 1832"/>
                              <a:gd name="T50" fmla="*/ 1836 w 3078"/>
                              <a:gd name="T51" fmla="*/ 910 h 1832"/>
                              <a:gd name="T52" fmla="*/ 1985 w 3078"/>
                              <a:gd name="T53" fmla="*/ 910 h 1832"/>
                              <a:gd name="T54" fmla="*/ 1985 w 3078"/>
                              <a:gd name="T55" fmla="*/ 931 h 1832"/>
                              <a:gd name="T56" fmla="*/ 1836 w 3078"/>
                              <a:gd name="T57" fmla="*/ 931 h 1832"/>
                              <a:gd name="T58" fmla="*/ 1836 w 3078"/>
                              <a:gd name="T59" fmla="*/ 910 h 1832"/>
                              <a:gd name="T60" fmla="*/ 2203 w 3078"/>
                              <a:gd name="T61" fmla="*/ 931 h 1832"/>
                              <a:gd name="T62" fmla="*/ 2343 w 3078"/>
                              <a:gd name="T63" fmla="*/ 931 h 1832"/>
                              <a:gd name="T64" fmla="*/ 2343 w 3078"/>
                              <a:gd name="T65" fmla="*/ 1832 h 1832"/>
                              <a:gd name="T66" fmla="*/ 2203 w 3078"/>
                              <a:gd name="T67" fmla="*/ 1832 h 1832"/>
                              <a:gd name="T68" fmla="*/ 2203 w 3078"/>
                              <a:gd name="T69" fmla="*/ 931 h 1832"/>
                              <a:gd name="T70" fmla="*/ 2929 w 3078"/>
                              <a:gd name="T71" fmla="*/ 921 h 1832"/>
                              <a:gd name="T72" fmla="*/ 3078 w 3078"/>
                              <a:gd name="T73" fmla="*/ 921 h 1832"/>
                              <a:gd name="T74" fmla="*/ 3078 w 3078"/>
                              <a:gd name="T75" fmla="*/ 931 h 1832"/>
                              <a:gd name="T76" fmla="*/ 2929 w 3078"/>
                              <a:gd name="T77" fmla="*/ 931 h 1832"/>
                              <a:gd name="T78" fmla="*/ 2929 w 3078"/>
                              <a:gd name="T79" fmla="*/ 921 h 18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78" h="1832">
                                <a:moveTo>
                                  <a:pt x="0" y="921"/>
                                </a:moveTo>
                                <a:lnTo>
                                  <a:pt x="148" y="921"/>
                                </a:lnTo>
                                <a:lnTo>
                                  <a:pt x="148" y="931"/>
                                </a:lnTo>
                                <a:lnTo>
                                  <a:pt x="0" y="931"/>
                                </a:lnTo>
                                <a:lnTo>
                                  <a:pt x="0" y="921"/>
                                </a:lnTo>
                                <a:close/>
                                <a:moveTo>
                                  <a:pt x="367" y="0"/>
                                </a:moveTo>
                                <a:lnTo>
                                  <a:pt x="516" y="0"/>
                                </a:lnTo>
                                <a:lnTo>
                                  <a:pt x="516" y="931"/>
                                </a:lnTo>
                                <a:lnTo>
                                  <a:pt x="367" y="931"/>
                                </a:lnTo>
                                <a:lnTo>
                                  <a:pt x="367" y="0"/>
                                </a:lnTo>
                                <a:close/>
                                <a:moveTo>
                                  <a:pt x="734" y="743"/>
                                </a:moveTo>
                                <a:lnTo>
                                  <a:pt x="883" y="743"/>
                                </a:lnTo>
                                <a:lnTo>
                                  <a:pt x="883" y="931"/>
                                </a:lnTo>
                                <a:lnTo>
                                  <a:pt x="734" y="931"/>
                                </a:lnTo>
                                <a:lnTo>
                                  <a:pt x="734" y="743"/>
                                </a:lnTo>
                                <a:close/>
                                <a:moveTo>
                                  <a:pt x="1101" y="785"/>
                                </a:moveTo>
                                <a:lnTo>
                                  <a:pt x="1250" y="785"/>
                                </a:lnTo>
                                <a:lnTo>
                                  <a:pt x="1250" y="931"/>
                                </a:lnTo>
                                <a:lnTo>
                                  <a:pt x="1101" y="931"/>
                                </a:lnTo>
                                <a:lnTo>
                                  <a:pt x="1101" y="785"/>
                                </a:lnTo>
                                <a:close/>
                                <a:moveTo>
                                  <a:pt x="1469" y="931"/>
                                </a:moveTo>
                                <a:lnTo>
                                  <a:pt x="1617" y="931"/>
                                </a:lnTo>
                                <a:lnTo>
                                  <a:pt x="1617" y="1193"/>
                                </a:lnTo>
                                <a:lnTo>
                                  <a:pt x="1469" y="1193"/>
                                </a:lnTo>
                                <a:lnTo>
                                  <a:pt x="1469" y="931"/>
                                </a:lnTo>
                                <a:close/>
                                <a:moveTo>
                                  <a:pt x="1836" y="910"/>
                                </a:moveTo>
                                <a:lnTo>
                                  <a:pt x="1985" y="910"/>
                                </a:lnTo>
                                <a:lnTo>
                                  <a:pt x="1985" y="931"/>
                                </a:lnTo>
                                <a:lnTo>
                                  <a:pt x="1836" y="931"/>
                                </a:lnTo>
                                <a:lnTo>
                                  <a:pt x="1836" y="910"/>
                                </a:lnTo>
                                <a:close/>
                                <a:moveTo>
                                  <a:pt x="2203" y="931"/>
                                </a:moveTo>
                                <a:lnTo>
                                  <a:pt x="2343" y="931"/>
                                </a:lnTo>
                                <a:lnTo>
                                  <a:pt x="2343" y="1832"/>
                                </a:lnTo>
                                <a:lnTo>
                                  <a:pt x="2203" y="1832"/>
                                </a:lnTo>
                                <a:lnTo>
                                  <a:pt x="2203" y="931"/>
                                </a:lnTo>
                                <a:close/>
                                <a:moveTo>
                                  <a:pt x="2929" y="921"/>
                                </a:moveTo>
                                <a:lnTo>
                                  <a:pt x="3078" y="921"/>
                                </a:lnTo>
                                <a:lnTo>
                                  <a:pt x="3078" y="931"/>
                                </a:lnTo>
                                <a:lnTo>
                                  <a:pt x="2929" y="931"/>
                                </a:lnTo>
                                <a:lnTo>
                                  <a:pt x="2929" y="921"/>
                                </a:lnTo>
                                <a:close/>
                              </a:path>
                            </a:pathLst>
                          </a:custGeom>
                          <a:solidFill>
                            <a:srgbClr val="D99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43"/>
                        <wps:cNvSpPr>
                          <a:spLocks noEditPoints="1"/>
                        </wps:cNvSpPr>
                        <wps:spPr bwMode="auto">
                          <a:xfrm>
                            <a:off x="560705" y="355600"/>
                            <a:ext cx="1954530" cy="657860"/>
                          </a:xfrm>
                          <a:custGeom>
                            <a:avLst/>
                            <a:gdLst>
                              <a:gd name="T0" fmla="*/ 0 w 3078"/>
                              <a:gd name="T1" fmla="*/ 1015 h 1036"/>
                              <a:gd name="T2" fmla="*/ 148 w 3078"/>
                              <a:gd name="T3" fmla="*/ 1015 h 1036"/>
                              <a:gd name="T4" fmla="*/ 148 w 3078"/>
                              <a:gd name="T5" fmla="*/ 1026 h 1036"/>
                              <a:gd name="T6" fmla="*/ 0 w 3078"/>
                              <a:gd name="T7" fmla="*/ 1026 h 1036"/>
                              <a:gd name="T8" fmla="*/ 0 w 3078"/>
                              <a:gd name="T9" fmla="*/ 1015 h 1036"/>
                              <a:gd name="T10" fmla="*/ 367 w 3078"/>
                              <a:gd name="T11" fmla="*/ 0 h 1036"/>
                              <a:gd name="T12" fmla="*/ 516 w 3078"/>
                              <a:gd name="T13" fmla="*/ 0 h 1036"/>
                              <a:gd name="T14" fmla="*/ 516 w 3078"/>
                              <a:gd name="T15" fmla="*/ 105 h 1036"/>
                              <a:gd name="T16" fmla="*/ 367 w 3078"/>
                              <a:gd name="T17" fmla="*/ 105 h 1036"/>
                              <a:gd name="T18" fmla="*/ 367 w 3078"/>
                              <a:gd name="T19" fmla="*/ 0 h 1036"/>
                              <a:gd name="T20" fmla="*/ 734 w 3078"/>
                              <a:gd name="T21" fmla="*/ 754 h 1036"/>
                              <a:gd name="T22" fmla="*/ 883 w 3078"/>
                              <a:gd name="T23" fmla="*/ 754 h 1036"/>
                              <a:gd name="T24" fmla="*/ 883 w 3078"/>
                              <a:gd name="T25" fmla="*/ 848 h 1036"/>
                              <a:gd name="T26" fmla="*/ 734 w 3078"/>
                              <a:gd name="T27" fmla="*/ 848 h 1036"/>
                              <a:gd name="T28" fmla="*/ 734 w 3078"/>
                              <a:gd name="T29" fmla="*/ 754 h 1036"/>
                              <a:gd name="T30" fmla="*/ 1101 w 3078"/>
                              <a:gd name="T31" fmla="*/ 785 h 1036"/>
                              <a:gd name="T32" fmla="*/ 1250 w 3078"/>
                              <a:gd name="T33" fmla="*/ 785 h 1036"/>
                              <a:gd name="T34" fmla="*/ 1250 w 3078"/>
                              <a:gd name="T35" fmla="*/ 890 h 1036"/>
                              <a:gd name="T36" fmla="*/ 1101 w 3078"/>
                              <a:gd name="T37" fmla="*/ 890 h 1036"/>
                              <a:gd name="T38" fmla="*/ 1101 w 3078"/>
                              <a:gd name="T39" fmla="*/ 785 h 1036"/>
                              <a:gd name="T40" fmla="*/ 1469 w 3078"/>
                              <a:gd name="T41" fmla="*/ 1026 h 1036"/>
                              <a:gd name="T42" fmla="*/ 1617 w 3078"/>
                              <a:gd name="T43" fmla="*/ 1026 h 1036"/>
                              <a:gd name="T44" fmla="*/ 1617 w 3078"/>
                              <a:gd name="T45" fmla="*/ 1036 h 1036"/>
                              <a:gd name="T46" fmla="*/ 1469 w 3078"/>
                              <a:gd name="T47" fmla="*/ 1036 h 1036"/>
                              <a:gd name="T48" fmla="*/ 1469 w 3078"/>
                              <a:gd name="T49" fmla="*/ 1026 h 1036"/>
                              <a:gd name="T50" fmla="*/ 1836 w 3078"/>
                              <a:gd name="T51" fmla="*/ 1005 h 1036"/>
                              <a:gd name="T52" fmla="*/ 1985 w 3078"/>
                              <a:gd name="T53" fmla="*/ 1005 h 1036"/>
                              <a:gd name="T54" fmla="*/ 1985 w 3078"/>
                              <a:gd name="T55" fmla="*/ 1015 h 1036"/>
                              <a:gd name="T56" fmla="*/ 1836 w 3078"/>
                              <a:gd name="T57" fmla="*/ 1015 h 1036"/>
                              <a:gd name="T58" fmla="*/ 1836 w 3078"/>
                              <a:gd name="T59" fmla="*/ 1005 h 1036"/>
                              <a:gd name="T60" fmla="*/ 2203 w 3078"/>
                              <a:gd name="T61" fmla="*/ 1026 h 1036"/>
                              <a:gd name="T62" fmla="*/ 2343 w 3078"/>
                              <a:gd name="T63" fmla="*/ 1026 h 1036"/>
                              <a:gd name="T64" fmla="*/ 2343 w 3078"/>
                              <a:gd name="T65" fmla="*/ 1036 h 1036"/>
                              <a:gd name="T66" fmla="*/ 2203 w 3078"/>
                              <a:gd name="T67" fmla="*/ 1036 h 1036"/>
                              <a:gd name="T68" fmla="*/ 2203 w 3078"/>
                              <a:gd name="T69" fmla="*/ 1026 h 1036"/>
                              <a:gd name="T70" fmla="*/ 2929 w 3078"/>
                              <a:gd name="T71" fmla="*/ 1026 h 1036"/>
                              <a:gd name="T72" fmla="*/ 3078 w 3078"/>
                              <a:gd name="T73" fmla="*/ 1026 h 1036"/>
                              <a:gd name="T74" fmla="*/ 3078 w 3078"/>
                              <a:gd name="T75" fmla="*/ 1036 h 1036"/>
                              <a:gd name="T76" fmla="*/ 2929 w 3078"/>
                              <a:gd name="T77" fmla="*/ 1036 h 1036"/>
                              <a:gd name="T78" fmla="*/ 2929 w 3078"/>
                              <a:gd name="T79" fmla="*/ 1026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78" h="1036">
                                <a:moveTo>
                                  <a:pt x="0" y="1015"/>
                                </a:moveTo>
                                <a:lnTo>
                                  <a:pt x="148" y="1015"/>
                                </a:lnTo>
                                <a:lnTo>
                                  <a:pt x="148" y="1026"/>
                                </a:lnTo>
                                <a:lnTo>
                                  <a:pt x="0" y="1026"/>
                                </a:lnTo>
                                <a:lnTo>
                                  <a:pt x="0" y="1015"/>
                                </a:lnTo>
                                <a:close/>
                                <a:moveTo>
                                  <a:pt x="367" y="0"/>
                                </a:moveTo>
                                <a:lnTo>
                                  <a:pt x="516" y="0"/>
                                </a:lnTo>
                                <a:lnTo>
                                  <a:pt x="516" y="105"/>
                                </a:lnTo>
                                <a:lnTo>
                                  <a:pt x="367" y="105"/>
                                </a:lnTo>
                                <a:lnTo>
                                  <a:pt x="367" y="0"/>
                                </a:lnTo>
                                <a:close/>
                                <a:moveTo>
                                  <a:pt x="734" y="754"/>
                                </a:moveTo>
                                <a:lnTo>
                                  <a:pt x="883" y="754"/>
                                </a:lnTo>
                                <a:lnTo>
                                  <a:pt x="883" y="848"/>
                                </a:lnTo>
                                <a:lnTo>
                                  <a:pt x="734" y="848"/>
                                </a:lnTo>
                                <a:lnTo>
                                  <a:pt x="734" y="754"/>
                                </a:lnTo>
                                <a:close/>
                                <a:moveTo>
                                  <a:pt x="1101" y="785"/>
                                </a:moveTo>
                                <a:lnTo>
                                  <a:pt x="1250" y="785"/>
                                </a:lnTo>
                                <a:lnTo>
                                  <a:pt x="1250" y="890"/>
                                </a:lnTo>
                                <a:lnTo>
                                  <a:pt x="1101" y="890"/>
                                </a:lnTo>
                                <a:lnTo>
                                  <a:pt x="1101" y="785"/>
                                </a:lnTo>
                                <a:close/>
                                <a:moveTo>
                                  <a:pt x="1469" y="1026"/>
                                </a:moveTo>
                                <a:lnTo>
                                  <a:pt x="1617" y="1026"/>
                                </a:lnTo>
                                <a:lnTo>
                                  <a:pt x="1617" y="1036"/>
                                </a:lnTo>
                                <a:lnTo>
                                  <a:pt x="1469" y="1036"/>
                                </a:lnTo>
                                <a:lnTo>
                                  <a:pt x="1469" y="1026"/>
                                </a:lnTo>
                                <a:close/>
                                <a:moveTo>
                                  <a:pt x="1836" y="1005"/>
                                </a:moveTo>
                                <a:lnTo>
                                  <a:pt x="1985" y="1005"/>
                                </a:lnTo>
                                <a:lnTo>
                                  <a:pt x="1985" y="1015"/>
                                </a:lnTo>
                                <a:lnTo>
                                  <a:pt x="1836" y="1015"/>
                                </a:lnTo>
                                <a:lnTo>
                                  <a:pt x="1836" y="1005"/>
                                </a:lnTo>
                                <a:close/>
                                <a:moveTo>
                                  <a:pt x="2203" y="1026"/>
                                </a:moveTo>
                                <a:lnTo>
                                  <a:pt x="2343" y="1026"/>
                                </a:lnTo>
                                <a:lnTo>
                                  <a:pt x="2343" y="1036"/>
                                </a:lnTo>
                                <a:lnTo>
                                  <a:pt x="2203" y="1036"/>
                                </a:lnTo>
                                <a:lnTo>
                                  <a:pt x="2203" y="1026"/>
                                </a:lnTo>
                                <a:close/>
                                <a:moveTo>
                                  <a:pt x="2929" y="1026"/>
                                </a:moveTo>
                                <a:lnTo>
                                  <a:pt x="3078" y="1026"/>
                                </a:lnTo>
                                <a:lnTo>
                                  <a:pt x="3078" y="1036"/>
                                </a:lnTo>
                                <a:lnTo>
                                  <a:pt x="2929" y="1036"/>
                                </a:lnTo>
                                <a:lnTo>
                                  <a:pt x="2929" y="1026"/>
                                </a:lnTo>
                                <a:close/>
                              </a:path>
                            </a:pathLst>
                          </a:custGeom>
                          <a:solidFill>
                            <a:srgbClr val="8064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44"/>
                        <wps:cNvSpPr>
                          <a:spLocks noEditPoints="1"/>
                        </wps:cNvSpPr>
                        <wps:spPr bwMode="auto">
                          <a:xfrm>
                            <a:off x="560705" y="295910"/>
                            <a:ext cx="1954530" cy="717550"/>
                          </a:xfrm>
                          <a:custGeom>
                            <a:avLst/>
                            <a:gdLst>
                              <a:gd name="T0" fmla="*/ 0 w 3078"/>
                              <a:gd name="T1" fmla="*/ 1015 h 1130"/>
                              <a:gd name="T2" fmla="*/ 148 w 3078"/>
                              <a:gd name="T3" fmla="*/ 1015 h 1130"/>
                              <a:gd name="T4" fmla="*/ 148 w 3078"/>
                              <a:gd name="T5" fmla="*/ 1109 h 1130"/>
                              <a:gd name="T6" fmla="*/ 0 w 3078"/>
                              <a:gd name="T7" fmla="*/ 1109 h 1130"/>
                              <a:gd name="T8" fmla="*/ 0 w 3078"/>
                              <a:gd name="T9" fmla="*/ 1015 h 1130"/>
                              <a:gd name="T10" fmla="*/ 367 w 3078"/>
                              <a:gd name="T11" fmla="*/ 0 h 1130"/>
                              <a:gd name="T12" fmla="*/ 516 w 3078"/>
                              <a:gd name="T13" fmla="*/ 0 h 1130"/>
                              <a:gd name="T14" fmla="*/ 516 w 3078"/>
                              <a:gd name="T15" fmla="*/ 94 h 1130"/>
                              <a:gd name="T16" fmla="*/ 367 w 3078"/>
                              <a:gd name="T17" fmla="*/ 94 h 1130"/>
                              <a:gd name="T18" fmla="*/ 367 w 3078"/>
                              <a:gd name="T19" fmla="*/ 0 h 1130"/>
                              <a:gd name="T20" fmla="*/ 2571 w 3078"/>
                              <a:gd name="T21" fmla="*/ 1078 h 1130"/>
                              <a:gd name="T22" fmla="*/ 2711 w 3078"/>
                              <a:gd name="T23" fmla="*/ 1078 h 1130"/>
                              <a:gd name="T24" fmla="*/ 2711 w 3078"/>
                              <a:gd name="T25" fmla="*/ 1130 h 1130"/>
                              <a:gd name="T26" fmla="*/ 2571 w 3078"/>
                              <a:gd name="T27" fmla="*/ 1130 h 1130"/>
                              <a:gd name="T28" fmla="*/ 2571 w 3078"/>
                              <a:gd name="T29" fmla="*/ 1078 h 1130"/>
                              <a:gd name="T30" fmla="*/ 2929 w 3078"/>
                              <a:gd name="T31" fmla="*/ 900 h 1130"/>
                              <a:gd name="T32" fmla="*/ 3078 w 3078"/>
                              <a:gd name="T33" fmla="*/ 900 h 1130"/>
                              <a:gd name="T34" fmla="*/ 3078 w 3078"/>
                              <a:gd name="T35" fmla="*/ 1120 h 1130"/>
                              <a:gd name="T36" fmla="*/ 2929 w 3078"/>
                              <a:gd name="T37" fmla="*/ 1120 h 1130"/>
                              <a:gd name="T38" fmla="*/ 2929 w 3078"/>
                              <a:gd name="T39" fmla="*/ 900 h 1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78" h="1130">
                                <a:moveTo>
                                  <a:pt x="0" y="1015"/>
                                </a:moveTo>
                                <a:lnTo>
                                  <a:pt x="148" y="1015"/>
                                </a:lnTo>
                                <a:lnTo>
                                  <a:pt x="148" y="1109"/>
                                </a:lnTo>
                                <a:lnTo>
                                  <a:pt x="0" y="1109"/>
                                </a:lnTo>
                                <a:lnTo>
                                  <a:pt x="0" y="1015"/>
                                </a:lnTo>
                                <a:close/>
                                <a:moveTo>
                                  <a:pt x="367" y="0"/>
                                </a:moveTo>
                                <a:lnTo>
                                  <a:pt x="516" y="0"/>
                                </a:lnTo>
                                <a:lnTo>
                                  <a:pt x="516" y="94"/>
                                </a:lnTo>
                                <a:lnTo>
                                  <a:pt x="367" y="94"/>
                                </a:lnTo>
                                <a:lnTo>
                                  <a:pt x="367" y="0"/>
                                </a:lnTo>
                                <a:close/>
                                <a:moveTo>
                                  <a:pt x="2571" y="1078"/>
                                </a:moveTo>
                                <a:lnTo>
                                  <a:pt x="2711" y="1078"/>
                                </a:lnTo>
                                <a:lnTo>
                                  <a:pt x="2711" y="1130"/>
                                </a:lnTo>
                                <a:lnTo>
                                  <a:pt x="2571" y="1130"/>
                                </a:lnTo>
                                <a:lnTo>
                                  <a:pt x="2571" y="1078"/>
                                </a:lnTo>
                                <a:close/>
                                <a:moveTo>
                                  <a:pt x="2929" y="900"/>
                                </a:moveTo>
                                <a:lnTo>
                                  <a:pt x="3078" y="900"/>
                                </a:lnTo>
                                <a:lnTo>
                                  <a:pt x="3078" y="1120"/>
                                </a:lnTo>
                                <a:lnTo>
                                  <a:pt x="2929" y="1120"/>
                                </a:lnTo>
                                <a:lnTo>
                                  <a:pt x="2929" y="900"/>
                                </a:lnTo>
                                <a:close/>
                              </a:path>
                            </a:pathLst>
                          </a:custGeom>
                          <a:solidFill>
                            <a:srgbClr val="BAB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Rectangle 45"/>
                        <wps:cNvSpPr>
                          <a:spLocks noChangeArrowheads="1"/>
                        </wps:cNvSpPr>
                        <wps:spPr bwMode="auto">
                          <a:xfrm>
                            <a:off x="488315" y="132715"/>
                            <a:ext cx="5715" cy="1755140"/>
                          </a:xfrm>
                          <a:prstGeom prst="rect">
                            <a:avLst/>
                          </a:prstGeom>
                          <a:solidFill>
                            <a:srgbClr val="868686"/>
                          </a:solidFill>
                          <a:ln w="5715">
                            <a:solidFill>
                              <a:srgbClr val="868686"/>
                            </a:solidFill>
                            <a:bevel/>
                            <a:headEnd/>
                            <a:tailEnd/>
                          </a:ln>
                        </wps:spPr>
                        <wps:bodyPr rot="0" vert="horz" wrap="square" lIns="91440" tIns="45720" rIns="91440" bIns="45720" anchor="t" anchorCtr="0" upright="1">
                          <a:noAutofit/>
                        </wps:bodyPr>
                      </wps:wsp>
                      <wps:wsp>
                        <wps:cNvPr id="247" name="Freeform 46"/>
                        <wps:cNvSpPr>
                          <a:spLocks noEditPoints="1"/>
                        </wps:cNvSpPr>
                        <wps:spPr bwMode="auto">
                          <a:xfrm>
                            <a:off x="463550" y="129540"/>
                            <a:ext cx="27305" cy="1761490"/>
                          </a:xfrm>
                          <a:custGeom>
                            <a:avLst/>
                            <a:gdLst>
                              <a:gd name="T0" fmla="*/ 0 w 43"/>
                              <a:gd name="T1" fmla="*/ 2764 h 2774"/>
                              <a:gd name="T2" fmla="*/ 43 w 43"/>
                              <a:gd name="T3" fmla="*/ 2764 h 2774"/>
                              <a:gd name="T4" fmla="*/ 43 w 43"/>
                              <a:gd name="T5" fmla="*/ 2774 h 2774"/>
                              <a:gd name="T6" fmla="*/ 0 w 43"/>
                              <a:gd name="T7" fmla="*/ 2774 h 2774"/>
                              <a:gd name="T8" fmla="*/ 0 w 43"/>
                              <a:gd name="T9" fmla="*/ 2764 h 2774"/>
                              <a:gd name="T10" fmla="*/ 0 w 43"/>
                              <a:gd name="T11" fmla="*/ 2303 h 2774"/>
                              <a:gd name="T12" fmla="*/ 43 w 43"/>
                              <a:gd name="T13" fmla="*/ 2303 h 2774"/>
                              <a:gd name="T14" fmla="*/ 43 w 43"/>
                              <a:gd name="T15" fmla="*/ 2314 h 2774"/>
                              <a:gd name="T16" fmla="*/ 0 w 43"/>
                              <a:gd name="T17" fmla="*/ 2314 h 2774"/>
                              <a:gd name="T18" fmla="*/ 0 w 43"/>
                              <a:gd name="T19" fmla="*/ 2303 h 2774"/>
                              <a:gd name="T20" fmla="*/ 0 w 43"/>
                              <a:gd name="T21" fmla="*/ 1843 h 2774"/>
                              <a:gd name="T22" fmla="*/ 43 w 43"/>
                              <a:gd name="T23" fmla="*/ 1843 h 2774"/>
                              <a:gd name="T24" fmla="*/ 43 w 43"/>
                              <a:gd name="T25" fmla="*/ 1853 h 2774"/>
                              <a:gd name="T26" fmla="*/ 0 w 43"/>
                              <a:gd name="T27" fmla="*/ 1853 h 2774"/>
                              <a:gd name="T28" fmla="*/ 0 w 43"/>
                              <a:gd name="T29" fmla="*/ 1843 h 2774"/>
                              <a:gd name="T30" fmla="*/ 0 w 43"/>
                              <a:gd name="T31" fmla="*/ 1382 h 2774"/>
                              <a:gd name="T32" fmla="*/ 43 w 43"/>
                              <a:gd name="T33" fmla="*/ 1382 h 2774"/>
                              <a:gd name="T34" fmla="*/ 43 w 43"/>
                              <a:gd name="T35" fmla="*/ 1392 h 2774"/>
                              <a:gd name="T36" fmla="*/ 0 w 43"/>
                              <a:gd name="T37" fmla="*/ 1392 h 2774"/>
                              <a:gd name="T38" fmla="*/ 0 w 43"/>
                              <a:gd name="T39" fmla="*/ 1382 h 2774"/>
                              <a:gd name="T40" fmla="*/ 0 w 43"/>
                              <a:gd name="T41" fmla="*/ 921 h 2774"/>
                              <a:gd name="T42" fmla="*/ 43 w 43"/>
                              <a:gd name="T43" fmla="*/ 921 h 2774"/>
                              <a:gd name="T44" fmla="*/ 43 w 43"/>
                              <a:gd name="T45" fmla="*/ 932 h 2774"/>
                              <a:gd name="T46" fmla="*/ 0 w 43"/>
                              <a:gd name="T47" fmla="*/ 932 h 2774"/>
                              <a:gd name="T48" fmla="*/ 0 w 43"/>
                              <a:gd name="T49" fmla="*/ 921 h 2774"/>
                              <a:gd name="T50" fmla="*/ 0 w 43"/>
                              <a:gd name="T51" fmla="*/ 461 h 2774"/>
                              <a:gd name="T52" fmla="*/ 43 w 43"/>
                              <a:gd name="T53" fmla="*/ 461 h 2774"/>
                              <a:gd name="T54" fmla="*/ 43 w 43"/>
                              <a:gd name="T55" fmla="*/ 471 h 2774"/>
                              <a:gd name="T56" fmla="*/ 0 w 43"/>
                              <a:gd name="T57" fmla="*/ 471 h 2774"/>
                              <a:gd name="T58" fmla="*/ 0 w 43"/>
                              <a:gd name="T59" fmla="*/ 461 h 2774"/>
                              <a:gd name="T60" fmla="*/ 0 w 43"/>
                              <a:gd name="T61" fmla="*/ 0 h 2774"/>
                              <a:gd name="T62" fmla="*/ 43 w 43"/>
                              <a:gd name="T63" fmla="*/ 0 h 2774"/>
                              <a:gd name="T64" fmla="*/ 43 w 43"/>
                              <a:gd name="T65" fmla="*/ 11 h 2774"/>
                              <a:gd name="T66" fmla="*/ 0 w 43"/>
                              <a:gd name="T67" fmla="*/ 11 h 2774"/>
                              <a:gd name="T68" fmla="*/ 0 w 43"/>
                              <a:gd name="T69" fmla="*/ 0 h 27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3" h="2774">
                                <a:moveTo>
                                  <a:pt x="0" y="2764"/>
                                </a:moveTo>
                                <a:lnTo>
                                  <a:pt x="43" y="2764"/>
                                </a:lnTo>
                                <a:lnTo>
                                  <a:pt x="43" y="2774"/>
                                </a:lnTo>
                                <a:lnTo>
                                  <a:pt x="0" y="2774"/>
                                </a:lnTo>
                                <a:lnTo>
                                  <a:pt x="0" y="2764"/>
                                </a:lnTo>
                                <a:close/>
                                <a:moveTo>
                                  <a:pt x="0" y="2303"/>
                                </a:moveTo>
                                <a:lnTo>
                                  <a:pt x="43" y="2303"/>
                                </a:lnTo>
                                <a:lnTo>
                                  <a:pt x="43" y="2314"/>
                                </a:lnTo>
                                <a:lnTo>
                                  <a:pt x="0" y="2314"/>
                                </a:lnTo>
                                <a:lnTo>
                                  <a:pt x="0" y="2303"/>
                                </a:lnTo>
                                <a:close/>
                                <a:moveTo>
                                  <a:pt x="0" y="1843"/>
                                </a:moveTo>
                                <a:lnTo>
                                  <a:pt x="43" y="1843"/>
                                </a:lnTo>
                                <a:lnTo>
                                  <a:pt x="43" y="1853"/>
                                </a:lnTo>
                                <a:lnTo>
                                  <a:pt x="0" y="1853"/>
                                </a:lnTo>
                                <a:lnTo>
                                  <a:pt x="0" y="1843"/>
                                </a:lnTo>
                                <a:close/>
                                <a:moveTo>
                                  <a:pt x="0" y="1382"/>
                                </a:moveTo>
                                <a:lnTo>
                                  <a:pt x="43" y="1382"/>
                                </a:lnTo>
                                <a:lnTo>
                                  <a:pt x="43" y="1392"/>
                                </a:lnTo>
                                <a:lnTo>
                                  <a:pt x="0" y="1392"/>
                                </a:lnTo>
                                <a:lnTo>
                                  <a:pt x="0" y="1382"/>
                                </a:lnTo>
                                <a:close/>
                                <a:moveTo>
                                  <a:pt x="0" y="921"/>
                                </a:moveTo>
                                <a:lnTo>
                                  <a:pt x="43" y="921"/>
                                </a:lnTo>
                                <a:lnTo>
                                  <a:pt x="43" y="932"/>
                                </a:lnTo>
                                <a:lnTo>
                                  <a:pt x="0" y="932"/>
                                </a:lnTo>
                                <a:lnTo>
                                  <a:pt x="0" y="921"/>
                                </a:lnTo>
                                <a:close/>
                                <a:moveTo>
                                  <a:pt x="0" y="461"/>
                                </a:moveTo>
                                <a:lnTo>
                                  <a:pt x="43" y="461"/>
                                </a:lnTo>
                                <a:lnTo>
                                  <a:pt x="43" y="471"/>
                                </a:lnTo>
                                <a:lnTo>
                                  <a:pt x="0" y="471"/>
                                </a:lnTo>
                                <a:lnTo>
                                  <a:pt x="0" y="461"/>
                                </a:lnTo>
                                <a:close/>
                                <a:moveTo>
                                  <a:pt x="0" y="0"/>
                                </a:moveTo>
                                <a:lnTo>
                                  <a:pt x="43" y="0"/>
                                </a:lnTo>
                                <a:lnTo>
                                  <a:pt x="43" y="11"/>
                                </a:lnTo>
                                <a:lnTo>
                                  <a:pt x="0" y="11"/>
                                </a:lnTo>
                                <a:lnTo>
                                  <a:pt x="0" y="0"/>
                                </a:lnTo>
                                <a:close/>
                              </a:path>
                            </a:pathLst>
                          </a:custGeom>
                          <a:solidFill>
                            <a:srgbClr val="868686"/>
                          </a:solidFill>
                          <a:ln w="5715">
                            <a:solidFill>
                              <a:srgbClr val="868686"/>
                            </a:solidFill>
                            <a:bevel/>
                            <a:headEnd/>
                            <a:tailEnd/>
                          </a:ln>
                        </wps:spPr>
                        <wps:bodyPr rot="0" vert="horz" wrap="square" lIns="91440" tIns="45720" rIns="91440" bIns="45720" anchor="t" anchorCtr="0" upright="1">
                          <a:noAutofit/>
                        </wps:bodyPr>
                      </wps:wsp>
                      <wps:wsp>
                        <wps:cNvPr id="254" name="Rectangle 47"/>
                        <wps:cNvSpPr>
                          <a:spLocks noChangeArrowheads="1"/>
                        </wps:cNvSpPr>
                        <wps:spPr bwMode="auto">
                          <a:xfrm>
                            <a:off x="490855" y="1007110"/>
                            <a:ext cx="2093595" cy="6350"/>
                          </a:xfrm>
                          <a:prstGeom prst="rect">
                            <a:avLst/>
                          </a:prstGeom>
                          <a:solidFill>
                            <a:srgbClr val="868686"/>
                          </a:solidFill>
                          <a:ln w="5715">
                            <a:solidFill>
                              <a:srgbClr val="868686"/>
                            </a:solidFill>
                            <a:bevel/>
                            <a:headEnd/>
                            <a:tailEnd/>
                          </a:ln>
                        </wps:spPr>
                        <wps:bodyPr rot="0" vert="horz" wrap="square" lIns="91440" tIns="45720" rIns="91440" bIns="45720" anchor="t" anchorCtr="0" upright="1">
                          <a:noAutofit/>
                        </wps:bodyPr>
                      </wps:wsp>
                      <wps:wsp>
                        <wps:cNvPr id="255" name="Freeform 48"/>
                        <wps:cNvSpPr>
                          <a:spLocks noEditPoints="1"/>
                        </wps:cNvSpPr>
                        <wps:spPr bwMode="auto">
                          <a:xfrm>
                            <a:off x="488315" y="1010285"/>
                            <a:ext cx="2099310" cy="33655"/>
                          </a:xfrm>
                          <a:custGeom>
                            <a:avLst/>
                            <a:gdLst>
                              <a:gd name="T0" fmla="*/ 9 w 3306"/>
                              <a:gd name="T1" fmla="*/ 0 h 53"/>
                              <a:gd name="T2" fmla="*/ 9 w 3306"/>
                              <a:gd name="T3" fmla="*/ 53 h 53"/>
                              <a:gd name="T4" fmla="*/ 0 w 3306"/>
                              <a:gd name="T5" fmla="*/ 53 h 53"/>
                              <a:gd name="T6" fmla="*/ 0 w 3306"/>
                              <a:gd name="T7" fmla="*/ 0 h 53"/>
                              <a:gd name="T8" fmla="*/ 9 w 3306"/>
                              <a:gd name="T9" fmla="*/ 0 h 53"/>
                              <a:gd name="T10" fmla="*/ 376 w 3306"/>
                              <a:gd name="T11" fmla="*/ 0 h 53"/>
                              <a:gd name="T12" fmla="*/ 376 w 3306"/>
                              <a:gd name="T13" fmla="*/ 53 h 53"/>
                              <a:gd name="T14" fmla="*/ 367 w 3306"/>
                              <a:gd name="T15" fmla="*/ 53 h 53"/>
                              <a:gd name="T16" fmla="*/ 367 w 3306"/>
                              <a:gd name="T17" fmla="*/ 0 h 53"/>
                              <a:gd name="T18" fmla="*/ 376 w 3306"/>
                              <a:gd name="T19" fmla="*/ 0 h 53"/>
                              <a:gd name="T20" fmla="*/ 743 w 3306"/>
                              <a:gd name="T21" fmla="*/ 0 h 53"/>
                              <a:gd name="T22" fmla="*/ 743 w 3306"/>
                              <a:gd name="T23" fmla="*/ 53 h 53"/>
                              <a:gd name="T24" fmla="*/ 734 w 3306"/>
                              <a:gd name="T25" fmla="*/ 53 h 53"/>
                              <a:gd name="T26" fmla="*/ 734 w 3306"/>
                              <a:gd name="T27" fmla="*/ 0 h 53"/>
                              <a:gd name="T28" fmla="*/ 743 w 3306"/>
                              <a:gd name="T29" fmla="*/ 0 h 53"/>
                              <a:gd name="T30" fmla="*/ 1111 w 3306"/>
                              <a:gd name="T31" fmla="*/ 0 h 53"/>
                              <a:gd name="T32" fmla="*/ 1111 w 3306"/>
                              <a:gd name="T33" fmla="*/ 53 h 53"/>
                              <a:gd name="T34" fmla="*/ 1102 w 3306"/>
                              <a:gd name="T35" fmla="*/ 53 h 53"/>
                              <a:gd name="T36" fmla="*/ 1102 w 3306"/>
                              <a:gd name="T37" fmla="*/ 0 h 53"/>
                              <a:gd name="T38" fmla="*/ 1111 w 3306"/>
                              <a:gd name="T39" fmla="*/ 0 h 53"/>
                              <a:gd name="T40" fmla="*/ 1478 w 3306"/>
                              <a:gd name="T41" fmla="*/ 0 h 53"/>
                              <a:gd name="T42" fmla="*/ 1478 w 3306"/>
                              <a:gd name="T43" fmla="*/ 53 h 53"/>
                              <a:gd name="T44" fmla="*/ 1469 w 3306"/>
                              <a:gd name="T45" fmla="*/ 53 h 53"/>
                              <a:gd name="T46" fmla="*/ 1469 w 3306"/>
                              <a:gd name="T47" fmla="*/ 0 h 53"/>
                              <a:gd name="T48" fmla="*/ 1478 w 3306"/>
                              <a:gd name="T49" fmla="*/ 0 h 53"/>
                              <a:gd name="T50" fmla="*/ 1845 w 3306"/>
                              <a:gd name="T51" fmla="*/ 0 h 53"/>
                              <a:gd name="T52" fmla="*/ 1845 w 3306"/>
                              <a:gd name="T53" fmla="*/ 53 h 53"/>
                              <a:gd name="T54" fmla="*/ 1836 w 3306"/>
                              <a:gd name="T55" fmla="*/ 53 h 53"/>
                              <a:gd name="T56" fmla="*/ 1836 w 3306"/>
                              <a:gd name="T57" fmla="*/ 0 h 53"/>
                              <a:gd name="T58" fmla="*/ 1845 w 3306"/>
                              <a:gd name="T59" fmla="*/ 0 h 53"/>
                              <a:gd name="T60" fmla="*/ 2212 w 3306"/>
                              <a:gd name="T61" fmla="*/ 0 h 53"/>
                              <a:gd name="T62" fmla="*/ 2212 w 3306"/>
                              <a:gd name="T63" fmla="*/ 53 h 53"/>
                              <a:gd name="T64" fmla="*/ 2204 w 3306"/>
                              <a:gd name="T65" fmla="*/ 53 h 53"/>
                              <a:gd name="T66" fmla="*/ 2204 w 3306"/>
                              <a:gd name="T67" fmla="*/ 0 h 53"/>
                              <a:gd name="T68" fmla="*/ 2212 w 3306"/>
                              <a:gd name="T69" fmla="*/ 0 h 53"/>
                              <a:gd name="T70" fmla="*/ 2571 w 3306"/>
                              <a:gd name="T71" fmla="*/ 0 h 53"/>
                              <a:gd name="T72" fmla="*/ 2571 w 3306"/>
                              <a:gd name="T73" fmla="*/ 53 h 53"/>
                              <a:gd name="T74" fmla="*/ 2562 w 3306"/>
                              <a:gd name="T75" fmla="*/ 53 h 53"/>
                              <a:gd name="T76" fmla="*/ 2562 w 3306"/>
                              <a:gd name="T77" fmla="*/ 0 h 53"/>
                              <a:gd name="T78" fmla="*/ 2571 w 3306"/>
                              <a:gd name="T79" fmla="*/ 0 h 53"/>
                              <a:gd name="T80" fmla="*/ 2938 w 3306"/>
                              <a:gd name="T81" fmla="*/ 0 h 53"/>
                              <a:gd name="T82" fmla="*/ 2938 w 3306"/>
                              <a:gd name="T83" fmla="*/ 53 h 53"/>
                              <a:gd name="T84" fmla="*/ 2930 w 3306"/>
                              <a:gd name="T85" fmla="*/ 53 h 53"/>
                              <a:gd name="T86" fmla="*/ 2930 w 3306"/>
                              <a:gd name="T87" fmla="*/ 0 h 53"/>
                              <a:gd name="T88" fmla="*/ 2938 w 3306"/>
                              <a:gd name="T89" fmla="*/ 0 h 53"/>
                              <a:gd name="T90" fmla="*/ 3306 w 3306"/>
                              <a:gd name="T91" fmla="*/ 0 h 53"/>
                              <a:gd name="T92" fmla="*/ 3306 w 3306"/>
                              <a:gd name="T93" fmla="*/ 53 h 53"/>
                              <a:gd name="T94" fmla="*/ 3297 w 3306"/>
                              <a:gd name="T95" fmla="*/ 53 h 53"/>
                              <a:gd name="T96" fmla="*/ 3297 w 3306"/>
                              <a:gd name="T97" fmla="*/ 0 h 53"/>
                              <a:gd name="T98" fmla="*/ 3306 w 3306"/>
                              <a:gd name="T9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306" h="53">
                                <a:moveTo>
                                  <a:pt x="9" y="0"/>
                                </a:moveTo>
                                <a:lnTo>
                                  <a:pt x="9" y="53"/>
                                </a:lnTo>
                                <a:lnTo>
                                  <a:pt x="0" y="53"/>
                                </a:lnTo>
                                <a:lnTo>
                                  <a:pt x="0" y="0"/>
                                </a:lnTo>
                                <a:lnTo>
                                  <a:pt x="9" y="0"/>
                                </a:lnTo>
                                <a:close/>
                                <a:moveTo>
                                  <a:pt x="376" y="0"/>
                                </a:moveTo>
                                <a:lnTo>
                                  <a:pt x="376" y="53"/>
                                </a:lnTo>
                                <a:lnTo>
                                  <a:pt x="367" y="53"/>
                                </a:lnTo>
                                <a:lnTo>
                                  <a:pt x="367" y="0"/>
                                </a:lnTo>
                                <a:lnTo>
                                  <a:pt x="376" y="0"/>
                                </a:lnTo>
                                <a:close/>
                                <a:moveTo>
                                  <a:pt x="743" y="0"/>
                                </a:moveTo>
                                <a:lnTo>
                                  <a:pt x="743" y="53"/>
                                </a:lnTo>
                                <a:lnTo>
                                  <a:pt x="734" y="53"/>
                                </a:lnTo>
                                <a:lnTo>
                                  <a:pt x="734" y="0"/>
                                </a:lnTo>
                                <a:lnTo>
                                  <a:pt x="743" y="0"/>
                                </a:lnTo>
                                <a:close/>
                                <a:moveTo>
                                  <a:pt x="1111" y="0"/>
                                </a:moveTo>
                                <a:lnTo>
                                  <a:pt x="1111" y="53"/>
                                </a:lnTo>
                                <a:lnTo>
                                  <a:pt x="1102" y="53"/>
                                </a:lnTo>
                                <a:lnTo>
                                  <a:pt x="1102" y="0"/>
                                </a:lnTo>
                                <a:lnTo>
                                  <a:pt x="1111" y="0"/>
                                </a:lnTo>
                                <a:close/>
                                <a:moveTo>
                                  <a:pt x="1478" y="0"/>
                                </a:moveTo>
                                <a:lnTo>
                                  <a:pt x="1478" y="53"/>
                                </a:lnTo>
                                <a:lnTo>
                                  <a:pt x="1469" y="53"/>
                                </a:lnTo>
                                <a:lnTo>
                                  <a:pt x="1469" y="0"/>
                                </a:lnTo>
                                <a:lnTo>
                                  <a:pt x="1478" y="0"/>
                                </a:lnTo>
                                <a:close/>
                                <a:moveTo>
                                  <a:pt x="1845" y="0"/>
                                </a:moveTo>
                                <a:lnTo>
                                  <a:pt x="1845" y="53"/>
                                </a:lnTo>
                                <a:lnTo>
                                  <a:pt x="1836" y="53"/>
                                </a:lnTo>
                                <a:lnTo>
                                  <a:pt x="1836" y="0"/>
                                </a:lnTo>
                                <a:lnTo>
                                  <a:pt x="1845" y="0"/>
                                </a:lnTo>
                                <a:close/>
                                <a:moveTo>
                                  <a:pt x="2212" y="0"/>
                                </a:moveTo>
                                <a:lnTo>
                                  <a:pt x="2212" y="53"/>
                                </a:lnTo>
                                <a:lnTo>
                                  <a:pt x="2204" y="53"/>
                                </a:lnTo>
                                <a:lnTo>
                                  <a:pt x="2204" y="0"/>
                                </a:lnTo>
                                <a:lnTo>
                                  <a:pt x="2212" y="0"/>
                                </a:lnTo>
                                <a:close/>
                                <a:moveTo>
                                  <a:pt x="2571" y="0"/>
                                </a:moveTo>
                                <a:lnTo>
                                  <a:pt x="2571" y="53"/>
                                </a:lnTo>
                                <a:lnTo>
                                  <a:pt x="2562" y="53"/>
                                </a:lnTo>
                                <a:lnTo>
                                  <a:pt x="2562" y="0"/>
                                </a:lnTo>
                                <a:lnTo>
                                  <a:pt x="2571" y="0"/>
                                </a:lnTo>
                                <a:close/>
                                <a:moveTo>
                                  <a:pt x="2938" y="0"/>
                                </a:moveTo>
                                <a:lnTo>
                                  <a:pt x="2938" y="53"/>
                                </a:lnTo>
                                <a:lnTo>
                                  <a:pt x="2930" y="53"/>
                                </a:lnTo>
                                <a:lnTo>
                                  <a:pt x="2930" y="0"/>
                                </a:lnTo>
                                <a:lnTo>
                                  <a:pt x="2938" y="0"/>
                                </a:lnTo>
                                <a:close/>
                                <a:moveTo>
                                  <a:pt x="3306" y="0"/>
                                </a:moveTo>
                                <a:lnTo>
                                  <a:pt x="3306" y="53"/>
                                </a:lnTo>
                                <a:lnTo>
                                  <a:pt x="3297" y="53"/>
                                </a:lnTo>
                                <a:lnTo>
                                  <a:pt x="3297" y="0"/>
                                </a:lnTo>
                                <a:lnTo>
                                  <a:pt x="3306" y="0"/>
                                </a:lnTo>
                                <a:close/>
                              </a:path>
                            </a:pathLst>
                          </a:custGeom>
                          <a:solidFill>
                            <a:srgbClr val="868686"/>
                          </a:solidFill>
                          <a:ln w="5715">
                            <a:solidFill>
                              <a:srgbClr val="868686"/>
                            </a:solidFill>
                            <a:bevel/>
                            <a:headEnd/>
                            <a:tailEnd/>
                          </a:ln>
                        </wps:spPr>
                        <wps:bodyPr rot="0" vert="horz" wrap="square" lIns="91440" tIns="45720" rIns="91440" bIns="45720" anchor="t" anchorCtr="0" upright="1">
                          <a:noAutofit/>
                        </wps:bodyPr>
                      </wps:wsp>
                      <wps:wsp>
                        <wps:cNvPr id="37" name="Rectangle 49"/>
                        <wps:cNvSpPr>
                          <a:spLocks noChangeArrowheads="1"/>
                        </wps:cNvSpPr>
                        <wps:spPr bwMode="auto">
                          <a:xfrm>
                            <a:off x="520700" y="716915"/>
                            <a:ext cx="2540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6"/>
                                  <w:szCs w:val="16"/>
                                </w:rPr>
                                <w:t xml:space="preserve">Edible </w:t>
                              </w:r>
                            </w:p>
                          </w:txbxContent>
                        </wps:txbx>
                        <wps:bodyPr rot="0" vert="horz" wrap="none" lIns="0" tIns="0" rIns="0" bIns="0" anchor="t" anchorCtr="0" upright="1">
                          <a:spAutoFit/>
                        </wps:bodyPr>
                      </wps:wsp>
                      <wps:wsp>
                        <wps:cNvPr id="38" name="Rectangle 50"/>
                        <wps:cNvSpPr>
                          <a:spLocks noChangeArrowheads="1"/>
                        </wps:cNvSpPr>
                        <wps:spPr bwMode="auto">
                          <a:xfrm>
                            <a:off x="437515" y="849630"/>
                            <a:ext cx="44513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6"/>
                                  <w:szCs w:val="16"/>
                                </w:rPr>
                                <w:t xml:space="preserve">vegetables </w:t>
                              </w:r>
                            </w:p>
                          </w:txbxContent>
                        </wps:txbx>
                        <wps:bodyPr rot="0" vert="horz" wrap="none" lIns="0" tIns="0" rIns="0" bIns="0" anchor="t" anchorCtr="0" upright="1">
                          <a:spAutoFit/>
                        </wps:bodyPr>
                      </wps:wsp>
                      <wps:wsp>
                        <wps:cNvPr id="39" name="Rectangle 51"/>
                        <wps:cNvSpPr>
                          <a:spLocks noChangeArrowheads="1"/>
                        </wps:cNvSpPr>
                        <wps:spPr bwMode="auto">
                          <a:xfrm>
                            <a:off x="679450" y="62230"/>
                            <a:ext cx="45402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6"/>
                                  <w:szCs w:val="16"/>
                                </w:rPr>
                                <w:t xml:space="preserve">Edible fruit </w:t>
                              </w:r>
                            </w:p>
                          </w:txbxContent>
                        </wps:txbx>
                        <wps:bodyPr rot="0" vert="horz" wrap="none" lIns="0" tIns="0" rIns="0" bIns="0" anchor="t" anchorCtr="0" upright="1">
                          <a:spAutoFit/>
                        </wps:bodyPr>
                      </wps:wsp>
                      <wps:wsp>
                        <wps:cNvPr id="40" name="Rectangle 52"/>
                        <wps:cNvSpPr>
                          <a:spLocks noChangeArrowheads="1"/>
                        </wps:cNvSpPr>
                        <wps:spPr bwMode="auto">
                          <a:xfrm>
                            <a:off x="723900" y="194945"/>
                            <a:ext cx="35941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6"/>
                                  <w:szCs w:val="16"/>
                                </w:rPr>
                                <w:t>and nuts</w:t>
                              </w:r>
                            </w:p>
                          </w:txbxContent>
                        </wps:txbx>
                        <wps:bodyPr rot="0" vert="horz" wrap="none" lIns="0" tIns="0" rIns="0" bIns="0" anchor="t" anchorCtr="0" upright="1">
                          <a:spAutoFit/>
                        </wps:bodyPr>
                      </wps:wsp>
                      <wps:wsp>
                        <wps:cNvPr id="41" name="Rectangle 53"/>
                        <wps:cNvSpPr>
                          <a:spLocks noChangeArrowheads="1"/>
                        </wps:cNvSpPr>
                        <wps:spPr bwMode="auto">
                          <a:xfrm>
                            <a:off x="897255" y="671195"/>
                            <a:ext cx="3314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6"/>
                                  <w:szCs w:val="16"/>
                                </w:rPr>
                                <w:t>Oil seed</w:t>
                              </w:r>
                            </w:p>
                          </w:txbxContent>
                        </wps:txbx>
                        <wps:bodyPr rot="0" vert="horz" wrap="none" lIns="0" tIns="0" rIns="0" bIns="0" anchor="t" anchorCtr="0" upright="1">
                          <a:spAutoFit/>
                        </wps:bodyPr>
                      </wps:wsp>
                      <wps:wsp>
                        <wps:cNvPr id="42" name="Rectangle 54"/>
                        <wps:cNvSpPr>
                          <a:spLocks noChangeArrowheads="1"/>
                        </wps:cNvSpPr>
                        <wps:spPr bwMode="auto">
                          <a:xfrm>
                            <a:off x="1146175" y="573405"/>
                            <a:ext cx="43243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6"/>
                                  <w:szCs w:val="16"/>
                                </w:rPr>
                                <w:t xml:space="preserve">Lac; gums, </w:t>
                              </w:r>
                            </w:p>
                          </w:txbxContent>
                        </wps:txbx>
                        <wps:bodyPr rot="0" vert="horz" wrap="none" lIns="0" tIns="0" rIns="0" bIns="0" anchor="t" anchorCtr="0" upright="1">
                          <a:spAutoFit/>
                        </wps:bodyPr>
                      </wps:wsp>
                      <wps:wsp>
                        <wps:cNvPr id="44" name="Rectangle 55"/>
                        <wps:cNvSpPr>
                          <a:spLocks noChangeArrowheads="1"/>
                        </wps:cNvSpPr>
                        <wps:spPr bwMode="auto">
                          <a:xfrm>
                            <a:off x="1229360" y="706755"/>
                            <a:ext cx="2425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6"/>
                                  <w:szCs w:val="16"/>
                                </w:rPr>
                                <w:t xml:space="preserve">resins </w:t>
                              </w:r>
                            </w:p>
                          </w:txbxContent>
                        </wps:txbx>
                        <wps:bodyPr rot="0" vert="horz" wrap="none" lIns="0" tIns="0" rIns="0" bIns="0" anchor="t" anchorCtr="0" upright="1">
                          <a:spAutoFit/>
                        </wps:bodyPr>
                      </wps:wsp>
                      <wps:wsp>
                        <wps:cNvPr id="45" name="Rectangle 56"/>
                        <wps:cNvSpPr>
                          <a:spLocks noChangeArrowheads="1"/>
                        </wps:cNvSpPr>
                        <wps:spPr bwMode="auto">
                          <a:xfrm>
                            <a:off x="1287145" y="1183640"/>
                            <a:ext cx="59880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6"/>
                                  <w:szCs w:val="16"/>
                                </w:rPr>
                                <w:t xml:space="preserve">Raw hides and </w:t>
                              </w:r>
                            </w:p>
                          </w:txbxContent>
                        </wps:txbx>
                        <wps:bodyPr rot="0" vert="horz" wrap="none" lIns="0" tIns="0" rIns="0" bIns="0" anchor="t" anchorCtr="0" upright="1">
                          <a:spAutoFit/>
                        </wps:bodyPr>
                      </wps:wsp>
                      <wps:wsp>
                        <wps:cNvPr id="46" name="Rectangle 57"/>
                        <wps:cNvSpPr>
                          <a:spLocks noChangeArrowheads="1"/>
                        </wps:cNvSpPr>
                        <wps:spPr bwMode="auto">
                          <a:xfrm>
                            <a:off x="1459230" y="1316355"/>
                            <a:ext cx="20256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6"/>
                                  <w:szCs w:val="16"/>
                                </w:rPr>
                                <w:t xml:space="preserve">skins </w:t>
                              </w:r>
                            </w:p>
                          </w:txbxContent>
                        </wps:txbx>
                        <wps:bodyPr rot="0" vert="horz" wrap="none" lIns="0" tIns="0" rIns="0" bIns="0" anchor="t" anchorCtr="0" upright="1">
                          <a:spAutoFit/>
                        </wps:bodyPr>
                      </wps:wsp>
                      <wps:wsp>
                        <wps:cNvPr id="48" name="Rectangle 58"/>
                        <wps:cNvSpPr>
                          <a:spLocks noChangeArrowheads="1"/>
                        </wps:cNvSpPr>
                        <wps:spPr bwMode="auto">
                          <a:xfrm>
                            <a:off x="1613535" y="728345"/>
                            <a:ext cx="39941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6"/>
                                  <w:szCs w:val="16"/>
                                </w:rPr>
                                <w:t xml:space="preserve">Wool and </w:t>
                              </w:r>
                            </w:p>
                          </w:txbxContent>
                        </wps:txbx>
                        <wps:bodyPr rot="0" vert="horz" wrap="none" lIns="0" tIns="0" rIns="0" bIns="0" anchor="t" anchorCtr="0" upright="1">
                          <a:spAutoFit/>
                        </wps:bodyPr>
                      </wps:wsp>
                      <wps:wsp>
                        <wps:cNvPr id="50" name="Rectangle 59"/>
                        <wps:cNvSpPr>
                          <a:spLocks noChangeArrowheads="1"/>
                        </wps:cNvSpPr>
                        <wps:spPr bwMode="auto">
                          <a:xfrm>
                            <a:off x="1574800" y="861060"/>
                            <a:ext cx="46228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6"/>
                                  <w:szCs w:val="16"/>
                                </w:rPr>
                                <w:t>animal hair</w:t>
                              </w:r>
                            </w:p>
                          </w:txbxContent>
                        </wps:txbx>
                        <wps:bodyPr rot="0" vert="horz" wrap="none" lIns="0" tIns="0" rIns="0" bIns="0" anchor="t" anchorCtr="0" upright="1">
                          <a:spAutoFit/>
                        </wps:bodyPr>
                      </wps:wsp>
                      <wps:wsp>
                        <wps:cNvPr id="51" name="Rectangle 60"/>
                        <wps:cNvSpPr>
                          <a:spLocks noChangeArrowheads="1"/>
                        </wps:cNvSpPr>
                        <wps:spPr bwMode="auto">
                          <a:xfrm>
                            <a:off x="1865630" y="1662430"/>
                            <a:ext cx="31623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6"/>
                                  <w:szCs w:val="16"/>
                                </w:rPr>
                                <w:t>Carpets</w:t>
                              </w:r>
                            </w:p>
                          </w:txbxContent>
                        </wps:txbx>
                        <wps:bodyPr rot="0" vert="horz" wrap="none" lIns="0" tIns="0" rIns="0" bIns="0" anchor="t" anchorCtr="0" upright="1">
                          <a:spAutoFit/>
                        </wps:bodyPr>
                      </wps:wsp>
                      <wps:wsp>
                        <wps:cNvPr id="52" name="Rectangle 61"/>
                        <wps:cNvSpPr>
                          <a:spLocks noChangeArrowheads="1"/>
                        </wps:cNvSpPr>
                        <wps:spPr bwMode="auto">
                          <a:xfrm>
                            <a:off x="2105025" y="1080770"/>
                            <a:ext cx="49022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6"/>
                                  <w:szCs w:val="16"/>
                                </w:rPr>
                                <w:t>Art of stone</w:t>
                              </w:r>
                            </w:p>
                          </w:txbxContent>
                        </wps:txbx>
                        <wps:bodyPr rot="0" vert="horz" wrap="none" lIns="0" tIns="0" rIns="0" bIns="0" anchor="t" anchorCtr="0" upright="1">
                          <a:spAutoFit/>
                        </wps:bodyPr>
                      </wps:wsp>
                      <wps:wsp>
                        <wps:cNvPr id="53" name="Rectangle 62"/>
                        <wps:cNvSpPr>
                          <a:spLocks noChangeArrowheads="1"/>
                        </wps:cNvSpPr>
                        <wps:spPr bwMode="auto">
                          <a:xfrm>
                            <a:off x="2347595" y="710565"/>
                            <a:ext cx="2806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6"/>
                                  <w:szCs w:val="16"/>
                                </w:rPr>
                                <w:t>Others</w:t>
                              </w:r>
                            </w:p>
                          </w:txbxContent>
                        </wps:txbx>
                        <wps:bodyPr rot="0" vert="horz" wrap="none" lIns="0" tIns="0" rIns="0" bIns="0" anchor="t" anchorCtr="0" upright="1">
                          <a:spAutoFit/>
                        </wps:bodyPr>
                      </wps:wsp>
                      <wps:wsp>
                        <wps:cNvPr id="54" name="Rectangle 63"/>
                        <wps:cNvSpPr>
                          <a:spLocks noChangeArrowheads="1"/>
                        </wps:cNvSpPr>
                        <wps:spPr bwMode="auto">
                          <a:xfrm>
                            <a:off x="186055" y="1823720"/>
                            <a:ext cx="3111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6"/>
                                  <w:szCs w:val="16"/>
                                </w:rPr>
                                <w:t>-</w:t>
                              </w:r>
                            </w:p>
                          </w:txbxContent>
                        </wps:txbx>
                        <wps:bodyPr rot="0" vert="horz" wrap="none" lIns="0" tIns="0" rIns="0" bIns="0" anchor="t" anchorCtr="0" upright="1">
                          <a:spAutoFit/>
                        </wps:bodyPr>
                      </wps:wsp>
                      <wps:wsp>
                        <wps:cNvPr id="56" name="Rectangle 64"/>
                        <wps:cNvSpPr>
                          <a:spLocks noChangeArrowheads="1"/>
                        </wps:cNvSpPr>
                        <wps:spPr bwMode="auto">
                          <a:xfrm>
                            <a:off x="213360" y="1823720"/>
                            <a:ext cx="22733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6"/>
                                  <w:szCs w:val="16"/>
                                </w:rPr>
                                <w:t>150%</w:t>
                              </w:r>
                            </w:p>
                          </w:txbxContent>
                        </wps:txbx>
                        <wps:bodyPr rot="0" vert="horz" wrap="none" lIns="0" tIns="0" rIns="0" bIns="0" anchor="t" anchorCtr="0" upright="1">
                          <a:spAutoFit/>
                        </wps:bodyPr>
                      </wps:wsp>
                      <wps:wsp>
                        <wps:cNvPr id="57" name="Rectangle 65"/>
                        <wps:cNvSpPr>
                          <a:spLocks noChangeArrowheads="1"/>
                        </wps:cNvSpPr>
                        <wps:spPr bwMode="auto">
                          <a:xfrm>
                            <a:off x="186055" y="1530350"/>
                            <a:ext cx="3111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6"/>
                                  <w:szCs w:val="16"/>
                                </w:rPr>
                                <w:t>-</w:t>
                              </w:r>
                            </w:p>
                          </w:txbxContent>
                        </wps:txbx>
                        <wps:bodyPr rot="0" vert="horz" wrap="none" lIns="0" tIns="0" rIns="0" bIns="0" anchor="t" anchorCtr="0" upright="1">
                          <a:spAutoFit/>
                        </wps:bodyPr>
                      </wps:wsp>
                      <wps:wsp>
                        <wps:cNvPr id="58" name="Rectangle 66"/>
                        <wps:cNvSpPr>
                          <a:spLocks noChangeArrowheads="1"/>
                        </wps:cNvSpPr>
                        <wps:spPr bwMode="auto">
                          <a:xfrm>
                            <a:off x="213360" y="1530350"/>
                            <a:ext cx="22733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6"/>
                                  <w:szCs w:val="16"/>
                                </w:rPr>
                                <w:t>100%</w:t>
                              </w:r>
                            </w:p>
                          </w:txbxContent>
                        </wps:txbx>
                        <wps:bodyPr rot="0" vert="horz" wrap="none" lIns="0" tIns="0" rIns="0" bIns="0" anchor="t" anchorCtr="0" upright="1">
                          <a:spAutoFit/>
                        </wps:bodyPr>
                      </wps:wsp>
                      <wps:wsp>
                        <wps:cNvPr id="59" name="Rectangle 67"/>
                        <wps:cNvSpPr>
                          <a:spLocks noChangeArrowheads="1"/>
                        </wps:cNvSpPr>
                        <wps:spPr bwMode="auto">
                          <a:xfrm>
                            <a:off x="230505" y="1237615"/>
                            <a:ext cx="3111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6"/>
                                  <w:szCs w:val="16"/>
                                </w:rPr>
                                <w:t>-</w:t>
                              </w:r>
                            </w:p>
                          </w:txbxContent>
                        </wps:txbx>
                        <wps:bodyPr rot="0" vert="horz" wrap="none" lIns="0" tIns="0" rIns="0" bIns="0" anchor="t" anchorCtr="0" upright="1">
                          <a:spAutoFit/>
                        </wps:bodyPr>
                      </wps:wsp>
                      <wps:wsp>
                        <wps:cNvPr id="60" name="Rectangle 68"/>
                        <wps:cNvSpPr>
                          <a:spLocks noChangeArrowheads="1"/>
                        </wps:cNvSpPr>
                        <wps:spPr bwMode="auto">
                          <a:xfrm>
                            <a:off x="258445" y="1237615"/>
                            <a:ext cx="1758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6"/>
                                  <w:szCs w:val="16"/>
                                </w:rPr>
                                <w:t>50%</w:t>
                              </w:r>
                            </w:p>
                          </w:txbxContent>
                        </wps:txbx>
                        <wps:bodyPr rot="0" vert="horz" wrap="none" lIns="0" tIns="0" rIns="0" bIns="0" anchor="t" anchorCtr="0" upright="1">
                          <a:spAutoFit/>
                        </wps:bodyPr>
                      </wps:wsp>
                      <wps:wsp>
                        <wps:cNvPr id="61" name="Rectangle 69"/>
                        <wps:cNvSpPr>
                          <a:spLocks noChangeArrowheads="1"/>
                        </wps:cNvSpPr>
                        <wps:spPr bwMode="auto">
                          <a:xfrm>
                            <a:off x="305435" y="944245"/>
                            <a:ext cx="12446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6"/>
                                  <w:szCs w:val="16"/>
                                </w:rPr>
                                <w:t>0%</w:t>
                              </w:r>
                            </w:p>
                          </w:txbxContent>
                        </wps:txbx>
                        <wps:bodyPr rot="0" vert="horz" wrap="none" lIns="0" tIns="0" rIns="0" bIns="0" anchor="t" anchorCtr="0" upright="1">
                          <a:spAutoFit/>
                        </wps:bodyPr>
                      </wps:wsp>
                      <wps:wsp>
                        <wps:cNvPr id="62" name="Rectangle 70"/>
                        <wps:cNvSpPr>
                          <a:spLocks noChangeArrowheads="1"/>
                        </wps:cNvSpPr>
                        <wps:spPr bwMode="auto">
                          <a:xfrm>
                            <a:off x="260985" y="651510"/>
                            <a:ext cx="1758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6"/>
                                  <w:szCs w:val="16"/>
                                </w:rPr>
                                <w:t>50%</w:t>
                              </w:r>
                            </w:p>
                          </w:txbxContent>
                        </wps:txbx>
                        <wps:bodyPr rot="0" vert="horz" wrap="none" lIns="0" tIns="0" rIns="0" bIns="0" anchor="t" anchorCtr="0" upright="1">
                          <a:spAutoFit/>
                        </wps:bodyPr>
                      </wps:wsp>
                      <wps:wsp>
                        <wps:cNvPr id="63" name="Rectangle 71"/>
                        <wps:cNvSpPr>
                          <a:spLocks noChangeArrowheads="1"/>
                        </wps:cNvSpPr>
                        <wps:spPr bwMode="auto">
                          <a:xfrm>
                            <a:off x="215900" y="358140"/>
                            <a:ext cx="22733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6"/>
                                  <w:szCs w:val="16"/>
                                </w:rPr>
                                <w:t>100%</w:t>
                              </w:r>
                            </w:p>
                          </w:txbxContent>
                        </wps:txbx>
                        <wps:bodyPr rot="0" vert="horz" wrap="none" lIns="0" tIns="0" rIns="0" bIns="0" anchor="t" anchorCtr="0" upright="1">
                          <a:spAutoFit/>
                        </wps:bodyPr>
                      </wps:wsp>
                      <wps:wsp>
                        <wps:cNvPr id="1728" name="Rectangle 72"/>
                        <wps:cNvSpPr>
                          <a:spLocks noChangeArrowheads="1"/>
                        </wps:cNvSpPr>
                        <wps:spPr bwMode="auto">
                          <a:xfrm>
                            <a:off x="215900" y="65405"/>
                            <a:ext cx="22733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6"/>
                                  <w:szCs w:val="16"/>
                                </w:rPr>
                                <w:t>150%</w:t>
                              </w:r>
                            </w:p>
                          </w:txbxContent>
                        </wps:txbx>
                        <wps:bodyPr rot="0" vert="horz" wrap="none" lIns="0" tIns="0" rIns="0" bIns="0" anchor="t" anchorCtr="0" upright="1">
                          <a:spAutoFit/>
                        </wps:bodyPr>
                      </wps:wsp>
                      <wps:wsp>
                        <wps:cNvPr id="1729" name="Rectangle 73"/>
                        <wps:cNvSpPr>
                          <a:spLocks noChangeArrowheads="1"/>
                        </wps:cNvSpPr>
                        <wps:spPr bwMode="auto">
                          <a:xfrm>
                            <a:off x="127000" y="1506220"/>
                            <a:ext cx="12255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b/>
                                  <w:bCs/>
                                  <w:color w:val="000000"/>
                                  <w:sz w:val="2"/>
                                  <w:szCs w:val="2"/>
                                </w:rPr>
                                <w:t xml:space="preserve">Share of export growth </w:t>
                              </w:r>
                            </w:p>
                          </w:txbxContent>
                        </wps:txbx>
                        <wps:bodyPr rot="0" vert="horz" wrap="none" lIns="0" tIns="0" rIns="0" bIns="0" anchor="t" anchorCtr="0" upright="1">
                          <a:spAutoFit/>
                        </wps:bodyPr>
                      </wps:wsp>
                      <wps:wsp>
                        <wps:cNvPr id="1730" name="Rectangle 74"/>
                        <wps:cNvSpPr>
                          <a:spLocks noChangeArrowheads="1"/>
                        </wps:cNvSpPr>
                        <wps:spPr bwMode="auto">
                          <a:xfrm>
                            <a:off x="2065655" y="196215"/>
                            <a:ext cx="49530" cy="59690"/>
                          </a:xfrm>
                          <a:prstGeom prst="rect">
                            <a:avLst/>
                          </a:prstGeom>
                          <a:solidFill>
                            <a:srgbClr val="BAB0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1" name="Rectangle 75"/>
                        <wps:cNvSpPr>
                          <a:spLocks noChangeArrowheads="1"/>
                        </wps:cNvSpPr>
                        <wps:spPr bwMode="auto">
                          <a:xfrm>
                            <a:off x="2136775" y="154940"/>
                            <a:ext cx="57721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6"/>
                                  <w:szCs w:val="16"/>
                                </w:rPr>
                                <w:t>New Products</w:t>
                              </w:r>
                            </w:p>
                          </w:txbxContent>
                        </wps:txbx>
                        <wps:bodyPr rot="0" vert="horz" wrap="none" lIns="0" tIns="0" rIns="0" bIns="0" anchor="t" anchorCtr="0" upright="1">
                          <a:spAutoFit/>
                        </wps:bodyPr>
                      </wps:wsp>
                      <wps:wsp>
                        <wps:cNvPr id="1732" name="Rectangle 76"/>
                        <wps:cNvSpPr>
                          <a:spLocks noChangeArrowheads="1"/>
                        </wps:cNvSpPr>
                        <wps:spPr bwMode="auto">
                          <a:xfrm>
                            <a:off x="2065655" y="355600"/>
                            <a:ext cx="49530" cy="66675"/>
                          </a:xfrm>
                          <a:prstGeom prst="rect">
                            <a:avLst/>
                          </a:prstGeom>
                          <a:solidFill>
                            <a:srgbClr val="8064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 name="Rectangle 77"/>
                        <wps:cNvSpPr>
                          <a:spLocks noChangeArrowheads="1"/>
                        </wps:cNvSpPr>
                        <wps:spPr bwMode="auto">
                          <a:xfrm>
                            <a:off x="2136775" y="320040"/>
                            <a:ext cx="55372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6"/>
                                  <w:szCs w:val="16"/>
                                </w:rPr>
                                <w:t>New Markets</w:t>
                              </w:r>
                            </w:p>
                          </w:txbxContent>
                        </wps:txbx>
                        <wps:bodyPr rot="0" vert="horz" wrap="none" lIns="0" tIns="0" rIns="0" bIns="0" anchor="t" anchorCtr="0" upright="1">
                          <a:spAutoFit/>
                        </wps:bodyPr>
                      </wps:wsp>
                      <wps:wsp>
                        <wps:cNvPr id="1734" name="Rectangle 78"/>
                        <wps:cNvSpPr>
                          <a:spLocks noChangeArrowheads="1"/>
                        </wps:cNvSpPr>
                        <wps:spPr bwMode="auto">
                          <a:xfrm>
                            <a:off x="2065655" y="521970"/>
                            <a:ext cx="49530" cy="66040"/>
                          </a:xfrm>
                          <a:prstGeom prst="rect">
                            <a:avLst/>
                          </a:prstGeom>
                          <a:solidFill>
                            <a:srgbClr val="D996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5" name="Rectangle 79"/>
                        <wps:cNvSpPr>
                          <a:spLocks noChangeArrowheads="1"/>
                        </wps:cNvSpPr>
                        <wps:spPr bwMode="auto">
                          <a:xfrm>
                            <a:off x="2136775" y="485140"/>
                            <a:ext cx="77978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rsidP="00A31296">
                              <w:r>
                                <w:rPr>
                                  <w:rFonts w:ascii="Calibri" w:hAnsi="Calibri" w:cs="Calibri"/>
                                  <w:color w:val="000000"/>
                                  <w:sz w:val="16"/>
                                  <w:szCs w:val="16"/>
                                </w:rPr>
                                <w:t>Intensive margins*</w:t>
                              </w:r>
                            </w:p>
                          </w:txbxContent>
                        </wps:txbx>
                        <wps:bodyPr rot="0" vert="horz" wrap="none" lIns="0" tIns="0" rIns="0" bIns="0" anchor="t" anchorCtr="0" upright="1">
                          <a:spAutoFit/>
                        </wps:bodyPr>
                      </wps:wsp>
                    </wpc:wpc>
                  </a:graphicData>
                </a:graphic>
              </wp:inline>
            </w:drawing>
          </mc:Choice>
          <mc:Fallback>
            <w:pict>
              <v:group id="Canvas 41" o:spid="_x0000_s1057" editas="canvas" style="width:229.65pt;height:164.85pt;mso-position-horizontal-relative:char;mso-position-vertical-relative:line" coordsize="29165,20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">
                <v:shape id="_x0000_s1058" type="#_x0000_t75" style="position:absolute;width:29165;height:20935;visibility:visible;mso-wrap-style:square">
                  <v:fill o:detectmouseclick="t"/>
                  <v:path o:connecttype="none"/>
                </v:shape>
                <v:shape id="Freeform 42" o:spid="_x0000_s1059" style="position:absolute;left:5607;top:4222;width:19545;height:11633;visibility:visible;mso-wrap-style:square;v-text-anchor:top" coordsize="3078,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j278A&#10;AADcAAAADwAAAGRycy9kb3ducmV2LnhtbERPzYrCMBC+L/gOYQRva6IVlWqUIgrrwYPVBxiasS02&#10;k9JErW9vDgseP77/9ba3jXhS52vHGiZjBYK4cKbmUsP1cvhdgvAB2WDjmDS8ycN2M/hZY2rci8/0&#10;zEMpYgj7FDVUIbSplL6oyKIfu5Y4cjfXWQwRdqU0Hb5iuG3kVKm5tFhzbKiwpV1FxT1/WA37SZ41&#10;/ekod8niWKplcp9lZ6X1aNhnKxCB+vAV/7v/jIZpEufHM/EI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AePbvwAAANwAAAAPAAAAAAAAAAAAAAAAAJgCAABkcnMvZG93bnJl&#10;di54bWxQSwUGAAAAAAQABAD1AAAAhAMAAAAA&#10;" path="m,921r148,l148,931,,931,,921xm367,l516,r,931l367,931,367,xm734,743r149,l883,931r-149,l734,743xm1101,785r149,l1250,931r-149,l1101,785xm1469,931r148,l1617,1193r-148,l1469,931xm1836,910r149,l1985,931r-149,l1836,910xm2203,931r140,l2343,1832r-140,l2203,931xm2929,921r149,l3078,931r-149,l2929,921xe" fillcolor="#d99694" stroked="f">
                  <v:path arrowok="t" o:connecttype="custom" o:connectlocs="0,584835;93980,584835;93980,591185;0,591185;0,584835;233045,0;327660,0;327660,591185;233045,591185;233045,0;466090,471805;560705,471805;560705,591185;466090,591185;466090,471805;699135,498475;793750,498475;793750,591185;699135,591185;699135,498475;932815,591185;1026795,591185;1026795,757555;932815,757555;932815,591185;1165860,577850;1260475,577850;1260475,591185;1165860,591185;1165860,577850;1398905,591185;1487805,591185;1487805,1163320;1398905,1163320;1398905,591185;1859915,584835;1954530,584835;1954530,591185;1859915,591185;1859915,584835" o:connectangles="0,0,0,0,0,0,0,0,0,0,0,0,0,0,0,0,0,0,0,0,0,0,0,0,0,0,0,0,0,0,0,0,0,0,0,0,0,0,0,0"/>
                  <o:lock v:ext="edit" verticies="t"/>
                </v:shape>
                <v:shape id="Freeform 43" o:spid="_x0000_s1060" style="position:absolute;left:5607;top:3556;width:19545;height:6578;visibility:visible;mso-wrap-style:square;v-text-anchor:top" coordsize="3078,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N/MsQA&#10;AADcAAAADwAAAGRycy9kb3ducmV2LnhtbESP3YrCMBSE74V9h3CEvdPUsohWo4goCHqx/jzAoTm2&#10;pc1JN4m2vr1ZWNjLYWa+YZbr3jTiSc5XlhVMxgkI4tzqigsFt+t+NAPhA7LGxjIpeJGH9epjsMRM&#10;247P9LyEQkQI+wwVlCG0mZQ+L8mgH9uWOHp36wyGKF0htcMuwk0j0ySZSoMVx4USW9qWlNeXh1GQ&#10;b+ep1el3N28Pp9oddz91vZsq9TnsNwsQgfrwH/5rH7SC9GsCv2fiEZ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TfzLEAAAA3AAAAA8AAAAAAAAAAAAAAAAAmAIAAGRycy9k&#10;b3ducmV2LnhtbFBLBQYAAAAABAAEAPUAAACJAwAAAAA=&#10;" path="m,1015r148,l148,1026,,1026r,-11xm367,l516,r,105l367,105,367,xm734,754r149,l883,848r-149,l734,754xm1101,785r149,l1250,890r-149,l1101,785xm1469,1026r148,l1617,1036r-148,l1469,1026xm1836,1005r149,l1985,1015r-149,l1836,1005xm2203,1026r140,l2343,1036r-140,l2203,1026xm2929,1026r149,l3078,1036r-149,l2929,1026xe" fillcolor="#8064a2" stroked="f">
                  <v:path arrowok="t" o:connecttype="custom" o:connectlocs="0,644525;93980,644525;93980,651510;0,651510;0,644525;233045,0;327660,0;327660,66675;233045,66675;233045,0;466090,478790;560705,478790;560705,538480;466090,538480;466090,478790;699135,498475;793750,498475;793750,565150;699135,565150;699135,498475;932815,651510;1026795,651510;1026795,657860;932815,657860;932815,651510;1165860,638175;1260475,638175;1260475,644525;1165860,644525;1165860,638175;1398905,651510;1487805,651510;1487805,657860;1398905,657860;1398905,651510;1859915,651510;1954530,651510;1954530,657860;1859915,657860;1859915,651510" o:connectangles="0,0,0,0,0,0,0,0,0,0,0,0,0,0,0,0,0,0,0,0,0,0,0,0,0,0,0,0,0,0,0,0,0,0,0,0,0,0,0,0"/>
                  <o:lock v:ext="edit" verticies="t"/>
                </v:shape>
                <v:shape id="Freeform 44" o:spid="_x0000_s1061" style="position:absolute;left:5607;top:2959;width:19545;height:7175;visibility:visible;mso-wrap-style:square;v-text-anchor:top" coordsize="3078,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bhsUA&#10;AADcAAAADwAAAGRycy9kb3ducmV2LnhtbESPT4vCMBTE74LfIbyFvdl0i/+oRhHdBS+CdteDt0fz&#10;bIvNS2midr+9EQSPw8z8hpkvO1OLG7WusqzgK4pBEOdWV1wo+Pv9GUxBOI+ssbZMCv7JwXLR780x&#10;1fbOB7plvhABwi5FBaX3TSqly0sy6CLbEAfvbFuDPsi2kLrFe4CbWiZxPJYGKw4LJTa0Lim/ZFej&#10;YJSPq2KyPV3WEzfcZ5vvnTsetVKfH91qBsJT59/hV3urFSTDB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huGxQAAANwAAAAPAAAAAAAAAAAAAAAAAJgCAABkcnMv&#10;ZG93bnJldi54bWxQSwUGAAAAAAQABAD1AAAAigMAAAAA&#10;" path="m,1015r148,l148,1109,,1109r,-94xm367,l516,r,94l367,94,367,xm2571,1078r140,l2711,1130r-140,l2571,1078xm2929,900r149,l3078,1120r-149,l2929,900xe" fillcolor="#bab0c9" stroked="f">
                  <v:path arrowok="t" o:connecttype="custom" o:connectlocs="0,644525;93980,644525;93980,704215;0,704215;0,644525;233045,0;327660,0;327660,59690;233045,59690;233045,0;1632585,684530;1721485,684530;1721485,717550;1632585,717550;1632585,684530;1859915,571500;1954530,571500;1954530,711200;1859915,711200;1859915,571500" o:connectangles="0,0,0,0,0,0,0,0,0,0,0,0,0,0,0,0,0,0,0,0"/>
                  <o:lock v:ext="edit" verticies="t"/>
                </v:shape>
                <v:rect id="Rectangle 45" o:spid="_x0000_s1062" style="position:absolute;left:4883;top:1327;width:57;height:17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G8cQA&#10;AADcAAAADwAAAGRycy9kb3ducmV2LnhtbESPQWsCMRCF74X+hzAFbzXrurRlNUoRBG+ibQ+9TTfj&#10;ZutmsiRxXf+9EQSPjzfve/Pmy8G2oicfGscKJuMMBHHldMO1gu+v9esHiBCRNbaOScGFAiwXz09z&#10;LLU78476faxFgnAoUYGJsSulDJUhi2HsOuLkHZy3GJP0tdQezwluW5ln2Zu02HBqMNjRylB13J9s&#10;esOb4rft313xf/zbrnw+obz7UWr0MnzOQEQa4uP4nt5oBXkxhduYRA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QRvHEAAAA3AAAAA8AAAAAAAAAAAAAAAAAmAIAAGRycy9k&#10;b3ducmV2LnhtbFBLBQYAAAAABAAEAPUAAACJAwAAAAA=&#10;" fillcolor="#868686" strokecolor="#868686" strokeweight=".45pt">
                  <v:stroke joinstyle="bevel"/>
                </v:rect>
                <v:shape id="Freeform 46" o:spid="_x0000_s1063" style="position:absolute;left:4635;top:1295;width:273;height:17615;visibility:visible;mso-wrap-style:square;v-text-anchor:top" coordsize="43,2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2LwcIA&#10;AADcAAAADwAAAGRycy9kb3ducmV2LnhtbESPQWsCMRSE7wX/Q3iCt5pVtMrWKCIVvImr4PU1ee5u&#10;u3lZklRXf70pFHocZuYbZrHqbCOu5EPtWMFomIEg1s7UXCo4HbevcxAhIhtsHJOCOwVYLXsvC8yN&#10;u/GBrkUsRYJwyFFBFWObSxl0RRbD0LXEybs4bzEm6UtpPN4S3DZynGVv0mLNaaHCljYV6e/ixypA&#10;vzeagpPTL72eFvcP+fk4X5Qa9Lv1O4hIXfwP/7V3RsF4MoPfM+k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YvBwgAAANwAAAAPAAAAAAAAAAAAAAAAAJgCAABkcnMvZG93&#10;bnJldi54bWxQSwUGAAAAAAQABAD1AAAAhwMAAAAA&#10;" path="m,2764r43,l43,2774r-43,l,2764xm,2303r43,l43,2314r-43,l,2303xm,1843r43,l43,1853r-43,l,1843xm,1382r43,l43,1392r-43,l,1382xm,921r43,l43,932,,932,,921xm,461r43,l43,471,,471,,461xm,l43,r,11l,11,,xe" fillcolor="#868686" strokecolor="#868686" strokeweight=".45pt">
                  <v:stroke joinstyle="bevel"/>
                  <v:path arrowok="t" o:connecttype="custom" o:connectlocs="0,1755140;27305,1755140;27305,1761490;0,1761490;0,1755140;0,1462405;27305,1462405;27305,1469390;0,1469390;0,1462405;0,1170305;27305,1170305;27305,1176655;0,1176655;0,1170305;0,877570;27305,877570;27305,883920;0,883920;0,877570;0,584835;27305,584835;27305,591820;0,591820;0,584835;0,292735;27305,292735;27305,299085;0,299085;0,292735;0,0;27305,0;27305,6985;0,6985;0,0" o:connectangles="0,0,0,0,0,0,0,0,0,0,0,0,0,0,0,0,0,0,0,0,0,0,0,0,0,0,0,0,0,0,0,0,0,0,0"/>
                  <o:lock v:ext="edit" verticies="t"/>
                </v:shape>
                <v:rect id="Rectangle 47" o:spid="_x0000_s1064" style="position:absolute;left:4908;top:10071;width:20936;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IWMQA&#10;AADcAAAADwAAAGRycy9kb3ducmV2LnhtbESPQWsCMRCF7wX/QxjBW826bKusRhGh4E1q24O3cTNu&#10;VjeTJUnX9d83hUKPjzfve/NWm8G2oicfGscKZtMMBHHldMO1gs+Pt+cFiBCRNbaOScGDAmzWo6cV&#10;ltrd+Z36Y6xFgnAoUYGJsSulDJUhi2HqOuLkXZy3GJP0tdQe7wluW5ln2au02HBqMNjRzlB1O37b&#10;9IY3xant56643s6Hnc9nlHdfSk3Gw3YJItIQ/4//0nutIH8p4HdMI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gSFjEAAAA3AAAAA8AAAAAAAAAAAAAAAAAmAIAAGRycy9k&#10;b3ducmV2LnhtbFBLBQYAAAAABAAEAPUAAACJAwAAAAA=&#10;" fillcolor="#868686" strokecolor="#868686" strokeweight=".45pt">
                  <v:stroke joinstyle="bevel"/>
                </v:rect>
                <v:shape id="Freeform 48" o:spid="_x0000_s1065" style="position:absolute;left:4883;top:10102;width:20993;height:337;visibility:visible;mso-wrap-style:square;v-text-anchor:top" coordsize="33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6tsQA&#10;AADcAAAADwAAAGRycy9kb3ducmV2LnhtbESPQWsCMRSE7wX/Q3hCbzWrsLauRhFFkF7aqgePj81z&#10;s5q8LJvobv99Uyj0OMzMN8xi1TsrHtSG2rOC8SgDQVx6XXOl4HTcvbyBCBFZo/VMCr4pwGo5eFpg&#10;oX3HX/Q4xEokCIcCFZgYm0LKUBpyGEa+IU7exbcOY5JtJXWLXYI7KydZNpUOa04LBhvaGCpvh7tT&#10;YF+PpZ19rqUx+1xOP7rt+Z2uSj0P+/UcRKQ+/of/2nutYJLn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hOrbEAAAA3AAAAA8AAAAAAAAAAAAAAAAAmAIAAGRycy9k&#10;b3ducmV2LnhtbFBLBQYAAAAABAAEAPUAAACJAwAAAAA=&#10;" path="m9,r,53l,53,,,9,xm376,r,53l367,53,367,r9,xm743,r,53l734,53,734,r9,xm1111,r,53l1102,53r,-53l1111,xm1478,r,53l1469,53r,-53l1478,xm1845,r,53l1836,53r,-53l1845,xm2212,r,53l2204,53r,-53l2212,xm2571,r,53l2562,53r,-53l2571,xm2938,r,53l2930,53r,-53l2938,xm3306,r,53l3297,53r,-53l3306,xe" fillcolor="#868686" strokecolor="#868686" strokeweight=".45pt">
                  <v:stroke joinstyle="bevel"/>
                  <v:path arrowok="t" o:connecttype="custom" o:connectlocs="5715,0;5715,33655;0,33655;0,0;5715,0;238760,0;238760,33655;233045,33655;233045,0;238760,0;471805,0;471805,33655;466090,33655;466090,0;471805,0;705485,0;705485,33655;699770,33655;699770,0;705485,0;938530,0;938530,33655;932815,33655;932815,0;938530,0;1171575,0;1171575,33655;1165860,33655;1165860,0;1171575,0;1404620,0;1404620,33655;1399540,33655;1399540,0;1404620,0;1632585,0;1632585,33655;1626870,33655;1626870,0;1632585,0;1865630,0;1865630,33655;1860550,33655;1860550,0;1865630,0;2099310,0;2099310,33655;2093595,33655;2093595,0;2099310,0" o:connectangles="0,0,0,0,0,0,0,0,0,0,0,0,0,0,0,0,0,0,0,0,0,0,0,0,0,0,0,0,0,0,0,0,0,0,0,0,0,0,0,0,0,0,0,0,0,0,0,0,0,0"/>
                  <o:lock v:ext="edit" verticies="t"/>
                </v:shape>
                <v:rect id="Rectangle 49" o:spid="_x0000_s1066" style="position:absolute;left:5207;top:7169;width:2540;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FE3E5A" w:rsidRDefault="00FE3E5A" w:rsidP="00A31296">
                        <w:r>
                          <w:rPr>
                            <w:rFonts w:ascii="Calibri" w:hAnsi="Calibri" w:cs="Calibri"/>
                            <w:color w:val="000000"/>
                            <w:sz w:val="16"/>
                            <w:szCs w:val="16"/>
                          </w:rPr>
                          <w:t xml:space="preserve">Edible </w:t>
                        </w:r>
                      </w:p>
                    </w:txbxContent>
                  </v:textbox>
                </v:rect>
                <v:rect id="Rectangle 50" o:spid="_x0000_s1067" style="position:absolute;left:4375;top:8496;width:4451;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FE3E5A" w:rsidRDefault="00FE3E5A" w:rsidP="00A31296">
                        <w:r>
                          <w:rPr>
                            <w:rFonts w:ascii="Calibri" w:hAnsi="Calibri" w:cs="Calibri"/>
                            <w:color w:val="000000"/>
                            <w:sz w:val="16"/>
                            <w:szCs w:val="16"/>
                          </w:rPr>
                          <w:t xml:space="preserve">vegetables </w:t>
                        </w:r>
                      </w:p>
                    </w:txbxContent>
                  </v:textbox>
                </v:rect>
                <v:rect id="Rectangle 51" o:spid="_x0000_s1068" style="position:absolute;left:6794;top:622;width:4540;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FE3E5A" w:rsidRDefault="00FE3E5A" w:rsidP="00A31296">
                        <w:r>
                          <w:rPr>
                            <w:rFonts w:ascii="Calibri" w:hAnsi="Calibri" w:cs="Calibri"/>
                            <w:color w:val="000000"/>
                            <w:sz w:val="16"/>
                            <w:szCs w:val="16"/>
                          </w:rPr>
                          <w:t xml:space="preserve">Edible fruit </w:t>
                        </w:r>
                      </w:p>
                    </w:txbxContent>
                  </v:textbox>
                </v:rect>
                <v:rect id="Rectangle 52" o:spid="_x0000_s1069" style="position:absolute;left:7239;top:1949;width:359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FE3E5A" w:rsidRDefault="00FE3E5A" w:rsidP="00A31296">
                        <w:r>
                          <w:rPr>
                            <w:rFonts w:ascii="Calibri" w:hAnsi="Calibri" w:cs="Calibri"/>
                            <w:color w:val="000000"/>
                            <w:sz w:val="16"/>
                            <w:szCs w:val="16"/>
                          </w:rPr>
                          <w:t>and nuts</w:t>
                        </w:r>
                      </w:p>
                    </w:txbxContent>
                  </v:textbox>
                </v:rect>
                <v:rect id="Rectangle 53" o:spid="_x0000_s1070" style="position:absolute;left:8972;top:6711;width:3315;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FE3E5A" w:rsidRDefault="00FE3E5A" w:rsidP="00A31296">
                        <w:r>
                          <w:rPr>
                            <w:rFonts w:ascii="Calibri" w:hAnsi="Calibri" w:cs="Calibri"/>
                            <w:color w:val="000000"/>
                            <w:sz w:val="16"/>
                            <w:szCs w:val="16"/>
                          </w:rPr>
                          <w:t>Oil seed</w:t>
                        </w:r>
                      </w:p>
                    </w:txbxContent>
                  </v:textbox>
                </v:rect>
                <v:rect id="Rectangle 54" o:spid="_x0000_s1071" style="position:absolute;left:11461;top:5734;width:4325;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FE3E5A" w:rsidRDefault="00FE3E5A" w:rsidP="00A31296">
                        <w:r>
                          <w:rPr>
                            <w:rFonts w:ascii="Calibri" w:hAnsi="Calibri" w:cs="Calibri"/>
                            <w:color w:val="000000"/>
                            <w:sz w:val="16"/>
                            <w:szCs w:val="16"/>
                          </w:rPr>
                          <w:t xml:space="preserve">Lac; gums, </w:t>
                        </w:r>
                      </w:p>
                    </w:txbxContent>
                  </v:textbox>
                </v:rect>
                <v:rect id="Rectangle 55" o:spid="_x0000_s1072" style="position:absolute;left:12293;top:7067;width:2426;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FE3E5A" w:rsidRDefault="00FE3E5A" w:rsidP="00A31296">
                        <w:r>
                          <w:rPr>
                            <w:rFonts w:ascii="Calibri" w:hAnsi="Calibri" w:cs="Calibri"/>
                            <w:color w:val="000000"/>
                            <w:sz w:val="16"/>
                            <w:szCs w:val="16"/>
                          </w:rPr>
                          <w:t xml:space="preserve">resins </w:t>
                        </w:r>
                      </w:p>
                    </w:txbxContent>
                  </v:textbox>
                </v:rect>
                <v:rect id="Rectangle 56" o:spid="_x0000_s1073" style="position:absolute;left:12871;top:11836;width:5988;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FE3E5A" w:rsidRDefault="00FE3E5A" w:rsidP="00A31296">
                        <w:r>
                          <w:rPr>
                            <w:rFonts w:ascii="Calibri" w:hAnsi="Calibri" w:cs="Calibri"/>
                            <w:color w:val="000000"/>
                            <w:sz w:val="16"/>
                            <w:szCs w:val="16"/>
                          </w:rPr>
                          <w:t xml:space="preserve">Raw hides and </w:t>
                        </w:r>
                      </w:p>
                    </w:txbxContent>
                  </v:textbox>
                </v:rect>
                <v:rect id="Rectangle 57" o:spid="_x0000_s1074" style="position:absolute;left:14592;top:13163;width:2025;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FE3E5A" w:rsidRDefault="00FE3E5A" w:rsidP="00A31296">
                        <w:r>
                          <w:rPr>
                            <w:rFonts w:ascii="Calibri" w:hAnsi="Calibri" w:cs="Calibri"/>
                            <w:color w:val="000000"/>
                            <w:sz w:val="16"/>
                            <w:szCs w:val="16"/>
                          </w:rPr>
                          <w:t xml:space="preserve">skins </w:t>
                        </w:r>
                      </w:p>
                    </w:txbxContent>
                  </v:textbox>
                </v:rect>
                <v:rect id="Rectangle 58" o:spid="_x0000_s1075" style="position:absolute;left:16135;top:7283;width:399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FE3E5A" w:rsidRDefault="00FE3E5A" w:rsidP="00A31296">
                        <w:r>
                          <w:rPr>
                            <w:rFonts w:ascii="Calibri" w:hAnsi="Calibri" w:cs="Calibri"/>
                            <w:color w:val="000000"/>
                            <w:sz w:val="16"/>
                            <w:szCs w:val="16"/>
                          </w:rPr>
                          <w:t xml:space="preserve">Wool and </w:t>
                        </w:r>
                      </w:p>
                    </w:txbxContent>
                  </v:textbox>
                </v:rect>
                <v:rect id="Rectangle 59" o:spid="_x0000_s1076" style="position:absolute;left:15748;top:8610;width:4622;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FE3E5A" w:rsidRDefault="00FE3E5A" w:rsidP="00A31296">
                        <w:r>
                          <w:rPr>
                            <w:rFonts w:ascii="Calibri" w:hAnsi="Calibri" w:cs="Calibri"/>
                            <w:color w:val="000000"/>
                            <w:sz w:val="16"/>
                            <w:szCs w:val="16"/>
                          </w:rPr>
                          <w:t>animal hair</w:t>
                        </w:r>
                      </w:p>
                    </w:txbxContent>
                  </v:textbox>
                </v:rect>
                <v:rect id="Rectangle 60" o:spid="_x0000_s1077" style="position:absolute;left:18656;top:16624;width:3162;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FE3E5A" w:rsidRDefault="00FE3E5A" w:rsidP="00A31296">
                        <w:r>
                          <w:rPr>
                            <w:rFonts w:ascii="Calibri" w:hAnsi="Calibri" w:cs="Calibri"/>
                            <w:color w:val="000000"/>
                            <w:sz w:val="16"/>
                            <w:szCs w:val="16"/>
                          </w:rPr>
                          <w:t>Carpets</w:t>
                        </w:r>
                      </w:p>
                    </w:txbxContent>
                  </v:textbox>
                </v:rect>
                <v:rect id="Rectangle 61" o:spid="_x0000_s1078" style="position:absolute;left:21050;top:10807;width:4902;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FE3E5A" w:rsidRDefault="00FE3E5A" w:rsidP="00A31296">
                        <w:r>
                          <w:rPr>
                            <w:rFonts w:ascii="Calibri" w:hAnsi="Calibri" w:cs="Calibri"/>
                            <w:color w:val="000000"/>
                            <w:sz w:val="16"/>
                            <w:szCs w:val="16"/>
                          </w:rPr>
                          <w:t>Art of stone</w:t>
                        </w:r>
                      </w:p>
                    </w:txbxContent>
                  </v:textbox>
                </v:rect>
                <v:rect id="Rectangle 62" o:spid="_x0000_s1079" style="position:absolute;left:23475;top:7105;width:2807;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FE3E5A" w:rsidRDefault="00FE3E5A" w:rsidP="00A31296">
                        <w:r>
                          <w:rPr>
                            <w:rFonts w:ascii="Calibri" w:hAnsi="Calibri" w:cs="Calibri"/>
                            <w:color w:val="000000"/>
                            <w:sz w:val="16"/>
                            <w:szCs w:val="16"/>
                          </w:rPr>
                          <w:t>Others</w:t>
                        </w:r>
                      </w:p>
                    </w:txbxContent>
                  </v:textbox>
                </v:rect>
                <v:rect id="Rectangle 63" o:spid="_x0000_s1080" style="position:absolute;left:1860;top:18237;width:311;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FE3E5A" w:rsidRDefault="00FE3E5A" w:rsidP="00A31296">
                        <w:r>
                          <w:rPr>
                            <w:rFonts w:ascii="Calibri" w:hAnsi="Calibri" w:cs="Calibri"/>
                            <w:color w:val="000000"/>
                            <w:sz w:val="16"/>
                            <w:szCs w:val="16"/>
                          </w:rPr>
                          <w:t>-</w:t>
                        </w:r>
                      </w:p>
                    </w:txbxContent>
                  </v:textbox>
                </v:rect>
                <v:rect id="Rectangle 64" o:spid="_x0000_s1081" style="position:absolute;left:2133;top:18237;width:2273;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FE3E5A" w:rsidRDefault="00FE3E5A" w:rsidP="00A31296">
                        <w:r>
                          <w:rPr>
                            <w:rFonts w:ascii="Calibri" w:hAnsi="Calibri" w:cs="Calibri"/>
                            <w:color w:val="000000"/>
                            <w:sz w:val="16"/>
                            <w:szCs w:val="16"/>
                          </w:rPr>
                          <w:t>150%</w:t>
                        </w:r>
                      </w:p>
                    </w:txbxContent>
                  </v:textbox>
                </v:rect>
                <v:rect id="Rectangle 65" o:spid="_x0000_s1082" style="position:absolute;left:1860;top:15303;width:311;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FE3E5A" w:rsidRDefault="00FE3E5A" w:rsidP="00A31296">
                        <w:r>
                          <w:rPr>
                            <w:rFonts w:ascii="Calibri" w:hAnsi="Calibri" w:cs="Calibri"/>
                            <w:color w:val="000000"/>
                            <w:sz w:val="16"/>
                            <w:szCs w:val="16"/>
                          </w:rPr>
                          <w:t>-</w:t>
                        </w:r>
                      </w:p>
                    </w:txbxContent>
                  </v:textbox>
                </v:rect>
                <v:rect id="Rectangle 66" o:spid="_x0000_s1083" style="position:absolute;left:2133;top:15303;width:2273;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FE3E5A" w:rsidRDefault="00FE3E5A" w:rsidP="00A31296">
                        <w:r>
                          <w:rPr>
                            <w:rFonts w:ascii="Calibri" w:hAnsi="Calibri" w:cs="Calibri"/>
                            <w:color w:val="000000"/>
                            <w:sz w:val="16"/>
                            <w:szCs w:val="16"/>
                          </w:rPr>
                          <w:t>100%</w:t>
                        </w:r>
                      </w:p>
                    </w:txbxContent>
                  </v:textbox>
                </v:rect>
                <v:rect id="Rectangle 67" o:spid="_x0000_s1084" style="position:absolute;left:2305;top:12376;width:311;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FE3E5A" w:rsidRDefault="00FE3E5A" w:rsidP="00A31296">
                        <w:r>
                          <w:rPr>
                            <w:rFonts w:ascii="Calibri" w:hAnsi="Calibri" w:cs="Calibri"/>
                            <w:color w:val="000000"/>
                            <w:sz w:val="16"/>
                            <w:szCs w:val="16"/>
                          </w:rPr>
                          <w:t>-</w:t>
                        </w:r>
                      </w:p>
                    </w:txbxContent>
                  </v:textbox>
                </v:rect>
                <v:rect id="Rectangle 68" o:spid="_x0000_s1085" style="position:absolute;left:2584;top:12376;width:1759;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FE3E5A" w:rsidRDefault="00FE3E5A" w:rsidP="00A31296">
                        <w:r>
                          <w:rPr>
                            <w:rFonts w:ascii="Calibri" w:hAnsi="Calibri" w:cs="Calibri"/>
                            <w:color w:val="000000"/>
                            <w:sz w:val="16"/>
                            <w:szCs w:val="16"/>
                          </w:rPr>
                          <w:t>50%</w:t>
                        </w:r>
                      </w:p>
                    </w:txbxContent>
                  </v:textbox>
                </v:rect>
                <v:rect id="Rectangle 69" o:spid="_x0000_s1086" style="position:absolute;left:3054;top:9442;width:124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FE3E5A" w:rsidRDefault="00FE3E5A" w:rsidP="00A31296">
                        <w:r>
                          <w:rPr>
                            <w:rFonts w:ascii="Calibri" w:hAnsi="Calibri" w:cs="Calibri"/>
                            <w:color w:val="000000"/>
                            <w:sz w:val="16"/>
                            <w:szCs w:val="16"/>
                          </w:rPr>
                          <w:t>0%</w:t>
                        </w:r>
                      </w:p>
                    </w:txbxContent>
                  </v:textbox>
                </v:rect>
                <v:rect id="Rectangle 70" o:spid="_x0000_s1087" style="position:absolute;left:2609;top:6515;width:1759;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FE3E5A" w:rsidRDefault="00FE3E5A" w:rsidP="00A31296">
                        <w:r>
                          <w:rPr>
                            <w:rFonts w:ascii="Calibri" w:hAnsi="Calibri" w:cs="Calibri"/>
                            <w:color w:val="000000"/>
                            <w:sz w:val="16"/>
                            <w:szCs w:val="16"/>
                          </w:rPr>
                          <w:t>50%</w:t>
                        </w:r>
                      </w:p>
                    </w:txbxContent>
                  </v:textbox>
                </v:rect>
                <v:rect id="Rectangle 71" o:spid="_x0000_s1088" style="position:absolute;left:2159;top:3581;width:2273;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FE3E5A" w:rsidRDefault="00FE3E5A" w:rsidP="00A31296">
                        <w:r>
                          <w:rPr>
                            <w:rFonts w:ascii="Calibri" w:hAnsi="Calibri" w:cs="Calibri"/>
                            <w:color w:val="000000"/>
                            <w:sz w:val="16"/>
                            <w:szCs w:val="16"/>
                          </w:rPr>
                          <w:t>100%</w:t>
                        </w:r>
                      </w:p>
                    </w:txbxContent>
                  </v:textbox>
                </v:rect>
                <v:rect id="Rectangle 72" o:spid="_x0000_s1089" style="position:absolute;left:2159;top:654;width:2273;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hwsQA&#10;AADdAAAADwAAAGRycy9kb3ducmV2LnhtbESPzWoDMQyE74W8g1Ght8bbPbRhGyeEQCANvWSTBxBr&#10;7Q+15cV2stu3jw6F3iRmNPNpvZ29U3eKaQhs4G1ZgCJugh24M3C9HF5XoFJGtugCk4FfSrDdLJ7W&#10;WNkw8Znude6UhHCq0ECf81hpnZqePKZlGIlFa0P0mGWNnbYRJwn3TpdF8a49DiwNPY6076n5qW/e&#10;gL7Uh2lVu1iEU9l+u6/juaVgzMvzvPsElWnO/+a/66MV/I9S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nIcLEAAAA3QAAAA8AAAAAAAAAAAAAAAAAmAIAAGRycy9k&#10;b3ducmV2LnhtbFBLBQYAAAAABAAEAPUAAACJAwAAAAA=&#10;" filled="f" stroked="f">
                  <v:textbox style="mso-fit-shape-to-text:t" inset="0,0,0,0">
                    <w:txbxContent>
                      <w:p w:rsidR="00FE3E5A" w:rsidRDefault="00FE3E5A" w:rsidP="00A31296">
                        <w:r>
                          <w:rPr>
                            <w:rFonts w:ascii="Calibri" w:hAnsi="Calibri" w:cs="Calibri"/>
                            <w:color w:val="000000"/>
                            <w:sz w:val="16"/>
                            <w:szCs w:val="16"/>
                          </w:rPr>
                          <w:t>150%</w:t>
                        </w:r>
                      </w:p>
                    </w:txbxContent>
                  </v:textbox>
                </v:rect>
                <v:rect id="Rectangle 73" o:spid="_x0000_s1090" style="position:absolute;left:1270;top:15062;width:1225;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uEWcEA&#10;AADdAAAADwAAAGRycy9kb3ducmV2LnhtbERPzWoCMRC+F3yHMIK3mnUPVlejiCBo6cXVBxg2sz+Y&#10;TJYkdbdvbwqF3ubj+53tfrRGPMmHzrGCxTwDQVw53XGj4H47va9AhIis0TgmBT8UYL+bvG2x0G7g&#10;Kz3L2IgUwqFABW2MfSFlqFqyGOauJ05c7bzFmKBvpPY4pHBrZJ5lS2mx49TQYk/HlqpH+W0VyFt5&#10;Glal8Zn7zOsvczlfa3JKzabjYQMi0hj/xX/us07zP/I1/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rhFnBAAAA3QAAAA8AAAAAAAAAAAAAAAAAmAIAAGRycy9kb3du&#10;cmV2LnhtbFBLBQYAAAAABAAEAPUAAACGAwAAAAA=&#10;" filled="f" stroked="f">
                  <v:textbox style="mso-fit-shape-to-text:t" inset="0,0,0,0">
                    <w:txbxContent>
                      <w:p w:rsidR="00FE3E5A" w:rsidRDefault="00FE3E5A" w:rsidP="00A31296">
                        <w:r>
                          <w:rPr>
                            <w:rFonts w:ascii="Calibri" w:hAnsi="Calibri" w:cs="Calibri"/>
                            <w:b/>
                            <w:bCs/>
                            <w:color w:val="000000"/>
                            <w:sz w:val="2"/>
                            <w:szCs w:val="2"/>
                          </w:rPr>
                          <w:t xml:space="preserve">Share of export growth </w:t>
                        </w:r>
                      </w:p>
                    </w:txbxContent>
                  </v:textbox>
                </v:rect>
                <v:rect id="Rectangle 74" o:spid="_x0000_s1091" style="position:absolute;left:20656;top:1962;width:495;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lHscA&#10;AADdAAAADwAAAGRycy9kb3ducmV2LnhtbESPQWvCQBCF7wX/wzJCb3UThbakrlIFsZUi1vbQ45Ad&#10;s6HZ2ZjdxvTfO4dCbzO8N+99M18OvlE9dbEObCCfZKCIy2Brrgx8fmzuHkHFhGyxCUwGfinCcjG6&#10;mWNhw4XfqT+mSkkIxwINuJTaQutYOvIYJ6ElFu0UOo9J1q7StsOLhPtGT7PsXnusWRoctrR2VH4f&#10;f7yBc8z9ocry3evpa2Xfetzu3ZqNuR0Pz0+gEg3p3/x3/WIF/2Em/PKNj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FpR7HAAAA3QAAAA8AAAAAAAAAAAAAAAAAmAIAAGRy&#10;cy9kb3ducmV2LnhtbFBLBQYAAAAABAAEAPUAAACMAwAAAAA=&#10;" fillcolor="#bab0c9" stroked="f"/>
                <v:rect id="Rectangle 75" o:spid="_x0000_s1092" style="position:absolute;left:21367;top:1549;width:5772;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QegsAA&#10;AADdAAAADwAAAGRycy9kb3ducmV2LnhtbERP24rCMBB9F/yHMIJvmqrgSjWKCIK7+GL1A4ZmesFk&#10;UpJou3+/WVjYtzmc6+wOgzXiTT60jhUs5hkI4tLplmsFj/t5tgERIrJG45gUfFOAw3482mGuXc83&#10;ehexFimEQ44Kmhi7XMpQNmQxzF1HnLjKeYsxQV9L7bFP4dbIZZatpcWWU0ODHZ0aKp/FyyqQ9+Lc&#10;bwrjM/e1rK7m83KryCk1nQzHLYhIQ/wX/7kvOs3/WC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QegsAAAADdAAAADwAAAAAAAAAAAAAAAACYAgAAZHJzL2Rvd25y&#10;ZXYueG1sUEsFBgAAAAAEAAQA9QAAAIUDAAAAAA==&#10;" filled="f" stroked="f">
                  <v:textbox style="mso-fit-shape-to-text:t" inset="0,0,0,0">
                    <w:txbxContent>
                      <w:p w:rsidR="00FE3E5A" w:rsidRDefault="00FE3E5A" w:rsidP="00A31296">
                        <w:r>
                          <w:rPr>
                            <w:rFonts w:ascii="Calibri" w:hAnsi="Calibri" w:cs="Calibri"/>
                            <w:color w:val="000000"/>
                            <w:sz w:val="16"/>
                            <w:szCs w:val="16"/>
                          </w:rPr>
                          <w:t>New Products</w:t>
                        </w:r>
                      </w:p>
                    </w:txbxContent>
                  </v:textbox>
                </v:rect>
                <v:rect id="Rectangle 76" o:spid="_x0000_s1093" style="position:absolute;left:20656;top:3556;width:495;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kLsQA&#10;AADdAAAADwAAAGRycy9kb3ducmV2LnhtbERPTYvCMBC9C/sfwizsTVOr60o1igiCsB5ct6DHoRmb&#10;YjMpTdT6742wsLd5vM+ZLztbixu1vnKsYDhIQBAXTldcKsh/N/0pCB+QNdaOScGDPCwXb705Ztrd&#10;+Yduh1CKGMI+QwUmhCaT0heGLPqBa4gjd3atxRBhW0rd4j2G21qmSTKRFiuODQYbWhsqLoerVbDd&#10;m+vmlCefo0e5T/Pj985OxlOlPt671QxEoC78i//cWx3nf41SeH0TT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JC7EAAAA3QAAAA8AAAAAAAAAAAAAAAAAmAIAAGRycy9k&#10;b3ducmV2LnhtbFBLBQYAAAAABAAEAPUAAACJAwAAAAA=&#10;" fillcolor="#8064a2" stroked="f"/>
                <v:rect id="Rectangle 77" o:spid="_x0000_s1094" style="position:absolute;left:21367;top:3200;width:5537;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lbsAA&#10;AADdAAAADwAAAGRycy9kb3ducmV2LnhtbERP24rCMBB9F/yHMIJvmqqg0jWKCIIuvlj3A4ZmesFk&#10;UpKs7f79ZmHBtzmc6+wOgzXiRT60jhUs5hkI4tLplmsFX4/zbAsiRGSNxjEp+KEAh/14tMNcu57v&#10;9CpiLVIIhxwVNDF2uZShbMhimLuOOHGV8xZjgr6W2mOfwq2RyyxbS4stp4YGOzo1VD6Lb6tAPopz&#10;vy2Mz9znsrqZ6+VekVNqOhmOHyAiDfEt/ndfdJq/Wa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olbsAAAADdAAAADwAAAAAAAAAAAAAAAACYAgAAZHJzL2Rvd25y&#10;ZXYueG1sUEsFBgAAAAAEAAQA9QAAAIUDAAAAAA==&#10;" filled="f" stroked="f">
                  <v:textbox style="mso-fit-shape-to-text:t" inset="0,0,0,0">
                    <w:txbxContent>
                      <w:p w:rsidR="00FE3E5A" w:rsidRDefault="00FE3E5A" w:rsidP="00A31296">
                        <w:r>
                          <w:rPr>
                            <w:rFonts w:ascii="Calibri" w:hAnsi="Calibri" w:cs="Calibri"/>
                            <w:color w:val="000000"/>
                            <w:sz w:val="16"/>
                            <w:szCs w:val="16"/>
                          </w:rPr>
                          <w:t>New Markets</w:t>
                        </w:r>
                      </w:p>
                    </w:txbxContent>
                  </v:textbox>
                </v:rect>
                <v:rect id="Rectangle 78" o:spid="_x0000_s1095" style="position:absolute;left:20656;top:5219;width:495;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oq38QA&#10;AADdAAAADwAAAGRycy9kb3ducmV2LnhtbERP3WrCMBS+F3yHcARvZCZa3UY1igiCgzGm7gEOzVlb&#10;bE5qE7Xu6RdB8O58fL9nvmxtJS7U+NKxhtFQgSDOnCk51/Bz2Ly8g/AB2WDlmDTcyMNy0e3MMTXu&#10;yju67EMuYgj7FDUUIdSplD4ryKIfupo4cr+usRgibHJpGrzGcFvJsVKv0mLJsaHAmtYFZcf92WoY&#10;/50+vlZHpQbTz1N+a9fJ98EkWvd77WoGIlAbnuKHe2vi/LdkAvdv4gl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Kt/EAAAA3QAAAA8AAAAAAAAAAAAAAAAAmAIAAGRycy9k&#10;b3ducmV2LnhtbFBLBQYAAAAABAAEAPUAAACJAwAAAAA=&#10;" fillcolor="#d99694" stroked="f"/>
                <v:rect id="Rectangle 79" o:spid="_x0000_s1096" style="position:absolute;left:21367;top:4851;width:7798;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8YgcEA&#10;AADdAAAADwAAAGRycy9kb3ducmV2LnhtbERP22oCMRB9L/gPYQTfalalKqtRpCDY4ourHzBsZi+Y&#10;TJYkdbd/3xQE3+ZwrrPdD9aIB/nQOlYwm2YgiEunW64V3K7H9zWIEJE1Gsek4JcC7Hejty3m2vV8&#10;oUcRa5FCOOSooImxy6UMZUMWw9R1xImrnLcYE/S11B77FG6NnGfZUlpsOTU02NFnQ+W9+LEK5LU4&#10;9uvC+Mx9z6uz+TpdKnJKTcbDYQMi0hBf4qf7pNP81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GIHBAAAA3QAAAA8AAAAAAAAAAAAAAAAAmAIAAGRycy9kb3du&#10;cmV2LnhtbFBLBQYAAAAABAAEAPUAAACGAwAAAAA=&#10;" filled="f" stroked="f">
                  <v:textbox style="mso-fit-shape-to-text:t" inset="0,0,0,0">
                    <w:txbxContent>
                      <w:p w:rsidR="00FE3E5A" w:rsidRDefault="00FE3E5A" w:rsidP="00A31296">
                        <w:r>
                          <w:rPr>
                            <w:rFonts w:ascii="Calibri" w:hAnsi="Calibri" w:cs="Calibri"/>
                            <w:color w:val="000000"/>
                            <w:sz w:val="16"/>
                            <w:szCs w:val="16"/>
                          </w:rPr>
                          <w:t>Intensive margins*</w:t>
                        </w:r>
                      </w:p>
                    </w:txbxContent>
                  </v:textbox>
                </v:rect>
                <w10:anchorlock/>
              </v:group>
            </w:pict>
          </mc:Fallback>
        </mc:AlternateContent>
      </w:r>
    </w:p>
    <w:p w:rsidR="00A31296" w:rsidRPr="00C6790D" w:rsidRDefault="00A31296" w:rsidP="00A31296">
      <w:pPr>
        <w:rPr>
          <w:rFonts w:ascii="Calibri" w:eastAsia="Times New Roman" w:hAnsi="Calibri" w:cs="Arial"/>
          <w:sz w:val="18"/>
          <w:szCs w:val="18"/>
        </w:rPr>
      </w:pPr>
      <w:r w:rsidRPr="00C6790D">
        <w:rPr>
          <w:rFonts w:ascii="Calibri" w:eastAsia="Times New Roman" w:hAnsi="Calibri" w:cs="Arial"/>
          <w:sz w:val="18"/>
          <w:szCs w:val="18"/>
        </w:rPr>
        <w:t xml:space="preserve">Source: World Bank, based on CSO.  *Note: “Intensive margins” refers to existing trade flows. </w:t>
      </w:r>
    </w:p>
    <w:p w:rsidR="00A31296" w:rsidRPr="00C6790D" w:rsidRDefault="00A31296" w:rsidP="00A31296">
      <w:pPr>
        <w:spacing w:line="240" w:lineRule="auto"/>
        <w:rPr>
          <w:rFonts w:ascii="Calibri" w:eastAsia="Times New Roman" w:hAnsi="Calibri" w:cs="Calibri"/>
          <w:i/>
          <w:lang w:eastAsia="de-DE"/>
        </w:rPr>
      </w:pPr>
      <w:r w:rsidRPr="00C6790D">
        <w:rPr>
          <w:rFonts w:ascii="Calibri" w:eastAsia="Times New Roman" w:hAnsi="Calibri" w:cs="Calibri"/>
          <w:i/>
          <w:lang w:eastAsia="de-DE"/>
        </w:rPr>
        <w:t xml:space="preserve">Afghan trade policy overall is conducive to growth, but trade could play a greater role in economic development.  </w:t>
      </w:r>
    </w:p>
    <w:p w:rsidR="00A31296" w:rsidRPr="00C6790D" w:rsidRDefault="00A31296" w:rsidP="00A31296">
      <w:pPr>
        <w:spacing w:line="240" w:lineRule="auto"/>
        <w:rPr>
          <w:rFonts w:ascii="Calibri" w:eastAsia="Times New Roman" w:hAnsi="Calibri" w:cs="Calibri"/>
        </w:rPr>
      </w:pPr>
      <w:r w:rsidRPr="00C6790D">
        <w:rPr>
          <w:rFonts w:ascii="Calibri" w:eastAsia="Times New Roman" w:hAnsi="Calibri" w:cs="Calibri"/>
          <w:b/>
        </w:rPr>
        <w:t>Imports, being an input to production, have direct impact on domestic production and export performance.</w:t>
      </w:r>
      <w:r w:rsidRPr="00C6790D">
        <w:rPr>
          <w:rFonts w:ascii="Calibri" w:eastAsia="Times New Roman" w:hAnsi="Calibri" w:cs="Calibri"/>
        </w:rPr>
        <w:t xml:space="preserve">  Thus, private sector and export development in Afghanistan requires facilitating access to quality and low-cost imported inputs across sectors, and there is potential for substitution of imports with cheaper domestically produced goods. </w:t>
      </w:r>
    </w:p>
    <w:p w:rsidR="00A31296" w:rsidRPr="00C6790D" w:rsidRDefault="00A31296" w:rsidP="00A31296">
      <w:pPr>
        <w:spacing w:after="0" w:line="240" w:lineRule="auto"/>
        <w:rPr>
          <w:rFonts w:ascii="Calibri" w:eastAsia="Times New Roman" w:hAnsi="Calibri" w:cs="Arial"/>
        </w:rPr>
      </w:pPr>
      <w:r w:rsidRPr="00C6790D">
        <w:rPr>
          <w:rFonts w:ascii="Calibri" w:eastAsia="Times New Roman" w:hAnsi="Calibri" w:cs="Calibri"/>
          <w:b/>
        </w:rPr>
        <w:t>Afghanistan is one of the more open economies in the region and its tariff structure is below average among LDCs</w:t>
      </w:r>
      <w:r w:rsidRPr="00C6790D">
        <w:rPr>
          <w:rFonts w:ascii="Calibri" w:eastAsia="Times New Roman" w:hAnsi="Calibri" w:cs="Calibri"/>
        </w:rPr>
        <w:t xml:space="preserve">. </w:t>
      </w:r>
      <w:r w:rsidRPr="00C6790D">
        <w:rPr>
          <w:rFonts w:ascii="Calibri" w:eastAsia="Times New Roman" w:hAnsi="Calibri" w:cs="Calibri"/>
          <w:lang w:eastAsia="fr-FR"/>
        </w:rPr>
        <w:t>Few products are taxed above 15 percent. The tariff structure is slightly progressive</w:t>
      </w:r>
      <w:r w:rsidRPr="00C6790D">
        <w:rPr>
          <w:rFonts w:ascii="Calibri" w:eastAsia="Times New Roman" w:hAnsi="Calibri" w:cs="Calibri"/>
        </w:rPr>
        <w:t xml:space="preserve"> and richer groups tend to pay higher duties for their imports, according to household consumption data for a basket of basic goods from the 2008 National Risk Vulnerability Assessment (NRVA).</w:t>
      </w:r>
      <w:r w:rsidRPr="00C6790D">
        <w:rPr>
          <w:rFonts w:ascii="Calibri" w:eastAsia="Times New Roman" w:hAnsi="Calibri" w:cs="Calibri"/>
          <w:sz w:val="20"/>
          <w:vertAlign w:val="superscript"/>
        </w:rPr>
        <w:footnoteReference w:id="5"/>
      </w:r>
      <w:r w:rsidRPr="00C6790D">
        <w:rPr>
          <w:rFonts w:ascii="Calibri" w:eastAsia="Times New Roman" w:hAnsi="Calibri" w:cs="Calibri"/>
        </w:rPr>
        <w:t xml:space="preserve"> </w:t>
      </w:r>
      <w:r w:rsidRPr="00C6790D">
        <w:rPr>
          <w:rFonts w:ascii="Calibri" w:eastAsia="Times New Roman" w:hAnsi="Calibri" w:cs="Arial"/>
        </w:rPr>
        <w:t>Notably, richer households in Afghanistan consume a larger share of services, thus, when including services within the basket of goods, the impact turns from progressive to regressive (Figure S.5).</w:t>
      </w:r>
    </w:p>
    <w:p w:rsidR="00A31296" w:rsidRPr="00C6790D" w:rsidRDefault="00A31296" w:rsidP="00A31296">
      <w:pPr>
        <w:spacing w:after="0"/>
        <w:rPr>
          <w:rFonts w:ascii="Calibri" w:eastAsia="Times New Roman" w:hAnsi="Calibri" w:cs="Arial"/>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920"/>
      </w:tblGrid>
      <w:tr w:rsidR="00A31296" w:rsidRPr="00C6790D" w:rsidTr="00A31296">
        <w:tc>
          <w:tcPr>
            <w:tcW w:w="4788" w:type="dxa"/>
          </w:tcPr>
          <w:p w:rsidR="00A31296" w:rsidRPr="00C6790D" w:rsidRDefault="00A31296" w:rsidP="00A31296">
            <w:pPr>
              <w:rPr>
                <w:rFonts w:ascii="Calibri" w:eastAsia="Times New Roman" w:hAnsi="Calibri" w:cs="Arial"/>
                <w:b/>
                <w:color w:val="410082"/>
              </w:rPr>
            </w:pPr>
            <w:r w:rsidRPr="00C6790D">
              <w:rPr>
                <w:rFonts w:ascii="Calibri" w:eastAsia="Times New Roman" w:hAnsi="Calibri" w:cs="Arial"/>
                <w:b/>
                <w:color w:val="410082"/>
              </w:rPr>
              <w:t>Figure S.5: Tariff structure progressive…</w:t>
            </w:r>
          </w:p>
        </w:tc>
        <w:tc>
          <w:tcPr>
            <w:tcW w:w="4788" w:type="dxa"/>
          </w:tcPr>
          <w:p w:rsidR="00A31296" w:rsidRPr="00C6790D" w:rsidRDefault="00A31296" w:rsidP="00A31296">
            <w:pPr>
              <w:rPr>
                <w:rFonts w:ascii="Calibri" w:eastAsia="Times New Roman" w:hAnsi="Calibri" w:cs="Arial"/>
                <w:b/>
                <w:color w:val="410082"/>
              </w:rPr>
            </w:pPr>
            <w:r w:rsidRPr="00C6790D">
              <w:rPr>
                <w:rFonts w:ascii="Calibri" w:eastAsia="Times New Roman" w:hAnsi="Calibri" w:cs="Arial"/>
                <w:b/>
                <w:color w:val="410082"/>
              </w:rPr>
              <w:t xml:space="preserve">           …or slightly regressive</w:t>
            </w:r>
          </w:p>
        </w:tc>
      </w:tr>
      <w:tr w:rsidR="00A31296" w:rsidRPr="00C6790D" w:rsidTr="00A31296">
        <w:tc>
          <w:tcPr>
            <w:tcW w:w="4788" w:type="dxa"/>
          </w:tcPr>
          <w:p w:rsidR="00A31296" w:rsidRPr="00C6790D" w:rsidRDefault="00A31296" w:rsidP="00A31296">
            <w:pPr>
              <w:rPr>
                <w:rFonts w:ascii="Calibri" w:eastAsia="Times New Roman" w:hAnsi="Calibri" w:cs="Arial"/>
              </w:rPr>
            </w:pPr>
            <w:r w:rsidRPr="00C6790D">
              <w:rPr>
                <w:rFonts w:ascii="Calibri" w:eastAsia="Times New Roman" w:hAnsi="Calibri" w:cs="Arial"/>
                <w:noProof/>
                <w:lang w:bidi="ar-SA"/>
              </w:rPr>
              <w:drawing>
                <wp:inline distT="0" distB="0" distL="0" distR="0" wp14:anchorId="22B822E6" wp14:editId="0D1F9093">
                  <wp:extent cx="2987749" cy="1826323"/>
                  <wp:effectExtent l="0" t="0" r="3175" b="254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2991801" cy="1828800"/>
                          </a:xfrm>
                          <a:prstGeom prst="rect">
                            <a:avLst/>
                          </a:prstGeom>
                          <a:noFill/>
                          <a:ln w="9525">
                            <a:noFill/>
                            <a:miter lim="800000"/>
                            <a:headEnd/>
                            <a:tailEnd/>
                          </a:ln>
                        </pic:spPr>
                      </pic:pic>
                    </a:graphicData>
                  </a:graphic>
                </wp:inline>
              </w:drawing>
            </w:r>
          </w:p>
        </w:tc>
        <w:tc>
          <w:tcPr>
            <w:tcW w:w="4788" w:type="dxa"/>
          </w:tcPr>
          <w:p w:rsidR="00A31296" w:rsidRPr="00C6790D" w:rsidRDefault="00A31296" w:rsidP="00A31296">
            <w:pPr>
              <w:rPr>
                <w:rFonts w:ascii="Calibri" w:eastAsia="Times New Roman" w:hAnsi="Calibri" w:cs="Arial"/>
              </w:rPr>
            </w:pPr>
            <w:r w:rsidRPr="00C6790D">
              <w:rPr>
                <w:rFonts w:ascii="Calibri" w:eastAsia="Times New Roman" w:hAnsi="Calibri" w:cs="Arial"/>
                <w:noProof/>
                <w:lang w:bidi="ar-SA"/>
              </w:rPr>
              <w:drawing>
                <wp:inline distT="0" distB="0" distL="0" distR="0" wp14:anchorId="0EFA01AA" wp14:editId="281E9B52">
                  <wp:extent cx="3168503" cy="1826325"/>
                  <wp:effectExtent l="0" t="0" r="0" b="254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3172798" cy="1828800"/>
                          </a:xfrm>
                          <a:prstGeom prst="rect">
                            <a:avLst/>
                          </a:prstGeom>
                          <a:noFill/>
                          <a:ln w="9525">
                            <a:noFill/>
                            <a:miter lim="800000"/>
                            <a:headEnd/>
                            <a:tailEnd/>
                          </a:ln>
                        </pic:spPr>
                      </pic:pic>
                    </a:graphicData>
                  </a:graphic>
                </wp:inline>
              </w:drawing>
            </w:r>
          </w:p>
        </w:tc>
      </w:tr>
    </w:tbl>
    <w:p w:rsidR="00A31296" w:rsidRPr="00C6790D" w:rsidRDefault="00A31296" w:rsidP="00A31296">
      <w:pPr>
        <w:spacing w:before="240" w:line="240" w:lineRule="auto"/>
        <w:rPr>
          <w:rFonts w:ascii="Calibri" w:eastAsia="Times New Roman" w:hAnsi="Calibri" w:cs="Arial"/>
          <w:bCs/>
        </w:rPr>
      </w:pPr>
      <w:r w:rsidRPr="00C6790D">
        <w:rPr>
          <w:rFonts w:ascii="Calibri" w:eastAsia="Times New Roman" w:hAnsi="Calibri" w:cs="Arial"/>
          <w:b/>
          <w:bCs/>
        </w:rPr>
        <w:t xml:space="preserve">Afghanistan’s tariff structure is subject to significant exemptions. </w:t>
      </w:r>
      <w:r w:rsidRPr="00C6790D">
        <w:rPr>
          <w:rFonts w:ascii="Calibri" w:eastAsia="Times New Roman" w:hAnsi="Calibri" w:cs="Arial"/>
          <w:bCs/>
        </w:rPr>
        <w:t xml:space="preserve">These exemptions collectively represent a loss of about one-third of import duties and other taxes. They are mostly linked to imports from ISAF and NATO security forces, development partners, and goods and services related to </w:t>
      </w:r>
      <w:r w:rsidRPr="00C6790D">
        <w:rPr>
          <w:rFonts w:ascii="Calibri" w:eastAsia="Times New Roman" w:hAnsi="Calibri" w:cs="Arial"/>
          <w:bCs/>
        </w:rPr>
        <w:lastRenderedPageBreak/>
        <w:t>government- and donor-funded projects. The process of granting exemption privileges invites rent‐seeking, and industries that import goods under exemptions have an advantage. Therefore, while some exemptions may not be modified as they involve bilateral agreements with ISAF and donor countries, careful review of the exemption list could identify ways to broaden the tariff base.</w:t>
      </w:r>
    </w:p>
    <w:p w:rsidR="00A31296" w:rsidRPr="00C6790D" w:rsidRDefault="00A31296" w:rsidP="00A31296">
      <w:pPr>
        <w:spacing w:after="240" w:line="240" w:lineRule="auto"/>
        <w:rPr>
          <w:rFonts w:ascii="Calibri" w:eastAsia="Times New Roman" w:hAnsi="Calibri" w:cs="Arial"/>
        </w:rPr>
      </w:pPr>
      <w:r w:rsidRPr="00C6790D">
        <w:rPr>
          <w:rFonts w:ascii="Calibri" w:eastAsia="Times New Roman" w:hAnsi="Calibri" w:cs="Arial"/>
          <w:b/>
        </w:rPr>
        <w:t>The concept of “quality” standards is not well defined in Afghanistan's legal framework and often is confused with safety and protection of health.</w:t>
      </w:r>
      <w:r w:rsidRPr="00C6790D">
        <w:rPr>
          <w:rFonts w:ascii="Calibri" w:eastAsia="Times New Roman" w:hAnsi="Calibri" w:cs="Arial"/>
        </w:rPr>
        <w:t xml:space="preserve"> The new SPS and TBT laws, however, will draw a clear distinction between these concepts. Afghanistan intends to draft a law on food safety, and producer declarations/certificates will be considered for low-risk food products. The country aims also to intensify efforts in the coming years to harmonize quality standards and guidelines with international standards (OIE, IPPC, Codex Alimentarius, and ISO). In March 2011, the Afghanistan National Standards Agency (ANSA) produced the Strategic Plan for the Development of a National Quality Infrastructure in Afghanistan to organize activities in metrology, accreditation and standardization processes.   </w:t>
      </w:r>
    </w:p>
    <w:p w:rsidR="00A31296" w:rsidRPr="00C6790D" w:rsidRDefault="00A31296" w:rsidP="00A31296">
      <w:pPr>
        <w:keepNext/>
        <w:keepLines/>
        <w:spacing w:before="360" w:after="120" w:line="240" w:lineRule="auto"/>
        <w:outlineLvl w:val="1"/>
        <w:rPr>
          <w:rFonts w:ascii="Calibri" w:eastAsia="Times New Roman" w:hAnsi="Calibri" w:cs="Calibri"/>
          <w:b/>
          <w:bCs/>
          <w:i/>
          <w:color w:val="300061"/>
          <w:sz w:val="26"/>
          <w:szCs w:val="26"/>
        </w:rPr>
      </w:pPr>
      <w:bookmarkStart w:id="22" w:name="_Toc326933151"/>
      <w:bookmarkStart w:id="23" w:name="_Toc327207221"/>
      <w:bookmarkStart w:id="24" w:name="_Toc327208032"/>
      <w:bookmarkStart w:id="25" w:name="_Toc327208414"/>
      <w:bookmarkStart w:id="26" w:name="_Toc327252423"/>
      <w:bookmarkStart w:id="27" w:name="_Toc327282374"/>
      <w:bookmarkStart w:id="28" w:name="_Toc328672345"/>
      <w:bookmarkStart w:id="29" w:name="_Toc348451405"/>
      <w:bookmarkStart w:id="30" w:name="_Toc348451567"/>
      <w:bookmarkStart w:id="31" w:name="_Toc348451655"/>
      <w:r w:rsidRPr="00C6790D">
        <w:rPr>
          <w:rFonts w:ascii="Calibri" w:eastAsia="Times New Roman" w:hAnsi="Calibri" w:cs="Calibri"/>
          <w:b/>
          <w:bCs/>
          <w:i/>
          <w:color w:val="300061"/>
          <w:sz w:val="26"/>
          <w:szCs w:val="26"/>
        </w:rPr>
        <w:t>Opportunities and Recommendations</w:t>
      </w:r>
      <w:bookmarkEnd w:id="22"/>
      <w:bookmarkEnd w:id="23"/>
      <w:bookmarkEnd w:id="24"/>
      <w:bookmarkEnd w:id="25"/>
      <w:bookmarkEnd w:id="26"/>
      <w:bookmarkEnd w:id="27"/>
      <w:bookmarkEnd w:id="28"/>
      <w:bookmarkEnd w:id="29"/>
      <w:bookmarkEnd w:id="30"/>
      <w:bookmarkEnd w:id="31"/>
    </w:p>
    <w:p w:rsidR="00A31296" w:rsidRPr="00C6790D" w:rsidRDefault="00A31296" w:rsidP="00A31296">
      <w:pPr>
        <w:numPr>
          <w:ilvl w:val="0"/>
          <w:numId w:val="11"/>
        </w:numPr>
        <w:spacing w:line="240" w:lineRule="auto"/>
        <w:contextualSpacing/>
        <w:rPr>
          <w:rFonts w:ascii="Calibri" w:eastAsia="Times New Roman" w:hAnsi="Calibri" w:cs="Calibri"/>
        </w:rPr>
      </w:pPr>
      <w:r w:rsidRPr="00C6790D">
        <w:rPr>
          <w:rFonts w:ascii="Calibri" w:eastAsia="Times New Roman" w:hAnsi="Calibri" w:cs="Calibri"/>
          <w:b/>
        </w:rPr>
        <w:t>Develop a capacity-building plan for trade policy evaluation within the Ministry of Commerce &amp; Industry (MOCI)</w:t>
      </w:r>
      <w:r w:rsidRPr="00C6790D">
        <w:rPr>
          <w:rFonts w:ascii="Calibri" w:eastAsia="Times New Roman" w:hAnsi="Calibri" w:cs="Calibri"/>
        </w:rPr>
        <w:t xml:space="preserve">. This could include building capacity to analyze indicators and monitor results of policies and investments in trade negotiation, impact evaluation techniques, and economic modeling of trade policy impacts. </w:t>
      </w:r>
    </w:p>
    <w:p w:rsidR="00A31296" w:rsidRPr="00C6790D" w:rsidRDefault="00A31296" w:rsidP="00A31296">
      <w:pPr>
        <w:numPr>
          <w:ilvl w:val="0"/>
          <w:numId w:val="11"/>
        </w:numPr>
        <w:spacing w:line="240" w:lineRule="auto"/>
        <w:contextualSpacing/>
        <w:rPr>
          <w:rFonts w:ascii="Calibri" w:eastAsia="Times New Roman" w:hAnsi="Calibri" w:cs="Calibri"/>
        </w:rPr>
      </w:pPr>
      <w:r w:rsidRPr="00C6790D">
        <w:rPr>
          <w:rFonts w:ascii="Calibri" w:eastAsia="Times New Roman" w:hAnsi="Calibri" w:cs="Calibri"/>
          <w:b/>
        </w:rPr>
        <w:t>Develop a trade database to inform policy analysis</w:t>
      </w:r>
      <w:r w:rsidRPr="00C6790D">
        <w:rPr>
          <w:rFonts w:ascii="Calibri" w:eastAsia="Times New Roman" w:hAnsi="Calibri" w:cs="Calibri"/>
        </w:rPr>
        <w:t xml:space="preserve">. The database should compile trade information from agencies such as the CSO, ARD, and donor-funded surveys to enable the MOCI to make informed policy decisions. Building capacity at the MOCI to maintain the database will be crucial, as it would enable technical units within the MOCI to analyze trade data trends for management.  </w:t>
      </w:r>
    </w:p>
    <w:p w:rsidR="00A31296" w:rsidRPr="00C6790D" w:rsidRDefault="00A31296" w:rsidP="00A31296">
      <w:pPr>
        <w:numPr>
          <w:ilvl w:val="0"/>
          <w:numId w:val="11"/>
        </w:numPr>
        <w:spacing w:after="240" w:line="240" w:lineRule="auto"/>
        <w:contextualSpacing/>
        <w:rPr>
          <w:rFonts w:ascii="Calibri" w:eastAsia="Times New Roman" w:hAnsi="Calibri" w:cs="Calibri"/>
        </w:rPr>
      </w:pPr>
      <w:r w:rsidRPr="00C6790D">
        <w:rPr>
          <w:rFonts w:ascii="Calibri" w:eastAsia="Times New Roman" w:hAnsi="Calibri" w:cs="Calibri"/>
          <w:b/>
        </w:rPr>
        <w:t>Conduct a review of items exempt from tariffs with the aim of broadening the tariff base</w:t>
      </w:r>
      <w:r w:rsidRPr="00C6790D">
        <w:rPr>
          <w:rFonts w:ascii="Calibri" w:eastAsia="Times New Roman" w:hAnsi="Calibri" w:cs="Calibri"/>
        </w:rPr>
        <w:t>. This will lessen revenue loss, currently estimated to be one-third of import revenues. However, minimum-consumption basket food items should remain exempt in order to protect the poor.</w:t>
      </w:r>
    </w:p>
    <w:p w:rsidR="00A31296" w:rsidRPr="00C6790D" w:rsidRDefault="00A31296" w:rsidP="00A31296">
      <w:pPr>
        <w:keepNext/>
        <w:keepLines/>
        <w:spacing w:before="360" w:after="120" w:line="240" w:lineRule="auto"/>
        <w:outlineLvl w:val="1"/>
        <w:rPr>
          <w:rFonts w:ascii="Calibri" w:eastAsia="Times New Roman" w:hAnsi="Calibri" w:cs="Calibri"/>
          <w:b/>
          <w:bCs/>
          <w:i/>
          <w:color w:val="300061"/>
          <w:sz w:val="26"/>
          <w:szCs w:val="26"/>
        </w:rPr>
      </w:pPr>
      <w:bookmarkStart w:id="32" w:name="_Toc327207222"/>
      <w:bookmarkStart w:id="33" w:name="_Toc327208033"/>
      <w:bookmarkStart w:id="34" w:name="_Toc327208415"/>
      <w:bookmarkStart w:id="35" w:name="_Toc327252424"/>
      <w:bookmarkStart w:id="36" w:name="_Toc327282375"/>
      <w:bookmarkStart w:id="37" w:name="_Toc328672346"/>
      <w:bookmarkStart w:id="38" w:name="_Toc348451406"/>
      <w:bookmarkStart w:id="39" w:name="_Toc348451568"/>
      <w:bookmarkStart w:id="40" w:name="_Toc348451656"/>
      <w:r w:rsidRPr="00C6790D">
        <w:rPr>
          <w:rFonts w:ascii="Calibri" w:eastAsia="Times New Roman" w:hAnsi="Calibri" w:cs="Calibri"/>
          <w:b/>
          <w:bCs/>
          <w:i/>
          <w:color w:val="300061"/>
          <w:sz w:val="26"/>
          <w:szCs w:val="26"/>
        </w:rPr>
        <w:t>Private Sector Development</w:t>
      </w:r>
      <w:bookmarkEnd w:id="32"/>
      <w:bookmarkEnd w:id="33"/>
      <w:bookmarkEnd w:id="34"/>
      <w:bookmarkEnd w:id="35"/>
      <w:bookmarkEnd w:id="36"/>
      <w:bookmarkEnd w:id="37"/>
      <w:bookmarkEnd w:id="38"/>
      <w:bookmarkEnd w:id="39"/>
      <w:bookmarkEnd w:id="40"/>
      <w:r w:rsidRPr="00C6790D">
        <w:rPr>
          <w:rFonts w:ascii="Calibri" w:eastAsia="Times New Roman" w:hAnsi="Calibri" w:cs="Calibri"/>
          <w:b/>
          <w:bCs/>
          <w:i/>
          <w:color w:val="300061"/>
          <w:sz w:val="26"/>
          <w:szCs w:val="26"/>
        </w:rPr>
        <w:t xml:space="preserve"> </w:t>
      </w:r>
    </w:p>
    <w:p w:rsidR="00A31296" w:rsidRPr="00C6790D" w:rsidRDefault="00A31296" w:rsidP="00A31296">
      <w:pPr>
        <w:spacing w:line="240" w:lineRule="auto"/>
        <w:rPr>
          <w:rFonts w:ascii="Calibri" w:eastAsia="Times New Roman" w:hAnsi="Calibri" w:cs="Calibri"/>
          <w:i/>
        </w:rPr>
      </w:pPr>
      <w:r w:rsidRPr="00C6790D">
        <w:rPr>
          <w:rFonts w:ascii="Calibri" w:eastAsia="Times New Roman" w:hAnsi="Calibri" w:cs="Calibri"/>
          <w:i/>
        </w:rPr>
        <w:t>An attractive investment climate would incentivize private commercial activity and encourage Afghan firms to make medium-term investments, which would create jobs.</w:t>
      </w:r>
    </w:p>
    <w:p w:rsidR="00A31296" w:rsidRPr="00C6790D" w:rsidRDefault="00A31296" w:rsidP="00A31296">
      <w:pPr>
        <w:autoSpaceDE w:val="0"/>
        <w:autoSpaceDN w:val="0"/>
        <w:adjustRightInd w:val="0"/>
        <w:spacing w:before="240" w:line="240" w:lineRule="auto"/>
        <w:rPr>
          <w:rFonts w:ascii="Calibri" w:eastAsia="Times New Roman" w:hAnsi="Calibri" w:cs="Calibri"/>
        </w:rPr>
      </w:pPr>
      <w:r w:rsidRPr="00C6790D">
        <w:rPr>
          <w:rFonts w:ascii="Calibri" w:eastAsia="Times New Roman" w:hAnsi="Calibri" w:cs="Calibri"/>
          <w:b/>
        </w:rPr>
        <w:t xml:space="preserve">The National Trade Policy, and its export component, should establish a climate in which the Afghan private sector can flourish. </w:t>
      </w:r>
      <w:r w:rsidRPr="00C6790D">
        <w:rPr>
          <w:rFonts w:ascii="Calibri" w:eastAsia="Times New Roman" w:hAnsi="Calibri" w:cs="Calibri"/>
        </w:rPr>
        <w:t>Regulation is important in this sense; it must be transparent, accessible, and efficiently implemented in order to encourage growth, job creation and poverty reduction. A World Bank assessment of the business climate in Afghanistan in 2011 recommended reforms in nine of the ten indicators of the Doing Business Report.</w:t>
      </w:r>
      <w:r w:rsidRPr="00C6790D">
        <w:rPr>
          <w:rFonts w:ascii="Calibri" w:eastAsia="Times New Roman" w:hAnsi="Calibri" w:cs="Calibri"/>
          <w:sz w:val="20"/>
          <w:vertAlign w:val="superscript"/>
        </w:rPr>
        <w:footnoteReference w:id="6"/>
      </w:r>
      <w:r w:rsidRPr="00C6790D">
        <w:rPr>
          <w:rFonts w:ascii="Calibri" w:eastAsia="Times New Roman" w:hAnsi="Calibri" w:cs="Calibri"/>
        </w:rPr>
        <w:t xml:space="preserve"> This DTIS places special emphasis on a subset of these indicators in an effort to boost private sector development and export generation through (i) starting a business, (ii) protecting investors, and (iii) enforcing contracts. Chapter 2 provides</w:t>
      </w:r>
      <w:r>
        <w:rPr>
          <w:rFonts w:ascii="Calibri" w:eastAsia="Times New Roman" w:hAnsi="Calibri" w:cs="Calibri"/>
        </w:rPr>
        <w:t xml:space="preserve"> diagnostics across this subset</w:t>
      </w:r>
      <w:r w:rsidRPr="00C6790D">
        <w:rPr>
          <w:rFonts w:ascii="Calibri" w:eastAsia="Times New Roman" w:hAnsi="Calibri" w:cs="Calibri"/>
        </w:rPr>
        <w:t>.</w:t>
      </w:r>
      <w:r w:rsidRPr="00C6790D">
        <w:rPr>
          <w:rFonts w:ascii="Calibri" w:eastAsia="Times New Roman" w:hAnsi="Calibri" w:cs="Calibri"/>
          <w:sz w:val="20"/>
          <w:vertAlign w:val="superscript"/>
        </w:rPr>
        <w:footnoteReference w:id="7"/>
      </w:r>
      <w:r w:rsidRPr="00C6790D">
        <w:rPr>
          <w:rFonts w:ascii="Calibri" w:eastAsia="Times New Roman" w:hAnsi="Calibri" w:cs="Calibri"/>
        </w:rPr>
        <w:t xml:space="preserve"> Chapter IV, meanwhile, examines infrastructural elements that directly affect the investment climate, such as access to roads, telecoms penetration, and electricity.</w:t>
      </w:r>
    </w:p>
    <w:p w:rsidR="00A31296" w:rsidRPr="00C6790D" w:rsidRDefault="00A31296" w:rsidP="00A31296">
      <w:pPr>
        <w:keepNext/>
        <w:keepLines/>
        <w:spacing w:before="360" w:after="120" w:line="240" w:lineRule="auto"/>
        <w:outlineLvl w:val="1"/>
        <w:rPr>
          <w:rFonts w:ascii="Calibri" w:eastAsia="Times New Roman" w:hAnsi="Calibri" w:cs="Calibri"/>
          <w:b/>
          <w:bCs/>
          <w:i/>
          <w:color w:val="410082"/>
          <w:sz w:val="26"/>
          <w:szCs w:val="26"/>
        </w:rPr>
      </w:pPr>
      <w:bookmarkStart w:id="41" w:name="_Toc327207223"/>
      <w:bookmarkStart w:id="42" w:name="_Toc327208034"/>
      <w:bookmarkStart w:id="43" w:name="_Toc327208416"/>
      <w:bookmarkStart w:id="44" w:name="_Toc327252425"/>
      <w:bookmarkStart w:id="45" w:name="_Toc327282376"/>
      <w:bookmarkStart w:id="46" w:name="_Toc328672347"/>
      <w:bookmarkStart w:id="47" w:name="_Toc348451407"/>
      <w:bookmarkStart w:id="48" w:name="_Toc348451569"/>
      <w:bookmarkStart w:id="49" w:name="_Toc348451657"/>
      <w:r w:rsidRPr="00C6790D">
        <w:rPr>
          <w:rFonts w:ascii="Calibri" w:eastAsia="Times New Roman" w:hAnsi="Calibri" w:cs="Calibri"/>
          <w:b/>
          <w:bCs/>
          <w:i/>
          <w:color w:val="410082"/>
          <w:sz w:val="26"/>
          <w:szCs w:val="26"/>
        </w:rPr>
        <w:lastRenderedPageBreak/>
        <w:t>Opportunities and Recommendations</w:t>
      </w:r>
      <w:bookmarkEnd w:id="41"/>
      <w:bookmarkEnd w:id="42"/>
      <w:bookmarkEnd w:id="43"/>
      <w:bookmarkEnd w:id="44"/>
      <w:bookmarkEnd w:id="45"/>
      <w:bookmarkEnd w:id="46"/>
      <w:bookmarkEnd w:id="47"/>
      <w:bookmarkEnd w:id="48"/>
      <w:bookmarkEnd w:id="49"/>
    </w:p>
    <w:p w:rsidR="00A31296" w:rsidRPr="00C6790D" w:rsidRDefault="00A31296" w:rsidP="00A31296">
      <w:pPr>
        <w:keepNext/>
        <w:keepLines/>
        <w:spacing w:before="200" w:after="0" w:line="480" w:lineRule="auto"/>
        <w:outlineLvl w:val="2"/>
        <w:rPr>
          <w:rFonts w:ascii="Calibri" w:eastAsia="Times New Roman" w:hAnsi="Calibri" w:cs="Times New Roman"/>
          <w:b/>
          <w:bCs/>
          <w:i/>
          <w:color w:val="410082"/>
        </w:rPr>
      </w:pPr>
      <w:bookmarkStart w:id="50" w:name="_Toc326933152"/>
      <w:bookmarkStart w:id="51" w:name="_Toc327207224"/>
      <w:bookmarkStart w:id="52" w:name="_Toc327208035"/>
      <w:bookmarkStart w:id="53" w:name="_Toc327208417"/>
      <w:bookmarkStart w:id="54" w:name="_Toc327252426"/>
      <w:bookmarkStart w:id="55" w:name="_Toc327282377"/>
      <w:bookmarkStart w:id="56" w:name="_Toc328672348"/>
      <w:bookmarkStart w:id="57" w:name="_Toc348451408"/>
      <w:bookmarkStart w:id="58" w:name="_Toc348451570"/>
      <w:bookmarkStart w:id="59" w:name="_Toc348451658"/>
      <w:r w:rsidRPr="00C6790D">
        <w:rPr>
          <w:rFonts w:ascii="Calibri" w:eastAsia="Times New Roman" w:hAnsi="Calibri" w:cs="Times New Roman"/>
          <w:b/>
          <w:bCs/>
          <w:i/>
          <w:color w:val="410082"/>
        </w:rPr>
        <w:t>Starting a business</w:t>
      </w:r>
      <w:bookmarkEnd w:id="50"/>
      <w:bookmarkEnd w:id="51"/>
      <w:bookmarkEnd w:id="52"/>
      <w:bookmarkEnd w:id="53"/>
      <w:bookmarkEnd w:id="54"/>
      <w:bookmarkEnd w:id="55"/>
      <w:bookmarkEnd w:id="56"/>
      <w:bookmarkEnd w:id="57"/>
      <w:bookmarkEnd w:id="58"/>
      <w:bookmarkEnd w:id="59"/>
    </w:p>
    <w:p w:rsidR="00A31296" w:rsidRPr="00C6790D" w:rsidRDefault="00A31296" w:rsidP="00A31296">
      <w:pPr>
        <w:numPr>
          <w:ilvl w:val="0"/>
          <w:numId w:val="19"/>
        </w:numPr>
        <w:autoSpaceDE w:val="0"/>
        <w:autoSpaceDN w:val="0"/>
        <w:adjustRightInd w:val="0"/>
        <w:spacing w:after="0" w:line="240" w:lineRule="auto"/>
        <w:contextualSpacing/>
        <w:rPr>
          <w:rFonts w:ascii="Calibri" w:eastAsia="Times New Roman" w:hAnsi="Calibri" w:cs="Calibri"/>
        </w:rPr>
      </w:pPr>
      <w:r w:rsidRPr="00C6790D">
        <w:rPr>
          <w:rFonts w:ascii="Calibri" w:eastAsia="Times New Roman" w:hAnsi="Calibri" w:cs="Calibri"/>
          <w:b/>
          <w:i/>
        </w:rPr>
        <w:t>Short Term</w:t>
      </w:r>
      <w:r w:rsidRPr="00C6790D">
        <w:rPr>
          <w:rFonts w:ascii="Calibri" w:eastAsia="Times New Roman" w:hAnsi="Calibri" w:cs="Calibri"/>
          <w:b/>
        </w:rPr>
        <w:t xml:space="preserve">: </w:t>
      </w:r>
      <w:r w:rsidRPr="00C6790D">
        <w:rPr>
          <w:rFonts w:ascii="Calibri" w:eastAsia="Times New Roman" w:hAnsi="Calibri" w:cs="Calibri"/>
        </w:rPr>
        <w:t xml:space="preserve">Speed up investment license renewal and reduce renewal’s cost and frequency. AISA could charge a small, flat administration fee to renew, instead of basing the fee on sector or firm size.   </w:t>
      </w:r>
    </w:p>
    <w:p w:rsidR="00A31296" w:rsidRPr="00C6790D" w:rsidRDefault="00A31296" w:rsidP="00A31296">
      <w:pPr>
        <w:numPr>
          <w:ilvl w:val="0"/>
          <w:numId w:val="19"/>
        </w:numPr>
        <w:autoSpaceDE w:val="0"/>
        <w:autoSpaceDN w:val="0"/>
        <w:adjustRightInd w:val="0"/>
        <w:spacing w:after="0" w:line="240" w:lineRule="auto"/>
        <w:contextualSpacing/>
        <w:rPr>
          <w:rFonts w:ascii="Calibri" w:eastAsia="Times New Roman" w:hAnsi="Calibri" w:cs="Calibri"/>
          <w:b/>
        </w:rPr>
      </w:pPr>
      <w:r w:rsidRPr="00C6790D">
        <w:rPr>
          <w:rFonts w:ascii="Calibri" w:eastAsia="Times New Roman" w:hAnsi="Calibri" w:cs="Calibri"/>
          <w:b/>
          <w:i/>
        </w:rPr>
        <w:t>Medium Term</w:t>
      </w:r>
      <w:r w:rsidRPr="00C6790D">
        <w:rPr>
          <w:rFonts w:ascii="Calibri" w:eastAsia="Times New Roman" w:hAnsi="Calibri" w:cs="Calibri"/>
          <w:b/>
        </w:rPr>
        <w:t xml:space="preserve">: </w:t>
      </w:r>
      <w:r w:rsidRPr="00C6790D">
        <w:rPr>
          <w:rFonts w:ascii="Calibri" w:eastAsia="Times New Roman" w:hAnsi="Calibri" w:cs="Calibri"/>
        </w:rPr>
        <w:t>Reorganize the MoCI and AISA relationship to enable entrepreneurs to deal with only a single agency for registration and licensing. The government should strive in general for single-point interaction between it and entrepreneurs for all information, registration, licensing and fees.</w:t>
      </w:r>
    </w:p>
    <w:p w:rsidR="00A31296" w:rsidRPr="00C6790D" w:rsidRDefault="00A31296" w:rsidP="00A31296">
      <w:pPr>
        <w:keepNext/>
        <w:keepLines/>
        <w:spacing w:before="200" w:after="0" w:line="480" w:lineRule="auto"/>
        <w:outlineLvl w:val="2"/>
        <w:rPr>
          <w:rFonts w:ascii="Calibri" w:eastAsia="Times New Roman" w:hAnsi="Calibri" w:cs="Times New Roman"/>
          <w:b/>
          <w:bCs/>
          <w:i/>
          <w:color w:val="410082"/>
        </w:rPr>
      </w:pPr>
      <w:bookmarkStart w:id="60" w:name="_Toc327207226"/>
      <w:bookmarkStart w:id="61" w:name="_Toc327208037"/>
      <w:bookmarkStart w:id="62" w:name="_Toc327208419"/>
      <w:bookmarkStart w:id="63" w:name="_Toc327252428"/>
      <w:bookmarkStart w:id="64" w:name="_Toc327282379"/>
      <w:bookmarkStart w:id="65" w:name="_Toc328672349"/>
      <w:bookmarkStart w:id="66" w:name="_Toc348451409"/>
      <w:bookmarkStart w:id="67" w:name="_Toc348451571"/>
      <w:bookmarkStart w:id="68" w:name="_Toc348451659"/>
      <w:r w:rsidRPr="00C6790D">
        <w:rPr>
          <w:rFonts w:ascii="Calibri" w:eastAsia="Times New Roman" w:hAnsi="Calibri" w:cs="Times New Roman"/>
          <w:b/>
          <w:bCs/>
          <w:i/>
          <w:color w:val="410082"/>
        </w:rPr>
        <w:t>Investor protection</w:t>
      </w:r>
      <w:bookmarkEnd w:id="60"/>
      <w:bookmarkEnd w:id="61"/>
      <w:bookmarkEnd w:id="62"/>
      <w:bookmarkEnd w:id="63"/>
      <w:bookmarkEnd w:id="64"/>
      <w:bookmarkEnd w:id="65"/>
      <w:bookmarkEnd w:id="66"/>
      <w:bookmarkEnd w:id="67"/>
      <w:bookmarkEnd w:id="68"/>
    </w:p>
    <w:p w:rsidR="00A31296" w:rsidRPr="00C6790D" w:rsidRDefault="00A31296" w:rsidP="00A31296">
      <w:pPr>
        <w:numPr>
          <w:ilvl w:val="0"/>
          <w:numId w:val="20"/>
        </w:numPr>
        <w:autoSpaceDE w:val="0"/>
        <w:autoSpaceDN w:val="0"/>
        <w:adjustRightInd w:val="0"/>
        <w:spacing w:after="0" w:line="240" w:lineRule="auto"/>
        <w:contextualSpacing/>
        <w:rPr>
          <w:rFonts w:ascii="Calibri" w:eastAsia="Times New Roman" w:hAnsi="Calibri" w:cs="Calibri"/>
          <w:i/>
        </w:rPr>
      </w:pPr>
      <w:r w:rsidRPr="00C6790D">
        <w:rPr>
          <w:rFonts w:ascii="Calibri" w:eastAsia="Times New Roman" w:hAnsi="Calibri" w:cs="Calibri"/>
          <w:b/>
          <w:i/>
        </w:rPr>
        <w:t>Short Term:</w:t>
      </w:r>
      <w:r w:rsidRPr="00C6790D">
        <w:rPr>
          <w:rFonts w:ascii="Calibri" w:eastAsia="Times New Roman" w:hAnsi="Calibri" w:cs="Calibri"/>
          <w:b/>
        </w:rPr>
        <w:t xml:space="preserve"> </w:t>
      </w:r>
      <w:r w:rsidRPr="00C6790D">
        <w:rPr>
          <w:rFonts w:ascii="Calibri" w:eastAsia="Times New Roman" w:hAnsi="Calibri" w:cs="Calibri"/>
        </w:rPr>
        <w:t xml:space="preserve">Amend both the Joint Stock Company Law and the Corporations and Limited Liability Companies Law to align their investor protection and disclosure requirements more completely with international best practice. The amended legislation should also mandate independent auditing of large related-party transactions before the transactions take place. Shareholder approval of large related-party transactions should also be a requirement. Article 50 of the Corporations and Limited Liability Companies Law, dealing with conflict of interest in transactions, should be amended to increase public disclosure requirements in annual reports in cases of related-party transactions. The corporation’s law currently requires only boards of directors’ approval in cases of large related-party transactions (above 5 percent of the company’s assets). To better protect minority shareholders, these transactions should be approved at the shareholders’ meetings. </w:t>
      </w:r>
    </w:p>
    <w:p w:rsidR="00A31296" w:rsidRPr="00C6790D" w:rsidRDefault="00A31296" w:rsidP="00A31296">
      <w:pPr>
        <w:numPr>
          <w:ilvl w:val="0"/>
          <w:numId w:val="20"/>
        </w:numPr>
        <w:autoSpaceDE w:val="0"/>
        <w:autoSpaceDN w:val="0"/>
        <w:adjustRightInd w:val="0"/>
        <w:spacing w:after="0" w:line="240" w:lineRule="auto"/>
        <w:contextualSpacing/>
        <w:rPr>
          <w:rFonts w:ascii="Calibri" w:eastAsia="Times New Roman" w:hAnsi="Calibri" w:cs="Calibri"/>
        </w:rPr>
      </w:pPr>
      <w:r w:rsidRPr="00C6790D">
        <w:rPr>
          <w:rFonts w:ascii="Calibri" w:eastAsia="Times New Roman" w:hAnsi="Calibri" w:cs="Calibri"/>
          <w:b/>
          <w:i/>
        </w:rPr>
        <w:t>Medium Term</w:t>
      </w:r>
      <w:r w:rsidRPr="00C6790D">
        <w:rPr>
          <w:rFonts w:ascii="Calibri" w:eastAsia="Times New Roman" w:hAnsi="Calibri" w:cs="Calibri"/>
          <w:b/>
        </w:rPr>
        <w:t xml:space="preserve">: </w:t>
      </w:r>
      <w:r w:rsidRPr="00C6790D">
        <w:rPr>
          <w:rFonts w:ascii="Calibri" w:eastAsia="Times New Roman" w:hAnsi="Calibri" w:cs="Calibri"/>
        </w:rPr>
        <w:t>To make it easier for investors to protect their rights through the courts, interested parties should be allowed access to relevant non-confidential company documents without having to file suit or having to identify specific documents. Parties to a trial should be allowed to question (orally or in writing) the opposing party or witnesses during trial without prior submission of the questions to a judge. To facilitate access to evidence at trial, minority shareholders’ lawyers should be allowed to directly question defendants and witnesses.</w:t>
      </w:r>
    </w:p>
    <w:p w:rsidR="00A31296" w:rsidRPr="00C6790D" w:rsidRDefault="00A31296" w:rsidP="00A31296">
      <w:pPr>
        <w:keepNext/>
        <w:keepLines/>
        <w:spacing w:before="200" w:after="0" w:line="480" w:lineRule="auto"/>
        <w:outlineLvl w:val="2"/>
        <w:rPr>
          <w:rFonts w:ascii="Calibri" w:eastAsia="Times New Roman" w:hAnsi="Calibri" w:cs="Times New Roman"/>
          <w:b/>
          <w:bCs/>
          <w:i/>
          <w:color w:val="410082"/>
        </w:rPr>
      </w:pPr>
      <w:bookmarkStart w:id="69" w:name="_Toc327207227"/>
      <w:bookmarkStart w:id="70" w:name="_Toc327208038"/>
      <w:bookmarkStart w:id="71" w:name="_Toc327208420"/>
      <w:bookmarkStart w:id="72" w:name="_Toc327252429"/>
      <w:bookmarkStart w:id="73" w:name="_Toc327282380"/>
      <w:bookmarkStart w:id="74" w:name="_Toc328672350"/>
      <w:bookmarkStart w:id="75" w:name="_Toc348451410"/>
      <w:bookmarkStart w:id="76" w:name="_Toc348451572"/>
      <w:bookmarkStart w:id="77" w:name="_Toc348451660"/>
      <w:r w:rsidRPr="00C6790D">
        <w:rPr>
          <w:rFonts w:ascii="Calibri" w:eastAsia="Times New Roman" w:hAnsi="Calibri" w:cs="Times New Roman"/>
          <w:b/>
          <w:bCs/>
          <w:i/>
          <w:color w:val="410082"/>
        </w:rPr>
        <w:t>Enforcing contracts</w:t>
      </w:r>
      <w:bookmarkEnd w:id="69"/>
      <w:bookmarkEnd w:id="70"/>
      <w:bookmarkEnd w:id="71"/>
      <w:bookmarkEnd w:id="72"/>
      <w:bookmarkEnd w:id="73"/>
      <w:bookmarkEnd w:id="74"/>
      <w:bookmarkEnd w:id="75"/>
      <w:bookmarkEnd w:id="76"/>
      <w:bookmarkEnd w:id="77"/>
    </w:p>
    <w:p w:rsidR="00A31296" w:rsidRPr="00C6790D" w:rsidRDefault="00A31296" w:rsidP="00A31296">
      <w:pPr>
        <w:numPr>
          <w:ilvl w:val="0"/>
          <w:numId w:val="21"/>
        </w:numPr>
        <w:autoSpaceDE w:val="0"/>
        <w:autoSpaceDN w:val="0"/>
        <w:adjustRightInd w:val="0"/>
        <w:spacing w:line="240" w:lineRule="auto"/>
        <w:contextualSpacing/>
        <w:rPr>
          <w:rFonts w:ascii="Calibri" w:eastAsia="Times New Roman" w:hAnsi="Calibri" w:cs="Calibri"/>
        </w:rPr>
      </w:pPr>
      <w:r w:rsidRPr="00C6790D">
        <w:rPr>
          <w:rFonts w:ascii="Calibri" w:eastAsia="Times New Roman" w:hAnsi="Calibri" w:cs="Calibri"/>
          <w:b/>
          <w:i/>
        </w:rPr>
        <w:t>Medium Term</w:t>
      </w:r>
      <w:r w:rsidRPr="00C6790D">
        <w:rPr>
          <w:rFonts w:ascii="Calibri" w:eastAsia="Times New Roman" w:hAnsi="Calibri" w:cs="Calibri"/>
          <w:b/>
        </w:rPr>
        <w:t>:</w:t>
      </w:r>
      <w:r w:rsidRPr="00C6790D">
        <w:rPr>
          <w:rFonts w:ascii="Calibri" w:eastAsia="Times New Roman" w:hAnsi="Calibri" w:cs="Calibri"/>
          <w:b/>
          <w:bCs/>
        </w:rPr>
        <w:t xml:space="preserve"> </w:t>
      </w:r>
      <w:r w:rsidRPr="00C6790D">
        <w:rPr>
          <w:rFonts w:ascii="Calibri" w:eastAsia="Times New Roman" w:hAnsi="Calibri" w:cs="Calibri"/>
          <w:bCs/>
        </w:rPr>
        <w:t>Explore setting up an alternate dispute-resolution mechanism to improve efficiency of commercial judgments.</w:t>
      </w:r>
      <w:r w:rsidRPr="00C6790D">
        <w:rPr>
          <w:rFonts w:ascii="Calibri" w:eastAsia="Times New Roman" w:hAnsi="Calibri" w:cs="Calibri"/>
          <w:b/>
          <w:bCs/>
        </w:rPr>
        <w:t xml:space="preserve"> </w:t>
      </w:r>
      <w:r w:rsidRPr="00C6790D">
        <w:rPr>
          <w:rFonts w:ascii="Calibri" w:eastAsia="Times New Roman" w:hAnsi="Calibri" w:cs="Calibri"/>
        </w:rPr>
        <w:t xml:space="preserve">Mediated solutions are generally faster, less expensive, and more likely to allow parties to resume business with each other. </w:t>
      </w:r>
    </w:p>
    <w:p w:rsidR="00A31296" w:rsidRPr="00C6790D" w:rsidRDefault="00A31296" w:rsidP="00A31296">
      <w:pPr>
        <w:keepNext/>
        <w:keepLines/>
        <w:spacing w:before="360" w:after="120" w:line="240" w:lineRule="auto"/>
        <w:outlineLvl w:val="1"/>
        <w:rPr>
          <w:rFonts w:ascii="Calibri" w:eastAsia="Times New Roman" w:hAnsi="Calibri" w:cs="Calibri"/>
          <w:b/>
          <w:bCs/>
          <w:i/>
          <w:color w:val="300061"/>
          <w:sz w:val="26"/>
          <w:szCs w:val="26"/>
        </w:rPr>
      </w:pPr>
      <w:bookmarkStart w:id="78" w:name="_Toc327207228"/>
      <w:bookmarkStart w:id="79" w:name="_Toc327208039"/>
      <w:bookmarkStart w:id="80" w:name="_Toc327208421"/>
      <w:bookmarkStart w:id="81" w:name="_Toc327252430"/>
      <w:bookmarkStart w:id="82" w:name="_Toc327282381"/>
      <w:bookmarkStart w:id="83" w:name="_Toc328672351"/>
      <w:bookmarkStart w:id="84" w:name="_Toc348451411"/>
      <w:bookmarkStart w:id="85" w:name="_Toc348451573"/>
      <w:bookmarkStart w:id="86" w:name="_Toc348451661"/>
      <w:r w:rsidRPr="00C6790D">
        <w:rPr>
          <w:rFonts w:ascii="Calibri" w:eastAsia="Times New Roman" w:hAnsi="Calibri" w:cs="Calibri"/>
          <w:b/>
          <w:bCs/>
          <w:i/>
          <w:color w:val="300061"/>
          <w:sz w:val="26"/>
          <w:szCs w:val="26"/>
        </w:rPr>
        <w:t>Export Promotion</w:t>
      </w:r>
      <w:bookmarkEnd w:id="78"/>
      <w:bookmarkEnd w:id="79"/>
      <w:bookmarkEnd w:id="80"/>
      <w:bookmarkEnd w:id="81"/>
      <w:bookmarkEnd w:id="82"/>
      <w:bookmarkEnd w:id="83"/>
      <w:bookmarkEnd w:id="84"/>
      <w:bookmarkEnd w:id="85"/>
      <w:bookmarkEnd w:id="86"/>
    </w:p>
    <w:p w:rsidR="00A31296" w:rsidRPr="00C6790D" w:rsidRDefault="00A31296" w:rsidP="00A31296">
      <w:pPr>
        <w:spacing w:line="240" w:lineRule="auto"/>
        <w:rPr>
          <w:rFonts w:ascii="Calibri" w:eastAsia="Times New Roman" w:hAnsi="Calibri" w:cs="Calibri"/>
          <w:lang w:eastAsia="fr-FR"/>
        </w:rPr>
      </w:pPr>
      <w:r w:rsidRPr="00C6790D">
        <w:rPr>
          <w:rFonts w:ascii="Calibri" w:eastAsia="Times New Roman" w:hAnsi="Calibri" w:cs="Calibri"/>
          <w:i/>
        </w:rPr>
        <w:t xml:space="preserve">Exporting </w:t>
      </w:r>
      <w:r w:rsidRPr="00C6790D">
        <w:rPr>
          <w:rFonts w:ascii="Calibri" w:eastAsia="Times New Roman" w:hAnsi="Calibri" w:cs="Calibri"/>
          <w:i/>
          <w:lang w:eastAsia="de-DE"/>
        </w:rPr>
        <w:t xml:space="preserve">from Afghanistan is expensive; trade diagnostics suggest </w:t>
      </w:r>
      <w:r w:rsidRPr="00C6790D">
        <w:rPr>
          <w:rFonts w:ascii="Calibri" w:eastAsia="Times New Roman" w:hAnsi="Calibri" w:cs="Calibri"/>
          <w:i/>
        </w:rPr>
        <w:t>barriers lie mainly on the supply side.</w:t>
      </w:r>
    </w:p>
    <w:p w:rsidR="00A31296" w:rsidRPr="00C6790D" w:rsidRDefault="00A31296" w:rsidP="00A31296">
      <w:pPr>
        <w:spacing w:after="0" w:line="240" w:lineRule="auto"/>
        <w:contextualSpacing/>
        <w:rPr>
          <w:rFonts w:ascii="Calibri" w:eastAsia="Times New Roman" w:hAnsi="Calibri" w:cs="Calibri"/>
        </w:rPr>
      </w:pPr>
      <w:r w:rsidRPr="00C6790D">
        <w:rPr>
          <w:rFonts w:ascii="Calibri" w:eastAsia="Times New Roman" w:hAnsi="Calibri" w:cs="Calibri"/>
          <w:b/>
          <w:lang w:eastAsia="de-DE"/>
        </w:rPr>
        <w:t>Afghan exports trade at unduly high prices because they are heavily import-dependent for raw materials for production, and are prone to product loss through time delays, transport and warehousing practices.</w:t>
      </w:r>
      <w:r w:rsidRPr="00C6790D">
        <w:rPr>
          <w:rFonts w:ascii="Calibri" w:eastAsia="Times New Roman" w:hAnsi="Calibri" w:cs="Calibri"/>
          <w:lang w:eastAsia="de-DE"/>
        </w:rPr>
        <w:t xml:space="preserve"> These issues all conspire to drive up the end price. </w:t>
      </w:r>
      <w:r w:rsidRPr="00C6790D">
        <w:rPr>
          <w:rFonts w:ascii="Calibri" w:eastAsia="Times New Roman" w:hAnsi="Calibri" w:cs="Calibri"/>
        </w:rPr>
        <w:t xml:space="preserve">Evidence suggests that Afghanistan is losing potential export opportunities because of (i) higher costs through microeconomic and, to a lesser extent, macroeconomic issues, (ii) low added value, and (iii) institutional constraints. </w:t>
      </w:r>
    </w:p>
    <w:p w:rsidR="00A31296" w:rsidRPr="00C6790D" w:rsidRDefault="00A31296" w:rsidP="00A31296">
      <w:pPr>
        <w:spacing w:before="240" w:line="240" w:lineRule="auto"/>
        <w:rPr>
          <w:rFonts w:ascii="Calibri" w:eastAsia="Times New Roman" w:hAnsi="Calibri" w:cs="Calibri"/>
        </w:rPr>
      </w:pPr>
      <w:r w:rsidRPr="00C6790D">
        <w:rPr>
          <w:rFonts w:ascii="Calibri" w:eastAsia="Times New Roman" w:hAnsi="Calibri" w:cs="Calibri"/>
          <w:b/>
        </w:rPr>
        <w:lastRenderedPageBreak/>
        <w:t>Security risk is the main cost driver for traders, both directly and indirectly</w:t>
      </w:r>
      <w:r w:rsidRPr="00C6790D">
        <w:rPr>
          <w:rFonts w:ascii="Calibri" w:eastAsia="Times New Roman" w:hAnsi="Calibri" w:cs="Calibri"/>
        </w:rPr>
        <w:t xml:space="preserve">. The single greatest hindrance to private-sector and trade development remains the indirect constraint of markets due to conflict. </w:t>
      </w:r>
    </w:p>
    <w:p w:rsidR="00A31296" w:rsidRPr="00C6790D" w:rsidRDefault="00A31296" w:rsidP="00A31296">
      <w:pPr>
        <w:spacing w:line="240" w:lineRule="auto"/>
        <w:rPr>
          <w:rFonts w:ascii="Calibri" w:eastAsia="Times New Roman" w:hAnsi="Calibri" w:cs="Calibri"/>
          <w:lang w:eastAsia="de-DE"/>
        </w:rPr>
      </w:pPr>
      <w:r w:rsidRPr="00C6790D">
        <w:rPr>
          <w:rFonts w:ascii="Calibri" w:eastAsia="Times New Roman" w:hAnsi="Calibri" w:cs="Calibri"/>
          <w:b/>
          <w:lang w:eastAsia="de-DE"/>
        </w:rPr>
        <w:t xml:space="preserve">Overall, macroeconomic factors are not a binding constraint on export development, but do contribute to export costs. </w:t>
      </w:r>
      <w:r w:rsidRPr="00C6790D">
        <w:rPr>
          <w:rFonts w:ascii="Calibri" w:eastAsia="Times New Roman" w:hAnsi="Calibri" w:cs="Calibri"/>
          <w:lang w:eastAsia="de-DE"/>
        </w:rPr>
        <w:t>The fact that monetary policy in the country has significantly reduced exchange rate volatility is an accomplishment of the Central Bank. The Afghani is relatively strong compared to other South Asian currencies, thus, Afghan exports are comparatively more expensive.  The trade balance remains heavily weighted towards imports, thanks to the large aid flows to the country’s reconstruction and recovery efforts. Meanwhile, the cost of unskilled labor in Afghanistan is relatively high by other countries’ standards, and wages are no incentive for private investment.</w:t>
      </w:r>
    </w:p>
    <w:p w:rsidR="00A31296" w:rsidRPr="00C6790D" w:rsidRDefault="00A31296" w:rsidP="00A31296">
      <w:pPr>
        <w:spacing w:line="240" w:lineRule="auto"/>
        <w:rPr>
          <w:rFonts w:ascii="Calibri" w:eastAsia="Times New Roman" w:hAnsi="Calibri" w:cs="Calibri"/>
          <w:lang w:eastAsia="de-DE"/>
        </w:rPr>
      </w:pPr>
      <w:r w:rsidRPr="00C6790D">
        <w:rPr>
          <w:rFonts w:ascii="Calibri" w:eastAsia="Times New Roman" w:hAnsi="Calibri" w:cs="Calibri"/>
          <w:b/>
          <w:lang w:eastAsia="de-DE"/>
        </w:rPr>
        <w:t>The high cost of exporting from Afghanistan means that traders must depend on small profit margins</w:t>
      </w:r>
      <w:r w:rsidRPr="00C6790D">
        <w:rPr>
          <w:rFonts w:ascii="Calibri" w:eastAsia="Times New Roman" w:hAnsi="Calibri" w:cs="Calibri"/>
          <w:lang w:eastAsia="de-DE"/>
        </w:rPr>
        <w:t xml:space="preserve">. Therefore, the only way to increase the number and value of products produced, number of markets served, and survival rate of exporters is to drive down the costs. Sending Afghan pomegranates to India, for instance (Figure S.6), an Afghan exporter trader retains just 3.7 percent profit, after paying over 61 percent of the price on production costs and product losses, and a further 18 percent on taxes and commissions, and 17 percent on transport before the fruit even leaves Afghanistan. By comparison, the costs paid in India are just 23 percent, and in Pakistan 8 percent. </w:t>
      </w:r>
    </w:p>
    <w:p w:rsidR="00A31296" w:rsidRPr="00C6790D" w:rsidRDefault="00A31296" w:rsidP="00A31296">
      <w:pPr>
        <w:spacing w:after="0" w:line="240" w:lineRule="auto"/>
        <w:contextualSpacing/>
        <w:rPr>
          <w:rFonts w:ascii="Calibri" w:eastAsia="Times New Roman" w:hAnsi="Calibri" w:cs="Calibri"/>
          <w:b/>
          <w:color w:val="410082"/>
          <w:lang w:eastAsia="de-DE"/>
        </w:rPr>
      </w:pPr>
      <w:r w:rsidRPr="00C6790D">
        <w:rPr>
          <w:rFonts w:ascii="Calibri" w:eastAsia="Times New Roman" w:hAnsi="Calibri" w:cs="Calibri"/>
          <w:b/>
          <w:color w:val="410082"/>
          <w:lang w:eastAsia="de-DE"/>
        </w:rPr>
        <w:t>Figure S.6: Export Costs and Margins: The Example of Pomegranate Exports to India</w:t>
      </w:r>
    </w:p>
    <w:p w:rsidR="00A31296" w:rsidRPr="00C6790D" w:rsidRDefault="00A31296" w:rsidP="00A31296">
      <w:pPr>
        <w:spacing w:after="0" w:line="240" w:lineRule="auto"/>
        <w:contextualSpacing/>
        <w:rPr>
          <w:rFonts w:ascii="Calibri" w:eastAsia="Times New Roman" w:hAnsi="Calibri" w:cs="Calibri"/>
          <w:lang w:eastAsia="de-DE"/>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8"/>
        <w:gridCol w:w="4878"/>
      </w:tblGrid>
      <w:tr w:rsidR="00A31296" w:rsidRPr="00C6790D" w:rsidTr="00A31296">
        <w:tc>
          <w:tcPr>
            <w:tcW w:w="4698" w:type="dxa"/>
          </w:tcPr>
          <w:p w:rsidR="00A31296" w:rsidRPr="00C6790D" w:rsidRDefault="00A31296" w:rsidP="00A31296">
            <w:pPr>
              <w:contextualSpacing/>
              <w:rPr>
                <w:rFonts w:ascii="Calibri" w:eastAsia="Times New Roman" w:hAnsi="Calibri" w:cs="Calibri"/>
                <w:lang w:eastAsia="de-DE"/>
              </w:rPr>
            </w:pPr>
            <w:r w:rsidRPr="00C6790D">
              <w:rPr>
                <w:rFonts w:ascii="Calibri" w:eastAsia="Times New Roman" w:hAnsi="Calibri" w:cs="Calibri"/>
                <w:noProof/>
                <w:lang w:bidi="ar-SA"/>
              </w:rPr>
              <w:drawing>
                <wp:inline distT="0" distB="0" distL="0" distR="0" wp14:anchorId="393953FC" wp14:editId="6757B10D">
                  <wp:extent cx="3202916" cy="20471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0155" cy="2051791"/>
                          </a:xfrm>
                          <a:prstGeom prst="rect">
                            <a:avLst/>
                          </a:prstGeom>
                          <a:noFill/>
                        </pic:spPr>
                      </pic:pic>
                    </a:graphicData>
                  </a:graphic>
                </wp:inline>
              </w:drawing>
            </w:r>
          </w:p>
        </w:tc>
        <w:tc>
          <w:tcPr>
            <w:tcW w:w="4878" w:type="dxa"/>
          </w:tcPr>
          <w:p w:rsidR="00A31296" w:rsidRPr="00C6790D" w:rsidRDefault="00A31296" w:rsidP="00A31296">
            <w:pPr>
              <w:contextualSpacing/>
              <w:rPr>
                <w:rFonts w:ascii="Calibri" w:eastAsia="Times New Roman" w:hAnsi="Calibri" w:cs="Calibri"/>
                <w:lang w:eastAsia="de-DE"/>
              </w:rPr>
            </w:pPr>
            <w:r w:rsidRPr="00C6790D">
              <w:rPr>
                <w:rFonts w:ascii="Calibri" w:eastAsia="Times New Roman" w:hAnsi="Calibri" w:cs="Arial"/>
                <w:noProof/>
              </w:rPr>
              <w:t xml:space="preserve"> </w:t>
            </w:r>
            <w:r w:rsidRPr="00C6790D">
              <w:rPr>
                <w:rFonts w:ascii="Calibri" w:eastAsia="Times New Roman" w:hAnsi="Calibri" w:cs="Arial"/>
                <w:noProof/>
                <w:lang w:bidi="ar-SA"/>
              </w:rPr>
              <w:drawing>
                <wp:inline distT="0" distB="0" distL="0" distR="0" wp14:anchorId="2A303D01" wp14:editId="17A11DD1">
                  <wp:extent cx="2954740" cy="18697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8060" cy="1871844"/>
                          </a:xfrm>
                          <a:prstGeom prst="rect">
                            <a:avLst/>
                          </a:prstGeom>
                          <a:noFill/>
                        </pic:spPr>
                      </pic:pic>
                    </a:graphicData>
                  </a:graphic>
                </wp:inline>
              </w:drawing>
            </w:r>
          </w:p>
        </w:tc>
      </w:tr>
    </w:tbl>
    <w:p w:rsidR="00A31296" w:rsidRPr="00C6790D" w:rsidRDefault="00A31296" w:rsidP="00A31296">
      <w:pPr>
        <w:spacing w:before="100" w:beforeAutospacing="1" w:after="0" w:line="240" w:lineRule="auto"/>
        <w:rPr>
          <w:rFonts w:ascii="Calibri" w:eastAsia="Times New Roman" w:hAnsi="Calibri" w:cs="Calibri"/>
          <w:noProof/>
          <w:color w:val="000000"/>
          <w:sz w:val="18"/>
          <w:szCs w:val="18"/>
          <w:lang w:eastAsia="de-DE"/>
        </w:rPr>
      </w:pPr>
      <w:r w:rsidRPr="00C6790D">
        <w:rPr>
          <w:rFonts w:ascii="Calibri" w:eastAsia="Times New Roman" w:hAnsi="Calibri" w:cs="Calibri"/>
          <w:color w:val="000000"/>
          <w:sz w:val="18"/>
          <w:szCs w:val="18"/>
          <w:lang w:eastAsia="de-DE"/>
        </w:rPr>
        <w:t xml:space="preserve">Source: </w:t>
      </w:r>
      <w:r w:rsidRPr="00C6790D">
        <w:rPr>
          <w:rFonts w:ascii="Calibri" w:eastAsia="Times New Roman" w:hAnsi="Calibri" w:cs="Calibri"/>
          <w:noProof/>
          <w:color w:val="000000"/>
          <w:sz w:val="18"/>
          <w:szCs w:val="18"/>
          <w:lang w:eastAsia="de-DE"/>
        </w:rPr>
        <w:t>Lieshout, June 2011.</w:t>
      </w:r>
    </w:p>
    <w:p w:rsidR="00A31296" w:rsidRPr="00C6790D" w:rsidRDefault="00A31296" w:rsidP="00A31296">
      <w:pPr>
        <w:spacing w:before="240" w:line="240" w:lineRule="auto"/>
        <w:rPr>
          <w:rFonts w:ascii="Calibri" w:eastAsia="Times New Roman" w:hAnsi="Calibri" w:cs="Calibri"/>
        </w:rPr>
      </w:pPr>
      <w:r w:rsidRPr="00C6790D">
        <w:rPr>
          <w:rFonts w:ascii="Calibri" w:eastAsia="Times New Roman" w:hAnsi="Calibri" w:cs="Calibri"/>
          <w:b/>
        </w:rPr>
        <w:t>Afghan exports have little added value</w:t>
      </w:r>
      <w:r w:rsidRPr="00C6790D">
        <w:rPr>
          <w:rFonts w:ascii="Calibri" w:eastAsia="Times New Roman" w:hAnsi="Calibri" w:cs="Calibri"/>
        </w:rPr>
        <w:t xml:space="preserve">. </w:t>
      </w:r>
      <w:r w:rsidRPr="00C6790D">
        <w:rPr>
          <w:rFonts w:ascii="Calibri" w:eastAsia="Times New Roman" w:hAnsi="Calibri" w:cs="Calibri"/>
          <w:lang w:eastAsia="de-DE"/>
        </w:rPr>
        <w:t xml:space="preserve">For some commodities, Afghanistan has goodwill in the market and customers are willing to pay a premium for higher quality––as is the case with Afghan carpets, for instance.  However, the bulk of Afghanistan’s exports are primary products and therefore </w:t>
      </w:r>
      <w:r w:rsidRPr="00C6790D">
        <w:rPr>
          <w:rFonts w:ascii="Calibri" w:eastAsia="Times New Roman" w:hAnsi="Calibri" w:cs="Calibri"/>
        </w:rPr>
        <w:t>vulnerable to commodity price fluctuations</w:t>
      </w:r>
      <w:r w:rsidRPr="00C6790D">
        <w:rPr>
          <w:rFonts w:ascii="Calibri" w:eastAsia="Times New Roman" w:hAnsi="Calibri" w:cs="Calibri"/>
          <w:lang w:eastAsia="de-DE"/>
        </w:rPr>
        <w:t xml:space="preserve">.  </w:t>
      </w:r>
    </w:p>
    <w:p w:rsidR="00A31296" w:rsidRPr="00C6790D" w:rsidRDefault="00A31296" w:rsidP="00A31296">
      <w:pPr>
        <w:autoSpaceDE w:val="0"/>
        <w:autoSpaceDN w:val="0"/>
        <w:adjustRightInd w:val="0"/>
        <w:spacing w:line="240" w:lineRule="auto"/>
        <w:rPr>
          <w:rFonts w:ascii="Calibri" w:eastAsia="Times New Roman" w:hAnsi="Calibri" w:cs="Calibri"/>
        </w:rPr>
      </w:pPr>
      <w:r w:rsidRPr="00C6790D">
        <w:rPr>
          <w:rFonts w:ascii="Calibri" w:eastAsia="Times New Roman" w:hAnsi="Calibri" w:cs="Calibri"/>
          <w:b/>
        </w:rPr>
        <w:t>Informality in the private sector is a constraint on long-term growth</w:t>
      </w:r>
      <w:r w:rsidRPr="00C6790D">
        <w:rPr>
          <w:rFonts w:ascii="Calibri" w:eastAsia="Times New Roman" w:hAnsi="Calibri" w:cs="Calibri"/>
        </w:rPr>
        <w:t xml:space="preserve">, because informal businesses tend not to expand in size nor invest in technology, and face difficulties breaking into export markets. </w:t>
      </w:r>
      <w:r w:rsidRPr="00C6790D">
        <w:rPr>
          <w:rFonts w:ascii="Calibri" w:eastAsia="Times New Roman" w:hAnsi="Calibri" w:cs="Calibri"/>
          <w:lang w:eastAsia="de-DE"/>
        </w:rPr>
        <w:t xml:space="preserve">The informal economy, accounts for some 80-90 percent of the total economy (including drugs). It is flexible in responding to shocks and to short-term opportunities, but is subject to the conflict. </w:t>
      </w:r>
      <w:r w:rsidRPr="00C6790D">
        <w:rPr>
          <w:rFonts w:ascii="Calibri" w:eastAsia="Times New Roman" w:hAnsi="Calibri" w:cs="Calibri"/>
        </w:rPr>
        <w:t xml:space="preserve">While informality provides a source of income for the poorest Afghans, it sidesteps customs, evades taxation, and poses security and health risks because it leads to uncontrolled movements of goods. In this sense, coping with such high levels of informality will be a challenge for Afghanistan.  </w:t>
      </w:r>
    </w:p>
    <w:p w:rsidR="00A31296" w:rsidRPr="00C6790D" w:rsidRDefault="00A31296" w:rsidP="00A31296">
      <w:pPr>
        <w:autoSpaceDE w:val="0"/>
        <w:autoSpaceDN w:val="0"/>
        <w:adjustRightInd w:val="0"/>
        <w:spacing w:line="240" w:lineRule="auto"/>
        <w:rPr>
          <w:rFonts w:ascii="Calibri" w:eastAsia="Times New Roman" w:hAnsi="Calibri" w:cs="Calibri"/>
          <w:lang w:eastAsia="de-DE"/>
        </w:rPr>
      </w:pPr>
      <w:r w:rsidRPr="00C6790D">
        <w:rPr>
          <w:rFonts w:ascii="Calibri" w:eastAsia="Times New Roman" w:hAnsi="Calibri" w:cs="Calibri"/>
          <w:b/>
          <w:lang w:eastAsia="de-DE"/>
        </w:rPr>
        <w:lastRenderedPageBreak/>
        <w:t xml:space="preserve">Private investment is risky because of a lack of the rule of law. </w:t>
      </w:r>
      <w:r w:rsidRPr="00C6790D">
        <w:rPr>
          <w:rFonts w:ascii="Calibri" w:eastAsia="Times New Roman" w:hAnsi="Calibri" w:cs="Calibri"/>
          <w:lang w:eastAsia="de-DE"/>
        </w:rPr>
        <w:t xml:space="preserve">There is insecurity of contracts, a weak legal framework which is impartially enforced, shaky or absent formal justice system, non-functioning commercial courts, and no real commercial insurance system.    </w:t>
      </w:r>
    </w:p>
    <w:p w:rsidR="00A31296" w:rsidRPr="00C6790D" w:rsidRDefault="00A31296" w:rsidP="00A31296">
      <w:pPr>
        <w:spacing w:after="240" w:line="240" w:lineRule="auto"/>
        <w:rPr>
          <w:rFonts w:ascii="Calibri" w:eastAsia="Times New Roman" w:hAnsi="Calibri" w:cs="Calibri"/>
        </w:rPr>
      </w:pPr>
      <w:r w:rsidRPr="00C6790D">
        <w:rPr>
          <w:rFonts w:ascii="Calibri" w:eastAsia="Times New Roman" w:hAnsi="Calibri" w:cs="Calibri"/>
          <w:b/>
        </w:rPr>
        <w:t>The Export Promotion Agency of Afghanistan (EPAA) was established in 2006 to increase Afghan exports in foreign markets, but it has languished since the institutional arrangements were changed</w:t>
      </w:r>
      <w:r w:rsidRPr="00C6790D">
        <w:rPr>
          <w:rFonts w:ascii="Calibri" w:eastAsia="Times New Roman" w:hAnsi="Calibri" w:cs="Calibri"/>
        </w:rPr>
        <w:t>.  Its creation was a step in the right direction, and in 2008 it received an international award. The idea was to provide exporters with assistance in marketing, foreign markets, regulations, to help develop contacts with foreign importers, and to be a</w:t>
      </w:r>
      <w:r w:rsidRPr="00C6790D">
        <w:rPr>
          <w:rFonts w:ascii="Calibri" w:eastAsia="Calibri" w:hAnsi="Calibri" w:cs="Calibri"/>
        </w:rPr>
        <w:t xml:space="preserve"> one-stop agency for all export-related documents</w:t>
      </w:r>
      <w:r w:rsidRPr="00C6790D">
        <w:rPr>
          <w:rFonts w:ascii="Calibri" w:eastAsia="Times New Roman" w:hAnsi="Calibri" w:cs="Calibri"/>
        </w:rPr>
        <w:t xml:space="preserve">.  However, the EPAA lost its independence when it was turned into the Export Promotion Directorate of the MOCI. It no longer provides the scope of its original services; its new role and direction have not been clearly defined, and the definition of functions between all three directorates is ambiguous. </w:t>
      </w:r>
    </w:p>
    <w:p w:rsidR="00A31296" w:rsidRPr="00C6790D" w:rsidRDefault="00A31296" w:rsidP="00A31296">
      <w:pPr>
        <w:spacing w:line="240" w:lineRule="auto"/>
        <w:rPr>
          <w:rFonts w:ascii="Calibri" w:eastAsia="Times New Roman" w:hAnsi="Calibri" w:cs="Calibri"/>
          <w:lang w:val="en-GB"/>
        </w:rPr>
      </w:pPr>
      <w:r w:rsidRPr="00C6790D">
        <w:rPr>
          <w:rFonts w:ascii="Calibri" w:eastAsia="Times New Roman" w:hAnsi="Calibri" w:cs="Calibri"/>
          <w:b/>
        </w:rPr>
        <w:t xml:space="preserve">As the EPAA defines its new role, it could support activities aiming to develop local export services. </w:t>
      </w:r>
      <w:r w:rsidRPr="00C6790D">
        <w:rPr>
          <w:rFonts w:ascii="Calibri" w:eastAsia="Times New Roman" w:hAnsi="Calibri" w:cs="Calibri"/>
        </w:rPr>
        <w:t xml:space="preserve">These could be promoted through implementation of the “export step-by-step” process that the EPAA developed in 2007. Development of a matching grant scheme, based on the Tunisian experience, could do much to boost exports </w:t>
      </w:r>
      <w:r w:rsidRPr="00C6790D">
        <w:rPr>
          <w:rFonts w:ascii="Calibri" w:eastAsia="Times New Roman" w:hAnsi="Calibri" w:cs="Calibri"/>
          <w:lang w:val="en-GB"/>
        </w:rPr>
        <w:t>(see Box 5.1, Tunisia Export Market Access Fund (EMAF), Chapter 2)</w:t>
      </w:r>
      <w:r w:rsidRPr="00C6790D">
        <w:rPr>
          <w:rFonts w:ascii="Calibri" w:eastAsia="Times New Roman" w:hAnsi="Calibri" w:cs="Calibri"/>
        </w:rPr>
        <w:t>. The EMAF successfully used matching grants to help service-sector enterprises</w:t>
      </w:r>
      <w:r w:rsidRPr="00C6790D">
        <w:rPr>
          <w:rFonts w:ascii="Calibri" w:eastAsia="Times New Roman" w:hAnsi="Calibri" w:cs="Calibri"/>
          <w:lang w:val="en-GB"/>
        </w:rPr>
        <w:t xml:space="preserve"> develop a network of local exporting consultants to help companies succeed abroad. </w:t>
      </w:r>
      <w:bookmarkStart w:id="87" w:name="_Toc268773327"/>
      <w:bookmarkStart w:id="88" w:name="_Toc268614598"/>
    </w:p>
    <w:p w:rsidR="00A31296" w:rsidRPr="00C6790D" w:rsidRDefault="00A31296" w:rsidP="00A31296">
      <w:pPr>
        <w:spacing w:line="240" w:lineRule="auto"/>
        <w:rPr>
          <w:rFonts w:ascii="Calibri" w:eastAsia="Times New Roman" w:hAnsi="Calibri" w:cs="Calibri"/>
          <w:iCs/>
          <w:color w:val="000000"/>
          <w:lang w:val="en-IE" w:eastAsia="de-DE"/>
        </w:rPr>
      </w:pPr>
      <w:r w:rsidRPr="00C6790D">
        <w:rPr>
          <w:rFonts w:ascii="Calibri" w:eastAsia="Times New Roman" w:hAnsi="Calibri" w:cs="Calibri"/>
          <w:b/>
          <w:iCs/>
          <w:color w:val="000000"/>
          <w:lang w:val="en-IE" w:eastAsia="de-DE"/>
        </w:rPr>
        <w:t>Afghanistan is already internationally competitive in the agri-business and carpets sectors where it could successfully climb the value chain</w:t>
      </w:r>
      <w:r w:rsidRPr="00C6790D">
        <w:rPr>
          <w:rFonts w:ascii="Calibri" w:eastAsia="Times New Roman" w:hAnsi="Calibri" w:cs="Calibri"/>
          <w:iCs/>
          <w:color w:val="000000"/>
          <w:lang w:val="en-IE" w:eastAsia="de-DE"/>
        </w:rPr>
        <w:t>.</w:t>
      </w:r>
      <w:bookmarkEnd w:id="87"/>
      <w:bookmarkEnd w:id="88"/>
      <w:r w:rsidRPr="00C6790D">
        <w:rPr>
          <w:rFonts w:ascii="Calibri" w:eastAsia="Times New Roman" w:hAnsi="Calibri" w:cs="Calibri"/>
          <w:iCs/>
          <w:color w:val="000000"/>
          <w:lang w:val="en-IE" w:eastAsia="de-DE"/>
        </w:rPr>
        <w:t xml:space="preserve"> The agriculture and agri-business sector has great potential if attention were to be given to generating value, increasing storage capacity and improving packaging. There is potential also in the carpet sector, through the development of a cut and wash industry, and in gemstones through the development of cutting and polishing services. The marble sector could become a driver of SME development, and the construction sector, particularly building, also holds promise, since most of the bricks and simple tools now imported could be more cheaply manufactured at home. The development of a National export strategy should focus on strengthening sectors like these that show great export potential.</w:t>
      </w:r>
    </w:p>
    <w:p w:rsidR="00A31296" w:rsidRPr="00C6790D" w:rsidRDefault="00A31296" w:rsidP="00A31296">
      <w:pPr>
        <w:keepNext/>
        <w:keepLines/>
        <w:spacing w:before="360" w:after="120" w:line="240" w:lineRule="auto"/>
        <w:outlineLvl w:val="1"/>
        <w:rPr>
          <w:rFonts w:ascii="Calibri" w:eastAsia="Times New Roman" w:hAnsi="Calibri" w:cs="Calibri"/>
          <w:b/>
          <w:bCs/>
          <w:i/>
          <w:color w:val="300061"/>
          <w:sz w:val="26"/>
          <w:szCs w:val="26"/>
        </w:rPr>
      </w:pPr>
      <w:bookmarkStart w:id="89" w:name="_Toc326933153"/>
      <w:bookmarkStart w:id="90" w:name="_Toc327207229"/>
      <w:bookmarkStart w:id="91" w:name="_Toc327208040"/>
      <w:bookmarkStart w:id="92" w:name="_Toc327208422"/>
      <w:bookmarkStart w:id="93" w:name="_Toc327252431"/>
      <w:bookmarkStart w:id="94" w:name="_Toc327282382"/>
      <w:bookmarkStart w:id="95" w:name="_Toc328672352"/>
      <w:bookmarkStart w:id="96" w:name="_Toc348451412"/>
      <w:bookmarkStart w:id="97" w:name="_Toc348451574"/>
      <w:bookmarkStart w:id="98" w:name="_Toc348451662"/>
      <w:r w:rsidRPr="00C6790D">
        <w:rPr>
          <w:rFonts w:ascii="Calibri" w:eastAsia="Times New Roman" w:hAnsi="Calibri" w:cs="Calibri"/>
          <w:b/>
          <w:bCs/>
          <w:i/>
          <w:color w:val="300061"/>
          <w:sz w:val="26"/>
          <w:szCs w:val="26"/>
        </w:rPr>
        <w:t>Opportunities and Recommendations</w:t>
      </w:r>
      <w:bookmarkEnd w:id="89"/>
      <w:bookmarkEnd w:id="90"/>
      <w:bookmarkEnd w:id="91"/>
      <w:bookmarkEnd w:id="92"/>
      <w:bookmarkEnd w:id="93"/>
      <w:bookmarkEnd w:id="94"/>
      <w:bookmarkEnd w:id="95"/>
      <w:bookmarkEnd w:id="96"/>
      <w:bookmarkEnd w:id="97"/>
      <w:bookmarkEnd w:id="98"/>
    </w:p>
    <w:p w:rsidR="00A31296" w:rsidRPr="00C6790D" w:rsidRDefault="00A31296" w:rsidP="00A31296">
      <w:pPr>
        <w:numPr>
          <w:ilvl w:val="0"/>
          <w:numId w:val="12"/>
        </w:numPr>
        <w:spacing w:line="240" w:lineRule="auto"/>
        <w:contextualSpacing/>
        <w:rPr>
          <w:rFonts w:ascii="Calibri" w:eastAsia="Times New Roman" w:hAnsi="Calibri" w:cs="Calibri"/>
        </w:rPr>
      </w:pPr>
      <w:r w:rsidRPr="00C6790D">
        <w:rPr>
          <w:rFonts w:ascii="Calibri" w:eastAsia="Times New Roman" w:hAnsi="Calibri" w:cs="Calibri"/>
          <w:b/>
        </w:rPr>
        <w:t>Define the new role and activities of the EPAA.</w:t>
      </w:r>
      <w:r w:rsidRPr="00C6790D">
        <w:rPr>
          <w:rFonts w:ascii="Calibri" w:eastAsia="Times New Roman" w:hAnsi="Calibri" w:cs="Calibri"/>
        </w:rPr>
        <w:t xml:space="preserve"> If this directorate is to have any impact on export promotion in Afghanistan it needs a mandate beyond being just an information center. It could be playing a far greater role in export promotion, support services, technical assistance, capacity building, and marketing.     </w:t>
      </w:r>
    </w:p>
    <w:p w:rsidR="00A31296" w:rsidRPr="00C6790D" w:rsidRDefault="00A31296" w:rsidP="00A31296">
      <w:pPr>
        <w:numPr>
          <w:ilvl w:val="0"/>
          <w:numId w:val="12"/>
        </w:numPr>
        <w:spacing w:line="240" w:lineRule="auto"/>
        <w:contextualSpacing/>
        <w:rPr>
          <w:rFonts w:ascii="Calibri" w:eastAsia="Times New Roman" w:hAnsi="Calibri" w:cs="Calibri"/>
        </w:rPr>
      </w:pPr>
      <w:r w:rsidRPr="00C6790D">
        <w:rPr>
          <w:rFonts w:ascii="Calibri" w:eastAsia="Times New Roman" w:hAnsi="Calibri" w:cs="Calibri"/>
          <w:b/>
        </w:rPr>
        <w:t xml:space="preserve">Explore ways to develop a matching grant scheme for export promotion based on the success of the Tunisian experience. </w:t>
      </w:r>
      <w:r w:rsidRPr="00C6790D">
        <w:rPr>
          <w:rFonts w:ascii="Calibri" w:eastAsia="Times New Roman" w:hAnsi="Calibri" w:cs="Calibri"/>
        </w:rPr>
        <w:t xml:space="preserve">This subsidized scheme should be targeted and aligned with the objectives of export diversification and export development for SMEs. </w:t>
      </w:r>
    </w:p>
    <w:p w:rsidR="00A31296" w:rsidRPr="00C6790D" w:rsidRDefault="00A31296" w:rsidP="00A31296">
      <w:pPr>
        <w:numPr>
          <w:ilvl w:val="0"/>
          <w:numId w:val="12"/>
        </w:numPr>
        <w:spacing w:before="240" w:line="240" w:lineRule="auto"/>
        <w:contextualSpacing/>
        <w:rPr>
          <w:rFonts w:ascii="Calibri" w:eastAsia="Times New Roman" w:hAnsi="Calibri" w:cs="Calibri"/>
        </w:rPr>
      </w:pPr>
      <w:r w:rsidRPr="00C6790D">
        <w:rPr>
          <w:rFonts w:ascii="Calibri" w:eastAsia="Times New Roman" w:hAnsi="Calibri" w:cs="Calibri"/>
          <w:b/>
        </w:rPr>
        <w:t xml:space="preserve">Prepare a National Export Strategy as a stand-alone document to support the National Trade Policy. </w:t>
      </w:r>
      <w:r w:rsidRPr="00C6790D">
        <w:rPr>
          <w:rFonts w:ascii="Calibri" w:eastAsia="Times New Roman" w:hAnsi="Calibri" w:cs="Calibri"/>
        </w:rPr>
        <w:t xml:space="preserve">This strategy should identify key sectors in which Afghanistan has comparative advantage and that are labor-intensive so as to generate more jobs in the Transition. The document would be strengthened with clear steps to increase the competitiveness of Afghan firms, particularly SME’s, helping them to break through and survive in international markets.  </w:t>
      </w:r>
    </w:p>
    <w:p w:rsidR="00A31296" w:rsidRPr="00C6790D" w:rsidRDefault="00A31296" w:rsidP="00A31296">
      <w:pPr>
        <w:keepNext/>
        <w:keepLines/>
        <w:spacing w:before="240" w:after="120" w:line="240" w:lineRule="auto"/>
        <w:outlineLvl w:val="1"/>
        <w:rPr>
          <w:rFonts w:ascii="Calibri" w:eastAsia="Times New Roman" w:hAnsi="Calibri" w:cs="Calibri"/>
          <w:b/>
          <w:bCs/>
          <w:i/>
          <w:color w:val="300061"/>
          <w:sz w:val="26"/>
          <w:szCs w:val="26"/>
        </w:rPr>
      </w:pPr>
      <w:bookmarkStart w:id="99" w:name="_Toc327207230"/>
      <w:bookmarkStart w:id="100" w:name="_Toc327208041"/>
      <w:bookmarkStart w:id="101" w:name="_Toc327208423"/>
      <w:bookmarkStart w:id="102" w:name="_Toc327252432"/>
      <w:bookmarkStart w:id="103" w:name="_Toc327282383"/>
      <w:bookmarkStart w:id="104" w:name="_Toc328672353"/>
      <w:bookmarkStart w:id="105" w:name="_Toc348451413"/>
      <w:bookmarkStart w:id="106" w:name="_Toc348451575"/>
      <w:bookmarkStart w:id="107" w:name="_Toc348451663"/>
      <w:r w:rsidRPr="00C6790D">
        <w:rPr>
          <w:rFonts w:ascii="Calibri" w:eastAsia="Times New Roman" w:hAnsi="Calibri" w:cs="Calibri"/>
          <w:b/>
          <w:bCs/>
          <w:i/>
          <w:color w:val="300061"/>
          <w:sz w:val="26"/>
          <w:szCs w:val="26"/>
        </w:rPr>
        <w:lastRenderedPageBreak/>
        <w:t>Customs Reform Will Strengthen Trade Facilitation</w:t>
      </w:r>
      <w:bookmarkEnd w:id="99"/>
      <w:bookmarkEnd w:id="100"/>
      <w:bookmarkEnd w:id="101"/>
      <w:bookmarkEnd w:id="102"/>
      <w:bookmarkEnd w:id="103"/>
      <w:bookmarkEnd w:id="104"/>
      <w:bookmarkEnd w:id="105"/>
      <w:bookmarkEnd w:id="106"/>
      <w:bookmarkEnd w:id="107"/>
    </w:p>
    <w:p w:rsidR="00A31296" w:rsidRPr="00C6790D" w:rsidRDefault="00A31296" w:rsidP="00A31296">
      <w:pPr>
        <w:spacing w:before="240" w:line="240" w:lineRule="auto"/>
        <w:rPr>
          <w:rFonts w:ascii="Calibri" w:eastAsia="Times New Roman" w:hAnsi="Calibri" w:cs="Calibri"/>
          <w:b/>
          <w:i/>
          <w:color w:val="533466"/>
        </w:rPr>
      </w:pPr>
      <w:r w:rsidRPr="00C6790D">
        <w:rPr>
          <w:rFonts w:ascii="Calibri" w:eastAsia="Times New Roman" w:hAnsi="Calibri" w:cs="Calibri"/>
          <w:i/>
        </w:rPr>
        <w:t>Ongoing customs reform has reorganized</w:t>
      </w:r>
      <w:r w:rsidRPr="00C6790D">
        <w:rPr>
          <w:rFonts w:ascii="Calibri" w:eastAsia="Calibri" w:hAnsi="Calibri" w:cs="Calibri"/>
          <w:i/>
        </w:rPr>
        <w:t xml:space="preserve"> customs procedures, improved border facilities, and expedited clearance. When fully operational, the modified customs department, the Asycuda system and new customs procedures will further lower transaction costs, and improve trade facilitation and security.</w:t>
      </w:r>
    </w:p>
    <w:p w:rsidR="00A31296" w:rsidRPr="00C6790D" w:rsidRDefault="00A31296" w:rsidP="00A31296">
      <w:pPr>
        <w:spacing w:before="240" w:line="240" w:lineRule="auto"/>
        <w:rPr>
          <w:rFonts w:ascii="Calibri" w:eastAsia="Times New Roman" w:hAnsi="Calibri" w:cs="Calibri"/>
        </w:rPr>
      </w:pPr>
      <w:r w:rsidRPr="00C6790D">
        <w:rPr>
          <w:rFonts w:ascii="Calibri" w:eastAsia="Times New Roman" w:hAnsi="Calibri" w:cs="Calibri"/>
          <w:b/>
        </w:rPr>
        <w:t>Modernizing customs and border management will likely have the greatest impact on lowering trade costs in Afghanistan, as it would help facilitate and integrate trade</w:t>
      </w:r>
      <w:r w:rsidRPr="00C6790D">
        <w:rPr>
          <w:rFonts w:ascii="Calibri" w:eastAsia="Times New Roman" w:hAnsi="Calibri" w:cs="Calibri"/>
        </w:rPr>
        <w:t>. Customs efficiency has improved dramatically in recent years, with various indicators suggesting real progress in facilitation and movement of goods across Afghanistan. In the</w:t>
      </w:r>
      <w:r w:rsidRPr="00C6790D">
        <w:rPr>
          <w:rFonts w:ascii="Calibri" w:eastAsia="Calibri" w:hAnsi="Calibri" w:cs="Calibri"/>
        </w:rPr>
        <w:t xml:space="preserve"> long term, however, Afghanistan needs to </w:t>
      </w:r>
      <w:r w:rsidRPr="00C6790D">
        <w:rPr>
          <w:rFonts w:ascii="Calibri" w:eastAsia="Times New Roman" w:hAnsi="Calibri" w:cs="Calibri"/>
        </w:rPr>
        <w:t xml:space="preserve">strengthen its  border  management  institutions, change  transport  regulation  policy,  and  invest  in  trade-related infrastructure. </w:t>
      </w:r>
    </w:p>
    <w:p w:rsidR="00A31296" w:rsidRPr="00C6790D" w:rsidRDefault="00A31296" w:rsidP="00A31296">
      <w:pPr>
        <w:spacing w:line="240" w:lineRule="auto"/>
        <w:rPr>
          <w:rFonts w:ascii="Calibri" w:eastAsia="Times New Roman" w:hAnsi="Calibri" w:cs="Calibri"/>
          <w:bCs/>
        </w:rPr>
      </w:pPr>
      <w:r w:rsidRPr="00C6790D">
        <w:rPr>
          <w:rFonts w:ascii="Calibri" w:eastAsia="Times New Roman" w:hAnsi="Calibri" w:cs="Calibri"/>
          <w:b/>
        </w:rPr>
        <w:t>Major customs reforms have been initiated and implemented</w:t>
      </w:r>
      <w:r w:rsidRPr="00C6790D">
        <w:rPr>
          <w:rFonts w:ascii="Calibri" w:eastAsia="Times New Roman" w:hAnsi="Calibri" w:cs="Calibri"/>
        </w:rPr>
        <w:t>. These include (i) introduction of the Afghanistan National Tariff Schedule, which classifies goods according to international standards, (ii) procedures to control and monitor exemptions, (iii) roll-out of the Automated System for Customs Data (ASYCUDA), (iv) capacity-building and training of customs officials, (v) infrastructure development at main customs stations, and (vi) the establishment of regional customs valuation and post-clearance control units in the major provincial centers.  As a result, c</w:t>
      </w:r>
      <w:r w:rsidRPr="00C6790D">
        <w:rPr>
          <w:rFonts w:ascii="Calibri" w:eastAsia="Times New Roman" w:hAnsi="Calibri" w:cs="Calibri"/>
          <w:bCs/>
        </w:rPr>
        <w:t xml:space="preserve">ustoms revenues have risen 16-fold in the last eight years, an increase that eclipses the seven-fold rise in imports, to contribute 36 percent domestic of revenues collected in fiscal 2012.  </w:t>
      </w:r>
    </w:p>
    <w:p w:rsidR="00A31296" w:rsidRPr="00C6790D" w:rsidRDefault="00A31296" w:rsidP="00A31296">
      <w:pPr>
        <w:spacing w:line="240" w:lineRule="auto"/>
        <w:rPr>
          <w:rFonts w:ascii="Calibri" w:eastAsia="Times New Roman" w:hAnsi="Calibri" w:cs="Calibri"/>
        </w:rPr>
      </w:pPr>
      <w:r w:rsidRPr="00C6790D">
        <w:rPr>
          <w:rFonts w:ascii="Calibri" w:eastAsia="Times New Roman" w:hAnsi="Calibri" w:cs="Calibri"/>
          <w:b/>
        </w:rPr>
        <w:t>Customs reforms have significantly improved trade and logistics indicators for Afghanistan.</w:t>
      </w:r>
      <w:r w:rsidRPr="00C6790D">
        <w:rPr>
          <w:rFonts w:ascii="Calibri" w:eastAsia="Times New Roman" w:hAnsi="Calibri" w:cs="Calibri"/>
        </w:rPr>
        <w:t xml:space="preserve"> Customs now performs better overall than its counterparts in such countries as Uzbekistan, Iran, Tajikistan, and even Egypt, according to the World Bank’s Logistics Performance Indicator (LPI, Figures S.1 and S.2).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4"/>
        <w:gridCol w:w="4982"/>
      </w:tblGrid>
      <w:tr w:rsidR="00A31296" w:rsidRPr="00C6790D" w:rsidTr="00A31296">
        <w:tc>
          <w:tcPr>
            <w:tcW w:w="4575" w:type="dxa"/>
          </w:tcPr>
          <w:p w:rsidR="00A31296" w:rsidRPr="00C6790D" w:rsidRDefault="00A31296" w:rsidP="00A31296">
            <w:pPr>
              <w:rPr>
                <w:rFonts w:ascii="Calibri" w:eastAsia="Times New Roman" w:hAnsi="Calibri" w:cs="Calibri"/>
                <w:b/>
                <w:color w:val="410082"/>
              </w:rPr>
            </w:pPr>
            <w:r w:rsidRPr="00C6790D">
              <w:rPr>
                <w:rFonts w:ascii="Calibri" w:eastAsia="Times New Roman" w:hAnsi="Calibri" w:cs="Calibri"/>
                <w:b/>
                <w:color w:val="410082"/>
              </w:rPr>
              <w:t xml:space="preserve">Table S.1: Logistic Performance Index </w:t>
            </w:r>
          </w:p>
        </w:tc>
        <w:tc>
          <w:tcPr>
            <w:tcW w:w="5001" w:type="dxa"/>
          </w:tcPr>
          <w:p w:rsidR="00A31296" w:rsidRPr="00C6790D" w:rsidRDefault="00A31296" w:rsidP="00A31296">
            <w:pPr>
              <w:rPr>
                <w:rFonts w:ascii="Calibri" w:eastAsia="Times New Roman" w:hAnsi="Calibri" w:cs="Calibri"/>
                <w:b/>
                <w:color w:val="410082"/>
              </w:rPr>
            </w:pPr>
            <w:r w:rsidRPr="00C6790D">
              <w:rPr>
                <w:rFonts w:ascii="Calibri" w:eastAsia="Times New Roman" w:hAnsi="Calibri" w:cs="Calibri"/>
                <w:b/>
                <w:color w:val="410082"/>
              </w:rPr>
              <w:t>Table S.2: LPI Ranking for Customs</w:t>
            </w:r>
          </w:p>
          <w:p w:rsidR="00A31296" w:rsidRPr="00C6790D" w:rsidRDefault="00A31296" w:rsidP="00A31296">
            <w:pPr>
              <w:rPr>
                <w:rFonts w:ascii="Calibri" w:eastAsia="Times New Roman" w:hAnsi="Calibri" w:cs="Calibri"/>
              </w:rPr>
            </w:pPr>
          </w:p>
        </w:tc>
      </w:tr>
      <w:tr w:rsidR="00A31296" w:rsidRPr="00C6790D" w:rsidTr="00A31296">
        <w:tc>
          <w:tcPr>
            <w:tcW w:w="4575" w:type="dxa"/>
          </w:tcPr>
          <w:tbl>
            <w:tblPr>
              <w:tblStyle w:val="LightShading-Accent61"/>
              <w:tblW w:w="4392" w:type="dxa"/>
              <w:tblLook w:val="04A0" w:firstRow="1" w:lastRow="0" w:firstColumn="1" w:lastColumn="0" w:noHBand="0" w:noVBand="1"/>
            </w:tblPr>
            <w:tblGrid>
              <w:gridCol w:w="268"/>
              <w:gridCol w:w="2678"/>
              <w:gridCol w:w="780"/>
              <w:gridCol w:w="666"/>
            </w:tblGrid>
            <w:tr w:rsidR="00A31296" w:rsidRPr="00C6790D" w:rsidTr="00A31296">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05" w:type="pct"/>
                  <w:hideMark/>
                </w:tcPr>
                <w:p w:rsidR="00A31296" w:rsidRPr="00C6790D" w:rsidRDefault="00A31296" w:rsidP="00A31296">
                  <w:pPr>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 </w:t>
                  </w:r>
                </w:p>
              </w:tc>
              <w:tc>
                <w:tcPr>
                  <w:tcW w:w="3049" w:type="pct"/>
                  <w:hideMark/>
                </w:tcPr>
                <w:p w:rsidR="00A31296" w:rsidRPr="00C6790D" w:rsidRDefault="00A31296" w:rsidP="00A3129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 </w:t>
                  </w:r>
                </w:p>
              </w:tc>
              <w:tc>
                <w:tcPr>
                  <w:tcW w:w="1646" w:type="pct"/>
                  <w:gridSpan w:val="2"/>
                  <w:hideMark/>
                </w:tcPr>
                <w:p w:rsidR="00A31296" w:rsidRPr="00C6790D" w:rsidRDefault="00A31296" w:rsidP="00A3129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Afghanistan</w:t>
                  </w:r>
                </w:p>
              </w:tc>
            </w:tr>
            <w:tr w:rsidR="00A31296" w:rsidRPr="00C6790D" w:rsidTr="00A3129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05" w:type="pct"/>
                  <w:vMerge w:val="restart"/>
                  <w:hideMark/>
                </w:tcPr>
                <w:p w:rsidR="00A31296" w:rsidRPr="00C6790D" w:rsidRDefault="00A31296" w:rsidP="00A31296">
                  <w:pPr>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 </w:t>
                  </w:r>
                </w:p>
              </w:tc>
              <w:tc>
                <w:tcPr>
                  <w:tcW w:w="3049" w:type="pct"/>
                  <w:vMerge w:val="restart"/>
                  <w:hideMark/>
                </w:tcPr>
                <w:p w:rsidR="00A31296" w:rsidRPr="00C6790D" w:rsidRDefault="00A31296" w:rsidP="00A3129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18"/>
                      <w:szCs w:val="18"/>
                      <w:lang w:eastAsia="fr-FR"/>
                    </w:rPr>
                  </w:pPr>
                  <w:r w:rsidRPr="00C6790D">
                    <w:rPr>
                      <w:rFonts w:ascii="Calibri" w:eastAsia="Times New Roman" w:hAnsi="Calibri" w:cs="Calibri"/>
                      <w:bCs/>
                      <w:sz w:val="18"/>
                      <w:szCs w:val="18"/>
                      <w:lang w:eastAsia="fr-FR"/>
                    </w:rPr>
                    <w:t>Overall LPI</w:t>
                  </w:r>
                </w:p>
              </w:tc>
              <w:tc>
                <w:tcPr>
                  <w:tcW w:w="888" w:type="pct"/>
                  <w:hideMark/>
                </w:tcPr>
                <w:p w:rsidR="00A31296" w:rsidRPr="00C6790D" w:rsidRDefault="00A31296" w:rsidP="00A3129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score</w:t>
                  </w:r>
                </w:p>
              </w:tc>
              <w:tc>
                <w:tcPr>
                  <w:tcW w:w="758" w:type="pct"/>
                  <w:hideMark/>
                </w:tcPr>
                <w:p w:rsidR="00A31296" w:rsidRPr="00C6790D" w:rsidRDefault="00A31296" w:rsidP="00A3129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2.24</w:t>
                  </w:r>
                </w:p>
              </w:tc>
            </w:tr>
            <w:tr w:rsidR="00A31296" w:rsidRPr="00C6790D" w:rsidTr="00A31296">
              <w:trPr>
                <w:trHeight w:val="216"/>
              </w:trPr>
              <w:tc>
                <w:tcPr>
                  <w:cnfStyle w:val="001000000000" w:firstRow="0" w:lastRow="0" w:firstColumn="1" w:lastColumn="0" w:oddVBand="0" w:evenVBand="0" w:oddHBand="0" w:evenHBand="0" w:firstRowFirstColumn="0" w:firstRowLastColumn="0" w:lastRowFirstColumn="0" w:lastRowLastColumn="0"/>
                  <w:tcW w:w="305" w:type="pct"/>
                  <w:vMerge/>
                  <w:hideMark/>
                </w:tcPr>
                <w:p w:rsidR="00A31296" w:rsidRPr="00C6790D" w:rsidRDefault="00A31296" w:rsidP="00A31296">
                  <w:pPr>
                    <w:rPr>
                      <w:rFonts w:ascii="Calibri" w:eastAsia="Times New Roman" w:hAnsi="Calibri" w:cs="Calibri"/>
                      <w:sz w:val="18"/>
                      <w:szCs w:val="18"/>
                      <w:lang w:eastAsia="fr-FR"/>
                    </w:rPr>
                  </w:pPr>
                </w:p>
              </w:tc>
              <w:tc>
                <w:tcPr>
                  <w:tcW w:w="3049" w:type="pct"/>
                  <w:vMerge/>
                  <w:hideMark/>
                </w:tcPr>
                <w:p w:rsidR="00A31296" w:rsidRPr="00C6790D" w:rsidRDefault="00A31296" w:rsidP="00A312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18"/>
                      <w:szCs w:val="18"/>
                      <w:lang w:eastAsia="fr-FR"/>
                    </w:rPr>
                  </w:pPr>
                </w:p>
              </w:tc>
              <w:tc>
                <w:tcPr>
                  <w:tcW w:w="888" w:type="pct"/>
                  <w:hideMark/>
                </w:tcPr>
                <w:p w:rsidR="00A31296" w:rsidRPr="00C6790D" w:rsidRDefault="00A31296" w:rsidP="00A312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rank</w:t>
                  </w:r>
                </w:p>
              </w:tc>
              <w:tc>
                <w:tcPr>
                  <w:tcW w:w="758" w:type="pct"/>
                  <w:hideMark/>
                </w:tcPr>
                <w:p w:rsidR="00A31296" w:rsidRPr="00C6790D" w:rsidRDefault="00A31296" w:rsidP="00A312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143</w:t>
                  </w:r>
                </w:p>
              </w:tc>
            </w:tr>
            <w:tr w:rsidR="00A31296" w:rsidRPr="00C6790D" w:rsidTr="00A3129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05" w:type="pct"/>
                  <w:vMerge w:val="restart"/>
                  <w:hideMark/>
                </w:tcPr>
                <w:p w:rsidR="00A31296" w:rsidRPr="00C6790D" w:rsidRDefault="00A31296" w:rsidP="00A31296">
                  <w:pPr>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 </w:t>
                  </w:r>
                </w:p>
              </w:tc>
              <w:tc>
                <w:tcPr>
                  <w:tcW w:w="3049" w:type="pct"/>
                  <w:vMerge w:val="restart"/>
                  <w:hideMark/>
                </w:tcPr>
                <w:p w:rsidR="00A31296" w:rsidRPr="00C6790D" w:rsidRDefault="00A31296" w:rsidP="00A3129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fr-FR"/>
                    </w:rPr>
                  </w:pPr>
                  <w:r w:rsidRPr="00C6790D">
                    <w:rPr>
                      <w:rFonts w:ascii="Calibri" w:eastAsia="Times New Roman" w:hAnsi="Calibri" w:cs="Calibri"/>
                      <w:b/>
                      <w:bCs/>
                      <w:sz w:val="18"/>
                      <w:szCs w:val="18"/>
                      <w:lang w:eastAsia="fr-FR"/>
                    </w:rPr>
                    <w:t>Customs</w:t>
                  </w:r>
                </w:p>
              </w:tc>
              <w:tc>
                <w:tcPr>
                  <w:tcW w:w="888" w:type="pct"/>
                  <w:hideMark/>
                </w:tcPr>
                <w:p w:rsidR="00A31296" w:rsidRPr="00C6790D" w:rsidRDefault="00A31296" w:rsidP="00A3129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8"/>
                      <w:szCs w:val="18"/>
                      <w:lang w:eastAsia="fr-FR"/>
                    </w:rPr>
                  </w:pPr>
                  <w:r w:rsidRPr="00C6790D">
                    <w:rPr>
                      <w:rFonts w:ascii="Calibri" w:eastAsia="Times New Roman" w:hAnsi="Calibri" w:cs="Calibri"/>
                      <w:b/>
                      <w:sz w:val="18"/>
                      <w:szCs w:val="18"/>
                      <w:lang w:eastAsia="fr-FR"/>
                    </w:rPr>
                    <w:t>score</w:t>
                  </w:r>
                </w:p>
              </w:tc>
              <w:tc>
                <w:tcPr>
                  <w:tcW w:w="758" w:type="pct"/>
                  <w:hideMark/>
                </w:tcPr>
                <w:p w:rsidR="00A31296" w:rsidRPr="00C6790D" w:rsidRDefault="00A31296" w:rsidP="00A3129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8"/>
                      <w:szCs w:val="18"/>
                      <w:lang w:eastAsia="fr-FR"/>
                    </w:rPr>
                  </w:pPr>
                  <w:r w:rsidRPr="00C6790D">
                    <w:rPr>
                      <w:rFonts w:ascii="Calibri" w:eastAsia="Times New Roman" w:hAnsi="Calibri" w:cs="Calibri"/>
                      <w:b/>
                      <w:sz w:val="18"/>
                      <w:szCs w:val="18"/>
                      <w:lang w:eastAsia="fr-FR"/>
                    </w:rPr>
                    <w:t>2.22</w:t>
                  </w:r>
                </w:p>
              </w:tc>
            </w:tr>
            <w:tr w:rsidR="00A31296" w:rsidRPr="00C6790D" w:rsidTr="00A31296">
              <w:trPr>
                <w:trHeight w:val="216"/>
              </w:trPr>
              <w:tc>
                <w:tcPr>
                  <w:cnfStyle w:val="001000000000" w:firstRow="0" w:lastRow="0" w:firstColumn="1" w:lastColumn="0" w:oddVBand="0" w:evenVBand="0" w:oddHBand="0" w:evenHBand="0" w:firstRowFirstColumn="0" w:firstRowLastColumn="0" w:lastRowFirstColumn="0" w:lastRowLastColumn="0"/>
                  <w:tcW w:w="305" w:type="pct"/>
                  <w:vMerge/>
                  <w:hideMark/>
                </w:tcPr>
                <w:p w:rsidR="00A31296" w:rsidRPr="00C6790D" w:rsidRDefault="00A31296" w:rsidP="00A31296">
                  <w:pPr>
                    <w:rPr>
                      <w:rFonts w:ascii="Calibri" w:eastAsia="Times New Roman" w:hAnsi="Calibri" w:cs="Calibri"/>
                      <w:sz w:val="18"/>
                      <w:szCs w:val="18"/>
                      <w:lang w:eastAsia="fr-FR"/>
                    </w:rPr>
                  </w:pPr>
                </w:p>
              </w:tc>
              <w:tc>
                <w:tcPr>
                  <w:tcW w:w="3049" w:type="pct"/>
                  <w:vMerge/>
                  <w:hideMark/>
                </w:tcPr>
                <w:p w:rsidR="00A31296" w:rsidRPr="00C6790D" w:rsidRDefault="00A31296" w:rsidP="00A312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8"/>
                      <w:szCs w:val="18"/>
                      <w:lang w:eastAsia="fr-FR"/>
                    </w:rPr>
                  </w:pPr>
                </w:p>
              </w:tc>
              <w:tc>
                <w:tcPr>
                  <w:tcW w:w="888" w:type="pct"/>
                  <w:hideMark/>
                </w:tcPr>
                <w:p w:rsidR="00A31296" w:rsidRPr="00C6790D" w:rsidRDefault="00A31296" w:rsidP="00A312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 w:val="18"/>
                      <w:szCs w:val="18"/>
                      <w:lang w:eastAsia="fr-FR"/>
                    </w:rPr>
                  </w:pPr>
                  <w:r w:rsidRPr="00C6790D">
                    <w:rPr>
                      <w:rFonts w:ascii="Calibri" w:eastAsia="Times New Roman" w:hAnsi="Calibri" w:cs="Calibri"/>
                      <w:b/>
                      <w:sz w:val="18"/>
                      <w:szCs w:val="18"/>
                      <w:lang w:eastAsia="fr-FR"/>
                    </w:rPr>
                    <w:t>rank</w:t>
                  </w:r>
                </w:p>
              </w:tc>
              <w:tc>
                <w:tcPr>
                  <w:tcW w:w="758" w:type="pct"/>
                  <w:hideMark/>
                </w:tcPr>
                <w:p w:rsidR="00A31296" w:rsidRPr="00C6790D" w:rsidRDefault="00A31296" w:rsidP="00A312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 w:val="18"/>
                      <w:szCs w:val="18"/>
                      <w:lang w:eastAsia="fr-FR"/>
                    </w:rPr>
                  </w:pPr>
                  <w:r w:rsidRPr="00C6790D">
                    <w:rPr>
                      <w:rFonts w:ascii="Calibri" w:eastAsia="Times New Roman" w:hAnsi="Calibri" w:cs="Calibri"/>
                      <w:b/>
                      <w:sz w:val="18"/>
                      <w:szCs w:val="18"/>
                      <w:lang w:eastAsia="fr-FR"/>
                    </w:rPr>
                    <w:t>104</w:t>
                  </w:r>
                </w:p>
              </w:tc>
            </w:tr>
            <w:tr w:rsidR="00A31296" w:rsidRPr="00C6790D" w:rsidTr="00A3129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05" w:type="pct"/>
                  <w:vMerge w:val="restart"/>
                  <w:hideMark/>
                </w:tcPr>
                <w:p w:rsidR="00A31296" w:rsidRPr="00C6790D" w:rsidRDefault="00A31296" w:rsidP="00A31296">
                  <w:pPr>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 </w:t>
                  </w:r>
                </w:p>
              </w:tc>
              <w:tc>
                <w:tcPr>
                  <w:tcW w:w="3049" w:type="pct"/>
                  <w:vMerge w:val="restart"/>
                  <w:hideMark/>
                </w:tcPr>
                <w:p w:rsidR="00A31296" w:rsidRPr="00C6790D" w:rsidRDefault="00A31296" w:rsidP="00A3129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18"/>
                      <w:szCs w:val="18"/>
                      <w:lang w:eastAsia="fr-FR"/>
                    </w:rPr>
                  </w:pPr>
                  <w:r w:rsidRPr="00C6790D">
                    <w:rPr>
                      <w:rFonts w:ascii="Calibri" w:eastAsia="Times New Roman" w:hAnsi="Calibri" w:cs="Calibri"/>
                      <w:bCs/>
                      <w:sz w:val="18"/>
                      <w:szCs w:val="18"/>
                      <w:lang w:eastAsia="fr-FR"/>
                    </w:rPr>
                    <w:t>Infrastructure</w:t>
                  </w:r>
                </w:p>
              </w:tc>
              <w:tc>
                <w:tcPr>
                  <w:tcW w:w="888" w:type="pct"/>
                  <w:hideMark/>
                </w:tcPr>
                <w:p w:rsidR="00A31296" w:rsidRPr="00C6790D" w:rsidRDefault="00A31296" w:rsidP="00A3129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score</w:t>
                  </w:r>
                </w:p>
              </w:tc>
              <w:tc>
                <w:tcPr>
                  <w:tcW w:w="758" w:type="pct"/>
                  <w:hideMark/>
                </w:tcPr>
                <w:p w:rsidR="00A31296" w:rsidRPr="00C6790D" w:rsidRDefault="00A31296" w:rsidP="00A3129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1.87</w:t>
                  </w:r>
                </w:p>
              </w:tc>
            </w:tr>
            <w:tr w:rsidR="00A31296" w:rsidRPr="00C6790D" w:rsidTr="00A31296">
              <w:trPr>
                <w:trHeight w:val="216"/>
              </w:trPr>
              <w:tc>
                <w:tcPr>
                  <w:cnfStyle w:val="001000000000" w:firstRow="0" w:lastRow="0" w:firstColumn="1" w:lastColumn="0" w:oddVBand="0" w:evenVBand="0" w:oddHBand="0" w:evenHBand="0" w:firstRowFirstColumn="0" w:firstRowLastColumn="0" w:lastRowFirstColumn="0" w:lastRowLastColumn="0"/>
                  <w:tcW w:w="305" w:type="pct"/>
                  <w:vMerge/>
                  <w:hideMark/>
                </w:tcPr>
                <w:p w:rsidR="00A31296" w:rsidRPr="00C6790D" w:rsidRDefault="00A31296" w:rsidP="00A31296">
                  <w:pPr>
                    <w:rPr>
                      <w:rFonts w:ascii="Calibri" w:eastAsia="Times New Roman" w:hAnsi="Calibri" w:cs="Calibri"/>
                      <w:sz w:val="18"/>
                      <w:szCs w:val="18"/>
                      <w:lang w:eastAsia="fr-FR"/>
                    </w:rPr>
                  </w:pPr>
                </w:p>
              </w:tc>
              <w:tc>
                <w:tcPr>
                  <w:tcW w:w="3049" w:type="pct"/>
                  <w:vMerge/>
                  <w:hideMark/>
                </w:tcPr>
                <w:p w:rsidR="00A31296" w:rsidRPr="00C6790D" w:rsidRDefault="00A31296" w:rsidP="00A312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18"/>
                      <w:szCs w:val="18"/>
                      <w:lang w:eastAsia="fr-FR"/>
                    </w:rPr>
                  </w:pPr>
                </w:p>
              </w:tc>
              <w:tc>
                <w:tcPr>
                  <w:tcW w:w="888" w:type="pct"/>
                  <w:hideMark/>
                </w:tcPr>
                <w:p w:rsidR="00A31296" w:rsidRPr="00C6790D" w:rsidRDefault="00A31296" w:rsidP="00A312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rank</w:t>
                  </w:r>
                </w:p>
              </w:tc>
              <w:tc>
                <w:tcPr>
                  <w:tcW w:w="758" w:type="pct"/>
                  <w:hideMark/>
                </w:tcPr>
                <w:p w:rsidR="00A31296" w:rsidRPr="00C6790D" w:rsidRDefault="00A31296" w:rsidP="00A312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139</w:t>
                  </w:r>
                </w:p>
              </w:tc>
            </w:tr>
            <w:tr w:rsidR="00A31296" w:rsidRPr="00C6790D" w:rsidTr="00A3129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05" w:type="pct"/>
                  <w:vMerge w:val="restart"/>
                  <w:hideMark/>
                </w:tcPr>
                <w:p w:rsidR="00A31296" w:rsidRPr="00C6790D" w:rsidRDefault="00A31296" w:rsidP="00A31296">
                  <w:pPr>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 </w:t>
                  </w:r>
                </w:p>
              </w:tc>
              <w:tc>
                <w:tcPr>
                  <w:tcW w:w="3049" w:type="pct"/>
                  <w:vMerge w:val="restart"/>
                  <w:hideMark/>
                </w:tcPr>
                <w:p w:rsidR="00A31296" w:rsidRPr="00C6790D" w:rsidRDefault="00A31296" w:rsidP="00A3129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18"/>
                      <w:szCs w:val="18"/>
                      <w:lang w:eastAsia="fr-FR"/>
                    </w:rPr>
                  </w:pPr>
                  <w:r w:rsidRPr="00C6790D">
                    <w:rPr>
                      <w:rFonts w:ascii="Calibri" w:eastAsia="Times New Roman" w:hAnsi="Calibri" w:cs="Calibri"/>
                      <w:bCs/>
                      <w:sz w:val="18"/>
                      <w:szCs w:val="18"/>
                      <w:lang w:eastAsia="fr-FR"/>
                    </w:rPr>
                    <w:t>International shipments</w:t>
                  </w:r>
                </w:p>
              </w:tc>
              <w:tc>
                <w:tcPr>
                  <w:tcW w:w="888" w:type="pct"/>
                  <w:hideMark/>
                </w:tcPr>
                <w:p w:rsidR="00A31296" w:rsidRPr="00C6790D" w:rsidRDefault="00A31296" w:rsidP="00A3129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score</w:t>
                  </w:r>
                </w:p>
              </w:tc>
              <w:tc>
                <w:tcPr>
                  <w:tcW w:w="758" w:type="pct"/>
                  <w:hideMark/>
                </w:tcPr>
                <w:p w:rsidR="00A31296" w:rsidRPr="00C6790D" w:rsidRDefault="00A31296" w:rsidP="00A3129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2.24</w:t>
                  </w:r>
                </w:p>
              </w:tc>
            </w:tr>
            <w:tr w:rsidR="00A31296" w:rsidRPr="00C6790D" w:rsidTr="00A31296">
              <w:trPr>
                <w:trHeight w:val="216"/>
              </w:trPr>
              <w:tc>
                <w:tcPr>
                  <w:cnfStyle w:val="001000000000" w:firstRow="0" w:lastRow="0" w:firstColumn="1" w:lastColumn="0" w:oddVBand="0" w:evenVBand="0" w:oddHBand="0" w:evenHBand="0" w:firstRowFirstColumn="0" w:firstRowLastColumn="0" w:lastRowFirstColumn="0" w:lastRowLastColumn="0"/>
                  <w:tcW w:w="305" w:type="pct"/>
                  <w:vMerge/>
                  <w:hideMark/>
                </w:tcPr>
                <w:p w:rsidR="00A31296" w:rsidRPr="00C6790D" w:rsidRDefault="00A31296" w:rsidP="00A31296">
                  <w:pPr>
                    <w:rPr>
                      <w:rFonts w:ascii="Calibri" w:eastAsia="Times New Roman" w:hAnsi="Calibri" w:cs="Calibri"/>
                      <w:sz w:val="18"/>
                      <w:szCs w:val="18"/>
                      <w:lang w:eastAsia="fr-FR"/>
                    </w:rPr>
                  </w:pPr>
                </w:p>
              </w:tc>
              <w:tc>
                <w:tcPr>
                  <w:tcW w:w="3049" w:type="pct"/>
                  <w:vMerge/>
                  <w:hideMark/>
                </w:tcPr>
                <w:p w:rsidR="00A31296" w:rsidRPr="00C6790D" w:rsidRDefault="00A31296" w:rsidP="00A312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18"/>
                      <w:szCs w:val="18"/>
                      <w:lang w:eastAsia="fr-FR"/>
                    </w:rPr>
                  </w:pPr>
                </w:p>
              </w:tc>
              <w:tc>
                <w:tcPr>
                  <w:tcW w:w="888" w:type="pct"/>
                  <w:hideMark/>
                </w:tcPr>
                <w:p w:rsidR="00A31296" w:rsidRPr="00C6790D" w:rsidRDefault="00A31296" w:rsidP="00A312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rank</w:t>
                  </w:r>
                </w:p>
              </w:tc>
              <w:tc>
                <w:tcPr>
                  <w:tcW w:w="758" w:type="pct"/>
                  <w:hideMark/>
                </w:tcPr>
                <w:p w:rsidR="00A31296" w:rsidRPr="00C6790D" w:rsidRDefault="00A31296" w:rsidP="00A312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141</w:t>
                  </w:r>
                </w:p>
              </w:tc>
            </w:tr>
            <w:tr w:rsidR="00A31296" w:rsidRPr="00C6790D" w:rsidTr="00A3129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05" w:type="pct"/>
                  <w:vMerge w:val="restart"/>
                  <w:hideMark/>
                </w:tcPr>
                <w:p w:rsidR="00A31296" w:rsidRPr="00C6790D" w:rsidRDefault="00A31296" w:rsidP="00A31296">
                  <w:pPr>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 </w:t>
                  </w:r>
                </w:p>
              </w:tc>
              <w:tc>
                <w:tcPr>
                  <w:tcW w:w="3049" w:type="pct"/>
                  <w:vMerge w:val="restart"/>
                  <w:hideMark/>
                </w:tcPr>
                <w:p w:rsidR="00A31296" w:rsidRPr="00C6790D" w:rsidRDefault="00A31296" w:rsidP="00A3129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18"/>
                      <w:szCs w:val="18"/>
                      <w:lang w:eastAsia="fr-FR"/>
                    </w:rPr>
                  </w:pPr>
                  <w:r w:rsidRPr="00C6790D">
                    <w:rPr>
                      <w:rFonts w:ascii="Calibri" w:eastAsia="Times New Roman" w:hAnsi="Calibri" w:cs="Calibri"/>
                      <w:bCs/>
                      <w:sz w:val="18"/>
                      <w:szCs w:val="18"/>
                      <w:lang w:eastAsia="fr-FR"/>
                    </w:rPr>
                    <w:t>Logistics competence</w:t>
                  </w:r>
                </w:p>
              </w:tc>
              <w:tc>
                <w:tcPr>
                  <w:tcW w:w="888" w:type="pct"/>
                  <w:hideMark/>
                </w:tcPr>
                <w:p w:rsidR="00A31296" w:rsidRPr="00C6790D" w:rsidRDefault="00A31296" w:rsidP="00A3129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score</w:t>
                  </w:r>
                </w:p>
              </w:tc>
              <w:tc>
                <w:tcPr>
                  <w:tcW w:w="758" w:type="pct"/>
                  <w:hideMark/>
                </w:tcPr>
                <w:p w:rsidR="00A31296" w:rsidRPr="00C6790D" w:rsidRDefault="00A31296" w:rsidP="00A3129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2.09</w:t>
                  </w:r>
                </w:p>
              </w:tc>
            </w:tr>
            <w:tr w:rsidR="00A31296" w:rsidRPr="00C6790D" w:rsidTr="00A31296">
              <w:trPr>
                <w:trHeight w:val="216"/>
              </w:trPr>
              <w:tc>
                <w:tcPr>
                  <w:cnfStyle w:val="001000000000" w:firstRow="0" w:lastRow="0" w:firstColumn="1" w:lastColumn="0" w:oddVBand="0" w:evenVBand="0" w:oddHBand="0" w:evenHBand="0" w:firstRowFirstColumn="0" w:firstRowLastColumn="0" w:lastRowFirstColumn="0" w:lastRowLastColumn="0"/>
                  <w:tcW w:w="305" w:type="pct"/>
                  <w:vMerge/>
                  <w:hideMark/>
                </w:tcPr>
                <w:p w:rsidR="00A31296" w:rsidRPr="00C6790D" w:rsidRDefault="00A31296" w:rsidP="00A31296">
                  <w:pPr>
                    <w:rPr>
                      <w:rFonts w:ascii="Calibri" w:eastAsia="Times New Roman" w:hAnsi="Calibri" w:cs="Calibri"/>
                      <w:sz w:val="18"/>
                      <w:szCs w:val="18"/>
                      <w:lang w:eastAsia="fr-FR"/>
                    </w:rPr>
                  </w:pPr>
                </w:p>
              </w:tc>
              <w:tc>
                <w:tcPr>
                  <w:tcW w:w="3049" w:type="pct"/>
                  <w:vMerge/>
                  <w:hideMark/>
                </w:tcPr>
                <w:p w:rsidR="00A31296" w:rsidRPr="00C6790D" w:rsidRDefault="00A31296" w:rsidP="00A312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18"/>
                      <w:szCs w:val="18"/>
                      <w:lang w:eastAsia="fr-FR"/>
                    </w:rPr>
                  </w:pPr>
                </w:p>
              </w:tc>
              <w:tc>
                <w:tcPr>
                  <w:tcW w:w="888" w:type="pct"/>
                  <w:hideMark/>
                </w:tcPr>
                <w:p w:rsidR="00A31296" w:rsidRPr="00C6790D" w:rsidRDefault="00A31296" w:rsidP="00A312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rank</w:t>
                  </w:r>
                </w:p>
              </w:tc>
              <w:tc>
                <w:tcPr>
                  <w:tcW w:w="758" w:type="pct"/>
                  <w:hideMark/>
                </w:tcPr>
                <w:p w:rsidR="00A31296" w:rsidRPr="00C6790D" w:rsidRDefault="00A31296" w:rsidP="00A312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141</w:t>
                  </w:r>
                </w:p>
              </w:tc>
            </w:tr>
            <w:tr w:rsidR="00A31296" w:rsidRPr="00C6790D" w:rsidTr="00A3129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05" w:type="pct"/>
                  <w:vMerge w:val="restart"/>
                  <w:hideMark/>
                </w:tcPr>
                <w:p w:rsidR="00A31296" w:rsidRPr="00C6790D" w:rsidRDefault="00A31296" w:rsidP="00A31296">
                  <w:pPr>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 </w:t>
                  </w:r>
                </w:p>
              </w:tc>
              <w:tc>
                <w:tcPr>
                  <w:tcW w:w="3049" w:type="pct"/>
                  <w:vMerge w:val="restart"/>
                  <w:hideMark/>
                </w:tcPr>
                <w:p w:rsidR="00A31296" w:rsidRPr="00C6790D" w:rsidRDefault="00A31296" w:rsidP="00A3129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18"/>
                      <w:szCs w:val="18"/>
                      <w:lang w:eastAsia="fr-FR"/>
                    </w:rPr>
                  </w:pPr>
                  <w:r w:rsidRPr="00C6790D">
                    <w:rPr>
                      <w:rFonts w:ascii="Calibri" w:eastAsia="Times New Roman" w:hAnsi="Calibri" w:cs="Calibri"/>
                      <w:bCs/>
                      <w:sz w:val="18"/>
                      <w:szCs w:val="18"/>
                      <w:lang w:eastAsia="fr-FR"/>
                    </w:rPr>
                    <w:t>Tracking &amp; tracing</w:t>
                  </w:r>
                </w:p>
              </w:tc>
              <w:tc>
                <w:tcPr>
                  <w:tcW w:w="888" w:type="pct"/>
                  <w:hideMark/>
                </w:tcPr>
                <w:p w:rsidR="00A31296" w:rsidRPr="00C6790D" w:rsidRDefault="00A31296" w:rsidP="00A3129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score</w:t>
                  </w:r>
                </w:p>
              </w:tc>
              <w:tc>
                <w:tcPr>
                  <w:tcW w:w="758" w:type="pct"/>
                  <w:hideMark/>
                </w:tcPr>
                <w:p w:rsidR="00A31296" w:rsidRPr="00C6790D" w:rsidRDefault="00A31296" w:rsidP="00A3129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2.37</w:t>
                  </w:r>
                </w:p>
              </w:tc>
            </w:tr>
            <w:tr w:rsidR="00A31296" w:rsidRPr="00C6790D" w:rsidTr="00A31296">
              <w:trPr>
                <w:trHeight w:val="216"/>
              </w:trPr>
              <w:tc>
                <w:tcPr>
                  <w:cnfStyle w:val="001000000000" w:firstRow="0" w:lastRow="0" w:firstColumn="1" w:lastColumn="0" w:oddVBand="0" w:evenVBand="0" w:oddHBand="0" w:evenHBand="0" w:firstRowFirstColumn="0" w:firstRowLastColumn="0" w:lastRowFirstColumn="0" w:lastRowLastColumn="0"/>
                  <w:tcW w:w="305" w:type="pct"/>
                  <w:vMerge/>
                  <w:hideMark/>
                </w:tcPr>
                <w:p w:rsidR="00A31296" w:rsidRPr="00C6790D" w:rsidRDefault="00A31296" w:rsidP="00A31296">
                  <w:pPr>
                    <w:rPr>
                      <w:rFonts w:ascii="Calibri" w:eastAsia="Times New Roman" w:hAnsi="Calibri" w:cs="Calibri"/>
                      <w:sz w:val="18"/>
                      <w:szCs w:val="18"/>
                      <w:lang w:eastAsia="fr-FR"/>
                    </w:rPr>
                  </w:pPr>
                </w:p>
              </w:tc>
              <w:tc>
                <w:tcPr>
                  <w:tcW w:w="3049" w:type="pct"/>
                  <w:vMerge/>
                  <w:hideMark/>
                </w:tcPr>
                <w:p w:rsidR="00A31296" w:rsidRPr="00C6790D" w:rsidRDefault="00A31296" w:rsidP="00A312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18"/>
                      <w:szCs w:val="18"/>
                      <w:lang w:eastAsia="fr-FR"/>
                    </w:rPr>
                  </w:pPr>
                </w:p>
              </w:tc>
              <w:tc>
                <w:tcPr>
                  <w:tcW w:w="888" w:type="pct"/>
                  <w:hideMark/>
                </w:tcPr>
                <w:p w:rsidR="00A31296" w:rsidRPr="00C6790D" w:rsidRDefault="00A31296" w:rsidP="00A312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rank</w:t>
                  </w:r>
                </w:p>
              </w:tc>
              <w:tc>
                <w:tcPr>
                  <w:tcW w:w="758" w:type="pct"/>
                  <w:hideMark/>
                </w:tcPr>
                <w:p w:rsidR="00A31296" w:rsidRPr="00C6790D" w:rsidRDefault="00A31296" w:rsidP="00A312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128</w:t>
                  </w:r>
                </w:p>
              </w:tc>
            </w:tr>
            <w:tr w:rsidR="00A31296" w:rsidRPr="00C6790D" w:rsidTr="00A3129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05" w:type="pct"/>
                  <w:vMerge w:val="restart"/>
                  <w:hideMark/>
                </w:tcPr>
                <w:p w:rsidR="00A31296" w:rsidRPr="00C6790D" w:rsidRDefault="00A31296" w:rsidP="00A31296">
                  <w:pPr>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 </w:t>
                  </w:r>
                </w:p>
              </w:tc>
              <w:tc>
                <w:tcPr>
                  <w:tcW w:w="3049" w:type="pct"/>
                  <w:vMerge w:val="restart"/>
                  <w:hideMark/>
                </w:tcPr>
                <w:p w:rsidR="00A31296" w:rsidRPr="00C6790D" w:rsidRDefault="00A31296" w:rsidP="00A3129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18"/>
                      <w:szCs w:val="18"/>
                      <w:lang w:eastAsia="fr-FR"/>
                    </w:rPr>
                  </w:pPr>
                  <w:r w:rsidRPr="00C6790D">
                    <w:rPr>
                      <w:rFonts w:ascii="Calibri" w:eastAsia="Times New Roman" w:hAnsi="Calibri" w:cs="Calibri"/>
                      <w:bCs/>
                      <w:sz w:val="18"/>
                      <w:szCs w:val="18"/>
                      <w:lang w:eastAsia="fr-FR"/>
                    </w:rPr>
                    <w:t>Timeliness</w:t>
                  </w:r>
                </w:p>
              </w:tc>
              <w:tc>
                <w:tcPr>
                  <w:tcW w:w="888" w:type="pct"/>
                  <w:hideMark/>
                </w:tcPr>
                <w:p w:rsidR="00A31296" w:rsidRPr="00C6790D" w:rsidRDefault="00A31296" w:rsidP="00A3129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score</w:t>
                  </w:r>
                </w:p>
              </w:tc>
              <w:tc>
                <w:tcPr>
                  <w:tcW w:w="758" w:type="pct"/>
                  <w:hideMark/>
                </w:tcPr>
                <w:p w:rsidR="00A31296" w:rsidRPr="00C6790D" w:rsidRDefault="00A31296" w:rsidP="00A3129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2.61</w:t>
                  </w:r>
                </w:p>
              </w:tc>
            </w:tr>
            <w:tr w:rsidR="00A31296" w:rsidRPr="00C6790D" w:rsidTr="00A31296">
              <w:trPr>
                <w:trHeight w:val="216"/>
              </w:trPr>
              <w:tc>
                <w:tcPr>
                  <w:cnfStyle w:val="001000000000" w:firstRow="0" w:lastRow="0" w:firstColumn="1" w:lastColumn="0" w:oddVBand="0" w:evenVBand="0" w:oddHBand="0" w:evenHBand="0" w:firstRowFirstColumn="0" w:firstRowLastColumn="0" w:lastRowFirstColumn="0" w:lastRowLastColumn="0"/>
                  <w:tcW w:w="305" w:type="pct"/>
                  <w:vMerge/>
                  <w:hideMark/>
                </w:tcPr>
                <w:p w:rsidR="00A31296" w:rsidRPr="00C6790D" w:rsidRDefault="00A31296" w:rsidP="00A31296">
                  <w:pPr>
                    <w:rPr>
                      <w:rFonts w:ascii="Calibri" w:eastAsia="Times New Roman" w:hAnsi="Calibri" w:cs="Calibri"/>
                      <w:sz w:val="18"/>
                      <w:szCs w:val="18"/>
                      <w:lang w:eastAsia="fr-FR"/>
                    </w:rPr>
                  </w:pPr>
                </w:p>
              </w:tc>
              <w:tc>
                <w:tcPr>
                  <w:tcW w:w="3049" w:type="pct"/>
                  <w:vMerge/>
                  <w:hideMark/>
                </w:tcPr>
                <w:p w:rsidR="00A31296" w:rsidRPr="00C6790D" w:rsidRDefault="00A31296" w:rsidP="00A312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8"/>
                      <w:szCs w:val="18"/>
                      <w:lang w:eastAsia="fr-FR"/>
                    </w:rPr>
                  </w:pPr>
                </w:p>
              </w:tc>
              <w:tc>
                <w:tcPr>
                  <w:tcW w:w="888" w:type="pct"/>
                  <w:hideMark/>
                </w:tcPr>
                <w:p w:rsidR="00A31296" w:rsidRPr="00C6790D" w:rsidRDefault="00A31296" w:rsidP="00A312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rank</w:t>
                  </w:r>
                </w:p>
              </w:tc>
              <w:tc>
                <w:tcPr>
                  <w:tcW w:w="758" w:type="pct"/>
                  <w:hideMark/>
                </w:tcPr>
                <w:p w:rsidR="00A31296" w:rsidRPr="00C6790D" w:rsidRDefault="00A31296" w:rsidP="00A312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fr-FR"/>
                    </w:rPr>
                  </w:pPr>
                  <w:r w:rsidRPr="00C6790D">
                    <w:rPr>
                      <w:rFonts w:ascii="Calibri" w:eastAsia="Times New Roman" w:hAnsi="Calibri" w:cs="Calibri"/>
                      <w:sz w:val="18"/>
                      <w:szCs w:val="18"/>
                      <w:lang w:eastAsia="fr-FR"/>
                    </w:rPr>
                    <w:t>146</w:t>
                  </w:r>
                </w:p>
              </w:tc>
            </w:tr>
          </w:tbl>
          <w:p w:rsidR="00A31296" w:rsidRPr="00C6790D" w:rsidRDefault="00A31296" w:rsidP="00A31296">
            <w:pPr>
              <w:rPr>
                <w:rFonts w:ascii="Calibri" w:eastAsia="Times New Roman" w:hAnsi="Calibri" w:cs="Calibri"/>
              </w:rPr>
            </w:pPr>
          </w:p>
        </w:tc>
        <w:tc>
          <w:tcPr>
            <w:tcW w:w="5001" w:type="dxa"/>
          </w:tcPr>
          <w:p w:rsidR="00A31296" w:rsidRPr="00C6790D" w:rsidRDefault="00A31296" w:rsidP="00A31296">
            <w:pPr>
              <w:rPr>
                <w:rFonts w:ascii="Calibri" w:eastAsia="Times New Roman" w:hAnsi="Calibri" w:cs="Calibri"/>
              </w:rPr>
            </w:pPr>
            <w:r w:rsidRPr="00C6790D">
              <w:rPr>
                <w:rFonts w:ascii="Calibri" w:eastAsia="Times New Roman" w:hAnsi="Calibri" w:cs="Calibri"/>
                <w:noProof/>
                <w:lang w:bidi="ar-SA"/>
              </w:rPr>
              <w:drawing>
                <wp:inline distT="0" distB="0" distL="0" distR="0" wp14:anchorId="1B019539" wp14:editId="26C66B53">
                  <wp:extent cx="3019245" cy="1587261"/>
                  <wp:effectExtent l="19050" t="0" r="0" b="0"/>
                  <wp:docPr id="20" name="Picture 2" descr="C:\Users\Michel Zarnowiecki\Downloads\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 Zarnowiecki\Downloads\char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5642" cy="1590624"/>
                          </a:xfrm>
                          <a:prstGeom prst="rect">
                            <a:avLst/>
                          </a:prstGeom>
                          <a:noFill/>
                          <a:ln>
                            <a:noFill/>
                          </a:ln>
                        </pic:spPr>
                      </pic:pic>
                    </a:graphicData>
                  </a:graphic>
                </wp:inline>
              </w:drawing>
            </w:r>
          </w:p>
        </w:tc>
      </w:tr>
    </w:tbl>
    <w:p w:rsidR="00A31296" w:rsidRPr="00C6790D" w:rsidRDefault="00A31296" w:rsidP="00A31296">
      <w:pPr>
        <w:rPr>
          <w:rFonts w:ascii="Calibri" w:eastAsia="Times New Roman" w:hAnsi="Calibri" w:cs="Calibri"/>
          <w:sz w:val="18"/>
          <w:szCs w:val="18"/>
        </w:rPr>
      </w:pPr>
      <w:r w:rsidRPr="00C6790D">
        <w:rPr>
          <w:rFonts w:ascii="Calibri" w:eastAsia="Times New Roman" w:hAnsi="Calibri" w:cs="Calibri"/>
          <w:sz w:val="18"/>
          <w:szCs w:val="18"/>
        </w:rPr>
        <w:t>Source: World Bank LPI 2012</w:t>
      </w:r>
    </w:p>
    <w:p w:rsidR="00A31296" w:rsidRPr="00C6790D" w:rsidRDefault="00A31296" w:rsidP="00A31296">
      <w:pPr>
        <w:spacing w:line="240" w:lineRule="auto"/>
        <w:rPr>
          <w:rFonts w:ascii="Calibri" w:eastAsia="Times New Roman" w:hAnsi="Calibri" w:cs="Calibri"/>
        </w:rPr>
      </w:pPr>
      <w:r w:rsidRPr="00C6790D">
        <w:rPr>
          <w:rFonts w:ascii="Calibri" w:eastAsia="Times New Roman" w:hAnsi="Calibri" w:cs="Calibri"/>
          <w:b/>
        </w:rPr>
        <w:t>The productivity of the customs administration has significantly improved</w:t>
      </w:r>
      <w:r w:rsidRPr="00C6790D">
        <w:rPr>
          <w:rFonts w:ascii="Calibri" w:eastAsia="Times New Roman" w:hAnsi="Calibri" w:cs="Calibri"/>
          <w:b/>
          <w:bCs/>
          <w:i/>
          <w:color w:val="300061"/>
          <w:sz w:val="26"/>
        </w:rPr>
        <w:t xml:space="preserve">. </w:t>
      </w:r>
      <w:r w:rsidRPr="00C6790D">
        <w:rPr>
          <w:rFonts w:ascii="Calibri" w:eastAsia="Times New Roman" w:hAnsi="Calibri" w:cs="Calibri"/>
        </w:rPr>
        <w:t xml:space="preserve">An indicator of customs administration efficiency is the average number of declarations processed per customs officer in one year. This figure was 300 in 2004 and had risen to 500 by the first half of 2010. The average economic </w:t>
      </w:r>
      <w:r w:rsidRPr="00C6790D">
        <w:rPr>
          <w:rFonts w:ascii="Calibri" w:eastAsia="Times New Roman" w:hAnsi="Calibri" w:cs="Calibri"/>
        </w:rPr>
        <w:lastRenderedPageBreak/>
        <w:t>cost per declaration has constantly decreased, from US$6.87 in 2005 to US$4.98 in 2009.</w:t>
      </w:r>
      <w:r w:rsidRPr="00C6790D">
        <w:rPr>
          <w:rFonts w:ascii="Calibri" w:eastAsia="Times New Roman" w:hAnsi="Calibri" w:cs="Calibri"/>
          <w:sz w:val="20"/>
          <w:vertAlign w:val="superscript"/>
        </w:rPr>
        <w:footnoteReference w:id="8"/>
      </w:r>
      <w:r w:rsidRPr="00C6790D">
        <w:rPr>
          <w:rFonts w:ascii="Calibri" w:eastAsia="Times New Roman" w:hAnsi="Calibri" w:cs="Calibri"/>
        </w:rPr>
        <w:t xml:space="preserve">  Similarly, the comparison between total customs cost and total revenue collected has declined, from 0.98 percent in 2005 to 0.42 in 2009. In both cases, these figures compare favorably with the rest of the world (internationally, the customs cost/revenue ratio ranges between 0.5 and 2.0 percent, and the average economic cost per declaration often far exceeds US$10).</w:t>
      </w:r>
      <w:r w:rsidRPr="00C6790D">
        <w:rPr>
          <w:rFonts w:ascii="Calibri" w:eastAsia="Times New Roman" w:hAnsi="Calibri" w:cs="Calibri"/>
          <w:sz w:val="20"/>
          <w:vertAlign w:val="superscript"/>
        </w:rPr>
        <w:footnoteReference w:id="9"/>
      </w:r>
      <w:r w:rsidRPr="00C6790D">
        <w:rPr>
          <w:rFonts w:ascii="Calibri" w:eastAsia="Times New Roman" w:hAnsi="Calibri" w:cs="Calibri"/>
        </w:rPr>
        <w:t xml:space="preserve">  </w:t>
      </w:r>
    </w:p>
    <w:p w:rsidR="00A31296" w:rsidRPr="00C6790D" w:rsidRDefault="00A31296" w:rsidP="00A31296">
      <w:pPr>
        <w:spacing w:line="240" w:lineRule="auto"/>
        <w:rPr>
          <w:rFonts w:ascii="Calibri" w:eastAsia="Times New Roman" w:hAnsi="Calibri" w:cs="Calibri"/>
        </w:rPr>
      </w:pPr>
      <w:r w:rsidRPr="00C6790D">
        <w:rPr>
          <w:rFonts w:ascii="Calibri" w:eastAsia="Times New Roman" w:hAnsi="Calibri" w:cs="Calibri"/>
          <w:b/>
        </w:rPr>
        <w:t>In 2011, implementation of Asycuda had expanded to cover 95 percent of customs houses</w:t>
      </w:r>
      <w:r w:rsidRPr="00C6790D">
        <w:rPr>
          <w:rFonts w:ascii="Calibri" w:eastAsia="Times New Roman" w:hAnsi="Calibri" w:cs="Calibri"/>
        </w:rPr>
        <w:t xml:space="preserve"> (and 90 percent of foreign trade value processed). The gradual coverage of the entire country has closed many gaps through which importers try to avoid control, and partly explains the progress in revenue collection. </w:t>
      </w:r>
    </w:p>
    <w:p w:rsidR="00A31296" w:rsidRPr="00C6790D" w:rsidRDefault="00A31296" w:rsidP="00A31296">
      <w:pPr>
        <w:spacing w:before="240" w:line="240" w:lineRule="auto"/>
        <w:rPr>
          <w:rFonts w:ascii="Calibri" w:eastAsia="Times New Roman" w:hAnsi="Calibri" w:cs="Calibri"/>
        </w:rPr>
      </w:pPr>
      <w:r w:rsidRPr="00C6790D">
        <w:rPr>
          <w:rFonts w:ascii="Calibri" w:eastAsia="Times New Roman" w:hAnsi="Calibri" w:cs="Calibri"/>
          <w:b/>
        </w:rPr>
        <w:t xml:space="preserve">The reform needs to be consolidated, however, and there are opportunities for improving customs administration. </w:t>
      </w:r>
      <w:r w:rsidRPr="00C6790D">
        <w:rPr>
          <w:rFonts w:ascii="Calibri" w:eastAsia="Times New Roman" w:hAnsi="Calibri" w:cs="Calibri"/>
        </w:rPr>
        <w:t xml:space="preserve">These can be grouped into three themes: (i) </w:t>
      </w:r>
      <w:r w:rsidRPr="00C6790D">
        <w:rPr>
          <w:rFonts w:ascii="Calibri" w:eastAsia="Times New Roman" w:hAnsi="Calibri" w:cs="Calibri"/>
          <w:b/>
          <w:i/>
          <w:lang w:val="de-DE"/>
        </w:rPr>
        <w:t>Improved customs procedures</w:t>
      </w:r>
      <w:r w:rsidRPr="00C6790D">
        <w:rPr>
          <w:rFonts w:ascii="Calibri" w:eastAsia="Times New Roman" w:hAnsi="Calibri" w:cs="Calibri"/>
          <w:lang w:val="de-DE"/>
        </w:rPr>
        <w:t xml:space="preserve">, in order to define the clearance model for Afghanistan </w:t>
      </w:r>
      <w:r w:rsidRPr="00C6790D">
        <w:rPr>
          <w:rFonts w:ascii="Calibri" w:eastAsia="Times New Roman" w:hAnsi="Calibri" w:cs="Calibri"/>
        </w:rPr>
        <w:t>for</w:t>
      </w:r>
      <w:r w:rsidRPr="00C6790D">
        <w:rPr>
          <w:rFonts w:ascii="Calibri" w:eastAsia="Times New Roman" w:hAnsi="Calibri" w:cs="Calibri"/>
          <w:lang w:val="de-DE"/>
        </w:rPr>
        <w:t xml:space="preserve"> the future design of reform, make existing declaration forms compatible, improve valuation and compliance by traders, and increase the rate of physical inspection; (ii) </w:t>
      </w:r>
      <w:r w:rsidRPr="00C6790D">
        <w:rPr>
          <w:rFonts w:ascii="Calibri" w:eastAsia="Times New Roman" w:hAnsi="Calibri" w:cs="Calibri"/>
          <w:b/>
          <w:i/>
          <w:lang w:val="de-DE"/>
        </w:rPr>
        <w:t>Better organization and human resource management,</w:t>
      </w:r>
      <w:r w:rsidRPr="00C6790D">
        <w:rPr>
          <w:rFonts w:ascii="Calibri" w:eastAsia="Times New Roman" w:hAnsi="Calibri" w:cs="Calibri"/>
          <w:lang w:val="de-DE"/>
        </w:rPr>
        <w:t xml:space="preserve"> in order to strengthen oversight and improve staff morale;</w:t>
      </w:r>
      <w:r w:rsidRPr="00C6790D">
        <w:rPr>
          <w:rFonts w:ascii="Calibri" w:eastAsia="Times New Roman" w:hAnsi="Calibri" w:cs="Calibri"/>
        </w:rPr>
        <w:t xml:space="preserve"> and (iii) </w:t>
      </w:r>
      <w:r w:rsidRPr="00C6790D">
        <w:rPr>
          <w:rFonts w:ascii="Calibri" w:eastAsia="Times New Roman" w:hAnsi="Calibri" w:cs="Calibri"/>
          <w:b/>
          <w:i/>
          <w:lang w:val="de-DE"/>
        </w:rPr>
        <w:t>Greater interagency coordination,</w:t>
      </w:r>
      <w:r w:rsidRPr="00C6790D">
        <w:rPr>
          <w:rFonts w:ascii="Calibri" w:eastAsia="Times New Roman" w:hAnsi="Calibri" w:cs="Calibri"/>
          <w:lang w:val="de-DE"/>
        </w:rPr>
        <w:t xml:space="preserve"> in order to reduce disruption from overlapping mandates. </w:t>
      </w:r>
      <w:r w:rsidRPr="00C6790D">
        <w:rPr>
          <w:rFonts w:ascii="Calibri" w:eastAsia="Times New Roman" w:hAnsi="Calibri" w:cs="Calibri"/>
        </w:rPr>
        <w:t>Most reforms that would be necessary to upgrade the ACD to a level comparable to other countries are outside the control of the customs department.</w:t>
      </w:r>
    </w:p>
    <w:p w:rsidR="00A31296" w:rsidRPr="00C6790D" w:rsidRDefault="00A31296" w:rsidP="00A31296">
      <w:pPr>
        <w:keepNext/>
        <w:keepLines/>
        <w:spacing w:before="240" w:after="120" w:line="240" w:lineRule="auto"/>
        <w:outlineLvl w:val="1"/>
        <w:rPr>
          <w:rFonts w:ascii="Calibri" w:eastAsia="Times New Roman" w:hAnsi="Calibri" w:cs="Calibri"/>
          <w:b/>
          <w:bCs/>
          <w:i/>
          <w:color w:val="300061"/>
          <w:sz w:val="26"/>
          <w:szCs w:val="26"/>
        </w:rPr>
      </w:pPr>
      <w:bookmarkStart w:id="108" w:name="_Toc326933154"/>
      <w:bookmarkStart w:id="109" w:name="_Toc327207231"/>
      <w:bookmarkStart w:id="110" w:name="_Toc327208042"/>
      <w:bookmarkStart w:id="111" w:name="_Toc327208424"/>
      <w:bookmarkStart w:id="112" w:name="_Toc327252433"/>
      <w:bookmarkStart w:id="113" w:name="_Toc327282384"/>
      <w:bookmarkStart w:id="114" w:name="_Toc328672354"/>
      <w:bookmarkStart w:id="115" w:name="_Toc348451414"/>
      <w:bookmarkStart w:id="116" w:name="_Toc348451576"/>
      <w:bookmarkStart w:id="117" w:name="_Toc348451664"/>
      <w:r w:rsidRPr="00C6790D">
        <w:rPr>
          <w:rFonts w:ascii="Calibri" w:eastAsia="Times New Roman" w:hAnsi="Calibri" w:cs="Calibri"/>
          <w:b/>
          <w:bCs/>
          <w:i/>
          <w:color w:val="300061"/>
          <w:sz w:val="26"/>
          <w:szCs w:val="26"/>
        </w:rPr>
        <w:t>Opportunities and Recommendations</w:t>
      </w:r>
      <w:bookmarkEnd w:id="108"/>
      <w:bookmarkEnd w:id="109"/>
      <w:bookmarkEnd w:id="110"/>
      <w:bookmarkEnd w:id="111"/>
      <w:bookmarkEnd w:id="112"/>
      <w:bookmarkEnd w:id="113"/>
      <w:bookmarkEnd w:id="114"/>
      <w:bookmarkEnd w:id="115"/>
      <w:bookmarkEnd w:id="116"/>
      <w:bookmarkEnd w:id="117"/>
    </w:p>
    <w:p w:rsidR="00A31296" w:rsidRPr="00C6790D" w:rsidRDefault="00A31296" w:rsidP="00A31296">
      <w:pPr>
        <w:numPr>
          <w:ilvl w:val="0"/>
          <w:numId w:val="17"/>
        </w:numPr>
        <w:spacing w:before="240" w:line="240" w:lineRule="auto"/>
        <w:contextualSpacing/>
        <w:rPr>
          <w:rFonts w:ascii="Calibri" w:eastAsia="Times New Roman" w:hAnsi="Calibri" w:cs="Calibri"/>
          <w:lang w:val="en-GB"/>
        </w:rPr>
      </w:pPr>
      <w:r w:rsidRPr="00C6790D">
        <w:rPr>
          <w:rFonts w:ascii="Calibri" w:eastAsia="Times New Roman" w:hAnsi="Calibri" w:cs="Calibri"/>
          <w:b/>
        </w:rPr>
        <w:t>Customs procedures should be made less cumbersome, globally aligned and transparent.</w:t>
      </w:r>
      <w:r w:rsidRPr="00C6790D">
        <w:rPr>
          <w:rFonts w:ascii="Calibri" w:eastAsia="Times New Roman" w:hAnsi="Calibri" w:cs="Calibri"/>
        </w:rPr>
        <w:t xml:space="preserve"> In Afghanistan, various clearance procedures exist all over the country, which are neither internally, nor regionally, nor globally aligned. While computerization is slowly resolving this, a coordinated effort to review, revise and audit these clearance procedures should be undertaken. An exercise akin to the GATT assessment should be undertaken at customs house level, to identify a “critical path” for reforms.  </w:t>
      </w:r>
      <w:r w:rsidRPr="00C6790D">
        <w:rPr>
          <w:rFonts w:ascii="Calibri" w:eastAsia="Times New Roman" w:hAnsi="Calibri" w:cs="Calibri"/>
          <w:lang w:val="en-GB"/>
        </w:rPr>
        <w:t>The role of clearing agents––and their responsibilities––should be better defined.</w:t>
      </w:r>
    </w:p>
    <w:p w:rsidR="00A31296" w:rsidRPr="00C6790D" w:rsidRDefault="00A31296" w:rsidP="00A31296">
      <w:pPr>
        <w:numPr>
          <w:ilvl w:val="0"/>
          <w:numId w:val="17"/>
        </w:numPr>
        <w:spacing w:line="240" w:lineRule="auto"/>
        <w:contextualSpacing/>
        <w:rPr>
          <w:rFonts w:ascii="Calibri" w:eastAsia="Times New Roman" w:hAnsi="Calibri" w:cs="Calibri"/>
        </w:rPr>
      </w:pPr>
      <w:r w:rsidRPr="00C6790D">
        <w:rPr>
          <w:rFonts w:ascii="Calibri" w:eastAsia="Times New Roman" w:hAnsi="Calibri" w:cs="Calibri"/>
          <w:b/>
        </w:rPr>
        <w:t xml:space="preserve">Defining the clearance model for Afghanistan will have an impact on the design of its customs administration.  </w:t>
      </w:r>
      <w:r w:rsidRPr="00C6790D">
        <w:rPr>
          <w:rFonts w:ascii="Calibri" w:eastAsia="Times New Roman" w:hAnsi="Calibri" w:cs="Calibri"/>
        </w:rPr>
        <w:t xml:space="preserve"> </w:t>
      </w:r>
    </w:p>
    <w:p w:rsidR="00A31296" w:rsidRPr="00C6790D" w:rsidRDefault="00A31296" w:rsidP="00A31296">
      <w:pPr>
        <w:numPr>
          <w:ilvl w:val="0"/>
          <w:numId w:val="17"/>
        </w:numPr>
        <w:spacing w:line="240" w:lineRule="auto"/>
        <w:contextualSpacing/>
        <w:rPr>
          <w:rFonts w:ascii="Calibri" w:eastAsia="Times New Roman" w:hAnsi="Calibri" w:cs="Calibri"/>
          <w:lang w:val="en-GB"/>
        </w:rPr>
      </w:pPr>
      <w:r w:rsidRPr="00C6790D">
        <w:rPr>
          <w:rFonts w:ascii="Calibri" w:eastAsia="Times New Roman" w:hAnsi="Calibri" w:cs="Calibri"/>
          <w:b/>
          <w:lang w:val="en-GB"/>
        </w:rPr>
        <w:t>Every reform or modernisation operation should factor in the anti-corruption dimension</w:t>
      </w:r>
      <w:r w:rsidRPr="00C6790D">
        <w:rPr>
          <w:rFonts w:ascii="Calibri" w:eastAsia="Times New Roman" w:hAnsi="Calibri" w:cs="Calibri"/>
          <w:i/>
          <w:lang w:val="en-GB"/>
        </w:rPr>
        <w:t>.</w:t>
      </w:r>
      <w:r w:rsidRPr="00C6790D">
        <w:rPr>
          <w:rFonts w:ascii="Calibri" w:eastAsia="Times New Roman" w:hAnsi="Calibri" w:cs="Calibri"/>
          <w:lang w:val="en-GB"/>
        </w:rPr>
        <w:t xml:space="preserve"> A review of governance issues, including interference of outside bodies and institutions in areas that fall under the customs domain, and a clear organisational and staffing policy, would help strengthen the institutional side, while embracing anti-corruption measures. In general, anti-corruption initiatives under the umbrella of customs reform, including those in Afghanistan, should rightly focus on four types of measures: (i) </w:t>
      </w:r>
      <w:r w:rsidRPr="00C6790D">
        <w:rPr>
          <w:rFonts w:ascii="Calibri" w:eastAsia="Times New Roman" w:hAnsi="Calibri" w:cs="Calibri"/>
          <w:b/>
          <w:i/>
          <w:lang w:val="en-GB"/>
        </w:rPr>
        <w:t>Computerization,</w:t>
      </w:r>
      <w:r w:rsidRPr="00C6790D">
        <w:rPr>
          <w:rFonts w:ascii="Calibri" w:eastAsia="Times New Roman" w:hAnsi="Calibri" w:cs="Calibri"/>
          <w:lang w:val="en-GB"/>
        </w:rPr>
        <w:t xml:space="preserve"> to eliminate discreet direct interface between officials and those carrying fungible wealth, and to leave an audit trail; (ii) </w:t>
      </w:r>
      <w:r w:rsidRPr="00C6790D">
        <w:rPr>
          <w:rFonts w:ascii="Calibri" w:eastAsia="Times New Roman" w:hAnsi="Calibri" w:cs="Calibri"/>
          <w:b/>
          <w:i/>
          <w:lang w:val="en-GB"/>
        </w:rPr>
        <w:t>Staff policies,</w:t>
      </w:r>
      <w:r w:rsidRPr="00C6790D">
        <w:rPr>
          <w:rFonts w:ascii="Calibri" w:eastAsia="Times New Roman" w:hAnsi="Calibri" w:cs="Calibri"/>
          <w:lang w:val="en-GB"/>
        </w:rPr>
        <w:t xml:space="preserve"> ranging from ethics to salaries and incentives, which also implies an audit capacity; (iii) </w:t>
      </w:r>
      <w:r w:rsidRPr="00C6790D">
        <w:rPr>
          <w:rFonts w:ascii="Calibri" w:eastAsia="Times New Roman" w:hAnsi="Calibri" w:cs="Calibri"/>
          <w:b/>
          <w:i/>
          <w:lang w:val="en-GB"/>
        </w:rPr>
        <w:t>A multi-tiered investigative capacity</w:t>
      </w:r>
      <w:r w:rsidRPr="00C6790D">
        <w:rPr>
          <w:rFonts w:ascii="Calibri" w:eastAsia="Times New Roman" w:hAnsi="Calibri" w:cs="Calibri"/>
          <w:lang w:val="en-GB"/>
        </w:rPr>
        <w:t xml:space="preserve"> that must involve specialized anti-corruption customs units, and external auditors and investigators; and (iv) </w:t>
      </w:r>
      <w:r w:rsidRPr="00C6790D">
        <w:rPr>
          <w:rFonts w:ascii="Calibri" w:eastAsia="Times New Roman" w:hAnsi="Calibri" w:cs="Calibri"/>
          <w:b/>
          <w:i/>
          <w:lang w:val="en-GB"/>
        </w:rPr>
        <w:t xml:space="preserve">Involvement of the private </w:t>
      </w:r>
      <w:r w:rsidRPr="00C6790D">
        <w:rPr>
          <w:rFonts w:ascii="Calibri" w:eastAsia="Times New Roman" w:hAnsi="Calibri" w:cs="Calibri"/>
          <w:b/>
          <w:i/>
          <w:lang w:val="en-GB"/>
        </w:rPr>
        <w:lastRenderedPageBreak/>
        <w:t>sector,</w:t>
      </w:r>
      <w:r w:rsidRPr="00C6790D">
        <w:rPr>
          <w:rFonts w:ascii="Calibri" w:eastAsia="Times New Roman" w:hAnsi="Calibri" w:cs="Calibri"/>
          <w:lang w:val="en-GB"/>
        </w:rPr>
        <w:t xml:space="preserve"> with adequate legislation to deter corrupt practices and bribery.  Technical assistance and policy advice is currently being provided to the GOA and ACD in these areas.  </w:t>
      </w:r>
    </w:p>
    <w:p w:rsidR="00A31296" w:rsidRPr="00C6790D" w:rsidRDefault="00A31296" w:rsidP="00A31296">
      <w:pPr>
        <w:numPr>
          <w:ilvl w:val="0"/>
          <w:numId w:val="17"/>
        </w:numPr>
        <w:spacing w:before="240" w:line="240" w:lineRule="auto"/>
        <w:contextualSpacing/>
        <w:rPr>
          <w:rFonts w:ascii="Calibri" w:eastAsia="Times New Roman" w:hAnsi="Calibri" w:cs="Calibri"/>
        </w:rPr>
      </w:pPr>
      <w:r w:rsidRPr="00C6790D">
        <w:rPr>
          <w:rFonts w:ascii="Calibri" w:eastAsia="Times New Roman" w:hAnsi="Calibri" w:cs="Calibri"/>
          <w:b/>
        </w:rPr>
        <w:t>The ACD and neighboring countries’ customs agencies need to cooperate better.</w:t>
      </w:r>
      <w:r w:rsidRPr="00C6790D">
        <w:rPr>
          <w:rFonts w:ascii="Calibri" w:eastAsia="Times New Roman" w:hAnsi="Calibri" w:cs="Calibri"/>
        </w:rPr>
        <w:t xml:space="preserve"> This absence of cross-border information linkages has clear fiscal, social and trade facilitation dimensions. Of the total commercial imports, estimated at US$7.87 billion in 2008, approximately US$7.71 billion moved over land routes from surrounding countries. The ACD needs to exploit this advantage to improve its governance and control, and needs to further improve cooperation with the customs agencies of neighboring countries.  This should be the result of a CBM strategy.    </w:t>
      </w:r>
    </w:p>
    <w:p w:rsidR="00A31296" w:rsidRPr="00C6790D" w:rsidRDefault="00A31296" w:rsidP="00A31296">
      <w:pPr>
        <w:keepNext/>
        <w:keepLines/>
        <w:spacing w:before="240" w:after="120" w:line="240" w:lineRule="auto"/>
        <w:outlineLvl w:val="1"/>
        <w:rPr>
          <w:rFonts w:ascii="Calibri" w:eastAsia="Times New Roman" w:hAnsi="Calibri" w:cs="Calibri"/>
          <w:b/>
          <w:bCs/>
          <w:i/>
          <w:color w:val="300061"/>
          <w:sz w:val="26"/>
          <w:szCs w:val="26"/>
        </w:rPr>
      </w:pPr>
      <w:bookmarkStart w:id="118" w:name="_Toc327207232"/>
      <w:bookmarkStart w:id="119" w:name="_Toc327208043"/>
      <w:bookmarkStart w:id="120" w:name="_Toc327208425"/>
      <w:bookmarkStart w:id="121" w:name="_Toc327252434"/>
      <w:bookmarkStart w:id="122" w:name="_Toc327282385"/>
      <w:bookmarkStart w:id="123" w:name="_Toc328672355"/>
      <w:bookmarkStart w:id="124" w:name="_Toc348451415"/>
      <w:bookmarkStart w:id="125" w:name="_Toc348451577"/>
      <w:bookmarkStart w:id="126" w:name="_Toc348451665"/>
      <w:r w:rsidRPr="00C6790D">
        <w:rPr>
          <w:rFonts w:ascii="Calibri" w:eastAsia="Times New Roman" w:hAnsi="Calibri" w:cs="Calibri"/>
          <w:b/>
          <w:bCs/>
          <w:i/>
          <w:color w:val="300061"/>
          <w:sz w:val="26"/>
          <w:szCs w:val="26"/>
        </w:rPr>
        <w:t>Infrastructure Services</w:t>
      </w:r>
      <w:bookmarkEnd w:id="118"/>
      <w:bookmarkEnd w:id="119"/>
      <w:bookmarkEnd w:id="120"/>
      <w:bookmarkEnd w:id="121"/>
      <w:bookmarkEnd w:id="122"/>
      <w:bookmarkEnd w:id="123"/>
      <w:bookmarkEnd w:id="124"/>
      <w:bookmarkEnd w:id="125"/>
      <w:bookmarkEnd w:id="126"/>
    </w:p>
    <w:p w:rsidR="00A31296" w:rsidRPr="00C6790D" w:rsidRDefault="00A31296" w:rsidP="00A31296">
      <w:pPr>
        <w:spacing w:before="240" w:line="240" w:lineRule="auto"/>
        <w:rPr>
          <w:rFonts w:ascii="Calibri" w:eastAsia="Times New Roman" w:hAnsi="Calibri" w:cs="Calibri"/>
          <w:b/>
          <w:i/>
          <w:color w:val="533466"/>
        </w:rPr>
      </w:pPr>
      <w:r w:rsidRPr="00C6790D">
        <w:rPr>
          <w:rFonts w:ascii="Calibri" w:eastAsia="Times New Roman" w:hAnsi="Calibri" w:cs="Calibri"/>
          <w:i/>
        </w:rPr>
        <w:t>A major constraint to the supply side and for private sector development in Afghanistan is the provision of infrastructure and infrastructure services. With a wide infrastructure gap, investment across three sectors would have the greatest impact on developing trade services: (i) electricity, (ii) telecommunications (ICT), and (iii) roads (transport).</w:t>
      </w:r>
    </w:p>
    <w:p w:rsidR="00A31296" w:rsidRPr="00C6790D" w:rsidRDefault="00A31296" w:rsidP="00A31296">
      <w:pPr>
        <w:spacing w:before="240" w:line="240" w:lineRule="auto"/>
        <w:rPr>
          <w:rFonts w:ascii="Calibri" w:eastAsia="Times New Roman" w:hAnsi="Calibri" w:cs="Calibri"/>
        </w:rPr>
      </w:pPr>
      <w:r w:rsidRPr="00C6790D">
        <w:rPr>
          <w:rFonts w:ascii="Calibri" w:eastAsia="Times New Roman" w:hAnsi="Calibri" w:cs="Calibri"/>
          <w:b/>
        </w:rPr>
        <w:t>The under-provision of infrastructure services not only affects production costs and delivery times, but takes a toll on the competitiveness of Afghan firms</w:t>
      </w:r>
      <w:r w:rsidRPr="00C6790D">
        <w:rPr>
          <w:rFonts w:ascii="Calibri" w:eastAsia="Times New Roman" w:hAnsi="Calibri" w:cs="Calibri"/>
        </w:rPr>
        <w:t>.</w:t>
      </w:r>
      <w:r w:rsidRPr="00C6790D">
        <w:rPr>
          <w:rFonts w:ascii="Calibri" w:eastAsia="Times New Roman" w:hAnsi="Calibri" w:cs="Calibri"/>
          <w:sz w:val="20"/>
          <w:vertAlign w:val="superscript"/>
        </w:rPr>
        <w:footnoteReference w:id="10"/>
      </w:r>
      <w:r w:rsidRPr="00C6790D">
        <w:rPr>
          <w:rFonts w:ascii="Calibri" w:eastAsia="Times New Roman" w:hAnsi="Calibri" w:cs="Calibri"/>
        </w:rPr>
        <w:t xml:space="preserve"> Thus, investments in the country’s infrastructure, in a sustainable way that assumes its periodic maintenance over the medium term, could make a big difference to the costs of trading.  </w:t>
      </w:r>
    </w:p>
    <w:p w:rsidR="00A31296" w:rsidRPr="00C6790D" w:rsidRDefault="00A31296" w:rsidP="00A31296">
      <w:pPr>
        <w:keepNext/>
        <w:keepLines/>
        <w:spacing w:before="200" w:after="0" w:line="480" w:lineRule="auto"/>
        <w:outlineLvl w:val="2"/>
        <w:rPr>
          <w:rFonts w:ascii="Calibri" w:eastAsia="Times New Roman" w:hAnsi="Calibri" w:cs="Times New Roman"/>
          <w:b/>
          <w:bCs/>
          <w:i/>
          <w:color w:val="410082"/>
        </w:rPr>
      </w:pPr>
      <w:bookmarkStart w:id="127" w:name="_Toc327207233"/>
      <w:bookmarkStart w:id="128" w:name="_Toc327208044"/>
      <w:bookmarkStart w:id="129" w:name="_Toc327208426"/>
      <w:bookmarkStart w:id="130" w:name="_Toc327252435"/>
      <w:bookmarkStart w:id="131" w:name="_Toc327282386"/>
      <w:bookmarkStart w:id="132" w:name="_Toc328672356"/>
      <w:bookmarkStart w:id="133" w:name="_Toc348451416"/>
      <w:bookmarkStart w:id="134" w:name="_Toc348451578"/>
      <w:bookmarkStart w:id="135" w:name="_Toc348451666"/>
      <w:r w:rsidRPr="00C6790D">
        <w:rPr>
          <w:rFonts w:ascii="Calibri" w:eastAsia="Times New Roman" w:hAnsi="Calibri" w:cs="Times New Roman"/>
          <w:b/>
          <w:bCs/>
          <w:i/>
          <w:color w:val="410082"/>
        </w:rPr>
        <w:t>Electric Power</w:t>
      </w:r>
      <w:bookmarkEnd w:id="127"/>
      <w:bookmarkEnd w:id="128"/>
      <w:bookmarkEnd w:id="129"/>
      <w:bookmarkEnd w:id="130"/>
      <w:bookmarkEnd w:id="131"/>
      <w:bookmarkEnd w:id="132"/>
      <w:bookmarkEnd w:id="133"/>
      <w:bookmarkEnd w:id="134"/>
      <w:bookmarkEnd w:id="135"/>
    </w:p>
    <w:p w:rsidR="00A31296" w:rsidRPr="00C6790D" w:rsidRDefault="00A31296" w:rsidP="00A31296">
      <w:pPr>
        <w:spacing w:line="240" w:lineRule="auto"/>
        <w:rPr>
          <w:rFonts w:ascii="Calibri" w:eastAsia="Times New Roman" w:hAnsi="Calibri" w:cs="Calibri"/>
          <w:i/>
        </w:rPr>
      </w:pPr>
      <w:r w:rsidRPr="00C6790D">
        <w:rPr>
          <w:rFonts w:ascii="Calibri" w:eastAsia="Times New Roman" w:hAnsi="Calibri" w:cs="Calibri"/>
          <w:i/>
        </w:rPr>
        <w:t xml:space="preserve">Access to reliable power has not only a direct effect on business creation and productivity, but the most significant impact on poverty reduction.  </w:t>
      </w:r>
    </w:p>
    <w:p w:rsidR="00A31296" w:rsidRPr="00C6790D" w:rsidRDefault="00A31296" w:rsidP="00A31296">
      <w:pPr>
        <w:rPr>
          <w:rFonts w:ascii="Calibri" w:eastAsia="Times New Roman" w:hAnsi="Calibri" w:cs="Arial"/>
        </w:rPr>
      </w:pPr>
      <w:r w:rsidRPr="00C6790D">
        <w:rPr>
          <w:rFonts w:ascii="Calibri" w:eastAsia="Times New Roman" w:hAnsi="Calibri" w:cs="Calibri"/>
          <w:b/>
        </w:rPr>
        <w:t xml:space="preserve">Investments in electricity reduce poverty by fostering productivity and production of value-added goods, and increasing productive hours beyond daylight. They also improve communities’ access to communications and benefit healthcare by enabling refrigeration (of specialized equipment), while also promoting </w:t>
      </w:r>
      <w:hyperlink r:id="rId19" w:tgtFrame="_self" w:history="1">
        <w:r w:rsidRPr="00C6790D">
          <w:rPr>
            <w:rFonts w:ascii="Calibri" w:eastAsia="Times New Roman" w:hAnsi="Calibri" w:cs="Calibri"/>
            <w:b/>
          </w:rPr>
          <w:t>gender</w:t>
        </w:r>
      </w:hyperlink>
      <w:r w:rsidRPr="00C6790D">
        <w:rPr>
          <w:rFonts w:ascii="Calibri" w:eastAsia="Times New Roman" w:hAnsi="Calibri" w:cs="Calibri"/>
          <w:b/>
        </w:rPr>
        <w:t> equality by relieving women of fuel- and water-collecting tasks</w:t>
      </w:r>
      <w:r w:rsidRPr="00C6790D">
        <w:rPr>
          <w:rFonts w:ascii="Calibri" w:eastAsia="Times New Roman" w:hAnsi="Calibri" w:cs="Calibri"/>
        </w:rPr>
        <w:t xml:space="preserve">. </w:t>
      </w:r>
      <w:r w:rsidRPr="00C6790D">
        <w:rPr>
          <w:rFonts w:ascii="Calibri" w:eastAsia="Times New Roman" w:hAnsi="Calibri" w:cs="Arial"/>
        </w:rPr>
        <w:t>Providing better quality electricity services requires a better understanding of the existing challenges and potential for electric power infrastructure issues in Afghanistan</w:t>
      </w:r>
      <w:r w:rsidRPr="00C6790D">
        <w:rPr>
          <w:rFonts w:ascii="Calibri" w:eastAsia="Times New Roman" w:hAnsi="Calibri" w:cs="Calibri"/>
        </w:rPr>
        <w:t>, such as generation, transmission, and distribution.</w:t>
      </w:r>
    </w:p>
    <w:p w:rsidR="00A31296" w:rsidRPr="00C6790D" w:rsidRDefault="00A31296" w:rsidP="00A31296">
      <w:pPr>
        <w:spacing w:before="240" w:line="240" w:lineRule="auto"/>
        <w:rPr>
          <w:rFonts w:ascii="Calibri" w:eastAsia="Times New Roman" w:hAnsi="Calibri" w:cs="Calibri"/>
        </w:rPr>
      </w:pPr>
      <w:r w:rsidRPr="00C6790D">
        <w:rPr>
          <w:rFonts w:ascii="Calibri" w:eastAsia="Times New Roman" w:hAnsi="Calibri" w:cs="Calibri"/>
          <w:b/>
        </w:rPr>
        <w:t>Insufficient access to electricity is a major constraint to local businesses and households and a driver of production costs</w:t>
      </w:r>
      <w:r w:rsidRPr="00C6790D">
        <w:rPr>
          <w:rFonts w:ascii="Calibri" w:eastAsia="Times New Roman" w:hAnsi="Calibri" w:cs="Calibri"/>
        </w:rPr>
        <w:t>. In 2009, the electrification rate in Afghanistan was estimated to be just 23 percent overall and 10 percent in rural areas (Figure S.7).  Some 20 million Afghans still do not have access to reliable electricity, mostly in rural areas. The Business Environment and Enterprise Performance (BEEP) survey 2009 estimated power outages wiped out more than 10 percent of companies’ annual sales. About 70 percent of Afghan firms own their own private power generators to back up the grid supply, which increase production costs. About 20 percent of firms surveyed had no access to electricity, and 20 percent pointed to weak electrification as the most serious constraint to business (Figure S.8).</w:t>
      </w:r>
    </w:p>
    <w:p w:rsidR="00A31296" w:rsidRPr="00C6790D" w:rsidRDefault="00A31296" w:rsidP="00A31296">
      <w:pPr>
        <w:spacing w:line="240" w:lineRule="auto"/>
        <w:rPr>
          <w:rFonts w:ascii="Calibri" w:eastAsia="Times New Roman" w:hAnsi="Calibri" w:cs="Calibri"/>
        </w:rPr>
      </w:pPr>
      <w:r w:rsidRPr="00C6790D">
        <w:rPr>
          <w:rFonts w:ascii="Calibri" w:eastAsia="Times New Roman" w:hAnsi="Calibri" w:cs="Calibri"/>
          <w:b/>
        </w:rPr>
        <w:lastRenderedPageBreak/>
        <w:t>Afghanistan’s domestic power generation capacity remains below the country’s potential demand, indicating the transmission and distribution networks need upgrading</w:t>
      </w:r>
      <w:r w:rsidRPr="00C6790D">
        <w:rPr>
          <w:rFonts w:ascii="Calibri" w:eastAsia="Times New Roman" w:hAnsi="Calibri" w:cs="Calibri"/>
        </w:rPr>
        <w:t>. The country is believed to lose as much as 30-40 percent of generated or imported energy, for technical and nontechnical reasons. The most recent power sector investment program envisaged a total investment and recurrent cost of US$1,720 million between 2004 and 2010, or about US$250 million annually. Half would have to have been spent on power generation; the rest split evenly between transmission and distribution.</w:t>
      </w:r>
    </w:p>
    <w:p w:rsidR="00A31296" w:rsidRPr="00C6790D" w:rsidRDefault="00A31296" w:rsidP="00A31296">
      <w:pPr>
        <w:tabs>
          <w:tab w:val="center" w:pos="2520"/>
          <w:tab w:val="center" w:pos="6840"/>
        </w:tabs>
        <w:spacing w:after="0" w:line="240" w:lineRule="auto"/>
        <w:rPr>
          <w:rFonts w:ascii="Calibri" w:eastAsia="Times New Roman" w:hAnsi="Calibri" w:cs="Arial"/>
          <w:b/>
          <w:bCs/>
          <w:color w:val="410082"/>
        </w:rPr>
      </w:pPr>
      <w:r w:rsidRPr="00C6790D">
        <w:rPr>
          <w:rFonts w:ascii="Calibri" w:eastAsia="Times New Roman" w:hAnsi="Calibri" w:cs="Arial"/>
          <w:b/>
          <w:bCs/>
          <w:color w:val="410082"/>
        </w:rPr>
        <w:t>Figure S.7: Electricity Access, South Asia 2010</w:t>
      </w:r>
      <w:r w:rsidRPr="00C6790D">
        <w:rPr>
          <w:rFonts w:ascii="Calibri" w:eastAsia="Times New Roman" w:hAnsi="Calibri" w:cs="Arial"/>
          <w:b/>
          <w:bCs/>
          <w:color w:val="410082"/>
        </w:rPr>
        <w:tab/>
        <w:t xml:space="preserve">         Figure S.8: Electricity access, Afghan businesses</w:t>
      </w:r>
    </w:p>
    <w:p w:rsidR="00A31296" w:rsidRPr="00C6790D" w:rsidRDefault="00A31296" w:rsidP="00A31296">
      <w:pPr>
        <w:tabs>
          <w:tab w:val="center" w:pos="2520"/>
          <w:tab w:val="center" w:pos="6840"/>
        </w:tabs>
        <w:spacing w:after="0"/>
        <w:rPr>
          <w:rFonts w:ascii="Calibri" w:eastAsia="Times New Roman" w:hAnsi="Calibri" w:cs="Arial"/>
        </w:rPr>
      </w:pPr>
      <w:r w:rsidRPr="00C6790D">
        <w:rPr>
          <w:rFonts w:ascii="Calibri" w:eastAsia="Times New Roman" w:hAnsi="Calibri" w:cs="Arial"/>
        </w:rPr>
        <w:tab/>
      </w:r>
      <w:r w:rsidRPr="00C6790D">
        <w:rPr>
          <w:rFonts w:ascii="Calibri" w:eastAsia="Times New Roman" w:hAnsi="Calibri" w:cs="Arial"/>
          <w:noProof/>
          <w:lang w:bidi="ar-SA"/>
        </w:rPr>
        <w:drawing>
          <wp:inline distT="0" distB="0" distL="0" distR="0" wp14:anchorId="25100ACC" wp14:editId="737AFE10">
            <wp:extent cx="2822713" cy="2202511"/>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2943" cy="2202690"/>
                    </a:xfrm>
                    <a:prstGeom prst="rect">
                      <a:avLst/>
                    </a:prstGeom>
                    <a:noFill/>
                  </pic:spPr>
                </pic:pic>
              </a:graphicData>
            </a:graphic>
          </wp:inline>
        </w:drawing>
      </w:r>
      <w:r w:rsidRPr="00C6790D">
        <w:rPr>
          <w:rFonts w:ascii="Calibri" w:eastAsia="Times New Roman" w:hAnsi="Calibri" w:cs="Arial"/>
          <w:noProof/>
          <w:lang w:bidi="ar-SA"/>
        </w:rPr>
        <w:drawing>
          <wp:inline distT="0" distB="0" distL="0" distR="0" wp14:anchorId="5071905E" wp14:editId="2FBC36D9">
            <wp:extent cx="2458787" cy="2011680"/>
            <wp:effectExtent l="0" t="0" r="0" b="762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461489" cy="2013890"/>
                    </a:xfrm>
                    <a:prstGeom prst="rect">
                      <a:avLst/>
                    </a:prstGeom>
                    <a:noFill/>
                    <a:ln w="9525">
                      <a:noFill/>
                      <a:miter lim="800000"/>
                      <a:headEnd/>
                      <a:tailEnd/>
                    </a:ln>
                  </pic:spPr>
                </pic:pic>
              </a:graphicData>
            </a:graphic>
          </wp:inline>
        </w:drawing>
      </w:r>
    </w:p>
    <w:p w:rsidR="00A31296" w:rsidRPr="00C6790D" w:rsidRDefault="00A31296" w:rsidP="00A31296">
      <w:pPr>
        <w:tabs>
          <w:tab w:val="center" w:pos="2520"/>
          <w:tab w:val="center" w:pos="6840"/>
        </w:tabs>
        <w:spacing w:after="0"/>
        <w:rPr>
          <w:rFonts w:ascii="Calibri" w:eastAsia="Times New Roman" w:hAnsi="Calibri" w:cs="Arial"/>
          <w:sz w:val="20"/>
        </w:rPr>
      </w:pPr>
      <w:r w:rsidRPr="00C6790D">
        <w:rPr>
          <w:rFonts w:ascii="Calibri" w:eastAsia="Times New Roman" w:hAnsi="Calibri" w:cs="Arial"/>
          <w:sz w:val="20"/>
        </w:rPr>
        <w:t xml:space="preserve">Source: IEA 2010 and WB staff calculations                     Source: BEEP, Afghanistan 2009. </w:t>
      </w:r>
    </w:p>
    <w:p w:rsidR="00A31296" w:rsidRPr="00C6790D" w:rsidRDefault="00A31296" w:rsidP="00A31296">
      <w:pPr>
        <w:tabs>
          <w:tab w:val="center" w:pos="2520"/>
          <w:tab w:val="center" w:pos="6840"/>
        </w:tabs>
        <w:spacing w:after="0" w:line="240" w:lineRule="auto"/>
        <w:rPr>
          <w:rFonts w:ascii="Calibri" w:eastAsia="Times New Roman" w:hAnsi="Calibri" w:cs="Arial"/>
          <w:b/>
          <w:bCs/>
          <w:color w:val="410082"/>
        </w:rPr>
      </w:pPr>
    </w:p>
    <w:p w:rsidR="00A31296" w:rsidRPr="00C6790D" w:rsidRDefault="00A31296" w:rsidP="00A31296">
      <w:pPr>
        <w:spacing w:line="240" w:lineRule="auto"/>
        <w:rPr>
          <w:rFonts w:ascii="Calibri" w:eastAsia="Times New Roman" w:hAnsi="Calibri" w:cs="Calibri"/>
        </w:rPr>
      </w:pPr>
      <w:r w:rsidRPr="00C6790D">
        <w:rPr>
          <w:rFonts w:ascii="Calibri" w:eastAsia="Times New Roman" w:hAnsi="Calibri" w:cs="Calibri"/>
          <w:b/>
        </w:rPr>
        <w:t>The agency that delivers electricity, Da Afghanistan Breshna Sherkat (DABS), lacks sufficient finances to operate and maintain the nation’s electricity infrastructure and cope with the existing demand</w:t>
      </w:r>
      <w:r w:rsidRPr="00C6790D">
        <w:rPr>
          <w:rFonts w:ascii="Calibri" w:eastAsia="Times New Roman" w:hAnsi="Calibri" w:cs="Calibri"/>
        </w:rPr>
        <w:t xml:space="preserve">. </w:t>
      </w:r>
      <w:r w:rsidRPr="00C6790D">
        <w:rPr>
          <w:rFonts w:ascii="Calibri" w:eastAsia="Times New Roman" w:hAnsi="Calibri" w:cs="Arial"/>
        </w:rPr>
        <w:t>In Afghanistan, only 70 percent of energy is billed, and only about 60 percent of bills are collected.</w:t>
      </w:r>
      <w:r w:rsidRPr="00C6790D">
        <w:rPr>
          <w:rFonts w:ascii="Calibri" w:eastAsia="Times New Roman" w:hAnsi="Calibri" w:cs="Arial"/>
          <w:vertAlign w:val="superscript"/>
        </w:rPr>
        <w:footnoteReference w:id="11"/>
      </w:r>
      <w:r w:rsidRPr="00C6790D">
        <w:rPr>
          <w:rFonts w:ascii="Calibri" w:eastAsia="Times New Roman" w:hAnsi="Calibri" w:cs="Arial"/>
        </w:rPr>
        <w:t xml:space="preserve">   Tariff collection from end users seems to remain below the full cost recovery.  Thus, it is heavily dependent on international aid for investment to rehabilitate the country’s damaged electricity infrastructure assets.  </w:t>
      </w:r>
      <w:r w:rsidRPr="00C6790D">
        <w:rPr>
          <w:rFonts w:ascii="Calibri" w:eastAsia="Times New Roman" w:hAnsi="Calibri" w:cs="Calibri"/>
        </w:rPr>
        <w:t>Grid capacity has more than doubled in the last 10 years, putting DABS’s maintenance costs alone at between 0.05 percent and 0.2 percent of GDP.</w:t>
      </w:r>
    </w:p>
    <w:p w:rsidR="00A31296" w:rsidRPr="00C6790D" w:rsidRDefault="00A31296" w:rsidP="00A31296">
      <w:pPr>
        <w:spacing w:before="240" w:line="240" w:lineRule="auto"/>
        <w:rPr>
          <w:rFonts w:ascii="Calibri" w:eastAsia="Times New Roman" w:hAnsi="Calibri" w:cs="Calibri"/>
        </w:rPr>
      </w:pPr>
      <w:r w:rsidRPr="00C6790D">
        <w:rPr>
          <w:rFonts w:ascii="Calibri" w:eastAsia="Times New Roman" w:hAnsi="Calibri" w:cs="Calibri"/>
          <w:b/>
        </w:rPr>
        <w:t>There are alternate ways to increase the supply of electricity services</w:t>
      </w:r>
      <w:r w:rsidRPr="00C6790D">
        <w:rPr>
          <w:rFonts w:ascii="Calibri" w:eastAsia="Times New Roman" w:hAnsi="Calibri" w:cs="Calibri"/>
        </w:rPr>
        <w:t xml:space="preserve">. On the macro scale, regional power trading––sharing of power generation and networks with neighboring countries––is an essential means for Afghanistan to expand and improve its national electricity coverage, as well as the financial sustainability of DABS. Moreover, local communities can play an important role in spreading rural electrification, as the government tries to promote the development of micro-hydro plants (MHPs). In rural Afghanistan, most poor households and communities typically rely on firewood, bush, animal dung, kerosene and private diesel generators. </w:t>
      </w:r>
    </w:p>
    <w:p w:rsidR="00A31296" w:rsidRPr="00C6790D" w:rsidRDefault="00A31296" w:rsidP="00A31296">
      <w:pPr>
        <w:keepNext/>
        <w:keepLines/>
        <w:spacing w:before="240" w:after="120" w:line="240" w:lineRule="auto"/>
        <w:outlineLvl w:val="1"/>
        <w:rPr>
          <w:rFonts w:ascii="Calibri" w:eastAsia="Times New Roman" w:hAnsi="Calibri" w:cs="Calibri"/>
          <w:b/>
          <w:bCs/>
          <w:i/>
          <w:color w:val="410082"/>
          <w:sz w:val="26"/>
          <w:szCs w:val="26"/>
        </w:rPr>
      </w:pPr>
      <w:bookmarkStart w:id="136" w:name="_Toc326933155"/>
      <w:bookmarkStart w:id="137" w:name="_Toc327207234"/>
      <w:bookmarkStart w:id="138" w:name="_Toc327208045"/>
      <w:bookmarkStart w:id="139" w:name="_Toc327208427"/>
      <w:bookmarkStart w:id="140" w:name="_Toc327252436"/>
      <w:bookmarkStart w:id="141" w:name="_Toc327282387"/>
      <w:bookmarkStart w:id="142" w:name="_Toc328672357"/>
      <w:bookmarkStart w:id="143" w:name="_Toc348451417"/>
      <w:bookmarkStart w:id="144" w:name="_Toc348451579"/>
      <w:bookmarkStart w:id="145" w:name="_Toc348451667"/>
      <w:r w:rsidRPr="00C6790D">
        <w:rPr>
          <w:rFonts w:ascii="Calibri" w:eastAsia="Times New Roman" w:hAnsi="Calibri" w:cs="Calibri"/>
          <w:b/>
          <w:bCs/>
          <w:i/>
          <w:color w:val="410082"/>
          <w:sz w:val="26"/>
          <w:szCs w:val="26"/>
        </w:rPr>
        <w:t>Opportunities and recommendations</w:t>
      </w:r>
      <w:bookmarkEnd w:id="136"/>
      <w:bookmarkEnd w:id="137"/>
      <w:bookmarkEnd w:id="138"/>
      <w:bookmarkEnd w:id="139"/>
      <w:bookmarkEnd w:id="140"/>
      <w:bookmarkEnd w:id="141"/>
      <w:bookmarkEnd w:id="142"/>
      <w:bookmarkEnd w:id="143"/>
      <w:bookmarkEnd w:id="144"/>
      <w:bookmarkEnd w:id="145"/>
      <w:r w:rsidRPr="00C6790D">
        <w:rPr>
          <w:rFonts w:ascii="Calibri" w:eastAsia="Times New Roman" w:hAnsi="Calibri" w:cs="Calibri"/>
          <w:b/>
          <w:bCs/>
          <w:i/>
          <w:color w:val="410082"/>
          <w:sz w:val="26"/>
          <w:szCs w:val="26"/>
        </w:rPr>
        <w:t xml:space="preserve"> </w:t>
      </w:r>
    </w:p>
    <w:p w:rsidR="00A31296" w:rsidRPr="00C6790D" w:rsidRDefault="00A31296" w:rsidP="00A31296">
      <w:pPr>
        <w:numPr>
          <w:ilvl w:val="0"/>
          <w:numId w:val="18"/>
        </w:numPr>
        <w:tabs>
          <w:tab w:val="left" w:pos="540"/>
        </w:tabs>
        <w:spacing w:line="240" w:lineRule="auto"/>
        <w:contextualSpacing/>
        <w:rPr>
          <w:rFonts w:ascii="Calibri" w:eastAsia="Times New Roman" w:hAnsi="Calibri" w:cs="Calibri"/>
        </w:rPr>
      </w:pPr>
      <w:r w:rsidRPr="00C6790D">
        <w:rPr>
          <w:rFonts w:ascii="Calibri" w:eastAsia="Times New Roman" w:hAnsi="Calibri" w:cs="Calibri"/>
          <w:b/>
        </w:rPr>
        <w:t xml:space="preserve">Continue to expand domestic power-generation capacity. </w:t>
      </w:r>
      <w:r w:rsidRPr="00C6790D">
        <w:rPr>
          <w:rFonts w:ascii="Calibri" w:eastAsia="Times New Roman" w:hAnsi="Calibri" w:cs="Calibri"/>
        </w:rPr>
        <w:t xml:space="preserve">This will require technical assistance and support for the implementation of the newly-generated capacity. </w:t>
      </w:r>
    </w:p>
    <w:p w:rsidR="00A31296" w:rsidRPr="00C6790D" w:rsidRDefault="00A31296" w:rsidP="00A31296">
      <w:pPr>
        <w:numPr>
          <w:ilvl w:val="0"/>
          <w:numId w:val="18"/>
        </w:numPr>
        <w:tabs>
          <w:tab w:val="left" w:pos="540"/>
        </w:tabs>
        <w:spacing w:before="240" w:line="240" w:lineRule="auto"/>
        <w:contextualSpacing/>
        <w:rPr>
          <w:rFonts w:ascii="Calibri" w:eastAsia="Times New Roman" w:hAnsi="Calibri" w:cs="Calibri"/>
        </w:rPr>
      </w:pPr>
      <w:r w:rsidRPr="00C6790D">
        <w:rPr>
          <w:rFonts w:ascii="Calibri" w:eastAsia="Times New Roman" w:hAnsi="Calibri" w:cs="Calibri"/>
          <w:b/>
        </w:rPr>
        <w:t>Enhance regional power trading.</w:t>
      </w:r>
      <w:r w:rsidRPr="00C6790D">
        <w:rPr>
          <w:rFonts w:ascii="Calibri" w:eastAsia="Times New Roman" w:hAnsi="Calibri" w:cs="Calibri"/>
          <w:b/>
          <w:i/>
        </w:rPr>
        <w:t xml:space="preserve"> </w:t>
      </w:r>
      <w:r w:rsidRPr="00C6790D">
        <w:rPr>
          <w:rFonts w:ascii="Calibri" w:eastAsia="Times New Roman" w:hAnsi="Calibri" w:cs="Calibri"/>
        </w:rPr>
        <w:t xml:space="preserve">Regional power trading can provide significant opportunities for Afghanistan to purchase electricity at cheaper prices. The country may also gain transit fees if regional power trade takes place between its neighboring countries. This will require physical </w:t>
      </w:r>
      <w:r w:rsidRPr="00C6790D">
        <w:rPr>
          <w:rFonts w:ascii="Calibri" w:eastAsia="Times New Roman" w:hAnsi="Calibri" w:cs="Calibri"/>
        </w:rPr>
        <w:lastRenderedPageBreak/>
        <w:t xml:space="preserve">interconnections to be completed and upgraded. Institutionally, the government should establish sound partnerships with neighboring countries to manage the risks of energy security, price volatility and uncertainty in international power trading. </w:t>
      </w:r>
    </w:p>
    <w:p w:rsidR="00A31296" w:rsidRPr="00C6790D" w:rsidRDefault="00A31296" w:rsidP="00A31296">
      <w:pPr>
        <w:keepNext/>
        <w:keepLines/>
        <w:spacing w:before="360" w:after="120" w:line="240" w:lineRule="auto"/>
        <w:outlineLvl w:val="1"/>
        <w:rPr>
          <w:rFonts w:ascii="Calibri" w:eastAsia="Times New Roman" w:hAnsi="Calibri" w:cs="Calibri"/>
          <w:b/>
          <w:bCs/>
          <w:i/>
          <w:color w:val="300061"/>
          <w:sz w:val="26"/>
          <w:szCs w:val="26"/>
        </w:rPr>
      </w:pPr>
      <w:bookmarkStart w:id="146" w:name="_Toc327207235"/>
      <w:bookmarkStart w:id="147" w:name="_Toc327208046"/>
      <w:bookmarkStart w:id="148" w:name="_Toc327208428"/>
      <w:bookmarkStart w:id="149" w:name="_Toc327252437"/>
      <w:bookmarkStart w:id="150" w:name="_Toc327282388"/>
      <w:bookmarkStart w:id="151" w:name="_Toc328672358"/>
      <w:bookmarkStart w:id="152" w:name="_Toc348451418"/>
      <w:bookmarkStart w:id="153" w:name="_Toc348451580"/>
      <w:bookmarkStart w:id="154" w:name="_Toc348451668"/>
      <w:r w:rsidRPr="00C6790D">
        <w:rPr>
          <w:rFonts w:ascii="Calibri" w:eastAsia="Times New Roman" w:hAnsi="Calibri" w:cs="Calibri"/>
          <w:b/>
          <w:bCs/>
          <w:i/>
          <w:color w:val="300061"/>
          <w:sz w:val="26"/>
          <w:szCs w:val="26"/>
        </w:rPr>
        <w:t>Information and Communications Technology</w:t>
      </w:r>
      <w:bookmarkEnd w:id="146"/>
      <w:bookmarkEnd w:id="147"/>
      <w:bookmarkEnd w:id="148"/>
      <w:bookmarkEnd w:id="149"/>
      <w:bookmarkEnd w:id="150"/>
      <w:bookmarkEnd w:id="151"/>
      <w:bookmarkEnd w:id="152"/>
      <w:bookmarkEnd w:id="153"/>
      <w:bookmarkEnd w:id="154"/>
      <w:r w:rsidRPr="00C6790D">
        <w:rPr>
          <w:rFonts w:ascii="Calibri" w:eastAsia="Times New Roman" w:hAnsi="Calibri" w:cs="Calibri"/>
          <w:b/>
          <w:bCs/>
          <w:i/>
          <w:color w:val="300061"/>
          <w:sz w:val="26"/>
          <w:szCs w:val="26"/>
        </w:rPr>
        <w:t xml:space="preserve"> </w:t>
      </w:r>
    </w:p>
    <w:p w:rsidR="00A31296" w:rsidRPr="00C6790D" w:rsidRDefault="00A31296" w:rsidP="00A31296">
      <w:pPr>
        <w:spacing w:before="240" w:line="240" w:lineRule="auto"/>
        <w:rPr>
          <w:rFonts w:ascii="Calibri" w:eastAsia="Times New Roman" w:hAnsi="Calibri" w:cs="Calibri"/>
        </w:rPr>
      </w:pPr>
      <w:r w:rsidRPr="00C6790D">
        <w:rPr>
          <w:rFonts w:ascii="Calibri" w:eastAsia="Times New Roman" w:hAnsi="Calibri" w:cs="Calibri"/>
          <w:i/>
        </w:rPr>
        <w:t>Access to telecommunications reduces the operating costs of international trade and increases a country’s accessibility to the rest of the world, a truism widely supported by empirical studies</w:t>
      </w:r>
      <w:r w:rsidRPr="00C6790D">
        <w:rPr>
          <w:rFonts w:ascii="Calibri" w:eastAsia="Times New Roman" w:hAnsi="Calibri" w:cs="Calibri"/>
        </w:rPr>
        <w:t>.</w:t>
      </w:r>
      <w:r w:rsidRPr="00C6790D">
        <w:rPr>
          <w:rFonts w:ascii="Calibri" w:eastAsia="Times New Roman" w:hAnsi="Calibri" w:cs="Calibri"/>
          <w:sz w:val="20"/>
          <w:vertAlign w:val="superscript"/>
        </w:rPr>
        <w:footnoteReference w:id="12"/>
      </w:r>
      <w:r w:rsidRPr="00C6790D">
        <w:rPr>
          <w:rFonts w:ascii="Calibri" w:eastAsia="Times New Roman" w:hAnsi="Calibri" w:cs="Calibri"/>
        </w:rPr>
        <w:t xml:space="preserve">  </w:t>
      </w:r>
      <w:r w:rsidRPr="00C6790D">
        <w:rPr>
          <w:rFonts w:ascii="Calibri" w:eastAsia="Times New Roman" w:hAnsi="Calibri" w:cs="Calibri"/>
          <w:i/>
        </w:rPr>
        <w:t xml:space="preserve">Cross-border trade in services relies largely on telecoms as the medium for transactions.  </w:t>
      </w:r>
    </w:p>
    <w:p w:rsidR="00A31296" w:rsidRPr="00C6790D" w:rsidRDefault="00A31296" w:rsidP="00A31296">
      <w:pPr>
        <w:tabs>
          <w:tab w:val="center" w:pos="2520"/>
          <w:tab w:val="center" w:pos="6840"/>
        </w:tabs>
        <w:spacing w:after="0" w:line="240" w:lineRule="auto"/>
        <w:rPr>
          <w:rFonts w:ascii="Calibri" w:eastAsia="Times New Roman" w:hAnsi="Calibri" w:cs="Arial"/>
          <w:b/>
          <w:bCs/>
          <w:color w:val="7D4D99"/>
        </w:rPr>
      </w:pPr>
      <w:r w:rsidRPr="00C6790D">
        <w:rPr>
          <w:rFonts w:ascii="Calibri" w:eastAsia="Times New Roman" w:hAnsi="Calibri" w:cs="Arial"/>
          <w:b/>
          <w:bCs/>
          <w:color w:val="410082"/>
        </w:rPr>
        <w:t xml:space="preserve">Figure S.9: Mobile Teledensity </w:t>
      </w:r>
      <w:r w:rsidRPr="00C6790D">
        <w:rPr>
          <w:rFonts w:ascii="Calibri" w:eastAsia="Times New Roman" w:hAnsi="Calibri" w:cs="Arial"/>
          <w:b/>
          <w:bCs/>
          <w:color w:val="7D4D99"/>
        </w:rPr>
        <w:tab/>
      </w:r>
      <w:r w:rsidRPr="00C6790D">
        <w:rPr>
          <w:rFonts w:ascii="Calibri" w:eastAsia="Times New Roman" w:hAnsi="Calibri" w:cs="Arial"/>
          <w:b/>
          <w:bCs/>
          <w:color w:val="410082"/>
        </w:rPr>
        <w:t>Figure S.10: Average Telecoms Tariffs</w:t>
      </w:r>
      <w:r w:rsidRPr="00C6790D">
        <w:rPr>
          <w:rFonts w:ascii="Calibri" w:eastAsia="Times New Roman" w:hAnsi="Calibri" w:cs="Arial"/>
          <w:b/>
          <w:bCs/>
          <w:color w:val="7D4D99"/>
          <w:sz w:val="18"/>
        </w:rPr>
        <w:t xml:space="preserve">  </w:t>
      </w:r>
    </w:p>
    <w:p w:rsidR="00A31296" w:rsidRPr="00C6790D" w:rsidRDefault="00A31296" w:rsidP="00A31296">
      <w:pPr>
        <w:tabs>
          <w:tab w:val="center" w:pos="2520"/>
          <w:tab w:val="center" w:pos="6840"/>
        </w:tabs>
        <w:spacing w:after="0"/>
        <w:rPr>
          <w:rFonts w:ascii="Calibri" w:eastAsia="Times New Roman" w:hAnsi="Calibri" w:cs="Arial"/>
        </w:rPr>
      </w:pPr>
      <w:r w:rsidRPr="00C6790D">
        <w:rPr>
          <w:rFonts w:ascii="Calibri" w:eastAsia="Times New Roman" w:hAnsi="Calibri" w:cs="Arial"/>
        </w:rPr>
        <w:tab/>
      </w:r>
      <w:r w:rsidRPr="00C6790D">
        <w:rPr>
          <w:rFonts w:ascii="Calibri" w:eastAsia="Times New Roman" w:hAnsi="Calibri" w:cs="Arial"/>
          <w:noProof/>
          <w:lang w:bidi="ar-SA"/>
        </w:rPr>
        <w:drawing>
          <wp:inline distT="0" distB="0" distL="0" distR="0" wp14:anchorId="6290EE5C" wp14:editId="6D151CDB">
            <wp:extent cx="2550636" cy="1845380"/>
            <wp:effectExtent l="19050" t="0" r="2064" b="0"/>
            <wp:docPr id="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2550636" cy="1845380"/>
                    </a:xfrm>
                    <a:prstGeom prst="rect">
                      <a:avLst/>
                    </a:prstGeom>
                    <a:noFill/>
                    <a:ln w="9525">
                      <a:noFill/>
                      <a:miter lim="800000"/>
                      <a:headEnd/>
                      <a:tailEnd/>
                    </a:ln>
                  </pic:spPr>
                </pic:pic>
              </a:graphicData>
            </a:graphic>
          </wp:inline>
        </w:drawing>
      </w:r>
      <w:r w:rsidRPr="00C6790D">
        <w:rPr>
          <w:rFonts w:ascii="Calibri" w:eastAsia="Times New Roman" w:hAnsi="Calibri" w:cs="Arial"/>
          <w:b/>
          <w:bCs/>
          <w:noProof/>
          <w:lang w:bidi="ar-SA"/>
        </w:rPr>
        <w:drawing>
          <wp:inline distT="0" distB="0" distL="0" distR="0" wp14:anchorId="5E00EACD" wp14:editId="643CB43B">
            <wp:extent cx="2987573" cy="1839433"/>
            <wp:effectExtent l="0" t="0" r="3810" b="8890"/>
            <wp:docPr id="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992477" cy="1842453"/>
                    </a:xfrm>
                    <a:prstGeom prst="rect">
                      <a:avLst/>
                    </a:prstGeom>
                    <a:noFill/>
                    <a:ln w="9525">
                      <a:noFill/>
                      <a:miter lim="800000"/>
                      <a:headEnd/>
                      <a:tailEnd/>
                    </a:ln>
                  </pic:spPr>
                </pic:pic>
              </a:graphicData>
            </a:graphic>
          </wp:inline>
        </w:drawing>
      </w:r>
    </w:p>
    <w:p w:rsidR="00A31296" w:rsidRPr="00C6790D" w:rsidRDefault="00A31296" w:rsidP="00A31296">
      <w:pPr>
        <w:tabs>
          <w:tab w:val="center" w:pos="2520"/>
          <w:tab w:val="center" w:pos="6840"/>
        </w:tabs>
        <w:spacing w:after="0"/>
        <w:rPr>
          <w:rFonts w:ascii="Calibri" w:eastAsia="Times New Roman" w:hAnsi="Calibri" w:cs="Arial"/>
          <w:sz w:val="18"/>
          <w:szCs w:val="18"/>
        </w:rPr>
      </w:pPr>
      <w:r w:rsidRPr="00C6790D">
        <w:rPr>
          <w:rFonts w:ascii="Calibri" w:eastAsia="Times New Roman" w:hAnsi="Calibri" w:cs="Arial"/>
          <w:sz w:val="18"/>
          <w:szCs w:val="18"/>
        </w:rPr>
        <w:t xml:space="preserve">Source: World Development Indicators. </w:t>
      </w:r>
      <w:r w:rsidRPr="00C6790D">
        <w:rPr>
          <w:rFonts w:ascii="Calibri" w:eastAsia="Times New Roman" w:hAnsi="Calibri" w:cs="Arial"/>
          <w:sz w:val="18"/>
          <w:szCs w:val="18"/>
        </w:rPr>
        <w:tab/>
        <w:t>Sources: Based on operators’ websites</w:t>
      </w:r>
    </w:p>
    <w:p w:rsidR="00A31296" w:rsidRPr="00C6790D" w:rsidRDefault="00A31296" w:rsidP="00A31296">
      <w:pPr>
        <w:tabs>
          <w:tab w:val="center" w:pos="2520"/>
          <w:tab w:val="center" w:pos="6840"/>
        </w:tabs>
        <w:spacing w:after="0"/>
        <w:rPr>
          <w:rFonts w:ascii="Calibri" w:eastAsia="Times New Roman" w:hAnsi="Calibri" w:cs="Calibri"/>
          <w:b/>
          <w:sz w:val="18"/>
          <w:szCs w:val="18"/>
        </w:rPr>
      </w:pPr>
      <w:r w:rsidRPr="00C6790D">
        <w:rPr>
          <w:rFonts w:ascii="Calibri" w:eastAsia="Times New Roman" w:hAnsi="Calibri" w:cs="Arial"/>
          <w:sz w:val="18"/>
          <w:szCs w:val="18"/>
        </w:rPr>
        <w:tab/>
      </w:r>
      <w:r w:rsidRPr="00C6790D">
        <w:rPr>
          <w:rFonts w:ascii="Calibri" w:eastAsia="Times New Roman" w:hAnsi="Calibri" w:cs="Arial"/>
          <w:sz w:val="18"/>
          <w:szCs w:val="18"/>
        </w:rPr>
        <w:tab/>
        <w:t>for Afghanistan; ITU database for other countries</w:t>
      </w:r>
    </w:p>
    <w:p w:rsidR="00A31296" w:rsidRPr="00C6790D" w:rsidRDefault="00A31296" w:rsidP="00A31296">
      <w:pPr>
        <w:tabs>
          <w:tab w:val="left" w:pos="540"/>
        </w:tabs>
        <w:spacing w:before="240" w:after="120" w:line="240" w:lineRule="auto"/>
        <w:rPr>
          <w:rFonts w:ascii="Calibri" w:eastAsia="Times New Roman" w:hAnsi="Calibri" w:cs="Calibri"/>
        </w:rPr>
      </w:pPr>
      <w:r w:rsidRPr="00C6790D">
        <w:rPr>
          <w:rFonts w:ascii="Calibri" w:eastAsia="Times New Roman" w:hAnsi="Calibri" w:cs="Calibri"/>
          <w:b/>
        </w:rPr>
        <w:t>The Afghan mobile telecommunications market has grown vigorously in recent years, with significant progress in adopting mobile technology to build a national fiber-optic backbone that connects most provinces and neighboring countries</w:t>
      </w:r>
      <w:r w:rsidRPr="00C6790D">
        <w:rPr>
          <w:rFonts w:ascii="Calibri" w:eastAsia="Times New Roman" w:hAnsi="Calibri" w:cs="Calibri"/>
        </w:rPr>
        <w:t>. This gives Afghanistan an opportunity to leapfrog to the most advanced technology in the sector. While fixed-line telecommunications remain minimal, mobile teledensity has increased dramatically, from virtually zero in 2002 to about 40 percent in 2009. By 2011, two-thirds of the Afghan population subscribed to mobile telephone services,</w:t>
      </w:r>
      <w:r w:rsidRPr="00C6790D">
        <w:rPr>
          <w:rFonts w:ascii="Calibri" w:eastAsia="Times New Roman" w:hAnsi="Calibri" w:cs="Calibri"/>
          <w:sz w:val="20"/>
          <w:vertAlign w:val="superscript"/>
        </w:rPr>
        <w:footnoteReference w:id="13"/>
      </w:r>
      <w:r w:rsidRPr="00C6790D">
        <w:rPr>
          <w:rFonts w:ascii="Calibri" w:eastAsia="Times New Roman" w:hAnsi="Calibri" w:cs="Calibri"/>
        </w:rPr>
        <w:t xml:space="preserve"> and two-thirds of households surveyed by the Asia Foundation reported own at least one mobile phone.</w:t>
      </w:r>
      <w:r w:rsidRPr="00C6790D">
        <w:rPr>
          <w:rFonts w:ascii="Calibri" w:eastAsia="Times New Roman" w:hAnsi="Calibri" w:cs="Calibri"/>
          <w:sz w:val="20"/>
          <w:vertAlign w:val="superscript"/>
        </w:rPr>
        <w:footnoteReference w:id="14"/>
      </w:r>
      <w:r w:rsidRPr="00C6790D">
        <w:rPr>
          <w:rFonts w:ascii="Calibri" w:eastAsia="Times New Roman" w:hAnsi="Calibri" w:cs="Calibri"/>
        </w:rPr>
        <w:t xml:space="preserve"> This compares well with other low-income countries. (Figure S.9) </w:t>
      </w:r>
    </w:p>
    <w:p w:rsidR="00A31296" w:rsidRPr="00C6790D" w:rsidRDefault="00A31296" w:rsidP="00A31296">
      <w:pPr>
        <w:spacing w:before="240" w:line="240" w:lineRule="auto"/>
        <w:rPr>
          <w:rFonts w:ascii="Calibri" w:eastAsia="Times New Roman" w:hAnsi="Calibri" w:cs="Calibri"/>
        </w:rPr>
      </w:pPr>
      <w:r w:rsidRPr="00C6790D">
        <w:rPr>
          <w:rFonts w:ascii="Calibri" w:eastAsia="Times New Roman" w:hAnsi="Calibri" w:cs="Calibri"/>
          <w:b/>
        </w:rPr>
        <w:t>The ICT sector needs to be developed and expanded, but one of the biggest constraints is affordability</w:t>
      </w:r>
      <w:r w:rsidRPr="00C6790D">
        <w:rPr>
          <w:rFonts w:ascii="Calibri" w:eastAsia="Times New Roman" w:hAnsi="Calibri" w:cs="Calibri"/>
        </w:rPr>
        <w:t xml:space="preserve">. In comparison to other countries in the region, Afghanistan’s users pay the most (Figure S.10). Only three people per 100 in Afghanistan use the Internet, and broadband Internet subscription is virtually zero outside of the larger cities. To improve the coverage of ICT in Afghanistan, the Ministry of Communications &amp; IT, which supervises the sector and must draw up the national sector development strategy, reform licensing and improve market competition. It must also establish pro-competitive and transparent interconnection arrangements, establish a transparent cost-based interconnection regime, </w:t>
      </w:r>
      <w:r w:rsidRPr="00C6790D">
        <w:rPr>
          <w:rFonts w:ascii="Calibri" w:eastAsia="Times New Roman" w:hAnsi="Calibri" w:cs="Calibri"/>
        </w:rPr>
        <w:lastRenderedPageBreak/>
        <w:t xml:space="preserve">and ensure timely and independent dispute resolution. Aside from the ministry, the broader government could provide incentives by lowering ICT company tax rates, and implementing the “open access” policy on the national backbone network.  </w:t>
      </w:r>
      <w:bookmarkStart w:id="155" w:name="_Toc319077459"/>
    </w:p>
    <w:p w:rsidR="00A31296" w:rsidRPr="00C6790D" w:rsidRDefault="00A31296" w:rsidP="00A31296">
      <w:pPr>
        <w:keepNext/>
        <w:keepLines/>
        <w:spacing w:before="240" w:after="120" w:line="240" w:lineRule="auto"/>
        <w:outlineLvl w:val="1"/>
        <w:rPr>
          <w:rFonts w:ascii="Calibri" w:eastAsia="Times New Roman" w:hAnsi="Calibri" w:cs="Calibri"/>
          <w:b/>
          <w:bCs/>
          <w:i/>
          <w:color w:val="410082"/>
          <w:sz w:val="26"/>
          <w:szCs w:val="26"/>
        </w:rPr>
      </w:pPr>
      <w:bookmarkStart w:id="156" w:name="_Toc326933156"/>
      <w:bookmarkStart w:id="157" w:name="_Toc327207236"/>
      <w:bookmarkStart w:id="158" w:name="_Toc327208047"/>
      <w:bookmarkStart w:id="159" w:name="_Toc327208429"/>
      <w:bookmarkStart w:id="160" w:name="_Toc327252438"/>
      <w:bookmarkStart w:id="161" w:name="_Toc327282389"/>
      <w:bookmarkStart w:id="162" w:name="_Toc328672359"/>
      <w:bookmarkStart w:id="163" w:name="_Toc348451419"/>
      <w:bookmarkStart w:id="164" w:name="_Toc348451581"/>
      <w:bookmarkStart w:id="165" w:name="_Toc348451669"/>
      <w:r w:rsidRPr="00C6790D">
        <w:rPr>
          <w:rFonts w:ascii="Calibri" w:eastAsia="Times New Roman" w:hAnsi="Calibri" w:cs="Calibri"/>
          <w:b/>
          <w:bCs/>
          <w:i/>
          <w:color w:val="410082"/>
          <w:sz w:val="26"/>
          <w:szCs w:val="26"/>
        </w:rPr>
        <w:t>Opportunities and recommendations</w:t>
      </w:r>
      <w:bookmarkEnd w:id="156"/>
      <w:bookmarkEnd w:id="157"/>
      <w:bookmarkEnd w:id="158"/>
      <w:bookmarkEnd w:id="159"/>
      <w:bookmarkEnd w:id="160"/>
      <w:bookmarkEnd w:id="161"/>
      <w:bookmarkEnd w:id="162"/>
      <w:bookmarkEnd w:id="163"/>
      <w:bookmarkEnd w:id="164"/>
      <w:bookmarkEnd w:id="165"/>
      <w:r w:rsidRPr="00C6790D">
        <w:rPr>
          <w:rFonts w:ascii="Calibri" w:eastAsia="Times New Roman" w:hAnsi="Calibri" w:cs="Calibri"/>
          <w:b/>
          <w:bCs/>
          <w:i/>
          <w:color w:val="410082"/>
          <w:sz w:val="26"/>
          <w:szCs w:val="26"/>
        </w:rPr>
        <w:t xml:space="preserve"> </w:t>
      </w:r>
    </w:p>
    <w:p w:rsidR="00A31296" w:rsidRPr="00C6790D" w:rsidRDefault="00A31296" w:rsidP="00A31296">
      <w:pPr>
        <w:tabs>
          <w:tab w:val="left" w:pos="540"/>
        </w:tabs>
        <w:spacing w:after="0"/>
        <w:rPr>
          <w:rFonts w:ascii="Calibri" w:eastAsia="Times New Roman" w:hAnsi="Calibri" w:cs="Arial"/>
        </w:rPr>
      </w:pPr>
      <w:r w:rsidRPr="00C6790D">
        <w:rPr>
          <w:rFonts w:ascii="Calibri" w:eastAsia="Times New Roman" w:hAnsi="Calibri" w:cs="Arial"/>
          <w:b/>
        </w:rPr>
        <w:t>Lower ICT tariffs</w:t>
      </w:r>
      <w:r w:rsidRPr="00C6790D">
        <w:rPr>
          <w:rFonts w:ascii="Calibri" w:eastAsia="Times New Roman" w:hAnsi="Calibri" w:cs="Arial"/>
        </w:rPr>
        <w:t xml:space="preserve">. To facilitate tariff reduction in ICT, it is essential to keep competitive pressure in the market. To this end, the government should focus on two issues: (i) enabling greater competition through reforming and unifying the licensing regime, and (ii) an “open access” policy. </w:t>
      </w:r>
    </w:p>
    <w:p w:rsidR="00A31296" w:rsidRPr="00C6790D" w:rsidRDefault="00A31296" w:rsidP="00A31296">
      <w:pPr>
        <w:tabs>
          <w:tab w:val="left" w:pos="540"/>
        </w:tabs>
        <w:spacing w:after="0"/>
        <w:rPr>
          <w:rFonts w:ascii="Calibri" w:eastAsia="Times New Roman" w:hAnsi="Calibri" w:cs="Arial"/>
        </w:rPr>
      </w:pPr>
    </w:p>
    <w:p w:rsidR="00A31296" w:rsidRPr="00C6790D" w:rsidRDefault="00A31296" w:rsidP="00A31296">
      <w:pPr>
        <w:numPr>
          <w:ilvl w:val="0"/>
          <w:numId w:val="13"/>
        </w:numPr>
        <w:spacing w:after="0" w:line="240" w:lineRule="auto"/>
        <w:contextualSpacing/>
        <w:rPr>
          <w:rFonts w:ascii="Calibri" w:eastAsia="Times New Roman" w:hAnsi="Calibri" w:cs="Calibri"/>
        </w:rPr>
      </w:pPr>
      <w:r w:rsidRPr="00C6790D">
        <w:rPr>
          <w:rFonts w:ascii="Calibri" w:eastAsia="Times New Roman" w:hAnsi="Calibri" w:cs="Calibri"/>
          <w:b/>
        </w:rPr>
        <w:t xml:space="preserve">Reform licensing to enable greater competition: </w:t>
      </w:r>
      <w:r w:rsidRPr="00C6790D">
        <w:rPr>
          <w:rFonts w:ascii="Calibri" w:eastAsia="Times New Roman" w:hAnsi="Calibri" w:cs="Calibri"/>
        </w:rPr>
        <w:t xml:space="preserve">Issuance of new licenses should address earlier differences between GSM license terms and authorize the introduction of broadband wireless services to promote competition. The government should consider unifying licenses to make them technology- and service-neutral. </w:t>
      </w:r>
    </w:p>
    <w:p w:rsidR="00A31296" w:rsidRPr="00C6790D" w:rsidRDefault="00A31296" w:rsidP="00A31296">
      <w:pPr>
        <w:tabs>
          <w:tab w:val="left" w:pos="540"/>
        </w:tabs>
        <w:spacing w:after="0" w:line="240" w:lineRule="auto"/>
        <w:ind w:left="720"/>
        <w:contextualSpacing/>
        <w:rPr>
          <w:rFonts w:ascii="Calibri" w:eastAsia="Times New Roman" w:hAnsi="Calibri" w:cs="Calibri"/>
        </w:rPr>
      </w:pPr>
    </w:p>
    <w:p w:rsidR="00A31296" w:rsidRPr="00C6790D" w:rsidRDefault="00A31296" w:rsidP="00A31296">
      <w:pPr>
        <w:numPr>
          <w:ilvl w:val="0"/>
          <w:numId w:val="13"/>
        </w:numPr>
        <w:tabs>
          <w:tab w:val="left" w:pos="540"/>
        </w:tabs>
        <w:spacing w:after="0" w:line="240" w:lineRule="auto"/>
        <w:contextualSpacing/>
        <w:rPr>
          <w:rFonts w:ascii="Calibri" w:eastAsia="Times New Roman" w:hAnsi="Calibri" w:cs="Calibri"/>
        </w:rPr>
      </w:pPr>
      <w:r w:rsidRPr="00C6790D">
        <w:rPr>
          <w:rFonts w:ascii="Calibri" w:eastAsia="Times New Roman" w:hAnsi="Calibri" w:cs="Calibri"/>
        </w:rPr>
        <w:t xml:space="preserve">   </w:t>
      </w:r>
      <w:r w:rsidRPr="00C6790D">
        <w:rPr>
          <w:rFonts w:ascii="Calibri" w:eastAsia="Times New Roman" w:hAnsi="Calibri" w:cs="Calibri"/>
          <w:b/>
        </w:rPr>
        <w:t>Consider implementing an “open access” policy to ensure access to the national backbone network, irrespective of ownership</w:t>
      </w:r>
      <w:r w:rsidRPr="00C6790D">
        <w:rPr>
          <w:rFonts w:ascii="Calibri" w:eastAsia="Times New Roman" w:hAnsi="Calibri" w:cs="Calibri"/>
        </w:rPr>
        <w:t>: Open access to the backbone network for transparent and fair prices is essential to the sector’s future development. This would make capacity available to competitive service providers on a non-discriminatory basis with transparent and cost-based tariffs and serve national development objectives. Developing the Internet market in Afghanistan will require continued affordability in the wholesale market to foster competition and growth in the retail market. The NBN, therefore, is being constructed with public funds to serve the public interest.</w:t>
      </w:r>
    </w:p>
    <w:p w:rsidR="00A31296" w:rsidRPr="00C6790D" w:rsidRDefault="00A31296" w:rsidP="00A31296">
      <w:pPr>
        <w:keepNext/>
        <w:keepLines/>
        <w:spacing w:before="360" w:after="120" w:line="240" w:lineRule="auto"/>
        <w:outlineLvl w:val="1"/>
        <w:rPr>
          <w:rFonts w:ascii="Calibri" w:eastAsia="Times New Roman" w:hAnsi="Calibri" w:cs="Calibri"/>
          <w:b/>
          <w:bCs/>
          <w:i/>
          <w:color w:val="300061"/>
          <w:sz w:val="26"/>
          <w:szCs w:val="26"/>
        </w:rPr>
      </w:pPr>
      <w:bookmarkStart w:id="166" w:name="_Toc327207237"/>
      <w:bookmarkStart w:id="167" w:name="_Toc327208048"/>
      <w:bookmarkStart w:id="168" w:name="_Toc327208430"/>
      <w:bookmarkStart w:id="169" w:name="_Toc327252439"/>
      <w:bookmarkStart w:id="170" w:name="_Toc327282390"/>
      <w:bookmarkStart w:id="171" w:name="_Toc328672360"/>
      <w:bookmarkStart w:id="172" w:name="_Toc348451420"/>
      <w:bookmarkStart w:id="173" w:name="_Toc348451582"/>
      <w:bookmarkStart w:id="174" w:name="_Toc348451670"/>
      <w:r w:rsidRPr="00C6790D">
        <w:rPr>
          <w:rFonts w:ascii="Calibri" w:eastAsia="Times New Roman" w:hAnsi="Calibri" w:cs="Calibri"/>
          <w:b/>
          <w:bCs/>
          <w:i/>
          <w:color w:val="300061"/>
          <w:sz w:val="26"/>
          <w:szCs w:val="26"/>
        </w:rPr>
        <w:t>Roads</w:t>
      </w:r>
      <w:bookmarkEnd w:id="155"/>
      <w:bookmarkEnd w:id="166"/>
      <w:bookmarkEnd w:id="167"/>
      <w:bookmarkEnd w:id="168"/>
      <w:bookmarkEnd w:id="169"/>
      <w:bookmarkEnd w:id="170"/>
      <w:bookmarkEnd w:id="171"/>
      <w:bookmarkEnd w:id="172"/>
      <w:bookmarkEnd w:id="173"/>
      <w:bookmarkEnd w:id="174"/>
      <w:r w:rsidRPr="00C6790D">
        <w:rPr>
          <w:rFonts w:ascii="Calibri" w:eastAsia="Times New Roman" w:hAnsi="Calibri" w:cs="Calibri"/>
          <w:b/>
          <w:bCs/>
          <w:i/>
          <w:color w:val="300061"/>
          <w:sz w:val="26"/>
          <w:szCs w:val="26"/>
        </w:rPr>
        <w:t xml:space="preserve"> </w:t>
      </w:r>
    </w:p>
    <w:p w:rsidR="00A31296" w:rsidRPr="00C6790D" w:rsidRDefault="00A31296" w:rsidP="00A31296">
      <w:pPr>
        <w:tabs>
          <w:tab w:val="left" w:pos="540"/>
        </w:tabs>
        <w:spacing w:line="240" w:lineRule="auto"/>
        <w:rPr>
          <w:rFonts w:ascii="Calibri" w:eastAsia="Times New Roman" w:hAnsi="Calibri" w:cs="Calibri"/>
          <w:i/>
        </w:rPr>
      </w:pPr>
      <w:r w:rsidRPr="00C6790D">
        <w:rPr>
          <w:rFonts w:ascii="Calibri" w:eastAsia="Times New Roman" w:hAnsi="Calibri" w:cs="Calibri"/>
          <w:i/>
        </w:rPr>
        <w:t xml:space="preserve">Investment in better Afghan roads will pay off in the form of lower inland transport costs and delivery time, but this must be done in a way that ensures O&amp;M liabilities are sustainable.  </w:t>
      </w:r>
    </w:p>
    <w:p w:rsidR="00A31296" w:rsidRPr="00C6790D" w:rsidRDefault="00A31296" w:rsidP="00A31296">
      <w:pPr>
        <w:tabs>
          <w:tab w:val="left" w:pos="540"/>
        </w:tabs>
        <w:spacing w:line="240" w:lineRule="auto"/>
        <w:rPr>
          <w:rFonts w:ascii="Calibri" w:eastAsia="Times New Roman" w:hAnsi="Calibri" w:cs="Calibri"/>
        </w:rPr>
      </w:pPr>
      <w:r w:rsidRPr="00C6790D">
        <w:rPr>
          <w:rFonts w:ascii="Calibri" w:eastAsia="Times New Roman" w:hAnsi="Calibri" w:cs="Calibri"/>
          <w:b/>
        </w:rPr>
        <w:t>As a landlocked country, Afghanistan’s trade depends on its roads infrastructure network</w:t>
      </w:r>
      <w:r w:rsidRPr="00C6790D">
        <w:rPr>
          <w:rFonts w:ascii="Calibri" w:eastAsia="Times New Roman" w:hAnsi="Calibri" w:cs="Calibri"/>
        </w:rPr>
        <w:t>. Access to quality roads stimulates economic growth in several ways. Good roads typically help firms to reduce transportation and transaction costs and minimize their inventory and distribution costs. A good road infrastructure, therefore, attracts foreign direct investment with likely increase in exports.</w:t>
      </w:r>
      <w:r w:rsidRPr="00C6790D">
        <w:rPr>
          <w:rFonts w:ascii="Calibri" w:eastAsia="Times New Roman" w:hAnsi="Calibri" w:cs="Calibri"/>
          <w:sz w:val="20"/>
          <w:vertAlign w:val="superscript"/>
        </w:rPr>
        <w:footnoteReference w:id="15"/>
      </w:r>
      <w:r w:rsidRPr="00C6790D">
        <w:rPr>
          <w:rFonts w:ascii="Calibri" w:eastAsia="Times New Roman" w:hAnsi="Calibri" w:cs="Calibri"/>
        </w:rPr>
        <w:t xml:space="preserve">   </w:t>
      </w:r>
    </w:p>
    <w:p w:rsidR="00A31296" w:rsidRPr="00C6790D" w:rsidRDefault="00A31296" w:rsidP="00A31296">
      <w:pPr>
        <w:spacing w:line="240" w:lineRule="auto"/>
        <w:rPr>
          <w:rFonts w:ascii="Calibri" w:eastAsia="Times New Roman" w:hAnsi="Calibri" w:cs="Calibri"/>
          <w:b/>
        </w:rPr>
      </w:pPr>
      <w:r w:rsidRPr="00C6790D">
        <w:rPr>
          <w:rFonts w:ascii="Calibri" w:eastAsia="Times New Roman" w:hAnsi="Calibri" w:cs="Calibri"/>
          <w:b/>
        </w:rPr>
        <w:t>Afghanistan’s 42,150 km road network is in serious need of rehabilitation</w:t>
      </w:r>
      <w:r w:rsidRPr="00C6790D">
        <w:rPr>
          <w:rFonts w:ascii="Calibri" w:eastAsia="Times New Roman" w:hAnsi="Calibri" w:cs="Calibri"/>
        </w:rPr>
        <w:t xml:space="preserve">. It is expected to have grown by an additional 7,000 km by 2014. Yet, the road density of 6 km per 100 square km of land area remains one of the lowest in the region.  Only 30 percent of all roads are tarred. However, investments of about US$4 billion in the last ten years has greatly improved the network, notably the national ring road, which connects Kabul, Kandahar, Herat, and Mazar-e Sharif.  Road travel times between Kabul and Kandahar have dropped from 19 to 5 hours and between Kabul and Herat from 44 to 12 hours. The fastest-growing contributor to Afghanistan’s GDP between 2003 and 2009 was services, led by transportation, communication and storage, followed by construction, government services and manufacturing. </w:t>
      </w:r>
    </w:p>
    <w:p w:rsidR="00A31296" w:rsidRPr="00C6790D" w:rsidRDefault="00A31296" w:rsidP="00A31296">
      <w:pPr>
        <w:spacing w:before="240" w:line="240" w:lineRule="auto"/>
        <w:rPr>
          <w:rFonts w:ascii="Calibri" w:eastAsia="Times New Roman" w:hAnsi="Calibri" w:cs="Calibri"/>
        </w:rPr>
      </w:pPr>
      <w:r w:rsidRPr="00C6790D">
        <w:rPr>
          <w:rFonts w:ascii="Calibri" w:eastAsia="Times New Roman" w:hAnsi="Calibri" w:cs="Calibri"/>
          <w:b/>
        </w:rPr>
        <w:t>Given the limited resources available and the weak implementation capacity at the local level, rural road development will likely remain challenging</w:t>
      </w:r>
      <w:r w:rsidRPr="00C6790D">
        <w:rPr>
          <w:rFonts w:ascii="Calibri" w:eastAsia="Times New Roman" w:hAnsi="Calibri" w:cs="Calibri"/>
        </w:rPr>
        <w:t xml:space="preserve">. Reconstruction or rehabilitation of just 10 percent of the existing road networks would cost more than US$394 million. The government needs to prioritize </w:t>
      </w:r>
      <w:r w:rsidRPr="00C6790D">
        <w:rPr>
          <w:rFonts w:ascii="Calibri" w:eastAsia="Times New Roman" w:hAnsi="Calibri" w:cs="Calibri"/>
        </w:rPr>
        <w:lastRenderedPageBreak/>
        <w:t xml:space="preserve">road projects, and develop a sustainable funding mechanism for periodic road operations and maintenance.  </w:t>
      </w:r>
    </w:p>
    <w:p w:rsidR="00A31296" w:rsidRPr="00C6790D" w:rsidRDefault="00A31296" w:rsidP="00A31296">
      <w:pPr>
        <w:keepNext/>
        <w:keepLines/>
        <w:spacing w:before="240" w:after="120" w:line="240" w:lineRule="auto"/>
        <w:outlineLvl w:val="1"/>
        <w:rPr>
          <w:rFonts w:ascii="Calibri" w:eastAsia="Times New Roman" w:hAnsi="Calibri" w:cs="Calibri"/>
          <w:b/>
          <w:bCs/>
          <w:i/>
          <w:color w:val="300061"/>
          <w:sz w:val="26"/>
          <w:szCs w:val="26"/>
        </w:rPr>
      </w:pPr>
      <w:bookmarkStart w:id="175" w:name="_Toc326933157"/>
      <w:bookmarkStart w:id="176" w:name="_Toc327207238"/>
      <w:bookmarkStart w:id="177" w:name="_Toc327208049"/>
      <w:bookmarkStart w:id="178" w:name="_Toc327208431"/>
      <w:bookmarkStart w:id="179" w:name="_Toc327252440"/>
      <w:bookmarkStart w:id="180" w:name="_Toc327282391"/>
      <w:bookmarkStart w:id="181" w:name="_Toc328672361"/>
      <w:bookmarkStart w:id="182" w:name="_Toc348451421"/>
      <w:bookmarkStart w:id="183" w:name="_Toc348451583"/>
      <w:bookmarkStart w:id="184" w:name="_Toc348451671"/>
      <w:r w:rsidRPr="00C6790D">
        <w:rPr>
          <w:rFonts w:ascii="Calibri" w:eastAsia="Times New Roman" w:hAnsi="Calibri" w:cs="Calibri"/>
          <w:b/>
          <w:bCs/>
          <w:i/>
          <w:color w:val="300061"/>
          <w:sz w:val="26"/>
          <w:szCs w:val="26"/>
        </w:rPr>
        <w:t>Opportunities and Recommendations</w:t>
      </w:r>
      <w:bookmarkEnd w:id="175"/>
      <w:bookmarkEnd w:id="176"/>
      <w:bookmarkEnd w:id="177"/>
      <w:bookmarkEnd w:id="178"/>
      <w:bookmarkEnd w:id="179"/>
      <w:bookmarkEnd w:id="180"/>
      <w:bookmarkEnd w:id="181"/>
      <w:bookmarkEnd w:id="182"/>
      <w:bookmarkEnd w:id="183"/>
      <w:bookmarkEnd w:id="184"/>
      <w:r w:rsidRPr="00C6790D">
        <w:rPr>
          <w:rFonts w:ascii="Calibri" w:eastAsia="Times New Roman" w:hAnsi="Calibri" w:cs="Calibri"/>
          <w:b/>
          <w:bCs/>
          <w:i/>
          <w:color w:val="300061"/>
          <w:sz w:val="26"/>
          <w:szCs w:val="26"/>
        </w:rPr>
        <w:t xml:space="preserve"> </w:t>
      </w:r>
    </w:p>
    <w:p w:rsidR="00A31296" w:rsidRPr="00C6790D" w:rsidRDefault="00A31296" w:rsidP="00A31296">
      <w:pPr>
        <w:numPr>
          <w:ilvl w:val="0"/>
          <w:numId w:val="14"/>
        </w:numPr>
        <w:spacing w:before="240" w:line="240" w:lineRule="auto"/>
        <w:contextualSpacing/>
        <w:rPr>
          <w:rFonts w:ascii="Calibri" w:eastAsia="Times New Roman" w:hAnsi="Calibri" w:cs="Calibri"/>
        </w:rPr>
      </w:pPr>
      <w:r w:rsidRPr="00C6790D">
        <w:rPr>
          <w:rFonts w:ascii="Calibri" w:eastAsia="Times New Roman" w:hAnsi="Calibri" w:cs="Calibri"/>
          <w:b/>
        </w:rPr>
        <w:t>Prioritize road projects:</w:t>
      </w:r>
      <w:r w:rsidRPr="00C6790D">
        <w:rPr>
          <w:rFonts w:ascii="Calibri" w:eastAsia="Times New Roman" w:hAnsi="Calibri" w:cs="Calibri"/>
          <w:b/>
          <w:i/>
        </w:rPr>
        <w:t xml:space="preserve"> </w:t>
      </w:r>
      <w:r w:rsidRPr="00C6790D">
        <w:rPr>
          <w:rFonts w:ascii="Calibri" w:eastAsia="Times New Roman" w:hAnsi="Calibri" w:cs="Calibri"/>
        </w:rPr>
        <w:t>Given the limited resources available for road development, it is important to prioritize road projects.</w:t>
      </w:r>
    </w:p>
    <w:p w:rsidR="00A31296" w:rsidRPr="00C6790D" w:rsidRDefault="00A31296" w:rsidP="00A31296">
      <w:pPr>
        <w:spacing w:before="240" w:line="240" w:lineRule="auto"/>
        <w:ind w:left="720"/>
        <w:contextualSpacing/>
        <w:rPr>
          <w:rFonts w:ascii="Calibri" w:eastAsia="Times New Roman" w:hAnsi="Calibri" w:cs="Calibri"/>
        </w:rPr>
      </w:pPr>
    </w:p>
    <w:p w:rsidR="00A31296" w:rsidRPr="00C6790D" w:rsidRDefault="00A31296" w:rsidP="00A31296">
      <w:pPr>
        <w:numPr>
          <w:ilvl w:val="0"/>
          <w:numId w:val="14"/>
        </w:numPr>
        <w:tabs>
          <w:tab w:val="left" w:pos="540"/>
        </w:tabs>
        <w:spacing w:before="240" w:line="240" w:lineRule="auto"/>
        <w:contextualSpacing/>
        <w:rPr>
          <w:rFonts w:ascii="Calibri" w:eastAsia="Times New Roman" w:hAnsi="Calibri" w:cs="Calibri"/>
        </w:rPr>
      </w:pPr>
      <w:r w:rsidRPr="00C6790D">
        <w:rPr>
          <w:rFonts w:ascii="Calibri" w:eastAsia="Times New Roman" w:hAnsi="Calibri" w:cs="Calibri"/>
          <w:b/>
        </w:rPr>
        <w:t xml:space="preserve">   Adequate funding and periodical road operation and maintenance: </w:t>
      </w:r>
      <w:r w:rsidRPr="00C6790D">
        <w:rPr>
          <w:rFonts w:ascii="Calibri" w:eastAsia="Times New Roman" w:hAnsi="Calibri" w:cs="Calibri"/>
        </w:rPr>
        <w:t xml:space="preserve">Maintaining the existing road network, with routine and periodic maintenance, is the best strategy to avoid costly investments in rehabilitation. In the long run, the government should develop a sustainable mechanism to finance road maintenance, and new road investments should factor in these costs so as not to put undue fiscal pressure on an already-high O&amp;M bill.  </w:t>
      </w:r>
    </w:p>
    <w:p w:rsidR="00A31296" w:rsidRPr="00C6790D" w:rsidRDefault="00A31296" w:rsidP="00A31296">
      <w:pPr>
        <w:keepNext/>
        <w:keepLines/>
        <w:spacing w:before="240" w:line="240" w:lineRule="auto"/>
        <w:outlineLvl w:val="1"/>
        <w:rPr>
          <w:rFonts w:ascii="Calibri" w:eastAsia="Times New Roman" w:hAnsi="Calibri" w:cs="Calibri"/>
          <w:b/>
          <w:bCs/>
          <w:i/>
          <w:color w:val="300061"/>
          <w:sz w:val="26"/>
          <w:szCs w:val="26"/>
        </w:rPr>
      </w:pPr>
      <w:bookmarkStart w:id="185" w:name="_Toc327207239"/>
      <w:bookmarkStart w:id="186" w:name="_Toc327208050"/>
      <w:bookmarkStart w:id="187" w:name="_Toc327208432"/>
      <w:bookmarkStart w:id="188" w:name="_Toc327252441"/>
      <w:bookmarkStart w:id="189" w:name="_Toc327282392"/>
      <w:bookmarkStart w:id="190" w:name="_Toc328672362"/>
      <w:bookmarkStart w:id="191" w:name="_Toc348451422"/>
      <w:bookmarkStart w:id="192" w:name="_Toc348451584"/>
      <w:bookmarkStart w:id="193" w:name="_Toc348451672"/>
      <w:r w:rsidRPr="00C6790D">
        <w:rPr>
          <w:rFonts w:ascii="Calibri" w:eastAsia="Times New Roman" w:hAnsi="Calibri" w:cs="Calibri"/>
          <w:b/>
          <w:bCs/>
          <w:i/>
          <w:color w:val="300061"/>
          <w:sz w:val="26"/>
          <w:szCs w:val="26"/>
        </w:rPr>
        <w:t>Why Regional Cooperation is Important for Afghanistan</w:t>
      </w:r>
      <w:bookmarkEnd w:id="185"/>
      <w:bookmarkEnd w:id="186"/>
      <w:bookmarkEnd w:id="187"/>
      <w:bookmarkEnd w:id="188"/>
      <w:bookmarkEnd w:id="189"/>
      <w:bookmarkEnd w:id="190"/>
      <w:bookmarkEnd w:id="191"/>
      <w:bookmarkEnd w:id="192"/>
      <w:bookmarkEnd w:id="193"/>
    </w:p>
    <w:p w:rsidR="00A31296" w:rsidRPr="00C6790D" w:rsidRDefault="00A31296" w:rsidP="00A31296">
      <w:pPr>
        <w:autoSpaceDE w:val="0"/>
        <w:autoSpaceDN w:val="0"/>
        <w:adjustRightInd w:val="0"/>
        <w:spacing w:before="240" w:line="240" w:lineRule="auto"/>
        <w:rPr>
          <w:rFonts w:ascii="Calibri" w:eastAsia="Times New Roman" w:hAnsi="Calibri" w:cs="Calibri"/>
          <w:i/>
        </w:rPr>
      </w:pPr>
      <w:r w:rsidRPr="00C6790D">
        <w:rPr>
          <w:rFonts w:ascii="Calibri" w:eastAsia="Times New Roman" w:hAnsi="Calibri" w:cs="Calibri"/>
          <w:i/>
        </w:rPr>
        <w:t xml:space="preserve">For a landlocked country, regional cooperation is essential. Afghanistan would benefit greatly from improved access to markets and reduced financial, political, and security risks of large-scale investments. Afghanistan has taken important steps towards greater regional integration by seeking both North-East and South-South preferential regimes. </w:t>
      </w:r>
    </w:p>
    <w:p w:rsidR="00A31296" w:rsidRPr="00C6790D" w:rsidRDefault="00A31296" w:rsidP="00A31296">
      <w:pPr>
        <w:autoSpaceDE w:val="0"/>
        <w:autoSpaceDN w:val="0"/>
        <w:adjustRightInd w:val="0"/>
        <w:spacing w:before="240" w:after="0" w:line="240" w:lineRule="auto"/>
        <w:rPr>
          <w:rFonts w:ascii="Calibri" w:eastAsia="Times New Roman" w:hAnsi="Calibri" w:cs="Calibri"/>
          <w:bCs/>
          <w:color w:val="000000"/>
        </w:rPr>
      </w:pPr>
      <w:r w:rsidRPr="00C6790D">
        <w:rPr>
          <w:rFonts w:ascii="Calibri" w:eastAsia="Times New Roman" w:hAnsi="Calibri" w:cs="Calibri"/>
          <w:b/>
        </w:rPr>
        <w:t>The Afghanistan-Pakistan Transit Trade Agreement (APTTA), that became operational in June 2011, will ensure greater access to ports</w:t>
      </w:r>
      <w:r w:rsidRPr="00C6790D">
        <w:rPr>
          <w:rFonts w:ascii="Calibri" w:eastAsia="Times New Roman" w:hAnsi="Calibri" w:cs="Calibri"/>
        </w:rPr>
        <w:t xml:space="preserve">. </w:t>
      </w:r>
      <w:r w:rsidRPr="00C6790D">
        <w:rPr>
          <w:rFonts w:ascii="Calibri" w:eastAsia="Times New Roman" w:hAnsi="Calibri" w:cs="Calibri"/>
          <w:bCs/>
          <w:color w:val="000000"/>
        </w:rPr>
        <w:t>Under the “</w:t>
      </w:r>
      <w:r w:rsidRPr="00C6790D">
        <w:rPr>
          <w:rFonts w:ascii="Calibri" w:eastAsia="Times New Roman" w:hAnsi="Calibri" w:cs="Calibri"/>
        </w:rPr>
        <w:t>Everything But Arms” (EBA) initiative,</w:t>
      </w:r>
      <w:r w:rsidRPr="00C6790D">
        <w:rPr>
          <w:rFonts w:ascii="Calibri" w:eastAsia="Times New Roman" w:hAnsi="Calibri" w:cs="Calibri"/>
          <w:bCs/>
          <w:color w:val="000000"/>
        </w:rPr>
        <w:t xml:space="preserve"> Afghanistan qualifies for duty-free </w:t>
      </w:r>
      <w:r w:rsidRPr="00C6790D">
        <w:rPr>
          <w:rFonts w:ascii="Calibri" w:eastAsia="Times New Roman" w:hAnsi="Calibri" w:cs="Calibri"/>
        </w:rPr>
        <w:t xml:space="preserve">and quota-free access for all of its goods </w:t>
      </w:r>
      <w:r w:rsidRPr="00C6790D">
        <w:rPr>
          <w:rFonts w:ascii="Calibri" w:eastAsia="Times New Roman" w:hAnsi="Calibri" w:cs="Calibri"/>
          <w:bCs/>
          <w:color w:val="000000"/>
        </w:rPr>
        <w:t>to the European market</w:t>
      </w:r>
      <w:r w:rsidRPr="00C6790D">
        <w:rPr>
          <w:rFonts w:ascii="Calibri" w:eastAsia="Times New Roman" w:hAnsi="Calibri" w:cs="Calibri"/>
        </w:rPr>
        <w:t>. The United States grants duty-free access to 5,000 Afghan products under its Generalized Scheme of Preferences (GSP).  T</w:t>
      </w:r>
      <w:r w:rsidRPr="00C6790D">
        <w:rPr>
          <w:rFonts w:ascii="Calibri" w:eastAsia="Times New Roman" w:hAnsi="Calibri" w:cs="Calibri"/>
          <w:bCs/>
          <w:color w:val="000000"/>
        </w:rPr>
        <w:t>hough Afghan goods face a higher tariff rate in the US than in the EU, the tariff is significantly lower than that applied to similar products from other LDCs.</w:t>
      </w:r>
    </w:p>
    <w:p w:rsidR="00A31296" w:rsidRPr="00C6790D" w:rsidRDefault="00A31296" w:rsidP="00A31296">
      <w:pPr>
        <w:autoSpaceDE w:val="0"/>
        <w:autoSpaceDN w:val="0"/>
        <w:adjustRightInd w:val="0"/>
        <w:spacing w:before="240" w:line="240" w:lineRule="auto"/>
        <w:rPr>
          <w:rFonts w:ascii="Calibri" w:eastAsia="Times New Roman" w:hAnsi="Calibri" w:cs="Calibri"/>
        </w:rPr>
      </w:pPr>
      <w:r w:rsidRPr="00C6790D">
        <w:rPr>
          <w:rFonts w:ascii="Calibri" w:eastAsia="Times New Roman" w:hAnsi="Calibri" w:cs="Calibri"/>
          <w:b/>
        </w:rPr>
        <w:t>Afghanistan will benefit from its ratification of the South Asia Free Trade Area (SAFTA) agreement.</w:t>
      </w:r>
      <w:r w:rsidRPr="00C6790D">
        <w:rPr>
          <w:rFonts w:ascii="Calibri" w:eastAsia="Times New Roman" w:hAnsi="Calibri" w:cs="Calibri"/>
        </w:rPr>
        <w:t xml:space="preserve"> A</w:t>
      </w:r>
      <w:r w:rsidRPr="00C6790D">
        <w:rPr>
          <w:rFonts w:ascii="Calibri" w:eastAsia="Times New Roman" w:hAnsi="Calibri" w:cs="Calibri"/>
          <w:color w:val="000000"/>
        </w:rPr>
        <w:t xml:space="preserve"> World Bank Tariff Reform Impact Simulation Tool (TRIST) exercise</w:t>
      </w:r>
      <w:r w:rsidRPr="00C6790D">
        <w:rPr>
          <w:rFonts w:ascii="Calibri" w:eastAsia="Times New Roman" w:hAnsi="Calibri" w:cs="Calibri"/>
          <w:color w:val="000000"/>
          <w:sz w:val="20"/>
          <w:vertAlign w:val="superscript"/>
        </w:rPr>
        <w:footnoteReference w:id="16"/>
      </w:r>
      <w:r w:rsidRPr="00C6790D">
        <w:rPr>
          <w:rFonts w:ascii="Calibri" w:eastAsia="Times New Roman" w:hAnsi="Calibri" w:cs="Calibri"/>
          <w:color w:val="000000"/>
        </w:rPr>
        <w:t xml:space="preserve"> suggests that t</w:t>
      </w:r>
      <w:r w:rsidRPr="00C6790D">
        <w:rPr>
          <w:rFonts w:ascii="Calibri" w:eastAsia="Times New Roman" w:hAnsi="Calibri" w:cs="Calibri"/>
        </w:rPr>
        <w:t>he ratification of the SAFTA agreement will bring benefits to Afghanistan’s export base in the medium term with relatively low cost in terms of lost revenues and rising imports––</w:t>
      </w:r>
      <w:r w:rsidRPr="00C6790D">
        <w:rPr>
          <w:rFonts w:ascii="Calibri" w:eastAsia="Times New Roman" w:hAnsi="Calibri" w:cs="Calibri"/>
          <w:color w:val="000000"/>
        </w:rPr>
        <w:t xml:space="preserve">due to the </w:t>
      </w:r>
      <w:r w:rsidRPr="00C6790D">
        <w:rPr>
          <w:rFonts w:ascii="Calibri" w:eastAsia="Times New Roman" w:hAnsi="Calibri" w:cs="Calibri"/>
        </w:rPr>
        <w:t>current distribution of Afghan imports, tariff structure, and terms of the agreement.</w:t>
      </w:r>
      <w:r w:rsidRPr="00C6790D">
        <w:rPr>
          <w:rFonts w:ascii="Calibri" w:eastAsia="Times New Roman" w:hAnsi="Calibri" w:cs="Calibri"/>
          <w:sz w:val="20"/>
          <w:vertAlign w:val="superscript"/>
        </w:rPr>
        <w:footnoteReference w:id="17"/>
      </w:r>
      <w:r w:rsidRPr="00C6790D">
        <w:rPr>
          <w:rFonts w:ascii="Calibri" w:eastAsia="Times New Roman" w:hAnsi="Calibri" w:cs="Calibri"/>
        </w:rPr>
        <w:t xml:space="preserve"> Fiscal revenues may even increase if some existing informal imports become subject to Afghan custom procedures. This is because the agreement’s lower duties and taxes would likely reduce costs relative to the risks of informal trade. However, the agreement would more substantially boost Afghan exports through privileged access to other SAFTA countries. This would be important particularly for future trade with Pakistan and India which are relatively protected markets (both with average tariffs over 12 percent).</w:t>
      </w:r>
    </w:p>
    <w:p w:rsidR="00A31296" w:rsidRPr="00C6790D" w:rsidRDefault="00A31296" w:rsidP="00A31296">
      <w:pPr>
        <w:overflowPunct w:val="0"/>
        <w:autoSpaceDE w:val="0"/>
        <w:autoSpaceDN w:val="0"/>
        <w:adjustRightInd w:val="0"/>
        <w:spacing w:before="240" w:after="0" w:line="240" w:lineRule="auto"/>
        <w:textAlignment w:val="baseline"/>
        <w:rPr>
          <w:rFonts w:ascii="Calibri" w:eastAsia="Times New Roman" w:hAnsi="Calibri" w:cs="Calibri"/>
        </w:rPr>
      </w:pPr>
      <w:r w:rsidRPr="00C6790D">
        <w:rPr>
          <w:rFonts w:ascii="Calibri" w:eastAsia="Times New Roman" w:hAnsi="Calibri" w:cs="Calibri"/>
          <w:b/>
          <w:bCs/>
        </w:rPr>
        <w:t>Development of the mining investments in the coming years will provide Afghanistan with a window of opportunity.</w:t>
      </w:r>
      <w:r w:rsidRPr="00C6790D">
        <w:rPr>
          <w:rFonts w:ascii="Calibri" w:eastAsia="Times New Roman" w:hAnsi="Calibri" w:cs="Calibri"/>
          <w:bCs/>
        </w:rPr>
        <w:t xml:space="preserve"> The success in resource ventures will depend largely on how efficiently the products can be brought to market; as</w:t>
      </w:r>
      <w:r w:rsidRPr="00C6790D">
        <w:rPr>
          <w:rFonts w:ascii="Calibri" w:eastAsia="Times New Roman" w:hAnsi="Calibri" w:cs="Calibri"/>
        </w:rPr>
        <w:t xml:space="preserve"> a landlocked country, Afghanistan’s resource corridor approach has an </w:t>
      </w:r>
      <w:r w:rsidRPr="00C6790D">
        <w:rPr>
          <w:rFonts w:ascii="Calibri" w:eastAsia="Times New Roman" w:hAnsi="Calibri" w:cs="Calibri"/>
        </w:rPr>
        <w:lastRenderedPageBreak/>
        <w:t xml:space="preserve">important regional cooperation dimension and its choice of logistical corridor will have an economic and political impact regionally. For its successful and sustainable exploitation, the resource corridor approach must combine multiple sectors and take proper account of infrastructure development, social and environmental impacts, and private-sector development and involvement. A resource growth corridor aims to exploit resource potential while avoiding resource dependency. It represents a combination of efforts to leverage a large extractive industry investment, and its requirements for infrastructure and goods and services, into viable economic development and diversification.  </w:t>
      </w:r>
    </w:p>
    <w:p w:rsidR="00A31296" w:rsidRPr="00C6790D" w:rsidRDefault="00A31296" w:rsidP="00A31296">
      <w:pPr>
        <w:overflowPunct w:val="0"/>
        <w:autoSpaceDE w:val="0"/>
        <w:autoSpaceDN w:val="0"/>
        <w:adjustRightInd w:val="0"/>
        <w:spacing w:before="240" w:after="0" w:line="240" w:lineRule="auto"/>
        <w:textAlignment w:val="baseline"/>
        <w:rPr>
          <w:rFonts w:ascii="Calibri" w:eastAsia="Times New Roman" w:hAnsi="Calibri" w:cs="Calibri"/>
        </w:rPr>
      </w:pPr>
      <w:r w:rsidRPr="00C6790D">
        <w:rPr>
          <w:rFonts w:ascii="Calibri" w:eastAsia="Times New Roman" w:hAnsi="Calibri" w:cs="Calibri"/>
          <w:b/>
        </w:rPr>
        <w:t xml:space="preserve">The government’s National and Regional Resource Corridor Program (NRRCP) focuses on developing the critical infrastructure needed to realize the mining sector’s full potential. </w:t>
      </w:r>
      <w:r w:rsidRPr="00C6790D">
        <w:rPr>
          <w:rFonts w:ascii="Calibri" w:eastAsia="Times New Roman" w:hAnsi="Calibri" w:cs="Calibri"/>
        </w:rPr>
        <w:t>However, at the moment, the NRRCP’s targets are primarily an ambitious list of “hard” infrastructure projects in road, rail, and air.  These targets should to be supplemented by “soft” infrastructure––in particular, community development, land management and acquisition, the mitigation of environmental impact, enterprise development, and institutional capacity. If this soft infrastructure is not addressed simultaneously with (or before) physical infrastructure, the full potential of the investments may not be realized.</w:t>
      </w:r>
    </w:p>
    <w:p w:rsidR="00A31296" w:rsidRPr="00C6790D" w:rsidRDefault="00A31296" w:rsidP="00A31296">
      <w:pPr>
        <w:autoSpaceDE w:val="0"/>
        <w:autoSpaceDN w:val="0"/>
        <w:adjustRightInd w:val="0"/>
        <w:spacing w:after="0" w:line="240" w:lineRule="auto"/>
        <w:rPr>
          <w:rFonts w:ascii="Calibri" w:eastAsia="Times New Roman" w:hAnsi="Calibri" w:cs="Calibri"/>
          <w:color w:val="000000"/>
        </w:rPr>
      </w:pPr>
    </w:p>
    <w:p w:rsidR="00A31296" w:rsidRPr="00C6790D" w:rsidRDefault="00A31296" w:rsidP="00A31296">
      <w:pPr>
        <w:spacing w:line="240" w:lineRule="auto"/>
        <w:rPr>
          <w:rFonts w:ascii="Calibri" w:eastAsia="Times New Roman" w:hAnsi="Calibri" w:cs="Arial"/>
        </w:rPr>
      </w:pPr>
      <w:r w:rsidRPr="00C6790D">
        <w:rPr>
          <w:rFonts w:ascii="Calibri" w:eastAsia="Times New Roman" w:hAnsi="Calibri" w:cs="Calibri"/>
          <w:b/>
        </w:rPr>
        <w:t>Afghanistan is benefitting, through its WTO accession process, from a review of existing laws and regulations to ensure consistency with international standards and WTO requirements</w:t>
      </w:r>
      <w:r w:rsidRPr="00C6790D">
        <w:rPr>
          <w:rFonts w:ascii="Calibri" w:eastAsia="Times New Roman" w:hAnsi="Calibri" w:cs="Calibri"/>
        </w:rPr>
        <w:t>. The country attained observer status to the WTO in December 2004 and is in the process of accession to full member status. T</w:t>
      </w:r>
      <w:r w:rsidRPr="00C6790D">
        <w:rPr>
          <w:rFonts w:ascii="Calibri" w:eastAsia="Times New Roman" w:hAnsi="Calibri" w:cs="Calibri"/>
          <w:bCs/>
          <w:color w:val="000000"/>
        </w:rPr>
        <w:t>he working group for WTO accession has focused mainly on issues such as the fixed 2 percent tax rate on imports, the process of import licensing, rules of origin, and customs and food-safety laws.</w:t>
      </w:r>
    </w:p>
    <w:p w:rsidR="00A31296" w:rsidRDefault="00A31296" w:rsidP="00A31296"/>
    <w:p w:rsidR="00196D2D" w:rsidRDefault="00196D2D" w:rsidP="00196D2D">
      <w:pPr>
        <w:rPr>
          <w:b/>
          <w:noProof/>
          <w:sz w:val="28"/>
          <w:szCs w:val="28"/>
        </w:rPr>
      </w:pPr>
    </w:p>
    <w:p w:rsidR="00196D2D" w:rsidRDefault="00196D2D" w:rsidP="00196D2D">
      <w:pPr>
        <w:rPr>
          <w:b/>
          <w:noProof/>
          <w:sz w:val="28"/>
          <w:szCs w:val="28"/>
        </w:rPr>
      </w:pPr>
    </w:p>
    <w:p w:rsidR="00196D2D" w:rsidRDefault="00196D2D" w:rsidP="00196D2D">
      <w:pPr>
        <w:rPr>
          <w:b/>
          <w:noProof/>
          <w:sz w:val="28"/>
          <w:szCs w:val="28"/>
        </w:rPr>
      </w:pPr>
    </w:p>
    <w:p w:rsidR="00196D2D" w:rsidRDefault="00196D2D" w:rsidP="00196D2D">
      <w:pPr>
        <w:rPr>
          <w:b/>
          <w:noProof/>
          <w:sz w:val="28"/>
          <w:szCs w:val="28"/>
        </w:rPr>
      </w:pPr>
    </w:p>
    <w:p w:rsidR="00196D2D" w:rsidRDefault="00196D2D" w:rsidP="00196D2D">
      <w:pPr>
        <w:rPr>
          <w:b/>
          <w:noProof/>
          <w:sz w:val="28"/>
          <w:szCs w:val="28"/>
        </w:rPr>
      </w:pPr>
    </w:p>
    <w:p w:rsidR="00196D2D" w:rsidRDefault="00196D2D" w:rsidP="00196D2D">
      <w:pPr>
        <w:rPr>
          <w:b/>
          <w:noProof/>
          <w:sz w:val="28"/>
          <w:szCs w:val="28"/>
        </w:rPr>
      </w:pPr>
    </w:p>
    <w:p w:rsidR="00196D2D" w:rsidRDefault="00196D2D" w:rsidP="00196D2D">
      <w:pPr>
        <w:rPr>
          <w:b/>
          <w:noProof/>
          <w:sz w:val="28"/>
          <w:szCs w:val="28"/>
        </w:rPr>
      </w:pPr>
    </w:p>
    <w:p w:rsidR="00196D2D" w:rsidRDefault="00196D2D" w:rsidP="00196D2D">
      <w:pPr>
        <w:rPr>
          <w:b/>
          <w:noProof/>
          <w:sz w:val="28"/>
          <w:szCs w:val="28"/>
        </w:rPr>
      </w:pPr>
    </w:p>
    <w:p w:rsidR="00196D2D" w:rsidRDefault="00196D2D" w:rsidP="00196D2D">
      <w:pPr>
        <w:rPr>
          <w:b/>
          <w:noProof/>
          <w:sz w:val="28"/>
          <w:szCs w:val="28"/>
        </w:rPr>
      </w:pPr>
    </w:p>
    <w:p w:rsidR="00866285" w:rsidRPr="0014667F" w:rsidRDefault="00866285" w:rsidP="00866285">
      <w:pPr>
        <w:spacing w:line="240" w:lineRule="auto"/>
      </w:pPr>
    </w:p>
    <w:p w:rsidR="00D04545" w:rsidRDefault="00D04545" w:rsidP="00DD7DCB">
      <w:pPr>
        <w:spacing w:line="240" w:lineRule="auto"/>
        <w:rPr>
          <w:rFonts w:eastAsiaTheme="majorEastAsia" w:cstheme="minorHAnsi"/>
          <w:b/>
          <w:bCs/>
          <w:sz w:val="32"/>
          <w:szCs w:val="32"/>
        </w:rPr>
      </w:pPr>
      <w:r w:rsidRPr="00FC5FF6">
        <w:rPr>
          <w:rFonts w:cstheme="minorHAnsi"/>
          <w:szCs w:val="22"/>
        </w:rPr>
        <w:br w:type="page"/>
      </w:r>
    </w:p>
    <w:p w:rsidR="00E1356C" w:rsidRDefault="00821C31" w:rsidP="00FA1FE1">
      <w:pPr>
        <w:pStyle w:val="Heading1"/>
        <w:jc w:val="center"/>
      </w:pPr>
      <w:bookmarkStart w:id="194" w:name="_Toc327208433"/>
      <w:bookmarkStart w:id="195" w:name="_Toc348451673"/>
      <w:r w:rsidRPr="00821C31">
        <w:lastRenderedPageBreak/>
        <w:t xml:space="preserve">Lowering the Transaction Costs </w:t>
      </w:r>
      <w:r w:rsidR="00E24A5F">
        <w:t>of</w:t>
      </w:r>
      <w:r w:rsidR="00E24A5F" w:rsidRPr="00821C31">
        <w:t xml:space="preserve"> </w:t>
      </w:r>
      <w:r w:rsidRPr="00821C31">
        <w:t>Trade in Afghanistan</w:t>
      </w:r>
      <w:bookmarkEnd w:id="194"/>
      <w:bookmarkEnd w:id="195"/>
    </w:p>
    <w:p w:rsidR="00764B74" w:rsidRDefault="00764B74" w:rsidP="00E24A5F">
      <w:pPr>
        <w:pStyle w:val="Heading2"/>
      </w:pPr>
      <w:bookmarkStart w:id="196" w:name="_Toc327208434"/>
      <w:bookmarkStart w:id="197" w:name="_Toc348451674"/>
      <w:r>
        <w:t>Introduction</w:t>
      </w:r>
      <w:bookmarkEnd w:id="196"/>
      <w:bookmarkEnd w:id="197"/>
    </w:p>
    <w:p w:rsidR="00C71045" w:rsidRDefault="00C71045" w:rsidP="00032905">
      <w:pPr>
        <w:pStyle w:val="ListParagraph"/>
        <w:spacing w:after="240"/>
        <w:ind w:left="0"/>
        <w:rPr>
          <w:szCs w:val="22"/>
        </w:rPr>
      </w:pPr>
      <w:r w:rsidRPr="005F3331">
        <w:rPr>
          <w:b/>
          <w:szCs w:val="22"/>
        </w:rPr>
        <w:t xml:space="preserve">Trade is </w:t>
      </w:r>
      <w:r w:rsidR="000D241D">
        <w:rPr>
          <w:b/>
          <w:szCs w:val="22"/>
        </w:rPr>
        <w:t>e</w:t>
      </w:r>
      <w:r w:rsidR="008B67C1">
        <w:rPr>
          <w:b/>
          <w:szCs w:val="22"/>
        </w:rPr>
        <w:t>ssential to national prosperity</w:t>
      </w:r>
      <w:r w:rsidRPr="005F3331">
        <w:rPr>
          <w:b/>
          <w:szCs w:val="22"/>
        </w:rPr>
        <w:t xml:space="preserve"> </w:t>
      </w:r>
      <w:r w:rsidR="008B67C1">
        <w:rPr>
          <w:b/>
          <w:szCs w:val="22"/>
        </w:rPr>
        <w:t xml:space="preserve">and </w:t>
      </w:r>
      <w:r w:rsidR="000D241D">
        <w:rPr>
          <w:b/>
          <w:szCs w:val="22"/>
        </w:rPr>
        <w:t xml:space="preserve">key to </w:t>
      </w:r>
      <w:r w:rsidRPr="005F3331">
        <w:rPr>
          <w:b/>
          <w:szCs w:val="22"/>
        </w:rPr>
        <w:t>fight</w:t>
      </w:r>
      <w:r w:rsidR="004140A1">
        <w:rPr>
          <w:b/>
          <w:szCs w:val="22"/>
        </w:rPr>
        <w:t>ing</w:t>
      </w:r>
      <w:r w:rsidRPr="005F3331">
        <w:rPr>
          <w:b/>
          <w:szCs w:val="22"/>
        </w:rPr>
        <w:t xml:space="preserve"> poverty and achiev</w:t>
      </w:r>
      <w:r w:rsidR="004140A1">
        <w:rPr>
          <w:b/>
          <w:szCs w:val="22"/>
        </w:rPr>
        <w:t>ing</w:t>
      </w:r>
      <w:r w:rsidRPr="005F3331">
        <w:rPr>
          <w:b/>
          <w:szCs w:val="22"/>
        </w:rPr>
        <w:t xml:space="preserve"> the Millennium Development Goals</w:t>
      </w:r>
      <w:r w:rsidRPr="00C71045">
        <w:rPr>
          <w:szCs w:val="22"/>
        </w:rPr>
        <w:t xml:space="preserve">. </w:t>
      </w:r>
      <w:r w:rsidR="004140A1">
        <w:rPr>
          <w:szCs w:val="22"/>
        </w:rPr>
        <w:t>Trade</w:t>
      </w:r>
      <w:r w:rsidRPr="00C71045">
        <w:rPr>
          <w:szCs w:val="22"/>
        </w:rPr>
        <w:t xml:space="preserve"> </w:t>
      </w:r>
      <w:r w:rsidR="000D241D">
        <w:rPr>
          <w:szCs w:val="22"/>
        </w:rPr>
        <w:t>enable</w:t>
      </w:r>
      <w:r w:rsidR="000D241D" w:rsidRPr="00C71045">
        <w:rPr>
          <w:szCs w:val="22"/>
        </w:rPr>
        <w:t xml:space="preserve">s </w:t>
      </w:r>
      <w:r w:rsidRPr="00C71045">
        <w:rPr>
          <w:szCs w:val="22"/>
        </w:rPr>
        <w:t>countries to import ideas and technologies, realize comparative advantage</w:t>
      </w:r>
      <w:r w:rsidR="004140A1">
        <w:rPr>
          <w:szCs w:val="22"/>
        </w:rPr>
        <w:t>s</w:t>
      </w:r>
      <w:r w:rsidRPr="00C71045">
        <w:rPr>
          <w:szCs w:val="22"/>
        </w:rPr>
        <w:t xml:space="preserve"> and </w:t>
      </w:r>
      <w:r w:rsidR="004140A1" w:rsidRPr="00C71045">
        <w:rPr>
          <w:szCs w:val="22"/>
        </w:rPr>
        <w:t>econom</w:t>
      </w:r>
      <w:r w:rsidR="004140A1">
        <w:rPr>
          <w:szCs w:val="22"/>
        </w:rPr>
        <w:t>ies</w:t>
      </w:r>
      <w:r w:rsidR="004140A1" w:rsidRPr="00C71045">
        <w:rPr>
          <w:szCs w:val="22"/>
        </w:rPr>
        <w:t xml:space="preserve"> </w:t>
      </w:r>
      <w:r w:rsidRPr="00C71045">
        <w:rPr>
          <w:szCs w:val="22"/>
        </w:rPr>
        <w:t>of scale, and foster competition and innovation</w:t>
      </w:r>
      <w:r w:rsidR="004140A1">
        <w:rPr>
          <w:szCs w:val="22"/>
        </w:rPr>
        <w:t>,</w:t>
      </w:r>
      <w:r w:rsidRPr="00C71045">
        <w:rPr>
          <w:szCs w:val="22"/>
        </w:rPr>
        <w:t xml:space="preserve"> </w:t>
      </w:r>
      <w:r w:rsidR="004140A1">
        <w:rPr>
          <w:szCs w:val="22"/>
        </w:rPr>
        <w:t>which in turn</w:t>
      </w:r>
      <w:r w:rsidR="004140A1" w:rsidRPr="00C71045">
        <w:rPr>
          <w:szCs w:val="22"/>
        </w:rPr>
        <w:t xml:space="preserve"> </w:t>
      </w:r>
      <w:r w:rsidRPr="00C71045">
        <w:rPr>
          <w:szCs w:val="22"/>
        </w:rPr>
        <w:t xml:space="preserve">increase productivity and achieve higher sustainable employment and economic growth. Countries open to international trade </w:t>
      </w:r>
      <w:r w:rsidR="00764B74">
        <w:rPr>
          <w:szCs w:val="22"/>
        </w:rPr>
        <w:t>tend</w:t>
      </w:r>
      <w:r w:rsidRPr="00C71045">
        <w:rPr>
          <w:szCs w:val="22"/>
        </w:rPr>
        <w:t xml:space="preserve"> to provide more opportunities to their p</w:t>
      </w:r>
      <w:r w:rsidR="004140A1">
        <w:rPr>
          <w:szCs w:val="22"/>
        </w:rPr>
        <w:t>eople,</w:t>
      </w:r>
      <w:r w:rsidRPr="00C71045">
        <w:rPr>
          <w:szCs w:val="22"/>
        </w:rPr>
        <w:t xml:space="preserve"> and grow faster. </w:t>
      </w:r>
      <w:r w:rsidR="004140A1">
        <w:rPr>
          <w:szCs w:val="22"/>
        </w:rPr>
        <w:t>T</w:t>
      </w:r>
      <w:hyperlink r:id="rId24" w:history="1">
        <w:r w:rsidRPr="00C71045">
          <w:rPr>
            <w:szCs w:val="22"/>
          </w:rPr>
          <w:t>he Commission on Growth and Development</w:t>
        </w:r>
      </w:hyperlink>
      <w:r w:rsidR="004140A1">
        <w:t xml:space="preserve"> has noted that</w:t>
      </w:r>
      <w:r w:rsidRPr="00C71045">
        <w:rPr>
          <w:szCs w:val="22"/>
        </w:rPr>
        <w:t xml:space="preserve"> all developing countries that have experienced sustained periods of high economic growth </w:t>
      </w:r>
      <w:r w:rsidR="004140A1">
        <w:rPr>
          <w:szCs w:val="22"/>
        </w:rPr>
        <w:t>have done so</w:t>
      </w:r>
      <w:r w:rsidRPr="00C71045">
        <w:rPr>
          <w:szCs w:val="22"/>
        </w:rPr>
        <w:t xml:space="preserve"> by being open to global markets. </w:t>
      </w:r>
    </w:p>
    <w:p w:rsidR="00764B74" w:rsidRDefault="00764B74" w:rsidP="00FE15A6">
      <w:pPr>
        <w:pStyle w:val="ListParagraph"/>
        <w:ind w:left="0"/>
        <w:rPr>
          <w:szCs w:val="22"/>
        </w:rPr>
      </w:pPr>
    </w:p>
    <w:p w:rsidR="00764B74" w:rsidRDefault="004140A1" w:rsidP="00032905">
      <w:pPr>
        <w:pStyle w:val="ListParagraph"/>
        <w:spacing w:before="240"/>
        <w:ind w:left="0"/>
        <w:rPr>
          <w:szCs w:val="22"/>
        </w:rPr>
      </w:pPr>
      <w:r>
        <w:rPr>
          <w:b/>
          <w:szCs w:val="22"/>
        </w:rPr>
        <w:t>T</w:t>
      </w:r>
      <w:r w:rsidR="00764B74" w:rsidRPr="00764B74">
        <w:rPr>
          <w:b/>
          <w:szCs w:val="22"/>
        </w:rPr>
        <w:t>his Diagnostics Trade Integration Study</w:t>
      </w:r>
      <w:r w:rsidR="00764B74">
        <w:rPr>
          <w:b/>
          <w:szCs w:val="22"/>
        </w:rPr>
        <w:t xml:space="preserve"> </w:t>
      </w:r>
      <w:r w:rsidR="00743026">
        <w:rPr>
          <w:b/>
          <w:szCs w:val="22"/>
        </w:rPr>
        <w:t>(DTIS)</w:t>
      </w:r>
      <w:r w:rsidR="008B67C1">
        <w:rPr>
          <w:b/>
          <w:szCs w:val="22"/>
        </w:rPr>
        <w:t xml:space="preserve"> aims </w:t>
      </w:r>
      <w:r w:rsidR="00764B74" w:rsidRPr="00764B74">
        <w:rPr>
          <w:b/>
          <w:szCs w:val="22"/>
        </w:rPr>
        <w:t>to better understand the drivers of import and export costs, issues that hamper Afghanistan</w:t>
      </w:r>
      <w:r>
        <w:rPr>
          <w:b/>
          <w:szCs w:val="22"/>
        </w:rPr>
        <w:t>’s integration</w:t>
      </w:r>
      <w:r w:rsidR="00764B74" w:rsidRPr="00764B74">
        <w:rPr>
          <w:b/>
          <w:szCs w:val="22"/>
        </w:rPr>
        <w:t xml:space="preserve"> into regional and global markets</w:t>
      </w:r>
      <w:r w:rsidR="00032905">
        <w:rPr>
          <w:b/>
          <w:szCs w:val="22"/>
        </w:rPr>
        <w:t>,</w:t>
      </w:r>
      <w:r w:rsidR="00764B74" w:rsidRPr="00764B74">
        <w:rPr>
          <w:b/>
          <w:szCs w:val="22"/>
        </w:rPr>
        <w:t xml:space="preserve"> and identify growth opportunities for the existing and potential export sectors</w:t>
      </w:r>
      <w:r w:rsidR="00764B74" w:rsidRPr="00764B74">
        <w:rPr>
          <w:szCs w:val="22"/>
        </w:rPr>
        <w:t xml:space="preserve">. </w:t>
      </w:r>
      <w:r w:rsidR="00037282">
        <w:rPr>
          <w:szCs w:val="22"/>
        </w:rPr>
        <w:t xml:space="preserve"> Because these areas will have the greatest impact on trade development in Afghanistan, exploring the constraints on competitiveness in the supply side and understanding the opportunities from the demand side will give direction to the country’s National Trade Strategy.  Thi</w:t>
      </w:r>
      <w:r w:rsidR="00764B74">
        <w:rPr>
          <w:szCs w:val="22"/>
        </w:rPr>
        <w:t xml:space="preserve">s report </w:t>
      </w:r>
      <w:r w:rsidR="003234EC">
        <w:rPr>
          <w:szCs w:val="22"/>
        </w:rPr>
        <w:t xml:space="preserve">is intended to </w:t>
      </w:r>
      <w:r w:rsidR="00764B74">
        <w:rPr>
          <w:szCs w:val="22"/>
        </w:rPr>
        <w:t xml:space="preserve">identify concrete policy actions </w:t>
      </w:r>
      <w:r w:rsidR="001A6830">
        <w:rPr>
          <w:szCs w:val="22"/>
        </w:rPr>
        <w:t>in</w:t>
      </w:r>
      <w:r w:rsidR="00032905">
        <w:rPr>
          <w:szCs w:val="22"/>
        </w:rPr>
        <w:t xml:space="preserve"> three principle </w:t>
      </w:r>
      <w:r w:rsidR="001A6830">
        <w:rPr>
          <w:szCs w:val="22"/>
        </w:rPr>
        <w:t>areas of endeavor</w:t>
      </w:r>
      <w:r w:rsidR="00032905">
        <w:rPr>
          <w:szCs w:val="22"/>
        </w:rPr>
        <w:t xml:space="preserve">, </w:t>
      </w:r>
      <w:r w:rsidR="00764B74">
        <w:rPr>
          <w:szCs w:val="22"/>
        </w:rPr>
        <w:t>t</w:t>
      </w:r>
      <w:r>
        <w:rPr>
          <w:szCs w:val="22"/>
        </w:rPr>
        <w:t>o</w:t>
      </w:r>
      <w:r w:rsidR="00764B74">
        <w:rPr>
          <w:szCs w:val="22"/>
        </w:rPr>
        <w:t xml:space="preserve"> </w:t>
      </w:r>
      <w:r w:rsidR="00AA6210">
        <w:rPr>
          <w:szCs w:val="22"/>
        </w:rPr>
        <w:t>(</w:t>
      </w:r>
      <w:r w:rsidR="00764B74" w:rsidRPr="00764B74">
        <w:rPr>
          <w:szCs w:val="22"/>
        </w:rPr>
        <w:t xml:space="preserve">i) lower the transaction </w:t>
      </w:r>
      <w:r w:rsidR="00764B74">
        <w:rPr>
          <w:szCs w:val="22"/>
        </w:rPr>
        <w:t>costs of trade</w:t>
      </w:r>
      <w:r w:rsidR="009C3E33">
        <w:rPr>
          <w:szCs w:val="22"/>
        </w:rPr>
        <w:t>,</w:t>
      </w:r>
      <w:r w:rsidR="00764B74">
        <w:rPr>
          <w:szCs w:val="22"/>
        </w:rPr>
        <w:t xml:space="preserve"> (ii) increase</w:t>
      </w:r>
      <w:r w:rsidR="00764B74" w:rsidRPr="00764B74">
        <w:rPr>
          <w:szCs w:val="22"/>
        </w:rPr>
        <w:t xml:space="preserve"> Afghanistan’s competitiveness in world markets as a tool for economic gro</w:t>
      </w:r>
      <w:r w:rsidR="00764B74">
        <w:rPr>
          <w:szCs w:val="22"/>
        </w:rPr>
        <w:t>wth and poverty reduction</w:t>
      </w:r>
      <w:r w:rsidR="009C3E33">
        <w:rPr>
          <w:szCs w:val="22"/>
        </w:rPr>
        <w:t>,</w:t>
      </w:r>
      <w:r w:rsidR="00764B74">
        <w:rPr>
          <w:szCs w:val="22"/>
        </w:rPr>
        <w:t xml:space="preserve"> and</w:t>
      </w:r>
      <w:r w:rsidR="00AA6210">
        <w:rPr>
          <w:szCs w:val="22"/>
        </w:rPr>
        <w:t xml:space="preserve"> (iii)</w:t>
      </w:r>
      <w:r w:rsidR="00764B74">
        <w:rPr>
          <w:szCs w:val="22"/>
        </w:rPr>
        <w:t xml:space="preserve"> provide an analytical basis </w:t>
      </w:r>
      <w:r w:rsidR="00AA6210">
        <w:rPr>
          <w:szCs w:val="22"/>
        </w:rPr>
        <w:t>for</w:t>
      </w:r>
      <w:r w:rsidR="00764B74">
        <w:rPr>
          <w:szCs w:val="22"/>
        </w:rPr>
        <w:t xml:space="preserve"> Afghanistan’s Nati</w:t>
      </w:r>
      <w:r w:rsidR="00764B74" w:rsidRPr="00764B74">
        <w:rPr>
          <w:szCs w:val="22"/>
        </w:rPr>
        <w:t xml:space="preserve">onal Trade Strategy. Trade cooperation and integration </w:t>
      </w:r>
      <w:r w:rsidR="00AA6210">
        <w:rPr>
          <w:szCs w:val="22"/>
        </w:rPr>
        <w:t xml:space="preserve">would </w:t>
      </w:r>
      <w:r w:rsidR="00764B74" w:rsidRPr="00764B74">
        <w:rPr>
          <w:szCs w:val="22"/>
        </w:rPr>
        <w:t xml:space="preserve">play a strong role </w:t>
      </w:r>
      <w:r w:rsidR="00AA6210">
        <w:rPr>
          <w:szCs w:val="22"/>
        </w:rPr>
        <w:t xml:space="preserve">in promoting welfare in </w:t>
      </w:r>
      <w:r w:rsidR="00764B74" w:rsidRPr="00764B74">
        <w:rPr>
          <w:szCs w:val="22"/>
        </w:rPr>
        <w:t xml:space="preserve">Afghanistan </w:t>
      </w:r>
      <w:r w:rsidR="00AA6210">
        <w:rPr>
          <w:szCs w:val="22"/>
        </w:rPr>
        <w:t>and greatly enhance prospects for</w:t>
      </w:r>
      <w:r w:rsidR="00764B74" w:rsidRPr="00764B74">
        <w:rPr>
          <w:szCs w:val="22"/>
        </w:rPr>
        <w:t xml:space="preserve"> peace and security</w:t>
      </w:r>
      <w:r w:rsidR="00AA6210">
        <w:rPr>
          <w:szCs w:val="22"/>
        </w:rPr>
        <w:t xml:space="preserve"> in the country</w:t>
      </w:r>
      <w:r w:rsidR="00764B74" w:rsidRPr="00764B74">
        <w:rPr>
          <w:szCs w:val="22"/>
        </w:rPr>
        <w:t xml:space="preserve">.  </w:t>
      </w:r>
    </w:p>
    <w:p w:rsidR="00794621" w:rsidRDefault="00794621" w:rsidP="00E24A5F">
      <w:pPr>
        <w:spacing w:before="240"/>
        <w:rPr>
          <w:szCs w:val="22"/>
        </w:rPr>
      </w:pPr>
      <w:r>
        <w:rPr>
          <w:b/>
          <w:szCs w:val="22"/>
        </w:rPr>
        <w:t>Th</w:t>
      </w:r>
      <w:r w:rsidR="004E25C9">
        <w:rPr>
          <w:b/>
          <w:szCs w:val="22"/>
        </w:rPr>
        <w:t>e Afghanistan</w:t>
      </w:r>
      <w:r>
        <w:rPr>
          <w:b/>
          <w:szCs w:val="22"/>
        </w:rPr>
        <w:t xml:space="preserve"> Diagnostics Trade Integration Study is divided into </w:t>
      </w:r>
      <w:r w:rsidR="00206268">
        <w:rPr>
          <w:b/>
          <w:szCs w:val="22"/>
        </w:rPr>
        <w:t>five chapters</w:t>
      </w:r>
      <w:r>
        <w:rPr>
          <w:b/>
          <w:szCs w:val="22"/>
        </w:rPr>
        <w:t xml:space="preserve">. </w:t>
      </w:r>
      <w:r w:rsidR="00206268" w:rsidRPr="00206268">
        <w:rPr>
          <w:szCs w:val="22"/>
        </w:rPr>
        <w:t>Overall, all five chapters provide a detailed and comprehensive a</w:t>
      </w:r>
      <w:r w:rsidRPr="00206268">
        <w:rPr>
          <w:szCs w:val="22"/>
        </w:rPr>
        <w:t>nalysis of issues directly related to t</w:t>
      </w:r>
      <w:r>
        <w:rPr>
          <w:szCs w:val="22"/>
        </w:rPr>
        <w:t xml:space="preserve">he objective of reducing the transaction costs of trade. </w:t>
      </w:r>
      <w:r w:rsidR="00206268">
        <w:rPr>
          <w:szCs w:val="22"/>
        </w:rPr>
        <w:t xml:space="preserve">Chapter 2 in particular, looks at the </w:t>
      </w:r>
      <w:r>
        <w:rPr>
          <w:szCs w:val="22"/>
        </w:rPr>
        <w:t xml:space="preserve">issue of competitiveness of Afghanistan’s export sectors and </w:t>
      </w:r>
      <w:r w:rsidR="008B67C1">
        <w:rPr>
          <w:szCs w:val="22"/>
        </w:rPr>
        <w:t>suggests</w:t>
      </w:r>
      <w:r>
        <w:rPr>
          <w:szCs w:val="22"/>
        </w:rPr>
        <w:t xml:space="preserve"> a strategy for trade development and export promotion. </w:t>
      </w:r>
    </w:p>
    <w:p w:rsidR="00794621" w:rsidRDefault="00794621" w:rsidP="00E24A5F">
      <w:pPr>
        <w:pStyle w:val="Heading2"/>
        <w:spacing w:before="240" w:after="200"/>
      </w:pPr>
      <w:bookmarkStart w:id="198" w:name="_Toc327208435"/>
      <w:bookmarkStart w:id="199" w:name="_Toc348451675"/>
      <w:r>
        <w:t>Afghanistan’s Macroeconomic Environment</w:t>
      </w:r>
      <w:bookmarkEnd w:id="198"/>
      <w:bookmarkEnd w:id="199"/>
    </w:p>
    <w:p w:rsidR="00794621" w:rsidRDefault="00794621" w:rsidP="00E24A5F">
      <w:pPr>
        <w:pStyle w:val="ListParagraph"/>
        <w:spacing w:before="240"/>
        <w:ind w:left="0"/>
        <w:rPr>
          <w:szCs w:val="22"/>
        </w:rPr>
      </w:pPr>
      <w:r>
        <w:rPr>
          <w:b/>
          <w:szCs w:val="22"/>
        </w:rPr>
        <w:t>Afghanistan is one of the poorest countries in the world</w:t>
      </w:r>
      <w:r>
        <w:rPr>
          <w:szCs w:val="22"/>
        </w:rPr>
        <w:t>. After nearly a decade of strong growth, GDP in 2010 was US$15.9 billion (excluding opium production). With an estimated population of 30.6 million, the country’s per</w:t>
      </w:r>
      <w:r w:rsidR="00A562F3">
        <w:rPr>
          <w:szCs w:val="22"/>
        </w:rPr>
        <w:t>-</w:t>
      </w:r>
      <w:r>
        <w:rPr>
          <w:szCs w:val="22"/>
        </w:rPr>
        <w:t>capita GDP of US$528 places it among the world’s ten poorest countries. In spite of encouraging progress, social indicators remain dismal (and show wide gender gaps): 36 percent of people are poor and about three-quarters are illiterate.</w:t>
      </w:r>
    </w:p>
    <w:p w:rsidR="00794621" w:rsidRDefault="00794621" w:rsidP="00794621">
      <w:pPr>
        <w:pStyle w:val="Bodytext"/>
        <w:spacing w:line="276" w:lineRule="auto"/>
        <w:rPr>
          <w:szCs w:val="22"/>
        </w:rPr>
      </w:pPr>
      <w:r>
        <w:rPr>
          <w:b/>
          <w:szCs w:val="22"/>
        </w:rPr>
        <w:t>The country has seen exceptionally high economic growth</w:t>
      </w:r>
      <w:r>
        <w:rPr>
          <w:color w:val="000000"/>
          <w:szCs w:val="22"/>
        </w:rPr>
        <w:t xml:space="preserve"> since the fall of the Taliban in 2001</w:t>
      </w:r>
      <w:r>
        <w:rPr>
          <w:szCs w:val="22"/>
        </w:rPr>
        <w:t xml:space="preserve">. Real GDP grew at 9.1 percent annually through fiscal 2004–2011 (Figure 0.1, graph A). High growth rates are not unusual for post-conflict countries. Conflicts often result in massive physical and human capital destruction, and during the recovery phase, investments – often financed by foreign aid – generate high returns to capital accumulation relative to the country’s normal situation. This leads often to higher-than-average growth immediately post-conflict. Although the economic performance of post-conflict </w:t>
      </w:r>
      <w:r>
        <w:rPr>
          <w:szCs w:val="22"/>
        </w:rPr>
        <w:lastRenderedPageBreak/>
        <w:t>countries displays considerable heterogeneity, Afghanistan’s has been much stronger than many (see Chapter</w:t>
      </w:r>
      <w:r w:rsidR="00EF68EE">
        <w:rPr>
          <w:szCs w:val="22"/>
        </w:rPr>
        <w:t xml:space="preserve"> I</w:t>
      </w:r>
      <w:r>
        <w:rPr>
          <w:szCs w:val="22"/>
        </w:rPr>
        <w:t xml:space="preserve">). </w:t>
      </w:r>
    </w:p>
    <w:p w:rsidR="005D1E74" w:rsidRDefault="005D1E74" w:rsidP="005D1E74">
      <w:pPr>
        <w:overflowPunct w:val="0"/>
        <w:autoSpaceDE w:val="0"/>
        <w:autoSpaceDN w:val="0"/>
        <w:adjustRightInd w:val="0"/>
        <w:spacing w:after="0" w:line="240" w:lineRule="auto"/>
        <w:textAlignment w:val="baseline"/>
        <w:rPr>
          <w:rFonts w:ascii="Calibri" w:hAnsi="Calibri"/>
          <w:szCs w:val="22"/>
        </w:rPr>
      </w:pPr>
      <w:r>
        <w:rPr>
          <w:rFonts w:ascii="Calibri" w:hAnsi="Calibri"/>
          <w:b/>
          <w:szCs w:val="22"/>
        </w:rPr>
        <w:t xml:space="preserve">Afghanistan </w:t>
      </w:r>
      <w:r w:rsidRPr="00994A61">
        <w:rPr>
          <w:rFonts w:ascii="Calibri" w:hAnsi="Calibri"/>
          <w:b/>
          <w:szCs w:val="22"/>
        </w:rPr>
        <w:t>needs to ensure its long-term economic growth prospects</w:t>
      </w:r>
      <w:r w:rsidRPr="00994A61">
        <w:rPr>
          <w:rFonts w:ascii="Calibri" w:hAnsi="Calibri"/>
          <w:szCs w:val="22"/>
        </w:rPr>
        <w:t xml:space="preserve">. In view of Afghanistan’s rapid population growth </w:t>
      </w:r>
      <w:r>
        <w:rPr>
          <w:rFonts w:ascii="Calibri" w:hAnsi="Calibri"/>
          <w:szCs w:val="22"/>
        </w:rPr>
        <w:t xml:space="preserve">at around </w:t>
      </w:r>
      <w:r w:rsidRPr="00994A61">
        <w:rPr>
          <w:rFonts w:ascii="Calibri" w:hAnsi="Calibri"/>
          <w:szCs w:val="22"/>
        </w:rPr>
        <w:t xml:space="preserve">2.8% </w:t>
      </w:r>
      <w:r>
        <w:rPr>
          <w:rFonts w:ascii="Calibri" w:hAnsi="Calibri"/>
          <w:szCs w:val="22"/>
        </w:rPr>
        <w:t xml:space="preserve">annually, with </w:t>
      </w:r>
      <w:r w:rsidRPr="00994A61">
        <w:rPr>
          <w:rFonts w:ascii="Calibri" w:hAnsi="Calibri"/>
          <w:szCs w:val="22"/>
        </w:rPr>
        <w:t xml:space="preserve">GDP growth of around 6% progress in raising average per-capita incomes and reducing poverty would be very limited and slow: it </w:t>
      </w:r>
      <w:r w:rsidR="004C0C20" w:rsidRPr="00994A61">
        <w:rPr>
          <w:rFonts w:ascii="Calibri" w:hAnsi="Calibri"/>
          <w:szCs w:val="22"/>
        </w:rPr>
        <w:t>would take</w:t>
      </w:r>
      <w:r w:rsidRPr="00994A61">
        <w:rPr>
          <w:rFonts w:ascii="Calibri" w:hAnsi="Calibri"/>
          <w:szCs w:val="22"/>
        </w:rPr>
        <w:t xml:space="preserve"> approximately 22 years</w:t>
      </w:r>
      <w:r>
        <w:rPr>
          <w:rFonts w:ascii="Calibri" w:hAnsi="Calibri"/>
          <w:szCs w:val="22"/>
        </w:rPr>
        <w:t xml:space="preserve">, a generation, </w:t>
      </w:r>
      <w:r w:rsidRPr="00994A61">
        <w:rPr>
          <w:rFonts w:ascii="Calibri" w:hAnsi="Calibri"/>
          <w:szCs w:val="22"/>
        </w:rPr>
        <w:t xml:space="preserve">to double current per-capita income. Relying on current drivers of growth, i.e. agriculture and mining will therefore be insufficient to provide income for the increasing number of (young) people joining the labor force </w:t>
      </w:r>
      <w:r>
        <w:rPr>
          <w:rFonts w:ascii="Calibri" w:hAnsi="Calibri"/>
          <w:szCs w:val="22"/>
        </w:rPr>
        <w:t xml:space="preserve">(400-500,000 per year) </w:t>
      </w:r>
      <w:r w:rsidRPr="00994A61">
        <w:rPr>
          <w:rFonts w:ascii="Calibri" w:hAnsi="Calibri"/>
          <w:szCs w:val="22"/>
        </w:rPr>
        <w:t xml:space="preserve">as well as lifting the large numbers of poor people out of poverty. </w:t>
      </w:r>
    </w:p>
    <w:p w:rsidR="008D5313" w:rsidRDefault="008D5313" w:rsidP="005D1E74">
      <w:pPr>
        <w:overflowPunct w:val="0"/>
        <w:autoSpaceDE w:val="0"/>
        <w:autoSpaceDN w:val="0"/>
        <w:adjustRightInd w:val="0"/>
        <w:spacing w:after="0" w:line="240" w:lineRule="auto"/>
        <w:textAlignment w:val="baseline"/>
        <w:rPr>
          <w:rFonts w:ascii="Calibri" w:hAnsi="Calibri"/>
          <w:szCs w:val="22"/>
        </w:rPr>
      </w:pPr>
    </w:p>
    <w:tbl>
      <w:tblPr>
        <w:tblW w:w="10173" w:type="dxa"/>
        <w:tblLook w:val="04A0" w:firstRow="1" w:lastRow="0" w:firstColumn="1" w:lastColumn="0" w:noHBand="0" w:noVBand="1"/>
      </w:tblPr>
      <w:tblGrid>
        <w:gridCol w:w="4944"/>
        <w:gridCol w:w="5229"/>
      </w:tblGrid>
      <w:tr w:rsidR="008D5313" w:rsidRPr="00994A61" w:rsidTr="008D5313">
        <w:trPr>
          <w:trHeight w:val="691"/>
        </w:trPr>
        <w:tc>
          <w:tcPr>
            <w:tcW w:w="4944" w:type="dxa"/>
          </w:tcPr>
          <w:p w:rsidR="008D5313" w:rsidRPr="00994A61" w:rsidRDefault="008D5313" w:rsidP="00281B01">
            <w:pPr>
              <w:tabs>
                <w:tab w:val="center" w:pos="4320"/>
                <w:tab w:val="right" w:pos="8640"/>
              </w:tabs>
              <w:rPr>
                <w:rFonts w:ascii="Calibri" w:hAnsi="Calibri"/>
                <w:szCs w:val="22"/>
              </w:rPr>
            </w:pPr>
            <w:r w:rsidRPr="005972E8">
              <w:rPr>
                <w:rFonts w:ascii="Calibri" w:hAnsi="Calibri"/>
                <w:b/>
                <w:color w:val="7D4D99" w:themeColor="accent1"/>
                <w:szCs w:val="22"/>
              </w:rPr>
              <w:t xml:space="preserve">Figure </w:t>
            </w:r>
            <w:r>
              <w:rPr>
                <w:rFonts w:ascii="Calibri" w:hAnsi="Calibri"/>
                <w:b/>
                <w:color w:val="7D4D99" w:themeColor="accent1"/>
                <w:szCs w:val="22"/>
              </w:rPr>
              <w:t>0.1</w:t>
            </w:r>
            <w:r w:rsidRPr="005972E8">
              <w:rPr>
                <w:rFonts w:ascii="Calibri" w:hAnsi="Calibri"/>
                <w:b/>
                <w:color w:val="7D4D99" w:themeColor="accent1"/>
                <w:szCs w:val="22"/>
              </w:rPr>
              <w:t>: Growth of valued added by Sector (2003/04-2010/11).</w:t>
            </w:r>
          </w:p>
        </w:tc>
        <w:tc>
          <w:tcPr>
            <w:tcW w:w="5229" w:type="dxa"/>
          </w:tcPr>
          <w:p w:rsidR="008D5313" w:rsidRPr="00994A61" w:rsidRDefault="008D5313" w:rsidP="00281B01">
            <w:pPr>
              <w:tabs>
                <w:tab w:val="center" w:pos="4320"/>
                <w:tab w:val="right" w:pos="8640"/>
              </w:tabs>
              <w:rPr>
                <w:rFonts w:ascii="Calibri" w:hAnsi="Calibri"/>
                <w:szCs w:val="22"/>
              </w:rPr>
            </w:pPr>
            <w:r w:rsidRPr="005972E8">
              <w:rPr>
                <w:rFonts w:ascii="Calibri" w:hAnsi="Calibri"/>
                <w:b/>
                <w:color w:val="7D4D99" w:themeColor="accent1"/>
                <w:szCs w:val="22"/>
              </w:rPr>
              <w:t>Fig</w:t>
            </w:r>
            <w:r>
              <w:rPr>
                <w:rFonts w:ascii="Calibri" w:hAnsi="Calibri"/>
                <w:b/>
                <w:color w:val="7D4D99" w:themeColor="accent1"/>
                <w:szCs w:val="22"/>
              </w:rPr>
              <w:t xml:space="preserve"> 0.2</w:t>
            </w:r>
            <w:r w:rsidRPr="005972E8">
              <w:rPr>
                <w:rFonts w:ascii="Calibri" w:hAnsi="Calibri"/>
                <w:b/>
                <w:color w:val="7D4D99" w:themeColor="accent1"/>
                <w:szCs w:val="22"/>
              </w:rPr>
              <w:t>: Sector contribution to GDP growth (in %)</w:t>
            </w:r>
          </w:p>
        </w:tc>
      </w:tr>
      <w:tr w:rsidR="008D5313" w:rsidRPr="00742D62" w:rsidTr="008D5313">
        <w:trPr>
          <w:trHeight w:val="3580"/>
        </w:trPr>
        <w:tc>
          <w:tcPr>
            <w:tcW w:w="10173" w:type="dxa"/>
            <w:gridSpan w:val="2"/>
          </w:tcPr>
          <w:p w:rsidR="008D5313" w:rsidRPr="00742D62" w:rsidRDefault="008D5313" w:rsidP="00281B01">
            <w:pPr>
              <w:tabs>
                <w:tab w:val="center" w:pos="4320"/>
                <w:tab w:val="right" w:pos="8640"/>
              </w:tabs>
              <w:rPr>
                <w:rFonts w:ascii="Calibri" w:hAnsi="Calibri"/>
                <w:sz w:val="20"/>
              </w:rPr>
            </w:pPr>
            <w:r>
              <w:rPr>
                <w:rFonts w:ascii="Calibri" w:hAnsi="Calibri"/>
                <w:noProof/>
                <w:szCs w:val="22"/>
                <w:lang w:bidi="ar-SA"/>
              </w:rPr>
              <w:drawing>
                <wp:inline distT="0" distB="0" distL="0" distR="0" wp14:anchorId="07DB1BA5" wp14:editId="7BC0451B">
                  <wp:extent cx="3096883" cy="225149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7273" cy="2251779"/>
                          </a:xfrm>
                          <a:prstGeom prst="rect">
                            <a:avLst/>
                          </a:prstGeom>
                          <a:noFill/>
                          <a:ln>
                            <a:noFill/>
                          </a:ln>
                        </pic:spPr>
                      </pic:pic>
                    </a:graphicData>
                  </a:graphic>
                </wp:inline>
              </w:drawing>
            </w:r>
            <w:r>
              <w:rPr>
                <w:rFonts w:ascii="Calibri" w:hAnsi="Calibri"/>
                <w:noProof/>
                <w:szCs w:val="22"/>
                <w:lang w:bidi="ar-SA"/>
              </w:rPr>
              <w:t xml:space="preserve"> </w:t>
            </w:r>
            <w:r>
              <w:rPr>
                <w:rFonts w:ascii="Calibri" w:hAnsi="Calibri"/>
                <w:noProof/>
                <w:szCs w:val="22"/>
                <w:lang w:bidi="ar-SA"/>
              </w:rPr>
              <w:drawing>
                <wp:inline distT="0" distB="0" distL="0" distR="0" wp14:anchorId="1A28178B" wp14:editId="0F1BF735">
                  <wp:extent cx="3105510" cy="2247077"/>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5615" cy="2247153"/>
                          </a:xfrm>
                          <a:prstGeom prst="rect">
                            <a:avLst/>
                          </a:prstGeom>
                          <a:noFill/>
                          <a:ln>
                            <a:noFill/>
                          </a:ln>
                        </pic:spPr>
                      </pic:pic>
                    </a:graphicData>
                  </a:graphic>
                </wp:inline>
              </w:drawing>
            </w:r>
          </w:p>
        </w:tc>
      </w:tr>
    </w:tbl>
    <w:p w:rsidR="008D5313" w:rsidRDefault="008D5313" w:rsidP="008D5313">
      <w:pPr>
        <w:pStyle w:val="Source"/>
        <w:spacing w:after="0"/>
        <w:rPr>
          <w:sz w:val="20"/>
          <w:szCs w:val="20"/>
        </w:rPr>
      </w:pPr>
      <w:r>
        <w:rPr>
          <w:i/>
          <w:sz w:val="20"/>
          <w:szCs w:val="20"/>
        </w:rPr>
        <w:t>Source:</w:t>
      </w:r>
      <w:r>
        <w:rPr>
          <w:sz w:val="20"/>
          <w:szCs w:val="20"/>
        </w:rPr>
        <w:t xml:space="preserve"> IMF, CSO, and World Bank staff calculations.</w:t>
      </w:r>
    </w:p>
    <w:p w:rsidR="008D5313" w:rsidRDefault="008D5313" w:rsidP="008D5313">
      <w:pPr>
        <w:pStyle w:val="Source"/>
        <w:rPr>
          <w:sz w:val="20"/>
          <w:szCs w:val="20"/>
        </w:rPr>
      </w:pPr>
      <w:r>
        <w:rPr>
          <w:i/>
          <w:sz w:val="20"/>
          <w:szCs w:val="20"/>
        </w:rPr>
        <w:t>Note:</w:t>
      </w:r>
      <w:r>
        <w:rPr>
          <w:sz w:val="20"/>
          <w:szCs w:val="20"/>
        </w:rPr>
        <w:t xml:space="preserve"> Excludes opium production. </w:t>
      </w:r>
    </w:p>
    <w:p w:rsidR="009C3E96" w:rsidRDefault="00794621" w:rsidP="009C3E96">
      <w:pPr>
        <w:pStyle w:val="Bodytext"/>
        <w:spacing w:before="240" w:line="276" w:lineRule="auto"/>
        <w:rPr>
          <w:szCs w:val="22"/>
        </w:rPr>
      </w:pPr>
      <w:r>
        <w:rPr>
          <w:b/>
          <w:szCs w:val="22"/>
        </w:rPr>
        <w:t>Growth in Afghanistan is extremely volatile, mainly because of its heavy reliance on agriculture</w:t>
      </w:r>
      <w:r>
        <w:rPr>
          <w:szCs w:val="22"/>
        </w:rPr>
        <w:t xml:space="preserve">.  Agricultural production is highly susceptible to weather and in fiscal 2011 contributed 23.3 percent of total value added.  The services sector, too, has been a strong driver of the economy. </w:t>
      </w:r>
      <w:r w:rsidR="009C3E96" w:rsidRPr="007634CB">
        <w:rPr>
          <w:rFonts w:ascii="Calibri" w:hAnsi="Calibri"/>
          <w:szCs w:val="22"/>
        </w:rPr>
        <w:t>In 2010/11 services constit</w:t>
      </w:r>
      <w:r w:rsidR="009C3E96">
        <w:rPr>
          <w:rFonts w:ascii="Calibri" w:hAnsi="Calibri"/>
          <w:szCs w:val="22"/>
        </w:rPr>
        <w:t>uted 51 percent of GDP</w:t>
      </w:r>
      <w:r w:rsidR="009C3E96" w:rsidRPr="007634CB">
        <w:rPr>
          <w:rFonts w:ascii="Calibri" w:hAnsi="Calibri"/>
          <w:szCs w:val="22"/>
        </w:rPr>
        <w:t xml:space="preserve">, and contributed 9 percentage points of the 8.4 percent real growth (Figure 4). Agriculture, the second largest sector, shrunk in 2010/11 due to </w:t>
      </w:r>
      <w:r w:rsidR="009C3E96">
        <w:rPr>
          <w:rFonts w:ascii="Calibri" w:hAnsi="Calibri"/>
          <w:szCs w:val="22"/>
        </w:rPr>
        <w:t>adverse weather conditions</w:t>
      </w:r>
      <w:r w:rsidR="009C3E96" w:rsidRPr="007634CB">
        <w:rPr>
          <w:rFonts w:ascii="Calibri" w:hAnsi="Calibri"/>
          <w:szCs w:val="22"/>
        </w:rPr>
        <w:t xml:space="preserve"> and reduced overall growth by 1.5 percent. Overall, agriculture value added has been fairly constant in absolute terms but declining as a share of GDP. Manufacturing (mainly food and chemicals) accounted for only 12 of GDP. The construction sector has been growing strong (6.3 percent of GDP in 2010/11) and feeding growth in manufacturing through demand for building material. </w:t>
      </w:r>
      <w:r w:rsidR="009C3E96">
        <w:rPr>
          <w:szCs w:val="22"/>
        </w:rPr>
        <w:t>Contributions from mining are almost negligible, but are expected to surge over the next decade. Wholesale and retail trade also play an important role, but mainly through weight in total services rather than strong growth.</w:t>
      </w:r>
      <w:r w:rsidR="009C3E96">
        <w:rPr>
          <w:rStyle w:val="FootnoteReference"/>
          <w:szCs w:val="22"/>
        </w:rPr>
        <w:footnoteReference w:id="18"/>
      </w:r>
      <w:r w:rsidR="009C3E96">
        <w:rPr>
          <w:szCs w:val="22"/>
        </w:rPr>
        <w:t xml:space="preserve"> </w:t>
      </w:r>
      <w:r w:rsidR="008D5313">
        <w:rPr>
          <w:szCs w:val="22"/>
        </w:rPr>
        <w:t>(Figures 0.1 and 0.2)</w:t>
      </w:r>
    </w:p>
    <w:p w:rsidR="00F84E73" w:rsidRPr="00A61235" w:rsidRDefault="00F84E73" w:rsidP="00A61235">
      <w:pPr>
        <w:tabs>
          <w:tab w:val="left" w:pos="3780"/>
        </w:tabs>
        <w:rPr>
          <w:rFonts w:ascii="Calibri" w:hAnsi="Calibri"/>
          <w:b/>
          <w:bCs/>
          <w:color w:val="410082" w:themeColor="text1"/>
          <w:szCs w:val="22"/>
        </w:rPr>
      </w:pPr>
      <w:r w:rsidRPr="00A61235">
        <w:rPr>
          <w:rFonts w:ascii="Calibri" w:hAnsi="Calibri"/>
          <w:b/>
          <w:bCs/>
          <w:color w:val="410082" w:themeColor="text1"/>
          <w:szCs w:val="22"/>
        </w:rPr>
        <w:lastRenderedPageBreak/>
        <w:t>Outlook</w:t>
      </w:r>
    </w:p>
    <w:p w:rsidR="00E24A5F" w:rsidRDefault="00794621" w:rsidP="00794621">
      <w:pPr>
        <w:rPr>
          <w:szCs w:val="22"/>
        </w:rPr>
      </w:pPr>
      <w:r>
        <w:rPr>
          <w:b/>
          <w:szCs w:val="22"/>
        </w:rPr>
        <w:t>The World Bank conducted a study assessing the medium- to long-term impacts of declining aid and military spending (which can be expected to accompany the transition) on economic growth, poverty, fiscal management, service delivery, and government capacity in Afghanistan.</w:t>
      </w:r>
      <w:r>
        <w:rPr>
          <w:rStyle w:val="FootnoteReference"/>
          <w:b/>
          <w:szCs w:val="22"/>
        </w:rPr>
        <w:footnoteReference w:id="19"/>
      </w:r>
      <w:r>
        <w:rPr>
          <w:szCs w:val="22"/>
        </w:rPr>
        <w:t xml:space="preserve"> The government of Afghanistan, the World Bank and the larger donor community agreed that this analysis should strongly influence development policy, in conjunction with the Enhanced Integrated Framework (EIF), to enable Afghanistan to successfully navigate the challenges ahead. Here follows a summary of the findings of the study and examination of Afghanistan’s trade prospects for trade in light of the upcoming growth and fiscal management challenges. </w:t>
      </w:r>
    </w:p>
    <w:p w:rsidR="00794621" w:rsidRPr="00E24A5F" w:rsidRDefault="00E24A5F" w:rsidP="00794621">
      <w:pPr>
        <w:spacing w:before="240"/>
        <w:rPr>
          <w:b/>
          <w:szCs w:val="22"/>
        </w:rPr>
      </w:pPr>
      <w:r>
        <w:rPr>
          <w:b/>
          <w:szCs w:val="22"/>
        </w:rPr>
        <w:t>The extremely high level of current annual aid (estimated at US$15.7 billi</w:t>
      </w:r>
      <w:r w:rsidR="00794621">
        <w:rPr>
          <w:b/>
          <w:szCs w:val="22"/>
        </w:rPr>
        <w:t xml:space="preserve">on in 2010) is roughly the same as Afghanistan’s GDP and cannot be sustained. </w:t>
      </w:r>
      <w:r w:rsidR="00794621">
        <w:rPr>
          <w:szCs w:val="22"/>
        </w:rPr>
        <w:t xml:space="preserve">Aid in Afghanistan has funded the delivery of essential services, including education and health, infrastructure investments, and government administration. But these inflows, mostly outside the Afghan budget, have been so high that aid dependency and use of parallel systems to circumvent limited government absorptive capacity, have impeded the building of a more effective Afghan state. The level of public spending – both on and off budget – that has been financed by such high aid flows will be fiscally unsustainable for Afghanistan once donor funds decline. Lesser amounts, matched by more effective aid delivery could lead to some more positive outcomes. But the key issue is how to manage this change and mitigate the adverse impacts and put aid and spending on a more sustainable path for the longer term.  </w:t>
      </w:r>
    </w:p>
    <w:p w:rsidR="00794621" w:rsidRDefault="00794621" w:rsidP="00794621">
      <w:pPr>
        <w:spacing w:before="240"/>
        <w:ind w:left="45"/>
        <w:rPr>
          <w:szCs w:val="22"/>
        </w:rPr>
      </w:pPr>
      <w:r>
        <w:rPr>
          <w:b/>
          <w:szCs w:val="22"/>
        </w:rPr>
        <w:t>The impact of declining aid on economic growth will be less than superficial readings may suggest.</w:t>
      </w:r>
      <w:r>
        <w:rPr>
          <w:i/>
          <w:szCs w:val="22"/>
        </w:rPr>
        <w:t xml:space="preserve"> </w:t>
      </w:r>
      <w:r>
        <w:rPr>
          <w:szCs w:val="22"/>
        </w:rPr>
        <w:t>This is because most international spending “on” Afghanistan is not spent “in” Afghanistan, and much of what is spent in Afghanistan leaves the economy through imports, expatriated profits and outward remittances. Nevertheless, projections suggest that even with favorable assumptions real GDP growth may fall from the average of 9 percent per year experienced over the past decade to 4-6 percent during 2011–18. Given Afghanistan’s annual population growth of 2.8 percent, this would mean only limited improvement in average per-capita income, continuing high rates of underemployment and little progress in reducing poverty. Only growth at the upper level of the range of plausible scenarios would enable Afghanistan to meaningfully reduce poverty and achieve higher per-capita incomes. For example, with real GDP growth of 6 percent per year, average per-capita income – currently one of the world’s lowest, at US$528 dollars – would take 22 years, or about a generation, to double.</w:t>
      </w:r>
    </w:p>
    <w:p w:rsidR="00794621" w:rsidRDefault="00794621" w:rsidP="00794621">
      <w:pPr>
        <w:spacing w:before="240"/>
        <w:ind w:left="45"/>
        <w:rPr>
          <w:szCs w:val="22"/>
        </w:rPr>
      </w:pPr>
      <w:r>
        <w:rPr>
          <w:b/>
          <w:szCs w:val="22"/>
        </w:rPr>
        <w:t xml:space="preserve">Economic growth would be even lower under less favorable scenarios. </w:t>
      </w:r>
      <w:r>
        <w:rPr>
          <w:szCs w:val="22"/>
        </w:rPr>
        <w:t xml:space="preserve">The World Bank’s growth projections up to 2014, and beyond, to 2022, are based on a set of assumptions (scenarios) related mainly to security, sources of growth, aid levels, and changes in investment climate. If the assumptions in the less favorable scenarios materialize – if, for example, agricultural performance is poor, major mining investments (Aynak for copper and Hajigak for iron ore) do not materialize, and if aid declines precipitously in the period – then growth could drop to 3-4 percent. Deteriorating security and </w:t>
      </w:r>
      <w:r>
        <w:rPr>
          <w:szCs w:val="22"/>
        </w:rPr>
        <w:lastRenderedPageBreak/>
        <w:t xml:space="preserve">governance would lead to further economic decline. The underdeveloped financial sector and low rates of financial intermediation leave little scope for helping Afghan businesses adjust to slowing growth.  Conversely, the decline could be partly mitigated by reducing aid in a gradual, planned manner, and by increasing the amount of aid that is actually spent within Afghanistan, and channeling as much as possible through the Afghan budget. </w:t>
      </w:r>
    </w:p>
    <w:p w:rsidR="00794621" w:rsidRDefault="00794621" w:rsidP="00794621">
      <w:pPr>
        <w:ind w:left="45"/>
        <w:rPr>
          <w:szCs w:val="22"/>
        </w:rPr>
      </w:pPr>
      <w:r>
        <w:rPr>
          <w:b/>
          <w:szCs w:val="22"/>
        </w:rPr>
        <w:t>Underemployment will increase because the activities affected by declining financial inflows (services and construction, mainly) are labor intensive.</w:t>
      </w:r>
      <w:r>
        <w:rPr>
          <w:szCs w:val="22"/>
        </w:rPr>
        <w:t xml:space="preserve"> Unemployment and especially underemployment in Afghanistan – estimated at 8 percent and 48 percent respectively – are already high, even with today’s rapid economic growth. Roughly 6 – 10 percent of the working population has benefited from aid-financed job opportunities, mostly in short-term employment. Declining aid, therefore, can be expected to exacerbate underemployment levels, with fewer casual labor opportunities and lower pay for skilled employees. </w:t>
      </w:r>
    </w:p>
    <w:p w:rsidR="00B737DB" w:rsidRPr="008D5313" w:rsidRDefault="00794621" w:rsidP="008D5313">
      <w:pPr>
        <w:spacing w:before="240"/>
        <w:ind w:left="45"/>
        <w:rPr>
          <w:szCs w:val="22"/>
        </w:rPr>
      </w:pPr>
      <w:r>
        <w:rPr>
          <w:b/>
          <w:szCs w:val="22"/>
        </w:rPr>
        <w:t>The worst impact of the transition will be on the fiscal situation, with a projected financing gap of 25 percent of GDP by 2022.</w:t>
      </w:r>
      <w:r>
        <w:rPr>
          <w:b/>
          <w:i/>
          <w:szCs w:val="22"/>
        </w:rPr>
        <w:t xml:space="preserve">  </w:t>
      </w:r>
      <w:r>
        <w:rPr>
          <w:szCs w:val="22"/>
        </w:rPr>
        <w:t xml:space="preserve">Even if the ambitious targets for robust growth in domestic revenue are met (with a projected rise from 10 percent of GDP to more than 17 percent a decade from now) there will be an unmanageable </w:t>
      </w:r>
      <w:r w:rsidR="003021AE">
        <w:rPr>
          <w:szCs w:val="22"/>
        </w:rPr>
        <w:t>financing</w:t>
      </w:r>
      <w:r>
        <w:rPr>
          <w:szCs w:val="22"/>
        </w:rPr>
        <w:t xml:space="preserve"> gap. This gap will arise primarily as a result of operations and maintenance (O&amp;M) spending and the wage bill for security, which together will be 17.5 percent of GDP by 2021.</w:t>
      </w:r>
      <w:r w:rsidR="000350EB">
        <w:rPr>
          <w:rStyle w:val="FootnoteReference"/>
          <w:szCs w:val="22"/>
        </w:rPr>
        <w:footnoteReference w:id="20"/>
      </w:r>
      <w:r w:rsidR="000350EB" w:rsidRPr="000350EB">
        <w:rPr>
          <w:rFonts w:cs="Helv"/>
          <w:color w:val="000000"/>
          <w:szCs w:val="22"/>
        </w:rPr>
        <w:t xml:space="preserve"> </w:t>
      </w:r>
      <w:r w:rsidR="000350EB">
        <w:rPr>
          <w:rFonts w:cs="Helv"/>
          <w:color w:val="000000"/>
          <w:szCs w:val="22"/>
        </w:rPr>
        <w:t>The</w:t>
      </w:r>
      <w:r w:rsidR="003021AE">
        <w:rPr>
          <w:rFonts w:cs="Helv"/>
          <w:color w:val="000000"/>
          <w:szCs w:val="22"/>
        </w:rPr>
        <w:t>refore, to close this financing gap, Afghanistan will continue to rely on donor funding to pay for most security and development costs.</w:t>
      </w:r>
      <w:r>
        <w:rPr>
          <w:szCs w:val="22"/>
        </w:rPr>
        <w:t xml:space="preserve">  </w:t>
      </w:r>
    </w:p>
    <w:p w:rsidR="00794621" w:rsidRDefault="00794621" w:rsidP="00794621">
      <w:pPr>
        <w:pStyle w:val="Bodytext"/>
        <w:spacing w:before="240" w:after="200" w:line="276" w:lineRule="auto"/>
        <w:rPr>
          <w:szCs w:val="22"/>
        </w:rPr>
      </w:pPr>
      <w:r>
        <w:rPr>
          <w:b/>
          <w:szCs w:val="22"/>
        </w:rPr>
        <w:t xml:space="preserve">Customs is currently one of the main drivers of domestic collection, but </w:t>
      </w:r>
      <w:r w:rsidR="00B737DB">
        <w:rPr>
          <w:b/>
          <w:szCs w:val="22"/>
        </w:rPr>
        <w:t>its</w:t>
      </w:r>
      <w:r>
        <w:rPr>
          <w:b/>
          <w:szCs w:val="22"/>
        </w:rPr>
        <w:t xml:space="preserve"> contribution </w:t>
      </w:r>
      <w:r w:rsidR="00B737DB">
        <w:rPr>
          <w:b/>
          <w:szCs w:val="22"/>
        </w:rPr>
        <w:t xml:space="preserve">will </w:t>
      </w:r>
      <w:r>
        <w:rPr>
          <w:b/>
          <w:szCs w:val="22"/>
        </w:rPr>
        <w:t xml:space="preserve">likely </w:t>
      </w:r>
      <w:r w:rsidR="00B737DB">
        <w:rPr>
          <w:b/>
          <w:szCs w:val="22"/>
        </w:rPr>
        <w:t xml:space="preserve">be affected by a </w:t>
      </w:r>
      <w:r>
        <w:rPr>
          <w:b/>
          <w:szCs w:val="22"/>
        </w:rPr>
        <w:t>contraction in demand for transport services and trade after the transition</w:t>
      </w:r>
      <w:r>
        <w:rPr>
          <w:szCs w:val="22"/>
        </w:rPr>
        <w:t>. Annual growth in customs duties will most likely f</w:t>
      </w:r>
      <w:r w:rsidR="00B737DB">
        <w:rPr>
          <w:szCs w:val="22"/>
        </w:rPr>
        <w:t xml:space="preserve">all from the current 23 percent per year.  However, </w:t>
      </w:r>
      <w:r>
        <w:rPr>
          <w:szCs w:val="22"/>
        </w:rPr>
        <w:t xml:space="preserve">the effective collection rate will most likely continue improving slightly – primarily due to better border controls, documentation of imports, and collection efficiency. </w:t>
      </w:r>
    </w:p>
    <w:p w:rsidR="000350EB" w:rsidRDefault="00794621" w:rsidP="000350EB">
      <w:pPr>
        <w:spacing w:before="240" w:after="0"/>
        <w:ind w:left="45"/>
        <w:rPr>
          <w:szCs w:val="22"/>
        </w:rPr>
      </w:pPr>
      <w:r>
        <w:rPr>
          <w:b/>
          <w:szCs w:val="22"/>
        </w:rPr>
        <w:t xml:space="preserve">With such pressures on public finances, resources for trade incentive schemes will be scarce.  </w:t>
      </w:r>
      <w:r>
        <w:rPr>
          <w:szCs w:val="22"/>
        </w:rPr>
        <w:t>This implies that going forward Authorities will need to do “more” with “less” in terms of trade and export promotion initiatives to avoid generating additional fiscal pressures over time.  Along these lines, new infrastructure investments, which would be a driver of future growth and required to improve the competitiveness of the private sector, will need to ensure recurrent costs are adequately funded and will not worsen the O&amp;M bill.</w:t>
      </w:r>
    </w:p>
    <w:p w:rsidR="00BD6D9E" w:rsidRPr="00BD6D9E" w:rsidRDefault="00BD6D9E" w:rsidP="00BD6D9E">
      <w:pPr>
        <w:spacing w:before="240" w:after="0"/>
        <w:ind w:left="45"/>
        <w:rPr>
          <w:szCs w:val="22"/>
        </w:rPr>
      </w:pPr>
      <w:r w:rsidRPr="00BD6D9E">
        <w:rPr>
          <w:b/>
          <w:szCs w:val="22"/>
        </w:rPr>
        <w:t xml:space="preserve">Security and political instability pose a risk during Afghanistan’s Transition period.  </w:t>
      </w:r>
      <w:r w:rsidRPr="00BD6D9E">
        <w:rPr>
          <w:szCs w:val="22"/>
        </w:rPr>
        <w:t xml:space="preserve">Not only would they have an adverse effect on economic growth, but risk deterring private sector investment.  </w:t>
      </w:r>
      <w:r w:rsidRPr="00BD6D9E">
        <w:rPr>
          <w:szCs w:val="22"/>
        </w:rPr>
        <w:lastRenderedPageBreak/>
        <w:t>Leveraging the private sector is key in the development of a resource corridor initiative to extract Afghanistan mineral wealth and to generate inclusive growth and for mining revenues to drive public finances.  It will also impact trade flows and the ability of firms to grow and breakthrough to international markets.    The recent Debt Sustainability Analysis (June 2012)</w:t>
      </w:r>
      <w:r w:rsidRPr="00BD6D9E">
        <w:footnoteReference w:id="21"/>
      </w:r>
      <w:r w:rsidRPr="00BD6D9E">
        <w:rPr>
          <w:szCs w:val="22"/>
        </w:rPr>
        <w:t xml:space="preserve"> identifies significant risks stemming from the very high security and development spending needs as well from the vulnerabilities to the macroeconomic outlook.  Should donor support be insufficient to meet the country’s financing needs, security fail to stabilize, or structural reforms and governance improvements fail to materialize, Afghanistan’s debt burden would become unsustainable, and the government would be forced to undertake significant fiscal adjustment.  The analysis also underscore the importance of substantial long-term grant financing, in combination with a strong reform agenda and progress in security and governance reforms.</w:t>
      </w:r>
    </w:p>
    <w:p w:rsidR="007C5E53" w:rsidRDefault="00ED4D32" w:rsidP="000350EB">
      <w:pPr>
        <w:spacing w:before="240" w:after="0"/>
        <w:ind w:left="45"/>
        <w:rPr>
          <w:szCs w:val="22"/>
        </w:rPr>
      </w:pPr>
      <w:r w:rsidRPr="00610405">
        <w:rPr>
          <w:szCs w:val="22"/>
        </w:rPr>
        <w:t xml:space="preserve">Afghanistan is heavily dependent on international trade, on fuel, inputs &amp; raw materials, and food imports, but trade is not a main driver of growth.  </w:t>
      </w:r>
      <w:r w:rsidR="00360F2B" w:rsidRPr="00610405">
        <w:rPr>
          <w:szCs w:val="22"/>
        </w:rPr>
        <w:t>This would</w:t>
      </w:r>
      <w:r w:rsidR="00360F2B">
        <w:rPr>
          <w:szCs w:val="22"/>
        </w:rPr>
        <w:t xml:space="preserve"> suggest that </w:t>
      </w:r>
      <w:r w:rsidRPr="00360F2B">
        <w:rPr>
          <w:szCs w:val="22"/>
        </w:rPr>
        <w:t xml:space="preserve">trade policy in itself is not the most pressing obstacle for growth </w:t>
      </w:r>
      <w:r w:rsidR="00360F2B" w:rsidRPr="00360F2B">
        <w:rPr>
          <w:szCs w:val="22"/>
        </w:rPr>
        <w:t xml:space="preserve">in the country </w:t>
      </w:r>
      <w:r w:rsidRPr="00360F2B">
        <w:rPr>
          <w:szCs w:val="22"/>
        </w:rPr>
        <w:t>at this time</w:t>
      </w:r>
      <w:r w:rsidR="00360F2B">
        <w:rPr>
          <w:szCs w:val="22"/>
        </w:rPr>
        <w:t xml:space="preserve">.  However, </w:t>
      </w:r>
      <w:r w:rsidRPr="00360F2B">
        <w:rPr>
          <w:szCs w:val="22"/>
        </w:rPr>
        <w:t>there are certainly areas where progress could be made</w:t>
      </w:r>
      <w:r w:rsidR="00360F2B">
        <w:rPr>
          <w:szCs w:val="22"/>
        </w:rPr>
        <w:t xml:space="preserve"> and Afghan trade </w:t>
      </w:r>
      <w:r w:rsidR="00360F2B" w:rsidRPr="00360F2B">
        <w:rPr>
          <w:szCs w:val="22"/>
        </w:rPr>
        <w:t xml:space="preserve">could play a </w:t>
      </w:r>
      <w:r w:rsidR="00360F2B">
        <w:rPr>
          <w:szCs w:val="22"/>
        </w:rPr>
        <w:t xml:space="preserve">greater </w:t>
      </w:r>
      <w:r w:rsidR="00360F2B" w:rsidRPr="00360F2B">
        <w:rPr>
          <w:szCs w:val="22"/>
        </w:rPr>
        <w:t>role in raising incomes and reducing poverty</w:t>
      </w:r>
      <w:r w:rsidR="00360F2B">
        <w:rPr>
          <w:szCs w:val="22"/>
        </w:rPr>
        <w:t>, particularly with the uncertainty of the upcoming Transition period</w:t>
      </w:r>
      <w:r w:rsidR="00360F2B" w:rsidRPr="00360F2B">
        <w:rPr>
          <w:szCs w:val="22"/>
        </w:rPr>
        <w:t>.</w:t>
      </w:r>
      <w:r w:rsidR="00360F2B">
        <w:rPr>
          <w:szCs w:val="22"/>
        </w:rPr>
        <w:t xml:space="preserve">  But, to understand where these opportunities lie requires a look at the country’s </w:t>
      </w:r>
      <w:r w:rsidR="00ED4759">
        <w:rPr>
          <w:szCs w:val="22"/>
        </w:rPr>
        <w:t xml:space="preserve">past </w:t>
      </w:r>
      <w:r w:rsidR="00360F2B">
        <w:rPr>
          <w:szCs w:val="22"/>
        </w:rPr>
        <w:t xml:space="preserve">trade performance and </w:t>
      </w:r>
      <w:r w:rsidR="00ED4759">
        <w:rPr>
          <w:szCs w:val="22"/>
        </w:rPr>
        <w:t>its</w:t>
      </w:r>
      <w:r w:rsidR="00360F2B">
        <w:rPr>
          <w:szCs w:val="22"/>
        </w:rPr>
        <w:t xml:space="preserve"> trade policy.  Such is the focus of the following chapter.</w:t>
      </w:r>
    </w:p>
    <w:p w:rsidR="00ED4D32" w:rsidRDefault="00360F2B" w:rsidP="000350EB">
      <w:pPr>
        <w:spacing w:before="240" w:after="0"/>
        <w:ind w:left="45"/>
        <w:rPr>
          <w:szCs w:val="22"/>
        </w:rPr>
      </w:pPr>
      <w:r>
        <w:rPr>
          <w:szCs w:val="22"/>
        </w:rPr>
        <w:t xml:space="preserve">  </w:t>
      </w:r>
    </w:p>
    <w:p w:rsidR="007C5E53" w:rsidRDefault="007C5E53">
      <w:pPr>
        <w:jc w:val="left"/>
        <w:rPr>
          <w:rFonts w:ascii="Calibri" w:hAnsi="Calibri"/>
          <w:b/>
          <w:bCs/>
          <w:szCs w:val="22"/>
        </w:rPr>
      </w:pPr>
      <w:r>
        <w:rPr>
          <w:rFonts w:ascii="Calibri" w:hAnsi="Calibri"/>
          <w:b/>
          <w:bCs/>
          <w:szCs w:val="22"/>
        </w:rPr>
        <w:br w:type="page"/>
      </w:r>
    </w:p>
    <w:p w:rsidR="007C5E53" w:rsidRPr="00992FE6" w:rsidRDefault="007C5E53" w:rsidP="006D2070">
      <w:pPr>
        <w:tabs>
          <w:tab w:val="left" w:pos="3780"/>
        </w:tabs>
        <w:rPr>
          <w:rFonts w:ascii="Calibri" w:hAnsi="Calibri"/>
          <w:b/>
          <w:bCs/>
          <w:color w:val="410082" w:themeColor="text1"/>
          <w:szCs w:val="22"/>
        </w:rPr>
      </w:pPr>
      <w:r w:rsidRPr="00704B4F">
        <w:rPr>
          <w:rFonts w:ascii="Calibri" w:hAnsi="Calibri"/>
          <w:b/>
          <w:bCs/>
          <w:color w:val="410082" w:themeColor="text1"/>
          <w:szCs w:val="22"/>
        </w:rPr>
        <w:lastRenderedPageBreak/>
        <w:t xml:space="preserve">Table </w:t>
      </w:r>
      <w:r w:rsidR="00992FE6" w:rsidRPr="00704B4F">
        <w:rPr>
          <w:rFonts w:ascii="Calibri" w:hAnsi="Calibri"/>
          <w:b/>
          <w:bCs/>
          <w:color w:val="410082" w:themeColor="text1"/>
          <w:szCs w:val="22"/>
        </w:rPr>
        <w:t>0.</w:t>
      </w:r>
      <w:r w:rsidR="00644A65" w:rsidRPr="00704B4F">
        <w:rPr>
          <w:rFonts w:ascii="Calibri" w:hAnsi="Calibri"/>
          <w:b/>
          <w:bCs/>
          <w:color w:val="410082" w:themeColor="text1"/>
          <w:szCs w:val="22"/>
        </w:rPr>
        <w:t>2</w:t>
      </w:r>
      <w:r w:rsidRPr="00704B4F">
        <w:rPr>
          <w:rFonts w:ascii="Calibri" w:hAnsi="Calibri"/>
          <w:b/>
          <w:bCs/>
          <w:color w:val="410082" w:themeColor="text1"/>
          <w:szCs w:val="22"/>
        </w:rPr>
        <w:t>: Selected Macro-Economic Indicators</w:t>
      </w:r>
    </w:p>
    <w:tbl>
      <w:tblPr>
        <w:tblStyle w:val="LightShading-Accent1"/>
        <w:tblpPr w:leftFromText="180" w:rightFromText="180" w:vertAnchor="text" w:horzAnchor="margin" w:tblpY="99"/>
        <w:tblW w:w="9167" w:type="dxa"/>
        <w:tblLook w:val="04A0" w:firstRow="1" w:lastRow="0" w:firstColumn="1" w:lastColumn="0" w:noHBand="0" w:noVBand="1"/>
      </w:tblPr>
      <w:tblGrid>
        <w:gridCol w:w="3475"/>
        <w:gridCol w:w="913"/>
        <w:gridCol w:w="913"/>
        <w:gridCol w:w="913"/>
        <w:gridCol w:w="913"/>
        <w:gridCol w:w="680"/>
        <w:gridCol w:w="680"/>
        <w:gridCol w:w="680"/>
      </w:tblGrid>
      <w:tr w:rsidR="006E5ADA" w:rsidRPr="006E5ADA" w:rsidTr="000306ED">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0" w:type="auto"/>
            <w:hideMark/>
          </w:tcPr>
          <w:p w:rsidR="007C5E53" w:rsidRPr="006E5ADA" w:rsidRDefault="007C5E53" w:rsidP="007C5E53">
            <w:pPr>
              <w:rPr>
                <w:rFonts w:cstheme="minorHAnsi"/>
                <w:b w:val="0"/>
                <w:bCs w:val="0"/>
                <w:sz w:val="20"/>
              </w:rPr>
            </w:pPr>
            <w:r w:rsidRPr="006E5ADA">
              <w:rPr>
                <w:rFonts w:cstheme="minorHAnsi"/>
                <w:b w:val="0"/>
                <w:bCs w:val="0"/>
                <w:sz w:val="20"/>
              </w:rPr>
              <w:t>in % of GDP unless otherwise indicated</w:t>
            </w:r>
          </w:p>
        </w:tc>
        <w:tc>
          <w:tcPr>
            <w:tcW w:w="0" w:type="auto"/>
            <w:noWrap/>
            <w:hideMark/>
          </w:tcPr>
          <w:p w:rsidR="007C5E53" w:rsidRPr="006E5ADA" w:rsidRDefault="007C5E53" w:rsidP="007C5E5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rPr>
            </w:pPr>
            <w:r w:rsidRPr="006E5ADA">
              <w:rPr>
                <w:rFonts w:cstheme="minorHAnsi"/>
                <w:b w:val="0"/>
                <w:bCs w:val="0"/>
                <w:sz w:val="20"/>
              </w:rPr>
              <w:t>2007/08</w:t>
            </w:r>
          </w:p>
        </w:tc>
        <w:tc>
          <w:tcPr>
            <w:tcW w:w="0" w:type="auto"/>
            <w:noWrap/>
            <w:hideMark/>
          </w:tcPr>
          <w:p w:rsidR="007C5E53" w:rsidRPr="006E5ADA" w:rsidRDefault="007C5E53" w:rsidP="007C5E5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rPr>
            </w:pPr>
            <w:r w:rsidRPr="006E5ADA">
              <w:rPr>
                <w:rFonts w:cstheme="minorHAnsi"/>
                <w:b w:val="0"/>
                <w:bCs w:val="0"/>
                <w:sz w:val="20"/>
              </w:rPr>
              <w:t>2008/09</w:t>
            </w:r>
          </w:p>
        </w:tc>
        <w:tc>
          <w:tcPr>
            <w:tcW w:w="0" w:type="auto"/>
            <w:noWrap/>
            <w:hideMark/>
          </w:tcPr>
          <w:p w:rsidR="007C5E53" w:rsidRPr="006E5ADA" w:rsidRDefault="007C5E53" w:rsidP="007C5E5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rPr>
            </w:pPr>
            <w:r w:rsidRPr="006E5ADA">
              <w:rPr>
                <w:rFonts w:cstheme="minorHAnsi"/>
                <w:b w:val="0"/>
                <w:bCs w:val="0"/>
                <w:sz w:val="20"/>
              </w:rPr>
              <w:t>2009/10</w:t>
            </w:r>
          </w:p>
        </w:tc>
        <w:tc>
          <w:tcPr>
            <w:tcW w:w="0" w:type="auto"/>
            <w:noWrap/>
            <w:hideMark/>
          </w:tcPr>
          <w:p w:rsidR="007C5E53" w:rsidRPr="006E5ADA" w:rsidRDefault="007C5E53" w:rsidP="007C5E5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rPr>
            </w:pPr>
            <w:r w:rsidRPr="006E5ADA">
              <w:rPr>
                <w:rFonts w:cstheme="minorHAnsi"/>
                <w:b w:val="0"/>
                <w:bCs w:val="0"/>
                <w:sz w:val="20"/>
              </w:rPr>
              <w:t>2010/11</w:t>
            </w:r>
          </w:p>
        </w:tc>
        <w:tc>
          <w:tcPr>
            <w:tcW w:w="0" w:type="auto"/>
            <w:hideMark/>
          </w:tcPr>
          <w:p w:rsidR="007C5E53" w:rsidRPr="006E5ADA" w:rsidRDefault="007C5E53" w:rsidP="007C5E5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rPr>
            </w:pPr>
            <w:r w:rsidRPr="006E5ADA">
              <w:rPr>
                <w:rFonts w:cstheme="minorHAnsi"/>
                <w:b w:val="0"/>
                <w:bCs w:val="0"/>
                <w:sz w:val="20"/>
              </w:rPr>
              <w:t>proj.</w:t>
            </w:r>
            <w:r w:rsidRPr="006E5ADA">
              <w:rPr>
                <w:rFonts w:cstheme="minorHAnsi"/>
                <w:b w:val="0"/>
                <w:bCs w:val="0"/>
                <w:sz w:val="20"/>
              </w:rPr>
              <w:br/>
              <w:t>2012</w:t>
            </w:r>
          </w:p>
        </w:tc>
        <w:tc>
          <w:tcPr>
            <w:tcW w:w="0" w:type="auto"/>
            <w:hideMark/>
          </w:tcPr>
          <w:p w:rsidR="007C5E53" w:rsidRPr="006E5ADA" w:rsidRDefault="007C5E53" w:rsidP="007C5E5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rPr>
            </w:pPr>
            <w:r w:rsidRPr="006E5ADA">
              <w:rPr>
                <w:rFonts w:cstheme="minorHAnsi"/>
                <w:b w:val="0"/>
                <w:bCs w:val="0"/>
                <w:sz w:val="20"/>
              </w:rPr>
              <w:t>proj.</w:t>
            </w:r>
            <w:r w:rsidRPr="006E5ADA">
              <w:rPr>
                <w:rFonts w:cstheme="minorHAnsi"/>
                <w:b w:val="0"/>
                <w:bCs w:val="0"/>
                <w:sz w:val="20"/>
              </w:rPr>
              <w:br/>
              <w:t>2013</w:t>
            </w:r>
          </w:p>
        </w:tc>
        <w:tc>
          <w:tcPr>
            <w:tcW w:w="0" w:type="auto"/>
            <w:hideMark/>
          </w:tcPr>
          <w:p w:rsidR="007C5E53" w:rsidRPr="006E5ADA" w:rsidRDefault="007C5E53" w:rsidP="007C5E5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rPr>
            </w:pPr>
            <w:r w:rsidRPr="006E5ADA">
              <w:rPr>
                <w:rFonts w:cstheme="minorHAnsi"/>
                <w:b w:val="0"/>
                <w:bCs w:val="0"/>
                <w:sz w:val="20"/>
              </w:rPr>
              <w:t>proj.</w:t>
            </w:r>
            <w:r w:rsidRPr="006E5ADA">
              <w:rPr>
                <w:rFonts w:cstheme="minorHAnsi"/>
                <w:b w:val="0"/>
                <w:bCs w:val="0"/>
                <w:sz w:val="20"/>
              </w:rPr>
              <w:br/>
              <w:t>2014</w:t>
            </w:r>
          </w:p>
        </w:tc>
      </w:tr>
      <w:tr w:rsidR="006E5ADA" w:rsidRPr="006E5ADA" w:rsidTr="000306ED">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0" w:type="auto"/>
            <w:hideMark/>
          </w:tcPr>
          <w:p w:rsidR="007C5E53" w:rsidRPr="000306ED" w:rsidRDefault="007C5E53" w:rsidP="007C5E53">
            <w:pPr>
              <w:rPr>
                <w:rFonts w:cstheme="minorHAnsi"/>
                <w:bCs w:val="0"/>
                <w:sz w:val="20"/>
              </w:rPr>
            </w:pPr>
            <w:r w:rsidRPr="000306ED">
              <w:rPr>
                <w:rFonts w:cstheme="minorHAnsi"/>
                <w:bCs w:val="0"/>
                <w:color w:val="auto"/>
                <w:sz w:val="20"/>
              </w:rPr>
              <w:t>Real Sector</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b/>
                <w:bCs/>
                <w:sz w:val="20"/>
              </w:rPr>
            </w:pPr>
            <w:r w:rsidRPr="006E5ADA">
              <w:rPr>
                <w:rFonts w:cstheme="minorHAnsi"/>
                <w:b/>
                <w:bCs/>
                <w:sz w:val="20"/>
              </w:rPr>
              <w:t> </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b/>
                <w:bCs/>
                <w:sz w:val="20"/>
              </w:rPr>
            </w:pPr>
            <w:r w:rsidRPr="006E5ADA">
              <w:rPr>
                <w:rFonts w:cstheme="minorHAnsi"/>
                <w:b/>
                <w:bCs/>
                <w:sz w:val="20"/>
              </w:rPr>
              <w:t> </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r>
      <w:tr w:rsidR="006E5ADA" w:rsidRPr="006E5ADA" w:rsidTr="000306ED">
        <w:trPr>
          <w:trHeight w:val="228"/>
        </w:trPr>
        <w:tc>
          <w:tcPr>
            <w:cnfStyle w:val="001000000000" w:firstRow="0" w:lastRow="0" w:firstColumn="1" w:lastColumn="0" w:oddVBand="0" w:evenVBand="0" w:oddHBand="0" w:evenHBand="0" w:firstRowFirstColumn="0" w:firstRowLastColumn="0" w:lastRowFirstColumn="0" w:lastRowLastColumn="0"/>
            <w:tcW w:w="0" w:type="auto"/>
            <w:hideMark/>
          </w:tcPr>
          <w:p w:rsidR="007C5E53" w:rsidRPr="006E5ADA" w:rsidRDefault="007C5E53" w:rsidP="007C5E53">
            <w:pPr>
              <w:rPr>
                <w:rFonts w:cstheme="minorHAnsi"/>
                <w:sz w:val="20"/>
              </w:rPr>
            </w:pPr>
            <w:r w:rsidRPr="006E5ADA">
              <w:rPr>
                <w:rFonts w:cstheme="minorHAnsi"/>
                <w:sz w:val="20"/>
              </w:rPr>
              <w:t>Nominal GDP  (in billion Afghanis)</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436</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534</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615</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730</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1,009</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1,133</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1,260</w:t>
            </w:r>
          </w:p>
        </w:tc>
      </w:tr>
      <w:tr w:rsidR="006E5ADA" w:rsidRPr="006E5ADA" w:rsidTr="000306ED">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0" w:type="auto"/>
            <w:hideMark/>
          </w:tcPr>
          <w:p w:rsidR="007C5E53" w:rsidRPr="006E5ADA" w:rsidRDefault="007C5E53" w:rsidP="007C5E53">
            <w:pPr>
              <w:rPr>
                <w:rFonts w:cstheme="minorHAnsi"/>
                <w:sz w:val="20"/>
              </w:rPr>
            </w:pPr>
            <w:r w:rsidRPr="006E5ADA">
              <w:rPr>
                <w:rFonts w:cstheme="minorHAnsi"/>
                <w:sz w:val="20"/>
              </w:rPr>
              <w:t>GDP (in billion US$)</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8.7</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10.5</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12.5</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15.9</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20.1</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21.9</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23.6</w:t>
            </w:r>
          </w:p>
        </w:tc>
      </w:tr>
      <w:tr w:rsidR="006E5ADA" w:rsidRPr="006E5ADA" w:rsidTr="000306ED">
        <w:trPr>
          <w:trHeight w:val="228"/>
        </w:trPr>
        <w:tc>
          <w:tcPr>
            <w:cnfStyle w:val="001000000000" w:firstRow="0" w:lastRow="0" w:firstColumn="1" w:lastColumn="0" w:oddVBand="0" w:evenVBand="0" w:oddHBand="0" w:evenHBand="0" w:firstRowFirstColumn="0" w:firstRowLastColumn="0" w:lastRowFirstColumn="0" w:lastRowLastColumn="0"/>
            <w:tcW w:w="0" w:type="auto"/>
            <w:hideMark/>
          </w:tcPr>
          <w:p w:rsidR="007C5E53" w:rsidRPr="006E5ADA" w:rsidRDefault="007C5E53" w:rsidP="007C5E53">
            <w:pPr>
              <w:rPr>
                <w:rFonts w:cstheme="minorHAnsi"/>
                <w:sz w:val="20"/>
              </w:rPr>
            </w:pPr>
            <w:r w:rsidRPr="006E5ADA">
              <w:rPr>
                <w:rFonts w:cstheme="minorHAnsi"/>
                <w:sz w:val="20"/>
              </w:rPr>
              <w:t>Real GDP growth (%)</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13.7</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3.6</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21</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8.4</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7.5</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5.1</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5.8</w:t>
            </w:r>
          </w:p>
        </w:tc>
      </w:tr>
      <w:tr w:rsidR="006E5ADA" w:rsidRPr="006E5ADA" w:rsidTr="000306ED">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0" w:type="auto"/>
            <w:hideMark/>
          </w:tcPr>
          <w:p w:rsidR="007C5E53" w:rsidRPr="006E5ADA" w:rsidRDefault="007C5E53" w:rsidP="007C5E53">
            <w:pPr>
              <w:rPr>
                <w:rFonts w:cstheme="minorHAnsi"/>
                <w:sz w:val="20"/>
              </w:rPr>
            </w:pPr>
            <w:r w:rsidRPr="006E5ADA">
              <w:rPr>
                <w:rFonts w:cstheme="minorHAnsi"/>
                <w:sz w:val="20"/>
              </w:rPr>
              <w:t xml:space="preserve">GDP per capita </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528</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612</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637</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r>
      <w:tr w:rsidR="006E5ADA" w:rsidRPr="006E5ADA" w:rsidTr="000306ED">
        <w:trPr>
          <w:trHeight w:val="228"/>
        </w:trPr>
        <w:tc>
          <w:tcPr>
            <w:cnfStyle w:val="001000000000" w:firstRow="0" w:lastRow="0" w:firstColumn="1" w:lastColumn="0" w:oddVBand="0" w:evenVBand="0" w:oddHBand="0" w:evenHBand="0" w:firstRowFirstColumn="0" w:firstRowLastColumn="0" w:lastRowFirstColumn="0" w:lastRowLastColumn="0"/>
            <w:tcW w:w="0" w:type="auto"/>
            <w:hideMark/>
          </w:tcPr>
          <w:p w:rsidR="007C5E53" w:rsidRPr="000306ED" w:rsidRDefault="007C5E53" w:rsidP="007C5E53">
            <w:pPr>
              <w:rPr>
                <w:rFonts w:cstheme="minorHAnsi"/>
                <w:bCs w:val="0"/>
                <w:sz w:val="20"/>
              </w:rPr>
            </w:pPr>
            <w:r w:rsidRPr="000306ED">
              <w:rPr>
                <w:rFonts w:cstheme="minorHAnsi"/>
                <w:bCs w:val="0"/>
                <w:color w:val="auto"/>
                <w:sz w:val="20"/>
              </w:rPr>
              <w:t>Money and Prices</w:t>
            </w:r>
          </w:p>
        </w:tc>
        <w:tc>
          <w:tcPr>
            <w:tcW w:w="0" w:type="auto"/>
            <w:noWrap/>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6E5ADA">
              <w:rPr>
                <w:rFonts w:cstheme="minorHAnsi"/>
                <w:b/>
                <w:bCs/>
                <w:sz w:val="20"/>
              </w:rPr>
              <w:t> </w:t>
            </w:r>
          </w:p>
        </w:tc>
        <w:tc>
          <w:tcPr>
            <w:tcW w:w="0" w:type="auto"/>
            <w:noWrap/>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6E5ADA">
              <w:rPr>
                <w:rFonts w:cstheme="minorHAnsi"/>
                <w:b/>
                <w:bCs/>
                <w:sz w:val="20"/>
              </w:rPr>
              <w:t> </w:t>
            </w:r>
          </w:p>
        </w:tc>
        <w:tc>
          <w:tcPr>
            <w:tcW w:w="0" w:type="auto"/>
            <w:noWrap/>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 </w:t>
            </w:r>
          </w:p>
        </w:tc>
      </w:tr>
      <w:tr w:rsidR="006E5ADA" w:rsidRPr="006E5ADA" w:rsidTr="000306ED">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0" w:type="auto"/>
            <w:hideMark/>
          </w:tcPr>
          <w:p w:rsidR="007C5E53" w:rsidRPr="006E5ADA" w:rsidRDefault="007C5E53" w:rsidP="007C5E53">
            <w:pPr>
              <w:rPr>
                <w:rFonts w:cstheme="minorHAnsi"/>
                <w:sz w:val="20"/>
              </w:rPr>
            </w:pPr>
            <w:r w:rsidRPr="006E5ADA">
              <w:rPr>
                <w:rFonts w:cstheme="minorHAnsi"/>
                <w:sz w:val="20"/>
              </w:rPr>
              <w:t>CPI inflation (average, %)</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13</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26.8</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-12.2</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7.7</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9.1</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6.7</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5</w:t>
            </w:r>
          </w:p>
        </w:tc>
      </w:tr>
      <w:tr w:rsidR="006E5ADA" w:rsidRPr="006E5ADA" w:rsidTr="000306ED">
        <w:trPr>
          <w:trHeight w:val="228"/>
        </w:trPr>
        <w:tc>
          <w:tcPr>
            <w:cnfStyle w:val="001000000000" w:firstRow="0" w:lastRow="0" w:firstColumn="1" w:lastColumn="0" w:oddVBand="0" w:evenVBand="0" w:oddHBand="0" w:evenHBand="0" w:firstRowFirstColumn="0" w:firstRowLastColumn="0" w:lastRowFirstColumn="0" w:lastRowLastColumn="0"/>
            <w:tcW w:w="0" w:type="auto"/>
            <w:hideMark/>
          </w:tcPr>
          <w:p w:rsidR="007C5E53" w:rsidRPr="006E5ADA" w:rsidRDefault="007C5E53" w:rsidP="007C5E53">
            <w:pPr>
              <w:rPr>
                <w:rFonts w:cstheme="minorHAnsi"/>
                <w:sz w:val="20"/>
              </w:rPr>
            </w:pPr>
            <w:r w:rsidRPr="006E5ADA">
              <w:rPr>
                <w:rFonts w:cstheme="minorHAnsi"/>
                <w:sz w:val="20"/>
              </w:rPr>
              <w:t>Broad money (M2) (in billions Afghani)</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119.6</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162.5</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226.4</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277.5</w:t>
            </w:r>
          </w:p>
        </w:tc>
        <w:tc>
          <w:tcPr>
            <w:tcW w:w="0" w:type="auto"/>
            <w:noWrap/>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w:t>
            </w:r>
          </w:p>
        </w:tc>
        <w:tc>
          <w:tcPr>
            <w:tcW w:w="0" w:type="auto"/>
            <w:noWrap/>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w:t>
            </w:r>
          </w:p>
        </w:tc>
        <w:tc>
          <w:tcPr>
            <w:tcW w:w="0" w:type="auto"/>
            <w:noWrap/>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 …</w:t>
            </w:r>
          </w:p>
        </w:tc>
      </w:tr>
      <w:tr w:rsidR="006E5ADA" w:rsidRPr="006E5ADA" w:rsidTr="000306ED">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hideMark/>
          </w:tcPr>
          <w:p w:rsidR="007C5E53" w:rsidRPr="006E5ADA" w:rsidRDefault="007C5E53" w:rsidP="007C5E53">
            <w:pPr>
              <w:rPr>
                <w:rFonts w:cstheme="minorHAnsi"/>
                <w:b w:val="0"/>
                <w:bCs w:val="0"/>
                <w:sz w:val="20"/>
              </w:rPr>
            </w:pPr>
            <w:r w:rsidRPr="006E5ADA">
              <w:rPr>
                <w:rFonts w:cstheme="minorHAnsi"/>
                <w:b w:val="0"/>
                <w:bCs w:val="0"/>
                <w:sz w:val="20"/>
              </w:rPr>
              <w:t>Investment and Saving</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r>
      <w:tr w:rsidR="006E5ADA" w:rsidRPr="006E5ADA" w:rsidTr="000306ED">
        <w:trPr>
          <w:trHeight w:val="265"/>
        </w:trPr>
        <w:tc>
          <w:tcPr>
            <w:cnfStyle w:val="001000000000" w:firstRow="0" w:lastRow="0" w:firstColumn="1" w:lastColumn="0" w:oddVBand="0" w:evenVBand="0" w:oddHBand="0" w:evenHBand="0" w:firstRowFirstColumn="0" w:firstRowLastColumn="0" w:lastRowFirstColumn="0" w:lastRowLastColumn="0"/>
            <w:tcW w:w="0" w:type="auto"/>
            <w:hideMark/>
          </w:tcPr>
          <w:p w:rsidR="007C5E53" w:rsidRPr="006E5ADA" w:rsidRDefault="007C5E53" w:rsidP="007C5E53">
            <w:pPr>
              <w:rPr>
                <w:rFonts w:cstheme="minorHAnsi"/>
                <w:sz w:val="20"/>
              </w:rPr>
            </w:pPr>
            <w:r w:rsidRPr="006E5ADA">
              <w:rPr>
                <w:rFonts w:cstheme="minorHAnsi"/>
                <w:sz w:val="20"/>
              </w:rPr>
              <w:t xml:space="preserve">Gross Domestic Investment </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40.6</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36.4</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31.7</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26.5</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25.4</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24.2</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23.3</w:t>
            </w:r>
          </w:p>
        </w:tc>
      </w:tr>
      <w:tr w:rsidR="006E5ADA" w:rsidRPr="006E5ADA" w:rsidTr="000306ED">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0" w:type="auto"/>
            <w:hideMark/>
          </w:tcPr>
          <w:p w:rsidR="007C5E53" w:rsidRPr="006E5ADA" w:rsidRDefault="007C5E53" w:rsidP="007C5E53">
            <w:pPr>
              <w:rPr>
                <w:rFonts w:cstheme="minorHAnsi"/>
                <w:sz w:val="20"/>
              </w:rPr>
            </w:pPr>
            <w:r w:rsidRPr="006E5ADA">
              <w:rPr>
                <w:rFonts w:cstheme="minorHAnsi"/>
                <w:sz w:val="20"/>
              </w:rPr>
              <w:t xml:space="preserve">o/w: private </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8.6</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9</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8.7</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8.4</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8.6</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8.9</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10.4</w:t>
            </w:r>
          </w:p>
        </w:tc>
      </w:tr>
      <w:tr w:rsidR="006E5ADA" w:rsidRPr="006E5ADA" w:rsidTr="000306ED">
        <w:trPr>
          <w:trHeight w:val="228"/>
        </w:trPr>
        <w:tc>
          <w:tcPr>
            <w:cnfStyle w:val="001000000000" w:firstRow="0" w:lastRow="0" w:firstColumn="1" w:lastColumn="0" w:oddVBand="0" w:evenVBand="0" w:oddHBand="0" w:evenHBand="0" w:firstRowFirstColumn="0" w:firstRowLastColumn="0" w:lastRowFirstColumn="0" w:lastRowLastColumn="0"/>
            <w:tcW w:w="0" w:type="auto"/>
            <w:hideMark/>
          </w:tcPr>
          <w:p w:rsidR="007C5E53" w:rsidRPr="006E5ADA" w:rsidRDefault="007C5E53" w:rsidP="007C5E53">
            <w:pPr>
              <w:rPr>
                <w:rFonts w:cstheme="minorHAnsi"/>
                <w:sz w:val="20"/>
              </w:rPr>
            </w:pPr>
            <w:r w:rsidRPr="006E5ADA">
              <w:rPr>
                <w:rFonts w:cstheme="minorHAnsi"/>
                <w:sz w:val="20"/>
              </w:rPr>
              <w:t xml:space="preserve">Foreign Direct Investment </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2.8</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2.9</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2.4</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2</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2.1</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2.3</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3.3</w:t>
            </w:r>
          </w:p>
        </w:tc>
      </w:tr>
      <w:tr w:rsidR="006E5ADA" w:rsidRPr="006E5ADA" w:rsidTr="000306ED">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0" w:type="auto"/>
            <w:hideMark/>
          </w:tcPr>
          <w:p w:rsidR="007C5E53" w:rsidRPr="006E5ADA" w:rsidRDefault="007C5E53" w:rsidP="007C5E53">
            <w:pPr>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r>
      <w:tr w:rsidR="006E5ADA" w:rsidRPr="006E5ADA" w:rsidTr="000306ED">
        <w:trPr>
          <w:trHeight w:val="228"/>
        </w:trPr>
        <w:tc>
          <w:tcPr>
            <w:cnfStyle w:val="001000000000" w:firstRow="0" w:lastRow="0" w:firstColumn="1" w:lastColumn="0" w:oddVBand="0" w:evenVBand="0" w:oddHBand="0" w:evenHBand="0" w:firstRowFirstColumn="0" w:firstRowLastColumn="0" w:lastRowFirstColumn="0" w:lastRowLastColumn="0"/>
            <w:tcW w:w="0" w:type="auto"/>
            <w:hideMark/>
          </w:tcPr>
          <w:p w:rsidR="007C5E53" w:rsidRPr="000306ED" w:rsidRDefault="007C5E53" w:rsidP="007C5E53">
            <w:pPr>
              <w:rPr>
                <w:rFonts w:cstheme="minorHAnsi"/>
                <w:bCs w:val="0"/>
                <w:sz w:val="20"/>
              </w:rPr>
            </w:pPr>
            <w:r w:rsidRPr="000306ED">
              <w:rPr>
                <w:rFonts w:cstheme="minorHAnsi"/>
                <w:bCs w:val="0"/>
                <w:color w:val="auto"/>
                <w:sz w:val="20"/>
              </w:rPr>
              <w:t>Government finance</w:t>
            </w:r>
          </w:p>
        </w:tc>
        <w:tc>
          <w:tcPr>
            <w:tcW w:w="0" w:type="auto"/>
            <w:noWrap/>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 </w:t>
            </w:r>
          </w:p>
        </w:tc>
      </w:tr>
      <w:tr w:rsidR="006E5ADA" w:rsidRPr="006E5ADA" w:rsidTr="000306ED">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0" w:type="auto"/>
            <w:hideMark/>
          </w:tcPr>
          <w:p w:rsidR="007C5E53" w:rsidRPr="006E5ADA" w:rsidRDefault="007C5E53" w:rsidP="007C5E53">
            <w:pPr>
              <w:rPr>
                <w:rFonts w:cstheme="minorHAnsi"/>
                <w:sz w:val="20"/>
              </w:rPr>
            </w:pPr>
            <w:r w:rsidRPr="006E5ADA">
              <w:rPr>
                <w:rFonts w:cstheme="minorHAnsi"/>
                <w:sz w:val="20"/>
              </w:rPr>
              <w:t xml:space="preserve">Domestic Revenue </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7.7</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7.8</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10.3</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11</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10.9</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11.4</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12.9</w:t>
            </w:r>
          </w:p>
        </w:tc>
      </w:tr>
      <w:tr w:rsidR="006E5ADA" w:rsidRPr="006E5ADA" w:rsidTr="000306ED">
        <w:trPr>
          <w:trHeight w:val="399"/>
        </w:trPr>
        <w:tc>
          <w:tcPr>
            <w:cnfStyle w:val="001000000000" w:firstRow="0" w:lastRow="0" w:firstColumn="1" w:lastColumn="0" w:oddVBand="0" w:evenVBand="0" w:oddHBand="0" w:evenHBand="0" w:firstRowFirstColumn="0" w:firstRowLastColumn="0" w:lastRowFirstColumn="0" w:lastRowLastColumn="0"/>
            <w:tcW w:w="0" w:type="auto"/>
            <w:hideMark/>
          </w:tcPr>
          <w:p w:rsidR="00704B4F" w:rsidRDefault="007C5E53" w:rsidP="007C5E53">
            <w:pPr>
              <w:rPr>
                <w:rFonts w:cstheme="minorHAnsi"/>
                <w:sz w:val="20"/>
              </w:rPr>
            </w:pPr>
            <w:r w:rsidRPr="006E5ADA">
              <w:rPr>
                <w:rFonts w:cstheme="minorHAnsi"/>
                <w:sz w:val="20"/>
              </w:rPr>
              <w:t xml:space="preserve">Total Core expenditure </w:t>
            </w:r>
          </w:p>
          <w:p w:rsidR="007C5E53" w:rsidRPr="006E5ADA" w:rsidRDefault="007C5E53" w:rsidP="007C5E53">
            <w:pPr>
              <w:rPr>
                <w:rFonts w:cstheme="minorHAnsi"/>
                <w:sz w:val="20"/>
              </w:rPr>
            </w:pPr>
            <w:r w:rsidRPr="006E5ADA">
              <w:rPr>
                <w:rFonts w:cstheme="minorHAnsi"/>
                <w:sz w:val="20"/>
              </w:rPr>
              <w:t>(Gov</w:t>
            </w:r>
            <w:r w:rsidR="00704B4F">
              <w:rPr>
                <w:rFonts w:cstheme="minorHAnsi"/>
                <w:sz w:val="20"/>
              </w:rPr>
              <w:t>.</w:t>
            </w:r>
            <w:r w:rsidRPr="006E5ADA">
              <w:rPr>
                <w:rFonts w:cstheme="minorHAnsi"/>
                <w:sz w:val="20"/>
              </w:rPr>
              <w:t xml:space="preserve"> Expenditure)</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22</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21.7</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22.1</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21.1</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23.2</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24.2</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24.9</w:t>
            </w:r>
          </w:p>
        </w:tc>
      </w:tr>
      <w:tr w:rsidR="006E5ADA" w:rsidRPr="006E5ADA" w:rsidTr="000306ED">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0" w:type="auto"/>
            <w:hideMark/>
          </w:tcPr>
          <w:p w:rsidR="007C5E53" w:rsidRPr="006E5ADA" w:rsidRDefault="004C0C20" w:rsidP="007C5E53">
            <w:pPr>
              <w:rPr>
                <w:rFonts w:cstheme="minorHAnsi"/>
                <w:sz w:val="20"/>
              </w:rPr>
            </w:pPr>
            <w:r w:rsidRPr="006E5ADA">
              <w:rPr>
                <w:rFonts w:cstheme="minorHAnsi"/>
                <w:sz w:val="20"/>
              </w:rPr>
              <w:t>Overall</w:t>
            </w:r>
            <w:r w:rsidR="007C5E53" w:rsidRPr="006E5ADA">
              <w:rPr>
                <w:rFonts w:cstheme="minorHAnsi"/>
                <w:sz w:val="20"/>
              </w:rPr>
              <w:t xml:space="preserve">  balance (incl. grants)</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-2</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-4.1</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-1.6</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0.9</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-0.4</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-1.1</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-0.2</w:t>
            </w:r>
          </w:p>
        </w:tc>
      </w:tr>
      <w:tr w:rsidR="006E5ADA" w:rsidRPr="006E5ADA" w:rsidTr="000306ED">
        <w:trPr>
          <w:trHeight w:val="351"/>
        </w:trPr>
        <w:tc>
          <w:tcPr>
            <w:cnfStyle w:val="001000000000" w:firstRow="0" w:lastRow="0" w:firstColumn="1" w:lastColumn="0" w:oddVBand="0" w:evenVBand="0" w:oddHBand="0" w:evenHBand="0" w:firstRowFirstColumn="0" w:firstRowLastColumn="0" w:lastRowFirstColumn="0" w:lastRowLastColumn="0"/>
            <w:tcW w:w="0" w:type="auto"/>
            <w:hideMark/>
          </w:tcPr>
          <w:p w:rsidR="007C5E53" w:rsidRPr="000306ED" w:rsidRDefault="007C5E53" w:rsidP="007C5E53">
            <w:pPr>
              <w:rPr>
                <w:rFonts w:cstheme="minorHAnsi"/>
                <w:bCs w:val="0"/>
                <w:sz w:val="20"/>
              </w:rPr>
            </w:pPr>
            <w:r w:rsidRPr="000306ED">
              <w:rPr>
                <w:rFonts w:cstheme="minorHAnsi"/>
                <w:bCs w:val="0"/>
                <w:color w:val="auto"/>
                <w:sz w:val="20"/>
              </w:rPr>
              <w:t>External Sector</w:t>
            </w:r>
          </w:p>
        </w:tc>
        <w:tc>
          <w:tcPr>
            <w:tcW w:w="0" w:type="auto"/>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 </w:t>
            </w:r>
          </w:p>
        </w:tc>
        <w:tc>
          <w:tcPr>
            <w:tcW w:w="0" w:type="auto"/>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 </w:t>
            </w:r>
          </w:p>
        </w:tc>
        <w:tc>
          <w:tcPr>
            <w:tcW w:w="0" w:type="auto"/>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 </w:t>
            </w:r>
          </w:p>
        </w:tc>
        <w:tc>
          <w:tcPr>
            <w:tcW w:w="0" w:type="auto"/>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 </w:t>
            </w:r>
          </w:p>
        </w:tc>
      </w:tr>
      <w:tr w:rsidR="006E5ADA" w:rsidRPr="006E5ADA" w:rsidTr="000306ED">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0" w:type="auto"/>
            <w:hideMark/>
          </w:tcPr>
          <w:p w:rsidR="007C5E53" w:rsidRPr="006E5ADA" w:rsidRDefault="007C5E53" w:rsidP="007C5E53">
            <w:pPr>
              <w:rPr>
                <w:rFonts w:cstheme="minorHAnsi"/>
                <w:sz w:val="20"/>
              </w:rPr>
            </w:pPr>
            <w:r w:rsidRPr="006E5ADA">
              <w:rPr>
                <w:rFonts w:cstheme="minorHAnsi"/>
                <w:sz w:val="20"/>
              </w:rPr>
              <w:t>Current account (excl. grants)</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-68.1</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-59.6</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-51.3</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-44.6</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-44.9</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-41.3</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-39.4</w:t>
            </w:r>
          </w:p>
        </w:tc>
      </w:tr>
      <w:tr w:rsidR="006E5ADA" w:rsidRPr="006E5ADA" w:rsidTr="000306ED">
        <w:trPr>
          <w:trHeight w:val="228"/>
        </w:trPr>
        <w:tc>
          <w:tcPr>
            <w:cnfStyle w:val="001000000000" w:firstRow="0" w:lastRow="0" w:firstColumn="1" w:lastColumn="0" w:oddVBand="0" w:evenVBand="0" w:oddHBand="0" w:evenHBand="0" w:firstRowFirstColumn="0" w:firstRowLastColumn="0" w:lastRowFirstColumn="0" w:lastRowLastColumn="0"/>
            <w:tcW w:w="0" w:type="auto"/>
            <w:hideMark/>
          </w:tcPr>
          <w:p w:rsidR="007C5E53" w:rsidRPr="006E5ADA" w:rsidRDefault="007C5E53" w:rsidP="007C5E53">
            <w:pPr>
              <w:rPr>
                <w:rFonts w:cstheme="minorHAnsi"/>
                <w:sz w:val="20"/>
              </w:rPr>
            </w:pPr>
            <w:r w:rsidRPr="006E5ADA">
              <w:rPr>
                <w:rFonts w:cstheme="minorHAnsi"/>
                <w:sz w:val="20"/>
              </w:rPr>
              <w:t>Exports FOB (in million US$)  1/</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1,854</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2,465</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2,517</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2,836</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2,651</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2,560</w:t>
            </w:r>
          </w:p>
        </w:tc>
        <w:tc>
          <w:tcPr>
            <w:tcW w:w="0" w:type="auto"/>
            <w:noWrap/>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 …</w:t>
            </w:r>
          </w:p>
        </w:tc>
      </w:tr>
      <w:tr w:rsidR="006E5ADA" w:rsidRPr="006E5ADA" w:rsidTr="000306ED">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0" w:type="auto"/>
            <w:hideMark/>
          </w:tcPr>
          <w:p w:rsidR="007C5E53" w:rsidRPr="006E5ADA" w:rsidRDefault="007C5E53" w:rsidP="007C5E53">
            <w:pPr>
              <w:rPr>
                <w:rFonts w:cstheme="minorHAnsi"/>
                <w:sz w:val="20"/>
              </w:rPr>
            </w:pPr>
            <w:r w:rsidRPr="006E5ADA">
              <w:rPr>
                <w:rFonts w:cstheme="minorHAnsi"/>
                <w:sz w:val="20"/>
              </w:rPr>
              <w:t>Imports FOB(in million US$)</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7,794</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8,945</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8,872</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9,139</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9,174</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9,232</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r>
      <w:tr w:rsidR="006E5ADA" w:rsidRPr="006E5ADA" w:rsidTr="000306ED">
        <w:trPr>
          <w:trHeight w:val="210"/>
        </w:trPr>
        <w:tc>
          <w:tcPr>
            <w:cnfStyle w:val="001000000000" w:firstRow="0" w:lastRow="0" w:firstColumn="1" w:lastColumn="0" w:oddVBand="0" w:evenVBand="0" w:oddHBand="0" w:evenHBand="0" w:firstRowFirstColumn="0" w:firstRowLastColumn="0" w:lastRowFirstColumn="0" w:lastRowLastColumn="0"/>
            <w:tcW w:w="0" w:type="auto"/>
            <w:hideMark/>
          </w:tcPr>
          <w:p w:rsidR="007C5E53" w:rsidRPr="006E5ADA" w:rsidRDefault="007C5E53" w:rsidP="007C5E53">
            <w:pPr>
              <w:rPr>
                <w:rFonts w:cstheme="minorHAnsi"/>
                <w:sz w:val="20"/>
              </w:rPr>
            </w:pPr>
            <w:r w:rsidRPr="006E5ADA">
              <w:rPr>
                <w:rFonts w:cstheme="minorHAnsi"/>
                <w:sz w:val="20"/>
              </w:rPr>
              <w:t>Gross reserves (months of imports )</w:t>
            </w:r>
          </w:p>
        </w:tc>
        <w:tc>
          <w:tcPr>
            <w:tcW w:w="0" w:type="auto"/>
            <w:noWrap/>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5.3</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6.0</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6.4</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7.2</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7.6</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7.7</w:t>
            </w:r>
          </w:p>
        </w:tc>
      </w:tr>
      <w:tr w:rsidR="006E5ADA" w:rsidRPr="006E5ADA" w:rsidTr="000306ED">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0" w:type="auto"/>
            <w:hideMark/>
          </w:tcPr>
          <w:p w:rsidR="007C5E53" w:rsidRPr="000306ED" w:rsidRDefault="007C5E53" w:rsidP="007C5E53">
            <w:pPr>
              <w:rPr>
                <w:rFonts w:cstheme="minorHAnsi"/>
                <w:bCs w:val="0"/>
                <w:sz w:val="20"/>
              </w:rPr>
            </w:pPr>
            <w:r w:rsidRPr="000306ED">
              <w:rPr>
                <w:rFonts w:cstheme="minorHAnsi"/>
                <w:bCs w:val="0"/>
                <w:color w:val="auto"/>
                <w:sz w:val="20"/>
              </w:rPr>
              <w:t>Total External debt</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r>
      <w:tr w:rsidR="006E5ADA" w:rsidRPr="006E5ADA" w:rsidTr="000306ED">
        <w:trPr>
          <w:trHeight w:val="228"/>
        </w:trPr>
        <w:tc>
          <w:tcPr>
            <w:cnfStyle w:val="001000000000" w:firstRow="0" w:lastRow="0" w:firstColumn="1" w:lastColumn="0" w:oddVBand="0" w:evenVBand="0" w:oddHBand="0" w:evenHBand="0" w:firstRowFirstColumn="0" w:firstRowLastColumn="0" w:lastRowFirstColumn="0" w:lastRowLastColumn="0"/>
            <w:tcW w:w="0" w:type="auto"/>
            <w:hideMark/>
          </w:tcPr>
          <w:p w:rsidR="007C5E53" w:rsidRPr="006E5ADA" w:rsidRDefault="007C5E53" w:rsidP="007C5E53">
            <w:pPr>
              <w:rPr>
                <w:rFonts w:cstheme="minorHAnsi"/>
                <w:sz w:val="20"/>
              </w:rPr>
            </w:pPr>
            <w:r w:rsidRPr="006E5ADA">
              <w:rPr>
                <w:rFonts w:cstheme="minorHAnsi"/>
                <w:sz w:val="20"/>
              </w:rPr>
              <w:t>Total debt stock(in million US$)</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2,012</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2,061</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1,147</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1,280</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1,678</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1,908</w:t>
            </w:r>
          </w:p>
        </w:tc>
        <w:tc>
          <w:tcPr>
            <w:tcW w:w="0" w:type="auto"/>
            <w:noWrap/>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 …</w:t>
            </w:r>
          </w:p>
        </w:tc>
      </w:tr>
      <w:tr w:rsidR="006E5ADA" w:rsidRPr="006E5ADA" w:rsidTr="000306ED">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0" w:type="auto"/>
            <w:hideMark/>
          </w:tcPr>
          <w:p w:rsidR="007C5E53" w:rsidRPr="006E5ADA" w:rsidRDefault="007C5E53" w:rsidP="007C5E53">
            <w:pPr>
              <w:rPr>
                <w:rFonts w:cstheme="minorHAnsi"/>
                <w:sz w:val="20"/>
              </w:rPr>
            </w:pPr>
            <w:r w:rsidRPr="006E5ADA">
              <w:rPr>
                <w:rFonts w:cstheme="minorHAnsi"/>
                <w:sz w:val="20"/>
              </w:rPr>
              <w:t>Debt-to-GDP Ratio (%)</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23</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19.7</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9</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8.2</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7.2</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7.2</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7.2</w:t>
            </w:r>
          </w:p>
        </w:tc>
      </w:tr>
      <w:tr w:rsidR="006E5ADA" w:rsidRPr="006E5ADA" w:rsidTr="000306ED">
        <w:trPr>
          <w:trHeight w:val="341"/>
        </w:trPr>
        <w:tc>
          <w:tcPr>
            <w:cnfStyle w:val="001000000000" w:firstRow="0" w:lastRow="0" w:firstColumn="1" w:lastColumn="0" w:oddVBand="0" w:evenVBand="0" w:oddHBand="0" w:evenHBand="0" w:firstRowFirstColumn="0" w:firstRowLastColumn="0" w:lastRowFirstColumn="0" w:lastRowLastColumn="0"/>
            <w:tcW w:w="0" w:type="auto"/>
            <w:hideMark/>
          </w:tcPr>
          <w:p w:rsidR="007C5E53" w:rsidRPr="000306ED" w:rsidRDefault="007C5E53" w:rsidP="007C5E53">
            <w:pPr>
              <w:rPr>
                <w:rFonts w:cstheme="minorHAnsi"/>
                <w:bCs w:val="0"/>
                <w:sz w:val="20"/>
              </w:rPr>
            </w:pPr>
            <w:r w:rsidRPr="000306ED">
              <w:rPr>
                <w:rFonts w:cstheme="minorHAnsi"/>
                <w:bCs w:val="0"/>
                <w:color w:val="auto"/>
                <w:sz w:val="20"/>
              </w:rPr>
              <w:t>Memorandum items</w:t>
            </w:r>
          </w:p>
        </w:tc>
        <w:tc>
          <w:tcPr>
            <w:tcW w:w="0" w:type="auto"/>
            <w:noWrap/>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 </w:t>
            </w:r>
          </w:p>
        </w:tc>
        <w:tc>
          <w:tcPr>
            <w:tcW w:w="0" w:type="auto"/>
            <w:noWrap/>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 </w:t>
            </w:r>
          </w:p>
        </w:tc>
      </w:tr>
      <w:tr w:rsidR="006E5ADA" w:rsidRPr="006E5ADA" w:rsidTr="000306ED">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0" w:type="auto"/>
            <w:hideMark/>
          </w:tcPr>
          <w:p w:rsidR="007C5E53" w:rsidRPr="006E5ADA" w:rsidRDefault="007C5E53" w:rsidP="007C5E53">
            <w:pPr>
              <w:rPr>
                <w:rFonts w:cstheme="minorHAnsi"/>
                <w:sz w:val="20"/>
              </w:rPr>
            </w:pPr>
            <w:r w:rsidRPr="006E5ADA">
              <w:rPr>
                <w:rFonts w:cstheme="minorHAnsi"/>
                <w:sz w:val="20"/>
              </w:rPr>
              <w:t>Population (in millions)</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27.41</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28.36</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29.27</w:t>
            </w:r>
          </w:p>
        </w:tc>
        <w:tc>
          <w:tcPr>
            <w:tcW w:w="0" w:type="auto"/>
            <w:noWrap/>
            <w:hideMark/>
          </w:tcPr>
          <w:p w:rsidR="007C5E53" w:rsidRPr="006E5ADA" w:rsidRDefault="007C5E53" w:rsidP="007C5E53">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30.18</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w:t>
            </w:r>
          </w:p>
        </w:tc>
        <w:tc>
          <w:tcPr>
            <w:tcW w:w="0" w:type="auto"/>
            <w:noWrap/>
            <w:hideMark/>
          </w:tcPr>
          <w:p w:rsidR="007C5E53" w:rsidRPr="006E5ADA" w:rsidRDefault="007C5E53" w:rsidP="007C5E53">
            <w:pPr>
              <w:cnfStyle w:val="000000100000" w:firstRow="0" w:lastRow="0" w:firstColumn="0" w:lastColumn="0" w:oddVBand="0" w:evenVBand="0" w:oddHBand="1" w:evenHBand="0" w:firstRowFirstColumn="0" w:firstRowLastColumn="0" w:lastRowFirstColumn="0" w:lastRowLastColumn="0"/>
              <w:rPr>
                <w:rFonts w:cstheme="minorHAnsi"/>
                <w:sz w:val="20"/>
              </w:rPr>
            </w:pPr>
            <w:r w:rsidRPr="006E5ADA">
              <w:rPr>
                <w:rFonts w:cstheme="minorHAnsi"/>
                <w:sz w:val="20"/>
              </w:rPr>
              <w:t> …</w:t>
            </w:r>
          </w:p>
        </w:tc>
      </w:tr>
      <w:tr w:rsidR="006E5ADA" w:rsidRPr="006E5ADA" w:rsidTr="000306ED">
        <w:trPr>
          <w:trHeight w:val="45"/>
        </w:trPr>
        <w:tc>
          <w:tcPr>
            <w:cnfStyle w:val="001000000000" w:firstRow="0" w:lastRow="0" w:firstColumn="1" w:lastColumn="0" w:oddVBand="0" w:evenVBand="0" w:oddHBand="0" w:evenHBand="0" w:firstRowFirstColumn="0" w:firstRowLastColumn="0" w:lastRowFirstColumn="0" w:lastRowLastColumn="0"/>
            <w:tcW w:w="0" w:type="auto"/>
            <w:noWrap/>
            <w:hideMark/>
          </w:tcPr>
          <w:p w:rsidR="007C5E53" w:rsidRPr="006E5ADA" w:rsidRDefault="007C5E53" w:rsidP="007C5E53">
            <w:pPr>
              <w:rPr>
                <w:rFonts w:cstheme="minorHAnsi"/>
                <w:sz w:val="20"/>
              </w:rPr>
            </w:pPr>
            <w:r w:rsidRPr="006E5ADA">
              <w:rPr>
                <w:rFonts w:cstheme="minorHAnsi"/>
                <w:sz w:val="20"/>
              </w:rPr>
              <w:t>Exchange rate, average (Afs/US$)</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50</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51</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49</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45.8</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45</w:t>
            </w:r>
          </w:p>
        </w:tc>
        <w:tc>
          <w:tcPr>
            <w:tcW w:w="0" w:type="auto"/>
            <w:noWrap/>
            <w:hideMark/>
          </w:tcPr>
          <w:p w:rsidR="007C5E53" w:rsidRPr="006E5ADA" w:rsidRDefault="007C5E53" w:rsidP="007C5E53">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45</w:t>
            </w:r>
          </w:p>
        </w:tc>
        <w:tc>
          <w:tcPr>
            <w:tcW w:w="0" w:type="auto"/>
            <w:noWrap/>
            <w:hideMark/>
          </w:tcPr>
          <w:p w:rsidR="007C5E53" w:rsidRPr="006E5ADA" w:rsidRDefault="007C5E53" w:rsidP="007C5E53">
            <w:pPr>
              <w:cnfStyle w:val="000000000000" w:firstRow="0" w:lastRow="0" w:firstColumn="0" w:lastColumn="0" w:oddVBand="0" w:evenVBand="0" w:oddHBand="0" w:evenHBand="0" w:firstRowFirstColumn="0" w:firstRowLastColumn="0" w:lastRowFirstColumn="0" w:lastRowLastColumn="0"/>
              <w:rPr>
                <w:rFonts w:cstheme="minorHAnsi"/>
                <w:sz w:val="20"/>
              </w:rPr>
            </w:pPr>
            <w:r w:rsidRPr="006E5ADA">
              <w:rPr>
                <w:rFonts w:cstheme="minorHAnsi"/>
                <w:sz w:val="20"/>
              </w:rPr>
              <w:t>…</w:t>
            </w:r>
          </w:p>
        </w:tc>
      </w:tr>
    </w:tbl>
    <w:p w:rsidR="00704B4F" w:rsidRPr="00704B4F" w:rsidRDefault="00704B4F" w:rsidP="008E7EFA">
      <w:pPr>
        <w:spacing w:before="240" w:after="0"/>
        <w:rPr>
          <w:sz w:val="18"/>
          <w:szCs w:val="18"/>
        </w:rPr>
      </w:pPr>
      <w:r w:rsidRPr="00704B4F">
        <w:rPr>
          <w:sz w:val="18"/>
          <w:szCs w:val="18"/>
        </w:rPr>
        <w:t xml:space="preserve">Source:  </w:t>
      </w:r>
      <w:r>
        <w:rPr>
          <w:sz w:val="18"/>
          <w:szCs w:val="18"/>
        </w:rPr>
        <w:t xml:space="preserve">IMF, </w:t>
      </w:r>
      <w:r w:rsidRPr="00704B4F">
        <w:rPr>
          <w:sz w:val="18"/>
          <w:szCs w:val="18"/>
        </w:rPr>
        <w:t>MOF, CSO, DABs, WB staff calculations</w:t>
      </w:r>
      <w:r>
        <w:rPr>
          <w:sz w:val="18"/>
          <w:szCs w:val="18"/>
        </w:rPr>
        <w:t>, 1/ IMF BOP</w:t>
      </w:r>
    </w:p>
    <w:p w:rsidR="0037777B" w:rsidRDefault="0037777B">
      <w:pPr>
        <w:jc w:val="left"/>
        <w:rPr>
          <w:b/>
          <w:szCs w:val="22"/>
        </w:rPr>
      </w:pPr>
      <w:r>
        <w:rPr>
          <w:b/>
          <w:szCs w:val="22"/>
        </w:rPr>
        <w:br w:type="page"/>
      </w:r>
    </w:p>
    <w:p w:rsidR="006E5ADA" w:rsidRDefault="006E5ADA" w:rsidP="008E7EFA">
      <w:pPr>
        <w:spacing w:before="240" w:after="0"/>
        <w:rPr>
          <w:b/>
          <w:szCs w:val="22"/>
        </w:rPr>
      </w:pPr>
    </w:p>
    <w:tbl>
      <w:tblPr>
        <w:tblStyle w:val="LightShading-Accent3"/>
        <w:tblW w:w="0" w:type="auto"/>
        <w:shd w:val="clear" w:color="auto" w:fill="ECE4F1" w:themeFill="accent6" w:themeFillTint="33"/>
        <w:tblLook w:val="04A0" w:firstRow="1" w:lastRow="0" w:firstColumn="1" w:lastColumn="0" w:noHBand="0" w:noVBand="1"/>
      </w:tblPr>
      <w:tblGrid>
        <w:gridCol w:w="9576"/>
      </w:tblGrid>
      <w:tr w:rsidR="00A63F7F" w:rsidRPr="00A63F7F" w:rsidTr="00A63F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ECE4F1" w:themeFill="accent6" w:themeFillTint="33"/>
          </w:tcPr>
          <w:p w:rsidR="00FE441F" w:rsidRPr="00A63F7F" w:rsidRDefault="00FE441F" w:rsidP="00FE441F">
            <w:pPr>
              <w:rPr>
                <w:rFonts w:cstheme="minorHAnsi"/>
                <w:color w:val="auto"/>
              </w:rPr>
            </w:pPr>
            <w:r w:rsidRPr="00A63F7F">
              <w:rPr>
                <w:rFonts w:cstheme="minorHAnsi"/>
                <w:color w:val="auto"/>
              </w:rPr>
              <w:t xml:space="preserve">Box </w:t>
            </w:r>
            <w:r w:rsidR="004C0C20" w:rsidRPr="00A63F7F">
              <w:rPr>
                <w:rFonts w:cstheme="minorHAnsi"/>
                <w:color w:val="auto"/>
              </w:rPr>
              <w:t>1.1 Trade</w:t>
            </w:r>
            <w:r w:rsidRPr="00A63F7F">
              <w:rPr>
                <w:rFonts w:cstheme="minorHAnsi"/>
                <w:color w:val="auto"/>
              </w:rPr>
              <w:t xml:space="preserve"> data in Afghanistan.</w:t>
            </w:r>
          </w:p>
          <w:p w:rsidR="00FE441F" w:rsidRPr="00A63F7F" w:rsidRDefault="00FE441F" w:rsidP="00FE441F">
            <w:pPr>
              <w:rPr>
                <w:rFonts w:cstheme="minorHAnsi"/>
                <w:b w:val="0"/>
                <w:color w:val="auto"/>
              </w:rPr>
            </w:pPr>
          </w:p>
          <w:p w:rsidR="006E5ADA" w:rsidRPr="00A63F7F" w:rsidRDefault="006E5ADA" w:rsidP="006E5ADA">
            <w:pPr>
              <w:rPr>
                <w:rFonts w:cstheme="minorHAnsi"/>
                <w:b w:val="0"/>
                <w:color w:val="auto"/>
              </w:rPr>
            </w:pPr>
            <w:r w:rsidRPr="00A63F7F">
              <w:rPr>
                <w:rFonts w:cstheme="minorHAnsi"/>
                <w:b w:val="0"/>
                <w:color w:val="auto"/>
              </w:rPr>
              <w:t xml:space="preserve">Analyzing and reconciling trade data in Afghanistan is a challenge.   While the country has made progress in strengthening the quality and reporting of official statistics, trade data, official export and import flows, vary widely depending on the quality of </w:t>
            </w:r>
            <w:r w:rsidR="00FE441F" w:rsidRPr="00A63F7F">
              <w:rPr>
                <w:rFonts w:cstheme="minorHAnsi"/>
                <w:b w:val="0"/>
                <w:color w:val="auto"/>
              </w:rPr>
              <w:t xml:space="preserve">the </w:t>
            </w:r>
            <w:r w:rsidRPr="00A63F7F">
              <w:rPr>
                <w:rFonts w:cstheme="minorHAnsi"/>
                <w:b w:val="0"/>
                <w:color w:val="auto"/>
              </w:rPr>
              <w:t xml:space="preserve">reporting, the methodology used, and the cited source.  </w:t>
            </w:r>
            <w:r w:rsidR="0088375D">
              <w:rPr>
                <w:rFonts w:cstheme="minorHAnsi"/>
                <w:b w:val="0"/>
                <w:color w:val="auto"/>
              </w:rPr>
              <w:t>Official export</w:t>
            </w:r>
            <w:r w:rsidRPr="00A63F7F">
              <w:rPr>
                <w:rFonts w:cstheme="minorHAnsi"/>
                <w:b w:val="0"/>
                <w:color w:val="auto"/>
              </w:rPr>
              <w:t xml:space="preserve"> figures in 2009, for example, </w:t>
            </w:r>
            <w:r w:rsidR="0037777B">
              <w:rPr>
                <w:rFonts w:cstheme="minorHAnsi"/>
                <w:b w:val="0"/>
                <w:color w:val="auto"/>
              </w:rPr>
              <w:t>differed</w:t>
            </w:r>
            <w:r w:rsidRPr="00A63F7F">
              <w:rPr>
                <w:rFonts w:cstheme="minorHAnsi"/>
                <w:b w:val="0"/>
                <w:color w:val="auto"/>
              </w:rPr>
              <w:t xml:space="preserve"> significantly from $400 million reported by the C</w:t>
            </w:r>
            <w:r w:rsidR="00FE441F" w:rsidRPr="00A63F7F">
              <w:rPr>
                <w:rFonts w:cstheme="minorHAnsi"/>
                <w:b w:val="0"/>
                <w:color w:val="auto"/>
              </w:rPr>
              <w:t xml:space="preserve">entral </w:t>
            </w:r>
            <w:r w:rsidRPr="00A63F7F">
              <w:rPr>
                <w:rFonts w:cstheme="minorHAnsi"/>
                <w:b w:val="0"/>
                <w:color w:val="auto"/>
              </w:rPr>
              <w:t>S</w:t>
            </w:r>
            <w:r w:rsidR="00FE441F" w:rsidRPr="00A63F7F">
              <w:rPr>
                <w:rFonts w:cstheme="minorHAnsi"/>
                <w:b w:val="0"/>
                <w:color w:val="auto"/>
              </w:rPr>
              <w:t xml:space="preserve">tatistics </w:t>
            </w:r>
            <w:r w:rsidRPr="00A63F7F">
              <w:rPr>
                <w:rFonts w:cstheme="minorHAnsi"/>
                <w:b w:val="0"/>
                <w:color w:val="auto"/>
              </w:rPr>
              <w:t>O</w:t>
            </w:r>
            <w:r w:rsidR="00FE441F" w:rsidRPr="00A63F7F">
              <w:rPr>
                <w:rFonts w:cstheme="minorHAnsi"/>
                <w:b w:val="0"/>
                <w:color w:val="auto"/>
              </w:rPr>
              <w:t>ffice (CSO)</w:t>
            </w:r>
            <w:r w:rsidRPr="00A63F7F">
              <w:rPr>
                <w:rFonts w:cstheme="minorHAnsi"/>
                <w:b w:val="0"/>
                <w:color w:val="auto"/>
              </w:rPr>
              <w:t xml:space="preserve"> to over $2 billion reported by the IMF</w:t>
            </w:r>
            <w:r w:rsidR="0037777B">
              <w:rPr>
                <w:rFonts w:cstheme="minorHAnsi"/>
                <w:b w:val="0"/>
                <w:color w:val="auto"/>
              </w:rPr>
              <w:t xml:space="preserve"> and the Central Bank</w:t>
            </w:r>
            <w:r w:rsidRPr="00A63F7F">
              <w:rPr>
                <w:rFonts w:cstheme="minorHAnsi"/>
                <w:b w:val="0"/>
                <w:color w:val="auto"/>
              </w:rPr>
              <w:t xml:space="preserve"> for the same year.  Such variances and misunderstandings over the different </w:t>
            </w:r>
            <w:r w:rsidR="0088375D">
              <w:rPr>
                <w:rFonts w:cstheme="minorHAnsi"/>
                <w:b w:val="0"/>
                <w:color w:val="auto"/>
              </w:rPr>
              <w:t>methodologies</w:t>
            </w:r>
            <w:r w:rsidRPr="00A63F7F">
              <w:rPr>
                <w:rFonts w:cstheme="minorHAnsi"/>
                <w:b w:val="0"/>
                <w:color w:val="auto"/>
              </w:rPr>
              <w:t xml:space="preserve"> pose a constraint on the ability to use trade data as a tool for policy analysis.   </w:t>
            </w:r>
          </w:p>
          <w:p w:rsidR="006E5ADA" w:rsidRPr="00A63F7F" w:rsidRDefault="006E5ADA" w:rsidP="006E5ADA">
            <w:pPr>
              <w:rPr>
                <w:rFonts w:cstheme="minorHAnsi"/>
                <w:b w:val="0"/>
                <w:color w:val="auto"/>
              </w:rPr>
            </w:pPr>
          </w:p>
          <w:tbl>
            <w:tblPr>
              <w:tblStyle w:val="TableGrid"/>
              <w:tblpPr w:leftFromText="180" w:rightFromText="180" w:vertAnchor="text" w:horzAnchor="margin"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6"/>
              <w:gridCol w:w="564"/>
            </w:tblGrid>
            <w:tr w:rsidR="00A63F7F" w:rsidRPr="00A63F7F" w:rsidTr="00A63F7F">
              <w:trPr>
                <w:trHeight w:val="242"/>
              </w:trPr>
              <w:tc>
                <w:tcPr>
                  <w:tcW w:w="8796" w:type="dxa"/>
                </w:tcPr>
                <w:p w:rsidR="006E5ADA" w:rsidRPr="00A63F7F" w:rsidRDefault="006E5ADA" w:rsidP="00A63F7F">
                  <w:pPr>
                    <w:jc w:val="center"/>
                    <w:rPr>
                      <w:rFonts w:cstheme="minorHAnsi"/>
                      <w:b/>
                    </w:rPr>
                  </w:pPr>
                  <w:r w:rsidRPr="00A63F7F">
                    <w:rPr>
                      <w:rFonts w:cstheme="minorHAnsi"/>
                      <w:b/>
                    </w:rPr>
                    <w:t xml:space="preserve">Figure </w:t>
                  </w:r>
                  <w:r w:rsidR="00A63F7F">
                    <w:rPr>
                      <w:rFonts w:cstheme="minorHAnsi"/>
                      <w:b/>
                    </w:rPr>
                    <w:t>B.1</w:t>
                  </w:r>
                  <w:r w:rsidRPr="00A63F7F">
                    <w:rPr>
                      <w:rFonts w:cstheme="minorHAnsi"/>
                      <w:b/>
                    </w:rPr>
                    <w:t>.  Afghanistan Exports and Import, 2009</w:t>
                  </w:r>
                </w:p>
              </w:tc>
              <w:tc>
                <w:tcPr>
                  <w:tcW w:w="564" w:type="dxa"/>
                </w:tcPr>
                <w:p w:rsidR="006E5ADA" w:rsidRPr="00A63F7F" w:rsidRDefault="006E5ADA" w:rsidP="00A63F7F">
                  <w:pPr>
                    <w:rPr>
                      <w:rFonts w:cstheme="minorHAnsi"/>
                    </w:rPr>
                  </w:pPr>
                </w:p>
              </w:tc>
            </w:tr>
            <w:tr w:rsidR="00A63F7F" w:rsidRPr="00A63F7F" w:rsidTr="00A63F7F">
              <w:trPr>
                <w:trHeight w:val="2964"/>
              </w:trPr>
              <w:tc>
                <w:tcPr>
                  <w:tcW w:w="8796" w:type="dxa"/>
                </w:tcPr>
                <w:p w:rsidR="006E5ADA" w:rsidRDefault="003B39F6" w:rsidP="00A63F7F">
                  <w:pPr>
                    <w:jc w:val="center"/>
                    <w:rPr>
                      <w:rFonts w:cstheme="minorHAnsi"/>
                    </w:rPr>
                  </w:pPr>
                  <w:r>
                    <w:rPr>
                      <w:rFonts w:cstheme="minorHAnsi"/>
                      <w:noProof/>
                      <w:lang w:bidi="ar-SA"/>
                    </w:rPr>
                    <w:drawing>
                      <wp:inline distT="0" distB="0" distL="0" distR="0" wp14:anchorId="3EE75936" wp14:editId="4C5645DB">
                        <wp:extent cx="3684710" cy="2038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2497" cy="2037126"/>
                                </a:xfrm>
                                <a:prstGeom prst="rect">
                                  <a:avLst/>
                                </a:prstGeom>
                                <a:noFill/>
                              </pic:spPr>
                            </pic:pic>
                          </a:graphicData>
                        </a:graphic>
                      </wp:inline>
                    </w:drawing>
                  </w:r>
                </w:p>
                <w:p w:rsidR="0088375D" w:rsidRPr="00A63F7F" w:rsidRDefault="0088375D" w:rsidP="00A63F7F">
                  <w:pPr>
                    <w:jc w:val="center"/>
                    <w:rPr>
                      <w:rFonts w:cstheme="minorHAnsi"/>
                    </w:rPr>
                  </w:pPr>
                </w:p>
              </w:tc>
              <w:tc>
                <w:tcPr>
                  <w:tcW w:w="564" w:type="dxa"/>
                </w:tcPr>
                <w:p w:rsidR="006E5ADA" w:rsidRPr="00A63F7F" w:rsidRDefault="006E5ADA" w:rsidP="006E5ADA">
                  <w:pPr>
                    <w:rPr>
                      <w:rFonts w:cstheme="minorHAnsi"/>
                    </w:rPr>
                  </w:pPr>
                </w:p>
              </w:tc>
            </w:tr>
            <w:tr w:rsidR="00A63F7F" w:rsidRPr="00A63F7F" w:rsidTr="00A63F7F">
              <w:trPr>
                <w:trHeight w:val="2193"/>
              </w:trPr>
              <w:tc>
                <w:tcPr>
                  <w:tcW w:w="8796" w:type="dxa"/>
                </w:tcPr>
                <w:tbl>
                  <w:tblPr>
                    <w:tblStyle w:val="LightShading-Accent11"/>
                    <w:tblW w:w="8580" w:type="dxa"/>
                    <w:tblLook w:val="04A0" w:firstRow="1" w:lastRow="0" w:firstColumn="1" w:lastColumn="0" w:noHBand="0" w:noVBand="1"/>
                  </w:tblPr>
                  <w:tblGrid>
                    <w:gridCol w:w="2260"/>
                    <w:gridCol w:w="2920"/>
                    <w:gridCol w:w="3400"/>
                  </w:tblGrid>
                  <w:tr w:rsidR="00A63F7F" w:rsidRPr="00A63F7F" w:rsidTr="00A63F7F">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580" w:type="dxa"/>
                        <w:gridSpan w:val="3"/>
                        <w:noWrap/>
                      </w:tcPr>
                      <w:p w:rsidR="00A63F7F" w:rsidRPr="00A63F7F" w:rsidRDefault="00A63F7F" w:rsidP="00A63F7F">
                        <w:pPr>
                          <w:jc w:val="left"/>
                          <w:rPr>
                            <w:rFonts w:ascii="Calibri" w:eastAsia="Times New Roman" w:hAnsi="Calibri" w:cs="Calibri"/>
                            <w:bCs w:val="0"/>
                            <w:lang w:bidi="ar-SA"/>
                          </w:rPr>
                        </w:pPr>
                        <w:r>
                          <w:rPr>
                            <w:rFonts w:cstheme="minorHAnsi"/>
                            <w:color w:val="auto"/>
                          </w:rPr>
                          <w:t>Table B.1</w:t>
                        </w:r>
                        <w:r w:rsidRPr="00A63F7F">
                          <w:rPr>
                            <w:rFonts w:cstheme="minorHAnsi"/>
                            <w:color w:val="auto"/>
                          </w:rPr>
                          <w:t>. Difference Across Trade Data, 2009</w:t>
                        </w:r>
                      </w:p>
                    </w:tc>
                  </w:tr>
                  <w:tr w:rsidR="00A63F7F" w:rsidRPr="00A63F7F" w:rsidTr="00A63F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60" w:type="dxa"/>
                        <w:noWrap/>
                        <w:hideMark/>
                      </w:tcPr>
                      <w:p w:rsidR="00A63F7F" w:rsidRPr="00FE441F" w:rsidRDefault="00A63F7F" w:rsidP="00281B01">
                        <w:pPr>
                          <w:jc w:val="left"/>
                          <w:rPr>
                            <w:rFonts w:ascii="Calibri" w:eastAsia="Times New Roman" w:hAnsi="Calibri" w:cs="Calibri"/>
                            <w:b w:val="0"/>
                            <w:color w:val="auto"/>
                            <w:u w:val="single"/>
                            <w:lang w:bidi="ar-SA"/>
                          </w:rPr>
                        </w:pPr>
                        <w:r w:rsidRPr="00FE441F">
                          <w:rPr>
                            <w:rFonts w:ascii="Calibri" w:eastAsia="Times New Roman" w:hAnsi="Calibri" w:cs="Calibri"/>
                            <w:b w:val="0"/>
                            <w:color w:val="auto"/>
                            <w:u w:val="single"/>
                            <w:lang w:bidi="ar-SA"/>
                          </w:rPr>
                          <w:t>Includes estimates for:</w:t>
                        </w:r>
                      </w:p>
                    </w:tc>
                    <w:tc>
                      <w:tcPr>
                        <w:tcW w:w="2920" w:type="dxa"/>
                        <w:noWrap/>
                        <w:hideMark/>
                      </w:tcPr>
                      <w:p w:rsidR="00A63F7F" w:rsidRPr="00FE441F" w:rsidRDefault="00A63F7F" w:rsidP="00281B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auto"/>
                            <w:lang w:bidi="ar-SA"/>
                          </w:rPr>
                        </w:pPr>
                        <w:r w:rsidRPr="00FE441F">
                          <w:rPr>
                            <w:rFonts w:ascii="Calibri" w:eastAsia="Times New Roman" w:hAnsi="Calibri" w:cs="Calibri"/>
                            <w:bCs/>
                            <w:color w:val="auto"/>
                            <w:lang w:bidi="ar-SA"/>
                          </w:rPr>
                          <w:t>Export</w:t>
                        </w:r>
                      </w:p>
                    </w:tc>
                    <w:tc>
                      <w:tcPr>
                        <w:tcW w:w="3400" w:type="dxa"/>
                        <w:noWrap/>
                        <w:hideMark/>
                      </w:tcPr>
                      <w:p w:rsidR="00A63F7F" w:rsidRPr="00FE441F" w:rsidRDefault="00A63F7F" w:rsidP="00281B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auto"/>
                            <w:lang w:bidi="ar-SA"/>
                          </w:rPr>
                        </w:pPr>
                        <w:r w:rsidRPr="00FE441F">
                          <w:rPr>
                            <w:rFonts w:ascii="Calibri" w:eastAsia="Times New Roman" w:hAnsi="Calibri" w:cs="Calibri"/>
                            <w:bCs/>
                            <w:color w:val="auto"/>
                            <w:lang w:bidi="ar-SA"/>
                          </w:rPr>
                          <w:t>Import</w:t>
                        </w:r>
                      </w:p>
                    </w:tc>
                  </w:tr>
                  <w:tr w:rsidR="00A63F7F" w:rsidRPr="00A63F7F" w:rsidTr="00A63F7F">
                    <w:trPr>
                      <w:trHeight w:val="285"/>
                    </w:trPr>
                    <w:tc>
                      <w:tcPr>
                        <w:cnfStyle w:val="001000000000" w:firstRow="0" w:lastRow="0" w:firstColumn="1" w:lastColumn="0" w:oddVBand="0" w:evenVBand="0" w:oddHBand="0" w:evenHBand="0" w:firstRowFirstColumn="0" w:firstRowLastColumn="0" w:lastRowFirstColumn="0" w:lastRowLastColumn="0"/>
                        <w:tcW w:w="2260" w:type="dxa"/>
                        <w:noWrap/>
                        <w:hideMark/>
                      </w:tcPr>
                      <w:p w:rsidR="00A63F7F" w:rsidRPr="00FE441F" w:rsidRDefault="00A63F7F" w:rsidP="00281B01">
                        <w:pPr>
                          <w:jc w:val="left"/>
                          <w:rPr>
                            <w:rFonts w:ascii="Calibri" w:eastAsia="Times New Roman" w:hAnsi="Calibri" w:cs="Calibri"/>
                            <w:b w:val="0"/>
                            <w:color w:val="auto"/>
                            <w:lang w:bidi="ar-SA"/>
                          </w:rPr>
                        </w:pPr>
                        <w:r w:rsidRPr="00FE441F">
                          <w:rPr>
                            <w:rFonts w:ascii="Calibri" w:eastAsia="Times New Roman" w:hAnsi="Calibri" w:cs="Calibri"/>
                            <w:b w:val="0"/>
                            <w:color w:val="auto"/>
                            <w:lang w:bidi="ar-SA"/>
                          </w:rPr>
                          <w:t>Duty Free Imports</w:t>
                        </w:r>
                      </w:p>
                    </w:tc>
                    <w:tc>
                      <w:tcPr>
                        <w:tcW w:w="2920" w:type="dxa"/>
                        <w:noWrap/>
                        <w:hideMark/>
                      </w:tcPr>
                      <w:p w:rsidR="00A63F7F" w:rsidRPr="00FE441F" w:rsidRDefault="00A63F7F" w:rsidP="00281B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bidi="ar-SA"/>
                          </w:rPr>
                        </w:pPr>
                        <w:r w:rsidRPr="00FE441F">
                          <w:rPr>
                            <w:rFonts w:ascii="Calibri" w:eastAsia="Times New Roman" w:hAnsi="Calibri" w:cs="Calibri"/>
                            <w:color w:val="auto"/>
                            <w:lang w:bidi="ar-SA"/>
                          </w:rPr>
                          <w:t>-</w:t>
                        </w:r>
                      </w:p>
                    </w:tc>
                    <w:tc>
                      <w:tcPr>
                        <w:tcW w:w="3400" w:type="dxa"/>
                        <w:noWrap/>
                        <w:hideMark/>
                      </w:tcPr>
                      <w:p w:rsidR="00A63F7F" w:rsidRPr="00FE441F" w:rsidRDefault="00A63F7F" w:rsidP="00281B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bidi="ar-SA"/>
                          </w:rPr>
                        </w:pPr>
                        <w:r w:rsidRPr="00FE441F">
                          <w:rPr>
                            <w:rFonts w:ascii="Calibri" w:eastAsia="Times New Roman" w:hAnsi="Calibri" w:cs="Calibri"/>
                            <w:color w:val="auto"/>
                            <w:lang w:bidi="ar-SA"/>
                          </w:rPr>
                          <w:t>IMF BOP &amp; DoT, WITS mirror data</w:t>
                        </w:r>
                      </w:p>
                    </w:tc>
                  </w:tr>
                  <w:tr w:rsidR="00A63F7F" w:rsidRPr="00A63F7F" w:rsidTr="00A63F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60" w:type="dxa"/>
                        <w:noWrap/>
                        <w:hideMark/>
                      </w:tcPr>
                      <w:p w:rsidR="00A63F7F" w:rsidRPr="00FE441F" w:rsidRDefault="00A63F7F" w:rsidP="00281B01">
                        <w:pPr>
                          <w:jc w:val="left"/>
                          <w:rPr>
                            <w:rFonts w:ascii="Calibri" w:eastAsia="Times New Roman" w:hAnsi="Calibri" w:cs="Calibri"/>
                            <w:b w:val="0"/>
                            <w:color w:val="auto"/>
                            <w:lang w:bidi="ar-SA"/>
                          </w:rPr>
                        </w:pPr>
                        <w:r w:rsidRPr="00FE441F">
                          <w:rPr>
                            <w:rFonts w:ascii="Calibri" w:eastAsia="Times New Roman" w:hAnsi="Calibri" w:cs="Calibri"/>
                            <w:b w:val="0"/>
                            <w:color w:val="auto"/>
                            <w:lang w:bidi="ar-SA"/>
                          </w:rPr>
                          <w:t>Transit Flows (re-exports)</w:t>
                        </w:r>
                      </w:p>
                    </w:tc>
                    <w:tc>
                      <w:tcPr>
                        <w:tcW w:w="2920" w:type="dxa"/>
                        <w:noWrap/>
                        <w:hideMark/>
                      </w:tcPr>
                      <w:p w:rsidR="00A63F7F" w:rsidRPr="00FE441F" w:rsidRDefault="00A63F7F" w:rsidP="00281B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lang w:bidi="ar-SA"/>
                          </w:rPr>
                        </w:pPr>
                        <w:r w:rsidRPr="00FE441F">
                          <w:rPr>
                            <w:rFonts w:ascii="Calibri" w:eastAsia="Times New Roman" w:hAnsi="Calibri" w:cs="Calibri"/>
                            <w:color w:val="auto"/>
                            <w:lang w:bidi="ar-SA"/>
                          </w:rPr>
                          <w:t>IMF BOP &amp; DoT, WITS mirror data</w:t>
                        </w:r>
                      </w:p>
                    </w:tc>
                    <w:tc>
                      <w:tcPr>
                        <w:tcW w:w="3400" w:type="dxa"/>
                        <w:noWrap/>
                        <w:hideMark/>
                      </w:tcPr>
                      <w:p w:rsidR="00A63F7F" w:rsidRPr="00FE441F" w:rsidRDefault="00A63F7F" w:rsidP="00281B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lang w:bidi="ar-SA"/>
                          </w:rPr>
                        </w:pPr>
                        <w:r w:rsidRPr="00FE441F">
                          <w:rPr>
                            <w:rFonts w:ascii="Calibri" w:eastAsia="Times New Roman" w:hAnsi="Calibri" w:cs="Calibri"/>
                            <w:color w:val="auto"/>
                            <w:lang w:bidi="ar-SA"/>
                          </w:rPr>
                          <w:t>IMF BOP &amp; DoT, CSO National Accounts</w:t>
                        </w:r>
                      </w:p>
                    </w:tc>
                  </w:tr>
                  <w:tr w:rsidR="00A63F7F" w:rsidRPr="00A63F7F" w:rsidTr="00A63F7F">
                    <w:trPr>
                      <w:trHeight w:val="285"/>
                    </w:trPr>
                    <w:tc>
                      <w:tcPr>
                        <w:cnfStyle w:val="001000000000" w:firstRow="0" w:lastRow="0" w:firstColumn="1" w:lastColumn="0" w:oddVBand="0" w:evenVBand="0" w:oddHBand="0" w:evenHBand="0" w:firstRowFirstColumn="0" w:firstRowLastColumn="0" w:lastRowFirstColumn="0" w:lastRowLastColumn="0"/>
                        <w:tcW w:w="2260" w:type="dxa"/>
                        <w:noWrap/>
                        <w:hideMark/>
                      </w:tcPr>
                      <w:p w:rsidR="00A63F7F" w:rsidRPr="00FE441F" w:rsidRDefault="00A63F7F" w:rsidP="00281B01">
                        <w:pPr>
                          <w:jc w:val="left"/>
                          <w:rPr>
                            <w:rFonts w:ascii="Calibri" w:eastAsia="Times New Roman" w:hAnsi="Calibri" w:cs="Calibri"/>
                            <w:b w:val="0"/>
                            <w:color w:val="auto"/>
                            <w:lang w:bidi="ar-SA"/>
                          </w:rPr>
                        </w:pPr>
                        <w:r w:rsidRPr="00FE441F">
                          <w:rPr>
                            <w:rFonts w:ascii="Calibri" w:eastAsia="Times New Roman" w:hAnsi="Calibri" w:cs="Calibri"/>
                            <w:b w:val="0"/>
                            <w:color w:val="auto"/>
                            <w:lang w:bidi="ar-SA"/>
                          </w:rPr>
                          <w:t xml:space="preserve">Smuggling </w:t>
                        </w:r>
                      </w:p>
                    </w:tc>
                    <w:tc>
                      <w:tcPr>
                        <w:tcW w:w="2920" w:type="dxa"/>
                        <w:noWrap/>
                        <w:hideMark/>
                      </w:tcPr>
                      <w:p w:rsidR="00A63F7F" w:rsidRPr="00FE441F" w:rsidRDefault="00A63F7F" w:rsidP="00281B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bidi="ar-SA"/>
                          </w:rPr>
                        </w:pPr>
                        <w:r w:rsidRPr="00FE441F">
                          <w:rPr>
                            <w:rFonts w:ascii="Calibri" w:eastAsia="Times New Roman" w:hAnsi="Calibri" w:cs="Calibri"/>
                            <w:color w:val="auto"/>
                            <w:lang w:bidi="ar-SA"/>
                          </w:rPr>
                          <w:t>IMF BOP</w:t>
                        </w:r>
                      </w:p>
                    </w:tc>
                    <w:tc>
                      <w:tcPr>
                        <w:tcW w:w="3400" w:type="dxa"/>
                        <w:noWrap/>
                        <w:hideMark/>
                      </w:tcPr>
                      <w:p w:rsidR="00A63F7F" w:rsidRPr="00FE441F" w:rsidRDefault="00A63F7F" w:rsidP="00281B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bidi="ar-SA"/>
                          </w:rPr>
                        </w:pPr>
                        <w:r w:rsidRPr="00FE441F">
                          <w:rPr>
                            <w:rFonts w:ascii="Calibri" w:eastAsia="Times New Roman" w:hAnsi="Calibri" w:cs="Calibri"/>
                            <w:color w:val="auto"/>
                            <w:lang w:bidi="ar-SA"/>
                          </w:rPr>
                          <w:t>IMF BOP, CSO National Accounts,</w:t>
                        </w:r>
                      </w:p>
                    </w:tc>
                  </w:tr>
                  <w:tr w:rsidR="00A63F7F" w:rsidRPr="00A63F7F" w:rsidTr="00A63F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60" w:type="dxa"/>
                        <w:noWrap/>
                      </w:tcPr>
                      <w:p w:rsidR="00A63F7F" w:rsidRPr="00A63F7F" w:rsidRDefault="00A63F7F" w:rsidP="00281B01">
                        <w:pPr>
                          <w:jc w:val="left"/>
                          <w:rPr>
                            <w:rFonts w:ascii="Calibri" w:eastAsia="Times New Roman" w:hAnsi="Calibri" w:cs="Calibri"/>
                            <w:b w:val="0"/>
                            <w:lang w:bidi="ar-SA"/>
                          </w:rPr>
                        </w:pPr>
                      </w:p>
                    </w:tc>
                    <w:tc>
                      <w:tcPr>
                        <w:tcW w:w="2920" w:type="dxa"/>
                        <w:noWrap/>
                      </w:tcPr>
                      <w:p w:rsidR="00A63F7F" w:rsidRPr="00A63F7F" w:rsidRDefault="00A63F7F" w:rsidP="00281B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bidi="ar-SA"/>
                          </w:rPr>
                        </w:pPr>
                      </w:p>
                    </w:tc>
                    <w:tc>
                      <w:tcPr>
                        <w:tcW w:w="3400" w:type="dxa"/>
                        <w:noWrap/>
                      </w:tcPr>
                      <w:p w:rsidR="00A63F7F" w:rsidRPr="00A63F7F" w:rsidRDefault="00A63F7F" w:rsidP="00281B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bidi="ar-SA"/>
                          </w:rPr>
                        </w:pPr>
                      </w:p>
                    </w:tc>
                  </w:tr>
                  <w:tr w:rsidR="00A63F7F" w:rsidRPr="00A63F7F" w:rsidTr="00A63F7F">
                    <w:trPr>
                      <w:trHeight w:val="285"/>
                    </w:trPr>
                    <w:tc>
                      <w:tcPr>
                        <w:cnfStyle w:val="001000000000" w:firstRow="0" w:lastRow="0" w:firstColumn="1" w:lastColumn="0" w:oddVBand="0" w:evenVBand="0" w:oddHBand="0" w:evenHBand="0" w:firstRowFirstColumn="0" w:firstRowLastColumn="0" w:lastRowFirstColumn="0" w:lastRowLastColumn="0"/>
                        <w:tcW w:w="2260" w:type="dxa"/>
                        <w:noWrap/>
                      </w:tcPr>
                      <w:p w:rsidR="00A63F7F" w:rsidRPr="00A63F7F" w:rsidRDefault="00A63F7F" w:rsidP="00281B01">
                        <w:pPr>
                          <w:jc w:val="left"/>
                          <w:rPr>
                            <w:rFonts w:ascii="Calibri" w:eastAsia="Times New Roman" w:hAnsi="Calibri" w:cs="Calibri"/>
                            <w:b w:val="0"/>
                            <w:lang w:bidi="ar-SA"/>
                          </w:rPr>
                        </w:pPr>
                      </w:p>
                    </w:tc>
                    <w:tc>
                      <w:tcPr>
                        <w:tcW w:w="2920" w:type="dxa"/>
                        <w:noWrap/>
                      </w:tcPr>
                      <w:p w:rsidR="00A63F7F" w:rsidRPr="00A63F7F" w:rsidRDefault="00A63F7F" w:rsidP="00281B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bidi="ar-SA"/>
                          </w:rPr>
                        </w:pPr>
                      </w:p>
                    </w:tc>
                    <w:tc>
                      <w:tcPr>
                        <w:tcW w:w="3400" w:type="dxa"/>
                        <w:noWrap/>
                      </w:tcPr>
                      <w:p w:rsidR="00A63F7F" w:rsidRPr="00A63F7F" w:rsidRDefault="00A63F7F" w:rsidP="00281B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bidi="ar-SA"/>
                          </w:rPr>
                        </w:pPr>
                      </w:p>
                    </w:tc>
                  </w:tr>
                </w:tbl>
                <w:p w:rsidR="00A63F7F" w:rsidRPr="00A63F7F" w:rsidRDefault="00A63F7F" w:rsidP="006E5ADA">
                  <w:pPr>
                    <w:rPr>
                      <w:rFonts w:cstheme="minorHAnsi"/>
                      <w:noProof/>
                    </w:rPr>
                  </w:pPr>
                </w:p>
              </w:tc>
              <w:tc>
                <w:tcPr>
                  <w:tcW w:w="564" w:type="dxa"/>
                </w:tcPr>
                <w:p w:rsidR="00A63F7F" w:rsidRPr="00A63F7F" w:rsidRDefault="00A63F7F" w:rsidP="00FE441F">
                  <w:pPr>
                    <w:jc w:val="left"/>
                    <w:rPr>
                      <w:rFonts w:ascii="Calibri" w:eastAsia="Times New Roman" w:hAnsi="Calibri" w:cs="Calibri"/>
                      <w:sz w:val="20"/>
                      <w:lang w:bidi="ar-SA"/>
                    </w:rPr>
                  </w:pPr>
                </w:p>
              </w:tc>
            </w:tr>
            <w:tr w:rsidR="00A63F7F" w:rsidRPr="00A63F7F" w:rsidTr="00A63F7F">
              <w:trPr>
                <w:trHeight w:val="242"/>
              </w:trPr>
              <w:tc>
                <w:tcPr>
                  <w:tcW w:w="8796" w:type="dxa"/>
                </w:tcPr>
                <w:p w:rsidR="00A63F7F" w:rsidRPr="00A63F7F" w:rsidRDefault="00A63F7F" w:rsidP="006E5ADA">
                  <w:pPr>
                    <w:rPr>
                      <w:rFonts w:cstheme="minorHAnsi"/>
                      <w:noProof/>
                    </w:rPr>
                  </w:pPr>
                </w:p>
              </w:tc>
              <w:tc>
                <w:tcPr>
                  <w:tcW w:w="564" w:type="dxa"/>
                </w:tcPr>
                <w:p w:rsidR="00A63F7F" w:rsidRPr="00A63F7F" w:rsidRDefault="00A63F7F" w:rsidP="00FE441F">
                  <w:pPr>
                    <w:jc w:val="left"/>
                    <w:rPr>
                      <w:rFonts w:ascii="Calibri" w:eastAsia="Times New Roman" w:hAnsi="Calibri" w:cs="Calibri"/>
                      <w:sz w:val="20"/>
                      <w:lang w:bidi="ar-SA"/>
                    </w:rPr>
                  </w:pPr>
                </w:p>
              </w:tc>
            </w:tr>
          </w:tbl>
          <w:p w:rsidR="00D82607" w:rsidRDefault="006E5ADA" w:rsidP="00FE441F">
            <w:pPr>
              <w:rPr>
                <w:rFonts w:cstheme="minorHAnsi"/>
                <w:b w:val="0"/>
                <w:color w:val="auto"/>
              </w:rPr>
            </w:pPr>
            <w:r w:rsidRPr="00A63F7F">
              <w:rPr>
                <w:rFonts w:cstheme="minorHAnsi"/>
                <w:b w:val="0"/>
                <w:color w:val="auto"/>
              </w:rPr>
              <w:t>This report attempts to better understand these differences</w:t>
            </w:r>
            <w:r w:rsidR="00494A3B">
              <w:rPr>
                <w:rFonts w:cstheme="minorHAnsi"/>
                <w:b w:val="0"/>
                <w:color w:val="auto"/>
              </w:rPr>
              <w:t xml:space="preserve"> </w:t>
            </w:r>
            <w:r w:rsidR="0037777B">
              <w:rPr>
                <w:rFonts w:cstheme="minorHAnsi"/>
                <w:b w:val="0"/>
                <w:color w:val="auto"/>
              </w:rPr>
              <w:t>across methodologies</w:t>
            </w:r>
            <w:r w:rsidR="00494A3B">
              <w:rPr>
                <w:rFonts w:cstheme="minorHAnsi"/>
                <w:b w:val="0"/>
                <w:color w:val="auto"/>
              </w:rPr>
              <w:t>, which</w:t>
            </w:r>
            <w:r w:rsidR="0037777B">
              <w:rPr>
                <w:rFonts w:cstheme="minorHAnsi"/>
                <w:b w:val="0"/>
                <w:color w:val="auto"/>
              </w:rPr>
              <w:t xml:space="preserve"> depend on the inclusion</w:t>
            </w:r>
            <w:r w:rsidR="00831599">
              <w:rPr>
                <w:rFonts w:cstheme="minorHAnsi"/>
                <w:b w:val="0"/>
                <w:color w:val="auto"/>
              </w:rPr>
              <w:t xml:space="preserve"> (or exclusion)</w:t>
            </w:r>
            <w:r w:rsidR="0037777B">
              <w:rPr>
                <w:rFonts w:cstheme="minorHAnsi"/>
                <w:b w:val="0"/>
                <w:color w:val="auto"/>
              </w:rPr>
              <w:t xml:space="preserve"> of 3 factors within estimates</w:t>
            </w:r>
            <w:r w:rsidRPr="00A63F7F">
              <w:rPr>
                <w:rFonts w:cstheme="minorHAnsi"/>
                <w:b w:val="0"/>
                <w:color w:val="auto"/>
              </w:rPr>
              <w:t xml:space="preserve">:  i) </w:t>
            </w:r>
            <w:r w:rsidR="00476422">
              <w:rPr>
                <w:rFonts w:cstheme="minorHAnsi"/>
                <w:b w:val="0"/>
                <w:color w:val="auto"/>
              </w:rPr>
              <w:t>d</w:t>
            </w:r>
            <w:r w:rsidRPr="00A63F7F">
              <w:rPr>
                <w:rFonts w:cstheme="minorHAnsi"/>
                <w:b w:val="0"/>
                <w:color w:val="auto"/>
              </w:rPr>
              <w:t xml:space="preserve">uty free non domestic imports, ii) </w:t>
            </w:r>
            <w:r w:rsidR="00476422">
              <w:rPr>
                <w:rFonts w:cstheme="minorHAnsi"/>
                <w:b w:val="0"/>
                <w:color w:val="auto"/>
              </w:rPr>
              <w:t>t</w:t>
            </w:r>
            <w:r w:rsidRPr="00A63F7F">
              <w:rPr>
                <w:rFonts w:cstheme="minorHAnsi"/>
                <w:b w:val="0"/>
                <w:color w:val="auto"/>
              </w:rPr>
              <w:t>ransit flows, also called “re- exports</w:t>
            </w:r>
            <w:r w:rsidR="0088375D">
              <w:rPr>
                <w:rFonts w:cstheme="minorHAnsi"/>
                <w:b w:val="0"/>
                <w:color w:val="auto"/>
              </w:rPr>
              <w:t>,</w:t>
            </w:r>
            <w:r w:rsidRPr="00A63F7F">
              <w:rPr>
                <w:rFonts w:cstheme="minorHAnsi"/>
                <w:b w:val="0"/>
                <w:color w:val="auto"/>
              </w:rPr>
              <w:t xml:space="preserve">” and </w:t>
            </w:r>
            <w:r w:rsidR="0088375D">
              <w:rPr>
                <w:rFonts w:cstheme="minorHAnsi"/>
                <w:b w:val="0"/>
                <w:color w:val="auto"/>
              </w:rPr>
              <w:t xml:space="preserve">iii) </w:t>
            </w:r>
            <w:r w:rsidR="00FE441F" w:rsidRPr="00A63F7F">
              <w:rPr>
                <w:rFonts w:cstheme="minorHAnsi"/>
                <w:b w:val="0"/>
                <w:color w:val="auto"/>
              </w:rPr>
              <w:t>estimates for “s</w:t>
            </w:r>
            <w:r w:rsidRPr="00A63F7F">
              <w:rPr>
                <w:rFonts w:cstheme="minorHAnsi"/>
                <w:b w:val="0"/>
                <w:color w:val="auto"/>
              </w:rPr>
              <w:t>muggling.</w:t>
            </w:r>
            <w:r w:rsidR="00FE441F" w:rsidRPr="00A63F7F">
              <w:rPr>
                <w:rFonts w:cstheme="minorHAnsi"/>
                <w:b w:val="0"/>
                <w:color w:val="auto"/>
              </w:rPr>
              <w:t>”</w:t>
            </w:r>
            <w:r w:rsidRPr="00A63F7F">
              <w:rPr>
                <w:rFonts w:cstheme="minorHAnsi"/>
                <w:b w:val="0"/>
                <w:color w:val="auto"/>
              </w:rPr>
              <w:t xml:space="preserve">  </w:t>
            </w:r>
            <w:r w:rsidR="00FE441F" w:rsidRPr="00A63F7F">
              <w:rPr>
                <w:rFonts w:cstheme="minorHAnsi"/>
                <w:b w:val="0"/>
                <w:color w:val="auto"/>
              </w:rPr>
              <w:t xml:space="preserve">Table </w:t>
            </w:r>
            <w:r w:rsidR="00D82607">
              <w:rPr>
                <w:rFonts w:cstheme="minorHAnsi"/>
                <w:b w:val="0"/>
                <w:color w:val="auto"/>
              </w:rPr>
              <w:t xml:space="preserve">B.1 maps the </w:t>
            </w:r>
            <w:r w:rsidR="00FE441F" w:rsidRPr="00A63F7F">
              <w:rPr>
                <w:rFonts w:cstheme="minorHAnsi"/>
                <w:b w:val="0"/>
                <w:color w:val="auto"/>
              </w:rPr>
              <w:t xml:space="preserve">differences across definitions for </w:t>
            </w:r>
            <w:r w:rsidR="00D82607">
              <w:rPr>
                <w:rFonts w:cstheme="minorHAnsi"/>
                <w:b w:val="0"/>
                <w:color w:val="auto"/>
              </w:rPr>
              <w:t xml:space="preserve">sources reporting Afghan </w:t>
            </w:r>
            <w:r w:rsidR="00FE441F" w:rsidRPr="00A63F7F">
              <w:rPr>
                <w:rFonts w:cstheme="minorHAnsi"/>
                <w:b w:val="0"/>
                <w:color w:val="auto"/>
              </w:rPr>
              <w:t>trade</w:t>
            </w:r>
            <w:r w:rsidR="00D82607">
              <w:rPr>
                <w:rFonts w:cstheme="minorHAnsi"/>
                <w:b w:val="0"/>
                <w:color w:val="auto"/>
              </w:rPr>
              <w:t xml:space="preserve"> flows</w:t>
            </w:r>
            <w:r w:rsidR="00FE441F" w:rsidRPr="00A63F7F">
              <w:rPr>
                <w:rFonts w:cstheme="minorHAnsi"/>
                <w:b w:val="0"/>
                <w:color w:val="auto"/>
              </w:rPr>
              <w:t xml:space="preserve">.  </w:t>
            </w:r>
          </w:p>
          <w:p w:rsidR="00D82607" w:rsidRDefault="00D82607" w:rsidP="00FE441F">
            <w:pPr>
              <w:rPr>
                <w:rFonts w:cstheme="minorHAnsi"/>
                <w:b w:val="0"/>
                <w:color w:val="auto"/>
              </w:rPr>
            </w:pPr>
          </w:p>
          <w:p w:rsidR="006E5ADA" w:rsidRPr="0042036D" w:rsidRDefault="00FE441F" w:rsidP="00FE441F">
            <w:pPr>
              <w:rPr>
                <w:rFonts w:cstheme="minorHAnsi"/>
                <w:b w:val="0"/>
                <w:color w:val="auto"/>
              </w:rPr>
            </w:pPr>
            <w:r w:rsidRPr="00A63F7F">
              <w:rPr>
                <w:rFonts w:cstheme="minorHAnsi"/>
                <w:b w:val="0"/>
                <w:color w:val="auto"/>
              </w:rPr>
              <w:t xml:space="preserve">The analysis </w:t>
            </w:r>
            <w:r w:rsidR="00D82607">
              <w:rPr>
                <w:rFonts w:cstheme="minorHAnsi"/>
                <w:b w:val="0"/>
                <w:color w:val="auto"/>
              </w:rPr>
              <w:t>on C</w:t>
            </w:r>
            <w:r w:rsidRPr="00A63F7F">
              <w:rPr>
                <w:rFonts w:cstheme="minorHAnsi"/>
                <w:b w:val="0"/>
                <w:color w:val="auto"/>
              </w:rPr>
              <w:t>hapter</w:t>
            </w:r>
            <w:r w:rsidR="00EF68EE">
              <w:rPr>
                <w:rFonts w:cstheme="minorHAnsi"/>
                <w:b w:val="0"/>
                <w:color w:val="auto"/>
              </w:rPr>
              <w:t xml:space="preserve"> I</w:t>
            </w:r>
            <w:r w:rsidR="00D82607">
              <w:rPr>
                <w:rFonts w:cstheme="minorHAnsi"/>
                <w:b w:val="0"/>
                <w:color w:val="auto"/>
              </w:rPr>
              <w:t xml:space="preserve"> relies </w:t>
            </w:r>
            <w:r w:rsidRPr="00A63F7F">
              <w:rPr>
                <w:rFonts w:cstheme="minorHAnsi"/>
                <w:b w:val="0"/>
                <w:color w:val="auto"/>
              </w:rPr>
              <w:t>on trade figures from the Central Statistics Office (CSO) and the Afghan Customs Department Trade (customs data).  Together, these are the only two sources that report historical data over 2004-2010 and allow a breakdown by country and by product at the (HS 6 digit).</w:t>
            </w:r>
            <w:r w:rsidRPr="00A63F7F">
              <w:rPr>
                <w:rFonts w:cstheme="minorHAnsi"/>
                <w:b w:val="0"/>
                <w:color w:val="auto"/>
              </w:rPr>
              <w:footnoteReference w:id="22"/>
            </w:r>
            <w:r w:rsidRPr="00A63F7F">
              <w:rPr>
                <w:rFonts w:cstheme="minorHAnsi"/>
                <w:b w:val="0"/>
                <w:color w:val="auto"/>
              </w:rPr>
              <w:t xml:space="preserve">  </w:t>
            </w:r>
          </w:p>
        </w:tc>
      </w:tr>
    </w:tbl>
    <w:p w:rsidR="00651A80" w:rsidRPr="00073AC8" w:rsidRDefault="00651A80" w:rsidP="00651A80">
      <w:pPr>
        <w:spacing w:after="0" w:line="240" w:lineRule="auto"/>
        <w:ind w:left="45"/>
        <w:rPr>
          <w:szCs w:val="22"/>
        </w:rPr>
      </w:pPr>
    </w:p>
    <w:p w:rsidR="004B4AF9" w:rsidRPr="00946FB5" w:rsidRDefault="004B4AF9">
      <w:pPr>
        <w:jc w:val="left"/>
        <w:rPr>
          <w:rStyle w:val="FootnoteReference"/>
        </w:rPr>
      </w:pPr>
      <w:r>
        <w:br w:type="page"/>
      </w:r>
    </w:p>
    <w:p w:rsidR="0014667F" w:rsidRPr="00073AC8" w:rsidRDefault="004B4AF9" w:rsidP="0014667F">
      <w:pPr>
        <w:pStyle w:val="Heading1"/>
      </w:pPr>
      <w:bookmarkStart w:id="200" w:name="_Toc327208436"/>
      <w:bookmarkStart w:id="201" w:name="_Toc348451676"/>
      <w:r>
        <w:lastRenderedPageBreak/>
        <w:t>Chapter I</w:t>
      </w:r>
      <w:r w:rsidR="0096188B">
        <w:t>:</w:t>
      </w:r>
      <w:r>
        <w:t xml:space="preserve"> </w:t>
      </w:r>
      <w:r w:rsidR="006A71B4">
        <w:t xml:space="preserve"> </w:t>
      </w:r>
      <w:r w:rsidR="0014667F" w:rsidRPr="00073AC8">
        <w:t>Trade Performance and Policy in Afghanistan</w:t>
      </w:r>
      <w:bookmarkEnd w:id="200"/>
      <w:bookmarkEnd w:id="201"/>
    </w:p>
    <w:p w:rsidR="00873531" w:rsidRPr="00873531" w:rsidRDefault="00873531" w:rsidP="0014667F">
      <w:pPr>
        <w:rPr>
          <w:i/>
          <w:lang w:eastAsia="fr-FR"/>
        </w:rPr>
      </w:pPr>
      <w:r w:rsidRPr="00873531">
        <w:rPr>
          <w:i/>
          <w:lang w:eastAsia="fr-FR"/>
        </w:rPr>
        <w:t xml:space="preserve">Over the past decade, Afghan exports have underperformed and import values today equate to three times that of exports. It is the reflection of the high level of donor aid. </w:t>
      </w:r>
      <w:r w:rsidRPr="00873531">
        <w:rPr>
          <w:i/>
          <w:szCs w:val="22"/>
          <w:lang w:eastAsia="fr-FR"/>
        </w:rPr>
        <w:t xml:space="preserve"> </w:t>
      </w:r>
      <w:r w:rsidRPr="00873531">
        <w:rPr>
          <w:i/>
          <w:lang w:eastAsia="fr-FR"/>
        </w:rPr>
        <w:t xml:space="preserve">The export base is unusually narrow, with few tradable products, concentrated in few markets, </w:t>
      </w:r>
      <w:r w:rsidR="00ED4565">
        <w:rPr>
          <w:i/>
          <w:lang w:eastAsia="fr-FR"/>
        </w:rPr>
        <w:t xml:space="preserve">and trade data trends </w:t>
      </w:r>
      <w:r w:rsidRPr="00873531">
        <w:rPr>
          <w:i/>
          <w:lang w:eastAsia="fr-FR"/>
        </w:rPr>
        <w:t xml:space="preserve">raise doubts about their long-term survivability.  </w:t>
      </w:r>
      <w:r w:rsidRPr="00873531">
        <w:rPr>
          <w:i/>
          <w:szCs w:val="22"/>
        </w:rPr>
        <w:t xml:space="preserve">Afghanistan is one of the more open countries in the region and its tariff structure is below average compared to other LDCs.  </w:t>
      </w:r>
      <w:r w:rsidRPr="00873531">
        <w:rPr>
          <w:i/>
          <w:szCs w:val="22"/>
          <w:lang w:eastAsia="fr-FR"/>
        </w:rPr>
        <w:t xml:space="preserve">Few products are taxed above 15 percent, and </w:t>
      </w:r>
      <w:r w:rsidR="00071539">
        <w:rPr>
          <w:i/>
          <w:szCs w:val="22"/>
          <w:lang w:eastAsia="fr-FR"/>
        </w:rPr>
        <w:t xml:space="preserve">while </w:t>
      </w:r>
      <w:r w:rsidRPr="00873531">
        <w:rPr>
          <w:i/>
          <w:szCs w:val="22"/>
          <w:lang w:eastAsia="fr-FR"/>
        </w:rPr>
        <w:t xml:space="preserve">trade policy overall is conducive to </w:t>
      </w:r>
      <w:r w:rsidR="00071539">
        <w:rPr>
          <w:i/>
          <w:szCs w:val="22"/>
          <w:lang w:eastAsia="fr-FR"/>
        </w:rPr>
        <w:t>trade development</w:t>
      </w:r>
      <w:r w:rsidRPr="00873531">
        <w:rPr>
          <w:i/>
          <w:szCs w:val="22"/>
          <w:lang w:eastAsia="fr-FR"/>
        </w:rPr>
        <w:t xml:space="preserve">, </w:t>
      </w:r>
      <w:r w:rsidR="00071539">
        <w:rPr>
          <w:i/>
          <w:szCs w:val="22"/>
          <w:lang w:eastAsia="fr-FR"/>
        </w:rPr>
        <w:t>trade is</w:t>
      </w:r>
      <w:r w:rsidRPr="00873531">
        <w:rPr>
          <w:i/>
          <w:szCs w:val="22"/>
          <w:lang w:eastAsia="fr-FR"/>
        </w:rPr>
        <w:t xml:space="preserve"> not a current driver of growth.  Interestingly, trade policy is slightly progressive</w:t>
      </w:r>
      <w:r w:rsidRPr="00873531">
        <w:rPr>
          <w:i/>
          <w:szCs w:val="22"/>
        </w:rPr>
        <w:t xml:space="preserve"> and richer groups tend to pay higher duties for their imports; an important finding, given the country’s dependence on food imports.</w:t>
      </w:r>
      <w:r>
        <w:rPr>
          <w:rStyle w:val="FootnoteReference"/>
          <w:i/>
          <w:szCs w:val="22"/>
        </w:rPr>
        <w:footnoteReference w:id="23"/>
      </w:r>
      <w:r w:rsidRPr="00873531">
        <w:rPr>
          <w:i/>
          <w:szCs w:val="22"/>
        </w:rPr>
        <w:t xml:space="preserve">  </w:t>
      </w:r>
    </w:p>
    <w:p w:rsidR="0014667F" w:rsidRDefault="0014667F" w:rsidP="0014667F">
      <w:pPr>
        <w:pStyle w:val="Heading2"/>
      </w:pPr>
      <w:bookmarkStart w:id="202" w:name="_Toc327208437"/>
      <w:bookmarkStart w:id="203" w:name="_Toc348451677"/>
      <w:r>
        <w:t>Trade Performance</w:t>
      </w:r>
      <w:bookmarkEnd w:id="202"/>
      <w:bookmarkEnd w:id="203"/>
    </w:p>
    <w:p w:rsidR="00F84E73" w:rsidRPr="00F84E73" w:rsidRDefault="00F84E73" w:rsidP="00F84E73">
      <w:pPr>
        <w:spacing w:after="0"/>
        <w:rPr>
          <w:szCs w:val="22"/>
        </w:rPr>
      </w:pPr>
      <w:r w:rsidRPr="00F84E73">
        <w:rPr>
          <w:b/>
          <w:szCs w:val="22"/>
        </w:rPr>
        <w:t>Afghanistan’s trade balance is heavily skewed towards imports, reflecting the large aid flows for the country’s reconstruction and recovery efforts,</w:t>
      </w:r>
      <w:r w:rsidRPr="00F84E73">
        <w:rPr>
          <w:szCs w:val="22"/>
        </w:rPr>
        <w:t xml:space="preserve"> which generate direct and indirect demands for imported goods.  However, the trade deficit has </w:t>
      </w:r>
      <w:r w:rsidR="00992FE6">
        <w:rPr>
          <w:szCs w:val="22"/>
        </w:rPr>
        <w:t xml:space="preserve">declined </w:t>
      </w:r>
      <w:r w:rsidRPr="00F84E73">
        <w:rPr>
          <w:szCs w:val="22"/>
        </w:rPr>
        <w:t xml:space="preserve">continuously </w:t>
      </w:r>
      <w:r w:rsidR="00992FE6">
        <w:rPr>
          <w:szCs w:val="22"/>
        </w:rPr>
        <w:t>in recent</w:t>
      </w:r>
      <w:r w:rsidRPr="00F84E73">
        <w:rPr>
          <w:szCs w:val="22"/>
        </w:rPr>
        <w:t xml:space="preserve"> years. The current account deficit (excluding grants) went from 70 percent in </w:t>
      </w:r>
      <w:r w:rsidR="00992FE6">
        <w:rPr>
          <w:szCs w:val="22"/>
        </w:rPr>
        <w:t xml:space="preserve">fiscal </w:t>
      </w:r>
      <w:r w:rsidRPr="00F84E73">
        <w:rPr>
          <w:szCs w:val="22"/>
        </w:rPr>
        <w:t>20</w:t>
      </w:r>
      <w:r w:rsidR="00992FE6">
        <w:rPr>
          <w:szCs w:val="22"/>
        </w:rPr>
        <w:t>0</w:t>
      </w:r>
      <w:r w:rsidRPr="00F84E73">
        <w:rPr>
          <w:szCs w:val="22"/>
        </w:rPr>
        <w:t xml:space="preserve">7 to 34 percent in </w:t>
      </w:r>
      <w:r w:rsidR="00992FE6">
        <w:rPr>
          <w:szCs w:val="22"/>
        </w:rPr>
        <w:t xml:space="preserve">fiscal </w:t>
      </w:r>
      <w:r w:rsidRPr="00F84E73">
        <w:rPr>
          <w:szCs w:val="22"/>
        </w:rPr>
        <w:t xml:space="preserve">2012, and was financed, as in previous years, by grants. </w:t>
      </w:r>
      <w:r w:rsidR="00992FE6">
        <w:rPr>
          <w:szCs w:val="22"/>
        </w:rPr>
        <w:t>T</w:t>
      </w:r>
      <w:r w:rsidRPr="00F84E73">
        <w:rPr>
          <w:szCs w:val="22"/>
        </w:rPr>
        <w:t xml:space="preserve">hese grants are spent </w:t>
      </w:r>
      <w:r w:rsidR="00992FE6" w:rsidRPr="00F84E73">
        <w:rPr>
          <w:szCs w:val="22"/>
        </w:rPr>
        <w:t xml:space="preserve">mostly </w:t>
      </w:r>
      <w:r w:rsidRPr="00F84E73">
        <w:rPr>
          <w:szCs w:val="22"/>
        </w:rPr>
        <w:t>on imports of goods and services, thus, the grants not only finance the trade deficit, but also contribute to it.</w:t>
      </w:r>
    </w:p>
    <w:p w:rsidR="00BE4F8B" w:rsidRDefault="00BE4F8B" w:rsidP="00F84E73">
      <w:pPr>
        <w:pStyle w:val="ListParagraph"/>
        <w:ind w:left="0"/>
        <w:rPr>
          <w:rFonts w:ascii="Times New Roman" w:hAnsi="Times New Roman"/>
          <w:b/>
        </w:rPr>
      </w:pPr>
    </w:p>
    <w:p w:rsidR="00F84E73" w:rsidRPr="00B953EA" w:rsidRDefault="00F84E73" w:rsidP="00F84E73">
      <w:pPr>
        <w:pStyle w:val="ListParagraph"/>
        <w:ind w:left="0"/>
        <w:rPr>
          <w:rFonts w:cstheme="minorHAnsi"/>
          <w:b/>
        </w:rPr>
      </w:pPr>
      <w:r w:rsidRPr="00BE4F8B">
        <w:rPr>
          <w:rFonts w:cstheme="minorHAnsi"/>
          <w:b/>
        </w:rPr>
        <w:t>Afghanistan’s import and export values have declined relative to GDP over the last five years</w:t>
      </w:r>
      <w:r w:rsidR="00E14F78">
        <w:rPr>
          <w:rFonts w:cstheme="minorHAnsi"/>
          <w:b/>
        </w:rPr>
        <w:t xml:space="preserve">.  </w:t>
      </w:r>
      <w:r w:rsidRPr="00BE4F8B">
        <w:rPr>
          <w:rFonts w:cstheme="minorHAnsi"/>
          <w:lang w:eastAsia="fr-FR"/>
        </w:rPr>
        <w:t xml:space="preserve"> </w:t>
      </w:r>
      <w:r w:rsidR="00B953EA">
        <w:rPr>
          <w:szCs w:val="22"/>
        </w:rPr>
        <w:t>While the trade gap has steadied,</w:t>
      </w:r>
      <w:r w:rsidR="00B953EA" w:rsidRPr="00073AC8">
        <w:rPr>
          <w:szCs w:val="22"/>
        </w:rPr>
        <w:t xml:space="preserve"> </w:t>
      </w:r>
      <w:r w:rsidR="00B953EA">
        <w:rPr>
          <w:szCs w:val="22"/>
        </w:rPr>
        <w:t xml:space="preserve">the relatively high import level has been driven in the last five years mostly by the demand for </w:t>
      </w:r>
      <w:r w:rsidR="00B953EA" w:rsidRPr="00756691">
        <w:rPr>
          <w:szCs w:val="22"/>
        </w:rPr>
        <w:t>goods in donor-funded projects</w:t>
      </w:r>
      <w:r w:rsidR="00B953EA">
        <w:rPr>
          <w:szCs w:val="22"/>
        </w:rPr>
        <w:t xml:space="preserve"> – particularly </w:t>
      </w:r>
      <w:r w:rsidR="00B953EA" w:rsidRPr="00756691">
        <w:rPr>
          <w:szCs w:val="22"/>
        </w:rPr>
        <w:t xml:space="preserve">oil, machinery, household items and food (i.e., 80 percent of incoming goods). </w:t>
      </w:r>
      <w:r w:rsidR="007C5E53">
        <w:rPr>
          <w:szCs w:val="22"/>
        </w:rPr>
        <w:t>H</w:t>
      </w:r>
      <w:r w:rsidR="00B953EA" w:rsidRPr="00756691">
        <w:rPr>
          <w:szCs w:val="22"/>
        </w:rPr>
        <w:t xml:space="preserve">owever, official export figures are underestimated and do not account for smuggled products and transit trade. </w:t>
      </w:r>
      <w:r w:rsidR="00B953EA">
        <w:rPr>
          <w:szCs w:val="22"/>
        </w:rPr>
        <w:t xml:space="preserve"> </w:t>
      </w:r>
      <w:r w:rsidRPr="00BE4F8B">
        <w:rPr>
          <w:rFonts w:cstheme="minorHAnsi"/>
        </w:rPr>
        <w:t xml:space="preserve">In FY2011, import values estimated at US$ 9 billion, amounted to </w:t>
      </w:r>
      <w:r w:rsidR="004744D3">
        <w:rPr>
          <w:rFonts w:cstheme="minorHAnsi"/>
        </w:rPr>
        <w:t xml:space="preserve">more than </w:t>
      </w:r>
      <w:r w:rsidRPr="00BE4F8B">
        <w:rPr>
          <w:rFonts w:cstheme="minorHAnsi"/>
        </w:rPr>
        <w:t>three times that of exports (US $3 billion).  The overall trade balance narrowed in 2011 due to blockages at the Pakistani border, and disrup</w:t>
      </w:r>
      <w:r w:rsidR="00B953EA">
        <w:rPr>
          <w:rFonts w:cstheme="minorHAnsi"/>
        </w:rPr>
        <w:t>tions of fuel imports with Iran; e</w:t>
      </w:r>
      <w:r w:rsidRPr="00BE4F8B">
        <w:rPr>
          <w:rFonts w:cstheme="minorHAnsi"/>
        </w:rPr>
        <w:t>xports grew at 3 percent, while imports grew marginally by 0.2 percent and declined as a percent of GDP</w:t>
      </w:r>
      <w:r w:rsidR="00E14F78">
        <w:rPr>
          <w:rFonts w:cstheme="minorHAnsi"/>
        </w:rPr>
        <w:t>.</w:t>
      </w:r>
      <w:r w:rsidR="00B953EA" w:rsidRPr="00BE4F8B">
        <w:rPr>
          <w:rFonts w:cstheme="minorHAnsi"/>
        </w:rPr>
        <w:t xml:space="preserve"> </w:t>
      </w:r>
      <w:r w:rsidR="00B953EA">
        <w:rPr>
          <w:szCs w:val="22"/>
        </w:rPr>
        <w:t>While it is difficult to estimate the share of imports not captured in official figures (excluding opium, See Box</w:t>
      </w:r>
      <w:r w:rsidR="00E14F78">
        <w:rPr>
          <w:szCs w:val="22"/>
        </w:rPr>
        <w:t xml:space="preserve"> 1.1</w:t>
      </w:r>
      <w:r w:rsidR="00B953EA">
        <w:rPr>
          <w:szCs w:val="22"/>
        </w:rPr>
        <w:t>), it is significant and has increased over the past 4 years, which to a certain extent explains some the decline of import values as a percentage of GDP.  Another factor is the effect of Transition, the uncertainty of the withdrawal of troops and donor funding and the closing down of some donor projects, have impacted the demand for imported goods &amp; services.</w:t>
      </w:r>
      <w:r w:rsidR="00E14F78">
        <w:rPr>
          <w:szCs w:val="22"/>
        </w:rPr>
        <w:t xml:space="preserve"> (Figure 1.1 and 1.2)</w:t>
      </w:r>
      <w:r w:rsidR="00B953EA">
        <w:rPr>
          <w:szCs w:val="22"/>
        </w:rPr>
        <w:t xml:space="preserve"> </w:t>
      </w:r>
      <w:r w:rsidRPr="00BE4F8B">
        <w:rPr>
          <w:rFonts w:cstheme="minorHAnsi"/>
        </w:rPr>
        <w:t xml:space="preserve">  </w:t>
      </w:r>
    </w:p>
    <w:p w:rsidR="00F84E73" w:rsidRPr="00073AC8" w:rsidRDefault="00F84E73" w:rsidP="0014667F">
      <w:pPr>
        <w:autoSpaceDE w:val="0"/>
        <w:autoSpaceDN w:val="0"/>
        <w:adjustRightInd w:val="0"/>
        <w:rPr>
          <w:szCs w:val="22"/>
        </w:rPr>
      </w:pPr>
    </w:p>
    <w:p w:rsidR="00992FE6" w:rsidRDefault="00992FE6" w:rsidP="0014667F">
      <w:pPr>
        <w:autoSpaceDE w:val="0"/>
        <w:autoSpaceDN w:val="0"/>
        <w:adjustRightInd w:val="0"/>
        <w:rPr>
          <w:b/>
          <w:color w:val="410082" w:themeColor="text1"/>
          <w:szCs w:val="22"/>
        </w:rPr>
      </w:pPr>
      <w:bookmarkStart w:id="204" w:name="_Toc315445940"/>
    </w:p>
    <w:p w:rsidR="00992FE6" w:rsidRDefault="00992FE6" w:rsidP="0014667F">
      <w:pPr>
        <w:autoSpaceDE w:val="0"/>
        <w:autoSpaceDN w:val="0"/>
        <w:adjustRightInd w:val="0"/>
        <w:rPr>
          <w:b/>
          <w:color w:val="410082" w:themeColor="text1"/>
          <w:szCs w:val="22"/>
        </w:rPr>
      </w:pPr>
    </w:p>
    <w:p w:rsidR="00992FE6" w:rsidRDefault="00992FE6" w:rsidP="0014667F">
      <w:pPr>
        <w:autoSpaceDE w:val="0"/>
        <w:autoSpaceDN w:val="0"/>
        <w:adjustRightInd w:val="0"/>
        <w:rPr>
          <w:b/>
          <w:color w:val="410082" w:themeColor="text1"/>
          <w:szCs w:val="22"/>
        </w:rPr>
      </w:pPr>
    </w:p>
    <w:p w:rsidR="00E14F78" w:rsidRPr="0034507B" w:rsidRDefault="00E14F78" w:rsidP="0014667F">
      <w:pPr>
        <w:autoSpaceDE w:val="0"/>
        <w:autoSpaceDN w:val="0"/>
        <w:adjustRightInd w:val="0"/>
        <w:rPr>
          <w:b/>
          <w:color w:val="410082" w:themeColor="text1"/>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5"/>
        <w:gridCol w:w="4421"/>
      </w:tblGrid>
      <w:tr w:rsidR="00E14F78" w:rsidTr="00E14F78">
        <w:tc>
          <w:tcPr>
            <w:tcW w:w="4788" w:type="dxa"/>
          </w:tcPr>
          <w:p w:rsidR="00E14F78" w:rsidRDefault="00E14F78" w:rsidP="0014667F">
            <w:pPr>
              <w:autoSpaceDE w:val="0"/>
              <w:autoSpaceDN w:val="0"/>
              <w:adjustRightInd w:val="0"/>
              <w:rPr>
                <w:b/>
                <w:color w:val="410082" w:themeColor="text1"/>
                <w:szCs w:val="22"/>
              </w:rPr>
            </w:pPr>
            <w:r w:rsidRPr="00E14F78">
              <w:rPr>
                <w:b/>
                <w:color w:val="410082" w:themeColor="text1"/>
                <w:szCs w:val="22"/>
              </w:rPr>
              <w:t>Figure 1.1:</w:t>
            </w:r>
            <w:r w:rsidRPr="0034507B">
              <w:rPr>
                <w:b/>
                <w:color w:val="410082" w:themeColor="text1"/>
                <w:szCs w:val="22"/>
              </w:rPr>
              <w:t xml:space="preserve"> Balance of Payments, FY2003–2011</w:t>
            </w:r>
          </w:p>
          <w:p w:rsidR="00E14F78" w:rsidRDefault="00E14F78" w:rsidP="00E14F78">
            <w:pPr>
              <w:autoSpaceDE w:val="0"/>
              <w:autoSpaceDN w:val="0"/>
              <w:adjustRightInd w:val="0"/>
              <w:jc w:val="center"/>
              <w:rPr>
                <w:b/>
                <w:color w:val="410082" w:themeColor="text1"/>
                <w:szCs w:val="22"/>
              </w:rPr>
            </w:pPr>
            <w:r w:rsidRPr="0034507B">
              <w:rPr>
                <w:b/>
                <w:color w:val="410082" w:themeColor="text1"/>
                <w:szCs w:val="22"/>
              </w:rPr>
              <w:t>(</w:t>
            </w:r>
            <w:r>
              <w:rPr>
                <w:b/>
                <w:color w:val="410082" w:themeColor="text1"/>
                <w:szCs w:val="22"/>
              </w:rPr>
              <w:t>%</w:t>
            </w:r>
            <w:r w:rsidRPr="0034507B">
              <w:rPr>
                <w:b/>
                <w:color w:val="410082" w:themeColor="text1"/>
                <w:szCs w:val="22"/>
              </w:rPr>
              <w:t xml:space="preserve"> of GDP</w:t>
            </w:r>
            <w:r>
              <w:rPr>
                <w:b/>
                <w:color w:val="410082" w:themeColor="text1"/>
                <w:szCs w:val="22"/>
              </w:rPr>
              <w:t>)</w:t>
            </w:r>
          </w:p>
        </w:tc>
        <w:tc>
          <w:tcPr>
            <w:tcW w:w="4788" w:type="dxa"/>
          </w:tcPr>
          <w:p w:rsidR="00E14F78" w:rsidRDefault="00E14F78" w:rsidP="00E14F78">
            <w:pPr>
              <w:autoSpaceDE w:val="0"/>
              <w:autoSpaceDN w:val="0"/>
              <w:adjustRightInd w:val="0"/>
              <w:rPr>
                <w:b/>
                <w:color w:val="410082" w:themeColor="text1"/>
                <w:szCs w:val="22"/>
              </w:rPr>
            </w:pPr>
            <w:r w:rsidRPr="00E14F78">
              <w:rPr>
                <w:b/>
                <w:color w:val="410082" w:themeColor="text1"/>
                <w:szCs w:val="22"/>
              </w:rPr>
              <w:t xml:space="preserve">Figure </w:t>
            </w:r>
            <w:r>
              <w:rPr>
                <w:b/>
                <w:color w:val="410082" w:themeColor="text1"/>
                <w:szCs w:val="22"/>
              </w:rPr>
              <w:t>1.2.</w:t>
            </w:r>
            <w:r w:rsidRPr="00E14F78">
              <w:rPr>
                <w:b/>
                <w:color w:val="410082" w:themeColor="text1"/>
                <w:szCs w:val="22"/>
              </w:rPr>
              <w:t xml:space="preserve"> Export and Imports trend</w:t>
            </w:r>
          </w:p>
        </w:tc>
      </w:tr>
      <w:tr w:rsidR="00E14F78" w:rsidTr="00E14F78">
        <w:tc>
          <w:tcPr>
            <w:tcW w:w="4788" w:type="dxa"/>
          </w:tcPr>
          <w:p w:rsidR="00E14F78" w:rsidRDefault="00E14F78" w:rsidP="0014667F">
            <w:pPr>
              <w:autoSpaceDE w:val="0"/>
              <w:autoSpaceDN w:val="0"/>
              <w:adjustRightInd w:val="0"/>
              <w:rPr>
                <w:b/>
                <w:color w:val="410082" w:themeColor="text1"/>
                <w:szCs w:val="22"/>
              </w:rPr>
            </w:pPr>
            <w:r w:rsidRPr="00073AC8">
              <w:rPr>
                <w:noProof/>
                <w:szCs w:val="22"/>
                <w:lang w:bidi="ar-SA"/>
              </w:rPr>
              <w:drawing>
                <wp:inline distT="0" distB="0" distL="0" distR="0" wp14:anchorId="24C2C936" wp14:editId="5FADF09C">
                  <wp:extent cx="3209026" cy="2543592"/>
                  <wp:effectExtent l="0" t="0" r="0" b="9525"/>
                  <wp:docPr id="30"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22929" cy="2554612"/>
                          </a:xfrm>
                          <a:prstGeom prst="rect">
                            <a:avLst/>
                          </a:prstGeom>
                          <a:noFill/>
                          <a:ln>
                            <a:noFill/>
                          </a:ln>
                        </pic:spPr>
                      </pic:pic>
                    </a:graphicData>
                  </a:graphic>
                </wp:inline>
              </w:drawing>
            </w:r>
          </w:p>
        </w:tc>
        <w:tc>
          <w:tcPr>
            <w:tcW w:w="4788" w:type="dxa"/>
          </w:tcPr>
          <w:p w:rsidR="00E14F78" w:rsidRDefault="00E14F78" w:rsidP="0014667F">
            <w:pPr>
              <w:autoSpaceDE w:val="0"/>
              <w:autoSpaceDN w:val="0"/>
              <w:adjustRightInd w:val="0"/>
              <w:rPr>
                <w:b/>
                <w:color w:val="410082" w:themeColor="text1"/>
                <w:szCs w:val="22"/>
              </w:rPr>
            </w:pPr>
            <w:r w:rsidRPr="00073AC8">
              <w:rPr>
                <w:noProof/>
                <w:szCs w:val="22"/>
                <w:lang w:bidi="ar-SA"/>
              </w:rPr>
              <w:drawing>
                <wp:inline distT="0" distB="0" distL="0" distR="0" wp14:anchorId="2EF48244" wp14:editId="75362C43">
                  <wp:extent cx="2732274" cy="2544793"/>
                  <wp:effectExtent l="0" t="0" r="0" b="8255"/>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740556" cy="2552507"/>
                          </a:xfrm>
                          <a:prstGeom prst="rect">
                            <a:avLst/>
                          </a:prstGeom>
                          <a:noFill/>
                          <a:ln w="9525">
                            <a:noFill/>
                            <a:miter lim="800000"/>
                            <a:headEnd/>
                            <a:tailEnd/>
                          </a:ln>
                        </pic:spPr>
                      </pic:pic>
                    </a:graphicData>
                  </a:graphic>
                </wp:inline>
              </w:drawing>
            </w:r>
          </w:p>
        </w:tc>
      </w:tr>
    </w:tbl>
    <w:bookmarkEnd w:id="204"/>
    <w:p w:rsidR="0014667F" w:rsidRPr="00946FB5" w:rsidRDefault="0014667F" w:rsidP="00992FE6">
      <w:pPr>
        <w:autoSpaceDE w:val="0"/>
        <w:autoSpaceDN w:val="0"/>
        <w:adjustRightInd w:val="0"/>
        <w:rPr>
          <w:sz w:val="20"/>
        </w:rPr>
      </w:pPr>
      <w:r w:rsidRPr="00946FB5">
        <w:rPr>
          <w:sz w:val="20"/>
        </w:rPr>
        <w:t>Source: IMF</w:t>
      </w:r>
    </w:p>
    <w:tbl>
      <w:tblPr>
        <w:tblStyle w:val="TableGrid"/>
        <w:tblW w:w="0" w:type="auto"/>
        <w:shd w:val="clear" w:color="auto" w:fill="ECE4F1" w:themeFill="accent4" w:themeFillTint="33"/>
        <w:tblLook w:val="04A0" w:firstRow="1" w:lastRow="0" w:firstColumn="1" w:lastColumn="0" w:noHBand="0" w:noVBand="1"/>
      </w:tblPr>
      <w:tblGrid>
        <w:gridCol w:w="9576"/>
      </w:tblGrid>
      <w:tr w:rsidR="00057432" w:rsidTr="008332E0">
        <w:tc>
          <w:tcPr>
            <w:tcW w:w="9576" w:type="dxa"/>
            <w:shd w:val="clear" w:color="auto" w:fill="ECE4F1" w:themeFill="accent4" w:themeFillTint="33"/>
          </w:tcPr>
          <w:p w:rsidR="00057432" w:rsidRDefault="00057432" w:rsidP="00992FE6">
            <w:pPr>
              <w:autoSpaceDE w:val="0"/>
              <w:autoSpaceDN w:val="0"/>
              <w:adjustRightInd w:val="0"/>
              <w:spacing w:line="276" w:lineRule="auto"/>
              <w:rPr>
                <w:b/>
                <w:szCs w:val="22"/>
              </w:rPr>
            </w:pPr>
            <w:r w:rsidRPr="00E14F78">
              <w:rPr>
                <w:b/>
                <w:szCs w:val="22"/>
              </w:rPr>
              <w:t xml:space="preserve">Box </w:t>
            </w:r>
            <w:r w:rsidR="00E14F78">
              <w:rPr>
                <w:b/>
                <w:szCs w:val="22"/>
              </w:rPr>
              <w:t>1.1</w:t>
            </w:r>
            <w:r w:rsidRPr="00E14F78">
              <w:rPr>
                <w:b/>
                <w:szCs w:val="22"/>
              </w:rPr>
              <w:t>.  The Opium economy</w:t>
            </w:r>
          </w:p>
          <w:p w:rsidR="00E14F78" w:rsidRPr="00E14F78" w:rsidRDefault="00E14F78" w:rsidP="00992FE6">
            <w:pPr>
              <w:autoSpaceDE w:val="0"/>
              <w:autoSpaceDN w:val="0"/>
              <w:adjustRightInd w:val="0"/>
              <w:spacing w:line="276" w:lineRule="auto"/>
              <w:rPr>
                <w:b/>
                <w:szCs w:val="22"/>
              </w:rPr>
            </w:pPr>
          </w:p>
          <w:p w:rsidR="00A81BDD" w:rsidRDefault="00A81BDD" w:rsidP="00A21BA3">
            <w:pPr>
              <w:pStyle w:val="ListParagraph"/>
              <w:spacing w:after="200" w:line="276" w:lineRule="auto"/>
              <w:ind w:left="0"/>
              <w:rPr>
                <w:rFonts w:ascii="Calibri" w:hAnsi="Calibri"/>
                <w:szCs w:val="22"/>
              </w:rPr>
            </w:pPr>
            <w:r w:rsidRPr="00F11324">
              <w:rPr>
                <w:rFonts w:ascii="Calibri" w:hAnsi="Calibri"/>
                <w:bCs/>
                <w:szCs w:val="22"/>
              </w:rPr>
              <w:t>The illicit production of opium</w:t>
            </w:r>
            <w:r w:rsidRPr="00F11324">
              <w:rPr>
                <w:rStyle w:val="FootnoteReference"/>
                <w:rFonts w:ascii="Calibri" w:hAnsi="Calibri"/>
                <w:bCs/>
                <w:sz w:val="22"/>
                <w:szCs w:val="22"/>
              </w:rPr>
              <w:footnoteReference w:id="24"/>
            </w:r>
            <w:r w:rsidRPr="00F11324">
              <w:rPr>
                <w:rFonts w:ascii="Calibri" w:hAnsi="Calibri"/>
                <w:bCs/>
                <w:szCs w:val="22"/>
              </w:rPr>
              <w:t xml:space="preserve">  continues to play a significant role in agriculture as it produces nearly half of overall agriculture production but on a much smaller portion of arable land.</w:t>
            </w:r>
            <w:r w:rsidRPr="00F11324">
              <w:rPr>
                <w:rFonts w:ascii="Calibri" w:hAnsi="Calibri"/>
                <w:szCs w:val="22"/>
              </w:rPr>
              <w:t xml:space="preserve"> </w:t>
            </w:r>
            <w:r w:rsidR="00B860D6" w:rsidRPr="00A21BA3">
              <w:rPr>
                <w:szCs w:val="22"/>
              </w:rPr>
              <w:t xml:space="preserve">The Opium economy is estimated at around 9 percent of GDP, when measured </w:t>
            </w:r>
            <w:r w:rsidR="00A21BA3" w:rsidRPr="00A21BA3">
              <w:rPr>
                <w:szCs w:val="22"/>
              </w:rPr>
              <w:t xml:space="preserve">at </w:t>
            </w:r>
            <w:r w:rsidR="008332E0">
              <w:rPr>
                <w:szCs w:val="22"/>
              </w:rPr>
              <w:t>farm-gate prices, and i</w:t>
            </w:r>
            <w:r w:rsidR="00B860D6" w:rsidRPr="00A21BA3">
              <w:rPr>
                <w:szCs w:val="22"/>
              </w:rPr>
              <w:t xml:space="preserve">n 2011, </w:t>
            </w:r>
            <w:r w:rsidR="00A21BA3" w:rsidRPr="00A21BA3">
              <w:rPr>
                <w:szCs w:val="22"/>
              </w:rPr>
              <w:t>export earnings from opium production represented around $2.4 billion (15 % of GDP).</w:t>
            </w:r>
            <w:r w:rsidR="00A21BA3" w:rsidRPr="00F70CBE">
              <w:rPr>
                <w:rStyle w:val="FootnoteReference"/>
              </w:rPr>
              <w:footnoteReference w:id="25"/>
            </w:r>
            <w:r w:rsidR="00A21BA3" w:rsidRPr="00A21BA3">
              <w:rPr>
                <w:szCs w:val="22"/>
              </w:rPr>
              <w:t xml:space="preserve"> </w:t>
            </w:r>
            <w:r w:rsidR="008332E0">
              <w:rPr>
                <w:szCs w:val="22"/>
              </w:rPr>
              <w:t xml:space="preserve">However, </w:t>
            </w:r>
            <w:r w:rsidR="00A21BA3" w:rsidRPr="00A21BA3">
              <w:rPr>
                <w:szCs w:val="22"/>
              </w:rPr>
              <w:t xml:space="preserve">a significant share of these resources is expatriated and does not </w:t>
            </w:r>
            <w:r w:rsidR="008332E0">
              <w:rPr>
                <w:szCs w:val="22"/>
              </w:rPr>
              <w:t>filter into</w:t>
            </w:r>
            <w:r w:rsidR="00A21BA3" w:rsidRPr="00A21BA3">
              <w:rPr>
                <w:szCs w:val="22"/>
              </w:rPr>
              <w:t xml:space="preserve"> the Afghan economy.  </w:t>
            </w:r>
            <w:r w:rsidR="008332E0">
              <w:rPr>
                <w:szCs w:val="22"/>
              </w:rPr>
              <w:t>T</w:t>
            </w:r>
            <w:r w:rsidR="008332E0" w:rsidRPr="00A21BA3">
              <w:rPr>
                <w:szCs w:val="22"/>
              </w:rPr>
              <w:t xml:space="preserve">he illicit nature of opium makes it difficult to </w:t>
            </w:r>
            <w:r w:rsidR="008332E0">
              <w:rPr>
                <w:szCs w:val="22"/>
              </w:rPr>
              <w:t>quantify</w:t>
            </w:r>
            <w:r w:rsidR="008332E0" w:rsidRPr="00A21BA3">
              <w:rPr>
                <w:szCs w:val="22"/>
              </w:rPr>
              <w:t xml:space="preserve"> the size of the market and its contribution to output. </w:t>
            </w:r>
          </w:p>
          <w:p w:rsidR="007B78B4" w:rsidRDefault="008332E0" w:rsidP="00A21BA3">
            <w:pPr>
              <w:pStyle w:val="ListParagraph"/>
              <w:spacing w:after="200" w:line="276" w:lineRule="auto"/>
              <w:ind w:left="0"/>
              <w:rPr>
                <w:szCs w:val="22"/>
              </w:rPr>
            </w:pPr>
            <w:r>
              <w:rPr>
                <w:szCs w:val="22"/>
              </w:rPr>
              <w:t>However, o</w:t>
            </w:r>
            <w:r w:rsidR="00A21BA3" w:rsidRPr="00A21BA3">
              <w:rPr>
                <w:szCs w:val="22"/>
              </w:rPr>
              <w:t xml:space="preserve">verall, from a macro-perspective opium is not a significant </w:t>
            </w:r>
            <w:r>
              <w:rPr>
                <w:szCs w:val="22"/>
              </w:rPr>
              <w:t>contributor to</w:t>
            </w:r>
            <w:r w:rsidR="00A21BA3" w:rsidRPr="00A21BA3">
              <w:rPr>
                <w:szCs w:val="22"/>
              </w:rPr>
              <w:t xml:space="preserve"> growth, </w:t>
            </w:r>
            <w:r>
              <w:rPr>
                <w:szCs w:val="22"/>
              </w:rPr>
              <w:t>while it may be a significant contributor to income of poorer groups in rural areas.</w:t>
            </w:r>
          </w:p>
          <w:p w:rsidR="00A81BDD" w:rsidRDefault="008332E0" w:rsidP="00A21BA3">
            <w:pPr>
              <w:pStyle w:val="ListParagraph"/>
              <w:spacing w:after="200" w:line="276" w:lineRule="auto"/>
              <w:ind w:left="0"/>
              <w:rPr>
                <w:szCs w:val="22"/>
              </w:rPr>
            </w:pPr>
            <w:r>
              <w:rPr>
                <w:szCs w:val="22"/>
              </w:rPr>
              <w:t xml:space="preserve">  </w:t>
            </w:r>
          </w:p>
          <w:p w:rsidR="008332E0" w:rsidRPr="00A21BA3" w:rsidRDefault="00A81BDD" w:rsidP="00A21BA3">
            <w:pPr>
              <w:pStyle w:val="ListParagraph"/>
              <w:spacing w:after="200" w:line="276" w:lineRule="auto"/>
              <w:ind w:left="0"/>
              <w:rPr>
                <w:szCs w:val="22"/>
              </w:rPr>
            </w:pPr>
            <w:r>
              <w:rPr>
                <w:rFonts w:ascii="Calibri" w:hAnsi="Calibri"/>
                <w:szCs w:val="22"/>
              </w:rPr>
              <w:t>Current trends, however, indicate that opium production is on the rise again – a reflection of higher prices for opium and lower prices for wheat which skewed farm incentives towards opium production.</w:t>
            </w:r>
          </w:p>
          <w:p w:rsidR="00057432" w:rsidRPr="008332E0" w:rsidRDefault="00B860D6" w:rsidP="00F70CBE">
            <w:pPr>
              <w:pStyle w:val="ListParagraph"/>
              <w:spacing w:after="200" w:line="276" w:lineRule="auto"/>
              <w:ind w:left="0"/>
              <w:rPr>
                <w:i/>
                <w:sz w:val="20"/>
              </w:rPr>
            </w:pPr>
            <w:r w:rsidRPr="00A21BA3">
              <w:rPr>
                <w:szCs w:val="22"/>
              </w:rPr>
              <w:t xml:space="preserve">The farm-gate value of opium increased by 133 percent in 2011. According to the survey carried out by United Nations Office on Drugs and Crime (UNODC), This is the biggest difference in income (farm-gate) since 2003.  The Two main factors contributed to the trend: In 2010, plant disease nearly halved crop production leading to crop scarcity. The resulting high price speculation motivated farmers to increase opium cultivation. This was compounded by a decline in international wheat prices, which resulted in a larger relative profit margin and a higher incentive for opium production.  Gross income from opium was 11 times higher than for wheat in this fiscal year, thus making opium a much more attractive crop to harvest.  Consequently, land used for opium cultivation increased by 7% and opium production </w:t>
            </w:r>
            <w:r w:rsidRPr="00A21BA3">
              <w:rPr>
                <w:szCs w:val="22"/>
              </w:rPr>
              <w:lastRenderedPageBreak/>
              <w:t>increased by 61% in 2011.</w:t>
            </w:r>
          </w:p>
        </w:tc>
      </w:tr>
    </w:tbl>
    <w:p w:rsidR="008C72CD" w:rsidRDefault="002F05A6" w:rsidP="00F70CBE">
      <w:pPr>
        <w:autoSpaceDE w:val="0"/>
        <w:autoSpaceDN w:val="0"/>
        <w:adjustRightInd w:val="0"/>
        <w:rPr>
          <w:szCs w:val="22"/>
        </w:rPr>
      </w:pPr>
      <w:r>
        <w:rPr>
          <w:szCs w:val="22"/>
        </w:rPr>
        <w:lastRenderedPageBreak/>
        <w:t xml:space="preserve"> </w:t>
      </w:r>
      <w:r w:rsidR="008332E0">
        <w:rPr>
          <w:b/>
          <w:szCs w:val="22"/>
        </w:rPr>
        <w:t xml:space="preserve">Afghanistan is </w:t>
      </w:r>
      <w:r w:rsidR="00107D63">
        <w:rPr>
          <w:b/>
          <w:szCs w:val="22"/>
        </w:rPr>
        <w:t xml:space="preserve">heavily </w:t>
      </w:r>
      <w:r w:rsidR="008332E0">
        <w:rPr>
          <w:b/>
          <w:szCs w:val="22"/>
        </w:rPr>
        <w:t xml:space="preserve">dependent on imports </w:t>
      </w:r>
      <w:r w:rsidR="00107D63">
        <w:rPr>
          <w:b/>
          <w:szCs w:val="22"/>
        </w:rPr>
        <w:t xml:space="preserve">for </w:t>
      </w:r>
      <w:r w:rsidR="008332E0">
        <w:rPr>
          <w:b/>
          <w:szCs w:val="22"/>
        </w:rPr>
        <w:t xml:space="preserve">inputs </w:t>
      </w:r>
      <w:r w:rsidR="00107D63">
        <w:rPr>
          <w:b/>
          <w:szCs w:val="22"/>
        </w:rPr>
        <w:t>&amp;</w:t>
      </w:r>
      <w:r w:rsidR="008332E0">
        <w:rPr>
          <w:b/>
          <w:szCs w:val="22"/>
        </w:rPr>
        <w:t xml:space="preserve"> raw materials,</w:t>
      </w:r>
      <w:r w:rsidR="00107D63">
        <w:rPr>
          <w:b/>
          <w:szCs w:val="22"/>
        </w:rPr>
        <w:t xml:space="preserve"> </w:t>
      </w:r>
      <w:r w:rsidR="008332E0">
        <w:rPr>
          <w:b/>
          <w:szCs w:val="22"/>
        </w:rPr>
        <w:t>oil</w:t>
      </w:r>
      <w:r w:rsidR="00107D63">
        <w:rPr>
          <w:b/>
          <w:szCs w:val="22"/>
        </w:rPr>
        <w:t>, machinery</w:t>
      </w:r>
      <w:r w:rsidR="00DB3506">
        <w:rPr>
          <w:b/>
          <w:szCs w:val="22"/>
        </w:rPr>
        <w:t>,</w:t>
      </w:r>
      <w:r w:rsidR="00107D63">
        <w:rPr>
          <w:b/>
          <w:szCs w:val="22"/>
        </w:rPr>
        <w:t xml:space="preserve"> and food</w:t>
      </w:r>
      <w:r w:rsidR="008332E0">
        <w:rPr>
          <w:b/>
          <w:szCs w:val="22"/>
        </w:rPr>
        <w:t xml:space="preserve">.  </w:t>
      </w:r>
      <w:r w:rsidR="008332E0" w:rsidRPr="00C81D97">
        <w:rPr>
          <w:szCs w:val="22"/>
        </w:rPr>
        <w:t xml:space="preserve">Most of its food imports come from neighboring Pakistan </w:t>
      </w:r>
      <w:r w:rsidR="00107D63" w:rsidRPr="00C81D97">
        <w:rPr>
          <w:szCs w:val="22"/>
        </w:rPr>
        <w:t xml:space="preserve">and as a result, </w:t>
      </w:r>
      <w:r w:rsidR="00C81D97">
        <w:rPr>
          <w:szCs w:val="22"/>
        </w:rPr>
        <w:t>it has experience p</w:t>
      </w:r>
      <w:r w:rsidR="00107D63" w:rsidRPr="00C81D97">
        <w:rPr>
          <w:szCs w:val="22"/>
        </w:rPr>
        <w:t xml:space="preserve">eriods of high inflation, </w:t>
      </w:r>
      <w:r w:rsidR="009C1BBD">
        <w:rPr>
          <w:szCs w:val="22"/>
        </w:rPr>
        <w:t xml:space="preserve">particularly </w:t>
      </w:r>
      <w:r w:rsidR="008C72CD" w:rsidRPr="009D7DBF">
        <w:t>during the early 2008 food crisis</w:t>
      </w:r>
      <w:r w:rsidR="008C72CD">
        <w:t xml:space="preserve"> and </w:t>
      </w:r>
      <w:r w:rsidR="00DB3506">
        <w:rPr>
          <w:szCs w:val="22"/>
        </w:rPr>
        <w:t xml:space="preserve">after </w:t>
      </w:r>
      <w:r w:rsidR="008C72CD">
        <w:t xml:space="preserve">the Pakistani </w:t>
      </w:r>
      <w:r w:rsidR="00107D63" w:rsidRPr="00C81D97">
        <w:rPr>
          <w:szCs w:val="22"/>
        </w:rPr>
        <w:t>floo</w:t>
      </w:r>
      <w:r w:rsidR="00DB3506">
        <w:rPr>
          <w:szCs w:val="22"/>
        </w:rPr>
        <w:t>ds</w:t>
      </w:r>
      <w:r w:rsidR="001C65FA">
        <w:rPr>
          <w:szCs w:val="22"/>
        </w:rPr>
        <w:t xml:space="preserve"> in 2010</w:t>
      </w:r>
      <w:r w:rsidR="00DB3506">
        <w:rPr>
          <w:szCs w:val="22"/>
        </w:rPr>
        <w:t xml:space="preserve">.  </w:t>
      </w:r>
      <w:r w:rsidR="009C1BBD">
        <w:rPr>
          <w:szCs w:val="22"/>
        </w:rPr>
        <w:t>Consequently, as an input to production, imports have a direct impact on domestic production and export performance.</w:t>
      </w:r>
      <w:r w:rsidR="00B953EA">
        <w:rPr>
          <w:szCs w:val="22"/>
        </w:rPr>
        <w:t xml:space="preserve">  </w:t>
      </w:r>
    </w:p>
    <w:p w:rsidR="00107D63" w:rsidRPr="00EB7258" w:rsidRDefault="00EB7258" w:rsidP="00444089">
      <w:r w:rsidRPr="00EB7258">
        <w:rPr>
          <w:b/>
          <w:szCs w:val="22"/>
        </w:rPr>
        <w:t>Private sector development in Afghanistan requires facilitating access to quality and low cost imported inputs</w:t>
      </w:r>
      <w:r w:rsidR="00DB3506">
        <w:rPr>
          <w:szCs w:val="22"/>
        </w:rPr>
        <w:t xml:space="preserve">.  </w:t>
      </w:r>
      <w:r w:rsidR="00663532">
        <w:rPr>
          <w:szCs w:val="22"/>
        </w:rPr>
        <w:t>This</w:t>
      </w:r>
      <w:r w:rsidR="00DB3506">
        <w:rPr>
          <w:szCs w:val="22"/>
        </w:rPr>
        <w:t xml:space="preserve"> diagnostics study places significant importance on the </w:t>
      </w:r>
      <w:r w:rsidR="009C1BBD" w:rsidRPr="009D7DBF">
        <w:t xml:space="preserve">removal of import-related constraints </w:t>
      </w:r>
      <w:r w:rsidR="00DB3506">
        <w:t>as a step to promote</w:t>
      </w:r>
      <w:r w:rsidR="009C1BBD">
        <w:t xml:space="preserve"> private sector development</w:t>
      </w:r>
      <w:r>
        <w:t>, exports,</w:t>
      </w:r>
      <w:r w:rsidR="009C1BBD">
        <w:t xml:space="preserve"> and </w:t>
      </w:r>
      <w:r w:rsidR="009C1BBD" w:rsidRPr="009D7DBF">
        <w:t>inclusive growth.</w:t>
      </w:r>
      <w:r w:rsidR="00DB3506">
        <w:t xml:space="preserve">  However, </w:t>
      </w:r>
      <w:r>
        <w:rPr>
          <w:szCs w:val="22"/>
        </w:rPr>
        <w:t>across</w:t>
      </w:r>
      <w:r>
        <w:t xml:space="preserve"> certain sectors </w:t>
      </w:r>
      <w:r w:rsidR="00DB3506">
        <w:t xml:space="preserve">there is potential for </w:t>
      </w:r>
      <w:r>
        <w:t>substituting in</w:t>
      </w:r>
      <w:r w:rsidR="001C65FA">
        <w:t xml:space="preserve">puts with cheaper domestically produced goods. </w:t>
      </w:r>
      <w:r w:rsidR="00DB3506">
        <w:t xml:space="preserve">(For a deeper discussion on </w:t>
      </w:r>
      <w:r w:rsidR="00F70CBE">
        <w:t>private sector development s</w:t>
      </w:r>
      <w:r w:rsidR="00DB3506">
        <w:t xml:space="preserve">ee </w:t>
      </w:r>
      <w:r w:rsidR="00206268">
        <w:t>Chapter II</w:t>
      </w:r>
      <w:r w:rsidR="00DB3506">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6"/>
      </w:tblGrid>
      <w:tr w:rsidR="00071539" w:rsidRPr="00D92780" w:rsidTr="00071539">
        <w:trPr>
          <w:jc w:val="center"/>
        </w:trPr>
        <w:tc>
          <w:tcPr>
            <w:tcW w:w="6456" w:type="dxa"/>
          </w:tcPr>
          <w:p w:rsidR="00071539" w:rsidRPr="0034507B" w:rsidRDefault="00071539" w:rsidP="00E14F78">
            <w:pPr>
              <w:autoSpaceDE w:val="0"/>
              <w:autoSpaceDN w:val="0"/>
              <w:adjustRightInd w:val="0"/>
              <w:spacing w:after="200" w:line="276" w:lineRule="auto"/>
              <w:rPr>
                <w:color w:val="410082" w:themeColor="text1"/>
              </w:rPr>
            </w:pPr>
            <w:r w:rsidRPr="0034507B">
              <w:rPr>
                <w:b/>
                <w:color w:val="410082" w:themeColor="text1"/>
                <w:szCs w:val="22"/>
              </w:rPr>
              <w:t>Figure 1.</w:t>
            </w:r>
            <w:r w:rsidR="00E14F78">
              <w:rPr>
                <w:b/>
                <w:color w:val="410082" w:themeColor="text1"/>
                <w:szCs w:val="22"/>
              </w:rPr>
              <w:t>3</w:t>
            </w:r>
            <w:r w:rsidRPr="0034507B">
              <w:rPr>
                <w:b/>
                <w:color w:val="410082" w:themeColor="text1"/>
                <w:szCs w:val="22"/>
              </w:rPr>
              <w:t>: Composition of Exports</w:t>
            </w:r>
          </w:p>
        </w:tc>
      </w:tr>
      <w:tr w:rsidR="00071539" w:rsidRPr="00D92780" w:rsidTr="00071539">
        <w:trPr>
          <w:jc w:val="center"/>
        </w:trPr>
        <w:tc>
          <w:tcPr>
            <w:tcW w:w="6456" w:type="dxa"/>
          </w:tcPr>
          <w:p w:rsidR="00071539" w:rsidRPr="00D92780" w:rsidRDefault="00071539" w:rsidP="002F05A6">
            <w:pPr>
              <w:rPr>
                <w:noProof/>
              </w:rPr>
            </w:pPr>
            <w:r>
              <w:rPr>
                <w:noProof/>
                <w:lang w:bidi="ar-SA"/>
              </w:rPr>
              <w:drawing>
                <wp:inline distT="0" distB="0" distL="0" distR="0" wp14:anchorId="3A4D0412" wp14:editId="37A1F870">
                  <wp:extent cx="3933825" cy="2705736"/>
                  <wp:effectExtent l="19050" t="0" r="952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3933825" cy="2705736"/>
                          </a:xfrm>
                          <a:prstGeom prst="rect">
                            <a:avLst/>
                          </a:prstGeom>
                          <a:noFill/>
                          <a:ln w="9525">
                            <a:noFill/>
                            <a:miter lim="800000"/>
                            <a:headEnd/>
                            <a:tailEnd/>
                          </a:ln>
                        </pic:spPr>
                      </pic:pic>
                    </a:graphicData>
                  </a:graphic>
                </wp:inline>
              </w:drawing>
            </w:r>
          </w:p>
        </w:tc>
      </w:tr>
    </w:tbl>
    <w:p w:rsidR="002F05A6" w:rsidRDefault="00C17FAB" w:rsidP="00C17FAB">
      <w:pPr>
        <w:ind w:left="1440" w:firstLine="720"/>
        <w:rPr>
          <w:sz w:val="20"/>
        </w:rPr>
      </w:pPr>
      <w:r>
        <w:rPr>
          <w:sz w:val="20"/>
        </w:rPr>
        <w:t>Source: CSO</w:t>
      </w:r>
    </w:p>
    <w:p w:rsidR="00C17FAB" w:rsidRDefault="00C17FAB" w:rsidP="00444089">
      <w:pPr>
        <w:rPr>
          <w:szCs w:val="22"/>
        </w:rPr>
      </w:pPr>
      <w:r>
        <w:rPr>
          <w:b/>
          <w:szCs w:val="22"/>
        </w:rPr>
        <w:t>Over the past decade t</w:t>
      </w:r>
      <w:r w:rsidRPr="00756691">
        <w:rPr>
          <w:b/>
          <w:szCs w:val="22"/>
        </w:rPr>
        <w:t xml:space="preserve">he composition of exports </w:t>
      </w:r>
      <w:r>
        <w:rPr>
          <w:b/>
          <w:szCs w:val="22"/>
        </w:rPr>
        <w:t xml:space="preserve">has </w:t>
      </w:r>
      <w:r w:rsidRPr="00756691">
        <w:rPr>
          <w:b/>
          <w:szCs w:val="22"/>
        </w:rPr>
        <w:t>changed</w:t>
      </w:r>
      <w:r>
        <w:rPr>
          <w:b/>
          <w:szCs w:val="22"/>
        </w:rPr>
        <w:t>,</w:t>
      </w:r>
      <w:r w:rsidRPr="00756691">
        <w:rPr>
          <w:b/>
          <w:szCs w:val="22"/>
        </w:rPr>
        <w:t xml:space="preserve"> </w:t>
      </w:r>
      <w:r>
        <w:rPr>
          <w:b/>
          <w:szCs w:val="22"/>
        </w:rPr>
        <w:t>with</w:t>
      </w:r>
      <w:r w:rsidRPr="00756691">
        <w:rPr>
          <w:b/>
          <w:szCs w:val="22"/>
        </w:rPr>
        <w:t xml:space="preserve"> dry fruits </w:t>
      </w:r>
      <w:r>
        <w:rPr>
          <w:b/>
          <w:szCs w:val="22"/>
        </w:rPr>
        <w:t>&amp;</w:t>
      </w:r>
      <w:r w:rsidRPr="00756691">
        <w:rPr>
          <w:b/>
          <w:szCs w:val="22"/>
        </w:rPr>
        <w:t xml:space="preserve"> seeds</w:t>
      </w:r>
      <w:r>
        <w:rPr>
          <w:b/>
          <w:szCs w:val="22"/>
        </w:rPr>
        <w:t xml:space="preserve"> b</w:t>
      </w:r>
      <w:r w:rsidRPr="00756691">
        <w:rPr>
          <w:b/>
          <w:szCs w:val="22"/>
        </w:rPr>
        <w:t>ecom</w:t>
      </w:r>
      <w:r>
        <w:rPr>
          <w:b/>
          <w:szCs w:val="22"/>
        </w:rPr>
        <w:t>ing</w:t>
      </w:r>
      <w:r w:rsidRPr="00756691">
        <w:rPr>
          <w:b/>
          <w:szCs w:val="22"/>
        </w:rPr>
        <w:t xml:space="preserve"> the largest official Afghan export</w:t>
      </w:r>
      <w:r w:rsidRPr="00756691">
        <w:rPr>
          <w:szCs w:val="22"/>
        </w:rPr>
        <w:t xml:space="preserve">. </w:t>
      </w:r>
      <w:r>
        <w:rPr>
          <w:szCs w:val="22"/>
        </w:rPr>
        <w:t>Through</w:t>
      </w:r>
      <w:r w:rsidRPr="00756691">
        <w:rPr>
          <w:szCs w:val="22"/>
        </w:rPr>
        <w:t xml:space="preserve"> </w:t>
      </w:r>
      <w:r>
        <w:rPr>
          <w:szCs w:val="22"/>
        </w:rPr>
        <w:t xml:space="preserve">fiscal </w:t>
      </w:r>
      <w:r w:rsidRPr="00756691">
        <w:rPr>
          <w:szCs w:val="22"/>
        </w:rPr>
        <w:t>2006</w:t>
      </w:r>
      <w:r>
        <w:rPr>
          <w:szCs w:val="22"/>
        </w:rPr>
        <w:t>–</w:t>
      </w:r>
      <w:r w:rsidRPr="00756691">
        <w:rPr>
          <w:szCs w:val="22"/>
        </w:rPr>
        <w:t xml:space="preserve">2010, </w:t>
      </w:r>
      <w:r>
        <w:rPr>
          <w:szCs w:val="22"/>
        </w:rPr>
        <w:t xml:space="preserve">exports of </w:t>
      </w:r>
      <w:r w:rsidRPr="00756691">
        <w:rPr>
          <w:szCs w:val="22"/>
        </w:rPr>
        <w:t xml:space="preserve">dry fruits and seeds grew to account for half the total exports, surpassing carpets, which dropped from 60 percent to 38 percent of exports </w:t>
      </w:r>
      <w:r>
        <w:rPr>
          <w:szCs w:val="22"/>
        </w:rPr>
        <w:t>(</w:t>
      </w:r>
      <w:r w:rsidRPr="00756691">
        <w:rPr>
          <w:szCs w:val="22"/>
        </w:rPr>
        <w:t>Figure 1</w:t>
      </w:r>
      <w:r>
        <w:rPr>
          <w:szCs w:val="22"/>
        </w:rPr>
        <w:t>.</w:t>
      </w:r>
      <w:r w:rsidR="00E14F78">
        <w:rPr>
          <w:szCs w:val="22"/>
        </w:rPr>
        <w:t>3</w:t>
      </w:r>
      <w:r w:rsidRPr="00756691">
        <w:rPr>
          <w:szCs w:val="22"/>
        </w:rPr>
        <w:t xml:space="preserve">). In addition, the export of fresh fruits accounted for just 6 percent of export trade, </w:t>
      </w:r>
      <w:r>
        <w:rPr>
          <w:szCs w:val="22"/>
        </w:rPr>
        <w:t>reflecting</w:t>
      </w:r>
      <w:r w:rsidRPr="00756691">
        <w:rPr>
          <w:szCs w:val="22"/>
        </w:rPr>
        <w:t xml:space="preserve"> the limited infrastructure (cold storage facilities) available for </w:t>
      </w:r>
      <w:r>
        <w:rPr>
          <w:szCs w:val="22"/>
        </w:rPr>
        <w:t>handling fresh produce</w:t>
      </w:r>
      <w:r w:rsidRPr="00756691">
        <w:rPr>
          <w:szCs w:val="22"/>
        </w:rPr>
        <w:t xml:space="preserve">. The remaining 10 percent of exports </w:t>
      </w:r>
      <w:r>
        <w:rPr>
          <w:szCs w:val="22"/>
        </w:rPr>
        <w:t>comprised</w:t>
      </w:r>
      <w:r w:rsidRPr="00756691">
        <w:rPr>
          <w:szCs w:val="22"/>
        </w:rPr>
        <w:t xml:space="preserve"> leather, spices, and medicinal plants. </w:t>
      </w:r>
    </w:p>
    <w:p w:rsidR="00C17FAB" w:rsidRDefault="00C17FAB" w:rsidP="00C17FAB">
      <w:pPr>
        <w:autoSpaceDE w:val="0"/>
        <w:autoSpaceDN w:val="0"/>
        <w:adjustRightInd w:val="0"/>
        <w:rPr>
          <w:szCs w:val="22"/>
        </w:rPr>
      </w:pPr>
      <w:r w:rsidRPr="00E90724">
        <w:rPr>
          <w:b/>
          <w:szCs w:val="22"/>
        </w:rPr>
        <w:t>Trade in Afghanistan is largely informal</w:t>
      </w:r>
      <w:r w:rsidRPr="00E90724">
        <w:rPr>
          <w:szCs w:val="22"/>
        </w:rPr>
        <w:t xml:space="preserve">.  </w:t>
      </w:r>
      <w:r w:rsidR="00C24178">
        <w:t xml:space="preserve">It is estimated that the </w:t>
      </w:r>
      <w:r w:rsidR="00C24178">
        <w:rPr>
          <w:rFonts w:ascii="Calibri" w:eastAsia="Times New Roman" w:hAnsi="Calibri" w:cs="Calibri"/>
          <w:lang w:eastAsia="de-DE"/>
        </w:rPr>
        <w:t xml:space="preserve">Afghan informal economy roughly accounts for some 80- 90% of the total output (including drugs).  It is flexible in responding to shocks and to short-term opportunities, but also a reflection of the conflict.  </w:t>
      </w:r>
      <w:r w:rsidR="00C24178">
        <w:t xml:space="preserve"> </w:t>
      </w:r>
      <w:r w:rsidRPr="00E90724">
        <w:rPr>
          <w:szCs w:val="22"/>
        </w:rPr>
        <w:t xml:space="preserve">While the informal sector provides a vital source of income for the poorest groups, </w:t>
      </w:r>
      <w:r>
        <w:rPr>
          <w:szCs w:val="22"/>
        </w:rPr>
        <w:t xml:space="preserve">it </w:t>
      </w:r>
      <w:r>
        <w:t xml:space="preserve">can become a constraint on long-term growth because informal businesses tend not to expand in size, do not invest in technology, and face difficulties breaking </w:t>
      </w:r>
      <w:r>
        <w:lastRenderedPageBreak/>
        <w:t xml:space="preserve">into export markets.   </w:t>
      </w:r>
      <w:r>
        <w:rPr>
          <w:rFonts w:ascii="Calibri" w:eastAsia="Times New Roman" w:hAnsi="Calibri" w:cs="Calibri"/>
          <w:lang w:eastAsia="de-DE"/>
        </w:rPr>
        <w:t xml:space="preserve">Furthermore, informality </w:t>
      </w:r>
      <w:r w:rsidRPr="00E90724">
        <w:rPr>
          <w:szCs w:val="22"/>
        </w:rPr>
        <w:t>sidesteps Afghan customs</w:t>
      </w:r>
      <w:r>
        <w:rPr>
          <w:szCs w:val="22"/>
        </w:rPr>
        <w:t>,</w:t>
      </w:r>
      <w:r w:rsidRPr="00E90724">
        <w:rPr>
          <w:szCs w:val="22"/>
        </w:rPr>
        <w:t xml:space="preserve"> evades taxation</w:t>
      </w:r>
      <w:r>
        <w:rPr>
          <w:szCs w:val="22"/>
        </w:rPr>
        <w:t>, and</w:t>
      </w:r>
      <w:r w:rsidRPr="00E90724">
        <w:rPr>
          <w:szCs w:val="22"/>
        </w:rPr>
        <w:t xml:space="preserve"> poses security and health risk</w:t>
      </w:r>
      <w:r>
        <w:rPr>
          <w:szCs w:val="22"/>
        </w:rPr>
        <w:t>s because of</w:t>
      </w:r>
      <w:r w:rsidRPr="00E90724">
        <w:rPr>
          <w:szCs w:val="22"/>
        </w:rPr>
        <w:t xml:space="preserve"> the uncontrolled movements of goods. Informal traders take advantage of arbitrage opportunities offered by the widely diverging trade regimes in the region, thereby mitigating the distortionary effects of the more restrictive trade regimes</w:t>
      </w:r>
      <w:r>
        <w:rPr>
          <w:szCs w:val="22"/>
        </w:rPr>
        <w:t>.  F</w:t>
      </w:r>
      <w:r w:rsidRPr="00E90724">
        <w:rPr>
          <w:szCs w:val="22"/>
        </w:rPr>
        <w:t>or Afghanistan</w:t>
      </w:r>
      <w:r>
        <w:rPr>
          <w:szCs w:val="22"/>
        </w:rPr>
        <w:t xml:space="preserve">, </w:t>
      </w:r>
      <w:r w:rsidRPr="00E90724">
        <w:rPr>
          <w:szCs w:val="22"/>
        </w:rPr>
        <w:t>coping with such high levels of informality will be a challenge</w:t>
      </w:r>
      <w:r>
        <w:rPr>
          <w:szCs w:val="22"/>
        </w:rPr>
        <w:t>.</w:t>
      </w:r>
      <w:r w:rsidRPr="00E90724">
        <w:rPr>
          <w:szCs w:val="22"/>
        </w:rPr>
        <w:t xml:space="preserve"> </w:t>
      </w:r>
    </w:p>
    <w:p w:rsidR="0014667F" w:rsidRPr="00073AC8" w:rsidRDefault="0014667F" w:rsidP="00E14F78">
      <w:pPr>
        <w:autoSpaceDE w:val="0"/>
        <w:autoSpaceDN w:val="0"/>
        <w:adjustRightInd w:val="0"/>
        <w:jc w:val="center"/>
        <w:rPr>
          <w:b/>
          <w:szCs w:val="22"/>
        </w:rPr>
      </w:pPr>
      <w:r w:rsidRPr="0034507B">
        <w:rPr>
          <w:b/>
          <w:color w:val="410082" w:themeColor="text1"/>
          <w:szCs w:val="22"/>
        </w:rPr>
        <w:t xml:space="preserve">Figure </w:t>
      </w:r>
      <w:r w:rsidR="0034507B">
        <w:rPr>
          <w:b/>
          <w:color w:val="410082" w:themeColor="text1"/>
          <w:szCs w:val="22"/>
        </w:rPr>
        <w:t>1.4</w:t>
      </w:r>
      <w:r w:rsidRPr="0034507B">
        <w:rPr>
          <w:b/>
          <w:color w:val="410082" w:themeColor="text1"/>
          <w:szCs w:val="22"/>
        </w:rPr>
        <w:t>: Export ratio</w:t>
      </w:r>
    </w:p>
    <w:p w:rsidR="0014667F" w:rsidRPr="00073AC8" w:rsidRDefault="0014667F" w:rsidP="00E14F78">
      <w:pPr>
        <w:autoSpaceDE w:val="0"/>
        <w:autoSpaceDN w:val="0"/>
        <w:adjustRightInd w:val="0"/>
        <w:jc w:val="center"/>
        <w:rPr>
          <w:szCs w:val="22"/>
        </w:rPr>
      </w:pPr>
      <w:r w:rsidRPr="00073AC8">
        <w:rPr>
          <w:noProof/>
          <w:szCs w:val="22"/>
          <w:lang w:bidi="ar-SA"/>
        </w:rPr>
        <w:drawing>
          <wp:inline distT="0" distB="0" distL="0" distR="0" wp14:anchorId="5BC4A89E" wp14:editId="22859DA0">
            <wp:extent cx="2941982" cy="2315003"/>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945271" cy="2317591"/>
                    </a:xfrm>
                    <a:prstGeom prst="rect">
                      <a:avLst/>
                    </a:prstGeom>
                    <a:noFill/>
                    <a:ln w="9525">
                      <a:noFill/>
                      <a:miter lim="800000"/>
                      <a:headEnd/>
                      <a:tailEnd/>
                    </a:ln>
                  </pic:spPr>
                </pic:pic>
              </a:graphicData>
            </a:graphic>
          </wp:inline>
        </w:drawing>
      </w:r>
    </w:p>
    <w:p w:rsidR="0014667F" w:rsidRPr="002F541B" w:rsidRDefault="0014667F" w:rsidP="00E14F78">
      <w:pPr>
        <w:autoSpaceDE w:val="0"/>
        <w:autoSpaceDN w:val="0"/>
        <w:adjustRightInd w:val="0"/>
        <w:ind w:left="2160" w:firstLine="720"/>
        <w:rPr>
          <w:sz w:val="20"/>
        </w:rPr>
      </w:pPr>
      <w:r w:rsidRPr="002F541B">
        <w:rPr>
          <w:sz w:val="20"/>
        </w:rPr>
        <w:t>Source: WDI</w:t>
      </w:r>
      <w:r w:rsidR="00C17FAB">
        <w:rPr>
          <w:sz w:val="20"/>
        </w:rPr>
        <w:t>, WB calculations.</w:t>
      </w:r>
    </w:p>
    <w:p w:rsidR="009167E9" w:rsidRDefault="00C81D97" w:rsidP="009167E9">
      <w:pPr>
        <w:pStyle w:val="References"/>
        <w:ind w:left="0" w:firstLine="0"/>
      </w:pPr>
      <w:r>
        <w:rPr>
          <w:b/>
        </w:rPr>
        <w:t xml:space="preserve">Relative to its GDP, </w:t>
      </w:r>
      <w:r w:rsidR="0014667F" w:rsidRPr="00E90724">
        <w:rPr>
          <w:b/>
        </w:rPr>
        <w:t xml:space="preserve">Afghanistan is underperforming in exports. </w:t>
      </w:r>
      <w:r w:rsidR="00274415">
        <w:t>The country</w:t>
      </w:r>
      <w:r w:rsidR="00274415" w:rsidRPr="00E90724">
        <w:t xml:space="preserve">’s </w:t>
      </w:r>
      <w:r w:rsidR="00274415">
        <w:t xml:space="preserve">exports </w:t>
      </w:r>
      <w:r w:rsidR="00274415" w:rsidRPr="00E90724">
        <w:t>lack diversity</w:t>
      </w:r>
      <w:r w:rsidR="00274415">
        <w:t xml:space="preserve"> and </w:t>
      </w:r>
      <w:r w:rsidR="00274415" w:rsidRPr="00E90724">
        <w:t>carpets and dry fruits account for close to three-</w:t>
      </w:r>
      <w:r w:rsidR="00274415">
        <w:t>quarter</w:t>
      </w:r>
      <w:r w:rsidR="00274415" w:rsidRPr="00E90724">
        <w:t>s of total exports</w:t>
      </w:r>
      <w:r w:rsidR="00274415">
        <w:t xml:space="preserve">.  </w:t>
      </w:r>
      <w:r w:rsidR="00C17FAB">
        <w:t>Its po</w:t>
      </w:r>
      <w:r w:rsidR="00444089" w:rsidRPr="00E90724">
        <w:t xml:space="preserve">or </w:t>
      </w:r>
      <w:r w:rsidR="00AB412A">
        <w:t xml:space="preserve">export </w:t>
      </w:r>
      <w:r w:rsidR="00444089" w:rsidRPr="00E90724">
        <w:t xml:space="preserve">performance in recent years has further weakened </w:t>
      </w:r>
      <w:r w:rsidR="00AB412A">
        <w:t>the</w:t>
      </w:r>
      <w:r w:rsidR="00AB412A" w:rsidRPr="00E90724">
        <w:t xml:space="preserve"> </w:t>
      </w:r>
      <w:r w:rsidR="00444089" w:rsidRPr="00E90724">
        <w:t xml:space="preserve">balance of payments position. </w:t>
      </w:r>
      <w:r w:rsidR="00D36294">
        <w:t xml:space="preserve">In this sense, </w:t>
      </w:r>
      <w:r w:rsidR="00C24178">
        <w:t xml:space="preserve">one would expect </w:t>
      </w:r>
      <w:r w:rsidR="0014667F" w:rsidRPr="00E90724">
        <w:t xml:space="preserve">Afghanistan’s </w:t>
      </w:r>
      <w:r w:rsidR="00D24B1E">
        <w:t>e</w:t>
      </w:r>
      <w:r w:rsidR="00D24B1E" w:rsidRPr="00E90724">
        <w:t xml:space="preserve">xport-to-GDP ratio </w:t>
      </w:r>
      <w:r w:rsidR="00D24B1E">
        <w:t xml:space="preserve">– which </w:t>
      </w:r>
      <w:r w:rsidR="00AB412A">
        <w:t>indicate</w:t>
      </w:r>
      <w:r w:rsidR="00D24B1E" w:rsidRPr="00E90724">
        <w:t xml:space="preserve">s the importance of exports of goods and services in an economy </w:t>
      </w:r>
      <w:r w:rsidR="00D24B1E">
        <w:t>–</w:t>
      </w:r>
      <w:r w:rsidR="0014667F" w:rsidRPr="00E90724">
        <w:t xml:space="preserve">close to 30 percent relative to its income level, but is </w:t>
      </w:r>
      <w:r w:rsidR="00D24B1E">
        <w:t>only</w:t>
      </w:r>
      <w:r w:rsidR="00D36294">
        <w:t xml:space="preserve"> 20 percent</w:t>
      </w:r>
      <w:r w:rsidR="00C17FAB">
        <w:t xml:space="preserve">.  While </w:t>
      </w:r>
      <w:r w:rsidR="00274415">
        <w:t>the empirical</w:t>
      </w:r>
      <w:r w:rsidR="00C17FAB">
        <w:t xml:space="preserve"> evidence suggests that countries tend to</w:t>
      </w:r>
      <w:r w:rsidR="00C17FAB" w:rsidRPr="00073AC8">
        <w:t xml:space="preserve"> trade more as </w:t>
      </w:r>
      <w:r w:rsidR="00C17FAB">
        <w:t xml:space="preserve">their </w:t>
      </w:r>
      <w:r w:rsidR="00C17FAB" w:rsidRPr="00073AC8">
        <w:t>per</w:t>
      </w:r>
      <w:r w:rsidR="00C17FAB">
        <w:t>-</w:t>
      </w:r>
      <w:r w:rsidR="00C17FAB" w:rsidRPr="00073AC8">
        <w:t>capita incomes rise</w:t>
      </w:r>
      <w:r w:rsidR="00C17FAB">
        <w:t>,</w:t>
      </w:r>
      <w:r w:rsidR="00C17FAB" w:rsidRPr="00073AC8">
        <w:t xml:space="preserve"> </w:t>
      </w:r>
      <w:r w:rsidR="00C17FAB">
        <w:t>though</w:t>
      </w:r>
      <w:r w:rsidR="00C17FAB" w:rsidRPr="00073AC8">
        <w:t xml:space="preserve"> at a decreasing rate</w:t>
      </w:r>
      <w:r w:rsidR="00C17FAB">
        <w:t>, this is not happening in Afghanistan.</w:t>
      </w:r>
      <w:r w:rsidR="00C17FAB">
        <w:rPr>
          <w:rStyle w:val="FootnoteReference"/>
          <w:szCs w:val="22"/>
        </w:rPr>
        <w:footnoteReference w:id="26"/>
      </w:r>
      <w:r w:rsidR="00C17FAB">
        <w:t xml:space="preserve">  </w:t>
      </w:r>
      <w:r w:rsidR="00C17FAB" w:rsidRPr="00073AC8">
        <w:t xml:space="preserve">  </w:t>
      </w:r>
      <w:r w:rsidR="00C17FAB">
        <w:t>(Figure 1.4 presents this relationship through a</w:t>
      </w:r>
      <w:r w:rsidR="0014667F" w:rsidRPr="00073AC8">
        <w:t xml:space="preserve"> scatter plot </w:t>
      </w:r>
      <w:r w:rsidR="00C316C4">
        <w:t>compar</w:t>
      </w:r>
      <w:r w:rsidR="00D24B1E">
        <w:t>ing</w:t>
      </w:r>
      <w:r w:rsidR="0014667F" w:rsidRPr="00073AC8">
        <w:t xml:space="preserve"> </w:t>
      </w:r>
      <w:r w:rsidR="00D24B1E">
        <w:t xml:space="preserve">the </w:t>
      </w:r>
      <w:r w:rsidR="0014667F" w:rsidRPr="00073AC8">
        <w:t xml:space="preserve">average export-to-GDP ratios </w:t>
      </w:r>
      <w:r w:rsidR="00C316C4">
        <w:t>with</w:t>
      </w:r>
      <w:r w:rsidR="00C316C4" w:rsidRPr="00073AC8">
        <w:t xml:space="preserve"> </w:t>
      </w:r>
      <w:r w:rsidR="0014667F" w:rsidRPr="00073AC8">
        <w:t xml:space="preserve">the log of GDP per capita (in PPP constant international dollars) </w:t>
      </w:r>
      <w:r w:rsidR="00366B87">
        <w:t xml:space="preserve">for </w:t>
      </w:r>
      <w:r w:rsidR="00D24B1E">
        <w:t xml:space="preserve">several countries in the region </w:t>
      </w:r>
      <w:r w:rsidR="00C316C4">
        <w:t>during</w:t>
      </w:r>
      <w:r w:rsidR="00D24B1E">
        <w:t xml:space="preserve"> 2006–2008</w:t>
      </w:r>
      <w:r w:rsidR="00366B87">
        <w:t>.)</w:t>
      </w:r>
      <w:r w:rsidR="00D24B1E">
        <w:t xml:space="preserve"> </w:t>
      </w:r>
    </w:p>
    <w:p w:rsidR="005613FE" w:rsidRPr="00073AC8" w:rsidRDefault="0014667F" w:rsidP="005613FE">
      <w:pPr>
        <w:spacing w:before="200" w:after="240"/>
        <w:rPr>
          <w:szCs w:val="22"/>
        </w:rPr>
      </w:pPr>
      <w:r w:rsidRPr="009167E9">
        <w:rPr>
          <w:b/>
        </w:rPr>
        <w:t>The surviva</w:t>
      </w:r>
      <w:r w:rsidR="00AB412A" w:rsidRPr="009167E9">
        <w:rPr>
          <w:b/>
        </w:rPr>
        <w:t>bility</w:t>
      </w:r>
      <w:r w:rsidRPr="009167E9">
        <w:rPr>
          <w:b/>
        </w:rPr>
        <w:t xml:space="preserve"> of </w:t>
      </w:r>
      <w:r w:rsidR="00366B87" w:rsidRPr="009167E9">
        <w:rPr>
          <w:b/>
        </w:rPr>
        <w:t xml:space="preserve">Afghan </w:t>
      </w:r>
      <w:r w:rsidRPr="009167E9">
        <w:rPr>
          <w:b/>
        </w:rPr>
        <w:t>exports</w:t>
      </w:r>
      <w:r w:rsidR="003A704F">
        <w:rPr>
          <w:b/>
        </w:rPr>
        <w:t xml:space="preserve"> is a challenge</w:t>
      </w:r>
      <w:r w:rsidRPr="009167E9">
        <w:t xml:space="preserve">. </w:t>
      </w:r>
      <w:r w:rsidR="0094694F" w:rsidRPr="009167E9">
        <w:t xml:space="preserve"> </w:t>
      </w:r>
      <w:r w:rsidR="00BA4E13" w:rsidRPr="009167E9">
        <w:t xml:space="preserve">A closer look at bilateral flows, </w:t>
      </w:r>
      <w:r w:rsidR="0094694F" w:rsidRPr="009167E9">
        <w:t xml:space="preserve">of Afghan </w:t>
      </w:r>
      <w:r w:rsidR="00BA4E13" w:rsidRPr="009167E9">
        <w:t xml:space="preserve">exports </w:t>
      </w:r>
      <w:r w:rsidR="009167E9">
        <w:t xml:space="preserve">to </w:t>
      </w:r>
      <w:r w:rsidR="0094694F" w:rsidRPr="009167E9">
        <w:t>specific</w:t>
      </w:r>
      <w:r w:rsidR="00BA4E13" w:rsidRPr="009167E9">
        <w:t xml:space="preserve"> countr</w:t>
      </w:r>
      <w:r w:rsidR="009167E9">
        <w:t>ies</w:t>
      </w:r>
      <w:r w:rsidR="00BA4E13" w:rsidRPr="009167E9">
        <w:t>,</w:t>
      </w:r>
      <w:r w:rsidR="0094694F" w:rsidRPr="009167E9">
        <w:t xml:space="preserve"> </w:t>
      </w:r>
      <w:r w:rsidR="00071539">
        <w:t>shows that b</w:t>
      </w:r>
      <w:r w:rsidR="0094694F" w:rsidRPr="009167E9">
        <w:t xml:space="preserve">etween 2005 and 2009, </w:t>
      </w:r>
      <w:r w:rsidR="00071539">
        <w:t xml:space="preserve">disappearing </w:t>
      </w:r>
      <w:r w:rsidR="00BA4E13" w:rsidRPr="009167E9">
        <w:t>trade flows</w:t>
      </w:r>
      <w:r w:rsidR="0094694F" w:rsidRPr="009167E9">
        <w:t>, mostly toward EU</w:t>
      </w:r>
      <w:r w:rsidR="00274415" w:rsidRPr="009167E9">
        <w:t>, represented</w:t>
      </w:r>
      <w:r w:rsidR="00BA4E13" w:rsidRPr="009167E9">
        <w:t xml:space="preserve"> </w:t>
      </w:r>
      <w:r w:rsidR="00071539">
        <w:t>a</w:t>
      </w:r>
      <w:r w:rsidR="0094694F" w:rsidRPr="009167E9">
        <w:t xml:space="preserve">round </w:t>
      </w:r>
      <w:r w:rsidR="00BA4E13" w:rsidRPr="009167E9">
        <w:t xml:space="preserve">20 percent </w:t>
      </w:r>
      <w:r w:rsidR="00071539">
        <w:t>of</w:t>
      </w:r>
      <w:r w:rsidR="00BA4E13" w:rsidRPr="009167E9">
        <w:t xml:space="preserve"> export growth.</w:t>
      </w:r>
      <w:r w:rsidR="009167E9" w:rsidRPr="009167E9">
        <w:t xml:space="preserve">  </w:t>
      </w:r>
      <w:r w:rsidR="005613FE">
        <w:rPr>
          <w:szCs w:val="22"/>
        </w:rPr>
        <w:t>I</w:t>
      </w:r>
      <w:r w:rsidR="005613FE" w:rsidRPr="00073AC8">
        <w:rPr>
          <w:szCs w:val="22"/>
        </w:rPr>
        <w:t>n carpet</w:t>
      </w:r>
      <w:r w:rsidR="005613FE">
        <w:rPr>
          <w:szCs w:val="22"/>
        </w:rPr>
        <w:t xml:space="preserve"> exports to Pakistan alone, t</w:t>
      </w:r>
      <w:r w:rsidR="005613FE" w:rsidRPr="00073AC8">
        <w:rPr>
          <w:szCs w:val="22"/>
        </w:rPr>
        <w:t>rade flows drop</w:t>
      </w:r>
      <w:r w:rsidR="005613FE">
        <w:rPr>
          <w:szCs w:val="22"/>
        </w:rPr>
        <w:t xml:space="preserve">ped sharply by 45 percent of export growth.  </w:t>
      </w:r>
      <w:r w:rsidR="009167E9" w:rsidRPr="009167E9">
        <w:t xml:space="preserve">In the countries where Afghan trade flows did increase, it was due mostly </w:t>
      </w:r>
      <w:r w:rsidR="00D31C1D">
        <w:t xml:space="preserve">to larger volumes of traditional exports (intensive margins, same products to existing markets) and a smaller share of </w:t>
      </w:r>
      <w:r w:rsidR="009167E9" w:rsidRPr="009167E9">
        <w:t>new products being exported to</w:t>
      </w:r>
      <w:r w:rsidR="00D31C1D">
        <w:t xml:space="preserve"> traditional markets</w:t>
      </w:r>
      <w:r w:rsidR="009167E9" w:rsidRPr="009167E9">
        <w:t xml:space="preserve"> </w:t>
      </w:r>
      <w:r w:rsidR="00D31C1D">
        <w:t xml:space="preserve"> </w:t>
      </w:r>
      <w:r w:rsidR="009167E9" w:rsidRPr="009167E9">
        <w:t>(extensive margins</w:t>
      </w:r>
      <w:r w:rsidR="009167E9">
        <w:t>).  (</w:t>
      </w:r>
      <w:r w:rsidR="009167E9" w:rsidRPr="009167E9">
        <w:t xml:space="preserve">Figure 1.5).   </w:t>
      </w:r>
    </w:p>
    <w:p w:rsidR="0014667F" w:rsidRPr="007C2562" w:rsidRDefault="0014667F" w:rsidP="00366B87">
      <w:pPr>
        <w:autoSpaceDE w:val="0"/>
        <w:autoSpaceDN w:val="0"/>
        <w:adjustRightInd w:val="0"/>
        <w:jc w:val="center"/>
        <w:rPr>
          <w:b/>
          <w:color w:val="410082" w:themeColor="text1"/>
          <w:szCs w:val="22"/>
        </w:rPr>
      </w:pPr>
      <w:r w:rsidRPr="007C2562">
        <w:rPr>
          <w:b/>
          <w:color w:val="410082" w:themeColor="text1"/>
          <w:szCs w:val="22"/>
        </w:rPr>
        <w:t xml:space="preserve">Figure </w:t>
      </w:r>
      <w:r w:rsidR="004E063A" w:rsidRPr="007C2562">
        <w:rPr>
          <w:b/>
          <w:color w:val="410082" w:themeColor="text1"/>
          <w:szCs w:val="22"/>
        </w:rPr>
        <w:t>1.5</w:t>
      </w:r>
      <w:r w:rsidRPr="007C2562">
        <w:rPr>
          <w:b/>
          <w:color w:val="410082" w:themeColor="text1"/>
          <w:szCs w:val="22"/>
        </w:rPr>
        <w:t>: Breakdown of Export growth</w:t>
      </w:r>
    </w:p>
    <w:p w:rsidR="0014667F" w:rsidRPr="00073AC8" w:rsidRDefault="0014667F" w:rsidP="00366B87">
      <w:pPr>
        <w:autoSpaceDE w:val="0"/>
        <w:autoSpaceDN w:val="0"/>
        <w:adjustRightInd w:val="0"/>
        <w:jc w:val="center"/>
        <w:rPr>
          <w:szCs w:val="22"/>
        </w:rPr>
      </w:pPr>
      <w:r w:rsidRPr="00073AC8">
        <w:rPr>
          <w:noProof/>
          <w:szCs w:val="22"/>
          <w:lang w:bidi="ar-SA"/>
        </w:rPr>
        <w:lastRenderedPageBreak/>
        <w:drawing>
          <wp:inline distT="0" distB="0" distL="0" distR="0" wp14:anchorId="7AFCD000" wp14:editId="4FC477C6">
            <wp:extent cx="4095022" cy="1998761"/>
            <wp:effectExtent l="0" t="0" r="0" b="190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102392" cy="2002358"/>
                    </a:xfrm>
                    <a:prstGeom prst="rect">
                      <a:avLst/>
                    </a:prstGeom>
                    <a:noFill/>
                    <a:ln w="9525">
                      <a:noFill/>
                      <a:miter lim="800000"/>
                      <a:headEnd/>
                      <a:tailEnd/>
                    </a:ln>
                  </pic:spPr>
                </pic:pic>
              </a:graphicData>
            </a:graphic>
          </wp:inline>
        </w:drawing>
      </w:r>
    </w:p>
    <w:p w:rsidR="0014667F" w:rsidRPr="00904B3B" w:rsidRDefault="0014667F" w:rsidP="00366B87">
      <w:pPr>
        <w:autoSpaceDE w:val="0"/>
        <w:autoSpaceDN w:val="0"/>
        <w:adjustRightInd w:val="0"/>
        <w:jc w:val="center"/>
        <w:rPr>
          <w:sz w:val="20"/>
        </w:rPr>
      </w:pPr>
      <w:r w:rsidRPr="00904B3B">
        <w:rPr>
          <w:sz w:val="20"/>
        </w:rPr>
        <w:t>Source: CSO, World Bank calculations</w:t>
      </w:r>
    </w:p>
    <w:p w:rsidR="0014667F" w:rsidRPr="00073AC8" w:rsidRDefault="003546B4" w:rsidP="0014667F">
      <w:pPr>
        <w:autoSpaceDE w:val="0"/>
        <w:autoSpaceDN w:val="0"/>
        <w:adjustRightInd w:val="0"/>
        <w:rPr>
          <w:szCs w:val="22"/>
        </w:rPr>
      </w:pPr>
      <w:r>
        <w:rPr>
          <w:b/>
          <w:szCs w:val="22"/>
        </w:rPr>
        <w:t>Across sectors that did reflect export growth</w:t>
      </w:r>
      <w:r w:rsidR="00042638">
        <w:rPr>
          <w:b/>
          <w:szCs w:val="22"/>
        </w:rPr>
        <w:t>,</w:t>
      </w:r>
      <w:r w:rsidR="00310AA0">
        <w:rPr>
          <w:b/>
          <w:szCs w:val="22"/>
        </w:rPr>
        <w:t xml:space="preserve"> </w:t>
      </w:r>
      <w:r w:rsidR="0014667F" w:rsidRPr="00073AC8">
        <w:rPr>
          <w:b/>
          <w:szCs w:val="22"/>
        </w:rPr>
        <w:t>new products to Asia</w:t>
      </w:r>
      <w:r w:rsidR="007C2562">
        <w:rPr>
          <w:b/>
          <w:szCs w:val="22"/>
        </w:rPr>
        <w:t xml:space="preserve"> and </w:t>
      </w:r>
      <w:r w:rsidR="0014667F" w:rsidRPr="00073AC8">
        <w:rPr>
          <w:b/>
          <w:szCs w:val="22"/>
        </w:rPr>
        <w:t>the Middle East</w:t>
      </w:r>
      <w:r w:rsidR="007C2562">
        <w:rPr>
          <w:b/>
          <w:szCs w:val="22"/>
        </w:rPr>
        <w:t>/</w:t>
      </w:r>
      <w:r w:rsidR="0014667F" w:rsidRPr="00073AC8">
        <w:rPr>
          <w:b/>
          <w:szCs w:val="22"/>
        </w:rPr>
        <w:t>North Africa</w:t>
      </w:r>
      <w:r w:rsidR="007C2562">
        <w:rPr>
          <w:b/>
          <w:szCs w:val="22"/>
        </w:rPr>
        <w:t xml:space="preserve"> (MENA)</w:t>
      </w:r>
      <w:r w:rsidR="00042638">
        <w:rPr>
          <w:b/>
          <w:szCs w:val="22"/>
        </w:rPr>
        <w:t xml:space="preserve"> drove the increase</w:t>
      </w:r>
      <w:r w:rsidR="0014667F" w:rsidRPr="00073AC8">
        <w:rPr>
          <w:szCs w:val="22"/>
        </w:rPr>
        <w:t xml:space="preserve">. </w:t>
      </w:r>
      <w:r w:rsidR="00D36294">
        <w:rPr>
          <w:szCs w:val="22"/>
        </w:rPr>
        <w:t>Over</w:t>
      </w:r>
      <w:r w:rsidR="0014667F" w:rsidRPr="00073AC8">
        <w:rPr>
          <w:szCs w:val="22"/>
        </w:rPr>
        <w:t xml:space="preserve"> the last five years</w:t>
      </w:r>
      <w:r w:rsidR="00310AA0">
        <w:rPr>
          <w:szCs w:val="22"/>
        </w:rPr>
        <w:t>,</w:t>
      </w:r>
      <w:r w:rsidR="007C2562">
        <w:rPr>
          <w:szCs w:val="22"/>
        </w:rPr>
        <w:t xml:space="preserve"> Afghan</w:t>
      </w:r>
      <w:r w:rsidR="0014667F" w:rsidRPr="00073AC8">
        <w:rPr>
          <w:szCs w:val="22"/>
        </w:rPr>
        <w:t xml:space="preserve"> exports to these two regions </w:t>
      </w:r>
      <w:r w:rsidR="007C2562">
        <w:rPr>
          <w:szCs w:val="22"/>
        </w:rPr>
        <w:t>have grown the most</w:t>
      </w:r>
      <w:r w:rsidR="0014667F" w:rsidRPr="00073AC8">
        <w:rPr>
          <w:szCs w:val="22"/>
        </w:rPr>
        <w:t xml:space="preserve">, followed by </w:t>
      </w:r>
      <w:r w:rsidR="007C2562">
        <w:rPr>
          <w:szCs w:val="22"/>
        </w:rPr>
        <w:t xml:space="preserve">exports to </w:t>
      </w:r>
      <w:r w:rsidR="0014667F" w:rsidRPr="00073AC8">
        <w:rPr>
          <w:szCs w:val="22"/>
        </w:rPr>
        <w:t>Europe and Central Asia (ECA). Th</w:t>
      </w:r>
      <w:r w:rsidR="00C26A23">
        <w:rPr>
          <w:szCs w:val="22"/>
        </w:rPr>
        <w:t>e</w:t>
      </w:r>
      <w:r w:rsidR="0014667F" w:rsidRPr="00073AC8">
        <w:rPr>
          <w:szCs w:val="22"/>
        </w:rPr>
        <w:t xml:space="preserve"> Afghan trade growth to MENA countries </w:t>
      </w:r>
      <w:r w:rsidR="00C26A23">
        <w:rPr>
          <w:szCs w:val="22"/>
        </w:rPr>
        <w:t>was a combination of new products and new markets, while growth in Asia and ECA was mostly new products to existing partner countries</w:t>
      </w:r>
      <w:r w:rsidR="00D31C1D">
        <w:rPr>
          <w:szCs w:val="22"/>
        </w:rPr>
        <w:t xml:space="preserve"> and intensifying</w:t>
      </w:r>
      <w:r w:rsidR="00071539">
        <w:rPr>
          <w:szCs w:val="22"/>
        </w:rPr>
        <w:t xml:space="preserve"> trade of</w:t>
      </w:r>
      <w:r w:rsidR="00D31C1D">
        <w:rPr>
          <w:szCs w:val="22"/>
        </w:rPr>
        <w:t xml:space="preserve"> traditional exports (intensive margins)</w:t>
      </w:r>
      <w:r w:rsidR="00C26A23">
        <w:rPr>
          <w:szCs w:val="22"/>
        </w:rPr>
        <w:t xml:space="preserve">.  In the </w:t>
      </w:r>
      <w:r w:rsidR="0014667F" w:rsidRPr="00073AC8">
        <w:rPr>
          <w:szCs w:val="22"/>
        </w:rPr>
        <w:t xml:space="preserve">USA </w:t>
      </w:r>
      <w:r w:rsidR="00C26A23">
        <w:rPr>
          <w:szCs w:val="22"/>
        </w:rPr>
        <w:t xml:space="preserve">exports of </w:t>
      </w:r>
      <w:r w:rsidR="0014667F" w:rsidRPr="00073AC8">
        <w:rPr>
          <w:szCs w:val="22"/>
        </w:rPr>
        <w:t>ne</w:t>
      </w:r>
      <w:r w:rsidR="00266427">
        <w:rPr>
          <w:szCs w:val="22"/>
        </w:rPr>
        <w:t xml:space="preserve">w </w:t>
      </w:r>
      <w:r w:rsidR="00C26A23">
        <w:rPr>
          <w:szCs w:val="22"/>
        </w:rPr>
        <w:t>products drove growth</w:t>
      </w:r>
      <w:r w:rsidR="00D31C1D">
        <w:rPr>
          <w:szCs w:val="22"/>
        </w:rPr>
        <w:t>,</w:t>
      </w:r>
      <w:r w:rsidR="00C26A23">
        <w:rPr>
          <w:szCs w:val="22"/>
        </w:rPr>
        <w:t xml:space="preserve"> particularly for </w:t>
      </w:r>
      <w:r w:rsidR="0014667F" w:rsidRPr="00073AC8">
        <w:rPr>
          <w:szCs w:val="22"/>
        </w:rPr>
        <w:t xml:space="preserve">oil seed and lac, gums, and resins.  </w:t>
      </w:r>
      <w:r w:rsidR="007C2562">
        <w:rPr>
          <w:szCs w:val="22"/>
        </w:rPr>
        <w:t>Meanwhile</w:t>
      </w:r>
      <w:r w:rsidR="0014667F" w:rsidRPr="00073AC8">
        <w:rPr>
          <w:szCs w:val="22"/>
        </w:rPr>
        <w:t xml:space="preserve">, Afghanistan lost ground </w:t>
      </w:r>
      <w:r w:rsidR="007C2562">
        <w:rPr>
          <w:szCs w:val="22"/>
        </w:rPr>
        <w:t>in</w:t>
      </w:r>
      <w:r w:rsidR="0014667F" w:rsidRPr="00073AC8">
        <w:rPr>
          <w:szCs w:val="22"/>
        </w:rPr>
        <w:t xml:space="preserve"> traditional exports </w:t>
      </w:r>
      <w:r w:rsidR="007C2562">
        <w:rPr>
          <w:szCs w:val="22"/>
        </w:rPr>
        <w:t>to</w:t>
      </w:r>
      <w:r w:rsidR="0014667F" w:rsidRPr="00073AC8">
        <w:rPr>
          <w:szCs w:val="22"/>
        </w:rPr>
        <w:t xml:space="preserve"> the EU</w:t>
      </w:r>
      <w:r w:rsidR="00C26A23">
        <w:rPr>
          <w:szCs w:val="22"/>
        </w:rPr>
        <w:t>.</w:t>
      </w:r>
      <w:r w:rsidR="00E14F78">
        <w:rPr>
          <w:szCs w:val="22"/>
        </w:rPr>
        <w:t xml:space="preserve"> (Figure 1.6 and 1.7)</w:t>
      </w:r>
    </w:p>
    <w:p w:rsidR="0014667F" w:rsidRPr="007C2562" w:rsidRDefault="0014667F" w:rsidP="007C2562">
      <w:pPr>
        <w:tabs>
          <w:tab w:val="left" w:pos="8622"/>
        </w:tabs>
        <w:spacing w:after="0"/>
        <w:rPr>
          <w:color w:val="410082" w:themeColor="text1"/>
          <w:szCs w:val="22"/>
        </w:rPr>
      </w:pPr>
      <w:r w:rsidRPr="00E14F78">
        <w:rPr>
          <w:b/>
          <w:color w:val="410082" w:themeColor="text1"/>
          <w:szCs w:val="22"/>
        </w:rPr>
        <w:t xml:space="preserve">Figure </w:t>
      </w:r>
      <w:r w:rsidR="007C2562" w:rsidRPr="00E14F78">
        <w:rPr>
          <w:b/>
          <w:color w:val="410082" w:themeColor="text1"/>
          <w:szCs w:val="22"/>
        </w:rPr>
        <w:t>1.6</w:t>
      </w:r>
      <w:r w:rsidRPr="00E14F78">
        <w:rPr>
          <w:b/>
          <w:color w:val="410082" w:themeColor="text1"/>
          <w:szCs w:val="22"/>
        </w:rPr>
        <w:t xml:space="preserve">: </w:t>
      </w:r>
      <w:r w:rsidR="007C2562" w:rsidRPr="00E14F78">
        <w:rPr>
          <w:b/>
          <w:color w:val="410082" w:themeColor="text1"/>
          <w:szCs w:val="22"/>
        </w:rPr>
        <w:t>B</w:t>
      </w:r>
      <w:r w:rsidRPr="00E14F78">
        <w:rPr>
          <w:b/>
          <w:color w:val="410082" w:themeColor="text1"/>
          <w:szCs w:val="22"/>
        </w:rPr>
        <w:t xml:space="preserve">reakdown of </w:t>
      </w:r>
      <w:r w:rsidR="007C2562" w:rsidRPr="00E14F78">
        <w:rPr>
          <w:b/>
          <w:color w:val="410082" w:themeColor="text1"/>
          <w:szCs w:val="22"/>
        </w:rPr>
        <w:t>M</w:t>
      </w:r>
      <w:r w:rsidRPr="00E14F78">
        <w:rPr>
          <w:b/>
          <w:color w:val="410082" w:themeColor="text1"/>
          <w:szCs w:val="22"/>
        </w:rPr>
        <w:t>argins</w:t>
      </w:r>
      <w:r w:rsidR="007C2562" w:rsidRPr="00E14F78">
        <w:rPr>
          <w:b/>
          <w:color w:val="410082" w:themeColor="text1"/>
          <w:szCs w:val="22"/>
        </w:rPr>
        <w:t>,</w:t>
      </w:r>
      <w:r w:rsidRPr="00E14F78">
        <w:rPr>
          <w:b/>
          <w:color w:val="410082" w:themeColor="text1"/>
          <w:szCs w:val="22"/>
        </w:rPr>
        <w:t xml:space="preserve"> by region, 2005-09   Figure </w:t>
      </w:r>
      <w:r w:rsidR="007C2562" w:rsidRPr="00E14F78">
        <w:rPr>
          <w:b/>
          <w:color w:val="410082" w:themeColor="text1"/>
          <w:szCs w:val="22"/>
        </w:rPr>
        <w:t>1.7</w:t>
      </w:r>
      <w:r w:rsidRPr="00E14F78">
        <w:rPr>
          <w:b/>
          <w:color w:val="410082" w:themeColor="text1"/>
          <w:szCs w:val="22"/>
        </w:rPr>
        <w:t xml:space="preserve">: </w:t>
      </w:r>
      <w:r w:rsidR="007C2562" w:rsidRPr="00E14F78">
        <w:rPr>
          <w:b/>
          <w:color w:val="410082" w:themeColor="text1"/>
          <w:szCs w:val="22"/>
        </w:rPr>
        <w:t>B</w:t>
      </w:r>
      <w:r w:rsidRPr="00E14F78">
        <w:rPr>
          <w:b/>
          <w:color w:val="410082" w:themeColor="text1"/>
          <w:szCs w:val="22"/>
        </w:rPr>
        <w:t xml:space="preserve">reakdown of </w:t>
      </w:r>
      <w:r w:rsidR="007C2562" w:rsidRPr="00E14F78">
        <w:rPr>
          <w:b/>
          <w:color w:val="410082" w:themeColor="text1"/>
          <w:szCs w:val="22"/>
        </w:rPr>
        <w:t>M</w:t>
      </w:r>
      <w:r w:rsidRPr="00E14F78">
        <w:rPr>
          <w:b/>
          <w:color w:val="410082" w:themeColor="text1"/>
          <w:szCs w:val="22"/>
        </w:rPr>
        <w:t>argins</w:t>
      </w:r>
      <w:r w:rsidR="007C2562" w:rsidRPr="00E14F78">
        <w:rPr>
          <w:b/>
          <w:color w:val="410082" w:themeColor="text1"/>
          <w:szCs w:val="22"/>
        </w:rPr>
        <w:t>,</w:t>
      </w:r>
      <w:r w:rsidRPr="00E14F78">
        <w:rPr>
          <w:b/>
          <w:color w:val="410082" w:themeColor="text1"/>
          <w:szCs w:val="22"/>
        </w:rPr>
        <w:t xml:space="preserve"> by product</w:t>
      </w:r>
      <w:r w:rsidRPr="007C2562">
        <w:rPr>
          <w:b/>
          <w:color w:val="410082" w:themeColor="text1"/>
          <w:szCs w:val="22"/>
        </w:rPr>
        <w:t xml:space="preserve">            </w:t>
      </w:r>
    </w:p>
    <w:p w:rsidR="0014667F" w:rsidRPr="00073AC8" w:rsidRDefault="0014667F" w:rsidP="0014667F">
      <w:pPr>
        <w:spacing w:after="0"/>
        <w:rPr>
          <w:szCs w:val="22"/>
        </w:rPr>
      </w:pPr>
      <w:r w:rsidRPr="00073AC8">
        <w:rPr>
          <w:noProof/>
          <w:szCs w:val="22"/>
          <w:lang w:bidi="ar-SA"/>
        </w:rPr>
        <w:drawing>
          <wp:inline distT="0" distB="0" distL="0" distR="0" wp14:anchorId="3F33D6CC" wp14:editId="42C43137">
            <wp:extent cx="2934031" cy="2051348"/>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934325" cy="2051554"/>
                    </a:xfrm>
                    <a:prstGeom prst="rect">
                      <a:avLst/>
                    </a:prstGeom>
                    <a:noFill/>
                    <a:ln w="9525">
                      <a:noFill/>
                      <a:miter lim="800000"/>
                      <a:headEnd/>
                      <a:tailEnd/>
                    </a:ln>
                  </pic:spPr>
                </pic:pic>
              </a:graphicData>
            </a:graphic>
          </wp:inline>
        </w:drawing>
      </w:r>
      <w:r w:rsidRPr="00073AC8">
        <w:rPr>
          <w:szCs w:val="22"/>
        </w:rPr>
        <w:t xml:space="preserve"> </w:t>
      </w:r>
      <w:r w:rsidRPr="00073AC8">
        <w:rPr>
          <w:noProof/>
          <w:szCs w:val="22"/>
          <w:lang w:bidi="ar-SA"/>
        </w:rPr>
        <w:drawing>
          <wp:inline distT="0" distB="0" distL="0" distR="0" wp14:anchorId="7BA0F467" wp14:editId="68CD030F">
            <wp:extent cx="2918128" cy="1987826"/>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2929812" cy="1995785"/>
                    </a:xfrm>
                    <a:prstGeom prst="rect">
                      <a:avLst/>
                    </a:prstGeom>
                    <a:noFill/>
                    <a:ln w="9525">
                      <a:noFill/>
                      <a:miter lim="800000"/>
                      <a:headEnd/>
                      <a:tailEnd/>
                    </a:ln>
                  </pic:spPr>
                </pic:pic>
              </a:graphicData>
            </a:graphic>
          </wp:inline>
        </w:drawing>
      </w:r>
    </w:p>
    <w:p w:rsidR="0014667F" w:rsidRPr="00904B3B" w:rsidRDefault="0014667F" w:rsidP="00926F4A">
      <w:pPr>
        <w:spacing w:before="240"/>
        <w:rPr>
          <w:sz w:val="20"/>
        </w:rPr>
      </w:pPr>
      <w:r w:rsidRPr="00904B3B">
        <w:rPr>
          <w:sz w:val="20"/>
        </w:rPr>
        <w:t xml:space="preserve">Source: </w:t>
      </w:r>
      <w:r w:rsidR="00F23EE9" w:rsidRPr="00904B3B">
        <w:rPr>
          <w:sz w:val="20"/>
        </w:rPr>
        <w:t>World Bank,</w:t>
      </w:r>
      <w:r w:rsidRPr="00904B3B">
        <w:rPr>
          <w:sz w:val="20"/>
        </w:rPr>
        <w:t xml:space="preserve"> based on CSO</w:t>
      </w:r>
      <w:r w:rsidR="00904B3B">
        <w:rPr>
          <w:sz w:val="20"/>
        </w:rPr>
        <w:t>.</w:t>
      </w:r>
      <w:r w:rsidR="00A44C62">
        <w:rPr>
          <w:sz w:val="20"/>
        </w:rPr>
        <w:t xml:space="preserve">  Note:  </w:t>
      </w:r>
      <w:r w:rsidR="004C0C20">
        <w:rPr>
          <w:sz w:val="20"/>
        </w:rPr>
        <w:t>Intensive margins refer</w:t>
      </w:r>
      <w:r w:rsidR="00D31C1D">
        <w:rPr>
          <w:sz w:val="20"/>
        </w:rPr>
        <w:t xml:space="preserve"> </w:t>
      </w:r>
      <w:r w:rsidR="00274415">
        <w:rPr>
          <w:sz w:val="20"/>
        </w:rPr>
        <w:t>to</w:t>
      </w:r>
      <w:r w:rsidR="00D31C1D">
        <w:rPr>
          <w:sz w:val="20"/>
        </w:rPr>
        <w:t xml:space="preserve"> </w:t>
      </w:r>
      <w:r w:rsidR="00274415">
        <w:rPr>
          <w:sz w:val="20"/>
        </w:rPr>
        <w:t>increasing</w:t>
      </w:r>
      <w:r w:rsidR="00D31C1D">
        <w:rPr>
          <w:sz w:val="20"/>
        </w:rPr>
        <w:t xml:space="preserve"> existing trade flows. </w:t>
      </w:r>
    </w:p>
    <w:p w:rsidR="0014667F" w:rsidRPr="00C316C4" w:rsidRDefault="0014667F" w:rsidP="00992FE6">
      <w:pPr>
        <w:pStyle w:val="Heading2"/>
      </w:pPr>
      <w:bookmarkStart w:id="205" w:name="_Toc296964687"/>
      <w:bookmarkStart w:id="206" w:name="_Toc327208438"/>
      <w:bookmarkStart w:id="207" w:name="_Toc348451678"/>
      <w:r w:rsidRPr="00C316C4">
        <w:t>Diversification</w:t>
      </w:r>
      <w:bookmarkEnd w:id="205"/>
      <w:bookmarkEnd w:id="206"/>
      <w:bookmarkEnd w:id="207"/>
    </w:p>
    <w:p w:rsidR="005C784C" w:rsidRDefault="0014667F" w:rsidP="00606FDE">
      <w:pPr>
        <w:spacing w:before="200" w:after="240"/>
        <w:rPr>
          <w:b/>
          <w:bCs/>
          <w:szCs w:val="22"/>
        </w:rPr>
      </w:pPr>
      <w:r w:rsidRPr="00E17B2B">
        <w:rPr>
          <w:b/>
          <w:szCs w:val="22"/>
        </w:rPr>
        <w:t>Afghanistan</w:t>
      </w:r>
      <w:r w:rsidR="007D2235">
        <w:rPr>
          <w:b/>
          <w:szCs w:val="22"/>
        </w:rPr>
        <w:t xml:space="preserve">’s export base is heavily concentrated on </w:t>
      </w:r>
      <w:r w:rsidRPr="00E17B2B">
        <w:rPr>
          <w:b/>
          <w:szCs w:val="22"/>
        </w:rPr>
        <w:t>few products</w:t>
      </w:r>
      <w:r w:rsidR="00AB412A" w:rsidRPr="00E17B2B">
        <w:rPr>
          <w:b/>
          <w:szCs w:val="22"/>
        </w:rPr>
        <w:t xml:space="preserve"> to </w:t>
      </w:r>
      <w:r w:rsidR="0000721C" w:rsidRPr="00E17B2B">
        <w:rPr>
          <w:b/>
          <w:szCs w:val="22"/>
        </w:rPr>
        <w:t>a small number of</w:t>
      </w:r>
      <w:r w:rsidR="00AB412A" w:rsidRPr="00E17B2B">
        <w:rPr>
          <w:b/>
          <w:szCs w:val="22"/>
        </w:rPr>
        <w:t xml:space="preserve"> markets</w:t>
      </w:r>
      <w:r w:rsidR="007E622B">
        <w:rPr>
          <w:b/>
          <w:szCs w:val="22"/>
        </w:rPr>
        <w:t>.</w:t>
      </w:r>
      <w:r w:rsidR="007E622B" w:rsidRPr="007E622B">
        <w:rPr>
          <w:szCs w:val="22"/>
        </w:rPr>
        <w:t xml:space="preserve"> </w:t>
      </w:r>
      <w:r w:rsidR="007E622B">
        <w:rPr>
          <w:szCs w:val="22"/>
        </w:rPr>
        <w:t xml:space="preserve">The country exports only to </w:t>
      </w:r>
      <w:r w:rsidR="007E622B" w:rsidRPr="00073AC8">
        <w:rPr>
          <w:szCs w:val="22"/>
        </w:rPr>
        <w:t xml:space="preserve">35 destinations, which is </w:t>
      </w:r>
      <w:r w:rsidR="007E622B">
        <w:rPr>
          <w:szCs w:val="22"/>
        </w:rPr>
        <w:t>well below the average of about 90 markets for other</w:t>
      </w:r>
      <w:r w:rsidR="007E622B" w:rsidRPr="00073AC8">
        <w:rPr>
          <w:szCs w:val="22"/>
        </w:rPr>
        <w:t xml:space="preserve"> LDCs</w:t>
      </w:r>
      <w:r w:rsidR="007E622B">
        <w:rPr>
          <w:szCs w:val="22"/>
        </w:rPr>
        <w:t>.  Given its level of GDP, Afghanistan is highly</w:t>
      </w:r>
      <w:r w:rsidR="007E622B" w:rsidRPr="00073AC8">
        <w:rPr>
          <w:szCs w:val="22"/>
        </w:rPr>
        <w:t xml:space="preserve"> dependen</w:t>
      </w:r>
      <w:r w:rsidR="007E622B">
        <w:rPr>
          <w:szCs w:val="22"/>
        </w:rPr>
        <w:t xml:space="preserve">t on </w:t>
      </w:r>
      <w:r w:rsidR="007E622B" w:rsidRPr="00073AC8">
        <w:rPr>
          <w:szCs w:val="22"/>
        </w:rPr>
        <w:t>regional partners</w:t>
      </w:r>
      <w:r w:rsidR="007E622B">
        <w:rPr>
          <w:szCs w:val="22"/>
        </w:rPr>
        <w:t xml:space="preserve"> for trade and </w:t>
      </w:r>
      <w:r w:rsidR="007E622B" w:rsidRPr="00073AC8">
        <w:rPr>
          <w:szCs w:val="22"/>
        </w:rPr>
        <w:t xml:space="preserve">80 percent of </w:t>
      </w:r>
      <w:r w:rsidR="007E622B">
        <w:rPr>
          <w:szCs w:val="22"/>
        </w:rPr>
        <w:t xml:space="preserve">its exports reach only </w:t>
      </w:r>
      <w:r w:rsidR="007E622B" w:rsidRPr="00073AC8">
        <w:rPr>
          <w:szCs w:val="22"/>
        </w:rPr>
        <w:t>three markets</w:t>
      </w:r>
      <w:r w:rsidR="007E622B">
        <w:rPr>
          <w:szCs w:val="22"/>
        </w:rPr>
        <w:t>.</w:t>
      </w:r>
      <w:r w:rsidR="005C784C">
        <w:rPr>
          <w:szCs w:val="22"/>
        </w:rPr>
        <w:t xml:space="preserve">  In 2010, carpets and dry fruits &amp; seeds accounted for two thirds of total exports.  (Figure 1.</w:t>
      </w:r>
      <w:r w:rsidR="00E14F78">
        <w:rPr>
          <w:szCs w:val="22"/>
        </w:rPr>
        <w:t>3</w:t>
      </w:r>
      <w:r w:rsidR="005C784C">
        <w:rPr>
          <w:szCs w:val="22"/>
        </w:rPr>
        <w:t>)</w:t>
      </w:r>
      <w:r w:rsidR="00620DE0">
        <w:rPr>
          <w:szCs w:val="22"/>
        </w:rPr>
        <w:t xml:space="preserve">.  </w:t>
      </w:r>
    </w:p>
    <w:p w:rsidR="005C784C" w:rsidRDefault="005C784C" w:rsidP="0014667F">
      <w:pPr>
        <w:spacing w:after="0"/>
        <w:rPr>
          <w:b/>
          <w:bCs/>
          <w:szCs w:val="22"/>
        </w:rPr>
      </w:pPr>
    </w:p>
    <w:p w:rsidR="0014667F" w:rsidRPr="00073AC8" w:rsidRDefault="0014667F" w:rsidP="0014667F">
      <w:pPr>
        <w:spacing w:after="0"/>
        <w:rPr>
          <w:b/>
          <w:bCs/>
          <w:szCs w:val="22"/>
        </w:rPr>
      </w:pPr>
      <w:r w:rsidRPr="00073AC8">
        <w:rPr>
          <w:b/>
          <w:bCs/>
          <w:szCs w:val="22"/>
        </w:rPr>
        <w:t xml:space="preserve">Afghanistan </w:t>
      </w:r>
      <w:r w:rsidR="00971331">
        <w:rPr>
          <w:b/>
          <w:bCs/>
          <w:szCs w:val="22"/>
        </w:rPr>
        <w:t>has reduced</w:t>
      </w:r>
      <w:r w:rsidRPr="00073AC8">
        <w:rPr>
          <w:b/>
          <w:bCs/>
          <w:szCs w:val="22"/>
        </w:rPr>
        <w:t xml:space="preserve"> depend</w:t>
      </w:r>
      <w:r w:rsidR="001E541C">
        <w:rPr>
          <w:b/>
          <w:bCs/>
          <w:szCs w:val="22"/>
        </w:rPr>
        <w:t>en</w:t>
      </w:r>
      <w:r w:rsidR="00971331">
        <w:rPr>
          <w:b/>
          <w:bCs/>
          <w:szCs w:val="22"/>
        </w:rPr>
        <w:t>ce</w:t>
      </w:r>
      <w:r w:rsidR="001E541C">
        <w:rPr>
          <w:b/>
          <w:bCs/>
          <w:szCs w:val="22"/>
        </w:rPr>
        <w:t xml:space="preserve"> on the</w:t>
      </w:r>
      <w:r w:rsidRPr="00073AC8">
        <w:rPr>
          <w:b/>
          <w:bCs/>
          <w:szCs w:val="22"/>
        </w:rPr>
        <w:t xml:space="preserve"> Pakistan market and </w:t>
      </w:r>
      <w:r w:rsidR="001E541C">
        <w:rPr>
          <w:b/>
          <w:bCs/>
          <w:szCs w:val="22"/>
        </w:rPr>
        <w:t>strengthened its trade with</w:t>
      </w:r>
      <w:r w:rsidR="00971331">
        <w:rPr>
          <w:b/>
          <w:bCs/>
          <w:szCs w:val="22"/>
        </w:rPr>
        <w:t xml:space="preserve"> the</w:t>
      </w:r>
      <w:r w:rsidRPr="00073AC8">
        <w:rPr>
          <w:b/>
          <w:bCs/>
          <w:szCs w:val="22"/>
        </w:rPr>
        <w:t xml:space="preserve"> MENA</w:t>
      </w:r>
      <w:r w:rsidR="00797A97">
        <w:rPr>
          <w:b/>
          <w:bCs/>
          <w:szCs w:val="22"/>
        </w:rPr>
        <w:t xml:space="preserve"> </w:t>
      </w:r>
      <w:r w:rsidR="00971331">
        <w:rPr>
          <w:b/>
          <w:bCs/>
          <w:szCs w:val="22"/>
        </w:rPr>
        <w:t>region</w:t>
      </w:r>
      <w:r w:rsidRPr="00073AC8">
        <w:rPr>
          <w:b/>
          <w:bCs/>
          <w:szCs w:val="22"/>
        </w:rPr>
        <w:t xml:space="preserve">.  </w:t>
      </w:r>
      <w:r w:rsidR="00971331">
        <w:rPr>
          <w:szCs w:val="22"/>
        </w:rPr>
        <w:t>Export trade shares shifted significantly between 2005</w:t>
      </w:r>
      <w:r w:rsidR="00F546D8">
        <w:rPr>
          <w:szCs w:val="22"/>
        </w:rPr>
        <w:t>-09</w:t>
      </w:r>
      <w:r w:rsidR="00971331">
        <w:rPr>
          <w:szCs w:val="22"/>
        </w:rPr>
        <w:t>,</w:t>
      </w:r>
      <w:r w:rsidRPr="00073AC8">
        <w:rPr>
          <w:szCs w:val="22"/>
        </w:rPr>
        <w:t xml:space="preserve"> </w:t>
      </w:r>
      <w:r w:rsidR="00971331">
        <w:rPr>
          <w:szCs w:val="22"/>
        </w:rPr>
        <w:t xml:space="preserve">with exports to South Asia dropping </w:t>
      </w:r>
      <w:r w:rsidR="00F546D8">
        <w:rPr>
          <w:szCs w:val="22"/>
        </w:rPr>
        <w:t>from 80 to 65</w:t>
      </w:r>
      <w:r w:rsidR="00971331">
        <w:rPr>
          <w:szCs w:val="22"/>
        </w:rPr>
        <w:t xml:space="preserve"> percent and those to</w:t>
      </w:r>
      <w:r w:rsidRPr="00073AC8">
        <w:rPr>
          <w:szCs w:val="22"/>
        </w:rPr>
        <w:t xml:space="preserve"> MENA </w:t>
      </w:r>
      <w:r w:rsidR="00F546D8">
        <w:rPr>
          <w:szCs w:val="22"/>
        </w:rPr>
        <w:t>increasing</w:t>
      </w:r>
      <w:r w:rsidR="00971331">
        <w:rPr>
          <w:szCs w:val="22"/>
        </w:rPr>
        <w:t xml:space="preserve"> to</w:t>
      </w:r>
      <w:r w:rsidRPr="00073AC8">
        <w:rPr>
          <w:szCs w:val="22"/>
        </w:rPr>
        <w:t xml:space="preserve"> </w:t>
      </w:r>
      <w:r w:rsidR="002665AB">
        <w:rPr>
          <w:szCs w:val="22"/>
        </w:rPr>
        <w:t xml:space="preserve">a </w:t>
      </w:r>
      <w:r w:rsidRPr="00073AC8">
        <w:rPr>
          <w:szCs w:val="22"/>
        </w:rPr>
        <w:t>15 percent</w:t>
      </w:r>
      <w:r w:rsidR="002665AB">
        <w:rPr>
          <w:szCs w:val="22"/>
        </w:rPr>
        <w:t xml:space="preserve"> share of </w:t>
      </w:r>
      <w:r w:rsidR="00971331">
        <w:rPr>
          <w:szCs w:val="22"/>
        </w:rPr>
        <w:t>total</w:t>
      </w:r>
      <w:r w:rsidR="00F546D8">
        <w:rPr>
          <w:szCs w:val="22"/>
        </w:rPr>
        <w:t xml:space="preserve"> exports</w:t>
      </w:r>
      <w:r w:rsidR="007A4059">
        <w:rPr>
          <w:szCs w:val="22"/>
        </w:rPr>
        <w:t>.</w:t>
      </w:r>
      <w:r w:rsidR="00971331">
        <w:rPr>
          <w:szCs w:val="22"/>
        </w:rPr>
        <w:t xml:space="preserve"> </w:t>
      </w:r>
      <w:r w:rsidRPr="00073AC8">
        <w:rPr>
          <w:szCs w:val="22"/>
        </w:rPr>
        <w:t xml:space="preserve">Pakistan </w:t>
      </w:r>
      <w:r w:rsidR="00971331">
        <w:rPr>
          <w:szCs w:val="22"/>
        </w:rPr>
        <w:t>remained</w:t>
      </w:r>
      <w:r w:rsidRPr="00073AC8">
        <w:rPr>
          <w:szCs w:val="22"/>
        </w:rPr>
        <w:t xml:space="preserve"> the biggest </w:t>
      </w:r>
      <w:r w:rsidR="00F546D8">
        <w:rPr>
          <w:szCs w:val="22"/>
        </w:rPr>
        <w:t xml:space="preserve">trade </w:t>
      </w:r>
      <w:r w:rsidRPr="00073AC8">
        <w:rPr>
          <w:szCs w:val="22"/>
        </w:rPr>
        <w:t>partner</w:t>
      </w:r>
      <w:r w:rsidR="00971331">
        <w:rPr>
          <w:szCs w:val="22"/>
        </w:rPr>
        <w:t>,</w:t>
      </w:r>
      <w:r w:rsidRPr="00073AC8">
        <w:rPr>
          <w:szCs w:val="22"/>
        </w:rPr>
        <w:t xml:space="preserve"> with 48 percent of exports in 20</w:t>
      </w:r>
      <w:r w:rsidR="00F546D8">
        <w:rPr>
          <w:szCs w:val="22"/>
        </w:rPr>
        <w:t>10, but values dropped from US$</w:t>
      </w:r>
      <w:r w:rsidR="00F546D8" w:rsidRPr="00073AC8">
        <w:rPr>
          <w:szCs w:val="22"/>
        </w:rPr>
        <w:t>300 to 191</w:t>
      </w:r>
      <w:r w:rsidR="00F546D8">
        <w:rPr>
          <w:szCs w:val="22"/>
        </w:rPr>
        <w:t xml:space="preserve"> billion</w:t>
      </w:r>
      <w:r w:rsidR="00F546D8" w:rsidRPr="00073AC8">
        <w:rPr>
          <w:szCs w:val="22"/>
        </w:rPr>
        <w:t xml:space="preserve"> </w:t>
      </w:r>
      <w:r w:rsidR="00F546D8">
        <w:rPr>
          <w:szCs w:val="22"/>
        </w:rPr>
        <w:t>between</w:t>
      </w:r>
      <w:r w:rsidR="00F546D8" w:rsidRPr="00073AC8">
        <w:rPr>
          <w:szCs w:val="22"/>
        </w:rPr>
        <w:t xml:space="preserve"> </w:t>
      </w:r>
      <w:r w:rsidR="00F546D8" w:rsidRPr="00E14F78">
        <w:rPr>
          <w:szCs w:val="22"/>
        </w:rPr>
        <w:t>2005-</w:t>
      </w:r>
      <w:r w:rsidR="002665AB" w:rsidRPr="00E14F78">
        <w:rPr>
          <w:szCs w:val="22"/>
        </w:rPr>
        <w:t>10</w:t>
      </w:r>
      <w:r w:rsidR="00F546D8">
        <w:rPr>
          <w:szCs w:val="22"/>
        </w:rPr>
        <w:t xml:space="preserve">.  This was </w:t>
      </w:r>
      <w:r w:rsidRPr="00073AC8">
        <w:rPr>
          <w:szCs w:val="22"/>
        </w:rPr>
        <w:t>f</w:t>
      </w:r>
      <w:r w:rsidR="00971331">
        <w:rPr>
          <w:szCs w:val="22"/>
        </w:rPr>
        <w:t>ollowed by</w:t>
      </w:r>
      <w:r w:rsidR="002665AB">
        <w:rPr>
          <w:szCs w:val="22"/>
        </w:rPr>
        <w:t xml:space="preserve"> exports to</w:t>
      </w:r>
      <w:r w:rsidR="00971331">
        <w:rPr>
          <w:szCs w:val="22"/>
        </w:rPr>
        <w:t xml:space="preserve"> </w:t>
      </w:r>
      <w:r w:rsidRPr="00073AC8">
        <w:rPr>
          <w:szCs w:val="22"/>
        </w:rPr>
        <w:t xml:space="preserve">India </w:t>
      </w:r>
      <w:r w:rsidR="00971331">
        <w:rPr>
          <w:szCs w:val="22"/>
        </w:rPr>
        <w:t>with</w:t>
      </w:r>
      <w:r w:rsidR="002665AB">
        <w:rPr>
          <w:szCs w:val="22"/>
        </w:rPr>
        <w:t xml:space="preserve"> a</w:t>
      </w:r>
      <w:r w:rsidR="00971331">
        <w:rPr>
          <w:szCs w:val="22"/>
        </w:rPr>
        <w:t xml:space="preserve"> </w:t>
      </w:r>
      <w:r w:rsidRPr="00073AC8">
        <w:rPr>
          <w:szCs w:val="22"/>
        </w:rPr>
        <w:t>19 percent</w:t>
      </w:r>
      <w:r w:rsidR="002665AB">
        <w:rPr>
          <w:szCs w:val="22"/>
        </w:rPr>
        <w:t xml:space="preserve"> share</w:t>
      </w:r>
      <w:r w:rsidRPr="00073AC8">
        <w:rPr>
          <w:szCs w:val="22"/>
        </w:rPr>
        <w:t>,</w:t>
      </w:r>
      <w:r w:rsidR="002665AB">
        <w:rPr>
          <w:szCs w:val="22"/>
        </w:rPr>
        <w:t xml:space="preserve"> to</w:t>
      </w:r>
      <w:r w:rsidRPr="00073AC8">
        <w:rPr>
          <w:szCs w:val="22"/>
        </w:rPr>
        <w:t xml:space="preserve"> Iran </w:t>
      </w:r>
      <w:r w:rsidR="002665AB">
        <w:rPr>
          <w:szCs w:val="22"/>
        </w:rPr>
        <w:t xml:space="preserve">at </w:t>
      </w:r>
      <w:r w:rsidRPr="00073AC8">
        <w:rPr>
          <w:szCs w:val="22"/>
        </w:rPr>
        <w:t xml:space="preserve">10 </w:t>
      </w:r>
      <w:r w:rsidR="00971331">
        <w:rPr>
          <w:szCs w:val="22"/>
        </w:rPr>
        <w:t>percent</w:t>
      </w:r>
      <w:r w:rsidR="002665AB">
        <w:rPr>
          <w:szCs w:val="22"/>
        </w:rPr>
        <w:t>,</w:t>
      </w:r>
      <w:r w:rsidR="00F546D8">
        <w:rPr>
          <w:szCs w:val="22"/>
        </w:rPr>
        <w:t xml:space="preserve"> and </w:t>
      </w:r>
      <w:r w:rsidR="002665AB">
        <w:rPr>
          <w:szCs w:val="22"/>
        </w:rPr>
        <w:t xml:space="preserve">to </w:t>
      </w:r>
      <w:r w:rsidR="00F546D8">
        <w:rPr>
          <w:szCs w:val="22"/>
        </w:rPr>
        <w:t xml:space="preserve">Russia </w:t>
      </w:r>
      <w:r w:rsidR="002665AB">
        <w:rPr>
          <w:szCs w:val="22"/>
        </w:rPr>
        <w:t xml:space="preserve">a </w:t>
      </w:r>
      <w:r w:rsidR="00F546D8">
        <w:rPr>
          <w:szCs w:val="22"/>
        </w:rPr>
        <w:t>6 percent</w:t>
      </w:r>
      <w:r w:rsidR="002665AB">
        <w:rPr>
          <w:szCs w:val="22"/>
        </w:rPr>
        <w:t xml:space="preserve"> share.  </w:t>
      </w:r>
      <w:r w:rsidRPr="00073AC8">
        <w:rPr>
          <w:szCs w:val="22"/>
        </w:rPr>
        <w:t xml:space="preserve">The most </w:t>
      </w:r>
      <w:r w:rsidR="007A4059">
        <w:rPr>
          <w:szCs w:val="22"/>
        </w:rPr>
        <w:t>nota</w:t>
      </w:r>
      <w:r w:rsidR="00971331">
        <w:rPr>
          <w:szCs w:val="22"/>
        </w:rPr>
        <w:t xml:space="preserve">ble </w:t>
      </w:r>
      <w:r w:rsidR="002665AB">
        <w:rPr>
          <w:szCs w:val="22"/>
        </w:rPr>
        <w:t xml:space="preserve">change was the increasing share of exports to Iran, </w:t>
      </w:r>
      <w:r w:rsidRPr="00073AC8">
        <w:rPr>
          <w:szCs w:val="22"/>
        </w:rPr>
        <w:t xml:space="preserve">from </w:t>
      </w:r>
      <w:r w:rsidR="002665AB">
        <w:rPr>
          <w:szCs w:val="22"/>
        </w:rPr>
        <w:t>US$</w:t>
      </w:r>
      <w:r w:rsidRPr="00073AC8">
        <w:rPr>
          <w:szCs w:val="22"/>
        </w:rPr>
        <w:t>9</w:t>
      </w:r>
      <w:r w:rsidR="002665AB">
        <w:rPr>
          <w:szCs w:val="22"/>
        </w:rPr>
        <w:t xml:space="preserve"> to 41</w:t>
      </w:r>
      <w:r w:rsidRPr="00073AC8">
        <w:rPr>
          <w:szCs w:val="22"/>
        </w:rPr>
        <w:t xml:space="preserve"> billion </w:t>
      </w:r>
      <w:r w:rsidR="002665AB">
        <w:rPr>
          <w:szCs w:val="22"/>
        </w:rPr>
        <w:t xml:space="preserve">between </w:t>
      </w:r>
      <w:r w:rsidRPr="00073AC8">
        <w:rPr>
          <w:szCs w:val="22"/>
        </w:rPr>
        <w:t>2005</w:t>
      </w:r>
      <w:r w:rsidR="002665AB">
        <w:rPr>
          <w:szCs w:val="22"/>
        </w:rPr>
        <w:t>-10</w:t>
      </w:r>
      <w:r w:rsidRPr="00073AC8">
        <w:rPr>
          <w:szCs w:val="22"/>
        </w:rPr>
        <w:t xml:space="preserve">, while exports to Russia and India remain roughly the same, </w:t>
      </w:r>
      <w:r w:rsidR="002665AB">
        <w:rPr>
          <w:szCs w:val="22"/>
        </w:rPr>
        <w:t xml:space="preserve">at US$ </w:t>
      </w:r>
      <w:r w:rsidRPr="00073AC8">
        <w:rPr>
          <w:szCs w:val="22"/>
        </w:rPr>
        <w:t xml:space="preserve">70 </w:t>
      </w:r>
      <w:r w:rsidR="00481F12">
        <w:rPr>
          <w:szCs w:val="22"/>
        </w:rPr>
        <w:t xml:space="preserve">billion </w:t>
      </w:r>
      <w:r w:rsidRPr="00073AC8">
        <w:rPr>
          <w:szCs w:val="22"/>
        </w:rPr>
        <w:t>and 25 billion respectively.</w:t>
      </w:r>
    </w:p>
    <w:p w:rsidR="0014667F" w:rsidRPr="00073AC8" w:rsidRDefault="0014667F" w:rsidP="0014667F">
      <w:pPr>
        <w:spacing w:after="0"/>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619"/>
      </w:tblGrid>
      <w:tr w:rsidR="0014667F" w:rsidRPr="00073AC8" w:rsidTr="00E14F78">
        <w:trPr>
          <w:trHeight w:val="314"/>
        </w:trPr>
        <w:tc>
          <w:tcPr>
            <w:tcW w:w="4825" w:type="dxa"/>
          </w:tcPr>
          <w:p w:rsidR="0014667F" w:rsidRPr="00481F12" w:rsidRDefault="0014667F" w:rsidP="00176E30">
            <w:pPr>
              <w:spacing w:line="276" w:lineRule="auto"/>
              <w:rPr>
                <w:b/>
                <w:color w:val="410082" w:themeColor="text1"/>
                <w:szCs w:val="22"/>
              </w:rPr>
            </w:pPr>
            <w:r w:rsidRPr="00481F12">
              <w:rPr>
                <w:b/>
                <w:color w:val="410082" w:themeColor="text1"/>
                <w:szCs w:val="22"/>
              </w:rPr>
              <w:t>Figure 1</w:t>
            </w:r>
            <w:r w:rsidR="00481F12">
              <w:rPr>
                <w:b/>
                <w:color w:val="410082" w:themeColor="text1"/>
                <w:szCs w:val="22"/>
              </w:rPr>
              <w:t>.</w:t>
            </w:r>
            <w:r w:rsidR="00176E30">
              <w:rPr>
                <w:b/>
                <w:color w:val="410082" w:themeColor="text1"/>
                <w:szCs w:val="22"/>
              </w:rPr>
              <w:t>8</w:t>
            </w:r>
            <w:r w:rsidRPr="00481F12">
              <w:rPr>
                <w:b/>
                <w:color w:val="410082" w:themeColor="text1"/>
                <w:szCs w:val="22"/>
              </w:rPr>
              <w:t>: Export Partners</w:t>
            </w:r>
            <w:r w:rsidR="00481F12">
              <w:rPr>
                <w:b/>
                <w:color w:val="410082" w:themeColor="text1"/>
                <w:szCs w:val="22"/>
              </w:rPr>
              <w:t>,</w:t>
            </w:r>
            <w:r w:rsidRPr="00481F12">
              <w:rPr>
                <w:b/>
                <w:color w:val="410082" w:themeColor="text1"/>
                <w:szCs w:val="22"/>
              </w:rPr>
              <w:t xml:space="preserve"> </w:t>
            </w:r>
            <w:r w:rsidR="00481F12">
              <w:rPr>
                <w:b/>
                <w:color w:val="410082" w:themeColor="text1"/>
                <w:szCs w:val="22"/>
              </w:rPr>
              <w:t>FY</w:t>
            </w:r>
            <w:r w:rsidRPr="00481F12">
              <w:rPr>
                <w:b/>
                <w:color w:val="410082" w:themeColor="text1"/>
                <w:szCs w:val="22"/>
              </w:rPr>
              <w:t>2006</w:t>
            </w:r>
          </w:p>
        </w:tc>
        <w:tc>
          <w:tcPr>
            <w:tcW w:w="4670" w:type="dxa"/>
          </w:tcPr>
          <w:p w:rsidR="0014667F" w:rsidRPr="00481F12" w:rsidRDefault="0014667F" w:rsidP="00176E30">
            <w:pPr>
              <w:spacing w:line="276" w:lineRule="auto"/>
              <w:rPr>
                <w:b/>
                <w:color w:val="410082" w:themeColor="text1"/>
                <w:szCs w:val="22"/>
              </w:rPr>
            </w:pPr>
            <w:r w:rsidRPr="00481F12">
              <w:rPr>
                <w:b/>
                <w:color w:val="410082" w:themeColor="text1"/>
                <w:szCs w:val="22"/>
              </w:rPr>
              <w:t>Figure 1</w:t>
            </w:r>
            <w:r w:rsidR="00481F12">
              <w:rPr>
                <w:b/>
                <w:color w:val="410082" w:themeColor="text1"/>
                <w:szCs w:val="22"/>
              </w:rPr>
              <w:t>.</w:t>
            </w:r>
            <w:r w:rsidR="00176E30">
              <w:rPr>
                <w:b/>
                <w:color w:val="410082" w:themeColor="text1"/>
                <w:szCs w:val="22"/>
              </w:rPr>
              <w:t>9</w:t>
            </w:r>
            <w:r w:rsidRPr="00481F12">
              <w:rPr>
                <w:b/>
                <w:color w:val="410082" w:themeColor="text1"/>
                <w:szCs w:val="22"/>
              </w:rPr>
              <w:t>: Export Partners</w:t>
            </w:r>
            <w:r w:rsidR="00481F12">
              <w:rPr>
                <w:b/>
                <w:color w:val="410082" w:themeColor="text1"/>
                <w:szCs w:val="22"/>
              </w:rPr>
              <w:t>, FY</w:t>
            </w:r>
            <w:r w:rsidRPr="00481F12">
              <w:rPr>
                <w:b/>
                <w:color w:val="410082" w:themeColor="text1"/>
                <w:szCs w:val="22"/>
              </w:rPr>
              <w:t xml:space="preserve"> 20</w:t>
            </w:r>
            <w:r w:rsidR="00481F12">
              <w:rPr>
                <w:b/>
                <w:color w:val="410082" w:themeColor="text1"/>
                <w:szCs w:val="22"/>
              </w:rPr>
              <w:t>1</w:t>
            </w:r>
            <w:r w:rsidRPr="00481F12">
              <w:rPr>
                <w:b/>
                <w:color w:val="410082" w:themeColor="text1"/>
                <w:szCs w:val="22"/>
              </w:rPr>
              <w:t>0</w:t>
            </w:r>
          </w:p>
        </w:tc>
      </w:tr>
      <w:tr w:rsidR="0014667F" w:rsidRPr="00073AC8" w:rsidTr="00E14F78">
        <w:trPr>
          <w:trHeight w:val="3625"/>
        </w:trPr>
        <w:tc>
          <w:tcPr>
            <w:tcW w:w="4825" w:type="dxa"/>
          </w:tcPr>
          <w:p w:rsidR="0014667F" w:rsidRPr="00073AC8" w:rsidRDefault="0014667F" w:rsidP="009A45D4">
            <w:pPr>
              <w:spacing w:line="276" w:lineRule="auto"/>
              <w:rPr>
                <w:szCs w:val="22"/>
              </w:rPr>
            </w:pPr>
            <w:r w:rsidRPr="00073AC8">
              <w:rPr>
                <w:noProof/>
                <w:szCs w:val="22"/>
                <w:lang w:bidi="ar-SA"/>
              </w:rPr>
              <w:drawing>
                <wp:inline distT="0" distB="0" distL="0" distR="0" wp14:anchorId="1BFB4904" wp14:editId="122CEDE1">
                  <wp:extent cx="3010619" cy="2252643"/>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3010147" cy="2252290"/>
                          </a:xfrm>
                          <a:prstGeom prst="rect">
                            <a:avLst/>
                          </a:prstGeom>
                          <a:noFill/>
                          <a:ln w="9525">
                            <a:noFill/>
                            <a:miter lim="800000"/>
                            <a:headEnd/>
                            <a:tailEnd/>
                          </a:ln>
                        </pic:spPr>
                      </pic:pic>
                    </a:graphicData>
                  </a:graphic>
                </wp:inline>
              </w:drawing>
            </w:r>
          </w:p>
        </w:tc>
        <w:tc>
          <w:tcPr>
            <w:tcW w:w="4670" w:type="dxa"/>
          </w:tcPr>
          <w:p w:rsidR="0014667F" w:rsidRPr="00073AC8" w:rsidRDefault="0014667F" w:rsidP="009A45D4">
            <w:pPr>
              <w:spacing w:line="276" w:lineRule="auto"/>
              <w:rPr>
                <w:szCs w:val="22"/>
              </w:rPr>
            </w:pPr>
            <w:r w:rsidRPr="00073AC8">
              <w:rPr>
                <w:noProof/>
                <w:szCs w:val="22"/>
                <w:lang w:bidi="ar-SA"/>
              </w:rPr>
              <w:drawing>
                <wp:inline distT="0" distB="0" distL="0" distR="0" wp14:anchorId="60AE98E4" wp14:editId="252C5FF6">
                  <wp:extent cx="2740573" cy="2122098"/>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2742354" cy="2123477"/>
                          </a:xfrm>
                          <a:prstGeom prst="rect">
                            <a:avLst/>
                          </a:prstGeom>
                          <a:noFill/>
                          <a:ln w="9525">
                            <a:noFill/>
                            <a:miter lim="800000"/>
                            <a:headEnd/>
                            <a:tailEnd/>
                          </a:ln>
                        </pic:spPr>
                      </pic:pic>
                    </a:graphicData>
                  </a:graphic>
                </wp:inline>
              </w:drawing>
            </w:r>
          </w:p>
        </w:tc>
      </w:tr>
    </w:tbl>
    <w:p w:rsidR="0014667F" w:rsidRPr="00904B3B" w:rsidRDefault="0014667F" w:rsidP="0014667F">
      <w:pPr>
        <w:spacing w:after="0"/>
        <w:rPr>
          <w:sz w:val="20"/>
        </w:rPr>
      </w:pPr>
      <w:r w:rsidRPr="00904B3B">
        <w:rPr>
          <w:sz w:val="20"/>
        </w:rPr>
        <w:t>Source: CSO</w:t>
      </w:r>
    </w:p>
    <w:p w:rsidR="00DA03CF" w:rsidRDefault="00DA03CF" w:rsidP="0070757D">
      <w:pPr>
        <w:spacing w:before="240"/>
        <w:rPr>
          <w:szCs w:val="22"/>
        </w:rPr>
      </w:pPr>
      <w:r>
        <w:rPr>
          <w:b/>
          <w:szCs w:val="22"/>
        </w:rPr>
        <w:t>Afghan exports</w:t>
      </w:r>
      <w:r w:rsidR="0014667F" w:rsidRPr="00073AC8">
        <w:rPr>
          <w:b/>
          <w:szCs w:val="22"/>
        </w:rPr>
        <w:t xml:space="preserve"> could</w:t>
      </w:r>
      <w:r w:rsidR="00180067">
        <w:rPr>
          <w:b/>
          <w:szCs w:val="22"/>
        </w:rPr>
        <w:t xml:space="preserve"> diversify further by exploring opportunities with other </w:t>
      </w:r>
      <w:r w:rsidR="0014667F" w:rsidRPr="00073AC8">
        <w:rPr>
          <w:b/>
          <w:szCs w:val="22"/>
        </w:rPr>
        <w:t>EU and East Asian countries</w:t>
      </w:r>
      <w:r w:rsidR="0014667F" w:rsidRPr="00073AC8">
        <w:rPr>
          <w:szCs w:val="22"/>
        </w:rPr>
        <w:t xml:space="preserve">. </w:t>
      </w:r>
      <w:r w:rsidR="00A006BA">
        <w:rPr>
          <w:szCs w:val="22"/>
        </w:rPr>
        <w:t>G</w:t>
      </w:r>
      <w:r w:rsidR="00A006BA" w:rsidRPr="00073AC8">
        <w:rPr>
          <w:szCs w:val="22"/>
        </w:rPr>
        <w:t xml:space="preserve">ravity models </w:t>
      </w:r>
      <w:r w:rsidR="00A006BA">
        <w:rPr>
          <w:szCs w:val="22"/>
        </w:rPr>
        <w:t xml:space="preserve">are </w:t>
      </w:r>
      <w:r>
        <w:rPr>
          <w:szCs w:val="22"/>
        </w:rPr>
        <w:t xml:space="preserve">one way </w:t>
      </w:r>
      <w:r w:rsidR="00A006BA">
        <w:rPr>
          <w:szCs w:val="22"/>
        </w:rPr>
        <w:t>to</w:t>
      </w:r>
      <w:r>
        <w:rPr>
          <w:szCs w:val="22"/>
        </w:rPr>
        <w:t xml:space="preserve"> better</w:t>
      </w:r>
      <w:r w:rsidR="00A006BA">
        <w:rPr>
          <w:szCs w:val="22"/>
        </w:rPr>
        <w:t xml:space="preserve"> understand </w:t>
      </w:r>
      <w:r w:rsidR="00A006BA" w:rsidRPr="00073AC8">
        <w:rPr>
          <w:szCs w:val="22"/>
        </w:rPr>
        <w:t>where more exports “ought” to be going</w:t>
      </w:r>
      <w:r w:rsidR="00A006BA">
        <w:rPr>
          <w:szCs w:val="22"/>
        </w:rPr>
        <w:t xml:space="preserve">, </w:t>
      </w:r>
      <w:r w:rsidR="00A006BA" w:rsidRPr="00073AC8">
        <w:rPr>
          <w:szCs w:val="22"/>
        </w:rPr>
        <w:t xml:space="preserve"> </w:t>
      </w:r>
      <w:r>
        <w:rPr>
          <w:szCs w:val="22"/>
        </w:rPr>
        <w:t xml:space="preserve">and a </w:t>
      </w:r>
      <w:r w:rsidR="0014667F" w:rsidRPr="00073AC8">
        <w:rPr>
          <w:szCs w:val="22"/>
        </w:rPr>
        <w:t>disaggregated analysis</w:t>
      </w:r>
      <w:r>
        <w:rPr>
          <w:szCs w:val="22"/>
        </w:rPr>
        <w:t xml:space="preserve"> can highlight </w:t>
      </w:r>
      <w:r w:rsidR="0014667F" w:rsidRPr="00073AC8">
        <w:rPr>
          <w:szCs w:val="22"/>
        </w:rPr>
        <w:t>large</w:t>
      </w:r>
      <w:r>
        <w:rPr>
          <w:szCs w:val="22"/>
        </w:rPr>
        <w:t xml:space="preserve"> markets, as well as </w:t>
      </w:r>
      <w:r w:rsidR="00A006BA">
        <w:rPr>
          <w:szCs w:val="22"/>
        </w:rPr>
        <w:t xml:space="preserve">and fast growing </w:t>
      </w:r>
      <w:r>
        <w:rPr>
          <w:szCs w:val="22"/>
        </w:rPr>
        <w:t>destinations</w:t>
      </w:r>
      <w:r w:rsidR="00A006BA">
        <w:rPr>
          <w:szCs w:val="22"/>
        </w:rPr>
        <w:t xml:space="preserve">.  </w:t>
      </w:r>
      <w:r>
        <w:rPr>
          <w:szCs w:val="22"/>
        </w:rPr>
        <w:t>Given its level of GDP, A</w:t>
      </w:r>
      <w:r w:rsidR="0014667F" w:rsidRPr="00073AC8">
        <w:rPr>
          <w:szCs w:val="22"/>
        </w:rPr>
        <w:t xml:space="preserve">fghanistan </w:t>
      </w:r>
      <w:r>
        <w:rPr>
          <w:szCs w:val="22"/>
        </w:rPr>
        <w:t xml:space="preserve">could trade more </w:t>
      </w:r>
      <w:r w:rsidR="007A4059">
        <w:rPr>
          <w:szCs w:val="22"/>
        </w:rPr>
        <w:t xml:space="preserve">with </w:t>
      </w:r>
      <w:r w:rsidR="0014667F" w:rsidRPr="00073AC8">
        <w:rPr>
          <w:szCs w:val="22"/>
        </w:rPr>
        <w:t>EU countries</w:t>
      </w:r>
      <w:r>
        <w:rPr>
          <w:szCs w:val="22"/>
        </w:rPr>
        <w:t xml:space="preserve">, </w:t>
      </w:r>
      <w:r w:rsidR="00274415">
        <w:rPr>
          <w:szCs w:val="22"/>
        </w:rPr>
        <w:t>particularly</w:t>
      </w:r>
      <w:r>
        <w:rPr>
          <w:szCs w:val="22"/>
        </w:rPr>
        <w:t xml:space="preserve"> </w:t>
      </w:r>
      <w:r w:rsidR="0014667F" w:rsidRPr="00073AC8">
        <w:rPr>
          <w:szCs w:val="22"/>
        </w:rPr>
        <w:t>Spain, Sweden, Ne</w:t>
      </w:r>
      <w:r w:rsidR="007A4059">
        <w:rPr>
          <w:szCs w:val="22"/>
        </w:rPr>
        <w:t>th</w:t>
      </w:r>
      <w:r w:rsidR="0014667F" w:rsidRPr="00073AC8">
        <w:rPr>
          <w:szCs w:val="22"/>
        </w:rPr>
        <w:t>erland</w:t>
      </w:r>
      <w:r w:rsidR="007A4059">
        <w:rPr>
          <w:szCs w:val="22"/>
        </w:rPr>
        <w:t>s</w:t>
      </w:r>
      <w:r w:rsidR="0014667F" w:rsidRPr="00073AC8">
        <w:rPr>
          <w:szCs w:val="22"/>
        </w:rPr>
        <w:t>, and France (located above the 45-degree line)</w:t>
      </w:r>
      <w:r w:rsidR="007A4059">
        <w:rPr>
          <w:szCs w:val="22"/>
        </w:rPr>
        <w:t>,</w:t>
      </w:r>
      <w:r w:rsidR="0014667F" w:rsidRPr="00073AC8">
        <w:rPr>
          <w:szCs w:val="22"/>
        </w:rPr>
        <w:t xml:space="preserve"> but also China, Japan and Korea</w:t>
      </w:r>
      <w:r>
        <w:rPr>
          <w:szCs w:val="22"/>
        </w:rPr>
        <w:t xml:space="preserve"> provide great growth potential</w:t>
      </w:r>
      <w:r w:rsidR="007A4059">
        <w:rPr>
          <w:szCs w:val="22"/>
        </w:rPr>
        <w:t xml:space="preserve"> (Figure 1.1</w:t>
      </w:r>
      <w:r w:rsidR="0070757D">
        <w:rPr>
          <w:szCs w:val="22"/>
        </w:rPr>
        <w:t>0</w:t>
      </w:r>
      <w:r w:rsidR="007A4059">
        <w:rPr>
          <w:szCs w:val="22"/>
        </w:rPr>
        <w:t>)</w:t>
      </w:r>
      <w:r w:rsidR="0014667F" w:rsidRPr="00073AC8">
        <w:rPr>
          <w:szCs w:val="22"/>
        </w:rPr>
        <w:t>.</w:t>
      </w:r>
      <w:r w:rsidR="007A4059">
        <w:rPr>
          <w:rStyle w:val="FootnoteReference"/>
          <w:szCs w:val="22"/>
        </w:rPr>
        <w:footnoteReference w:id="27"/>
      </w:r>
      <w:r w:rsidR="0014667F" w:rsidRPr="00073AC8">
        <w:rPr>
          <w:szCs w:val="22"/>
        </w:rPr>
        <w:t xml:space="preserve"> </w:t>
      </w:r>
      <w:r>
        <w:rPr>
          <w:szCs w:val="22"/>
        </w:rPr>
        <w:t xml:space="preserve"> A rough estimation of exports to predicted exports shows a correlation between Afghan exports and predicted export to </w:t>
      </w:r>
      <w:r w:rsidR="0014667F" w:rsidRPr="00073AC8">
        <w:rPr>
          <w:szCs w:val="22"/>
        </w:rPr>
        <w:t>MENA (Tunisia and Jordan)</w:t>
      </w:r>
      <w:r w:rsidR="007A4059">
        <w:rPr>
          <w:szCs w:val="22"/>
        </w:rPr>
        <w:t>,</w:t>
      </w:r>
      <w:r w:rsidR="0014667F" w:rsidRPr="00073AC8">
        <w:rPr>
          <w:szCs w:val="22"/>
        </w:rPr>
        <w:t xml:space="preserve"> South Asia</w:t>
      </w:r>
      <w:r w:rsidR="007A4059">
        <w:rPr>
          <w:szCs w:val="22"/>
        </w:rPr>
        <w:t>, and</w:t>
      </w:r>
      <w:r w:rsidR="0014667F" w:rsidRPr="00073AC8">
        <w:rPr>
          <w:szCs w:val="22"/>
        </w:rPr>
        <w:t xml:space="preserve"> EU countries such as Denmark, Finland and Belgium.</w:t>
      </w:r>
      <w:r w:rsidR="00770203">
        <w:rPr>
          <w:szCs w:val="22"/>
        </w:rPr>
        <w:t xml:space="preserve">  (F</w:t>
      </w:r>
      <w:r w:rsidR="00ED1D40">
        <w:rPr>
          <w:szCs w:val="22"/>
        </w:rPr>
        <w:t>or a discussion on dynamic new markets</w:t>
      </w:r>
      <w:r w:rsidR="00770203">
        <w:rPr>
          <w:szCs w:val="22"/>
        </w:rPr>
        <w:t xml:space="preserve"> for Afghan products</w:t>
      </w:r>
      <w:r w:rsidR="00ED1D40">
        <w:rPr>
          <w:szCs w:val="22"/>
        </w:rPr>
        <w:t xml:space="preserve"> and sector export potential see </w:t>
      </w:r>
      <w:r w:rsidR="00206268">
        <w:rPr>
          <w:szCs w:val="22"/>
        </w:rPr>
        <w:t>Chapter II</w:t>
      </w:r>
      <w:r w:rsidR="00ED1D40">
        <w:rPr>
          <w:szCs w:val="22"/>
        </w:rPr>
        <w:t>)</w:t>
      </w:r>
      <w:r w:rsidR="0014667F" w:rsidRPr="00073AC8">
        <w:rPr>
          <w:szCs w:val="22"/>
        </w:rPr>
        <w:t xml:space="preserve"> </w:t>
      </w:r>
    </w:p>
    <w:p w:rsidR="0014667F" w:rsidRPr="00E17589" w:rsidRDefault="0014667F" w:rsidP="007C434D">
      <w:pPr>
        <w:spacing w:before="240"/>
        <w:jc w:val="center"/>
        <w:rPr>
          <w:b/>
          <w:color w:val="410082" w:themeColor="text1"/>
          <w:szCs w:val="22"/>
        </w:rPr>
      </w:pPr>
      <w:r w:rsidRPr="00E17589">
        <w:rPr>
          <w:b/>
          <w:color w:val="410082" w:themeColor="text1"/>
          <w:szCs w:val="22"/>
        </w:rPr>
        <w:t>Figure 1</w:t>
      </w:r>
      <w:r w:rsidR="00E17589">
        <w:rPr>
          <w:b/>
          <w:color w:val="410082" w:themeColor="text1"/>
          <w:szCs w:val="22"/>
        </w:rPr>
        <w:t>.</w:t>
      </w:r>
      <w:r w:rsidR="007C434D">
        <w:rPr>
          <w:b/>
          <w:color w:val="410082" w:themeColor="text1"/>
          <w:szCs w:val="22"/>
        </w:rPr>
        <w:t>10</w:t>
      </w:r>
      <w:r w:rsidRPr="00E17589">
        <w:rPr>
          <w:b/>
          <w:color w:val="410082" w:themeColor="text1"/>
          <w:szCs w:val="22"/>
        </w:rPr>
        <w:t xml:space="preserve">: Predicted </w:t>
      </w:r>
      <w:r w:rsidR="004635DA" w:rsidRPr="00E17589">
        <w:rPr>
          <w:b/>
          <w:color w:val="410082" w:themeColor="text1"/>
          <w:szCs w:val="22"/>
        </w:rPr>
        <w:t>vs.</w:t>
      </w:r>
      <w:r w:rsidRPr="00E17589">
        <w:rPr>
          <w:b/>
          <w:color w:val="410082" w:themeColor="text1"/>
          <w:szCs w:val="22"/>
        </w:rPr>
        <w:t xml:space="preserve"> Actual Exports with </w:t>
      </w:r>
      <w:r w:rsidR="00E17589">
        <w:rPr>
          <w:b/>
          <w:color w:val="410082" w:themeColor="text1"/>
          <w:szCs w:val="22"/>
        </w:rPr>
        <w:t>P</w:t>
      </w:r>
      <w:r w:rsidRPr="00E17589">
        <w:rPr>
          <w:b/>
          <w:color w:val="410082" w:themeColor="text1"/>
          <w:szCs w:val="22"/>
        </w:rPr>
        <w:t>artners</w:t>
      </w:r>
    </w:p>
    <w:p w:rsidR="0014667F" w:rsidRPr="00073AC8" w:rsidRDefault="0014667F" w:rsidP="00C93789">
      <w:pPr>
        <w:spacing w:after="0"/>
        <w:jc w:val="center"/>
        <w:rPr>
          <w:szCs w:val="22"/>
        </w:rPr>
      </w:pPr>
      <w:r w:rsidRPr="00073AC8">
        <w:rPr>
          <w:noProof/>
          <w:szCs w:val="22"/>
          <w:lang w:bidi="ar-SA"/>
        </w:rPr>
        <w:lastRenderedPageBreak/>
        <w:drawing>
          <wp:inline distT="0" distB="0" distL="0" distR="0" wp14:anchorId="326A20E2" wp14:editId="2C7C40A4">
            <wp:extent cx="4140679" cy="3026533"/>
            <wp:effectExtent l="0" t="0" r="0" b="254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4143327" cy="3028468"/>
                    </a:xfrm>
                    <a:prstGeom prst="rect">
                      <a:avLst/>
                    </a:prstGeom>
                    <a:noFill/>
                    <a:ln w="9525">
                      <a:noFill/>
                      <a:miter lim="800000"/>
                      <a:headEnd/>
                      <a:tailEnd/>
                    </a:ln>
                  </pic:spPr>
                </pic:pic>
              </a:graphicData>
            </a:graphic>
          </wp:inline>
        </w:drawing>
      </w:r>
    </w:p>
    <w:p w:rsidR="0014667F" w:rsidRPr="00904B3B" w:rsidRDefault="0014667F" w:rsidP="00C93789">
      <w:pPr>
        <w:spacing w:after="0"/>
        <w:jc w:val="center"/>
        <w:rPr>
          <w:sz w:val="20"/>
        </w:rPr>
      </w:pPr>
      <w:r w:rsidRPr="00904B3B">
        <w:rPr>
          <w:sz w:val="20"/>
        </w:rPr>
        <w:t xml:space="preserve">Source: </w:t>
      </w:r>
      <w:r w:rsidR="005C5EBA" w:rsidRPr="00904B3B">
        <w:rPr>
          <w:sz w:val="20"/>
        </w:rPr>
        <w:t>World Bank based on</w:t>
      </w:r>
      <w:r w:rsidRPr="00904B3B">
        <w:rPr>
          <w:sz w:val="20"/>
        </w:rPr>
        <w:t xml:space="preserve"> Comtrade with World Integrated Trade Solution</w:t>
      </w:r>
      <w:r w:rsidR="005C5EBA" w:rsidRPr="00904B3B">
        <w:rPr>
          <w:sz w:val="20"/>
        </w:rPr>
        <w:t>s</w:t>
      </w:r>
      <w:r w:rsidRPr="00904B3B">
        <w:rPr>
          <w:sz w:val="20"/>
        </w:rPr>
        <w:t xml:space="preserve"> (WITS)</w:t>
      </w:r>
    </w:p>
    <w:p w:rsidR="0014667F" w:rsidRPr="007175EB" w:rsidRDefault="0014667F" w:rsidP="00DF2D91">
      <w:pPr>
        <w:pStyle w:val="Heading2"/>
      </w:pPr>
      <w:bookmarkStart w:id="208" w:name="_Toc296964689"/>
      <w:bookmarkStart w:id="209" w:name="_Toc327208439"/>
      <w:bookmarkStart w:id="210" w:name="_Toc348451679"/>
      <w:r w:rsidRPr="007175EB">
        <w:t>Afghanistan’s Trade Policy</w:t>
      </w:r>
      <w:bookmarkEnd w:id="208"/>
      <w:bookmarkEnd w:id="209"/>
      <w:bookmarkEnd w:id="210"/>
    </w:p>
    <w:p w:rsidR="0014667F" w:rsidRPr="00073AC8" w:rsidRDefault="0014667F" w:rsidP="00DF2D91">
      <w:pPr>
        <w:spacing w:after="0" w:line="240" w:lineRule="auto"/>
        <w:rPr>
          <w:szCs w:val="22"/>
        </w:rPr>
      </w:pPr>
    </w:p>
    <w:p w:rsidR="0014667F" w:rsidRDefault="0014667F" w:rsidP="00FE15A6">
      <w:pPr>
        <w:spacing w:after="0"/>
        <w:rPr>
          <w:szCs w:val="22"/>
        </w:rPr>
      </w:pPr>
      <w:r w:rsidRPr="00073AC8">
        <w:rPr>
          <w:b/>
          <w:szCs w:val="22"/>
        </w:rPr>
        <w:t>Afghanistan is one of the more open countries in the region and its tariff structure is below average compared to other LDC</w:t>
      </w:r>
      <w:r w:rsidR="00DF2D91">
        <w:rPr>
          <w:b/>
          <w:szCs w:val="22"/>
        </w:rPr>
        <w:t>s</w:t>
      </w:r>
      <w:r w:rsidRPr="00073AC8">
        <w:rPr>
          <w:b/>
          <w:szCs w:val="22"/>
        </w:rPr>
        <w:t xml:space="preserve">.  </w:t>
      </w:r>
      <w:r w:rsidRPr="00073AC8">
        <w:rPr>
          <w:szCs w:val="22"/>
        </w:rPr>
        <w:t>In general, t</w:t>
      </w:r>
      <w:r w:rsidRPr="00073AC8">
        <w:rPr>
          <w:color w:val="000000"/>
          <w:szCs w:val="22"/>
        </w:rPr>
        <w:t>rade policy is more business</w:t>
      </w:r>
      <w:r w:rsidR="00DF2D91">
        <w:rPr>
          <w:color w:val="000000"/>
          <w:szCs w:val="22"/>
        </w:rPr>
        <w:t>-</w:t>
      </w:r>
      <w:r w:rsidRPr="00073AC8">
        <w:rPr>
          <w:color w:val="000000"/>
          <w:szCs w:val="22"/>
        </w:rPr>
        <w:t xml:space="preserve">friendly and conducive to economic growth when it is open, transparent, and predictable.  </w:t>
      </w:r>
      <w:r w:rsidRPr="00073AC8">
        <w:rPr>
          <w:szCs w:val="22"/>
        </w:rPr>
        <w:t xml:space="preserve">In terms of trade policy, Afghanistan has taken important steps </w:t>
      </w:r>
      <w:r w:rsidR="004C088D">
        <w:rPr>
          <w:szCs w:val="22"/>
        </w:rPr>
        <w:t>in</w:t>
      </w:r>
      <w:r w:rsidRPr="00073AC8">
        <w:rPr>
          <w:szCs w:val="22"/>
        </w:rPr>
        <w:t xml:space="preserve"> </w:t>
      </w:r>
      <w:r w:rsidR="004C088D">
        <w:rPr>
          <w:szCs w:val="22"/>
        </w:rPr>
        <w:t>establishing an enabling environment that fosters trade</w:t>
      </w:r>
      <w:r w:rsidRPr="00073AC8">
        <w:rPr>
          <w:szCs w:val="22"/>
        </w:rPr>
        <w:t>.  Interestingly, household data suggest its tariff structure is progressive</w:t>
      </w:r>
      <w:r w:rsidR="00DF2D91">
        <w:rPr>
          <w:szCs w:val="22"/>
        </w:rPr>
        <w:t>,</w:t>
      </w:r>
      <w:r w:rsidRPr="00073AC8">
        <w:rPr>
          <w:szCs w:val="22"/>
        </w:rPr>
        <w:t xml:space="preserve"> and richer groups tend to pay higher duties for their imports</w:t>
      </w:r>
      <w:r w:rsidR="004635DA">
        <w:rPr>
          <w:szCs w:val="22"/>
        </w:rPr>
        <w:t>;</w:t>
      </w:r>
      <w:r w:rsidRPr="00073AC8">
        <w:rPr>
          <w:szCs w:val="22"/>
        </w:rPr>
        <w:t xml:space="preserve"> an important finding</w:t>
      </w:r>
      <w:r w:rsidR="004635DA">
        <w:rPr>
          <w:szCs w:val="22"/>
        </w:rPr>
        <w:t>,</w:t>
      </w:r>
      <w:r w:rsidRPr="00073AC8">
        <w:rPr>
          <w:szCs w:val="22"/>
        </w:rPr>
        <w:t xml:space="preserve"> given the country’s dependence on food imports.  </w:t>
      </w:r>
    </w:p>
    <w:p w:rsidR="00992FE6" w:rsidRPr="00073AC8" w:rsidRDefault="00992FE6" w:rsidP="00FE15A6">
      <w:pPr>
        <w:spacing w:after="0"/>
        <w:rPr>
          <w:szCs w:val="22"/>
        </w:rPr>
      </w:pPr>
    </w:p>
    <w:p w:rsidR="0014667F" w:rsidRPr="00992FE6" w:rsidRDefault="0014667F" w:rsidP="00992FE6">
      <w:pPr>
        <w:pStyle w:val="Heading3"/>
        <w:spacing w:before="0"/>
      </w:pPr>
      <w:bookmarkStart w:id="211" w:name="_Toc296964690"/>
      <w:bookmarkStart w:id="212" w:name="_Toc327208440"/>
      <w:bookmarkStart w:id="213" w:name="_Toc348451680"/>
      <w:r w:rsidRPr="00992FE6">
        <w:t>Tariff Policy</w:t>
      </w:r>
      <w:bookmarkEnd w:id="211"/>
      <w:bookmarkEnd w:id="212"/>
      <w:bookmarkEnd w:id="213"/>
    </w:p>
    <w:p w:rsidR="0014667F" w:rsidRPr="00073AC8" w:rsidRDefault="0014667F" w:rsidP="00DF2D91">
      <w:pPr>
        <w:autoSpaceDE w:val="0"/>
        <w:autoSpaceDN w:val="0"/>
        <w:adjustRightInd w:val="0"/>
        <w:spacing w:after="0"/>
        <w:rPr>
          <w:bCs/>
          <w:color w:val="000000"/>
          <w:szCs w:val="22"/>
        </w:rPr>
      </w:pPr>
      <w:r w:rsidRPr="00073AC8">
        <w:rPr>
          <w:b/>
          <w:bCs/>
          <w:color w:val="000000"/>
          <w:szCs w:val="22"/>
        </w:rPr>
        <w:t xml:space="preserve">In the past decade, the tariff structure has </w:t>
      </w:r>
      <w:r w:rsidR="002E56C0">
        <w:rPr>
          <w:b/>
          <w:bCs/>
          <w:color w:val="000000"/>
          <w:szCs w:val="22"/>
        </w:rPr>
        <w:t>undergone</w:t>
      </w:r>
      <w:r w:rsidR="002E56C0" w:rsidRPr="00073AC8">
        <w:rPr>
          <w:b/>
          <w:bCs/>
          <w:color w:val="000000"/>
          <w:szCs w:val="22"/>
        </w:rPr>
        <w:t xml:space="preserve"> </w:t>
      </w:r>
      <w:r w:rsidR="00657B88">
        <w:rPr>
          <w:b/>
          <w:bCs/>
          <w:color w:val="000000"/>
          <w:szCs w:val="22"/>
        </w:rPr>
        <w:t>consolidation</w:t>
      </w:r>
      <w:r w:rsidRPr="00073AC8">
        <w:rPr>
          <w:b/>
          <w:bCs/>
          <w:color w:val="000000"/>
          <w:szCs w:val="22"/>
        </w:rPr>
        <w:t>.</w:t>
      </w:r>
      <w:r w:rsidRPr="00073AC8">
        <w:rPr>
          <w:bCs/>
          <w:color w:val="000000"/>
          <w:szCs w:val="22"/>
        </w:rPr>
        <w:t xml:space="preserve"> Afghanistan’s tariff regime was </w:t>
      </w:r>
      <w:r w:rsidR="002E56C0">
        <w:rPr>
          <w:bCs/>
          <w:color w:val="000000"/>
          <w:szCs w:val="22"/>
        </w:rPr>
        <w:t xml:space="preserve">recently </w:t>
      </w:r>
      <w:r w:rsidRPr="00073AC8">
        <w:rPr>
          <w:bCs/>
          <w:color w:val="000000"/>
          <w:szCs w:val="22"/>
        </w:rPr>
        <w:t>reformed</w:t>
      </w:r>
      <w:r w:rsidR="002E56C0">
        <w:rPr>
          <w:bCs/>
          <w:color w:val="000000"/>
          <w:szCs w:val="22"/>
        </w:rPr>
        <w:t>,</w:t>
      </w:r>
      <w:r w:rsidRPr="00073AC8">
        <w:rPr>
          <w:bCs/>
          <w:color w:val="000000"/>
          <w:szCs w:val="22"/>
        </w:rPr>
        <w:t xml:space="preserve"> and </w:t>
      </w:r>
      <w:r w:rsidR="002E56C0">
        <w:rPr>
          <w:bCs/>
          <w:color w:val="000000"/>
          <w:szCs w:val="22"/>
        </w:rPr>
        <w:t xml:space="preserve">now </w:t>
      </w:r>
      <w:r w:rsidRPr="00073AC8">
        <w:rPr>
          <w:bCs/>
          <w:color w:val="000000"/>
          <w:szCs w:val="22"/>
        </w:rPr>
        <w:t xml:space="preserve">is characterized by overall low tariffs and a limited number of tariff bands.  </w:t>
      </w:r>
      <w:r w:rsidR="00657B88">
        <w:rPr>
          <w:bCs/>
          <w:color w:val="000000"/>
          <w:szCs w:val="22"/>
        </w:rPr>
        <w:t>The country</w:t>
      </w:r>
      <w:r w:rsidRPr="00073AC8">
        <w:rPr>
          <w:bCs/>
          <w:color w:val="000000"/>
          <w:szCs w:val="22"/>
        </w:rPr>
        <w:t xml:space="preserve"> increased its maximum tariff </w:t>
      </w:r>
      <w:r w:rsidR="002E56C0">
        <w:rPr>
          <w:bCs/>
          <w:color w:val="000000"/>
          <w:szCs w:val="22"/>
        </w:rPr>
        <w:t>on all goods (</w:t>
      </w:r>
      <w:r w:rsidRPr="00073AC8">
        <w:rPr>
          <w:bCs/>
          <w:color w:val="000000"/>
          <w:szCs w:val="22"/>
        </w:rPr>
        <w:t>excluding alcohol and tobacco) from 25</w:t>
      </w:r>
      <w:r w:rsidR="002E56C0">
        <w:rPr>
          <w:bCs/>
          <w:color w:val="000000"/>
          <w:szCs w:val="22"/>
        </w:rPr>
        <w:t xml:space="preserve"> percent to </w:t>
      </w:r>
      <w:r w:rsidRPr="00073AC8">
        <w:rPr>
          <w:bCs/>
          <w:color w:val="000000"/>
          <w:szCs w:val="22"/>
        </w:rPr>
        <w:t>40 percent in 2008</w:t>
      </w:r>
      <w:r w:rsidR="002E56C0">
        <w:rPr>
          <w:bCs/>
          <w:color w:val="000000"/>
          <w:szCs w:val="22"/>
        </w:rPr>
        <w:t>, but t</w:t>
      </w:r>
      <w:r w:rsidRPr="00073AC8">
        <w:rPr>
          <w:bCs/>
          <w:color w:val="000000"/>
          <w:szCs w:val="22"/>
        </w:rPr>
        <w:t>he vast majority of goods fall into the 2.5</w:t>
      </w:r>
      <w:r w:rsidR="002E56C0">
        <w:rPr>
          <w:bCs/>
          <w:color w:val="000000"/>
          <w:szCs w:val="22"/>
        </w:rPr>
        <w:t>–</w:t>
      </w:r>
      <w:r w:rsidRPr="00073AC8">
        <w:rPr>
          <w:bCs/>
          <w:color w:val="000000"/>
          <w:szCs w:val="22"/>
        </w:rPr>
        <w:t xml:space="preserve">5 percent tariff band. </w:t>
      </w:r>
    </w:p>
    <w:p w:rsidR="0014667F" w:rsidRPr="00073AC8" w:rsidRDefault="0014667F" w:rsidP="0014667F">
      <w:pPr>
        <w:autoSpaceDE w:val="0"/>
        <w:autoSpaceDN w:val="0"/>
        <w:adjustRightInd w:val="0"/>
        <w:spacing w:after="0"/>
        <w:rPr>
          <w:bCs/>
          <w:color w:val="000000"/>
          <w:szCs w:val="22"/>
        </w:rPr>
      </w:pPr>
    </w:p>
    <w:p w:rsidR="0014667F" w:rsidRPr="00073AC8" w:rsidRDefault="0014667F" w:rsidP="00C900E3">
      <w:pPr>
        <w:autoSpaceDE w:val="0"/>
        <w:autoSpaceDN w:val="0"/>
        <w:adjustRightInd w:val="0"/>
        <w:spacing w:after="0"/>
        <w:rPr>
          <w:bCs/>
          <w:color w:val="000000"/>
          <w:szCs w:val="22"/>
        </w:rPr>
      </w:pPr>
      <w:r w:rsidRPr="00073AC8">
        <w:rPr>
          <w:b/>
          <w:bCs/>
          <w:color w:val="000000"/>
          <w:szCs w:val="22"/>
        </w:rPr>
        <w:t>Tariffs in 2010 are significantly lower than the average for low</w:t>
      </w:r>
      <w:r w:rsidR="002E56C0">
        <w:rPr>
          <w:b/>
          <w:bCs/>
          <w:color w:val="000000"/>
          <w:szCs w:val="22"/>
        </w:rPr>
        <w:t>-</w:t>
      </w:r>
      <w:r w:rsidRPr="00073AC8">
        <w:rPr>
          <w:b/>
          <w:bCs/>
          <w:color w:val="000000"/>
          <w:szCs w:val="22"/>
        </w:rPr>
        <w:t>income countries</w:t>
      </w:r>
      <w:r w:rsidRPr="00073AC8">
        <w:rPr>
          <w:bCs/>
          <w:color w:val="000000"/>
          <w:szCs w:val="22"/>
        </w:rPr>
        <w:t xml:space="preserve">. There were 10 tariff bands in 2010 and the simple average of the </w:t>
      </w:r>
      <w:r w:rsidR="002E56C0">
        <w:rPr>
          <w:bCs/>
          <w:color w:val="000000"/>
          <w:szCs w:val="22"/>
        </w:rPr>
        <w:t>most-favored nation (MFN)-</w:t>
      </w:r>
      <w:r w:rsidRPr="00073AC8">
        <w:rPr>
          <w:bCs/>
          <w:color w:val="000000"/>
          <w:szCs w:val="22"/>
        </w:rPr>
        <w:t>applied tariff rate has remained stable in the past few years</w:t>
      </w:r>
      <w:r w:rsidR="002E56C0">
        <w:rPr>
          <w:bCs/>
          <w:color w:val="000000"/>
          <w:szCs w:val="22"/>
        </w:rPr>
        <w:t>,</w:t>
      </w:r>
      <w:r w:rsidRPr="00073AC8">
        <w:rPr>
          <w:bCs/>
          <w:color w:val="000000"/>
          <w:szCs w:val="22"/>
        </w:rPr>
        <w:t xml:space="preserve"> at 5.6 percent. This is significantly lower than the average </w:t>
      </w:r>
      <w:r w:rsidR="002E56C0" w:rsidRPr="00073AC8">
        <w:rPr>
          <w:bCs/>
          <w:color w:val="000000"/>
          <w:szCs w:val="22"/>
        </w:rPr>
        <w:t xml:space="preserve">13.7 percent </w:t>
      </w:r>
      <w:r w:rsidRPr="00073AC8">
        <w:rPr>
          <w:bCs/>
          <w:color w:val="000000"/>
          <w:szCs w:val="22"/>
        </w:rPr>
        <w:t>for low-income countries and South Asia</w:t>
      </w:r>
      <w:r w:rsidR="002E56C0">
        <w:rPr>
          <w:bCs/>
          <w:color w:val="000000"/>
          <w:szCs w:val="22"/>
        </w:rPr>
        <w:t xml:space="preserve"> (Figure 1.</w:t>
      </w:r>
      <w:r w:rsidR="00C900E3">
        <w:rPr>
          <w:bCs/>
          <w:color w:val="000000"/>
          <w:szCs w:val="22"/>
        </w:rPr>
        <w:t>11</w:t>
      </w:r>
      <w:r w:rsidR="002E56C0">
        <w:rPr>
          <w:bCs/>
          <w:color w:val="000000"/>
          <w:szCs w:val="22"/>
        </w:rPr>
        <w:t>)</w:t>
      </w:r>
      <w:r w:rsidRPr="00073AC8">
        <w:rPr>
          <w:bCs/>
          <w:color w:val="000000"/>
          <w:szCs w:val="22"/>
        </w:rPr>
        <w:t xml:space="preserve">. The tariff rates for agricultural and non-agricultural goods are nearly identical (5.8 </w:t>
      </w:r>
      <w:r w:rsidR="002E56C0">
        <w:rPr>
          <w:bCs/>
          <w:color w:val="000000"/>
          <w:szCs w:val="22"/>
        </w:rPr>
        <w:t xml:space="preserve">percent </w:t>
      </w:r>
      <w:r w:rsidRPr="00073AC8">
        <w:rPr>
          <w:bCs/>
          <w:color w:val="000000"/>
          <w:szCs w:val="22"/>
        </w:rPr>
        <w:t xml:space="preserve">and 5.5 </w:t>
      </w:r>
      <w:r w:rsidR="002E56C0">
        <w:rPr>
          <w:bCs/>
          <w:color w:val="000000"/>
          <w:szCs w:val="22"/>
        </w:rPr>
        <w:t xml:space="preserve">percent </w:t>
      </w:r>
      <w:r w:rsidRPr="00073AC8">
        <w:rPr>
          <w:bCs/>
          <w:color w:val="000000"/>
          <w:szCs w:val="22"/>
        </w:rPr>
        <w:t>respectively). The high tariff faced by Afghanistan on agricultural products on regional market</w:t>
      </w:r>
      <w:r w:rsidR="002E56C0">
        <w:rPr>
          <w:bCs/>
          <w:color w:val="000000"/>
          <w:szCs w:val="22"/>
        </w:rPr>
        <w:t>s</w:t>
      </w:r>
      <w:r w:rsidRPr="00073AC8">
        <w:rPr>
          <w:bCs/>
          <w:color w:val="000000"/>
          <w:szCs w:val="22"/>
        </w:rPr>
        <w:t xml:space="preserve"> highlight</w:t>
      </w:r>
      <w:r w:rsidR="002E56C0">
        <w:rPr>
          <w:bCs/>
          <w:color w:val="000000"/>
          <w:szCs w:val="22"/>
        </w:rPr>
        <w:t>s</w:t>
      </w:r>
      <w:r w:rsidRPr="00073AC8">
        <w:rPr>
          <w:bCs/>
          <w:color w:val="000000"/>
          <w:szCs w:val="22"/>
        </w:rPr>
        <w:t xml:space="preserve"> the importance of regional trade agreements</w:t>
      </w:r>
      <w:r w:rsidR="00C900E3">
        <w:rPr>
          <w:bCs/>
          <w:color w:val="000000"/>
          <w:szCs w:val="22"/>
        </w:rPr>
        <w:t xml:space="preserve"> (Figure 1.12</w:t>
      </w:r>
      <w:r w:rsidR="002E56C0">
        <w:rPr>
          <w:bCs/>
          <w:color w:val="000000"/>
          <w:szCs w:val="22"/>
        </w:rPr>
        <w:t>)</w:t>
      </w:r>
      <w:r w:rsidRPr="00073AC8">
        <w:rPr>
          <w:bCs/>
          <w:color w:val="000000"/>
          <w:szCs w:val="22"/>
        </w:rPr>
        <w:t>.</w:t>
      </w:r>
    </w:p>
    <w:p w:rsidR="0014667F" w:rsidRPr="00073AC8" w:rsidRDefault="0014667F" w:rsidP="0014667F">
      <w:pPr>
        <w:rPr>
          <w:bCs/>
          <w:color w:val="000000"/>
          <w:szCs w:val="22"/>
        </w:rPr>
      </w:pPr>
    </w:p>
    <w:p w:rsidR="0014667F" w:rsidRPr="002E56C0" w:rsidRDefault="0014667F" w:rsidP="00862492">
      <w:pPr>
        <w:rPr>
          <w:rFonts w:eastAsia="Times New Roman" w:cs="Times New Roman"/>
          <w:b/>
          <w:bCs/>
          <w:color w:val="410082" w:themeColor="text1"/>
          <w:szCs w:val="22"/>
        </w:rPr>
      </w:pPr>
      <w:r w:rsidRPr="002E56C0">
        <w:rPr>
          <w:b/>
          <w:bCs/>
          <w:color w:val="410082" w:themeColor="text1"/>
          <w:szCs w:val="22"/>
        </w:rPr>
        <w:lastRenderedPageBreak/>
        <w:t xml:space="preserve">Figure </w:t>
      </w:r>
      <w:r w:rsidR="002E56C0" w:rsidRPr="002E56C0">
        <w:rPr>
          <w:b/>
          <w:bCs/>
          <w:color w:val="410082" w:themeColor="text1"/>
          <w:szCs w:val="22"/>
        </w:rPr>
        <w:t>1.</w:t>
      </w:r>
      <w:r w:rsidR="00862492">
        <w:rPr>
          <w:b/>
          <w:bCs/>
          <w:color w:val="410082" w:themeColor="text1"/>
          <w:szCs w:val="22"/>
        </w:rPr>
        <w:t>11</w:t>
      </w:r>
      <w:r w:rsidRPr="002E56C0">
        <w:rPr>
          <w:b/>
          <w:bCs/>
          <w:color w:val="410082" w:themeColor="text1"/>
          <w:szCs w:val="22"/>
        </w:rPr>
        <w:t>: MFN</w:t>
      </w:r>
      <w:r w:rsidR="002E56C0">
        <w:rPr>
          <w:b/>
          <w:bCs/>
          <w:color w:val="410082" w:themeColor="text1"/>
          <w:szCs w:val="22"/>
        </w:rPr>
        <w:t>-</w:t>
      </w:r>
      <w:r w:rsidRPr="002E56C0">
        <w:rPr>
          <w:b/>
          <w:bCs/>
          <w:color w:val="410082" w:themeColor="text1"/>
          <w:szCs w:val="22"/>
        </w:rPr>
        <w:t xml:space="preserve">applied </w:t>
      </w:r>
      <w:r w:rsidR="002E56C0">
        <w:rPr>
          <w:b/>
          <w:bCs/>
          <w:color w:val="410082" w:themeColor="text1"/>
          <w:szCs w:val="22"/>
        </w:rPr>
        <w:t>T</w:t>
      </w:r>
      <w:r w:rsidRPr="002E56C0">
        <w:rPr>
          <w:b/>
          <w:bCs/>
          <w:color w:val="410082" w:themeColor="text1"/>
          <w:szCs w:val="22"/>
        </w:rPr>
        <w:t>ariff (%)</w:t>
      </w:r>
      <w:r w:rsidR="002E56C0">
        <w:rPr>
          <w:b/>
          <w:bCs/>
          <w:color w:val="410082" w:themeColor="text1"/>
          <w:szCs w:val="22"/>
        </w:rPr>
        <w:t xml:space="preserve">                          </w:t>
      </w:r>
      <w:r w:rsidRPr="002E56C0">
        <w:rPr>
          <w:b/>
          <w:bCs/>
          <w:color w:val="410082" w:themeColor="text1"/>
          <w:szCs w:val="22"/>
        </w:rPr>
        <w:t xml:space="preserve">Figure </w:t>
      </w:r>
      <w:r w:rsidR="002E56C0">
        <w:rPr>
          <w:b/>
          <w:bCs/>
          <w:color w:val="410082" w:themeColor="text1"/>
          <w:szCs w:val="22"/>
        </w:rPr>
        <w:t>1.</w:t>
      </w:r>
      <w:r w:rsidR="00862492">
        <w:rPr>
          <w:b/>
          <w:bCs/>
          <w:color w:val="410082" w:themeColor="text1"/>
          <w:szCs w:val="22"/>
        </w:rPr>
        <w:t>12</w:t>
      </w:r>
      <w:r w:rsidRPr="002E56C0">
        <w:rPr>
          <w:b/>
          <w:bCs/>
          <w:color w:val="410082" w:themeColor="text1"/>
          <w:szCs w:val="22"/>
        </w:rPr>
        <w:t xml:space="preserve">: Tariffs by </w:t>
      </w:r>
      <w:r w:rsidR="002E56C0">
        <w:rPr>
          <w:b/>
          <w:bCs/>
          <w:color w:val="410082" w:themeColor="text1"/>
          <w:szCs w:val="22"/>
        </w:rPr>
        <w:t>T</w:t>
      </w:r>
      <w:r w:rsidRPr="002E56C0">
        <w:rPr>
          <w:b/>
          <w:bCs/>
          <w:color w:val="410082" w:themeColor="text1"/>
          <w:szCs w:val="22"/>
        </w:rPr>
        <w:t xml:space="preserve">ype of </w:t>
      </w:r>
      <w:r w:rsidR="002E56C0">
        <w:rPr>
          <w:b/>
          <w:bCs/>
          <w:color w:val="410082" w:themeColor="text1"/>
          <w:szCs w:val="22"/>
        </w:rPr>
        <w:t>G</w:t>
      </w:r>
      <w:r w:rsidRPr="002E56C0">
        <w:rPr>
          <w:b/>
          <w:bCs/>
          <w:color w:val="410082" w:themeColor="text1"/>
          <w:szCs w:val="22"/>
        </w:rPr>
        <w:t>oods</w:t>
      </w:r>
    </w:p>
    <w:p w:rsidR="0014667F" w:rsidRPr="00073AC8" w:rsidRDefault="0014667F" w:rsidP="0014667F">
      <w:pPr>
        <w:autoSpaceDE w:val="0"/>
        <w:autoSpaceDN w:val="0"/>
        <w:adjustRightInd w:val="0"/>
        <w:spacing w:after="120"/>
        <w:rPr>
          <w:bCs/>
          <w:color w:val="000000"/>
          <w:szCs w:val="22"/>
        </w:rPr>
      </w:pPr>
      <w:r w:rsidRPr="00073AC8">
        <w:rPr>
          <w:noProof/>
          <w:szCs w:val="22"/>
          <w:lang w:bidi="ar-SA"/>
        </w:rPr>
        <w:drawing>
          <wp:inline distT="0" distB="0" distL="0" distR="0" wp14:anchorId="35C89272" wp14:editId="6AA6E219">
            <wp:extent cx="2456953" cy="163579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2460607" cy="1638228"/>
                    </a:xfrm>
                    <a:prstGeom prst="rect">
                      <a:avLst/>
                    </a:prstGeom>
                    <a:noFill/>
                    <a:ln w="9525">
                      <a:noFill/>
                      <a:miter lim="800000"/>
                      <a:headEnd/>
                      <a:tailEnd/>
                    </a:ln>
                  </pic:spPr>
                </pic:pic>
              </a:graphicData>
            </a:graphic>
          </wp:inline>
        </w:drawing>
      </w:r>
      <w:r w:rsidRPr="00073AC8">
        <w:rPr>
          <w:noProof/>
          <w:szCs w:val="22"/>
          <w:lang w:bidi="ar-SA"/>
        </w:rPr>
        <w:drawing>
          <wp:inline distT="0" distB="0" distL="0" distR="0" wp14:anchorId="1F3CCC40" wp14:editId="7A746DB1">
            <wp:extent cx="2631882" cy="1679652"/>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2631882" cy="1679652"/>
                    </a:xfrm>
                    <a:prstGeom prst="rect">
                      <a:avLst/>
                    </a:prstGeom>
                    <a:noFill/>
                    <a:ln w="9525">
                      <a:noFill/>
                      <a:miter lim="800000"/>
                      <a:headEnd/>
                      <a:tailEnd/>
                    </a:ln>
                  </pic:spPr>
                </pic:pic>
              </a:graphicData>
            </a:graphic>
          </wp:inline>
        </w:drawing>
      </w:r>
    </w:p>
    <w:p w:rsidR="0014667F" w:rsidRPr="00904B3B" w:rsidRDefault="0014667F" w:rsidP="0014667F">
      <w:pPr>
        <w:autoSpaceDE w:val="0"/>
        <w:autoSpaceDN w:val="0"/>
        <w:adjustRightInd w:val="0"/>
        <w:spacing w:after="120"/>
        <w:rPr>
          <w:bCs/>
          <w:color w:val="000000"/>
          <w:sz w:val="20"/>
        </w:rPr>
      </w:pPr>
      <w:r w:rsidRPr="00904B3B">
        <w:rPr>
          <w:bCs/>
          <w:color w:val="000000"/>
          <w:sz w:val="20"/>
        </w:rPr>
        <w:t>Source: World Trade Indicators (World Bank)</w:t>
      </w:r>
      <w:r w:rsidR="00466612" w:rsidRPr="00904B3B">
        <w:rPr>
          <w:bCs/>
          <w:color w:val="000000"/>
          <w:sz w:val="20"/>
        </w:rPr>
        <w:t xml:space="preserve">.               </w:t>
      </w:r>
      <w:r w:rsidRPr="00904B3B">
        <w:rPr>
          <w:bCs/>
          <w:color w:val="000000"/>
          <w:sz w:val="20"/>
        </w:rPr>
        <w:t xml:space="preserve">  Note: Simple </w:t>
      </w:r>
      <w:r w:rsidR="00466612" w:rsidRPr="00904B3B">
        <w:rPr>
          <w:bCs/>
          <w:color w:val="000000"/>
          <w:sz w:val="20"/>
        </w:rPr>
        <w:t>a</w:t>
      </w:r>
      <w:r w:rsidRPr="00904B3B">
        <w:rPr>
          <w:bCs/>
          <w:color w:val="000000"/>
          <w:sz w:val="20"/>
        </w:rPr>
        <w:t xml:space="preserve">verage, </w:t>
      </w:r>
      <w:r w:rsidR="00466612" w:rsidRPr="00904B3B">
        <w:rPr>
          <w:bCs/>
          <w:color w:val="000000"/>
          <w:sz w:val="20"/>
        </w:rPr>
        <w:t>a</w:t>
      </w:r>
      <w:r w:rsidRPr="00904B3B">
        <w:rPr>
          <w:bCs/>
          <w:color w:val="000000"/>
          <w:sz w:val="20"/>
        </w:rPr>
        <w:t xml:space="preserve">ll </w:t>
      </w:r>
      <w:r w:rsidR="00466612" w:rsidRPr="00904B3B">
        <w:rPr>
          <w:bCs/>
          <w:color w:val="000000"/>
          <w:sz w:val="20"/>
        </w:rPr>
        <w:t>g</w:t>
      </w:r>
      <w:r w:rsidRPr="00904B3B">
        <w:rPr>
          <w:bCs/>
          <w:color w:val="000000"/>
          <w:sz w:val="20"/>
        </w:rPr>
        <w:t>oods</w:t>
      </w:r>
    </w:p>
    <w:p w:rsidR="00740015" w:rsidRDefault="00740015" w:rsidP="0014667F">
      <w:pPr>
        <w:autoSpaceDE w:val="0"/>
        <w:autoSpaceDN w:val="0"/>
        <w:adjustRightInd w:val="0"/>
        <w:rPr>
          <w:b/>
          <w:bCs/>
          <w:color w:val="000000"/>
          <w:szCs w:val="22"/>
        </w:rPr>
      </w:pPr>
    </w:p>
    <w:p w:rsidR="0014667F" w:rsidRPr="00073AC8" w:rsidRDefault="0014667F" w:rsidP="0014667F">
      <w:pPr>
        <w:autoSpaceDE w:val="0"/>
        <w:autoSpaceDN w:val="0"/>
        <w:adjustRightInd w:val="0"/>
        <w:rPr>
          <w:bCs/>
          <w:color w:val="000000"/>
          <w:szCs w:val="22"/>
        </w:rPr>
      </w:pPr>
      <w:r w:rsidRPr="00073AC8">
        <w:rPr>
          <w:b/>
          <w:bCs/>
          <w:color w:val="000000"/>
          <w:szCs w:val="22"/>
        </w:rPr>
        <w:t>Compared to other developing countries, the list of products with tariffs higher than 15 percent is small</w:t>
      </w:r>
      <w:r w:rsidR="00466612">
        <w:rPr>
          <w:bCs/>
          <w:color w:val="000000"/>
          <w:szCs w:val="22"/>
        </w:rPr>
        <w:t>.</w:t>
      </w:r>
      <w:r w:rsidRPr="00073AC8">
        <w:rPr>
          <w:bCs/>
          <w:color w:val="000000"/>
          <w:szCs w:val="22"/>
        </w:rPr>
        <w:t xml:space="preserve"> The maximum rate in 2010 was 25 percent and applie</w:t>
      </w:r>
      <w:r w:rsidR="00466612">
        <w:rPr>
          <w:bCs/>
          <w:color w:val="000000"/>
          <w:szCs w:val="22"/>
        </w:rPr>
        <w:t>d primarily</w:t>
      </w:r>
      <w:r w:rsidRPr="00073AC8">
        <w:rPr>
          <w:bCs/>
          <w:color w:val="000000"/>
          <w:szCs w:val="22"/>
        </w:rPr>
        <w:t xml:space="preserve"> to motor cars and vehicles. Over a third of the resources from customs are attributed to duties on motor vehicles and parts.</w:t>
      </w:r>
      <w:r w:rsidRPr="00073AC8">
        <w:rPr>
          <w:rStyle w:val="CommentReference"/>
          <w:bCs/>
          <w:color w:val="000000"/>
          <w:sz w:val="22"/>
          <w:szCs w:val="22"/>
        </w:rPr>
        <w:t xml:space="preserve"> </w:t>
      </w:r>
      <w:r w:rsidRPr="00073AC8">
        <w:rPr>
          <w:bCs/>
          <w:color w:val="000000"/>
          <w:szCs w:val="22"/>
        </w:rPr>
        <w:t xml:space="preserve">The 20 percent </w:t>
      </w:r>
      <w:r w:rsidR="00466612">
        <w:rPr>
          <w:bCs/>
          <w:color w:val="000000"/>
          <w:szCs w:val="22"/>
        </w:rPr>
        <w:t>bar</w:t>
      </w:r>
      <w:r w:rsidR="00466612" w:rsidRPr="00073AC8">
        <w:rPr>
          <w:bCs/>
          <w:color w:val="000000"/>
          <w:szCs w:val="22"/>
        </w:rPr>
        <w:t xml:space="preserve"> </w:t>
      </w:r>
      <w:r w:rsidRPr="00073AC8">
        <w:rPr>
          <w:bCs/>
          <w:color w:val="000000"/>
          <w:szCs w:val="22"/>
        </w:rPr>
        <w:t>cover</w:t>
      </w:r>
      <w:r w:rsidR="00466612">
        <w:rPr>
          <w:bCs/>
          <w:color w:val="000000"/>
          <w:szCs w:val="22"/>
        </w:rPr>
        <w:t>ed</w:t>
      </w:r>
      <w:r w:rsidRPr="00073AC8">
        <w:rPr>
          <w:bCs/>
          <w:color w:val="000000"/>
          <w:szCs w:val="22"/>
        </w:rPr>
        <w:t xml:space="preserve"> products </w:t>
      </w:r>
      <w:r w:rsidR="00466612">
        <w:rPr>
          <w:bCs/>
          <w:color w:val="000000"/>
          <w:szCs w:val="22"/>
        </w:rPr>
        <w:t>such as</w:t>
      </w:r>
      <w:r w:rsidR="00466612" w:rsidRPr="00073AC8">
        <w:rPr>
          <w:bCs/>
          <w:color w:val="000000"/>
          <w:szCs w:val="22"/>
        </w:rPr>
        <w:t xml:space="preserve"> </w:t>
      </w:r>
      <w:r w:rsidRPr="00073AC8">
        <w:rPr>
          <w:bCs/>
          <w:color w:val="000000"/>
          <w:szCs w:val="22"/>
        </w:rPr>
        <w:t>water and non-alcoholic beverages and building stone (e.g.</w:t>
      </w:r>
      <w:r w:rsidR="00466612">
        <w:rPr>
          <w:bCs/>
          <w:color w:val="000000"/>
          <w:szCs w:val="22"/>
        </w:rPr>
        <w:t>,</w:t>
      </w:r>
      <w:r w:rsidRPr="00073AC8">
        <w:rPr>
          <w:bCs/>
          <w:color w:val="000000"/>
          <w:szCs w:val="22"/>
        </w:rPr>
        <w:t xml:space="preserve"> marble). The list of 136 products subject to a tariff higher than 15 percent comprised mostly products Afghanistan currently export</w:t>
      </w:r>
      <w:r w:rsidR="00466612">
        <w:rPr>
          <w:bCs/>
          <w:color w:val="000000"/>
          <w:szCs w:val="22"/>
        </w:rPr>
        <w:t>s</w:t>
      </w:r>
      <w:r w:rsidRPr="00073AC8">
        <w:rPr>
          <w:bCs/>
          <w:color w:val="000000"/>
          <w:szCs w:val="22"/>
        </w:rPr>
        <w:t xml:space="preserve">, </w:t>
      </w:r>
      <w:r w:rsidR="00466612">
        <w:rPr>
          <w:bCs/>
          <w:color w:val="000000"/>
          <w:szCs w:val="22"/>
        </w:rPr>
        <w:t>such as</w:t>
      </w:r>
      <w:r w:rsidRPr="00073AC8">
        <w:rPr>
          <w:bCs/>
          <w:color w:val="000000"/>
          <w:szCs w:val="22"/>
        </w:rPr>
        <w:t xml:space="preserve"> fresh or dried fruits, apparel and textile</w:t>
      </w:r>
      <w:r w:rsidR="00466612">
        <w:rPr>
          <w:bCs/>
          <w:color w:val="000000"/>
          <w:szCs w:val="22"/>
        </w:rPr>
        <w:t>s</w:t>
      </w:r>
      <w:r w:rsidRPr="00073AC8">
        <w:rPr>
          <w:bCs/>
          <w:color w:val="000000"/>
          <w:szCs w:val="22"/>
        </w:rPr>
        <w:t>, and emerging sectors producing flower</w:t>
      </w:r>
      <w:r w:rsidR="00466612">
        <w:rPr>
          <w:bCs/>
          <w:color w:val="000000"/>
          <w:szCs w:val="22"/>
        </w:rPr>
        <w:t>s</w:t>
      </w:r>
      <w:r w:rsidRPr="00073AC8">
        <w:rPr>
          <w:bCs/>
          <w:color w:val="000000"/>
          <w:szCs w:val="22"/>
        </w:rPr>
        <w:t xml:space="preserve"> and plants, beauty and hair products.</w:t>
      </w:r>
      <w:r w:rsidR="009422A0">
        <w:rPr>
          <w:bCs/>
          <w:color w:val="000000"/>
          <w:szCs w:val="22"/>
        </w:rPr>
        <w:t xml:space="preserve">  (Figure 1.3)</w:t>
      </w:r>
    </w:p>
    <w:p w:rsidR="00740015" w:rsidRDefault="0014667F" w:rsidP="0014667F">
      <w:pPr>
        <w:autoSpaceDE w:val="0"/>
        <w:autoSpaceDN w:val="0"/>
        <w:adjustRightInd w:val="0"/>
        <w:rPr>
          <w:bCs/>
          <w:color w:val="000000"/>
          <w:szCs w:val="22"/>
        </w:rPr>
      </w:pPr>
      <w:r w:rsidRPr="00073AC8">
        <w:rPr>
          <w:b/>
          <w:bCs/>
          <w:color w:val="000000"/>
          <w:szCs w:val="22"/>
        </w:rPr>
        <w:t xml:space="preserve">Afghanistan </w:t>
      </w:r>
      <w:r w:rsidR="00740015">
        <w:rPr>
          <w:b/>
          <w:bCs/>
          <w:color w:val="000000"/>
          <w:szCs w:val="22"/>
        </w:rPr>
        <w:t>has lower t</w:t>
      </w:r>
      <w:r w:rsidR="00740015" w:rsidRPr="00073AC8">
        <w:rPr>
          <w:b/>
          <w:bCs/>
          <w:color w:val="000000"/>
          <w:szCs w:val="22"/>
        </w:rPr>
        <w:t xml:space="preserve">ariff dispersion </w:t>
      </w:r>
      <w:r w:rsidR="00740015">
        <w:rPr>
          <w:b/>
          <w:bCs/>
          <w:color w:val="000000"/>
          <w:szCs w:val="22"/>
        </w:rPr>
        <w:t xml:space="preserve">than </w:t>
      </w:r>
      <w:r w:rsidRPr="00073AC8">
        <w:rPr>
          <w:b/>
          <w:bCs/>
          <w:color w:val="000000"/>
          <w:szCs w:val="22"/>
        </w:rPr>
        <w:t>other</w:t>
      </w:r>
      <w:r w:rsidR="00740015">
        <w:rPr>
          <w:b/>
          <w:bCs/>
          <w:color w:val="000000"/>
          <w:szCs w:val="22"/>
        </w:rPr>
        <w:t xml:space="preserve"> low income countries. </w:t>
      </w:r>
      <w:r w:rsidR="00466612">
        <w:rPr>
          <w:bCs/>
          <w:color w:val="000000"/>
          <w:szCs w:val="22"/>
        </w:rPr>
        <w:t xml:space="preserve"> </w:t>
      </w:r>
      <w:r w:rsidR="009422A0">
        <w:rPr>
          <w:bCs/>
          <w:color w:val="000000"/>
          <w:szCs w:val="22"/>
        </w:rPr>
        <w:t xml:space="preserve">(Figure 1.14)  </w:t>
      </w:r>
      <w:r w:rsidR="00FC18D5">
        <w:rPr>
          <w:bCs/>
          <w:color w:val="000000"/>
          <w:szCs w:val="22"/>
        </w:rPr>
        <w:t>This is a positive finding and t</w:t>
      </w:r>
      <w:r w:rsidRPr="00073AC8">
        <w:rPr>
          <w:bCs/>
          <w:color w:val="000000"/>
          <w:szCs w:val="22"/>
        </w:rPr>
        <w:t>ariff dispersion refers</w:t>
      </w:r>
      <w:r w:rsidR="00466612">
        <w:rPr>
          <w:bCs/>
          <w:color w:val="000000"/>
          <w:szCs w:val="22"/>
        </w:rPr>
        <w:t xml:space="preserve"> to</w:t>
      </w:r>
      <w:r w:rsidRPr="00073AC8">
        <w:rPr>
          <w:bCs/>
          <w:color w:val="000000"/>
          <w:szCs w:val="22"/>
        </w:rPr>
        <w:t xml:space="preserve"> the disparity of protection across commodities within the same country. The higher the dispersion of tariffs, the higher is the deviation of activities from their most efficient use</w:t>
      </w:r>
      <w:r w:rsidR="00466612">
        <w:rPr>
          <w:bCs/>
          <w:color w:val="000000"/>
          <w:szCs w:val="22"/>
        </w:rPr>
        <w:t>.</w:t>
      </w:r>
      <w:r w:rsidRPr="00073AC8">
        <w:rPr>
          <w:rStyle w:val="FootnoteReference"/>
          <w:bCs/>
          <w:color w:val="000000"/>
          <w:szCs w:val="22"/>
        </w:rPr>
        <w:footnoteReference w:id="28"/>
      </w:r>
      <w:r w:rsidRPr="00073AC8">
        <w:rPr>
          <w:bCs/>
          <w:color w:val="000000"/>
          <w:szCs w:val="22"/>
        </w:rPr>
        <w:t xml:space="preserve"> </w:t>
      </w:r>
      <w:r w:rsidR="00740015">
        <w:rPr>
          <w:bCs/>
          <w:color w:val="000000"/>
          <w:szCs w:val="22"/>
        </w:rPr>
        <w:t xml:space="preserve"> </w:t>
      </w:r>
      <w:r w:rsidRPr="00073AC8">
        <w:rPr>
          <w:bCs/>
          <w:color w:val="000000"/>
          <w:szCs w:val="22"/>
        </w:rPr>
        <w:t>High dispersion in tariffs is more harmful than high protection in itself</w:t>
      </w:r>
      <w:r w:rsidR="00740015">
        <w:rPr>
          <w:bCs/>
          <w:color w:val="000000"/>
          <w:szCs w:val="22"/>
        </w:rPr>
        <w:t xml:space="preserve"> because i</w:t>
      </w:r>
      <w:r w:rsidRPr="00073AC8">
        <w:rPr>
          <w:bCs/>
          <w:color w:val="000000"/>
          <w:szCs w:val="22"/>
        </w:rPr>
        <w:t xml:space="preserve">f all industries are protected to the same extent, then resource flows will be neutral among sectors. </w:t>
      </w:r>
      <w:r w:rsidR="00740015">
        <w:rPr>
          <w:bCs/>
          <w:color w:val="000000"/>
          <w:szCs w:val="22"/>
        </w:rPr>
        <w:t xml:space="preserve">It </w:t>
      </w:r>
      <w:r w:rsidRPr="00073AC8">
        <w:rPr>
          <w:bCs/>
          <w:color w:val="000000"/>
          <w:szCs w:val="22"/>
        </w:rPr>
        <w:t xml:space="preserve">also gives rise to higher administrative costs and opportunities for rent-seeking behavior with relation to tariff classification as well as incentives for lobbying for protection. </w:t>
      </w:r>
      <w:r w:rsidR="00740015">
        <w:rPr>
          <w:bCs/>
          <w:color w:val="000000"/>
          <w:szCs w:val="22"/>
        </w:rPr>
        <w:t>With</w:t>
      </w:r>
      <w:r w:rsidRPr="00073AC8">
        <w:rPr>
          <w:bCs/>
          <w:color w:val="000000"/>
          <w:szCs w:val="22"/>
        </w:rPr>
        <w:t xml:space="preserve"> 33 percent of Afghan tariff lines subject to a 2.5 percent duty and 21.6 to a 10 percent duty</w:t>
      </w:r>
      <w:r w:rsidR="00234A9B">
        <w:rPr>
          <w:bCs/>
          <w:color w:val="000000"/>
          <w:szCs w:val="22"/>
        </w:rPr>
        <w:t>,</w:t>
      </w:r>
      <w:r w:rsidRPr="00073AC8">
        <w:rPr>
          <w:bCs/>
          <w:color w:val="000000"/>
          <w:szCs w:val="22"/>
        </w:rPr>
        <w:t xml:space="preserve"> </w:t>
      </w:r>
      <w:r w:rsidR="00740015" w:rsidRPr="00466612">
        <w:rPr>
          <w:bCs/>
          <w:szCs w:val="22"/>
        </w:rPr>
        <w:t xml:space="preserve">Afghanistan ranks </w:t>
      </w:r>
      <w:r w:rsidR="00740015" w:rsidRPr="00073AC8">
        <w:rPr>
          <w:bCs/>
          <w:color w:val="000000"/>
          <w:szCs w:val="22"/>
        </w:rPr>
        <w:t>better than other low</w:t>
      </w:r>
      <w:r w:rsidR="00740015">
        <w:rPr>
          <w:bCs/>
          <w:color w:val="000000"/>
          <w:szCs w:val="22"/>
        </w:rPr>
        <w:t>-</w:t>
      </w:r>
      <w:r w:rsidR="00740015" w:rsidRPr="00073AC8">
        <w:rPr>
          <w:bCs/>
          <w:color w:val="000000"/>
          <w:szCs w:val="22"/>
        </w:rPr>
        <w:t xml:space="preserve">income countries </w:t>
      </w:r>
      <w:r w:rsidR="00234A9B">
        <w:rPr>
          <w:bCs/>
          <w:color w:val="000000"/>
          <w:szCs w:val="22"/>
        </w:rPr>
        <w:t>a</w:t>
      </w:r>
      <w:r w:rsidR="00740015">
        <w:rPr>
          <w:bCs/>
          <w:color w:val="000000"/>
          <w:szCs w:val="22"/>
        </w:rPr>
        <w:t xml:space="preserve">nd </w:t>
      </w:r>
      <w:r w:rsidR="00740015" w:rsidRPr="00466612">
        <w:rPr>
          <w:bCs/>
          <w:szCs w:val="22"/>
        </w:rPr>
        <w:t>49</w:t>
      </w:r>
      <w:r w:rsidR="00740015" w:rsidRPr="00466612">
        <w:rPr>
          <w:bCs/>
          <w:szCs w:val="22"/>
          <w:vertAlign w:val="superscript"/>
        </w:rPr>
        <w:t>th</w:t>
      </w:r>
      <w:r w:rsidR="00740015" w:rsidRPr="00073AC8">
        <w:rPr>
          <w:bCs/>
          <w:color w:val="000000"/>
          <w:szCs w:val="22"/>
        </w:rPr>
        <w:t xml:space="preserve"> </w:t>
      </w:r>
      <w:r w:rsidR="00740015">
        <w:rPr>
          <w:bCs/>
          <w:color w:val="000000"/>
          <w:szCs w:val="22"/>
        </w:rPr>
        <w:t>when</w:t>
      </w:r>
      <w:r w:rsidRPr="00073AC8">
        <w:rPr>
          <w:bCs/>
          <w:color w:val="000000"/>
          <w:szCs w:val="22"/>
        </w:rPr>
        <w:t xml:space="preserve"> measured by the coefficient of variation. </w:t>
      </w:r>
    </w:p>
    <w:p w:rsidR="00992FE6" w:rsidRDefault="00992FE6" w:rsidP="0014667F">
      <w:pPr>
        <w:autoSpaceDE w:val="0"/>
        <w:autoSpaceDN w:val="0"/>
        <w:adjustRightInd w:val="0"/>
        <w:rPr>
          <w:b/>
          <w:bCs/>
          <w:color w:val="410082" w:themeColor="text1"/>
          <w:szCs w:val="22"/>
        </w:rPr>
      </w:pPr>
    </w:p>
    <w:p w:rsidR="00992FE6" w:rsidRDefault="00992FE6" w:rsidP="0014667F">
      <w:pPr>
        <w:autoSpaceDE w:val="0"/>
        <w:autoSpaceDN w:val="0"/>
        <w:adjustRightInd w:val="0"/>
        <w:rPr>
          <w:b/>
          <w:bCs/>
          <w:color w:val="410082" w:themeColor="text1"/>
          <w:szCs w:val="22"/>
        </w:rPr>
      </w:pPr>
    </w:p>
    <w:p w:rsidR="00992FE6" w:rsidRDefault="00992FE6" w:rsidP="0014667F">
      <w:pPr>
        <w:autoSpaceDE w:val="0"/>
        <w:autoSpaceDN w:val="0"/>
        <w:adjustRightInd w:val="0"/>
        <w:rPr>
          <w:b/>
          <w:bCs/>
          <w:color w:val="410082" w:themeColor="text1"/>
          <w:szCs w:val="22"/>
        </w:rPr>
      </w:pPr>
    </w:p>
    <w:p w:rsidR="00992FE6" w:rsidRDefault="00992FE6" w:rsidP="0014667F">
      <w:pPr>
        <w:autoSpaceDE w:val="0"/>
        <w:autoSpaceDN w:val="0"/>
        <w:adjustRightInd w:val="0"/>
        <w:rPr>
          <w:b/>
          <w:bCs/>
          <w:color w:val="410082" w:themeColor="text1"/>
          <w:szCs w:val="22"/>
        </w:rPr>
      </w:pPr>
    </w:p>
    <w:p w:rsidR="00992FE6" w:rsidRDefault="00992FE6" w:rsidP="0014667F">
      <w:pPr>
        <w:autoSpaceDE w:val="0"/>
        <w:autoSpaceDN w:val="0"/>
        <w:adjustRightInd w:val="0"/>
        <w:rPr>
          <w:b/>
          <w:bCs/>
          <w:color w:val="410082" w:themeColor="text1"/>
          <w:szCs w:val="22"/>
        </w:rPr>
      </w:pPr>
    </w:p>
    <w:p w:rsidR="0014667F" w:rsidRPr="00466612" w:rsidRDefault="0014667F" w:rsidP="0042765D">
      <w:pPr>
        <w:autoSpaceDE w:val="0"/>
        <w:autoSpaceDN w:val="0"/>
        <w:adjustRightInd w:val="0"/>
        <w:rPr>
          <w:b/>
          <w:bCs/>
          <w:color w:val="410082" w:themeColor="text1"/>
          <w:szCs w:val="22"/>
        </w:rPr>
      </w:pPr>
      <w:r w:rsidRPr="009422A0">
        <w:rPr>
          <w:b/>
          <w:bCs/>
          <w:color w:val="410082" w:themeColor="text1"/>
          <w:szCs w:val="22"/>
        </w:rPr>
        <w:lastRenderedPageBreak/>
        <w:t xml:space="preserve">Figure </w:t>
      </w:r>
      <w:r w:rsidR="00466612" w:rsidRPr="009422A0">
        <w:rPr>
          <w:b/>
          <w:bCs/>
          <w:color w:val="410082" w:themeColor="text1"/>
          <w:szCs w:val="22"/>
        </w:rPr>
        <w:t>1.</w:t>
      </w:r>
      <w:r w:rsidR="0042765D" w:rsidRPr="009422A0">
        <w:rPr>
          <w:b/>
          <w:bCs/>
          <w:color w:val="410082" w:themeColor="text1"/>
          <w:szCs w:val="22"/>
        </w:rPr>
        <w:t>13</w:t>
      </w:r>
      <w:r w:rsidRPr="009422A0">
        <w:rPr>
          <w:b/>
          <w:bCs/>
          <w:color w:val="410082" w:themeColor="text1"/>
          <w:szCs w:val="22"/>
        </w:rPr>
        <w:t xml:space="preserve">: Tariff Distribution                                                 Figure </w:t>
      </w:r>
      <w:r w:rsidR="00466612" w:rsidRPr="009422A0">
        <w:rPr>
          <w:b/>
          <w:bCs/>
          <w:color w:val="410082" w:themeColor="text1"/>
          <w:szCs w:val="22"/>
        </w:rPr>
        <w:t>1.</w:t>
      </w:r>
      <w:r w:rsidR="0042765D" w:rsidRPr="009422A0">
        <w:rPr>
          <w:b/>
          <w:bCs/>
          <w:color w:val="410082" w:themeColor="text1"/>
          <w:szCs w:val="22"/>
        </w:rPr>
        <w:t>14</w:t>
      </w:r>
      <w:r w:rsidRPr="009422A0">
        <w:rPr>
          <w:b/>
          <w:bCs/>
          <w:color w:val="410082" w:themeColor="text1"/>
          <w:szCs w:val="22"/>
        </w:rPr>
        <w:t>: Tariff Dispersion</w:t>
      </w:r>
    </w:p>
    <w:p w:rsidR="0014667F" w:rsidRPr="00073AC8" w:rsidRDefault="0014667F" w:rsidP="0014667F">
      <w:pPr>
        <w:autoSpaceDE w:val="0"/>
        <w:autoSpaceDN w:val="0"/>
        <w:adjustRightInd w:val="0"/>
        <w:spacing w:after="120"/>
        <w:rPr>
          <w:bCs/>
          <w:color w:val="000000"/>
          <w:szCs w:val="22"/>
        </w:rPr>
      </w:pPr>
      <w:r w:rsidRPr="00073AC8">
        <w:rPr>
          <w:noProof/>
          <w:szCs w:val="22"/>
          <w:lang w:bidi="ar-SA"/>
        </w:rPr>
        <w:drawing>
          <wp:inline distT="0" distB="0" distL="0" distR="0" wp14:anchorId="5FA11337" wp14:editId="416AFED2">
            <wp:extent cx="2771872" cy="1844702"/>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2771721" cy="1844602"/>
                    </a:xfrm>
                    <a:prstGeom prst="rect">
                      <a:avLst/>
                    </a:prstGeom>
                    <a:noFill/>
                    <a:ln w="9525">
                      <a:noFill/>
                      <a:miter lim="800000"/>
                      <a:headEnd/>
                      <a:tailEnd/>
                    </a:ln>
                  </pic:spPr>
                </pic:pic>
              </a:graphicData>
            </a:graphic>
          </wp:inline>
        </w:drawing>
      </w:r>
      <w:r w:rsidRPr="00073AC8">
        <w:rPr>
          <w:szCs w:val="22"/>
        </w:rPr>
        <w:t xml:space="preserve"> </w:t>
      </w:r>
      <w:r w:rsidRPr="00073AC8">
        <w:rPr>
          <w:noProof/>
          <w:szCs w:val="22"/>
          <w:lang w:bidi="ar-SA"/>
        </w:rPr>
        <w:drawing>
          <wp:inline distT="0" distB="0" distL="0" distR="0" wp14:anchorId="40BE8FF6" wp14:editId="69A5A9C1">
            <wp:extent cx="2613728" cy="1995777"/>
            <wp:effectExtent l="0" t="0" r="0" b="0"/>
            <wp:docPr id="2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2614455" cy="1996332"/>
                    </a:xfrm>
                    <a:prstGeom prst="rect">
                      <a:avLst/>
                    </a:prstGeom>
                    <a:noFill/>
                    <a:ln w="9525">
                      <a:noFill/>
                      <a:miter lim="800000"/>
                      <a:headEnd/>
                      <a:tailEnd/>
                    </a:ln>
                  </pic:spPr>
                </pic:pic>
              </a:graphicData>
            </a:graphic>
          </wp:inline>
        </w:drawing>
      </w:r>
    </w:p>
    <w:p w:rsidR="0014667F" w:rsidRPr="00904B3B" w:rsidRDefault="0014667F" w:rsidP="0014667F">
      <w:pPr>
        <w:autoSpaceDE w:val="0"/>
        <w:autoSpaceDN w:val="0"/>
        <w:adjustRightInd w:val="0"/>
        <w:spacing w:after="120"/>
        <w:rPr>
          <w:bCs/>
          <w:color w:val="000000"/>
          <w:sz w:val="20"/>
        </w:rPr>
      </w:pPr>
      <w:r w:rsidRPr="00904B3B">
        <w:rPr>
          <w:bCs/>
          <w:color w:val="000000"/>
          <w:sz w:val="20"/>
        </w:rPr>
        <w:t xml:space="preserve">Source: World Trade Indicators (World Bank)     </w:t>
      </w:r>
      <w:r w:rsidR="00B64172" w:rsidRPr="00904B3B">
        <w:rPr>
          <w:bCs/>
          <w:color w:val="000000"/>
          <w:sz w:val="20"/>
        </w:rPr>
        <w:t xml:space="preserve">             </w:t>
      </w:r>
      <w:r w:rsidRPr="00904B3B">
        <w:rPr>
          <w:bCs/>
          <w:color w:val="000000"/>
          <w:sz w:val="20"/>
        </w:rPr>
        <w:t xml:space="preserve"> Source: TRAINS</w:t>
      </w:r>
      <w:r w:rsidR="00466612" w:rsidRPr="00904B3B">
        <w:rPr>
          <w:bCs/>
          <w:color w:val="000000"/>
          <w:sz w:val="20"/>
        </w:rPr>
        <w:t>,</w:t>
      </w:r>
      <w:r w:rsidRPr="00904B3B">
        <w:rPr>
          <w:bCs/>
          <w:color w:val="000000"/>
          <w:sz w:val="20"/>
        </w:rPr>
        <w:t xml:space="preserve"> </w:t>
      </w:r>
      <w:r w:rsidR="00B64172" w:rsidRPr="00904B3B">
        <w:rPr>
          <w:bCs/>
          <w:color w:val="000000"/>
          <w:sz w:val="20"/>
        </w:rPr>
        <w:t>WITS</w:t>
      </w:r>
      <w:r w:rsidRPr="00904B3B">
        <w:rPr>
          <w:bCs/>
          <w:color w:val="000000"/>
          <w:sz w:val="20"/>
        </w:rPr>
        <w:t xml:space="preserve"> (World Bank)</w:t>
      </w:r>
    </w:p>
    <w:p w:rsidR="00926F4A" w:rsidRPr="00071539" w:rsidRDefault="00D04C97" w:rsidP="00926F4A">
      <w:pPr>
        <w:spacing w:before="240"/>
        <w:rPr>
          <w:b/>
          <w:bCs/>
          <w:color w:val="000000"/>
          <w:szCs w:val="22"/>
        </w:rPr>
      </w:pPr>
      <w:r w:rsidRPr="00D04C97">
        <w:rPr>
          <w:b/>
          <w:bCs/>
          <w:szCs w:val="22"/>
        </w:rPr>
        <w:t xml:space="preserve">Afghanistan’s tariff structure is subject to significant exemptions.  </w:t>
      </w:r>
      <w:r w:rsidRPr="00D376ED">
        <w:rPr>
          <w:bCs/>
          <w:szCs w:val="22"/>
        </w:rPr>
        <w:t>Together, these</w:t>
      </w:r>
      <w:r w:rsidRPr="00D04C97">
        <w:rPr>
          <w:bCs/>
          <w:szCs w:val="22"/>
        </w:rPr>
        <w:t xml:space="preserve"> exemptions represent a loss of about </w:t>
      </w:r>
      <w:r w:rsidR="00AF233B">
        <w:rPr>
          <w:bCs/>
          <w:szCs w:val="22"/>
        </w:rPr>
        <w:t>one-</w:t>
      </w:r>
      <w:r w:rsidRPr="00D04C97">
        <w:rPr>
          <w:bCs/>
          <w:szCs w:val="22"/>
        </w:rPr>
        <w:t xml:space="preserve">third of import duties and other taxes.  </w:t>
      </w:r>
      <w:r w:rsidR="00D376ED">
        <w:rPr>
          <w:bCs/>
          <w:szCs w:val="22"/>
        </w:rPr>
        <w:t xml:space="preserve">Mostly, these are related to </w:t>
      </w:r>
      <w:r w:rsidRPr="00D04C97">
        <w:rPr>
          <w:bCs/>
          <w:szCs w:val="22"/>
        </w:rPr>
        <w:t xml:space="preserve">imports from ISAF and NATO security forces, development partners, </w:t>
      </w:r>
      <w:r w:rsidR="00AF233B">
        <w:rPr>
          <w:bCs/>
          <w:szCs w:val="22"/>
        </w:rPr>
        <w:t>e</w:t>
      </w:r>
      <w:r w:rsidRPr="00D04C97">
        <w:rPr>
          <w:bCs/>
          <w:szCs w:val="22"/>
        </w:rPr>
        <w:t>mbassies</w:t>
      </w:r>
      <w:r w:rsidR="00AF233B">
        <w:rPr>
          <w:bCs/>
          <w:szCs w:val="22"/>
        </w:rPr>
        <w:t>, and</w:t>
      </w:r>
      <w:r w:rsidRPr="00D04C97">
        <w:rPr>
          <w:bCs/>
          <w:szCs w:val="22"/>
        </w:rPr>
        <w:t xml:space="preserve"> goods and services related to government</w:t>
      </w:r>
      <w:r w:rsidR="00AF233B">
        <w:rPr>
          <w:bCs/>
          <w:szCs w:val="22"/>
        </w:rPr>
        <w:t>-</w:t>
      </w:r>
      <w:r w:rsidRPr="00D04C97">
        <w:rPr>
          <w:bCs/>
          <w:szCs w:val="22"/>
        </w:rPr>
        <w:t xml:space="preserve"> and donor</w:t>
      </w:r>
      <w:r w:rsidR="00AF233B">
        <w:rPr>
          <w:bCs/>
          <w:szCs w:val="22"/>
        </w:rPr>
        <w:t>-</w:t>
      </w:r>
      <w:r w:rsidRPr="00D04C97">
        <w:rPr>
          <w:bCs/>
          <w:szCs w:val="22"/>
        </w:rPr>
        <w:t>funded projects</w:t>
      </w:r>
      <w:r w:rsidR="00D376ED">
        <w:rPr>
          <w:bCs/>
          <w:szCs w:val="22"/>
        </w:rPr>
        <w:t>.  G</w:t>
      </w:r>
      <w:r w:rsidR="00D376ED" w:rsidRPr="00D376ED">
        <w:rPr>
          <w:bCs/>
          <w:szCs w:val="22"/>
        </w:rPr>
        <w:t xml:space="preserve">oods may be included </w:t>
      </w:r>
      <w:r w:rsidR="00D376ED">
        <w:rPr>
          <w:bCs/>
          <w:szCs w:val="22"/>
        </w:rPr>
        <w:t xml:space="preserve">in the exemption list </w:t>
      </w:r>
      <w:r w:rsidR="00D376ED" w:rsidRPr="00D376ED">
        <w:rPr>
          <w:bCs/>
          <w:szCs w:val="22"/>
        </w:rPr>
        <w:t xml:space="preserve">upon recommendation of the Minister of Finance and approval by </w:t>
      </w:r>
      <w:r w:rsidR="00AF233B">
        <w:rPr>
          <w:bCs/>
          <w:szCs w:val="22"/>
        </w:rPr>
        <w:t xml:space="preserve">the </w:t>
      </w:r>
      <w:r w:rsidR="00D376ED" w:rsidRPr="00D376ED">
        <w:rPr>
          <w:bCs/>
          <w:szCs w:val="22"/>
        </w:rPr>
        <w:t>Council of Ministers.</w:t>
      </w:r>
      <w:r w:rsidR="00071539">
        <w:rPr>
          <w:bCs/>
          <w:szCs w:val="22"/>
        </w:rPr>
        <w:t xml:space="preserve"> </w:t>
      </w:r>
      <w:r w:rsidR="00610405">
        <w:rPr>
          <w:bCs/>
          <w:szCs w:val="22"/>
        </w:rPr>
        <w:t xml:space="preserve"> </w:t>
      </w:r>
      <w:r w:rsidR="00610405" w:rsidRPr="00610405">
        <w:rPr>
          <w:bCs/>
          <w:szCs w:val="22"/>
        </w:rPr>
        <w:t xml:space="preserve">The processes of granting exemption privileges invite rent‐seeking </w:t>
      </w:r>
      <w:r w:rsidR="00610405">
        <w:rPr>
          <w:bCs/>
          <w:szCs w:val="22"/>
        </w:rPr>
        <w:t xml:space="preserve">and those </w:t>
      </w:r>
      <w:r w:rsidR="00610405" w:rsidRPr="00610405">
        <w:rPr>
          <w:bCs/>
          <w:szCs w:val="22"/>
        </w:rPr>
        <w:t>industries that import goods under exemptions have an advantage</w:t>
      </w:r>
      <w:r w:rsidR="00610405">
        <w:rPr>
          <w:bCs/>
          <w:szCs w:val="22"/>
        </w:rPr>
        <w:t xml:space="preserve">, </w:t>
      </w:r>
      <w:r w:rsidR="00610405" w:rsidRPr="00610405">
        <w:rPr>
          <w:b/>
          <w:bCs/>
          <w:szCs w:val="22"/>
        </w:rPr>
        <w:t>Therefore, w</w:t>
      </w:r>
      <w:r w:rsidR="00071539" w:rsidRPr="00610405">
        <w:rPr>
          <w:b/>
          <w:bCs/>
          <w:szCs w:val="22"/>
        </w:rPr>
        <w:t>hile</w:t>
      </w:r>
      <w:r w:rsidR="00071539" w:rsidRPr="00071539">
        <w:rPr>
          <w:b/>
          <w:bCs/>
          <w:szCs w:val="22"/>
        </w:rPr>
        <w:t xml:space="preserve"> </w:t>
      </w:r>
      <w:r w:rsidR="00610405">
        <w:rPr>
          <w:b/>
          <w:bCs/>
          <w:szCs w:val="22"/>
        </w:rPr>
        <w:t>some</w:t>
      </w:r>
      <w:r w:rsidR="00071539" w:rsidRPr="00071539">
        <w:rPr>
          <w:b/>
          <w:bCs/>
          <w:szCs w:val="22"/>
        </w:rPr>
        <w:t xml:space="preserve"> exemptions may</w:t>
      </w:r>
      <w:r w:rsidR="00610405">
        <w:rPr>
          <w:b/>
          <w:bCs/>
          <w:szCs w:val="22"/>
        </w:rPr>
        <w:t xml:space="preserve"> not be modified as they </w:t>
      </w:r>
      <w:r w:rsidR="00071539" w:rsidRPr="00071539">
        <w:rPr>
          <w:b/>
          <w:bCs/>
          <w:szCs w:val="22"/>
        </w:rPr>
        <w:t>involve bilateral agreements with ISAF and donor countries, a careful review of the exemption list could serve to identify ways of broadening the tariff base.</w:t>
      </w:r>
    </w:p>
    <w:tbl>
      <w:tblPr>
        <w:tblStyle w:val="TableGrid"/>
        <w:tblpPr w:leftFromText="180" w:rightFromText="180" w:vertAnchor="text" w:horzAnchor="margin" w:tblpXSpec="center" w:tblpY="1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9"/>
      </w:tblGrid>
      <w:tr w:rsidR="0014667F" w:rsidRPr="00AF233B" w:rsidTr="0044627A">
        <w:trPr>
          <w:trHeight w:val="228"/>
        </w:trPr>
        <w:tc>
          <w:tcPr>
            <w:tcW w:w="5814" w:type="dxa"/>
          </w:tcPr>
          <w:p w:rsidR="0014667F" w:rsidRPr="00AF233B" w:rsidRDefault="0014667F" w:rsidP="00CC7427">
            <w:pPr>
              <w:spacing w:before="240" w:line="276" w:lineRule="auto"/>
              <w:rPr>
                <w:b/>
                <w:bCs/>
                <w:color w:val="410082" w:themeColor="text1"/>
                <w:szCs w:val="22"/>
              </w:rPr>
            </w:pPr>
            <w:r w:rsidRPr="009422A0">
              <w:rPr>
                <w:rFonts w:eastAsia="Calibri" w:cs="Times New Roman"/>
                <w:b/>
                <w:color w:val="410082" w:themeColor="text1"/>
                <w:szCs w:val="22"/>
              </w:rPr>
              <w:t xml:space="preserve">Figure </w:t>
            </w:r>
            <w:r w:rsidR="00AF233B" w:rsidRPr="009422A0">
              <w:rPr>
                <w:rFonts w:eastAsia="Calibri" w:cs="Times New Roman"/>
                <w:b/>
                <w:color w:val="410082" w:themeColor="text1"/>
                <w:szCs w:val="22"/>
              </w:rPr>
              <w:t>1.</w:t>
            </w:r>
            <w:r w:rsidR="00CC7427" w:rsidRPr="009422A0">
              <w:rPr>
                <w:rFonts w:eastAsia="Calibri" w:cs="Times New Roman"/>
                <w:b/>
                <w:color w:val="410082" w:themeColor="text1"/>
                <w:szCs w:val="22"/>
              </w:rPr>
              <w:t>15</w:t>
            </w:r>
            <w:r w:rsidR="00AF233B" w:rsidRPr="009422A0">
              <w:rPr>
                <w:rFonts w:eastAsia="Calibri" w:cs="Times New Roman"/>
                <w:b/>
                <w:color w:val="410082" w:themeColor="text1"/>
                <w:szCs w:val="22"/>
              </w:rPr>
              <w:t>:</w:t>
            </w:r>
            <w:r w:rsidRPr="009422A0">
              <w:rPr>
                <w:rFonts w:eastAsia="Calibri" w:cs="Times New Roman"/>
                <w:b/>
                <w:color w:val="410082" w:themeColor="text1"/>
                <w:szCs w:val="22"/>
              </w:rPr>
              <w:t xml:space="preserve"> Customs </w:t>
            </w:r>
            <w:r w:rsidR="00AF233B" w:rsidRPr="009422A0">
              <w:rPr>
                <w:rFonts w:eastAsia="Calibri" w:cs="Times New Roman"/>
                <w:b/>
                <w:color w:val="410082" w:themeColor="text1"/>
                <w:szCs w:val="22"/>
              </w:rPr>
              <w:t>R</w:t>
            </w:r>
            <w:r w:rsidRPr="009422A0">
              <w:rPr>
                <w:rFonts w:eastAsia="Calibri" w:cs="Times New Roman"/>
                <w:b/>
                <w:color w:val="410082" w:themeColor="text1"/>
                <w:szCs w:val="22"/>
              </w:rPr>
              <w:t xml:space="preserve">evenue on the </w:t>
            </w:r>
            <w:r w:rsidR="00AF233B" w:rsidRPr="009422A0">
              <w:rPr>
                <w:rFonts w:eastAsia="Calibri" w:cs="Times New Roman"/>
                <w:b/>
                <w:color w:val="410082" w:themeColor="text1"/>
                <w:szCs w:val="22"/>
              </w:rPr>
              <w:t>C.I.F.</w:t>
            </w:r>
            <w:r w:rsidRPr="009422A0">
              <w:rPr>
                <w:rFonts w:eastAsia="Calibri" w:cs="Times New Roman"/>
                <w:b/>
                <w:color w:val="410082" w:themeColor="text1"/>
                <w:szCs w:val="22"/>
              </w:rPr>
              <w:t xml:space="preserve"> </w:t>
            </w:r>
            <w:r w:rsidR="00AF233B" w:rsidRPr="009422A0">
              <w:rPr>
                <w:rFonts w:eastAsia="Calibri" w:cs="Times New Roman"/>
                <w:b/>
                <w:color w:val="410082" w:themeColor="text1"/>
                <w:szCs w:val="22"/>
              </w:rPr>
              <w:t>V</w:t>
            </w:r>
            <w:r w:rsidRPr="009422A0">
              <w:rPr>
                <w:rFonts w:eastAsia="Calibri" w:cs="Times New Roman"/>
                <w:b/>
                <w:color w:val="410082" w:themeColor="text1"/>
                <w:szCs w:val="22"/>
              </w:rPr>
              <w:t>alue</w:t>
            </w:r>
            <w:r w:rsidRPr="00AF233B">
              <w:rPr>
                <w:rFonts w:eastAsia="Calibri" w:cs="Times New Roman"/>
                <w:b/>
                <w:color w:val="410082" w:themeColor="text1"/>
                <w:szCs w:val="22"/>
              </w:rPr>
              <w:t xml:space="preserve"> of </w:t>
            </w:r>
            <w:r w:rsidR="00AF233B" w:rsidRPr="00AF233B">
              <w:rPr>
                <w:rFonts w:eastAsia="Calibri" w:cs="Times New Roman"/>
                <w:b/>
                <w:color w:val="410082" w:themeColor="text1"/>
                <w:szCs w:val="22"/>
              </w:rPr>
              <w:t>I</w:t>
            </w:r>
            <w:r w:rsidRPr="00AF233B">
              <w:rPr>
                <w:rFonts w:eastAsia="Calibri" w:cs="Times New Roman"/>
                <w:b/>
                <w:color w:val="410082" w:themeColor="text1"/>
                <w:szCs w:val="22"/>
              </w:rPr>
              <w:t>mports (%)</w:t>
            </w:r>
          </w:p>
        </w:tc>
      </w:tr>
      <w:tr w:rsidR="0014667F" w:rsidRPr="00073AC8" w:rsidTr="0044627A">
        <w:trPr>
          <w:trHeight w:val="3791"/>
        </w:trPr>
        <w:tc>
          <w:tcPr>
            <w:tcW w:w="5814" w:type="dxa"/>
          </w:tcPr>
          <w:p w:rsidR="0014667F" w:rsidRPr="00073AC8" w:rsidRDefault="0014667F" w:rsidP="00926F4A">
            <w:pPr>
              <w:spacing w:before="240"/>
              <w:rPr>
                <w:bCs/>
                <w:color w:val="000000"/>
                <w:szCs w:val="22"/>
              </w:rPr>
            </w:pPr>
            <w:r w:rsidRPr="00073AC8">
              <w:rPr>
                <w:bCs/>
                <w:noProof/>
                <w:color w:val="000000"/>
                <w:szCs w:val="22"/>
                <w:lang w:bidi="ar-SA"/>
              </w:rPr>
              <w:drawing>
                <wp:inline distT="0" distB="0" distL="0" distR="0" wp14:anchorId="136E45B4" wp14:editId="0874D626">
                  <wp:extent cx="3698148" cy="2686050"/>
                  <wp:effectExtent l="19050" t="0" r="0" b="0"/>
                  <wp:docPr id="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694727" cy="2683565"/>
                          </a:xfrm>
                          <a:prstGeom prst="rect">
                            <a:avLst/>
                          </a:prstGeom>
                          <a:noFill/>
                          <a:ln w="9525">
                            <a:noFill/>
                            <a:miter lim="800000"/>
                            <a:headEnd/>
                            <a:tailEnd/>
                          </a:ln>
                        </pic:spPr>
                      </pic:pic>
                    </a:graphicData>
                  </a:graphic>
                </wp:inline>
              </w:drawing>
            </w:r>
          </w:p>
        </w:tc>
      </w:tr>
    </w:tbl>
    <w:p w:rsidR="001F60B5" w:rsidRDefault="001F60B5" w:rsidP="0014667F">
      <w:pPr>
        <w:spacing w:after="0"/>
        <w:rPr>
          <w:b/>
          <w:bCs/>
          <w:color w:val="FF0000"/>
          <w:szCs w:val="22"/>
        </w:rPr>
      </w:pPr>
    </w:p>
    <w:p w:rsidR="00AF233B" w:rsidRDefault="00AF233B" w:rsidP="0014667F">
      <w:pPr>
        <w:spacing w:after="0"/>
        <w:rPr>
          <w:b/>
          <w:bCs/>
          <w:color w:val="FF0000"/>
          <w:szCs w:val="22"/>
        </w:rPr>
      </w:pPr>
    </w:p>
    <w:p w:rsidR="001F60B5" w:rsidRDefault="001F60B5" w:rsidP="0014667F">
      <w:pPr>
        <w:spacing w:after="0"/>
        <w:rPr>
          <w:b/>
          <w:bCs/>
          <w:color w:val="FF0000"/>
          <w:szCs w:val="22"/>
        </w:rPr>
      </w:pPr>
    </w:p>
    <w:p w:rsidR="001F60B5" w:rsidRDefault="001F60B5" w:rsidP="0014667F">
      <w:pPr>
        <w:spacing w:after="0"/>
        <w:rPr>
          <w:b/>
          <w:bCs/>
          <w:color w:val="FF0000"/>
          <w:szCs w:val="22"/>
        </w:rPr>
      </w:pPr>
    </w:p>
    <w:p w:rsidR="001F60B5" w:rsidRDefault="001F60B5" w:rsidP="0014667F">
      <w:pPr>
        <w:spacing w:after="0"/>
        <w:rPr>
          <w:b/>
          <w:bCs/>
          <w:color w:val="FF0000"/>
          <w:szCs w:val="22"/>
        </w:rPr>
      </w:pPr>
    </w:p>
    <w:p w:rsidR="001F60B5" w:rsidRDefault="001F60B5" w:rsidP="0014667F">
      <w:pPr>
        <w:spacing w:after="0"/>
        <w:rPr>
          <w:b/>
          <w:bCs/>
          <w:color w:val="FF0000"/>
          <w:szCs w:val="22"/>
        </w:rPr>
      </w:pPr>
    </w:p>
    <w:p w:rsidR="001F60B5" w:rsidRDefault="001F60B5" w:rsidP="0014667F">
      <w:pPr>
        <w:spacing w:after="0"/>
        <w:rPr>
          <w:b/>
          <w:bCs/>
          <w:color w:val="FF0000"/>
          <w:szCs w:val="22"/>
        </w:rPr>
      </w:pPr>
    </w:p>
    <w:p w:rsidR="001F60B5" w:rsidRDefault="001F60B5" w:rsidP="0014667F">
      <w:pPr>
        <w:spacing w:after="0"/>
        <w:rPr>
          <w:b/>
          <w:bCs/>
          <w:color w:val="FF0000"/>
          <w:szCs w:val="22"/>
        </w:rPr>
      </w:pPr>
    </w:p>
    <w:p w:rsidR="001F60B5" w:rsidRDefault="001F60B5" w:rsidP="0014667F">
      <w:pPr>
        <w:spacing w:after="0"/>
        <w:rPr>
          <w:b/>
          <w:bCs/>
          <w:color w:val="FF0000"/>
          <w:szCs w:val="22"/>
        </w:rPr>
      </w:pPr>
    </w:p>
    <w:p w:rsidR="001F60B5" w:rsidRDefault="001F60B5" w:rsidP="0014667F">
      <w:pPr>
        <w:spacing w:after="0"/>
        <w:rPr>
          <w:b/>
          <w:bCs/>
          <w:color w:val="FF0000"/>
          <w:szCs w:val="22"/>
        </w:rPr>
      </w:pPr>
    </w:p>
    <w:p w:rsidR="001F60B5" w:rsidRDefault="001F60B5" w:rsidP="0014667F">
      <w:pPr>
        <w:spacing w:after="0"/>
        <w:rPr>
          <w:b/>
          <w:bCs/>
          <w:color w:val="FF0000"/>
          <w:szCs w:val="22"/>
        </w:rPr>
      </w:pPr>
    </w:p>
    <w:p w:rsidR="001F60B5" w:rsidRDefault="001F60B5" w:rsidP="0014667F">
      <w:pPr>
        <w:spacing w:after="0"/>
        <w:rPr>
          <w:b/>
          <w:bCs/>
          <w:color w:val="FF0000"/>
          <w:szCs w:val="22"/>
        </w:rPr>
      </w:pPr>
    </w:p>
    <w:p w:rsidR="001F60B5" w:rsidRDefault="001F60B5" w:rsidP="0014667F">
      <w:pPr>
        <w:spacing w:after="0"/>
        <w:rPr>
          <w:b/>
          <w:bCs/>
          <w:color w:val="FF0000"/>
          <w:szCs w:val="22"/>
        </w:rPr>
      </w:pPr>
    </w:p>
    <w:p w:rsidR="001F60B5" w:rsidRDefault="001F60B5" w:rsidP="0014667F">
      <w:pPr>
        <w:spacing w:after="0"/>
        <w:rPr>
          <w:b/>
          <w:bCs/>
          <w:color w:val="FF0000"/>
          <w:szCs w:val="22"/>
        </w:rPr>
      </w:pPr>
    </w:p>
    <w:p w:rsidR="001F60B5" w:rsidRDefault="001F60B5" w:rsidP="0014667F">
      <w:pPr>
        <w:spacing w:after="0"/>
        <w:rPr>
          <w:b/>
          <w:bCs/>
          <w:color w:val="FF0000"/>
          <w:szCs w:val="22"/>
        </w:rPr>
      </w:pPr>
    </w:p>
    <w:p w:rsidR="00F91887" w:rsidRDefault="00F91887" w:rsidP="00FC18D5">
      <w:pPr>
        <w:spacing w:after="0"/>
        <w:jc w:val="center"/>
        <w:rPr>
          <w:b/>
          <w:bCs/>
          <w:color w:val="000000"/>
          <w:szCs w:val="22"/>
        </w:rPr>
      </w:pPr>
    </w:p>
    <w:p w:rsidR="00FC18D5" w:rsidRDefault="00FC18D5" w:rsidP="00FC18D5">
      <w:pPr>
        <w:spacing w:after="0"/>
        <w:jc w:val="center"/>
        <w:rPr>
          <w:b/>
          <w:bCs/>
          <w:color w:val="000000"/>
          <w:szCs w:val="22"/>
        </w:rPr>
      </w:pPr>
    </w:p>
    <w:p w:rsidR="00926F4A" w:rsidRPr="00904B3B" w:rsidRDefault="00904B3B" w:rsidP="00FC18D5">
      <w:pPr>
        <w:spacing w:after="0"/>
        <w:ind w:left="1440" w:firstLine="720"/>
        <w:jc w:val="left"/>
        <w:rPr>
          <w:bCs/>
          <w:color w:val="000000"/>
          <w:sz w:val="20"/>
        </w:rPr>
      </w:pPr>
      <w:r w:rsidRPr="00904B3B">
        <w:rPr>
          <w:bCs/>
          <w:color w:val="000000"/>
          <w:sz w:val="20"/>
        </w:rPr>
        <w:t xml:space="preserve">Source: </w:t>
      </w:r>
      <w:r w:rsidR="00FC18D5">
        <w:rPr>
          <w:bCs/>
          <w:color w:val="000000"/>
          <w:sz w:val="20"/>
        </w:rPr>
        <w:t>ARD, MOF</w:t>
      </w:r>
    </w:p>
    <w:p w:rsidR="00904B3B" w:rsidRDefault="00904B3B" w:rsidP="00F91887">
      <w:pPr>
        <w:spacing w:after="0"/>
        <w:jc w:val="left"/>
        <w:rPr>
          <w:b/>
          <w:bCs/>
          <w:color w:val="000000"/>
          <w:szCs w:val="22"/>
        </w:rPr>
      </w:pPr>
    </w:p>
    <w:p w:rsidR="0014667F" w:rsidRPr="00073AC8" w:rsidRDefault="00AF233B" w:rsidP="0001424C">
      <w:pPr>
        <w:spacing w:after="0"/>
        <w:jc w:val="left"/>
        <w:rPr>
          <w:bCs/>
          <w:color w:val="000000"/>
          <w:szCs w:val="22"/>
        </w:rPr>
      </w:pPr>
      <w:r>
        <w:rPr>
          <w:b/>
          <w:bCs/>
          <w:color w:val="000000"/>
          <w:szCs w:val="22"/>
        </w:rPr>
        <w:t>Afghan i</w:t>
      </w:r>
      <w:r w:rsidR="00F91887">
        <w:rPr>
          <w:b/>
          <w:bCs/>
          <w:color w:val="000000"/>
          <w:szCs w:val="22"/>
        </w:rPr>
        <w:t>mport</w:t>
      </w:r>
      <w:r w:rsidR="00A57C02">
        <w:rPr>
          <w:b/>
          <w:bCs/>
          <w:color w:val="000000"/>
          <w:szCs w:val="22"/>
        </w:rPr>
        <w:t>ers are taxed in ways that</w:t>
      </w:r>
      <w:r w:rsidR="00F91887">
        <w:rPr>
          <w:b/>
          <w:bCs/>
          <w:color w:val="000000"/>
          <w:szCs w:val="22"/>
        </w:rPr>
        <w:t xml:space="preserve"> </w:t>
      </w:r>
      <w:r w:rsidR="001A6830">
        <w:rPr>
          <w:b/>
          <w:bCs/>
          <w:color w:val="000000"/>
          <w:szCs w:val="22"/>
        </w:rPr>
        <w:t>effectively</w:t>
      </w:r>
      <w:r w:rsidR="0047231F">
        <w:rPr>
          <w:b/>
          <w:bCs/>
          <w:color w:val="000000"/>
          <w:szCs w:val="22"/>
        </w:rPr>
        <w:t xml:space="preserve"> </w:t>
      </w:r>
      <w:r w:rsidR="00A57C02">
        <w:rPr>
          <w:b/>
          <w:bCs/>
          <w:color w:val="000000"/>
          <w:szCs w:val="22"/>
        </w:rPr>
        <w:t>raise the duty on goods entering the country</w:t>
      </w:r>
      <w:r w:rsidR="0014667F" w:rsidRPr="00073AC8">
        <w:rPr>
          <w:b/>
          <w:bCs/>
          <w:color w:val="000000"/>
          <w:szCs w:val="22"/>
        </w:rPr>
        <w:t xml:space="preserve">. </w:t>
      </w:r>
      <w:r w:rsidR="00A9692E">
        <w:rPr>
          <w:bCs/>
          <w:color w:val="000000"/>
          <w:szCs w:val="22"/>
        </w:rPr>
        <w:t>C</w:t>
      </w:r>
      <w:r w:rsidR="00A9692E" w:rsidRPr="008821B0">
        <w:rPr>
          <w:rFonts w:ascii="Calibri" w:eastAsia="Times New Roman" w:hAnsi="Calibri" w:cs="Calibri"/>
          <w:bCs/>
          <w:sz w:val="20"/>
          <w:lang w:eastAsia="de-DE"/>
        </w:rPr>
        <w:t xml:space="preserve">ustoms collect </w:t>
      </w:r>
      <w:r w:rsidR="00A9692E">
        <w:rPr>
          <w:rFonts w:ascii="Calibri" w:eastAsia="Times New Roman" w:hAnsi="Calibri" w:cs="Calibri"/>
          <w:bCs/>
          <w:sz w:val="20"/>
          <w:lang w:eastAsia="de-DE"/>
        </w:rPr>
        <w:t xml:space="preserve">around </w:t>
      </w:r>
      <w:r w:rsidR="00A9692E" w:rsidRPr="008821B0">
        <w:rPr>
          <w:rFonts w:ascii="Calibri" w:eastAsia="Times New Roman" w:hAnsi="Calibri" w:cs="Calibri"/>
          <w:bCs/>
          <w:sz w:val="20"/>
          <w:lang w:eastAsia="de-DE"/>
        </w:rPr>
        <w:t>5% as duty, 2% as fixed tax and 2% as International Red Crescent levy</w:t>
      </w:r>
      <w:r w:rsidR="00A9692E" w:rsidRPr="00073AC8">
        <w:rPr>
          <w:bCs/>
          <w:color w:val="000000"/>
          <w:szCs w:val="22"/>
        </w:rPr>
        <w:t xml:space="preserve"> </w:t>
      </w:r>
      <w:r w:rsidR="00A9692E">
        <w:rPr>
          <w:bCs/>
          <w:color w:val="000000"/>
          <w:szCs w:val="22"/>
        </w:rPr>
        <w:t xml:space="preserve">and with </w:t>
      </w:r>
      <w:r w:rsidR="00FC18D5" w:rsidRPr="00073AC8">
        <w:rPr>
          <w:bCs/>
          <w:color w:val="000000"/>
          <w:szCs w:val="22"/>
        </w:rPr>
        <w:t xml:space="preserve">additional taxes </w:t>
      </w:r>
      <w:r w:rsidR="00A9692E">
        <w:rPr>
          <w:bCs/>
          <w:color w:val="000000"/>
          <w:szCs w:val="22"/>
        </w:rPr>
        <w:t>it</w:t>
      </w:r>
      <w:r w:rsidR="00FC18D5">
        <w:rPr>
          <w:bCs/>
          <w:color w:val="000000"/>
          <w:szCs w:val="22"/>
        </w:rPr>
        <w:t xml:space="preserve"> </w:t>
      </w:r>
      <w:r w:rsidR="00FC18D5" w:rsidRPr="00073AC8">
        <w:rPr>
          <w:bCs/>
          <w:color w:val="000000"/>
          <w:szCs w:val="22"/>
        </w:rPr>
        <w:t>bring</w:t>
      </w:r>
      <w:r w:rsidR="00A9692E">
        <w:rPr>
          <w:bCs/>
          <w:color w:val="000000"/>
          <w:szCs w:val="22"/>
        </w:rPr>
        <w:t>s</w:t>
      </w:r>
      <w:r w:rsidR="00FC18D5" w:rsidRPr="00073AC8">
        <w:rPr>
          <w:bCs/>
          <w:color w:val="000000"/>
          <w:szCs w:val="22"/>
        </w:rPr>
        <w:t xml:space="preserve"> the total rate to about 1</w:t>
      </w:r>
      <w:r w:rsidR="00FC18D5">
        <w:rPr>
          <w:bCs/>
          <w:color w:val="000000"/>
          <w:szCs w:val="22"/>
        </w:rPr>
        <w:t xml:space="preserve">1 percent of the import value.  </w:t>
      </w:r>
      <w:r w:rsidR="00A9692E">
        <w:rPr>
          <w:bCs/>
          <w:color w:val="000000"/>
          <w:szCs w:val="22"/>
        </w:rPr>
        <w:t xml:space="preserve">If </w:t>
      </w:r>
      <w:r w:rsidR="0014667F" w:rsidRPr="00073AC8">
        <w:rPr>
          <w:bCs/>
          <w:color w:val="000000"/>
          <w:szCs w:val="22"/>
        </w:rPr>
        <w:t xml:space="preserve">Afghan importers </w:t>
      </w:r>
      <w:r w:rsidR="00A9692E">
        <w:rPr>
          <w:bCs/>
          <w:color w:val="000000"/>
          <w:szCs w:val="22"/>
        </w:rPr>
        <w:t xml:space="preserve">have registered for a business license at </w:t>
      </w:r>
      <w:r w:rsidR="00A9692E" w:rsidRPr="00073AC8">
        <w:rPr>
          <w:bCs/>
          <w:color w:val="000000"/>
          <w:szCs w:val="22"/>
        </w:rPr>
        <w:t>AISA</w:t>
      </w:r>
      <w:r w:rsidR="00A9692E">
        <w:rPr>
          <w:bCs/>
          <w:color w:val="000000"/>
          <w:szCs w:val="22"/>
        </w:rPr>
        <w:t xml:space="preserve"> they pay</w:t>
      </w:r>
      <w:r w:rsidR="0014667F" w:rsidRPr="00073AC8">
        <w:rPr>
          <w:bCs/>
          <w:color w:val="000000"/>
          <w:szCs w:val="22"/>
        </w:rPr>
        <w:t xml:space="preserve"> 2 percent and those without </w:t>
      </w:r>
      <w:r w:rsidR="004635DA">
        <w:rPr>
          <w:bCs/>
          <w:color w:val="000000"/>
          <w:szCs w:val="22"/>
        </w:rPr>
        <w:t>it</w:t>
      </w:r>
      <w:r w:rsidR="0014667F" w:rsidRPr="00073AC8">
        <w:rPr>
          <w:bCs/>
          <w:color w:val="000000"/>
          <w:szCs w:val="22"/>
        </w:rPr>
        <w:t xml:space="preserve"> pay 3 percent</w:t>
      </w:r>
      <w:r w:rsidR="00A9692E">
        <w:rPr>
          <w:bCs/>
          <w:color w:val="000000"/>
          <w:szCs w:val="22"/>
        </w:rPr>
        <w:t>.  This is the</w:t>
      </w:r>
      <w:r w:rsidR="00FC18D5">
        <w:rPr>
          <w:bCs/>
          <w:color w:val="000000"/>
          <w:szCs w:val="22"/>
        </w:rPr>
        <w:t xml:space="preserve"> </w:t>
      </w:r>
      <w:r w:rsidR="0014667F" w:rsidRPr="00073AC8">
        <w:rPr>
          <w:bCs/>
          <w:color w:val="000000"/>
          <w:szCs w:val="22"/>
        </w:rPr>
        <w:t>incentive for traders to register</w:t>
      </w:r>
      <w:r w:rsidR="0047231F">
        <w:rPr>
          <w:bCs/>
          <w:color w:val="000000"/>
          <w:szCs w:val="22"/>
        </w:rPr>
        <w:t xml:space="preserve">, which </w:t>
      </w:r>
      <w:r w:rsidR="00A9692E">
        <w:rPr>
          <w:bCs/>
          <w:color w:val="000000"/>
          <w:szCs w:val="22"/>
        </w:rPr>
        <w:t xml:space="preserve">in turn implies paying annual </w:t>
      </w:r>
      <w:r w:rsidR="0014667F" w:rsidRPr="00073AC8">
        <w:rPr>
          <w:bCs/>
          <w:color w:val="000000"/>
          <w:szCs w:val="22"/>
        </w:rPr>
        <w:t>income tax. In addition, a 2 percent Business Receipts Tax (BRT) is collected at th</w:t>
      </w:r>
      <w:r w:rsidR="00A9692E">
        <w:rPr>
          <w:bCs/>
          <w:color w:val="000000"/>
          <w:szCs w:val="22"/>
        </w:rPr>
        <w:t xml:space="preserve">e border for all imported goods and traders report having to pay </w:t>
      </w:r>
      <w:r w:rsidR="0001424C">
        <w:rPr>
          <w:bCs/>
          <w:color w:val="000000"/>
          <w:szCs w:val="22"/>
        </w:rPr>
        <w:t>illegal levies to mustofiats and for the clearance of goods at customs.</w:t>
      </w:r>
      <w:r w:rsidR="00A9692E">
        <w:rPr>
          <w:bCs/>
          <w:color w:val="000000"/>
          <w:szCs w:val="22"/>
        </w:rPr>
        <w:t xml:space="preserve"> </w:t>
      </w:r>
      <w:r w:rsidR="009422A0">
        <w:rPr>
          <w:bCs/>
          <w:color w:val="000000"/>
          <w:szCs w:val="22"/>
        </w:rPr>
        <w:t xml:space="preserve"> (Figure 1.15 and Table 1.1)</w:t>
      </w:r>
    </w:p>
    <w:p w:rsidR="0014667F" w:rsidRPr="00073AC8" w:rsidRDefault="0014667F" w:rsidP="0014667F">
      <w:pPr>
        <w:spacing w:after="0"/>
        <w:rPr>
          <w:b/>
          <w:bCs/>
          <w:color w:val="000000"/>
          <w:szCs w:val="22"/>
        </w:rPr>
      </w:pPr>
    </w:p>
    <w:p w:rsidR="0014667F" w:rsidRPr="0047231F" w:rsidRDefault="0014667F" w:rsidP="0014667F">
      <w:pPr>
        <w:spacing w:after="0"/>
        <w:rPr>
          <w:rFonts w:eastAsia="Calibri" w:cs="Times New Roman"/>
          <w:b/>
          <w:color w:val="410082" w:themeColor="text1"/>
          <w:szCs w:val="22"/>
        </w:rPr>
      </w:pPr>
      <w:r w:rsidRPr="009422A0">
        <w:rPr>
          <w:rFonts w:eastAsia="Calibri" w:cs="Times New Roman"/>
          <w:b/>
          <w:color w:val="410082" w:themeColor="text1"/>
          <w:szCs w:val="22"/>
        </w:rPr>
        <w:t xml:space="preserve">Table </w:t>
      </w:r>
      <w:r w:rsidR="0047231F" w:rsidRPr="009422A0">
        <w:rPr>
          <w:rFonts w:eastAsia="Calibri" w:cs="Times New Roman"/>
          <w:b/>
          <w:color w:val="410082" w:themeColor="text1"/>
          <w:szCs w:val="22"/>
        </w:rPr>
        <w:t>1.1:</w:t>
      </w:r>
      <w:r w:rsidRPr="009422A0">
        <w:rPr>
          <w:rFonts w:eastAsia="Calibri" w:cs="Times New Roman"/>
          <w:b/>
          <w:color w:val="410082" w:themeColor="text1"/>
          <w:szCs w:val="22"/>
        </w:rPr>
        <w:t xml:space="preserve">  Import Taxes</w:t>
      </w:r>
    </w:p>
    <w:tbl>
      <w:tblPr>
        <w:tblStyle w:val="LightShading-Accent11"/>
        <w:tblW w:w="0" w:type="auto"/>
        <w:tblLook w:val="04A0" w:firstRow="1" w:lastRow="0" w:firstColumn="1" w:lastColumn="0" w:noHBand="0" w:noVBand="1"/>
      </w:tblPr>
      <w:tblGrid>
        <w:gridCol w:w="2313"/>
        <w:gridCol w:w="2805"/>
        <w:gridCol w:w="4458"/>
      </w:tblGrid>
      <w:tr w:rsidR="0014667F" w:rsidRPr="00073AC8" w:rsidTr="005368DC">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auto"/>
          </w:tcPr>
          <w:p w:rsidR="0014667F" w:rsidRPr="00073AC8" w:rsidRDefault="0014667F" w:rsidP="009A45D4">
            <w:pPr>
              <w:rPr>
                <w:rFonts w:eastAsia="Calibri" w:cs="Times New Roman"/>
                <w:szCs w:val="22"/>
              </w:rPr>
            </w:pPr>
            <w:r w:rsidRPr="00073AC8">
              <w:rPr>
                <w:rFonts w:eastAsia="Calibri" w:cs="Times New Roman"/>
                <w:szCs w:val="22"/>
              </w:rPr>
              <w:t>Type</w:t>
            </w:r>
          </w:p>
        </w:tc>
        <w:tc>
          <w:tcPr>
            <w:tcW w:w="0" w:type="auto"/>
          </w:tcPr>
          <w:p w:rsidR="0014667F" w:rsidRPr="00073AC8" w:rsidRDefault="0014667F" w:rsidP="009A45D4">
            <w:pPr>
              <w:cnfStyle w:val="100000000000" w:firstRow="1" w:lastRow="0" w:firstColumn="0" w:lastColumn="0" w:oddVBand="0" w:evenVBand="0" w:oddHBand="0" w:evenHBand="0" w:firstRowFirstColumn="0" w:firstRowLastColumn="0" w:lastRowFirstColumn="0" w:lastRowLastColumn="0"/>
              <w:rPr>
                <w:rFonts w:eastAsia="Calibri" w:cs="Times New Roman"/>
                <w:szCs w:val="22"/>
              </w:rPr>
            </w:pPr>
            <w:r w:rsidRPr="00073AC8">
              <w:rPr>
                <w:rFonts w:eastAsia="Calibri" w:cs="Times New Roman"/>
                <w:szCs w:val="22"/>
              </w:rPr>
              <w:t>Rate</w:t>
            </w:r>
          </w:p>
        </w:tc>
        <w:tc>
          <w:tcPr>
            <w:tcW w:w="0" w:type="auto"/>
          </w:tcPr>
          <w:p w:rsidR="0014667F" w:rsidRPr="00073AC8" w:rsidRDefault="0014667F" w:rsidP="009A45D4">
            <w:pPr>
              <w:cnfStyle w:val="100000000000" w:firstRow="1" w:lastRow="0" w:firstColumn="0" w:lastColumn="0" w:oddVBand="0" w:evenVBand="0" w:oddHBand="0" w:evenHBand="0" w:firstRowFirstColumn="0" w:firstRowLastColumn="0" w:lastRowFirstColumn="0" w:lastRowLastColumn="0"/>
              <w:rPr>
                <w:rFonts w:eastAsia="Calibri" w:cs="Times New Roman"/>
                <w:szCs w:val="22"/>
              </w:rPr>
            </w:pPr>
            <w:r w:rsidRPr="00073AC8">
              <w:rPr>
                <w:rFonts w:eastAsia="Calibri" w:cs="Times New Roman"/>
                <w:szCs w:val="22"/>
              </w:rPr>
              <w:t>Note</w:t>
            </w:r>
          </w:p>
        </w:tc>
      </w:tr>
      <w:tr w:rsidR="0014667F" w:rsidRPr="00073AC8" w:rsidTr="005368DC">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auto"/>
          </w:tcPr>
          <w:p w:rsidR="0014667F" w:rsidRPr="00073AC8" w:rsidRDefault="0014667F" w:rsidP="009A45D4">
            <w:pPr>
              <w:rPr>
                <w:rFonts w:eastAsia="Calibri" w:cs="Times New Roman"/>
                <w:szCs w:val="22"/>
              </w:rPr>
            </w:pPr>
            <w:r w:rsidRPr="00073AC8">
              <w:rPr>
                <w:rFonts w:eastAsia="Calibri" w:cs="Times New Roman"/>
                <w:szCs w:val="22"/>
              </w:rPr>
              <w:t>Tax benefiting Afghan Red Crescent Agency</w:t>
            </w:r>
          </w:p>
        </w:tc>
        <w:tc>
          <w:tcPr>
            <w:tcW w:w="0" w:type="auto"/>
          </w:tcPr>
          <w:p w:rsidR="0014667F" w:rsidRPr="00073AC8" w:rsidRDefault="0014667F" w:rsidP="009A45D4">
            <w:pPr>
              <w:cnfStyle w:val="000000100000" w:firstRow="0" w:lastRow="0" w:firstColumn="0" w:lastColumn="0" w:oddVBand="0" w:evenVBand="0" w:oddHBand="1" w:evenHBand="0" w:firstRowFirstColumn="0" w:firstRowLastColumn="0" w:lastRowFirstColumn="0" w:lastRowLastColumn="0"/>
              <w:rPr>
                <w:rFonts w:eastAsia="Calibri" w:cs="Times New Roman"/>
                <w:szCs w:val="22"/>
              </w:rPr>
            </w:pPr>
            <w:r w:rsidRPr="00073AC8">
              <w:rPr>
                <w:rFonts w:eastAsia="Calibri" w:cs="Times New Roman"/>
                <w:szCs w:val="22"/>
              </w:rPr>
              <w:t>2% of customs duty</w:t>
            </w:r>
          </w:p>
        </w:tc>
        <w:tc>
          <w:tcPr>
            <w:tcW w:w="0" w:type="auto"/>
          </w:tcPr>
          <w:p w:rsidR="0014667F" w:rsidRPr="00073AC8" w:rsidRDefault="0014667F" w:rsidP="009A45D4">
            <w:pPr>
              <w:cnfStyle w:val="000000100000" w:firstRow="0" w:lastRow="0" w:firstColumn="0" w:lastColumn="0" w:oddVBand="0" w:evenVBand="0" w:oddHBand="1" w:evenHBand="0" w:firstRowFirstColumn="0" w:firstRowLastColumn="0" w:lastRowFirstColumn="0" w:lastRowLastColumn="0"/>
              <w:rPr>
                <w:rFonts w:eastAsia="Calibri" w:cs="Times New Roman"/>
                <w:szCs w:val="22"/>
              </w:rPr>
            </w:pPr>
            <w:r w:rsidRPr="00073AC8">
              <w:rPr>
                <w:rFonts w:eastAsia="Calibri" w:cs="Times New Roman"/>
                <w:szCs w:val="22"/>
              </w:rPr>
              <w:t>All imports except food items.</w:t>
            </w:r>
          </w:p>
        </w:tc>
      </w:tr>
      <w:tr w:rsidR="0014667F" w:rsidRPr="00073AC8" w:rsidTr="005368DC">
        <w:trPr>
          <w:trHeight w:val="306"/>
        </w:trPr>
        <w:tc>
          <w:tcPr>
            <w:cnfStyle w:val="001000000000" w:firstRow="0" w:lastRow="0" w:firstColumn="1" w:lastColumn="0" w:oddVBand="0" w:evenVBand="0" w:oddHBand="0" w:evenHBand="0" w:firstRowFirstColumn="0" w:firstRowLastColumn="0" w:lastRowFirstColumn="0" w:lastRowLastColumn="0"/>
            <w:tcW w:w="0" w:type="auto"/>
          </w:tcPr>
          <w:p w:rsidR="0014667F" w:rsidRPr="00073AC8" w:rsidRDefault="0014667F" w:rsidP="009A45D4">
            <w:pPr>
              <w:rPr>
                <w:rFonts w:eastAsia="Calibri" w:cs="Times New Roman"/>
                <w:szCs w:val="22"/>
              </w:rPr>
            </w:pPr>
            <w:r w:rsidRPr="00073AC8">
              <w:rPr>
                <w:rFonts w:eastAsia="Calibri" w:cs="Times New Roman"/>
                <w:szCs w:val="22"/>
              </w:rPr>
              <w:t>Fixed Tax</w:t>
            </w:r>
          </w:p>
        </w:tc>
        <w:tc>
          <w:tcPr>
            <w:tcW w:w="0" w:type="auto"/>
          </w:tcPr>
          <w:p w:rsidR="0014667F" w:rsidRPr="00073AC8" w:rsidRDefault="0014667F" w:rsidP="009A45D4">
            <w:pPr>
              <w:cnfStyle w:val="000000000000" w:firstRow="0" w:lastRow="0" w:firstColumn="0" w:lastColumn="0" w:oddVBand="0" w:evenVBand="0" w:oddHBand="0" w:evenHBand="0" w:firstRowFirstColumn="0" w:firstRowLastColumn="0" w:lastRowFirstColumn="0" w:lastRowLastColumn="0"/>
              <w:rPr>
                <w:rFonts w:eastAsia="Calibri" w:cs="Times New Roman"/>
                <w:szCs w:val="22"/>
              </w:rPr>
            </w:pPr>
            <w:r w:rsidRPr="00073AC8">
              <w:rPr>
                <w:rFonts w:eastAsia="Calibri" w:cs="Times New Roman"/>
                <w:szCs w:val="22"/>
              </w:rPr>
              <w:t xml:space="preserve">2% (customs duty + customs value) or </w:t>
            </w:r>
          </w:p>
          <w:p w:rsidR="0014667F" w:rsidRPr="00073AC8" w:rsidRDefault="0014667F" w:rsidP="009A45D4">
            <w:pPr>
              <w:cnfStyle w:val="000000000000" w:firstRow="0" w:lastRow="0" w:firstColumn="0" w:lastColumn="0" w:oddVBand="0" w:evenVBand="0" w:oddHBand="0" w:evenHBand="0" w:firstRowFirstColumn="0" w:firstRowLastColumn="0" w:lastRowFirstColumn="0" w:lastRowLastColumn="0"/>
              <w:rPr>
                <w:rFonts w:eastAsia="Calibri" w:cs="Times New Roman"/>
                <w:szCs w:val="22"/>
              </w:rPr>
            </w:pPr>
            <w:r w:rsidRPr="00073AC8">
              <w:rPr>
                <w:rFonts w:eastAsia="Calibri" w:cs="Times New Roman"/>
                <w:szCs w:val="22"/>
              </w:rPr>
              <w:t>3% of (customs duty + customs value) if no business license</w:t>
            </w:r>
          </w:p>
        </w:tc>
        <w:tc>
          <w:tcPr>
            <w:tcW w:w="0" w:type="auto"/>
          </w:tcPr>
          <w:p w:rsidR="0014667F" w:rsidRPr="00073AC8" w:rsidRDefault="0014667F" w:rsidP="009A45D4">
            <w:pPr>
              <w:cnfStyle w:val="000000000000" w:firstRow="0" w:lastRow="0" w:firstColumn="0" w:lastColumn="0" w:oddVBand="0" w:evenVBand="0" w:oddHBand="0" w:evenHBand="0" w:firstRowFirstColumn="0" w:firstRowLastColumn="0" w:lastRowFirstColumn="0" w:lastRowLastColumn="0"/>
              <w:rPr>
                <w:rFonts w:eastAsia="Calibri" w:cs="Times New Roman"/>
                <w:szCs w:val="22"/>
              </w:rPr>
            </w:pPr>
            <w:r w:rsidRPr="00073AC8">
              <w:rPr>
                <w:rFonts w:eastAsia="Calibri" w:cs="Times New Roman"/>
                <w:szCs w:val="22"/>
              </w:rPr>
              <w:t>All imports.  The 2% can be claimed as credit in the calculation of the annual income tax assessment.</w:t>
            </w:r>
          </w:p>
        </w:tc>
      </w:tr>
      <w:tr w:rsidR="0014667F" w:rsidRPr="00073AC8" w:rsidTr="005368DC">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0" w:type="auto"/>
          </w:tcPr>
          <w:p w:rsidR="0014667F" w:rsidRPr="00073AC8" w:rsidRDefault="0014667F" w:rsidP="009A45D4">
            <w:pPr>
              <w:rPr>
                <w:rFonts w:eastAsia="Calibri" w:cs="Times New Roman"/>
                <w:szCs w:val="22"/>
              </w:rPr>
            </w:pPr>
            <w:r w:rsidRPr="00073AC8">
              <w:rPr>
                <w:rFonts w:eastAsia="Calibri" w:cs="Times New Roman"/>
                <w:szCs w:val="22"/>
              </w:rPr>
              <w:t>Business Receipt Tax (BRT)</w:t>
            </w:r>
          </w:p>
        </w:tc>
        <w:tc>
          <w:tcPr>
            <w:tcW w:w="0" w:type="auto"/>
          </w:tcPr>
          <w:p w:rsidR="0014667F" w:rsidRPr="00073AC8" w:rsidRDefault="0014667F" w:rsidP="009A45D4">
            <w:pPr>
              <w:cnfStyle w:val="000000100000" w:firstRow="0" w:lastRow="0" w:firstColumn="0" w:lastColumn="0" w:oddVBand="0" w:evenVBand="0" w:oddHBand="1" w:evenHBand="0" w:firstRowFirstColumn="0" w:firstRowLastColumn="0" w:lastRowFirstColumn="0" w:lastRowLastColumn="0"/>
              <w:rPr>
                <w:rFonts w:eastAsia="Calibri" w:cs="Times New Roman"/>
                <w:szCs w:val="22"/>
              </w:rPr>
            </w:pPr>
            <w:r w:rsidRPr="00073AC8">
              <w:rPr>
                <w:rFonts w:eastAsia="Calibri" w:cs="Times New Roman"/>
                <w:szCs w:val="22"/>
              </w:rPr>
              <w:t xml:space="preserve">2% of (customs duty + customs value) </w:t>
            </w:r>
          </w:p>
        </w:tc>
        <w:tc>
          <w:tcPr>
            <w:tcW w:w="0" w:type="auto"/>
          </w:tcPr>
          <w:p w:rsidR="0014667F" w:rsidRPr="00073AC8" w:rsidRDefault="0014667F" w:rsidP="009A45D4">
            <w:pPr>
              <w:cnfStyle w:val="000000100000" w:firstRow="0" w:lastRow="0" w:firstColumn="0" w:lastColumn="0" w:oddVBand="0" w:evenVBand="0" w:oddHBand="1" w:evenHBand="0" w:firstRowFirstColumn="0" w:firstRowLastColumn="0" w:lastRowFirstColumn="0" w:lastRowLastColumn="0"/>
              <w:rPr>
                <w:rFonts w:eastAsia="Calibri" w:cs="Times New Roman"/>
                <w:szCs w:val="22"/>
              </w:rPr>
            </w:pPr>
            <w:r w:rsidRPr="00073AC8">
              <w:rPr>
                <w:rFonts w:eastAsia="Calibri" w:cs="Times New Roman"/>
                <w:szCs w:val="22"/>
              </w:rPr>
              <w:t>Cannot be claimed as credit.</w:t>
            </w:r>
          </w:p>
        </w:tc>
      </w:tr>
    </w:tbl>
    <w:p w:rsidR="0014667F" w:rsidRPr="00904B3B" w:rsidRDefault="0014667F" w:rsidP="0014667F">
      <w:pPr>
        <w:autoSpaceDE w:val="0"/>
        <w:autoSpaceDN w:val="0"/>
        <w:adjustRightInd w:val="0"/>
        <w:rPr>
          <w:bCs/>
          <w:color w:val="000000"/>
          <w:sz w:val="20"/>
        </w:rPr>
      </w:pPr>
      <w:r w:rsidRPr="00904B3B">
        <w:rPr>
          <w:bCs/>
          <w:color w:val="000000"/>
          <w:sz w:val="20"/>
        </w:rPr>
        <w:t>Sources: Customs, World Bank calculations</w:t>
      </w:r>
    </w:p>
    <w:p w:rsidR="0014667F" w:rsidRDefault="0014667F" w:rsidP="00CC7427">
      <w:pPr>
        <w:autoSpaceDE w:val="0"/>
        <w:autoSpaceDN w:val="0"/>
        <w:adjustRightInd w:val="0"/>
        <w:spacing w:before="240"/>
        <w:rPr>
          <w:bCs/>
          <w:color w:val="000000"/>
          <w:szCs w:val="22"/>
        </w:rPr>
      </w:pPr>
      <w:r w:rsidRPr="00073AC8">
        <w:rPr>
          <w:b/>
          <w:bCs/>
          <w:color w:val="000000"/>
          <w:szCs w:val="22"/>
        </w:rPr>
        <w:t xml:space="preserve">Overall, customs data suggest transactions conform to the tariff rates in the books. </w:t>
      </w:r>
      <w:r w:rsidRPr="00073AC8">
        <w:rPr>
          <w:bCs/>
          <w:color w:val="000000"/>
          <w:szCs w:val="22"/>
        </w:rPr>
        <w:t xml:space="preserve">In </w:t>
      </w:r>
      <w:r w:rsidR="0047231F">
        <w:rPr>
          <w:bCs/>
          <w:color w:val="000000"/>
          <w:szCs w:val="22"/>
        </w:rPr>
        <w:t xml:space="preserve">fiscal </w:t>
      </w:r>
      <w:r w:rsidRPr="00073AC8">
        <w:rPr>
          <w:bCs/>
          <w:color w:val="000000"/>
          <w:szCs w:val="22"/>
        </w:rPr>
        <w:t xml:space="preserve">2011, imported goods paid on average about 14.8 </w:t>
      </w:r>
      <w:r w:rsidR="0047231F">
        <w:rPr>
          <w:bCs/>
          <w:color w:val="000000"/>
          <w:szCs w:val="22"/>
        </w:rPr>
        <w:t>percent</w:t>
      </w:r>
      <w:r w:rsidRPr="00073AC8">
        <w:rPr>
          <w:bCs/>
          <w:color w:val="000000"/>
          <w:szCs w:val="22"/>
        </w:rPr>
        <w:t xml:space="preserve"> of their value, of which 9.8 percent were custom</w:t>
      </w:r>
      <w:r w:rsidR="0047231F">
        <w:rPr>
          <w:bCs/>
          <w:color w:val="000000"/>
          <w:szCs w:val="22"/>
        </w:rPr>
        <w:t>s</w:t>
      </w:r>
      <w:r w:rsidRPr="00073AC8">
        <w:rPr>
          <w:bCs/>
          <w:color w:val="000000"/>
          <w:szCs w:val="22"/>
        </w:rPr>
        <w:t xml:space="preserve"> duties. The mode of distribution was around 12 </w:t>
      </w:r>
      <w:r w:rsidR="0047231F">
        <w:rPr>
          <w:bCs/>
          <w:color w:val="000000"/>
          <w:szCs w:val="22"/>
        </w:rPr>
        <w:t>percent</w:t>
      </w:r>
      <w:r w:rsidRPr="00073AC8">
        <w:rPr>
          <w:bCs/>
          <w:color w:val="000000"/>
          <w:szCs w:val="22"/>
        </w:rPr>
        <w:t xml:space="preserve">, </w:t>
      </w:r>
      <w:r w:rsidR="0047231F">
        <w:rPr>
          <w:bCs/>
          <w:color w:val="000000"/>
          <w:szCs w:val="22"/>
        </w:rPr>
        <w:t>through a</w:t>
      </w:r>
      <w:r w:rsidRPr="00073AC8">
        <w:rPr>
          <w:bCs/>
          <w:color w:val="000000"/>
          <w:szCs w:val="22"/>
        </w:rPr>
        <w:t xml:space="preserve"> combination of customs duties </w:t>
      </w:r>
      <w:r w:rsidR="0047231F">
        <w:rPr>
          <w:bCs/>
          <w:color w:val="000000"/>
          <w:szCs w:val="22"/>
        </w:rPr>
        <w:t>and</w:t>
      </w:r>
      <w:r w:rsidRPr="00073AC8">
        <w:rPr>
          <w:bCs/>
          <w:color w:val="000000"/>
          <w:szCs w:val="22"/>
        </w:rPr>
        <w:t xml:space="preserve"> other taxes</w:t>
      </w:r>
      <w:r w:rsidR="0047231F">
        <w:rPr>
          <w:bCs/>
          <w:color w:val="000000"/>
          <w:szCs w:val="22"/>
        </w:rPr>
        <w:t>. B</w:t>
      </w:r>
      <w:r w:rsidRPr="00073AC8">
        <w:rPr>
          <w:bCs/>
          <w:color w:val="000000"/>
          <w:szCs w:val="22"/>
        </w:rPr>
        <w:t xml:space="preserve">ut a number of transactions </w:t>
      </w:r>
      <w:r w:rsidR="0047231F">
        <w:rPr>
          <w:bCs/>
          <w:color w:val="000000"/>
          <w:szCs w:val="22"/>
        </w:rPr>
        <w:t>paid</w:t>
      </w:r>
      <w:r w:rsidRPr="00073AC8">
        <w:rPr>
          <w:bCs/>
          <w:color w:val="000000"/>
          <w:szCs w:val="22"/>
        </w:rPr>
        <w:t xml:space="preserve"> above that rate (Figure </w:t>
      </w:r>
      <w:r w:rsidR="00EF7C8B">
        <w:rPr>
          <w:bCs/>
          <w:color w:val="000000"/>
          <w:szCs w:val="22"/>
        </w:rPr>
        <w:t>1.</w:t>
      </w:r>
      <w:r w:rsidR="00CC7427">
        <w:rPr>
          <w:bCs/>
          <w:color w:val="000000"/>
          <w:szCs w:val="22"/>
        </w:rPr>
        <w:t>16</w:t>
      </w:r>
      <w:r w:rsidRPr="00073AC8">
        <w:rPr>
          <w:bCs/>
          <w:color w:val="000000"/>
          <w:szCs w:val="22"/>
        </w:rPr>
        <w:t>)</w:t>
      </w:r>
      <w:r w:rsidR="0047231F">
        <w:rPr>
          <w:bCs/>
          <w:color w:val="000000"/>
          <w:szCs w:val="22"/>
        </w:rPr>
        <w:t>.</w:t>
      </w:r>
      <w:r w:rsidRPr="00073AC8">
        <w:rPr>
          <w:bCs/>
          <w:color w:val="000000"/>
          <w:szCs w:val="22"/>
        </w:rPr>
        <w:t xml:space="preserve">  </w:t>
      </w:r>
      <w:r w:rsidR="00A474E2">
        <w:rPr>
          <w:bCs/>
          <w:color w:val="000000"/>
          <w:szCs w:val="22"/>
        </w:rPr>
        <w:t>C</w:t>
      </w:r>
      <w:r w:rsidRPr="00073AC8">
        <w:rPr>
          <w:bCs/>
          <w:color w:val="000000"/>
          <w:szCs w:val="22"/>
        </w:rPr>
        <w:t>ompari</w:t>
      </w:r>
      <w:r w:rsidR="00A474E2">
        <w:rPr>
          <w:bCs/>
          <w:color w:val="000000"/>
          <w:szCs w:val="22"/>
        </w:rPr>
        <w:t xml:space="preserve">son </w:t>
      </w:r>
      <w:r w:rsidR="00274415">
        <w:rPr>
          <w:bCs/>
          <w:color w:val="000000"/>
          <w:szCs w:val="22"/>
        </w:rPr>
        <w:t>of</w:t>
      </w:r>
      <w:r w:rsidR="00274415" w:rsidRPr="00073AC8">
        <w:rPr>
          <w:bCs/>
          <w:color w:val="000000"/>
          <w:szCs w:val="22"/>
        </w:rPr>
        <w:t xml:space="preserve"> actual</w:t>
      </w:r>
      <w:r w:rsidRPr="00073AC8">
        <w:rPr>
          <w:bCs/>
          <w:color w:val="000000"/>
          <w:szCs w:val="22"/>
        </w:rPr>
        <w:t xml:space="preserve"> applied tariffs </w:t>
      </w:r>
      <w:r w:rsidR="00A474E2">
        <w:rPr>
          <w:bCs/>
          <w:color w:val="000000"/>
          <w:szCs w:val="22"/>
        </w:rPr>
        <w:t>with</w:t>
      </w:r>
      <w:r w:rsidRPr="00073AC8">
        <w:rPr>
          <w:bCs/>
          <w:color w:val="000000"/>
          <w:szCs w:val="22"/>
        </w:rPr>
        <w:t xml:space="preserve"> those in the tariff book </w:t>
      </w:r>
      <w:r w:rsidR="00A474E2">
        <w:rPr>
          <w:bCs/>
          <w:color w:val="000000"/>
          <w:szCs w:val="22"/>
        </w:rPr>
        <w:t>shows a high rate of compliance</w:t>
      </w:r>
      <w:r w:rsidR="00EF7C8B">
        <w:rPr>
          <w:bCs/>
          <w:color w:val="000000"/>
          <w:szCs w:val="22"/>
        </w:rPr>
        <w:t xml:space="preserve"> (Figure 1.</w:t>
      </w:r>
      <w:r w:rsidR="00CC7427">
        <w:rPr>
          <w:bCs/>
          <w:color w:val="000000"/>
          <w:szCs w:val="22"/>
        </w:rPr>
        <w:t>17</w:t>
      </w:r>
      <w:r w:rsidR="00EF7C8B">
        <w:rPr>
          <w:bCs/>
          <w:color w:val="000000"/>
          <w:szCs w:val="22"/>
        </w:rPr>
        <w:t>)</w:t>
      </w:r>
      <w:r w:rsidRPr="00073AC8">
        <w:rPr>
          <w:bCs/>
          <w:color w:val="000000"/>
          <w:szCs w:val="22"/>
        </w:rPr>
        <w:t xml:space="preserve">. As expected, most transactions fall either on </w:t>
      </w:r>
      <w:r w:rsidR="00A474E2">
        <w:rPr>
          <w:bCs/>
          <w:color w:val="000000"/>
          <w:szCs w:val="22"/>
        </w:rPr>
        <w:t xml:space="preserve">or below </w:t>
      </w:r>
      <w:r w:rsidRPr="00073AC8">
        <w:rPr>
          <w:bCs/>
          <w:color w:val="000000"/>
          <w:szCs w:val="22"/>
        </w:rPr>
        <w:t>the red diagonal</w:t>
      </w:r>
      <w:r w:rsidR="00A474E2">
        <w:rPr>
          <w:bCs/>
          <w:color w:val="000000"/>
          <w:szCs w:val="22"/>
        </w:rPr>
        <w:t>, indicating</w:t>
      </w:r>
      <w:r w:rsidRPr="00073AC8">
        <w:rPr>
          <w:bCs/>
          <w:color w:val="000000"/>
          <w:szCs w:val="22"/>
        </w:rPr>
        <w:t xml:space="preserve"> goods </w:t>
      </w:r>
      <w:r w:rsidR="00A474E2">
        <w:rPr>
          <w:bCs/>
          <w:color w:val="000000"/>
          <w:szCs w:val="22"/>
        </w:rPr>
        <w:t xml:space="preserve">that </w:t>
      </w:r>
      <w:r w:rsidRPr="00073AC8">
        <w:rPr>
          <w:bCs/>
          <w:color w:val="000000"/>
          <w:szCs w:val="22"/>
        </w:rPr>
        <w:t>are not tax</w:t>
      </w:r>
      <w:r w:rsidR="00A474E2">
        <w:rPr>
          <w:bCs/>
          <w:color w:val="000000"/>
          <w:szCs w:val="22"/>
        </w:rPr>
        <w:t>-</w:t>
      </w:r>
      <w:r w:rsidRPr="00073AC8">
        <w:rPr>
          <w:bCs/>
          <w:color w:val="000000"/>
          <w:szCs w:val="22"/>
        </w:rPr>
        <w:t xml:space="preserve">exempt. However, some data </w:t>
      </w:r>
      <w:r w:rsidR="00EF7C8B">
        <w:rPr>
          <w:bCs/>
          <w:color w:val="000000"/>
          <w:szCs w:val="22"/>
        </w:rPr>
        <w:t>appear</w:t>
      </w:r>
      <w:r w:rsidRPr="00073AC8">
        <w:rPr>
          <w:bCs/>
          <w:color w:val="000000"/>
          <w:szCs w:val="22"/>
        </w:rPr>
        <w:t xml:space="preserve"> above the red diagonal</w:t>
      </w:r>
      <w:r w:rsidR="00EF7C8B">
        <w:rPr>
          <w:bCs/>
          <w:color w:val="000000"/>
          <w:szCs w:val="22"/>
        </w:rPr>
        <w:t>,</w:t>
      </w:r>
      <w:r w:rsidRPr="00073AC8">
        <w:rPr>
          <w:bCs/>
          <w:color w:val="000000"/>
          <w:szCs w:val="22"/>
        </w:rPr>
        <w:t xml:space="preserve"> </w:t>
      </w:r>
      <w:r w:rsidR="00A474E2">
        <w:rPr>
          <w:bCs/>
          <w:color w:val="000000"/>
          <w:szCs w:val="22"/>
        </w:rPr>
        <w:t>indicating</w:t>
      </w:r>
      <w:r w:rsidR="00EF7C8B">
        <w:rPr>
          <w:bCs/>
          <w:color w:val="000000"/>
          <w:szCs w:val="22"/>
        </w:rPr>
        <w:t xml:space="preserve"> </w:t>
      </w:r>
      <w:r w:rsidR="00A474E2">
        <w:rPr>
          <w:bCs/>
          <w:color w:val="000000"/>
          <w:szCs w:val="22"/>
        </w:rPr>
        <w:t>that at least some</w:t>
      </w:r>
      <w:r w:rsidRPr="00073AC8">
        <w:rPr>
          <w:bCs/>
          <w:color w:val="000000"/>
          <w:szCs w:val="22"/>
        </w:rPr>
        <w:t xml:space="preserve"> goods were </w:t>
      </w:r>
      <w:r w:rsidR="00EF7C8B">
        <w:rPr>
          <w:bCs/>
          <w:color w:val="000000"/>
          <w:szCs w:val="22"/>
        </w:rPr>
        <w:t>taxed</w:t>
      </w:r>
      <w:r w:rsidRPr="00073AC8">
        <w:rPr>
          <w:bCs/>
          <w:color w:val="000000"/>
          <w:szCs w:val="22"/>
        </w:rPr>
        <w:t xml:space="preserve"> above their </w:t>
      </w:r>
      <w:r w:rsidR="00EF7C8B">
        <w:rPr>
          <w:bCs/>
          <w:color w:val="000000"/>
          <w:szCs w:val="22"/>
        </w:rPr>
        <w:t xml:space="preserve">stated </w:t>
      </w:r>
      <w:r w:rsidRPr="00073AC8">
        <w:rPr>
          <w:bCs/>
          <w:color w:val="000000"/>
          <w:szCs w:val="22"/>
        </w:rPr>
        <w:t>import values. Further research would be required to better understand the</w:t>
      </w:r>
      <w:r w:rsidR="00A474E2">
        <w:rPr>
          <w:bCs/>
          <w:color w:val="000000"/>
          <w:szCs w:val="22"/>
        </w:rPr>
        <w:t xml:space="preserve"> reasons for this anomaly</w:t>
      </w:r>
      <w:r w:rsidRPr="00073AC8">
        <w:rPr>
          <w:bCs/>
          <w:color w:val="000000"/>
          <w:szCs w:val="22"/>
        </w:rPr>
        <w:t xml:space="preserve">, </w:t>
      </w:r>
      <w:r w:rsidR="00A474E2">
        <w:rPr>
          <w:bCs/>
          <w:color w:val="000000"/>
          <w:szCs w:val="22"/>
        </w:rPr>
        <w:t xml:space="preserve">as </w:t>
      </w:r>
      <w:r w:rsidR="00A14436">
        <w:rPr>
          <w:bCs/>
          <w:color w:val="000000"/>
          <w:szCs w:val="22"/>
        </w:rPr>
        <w:t xml:space="preserve">it could be caused by </w:t>
      </w:r>
      <w:r w:rsidR="00A474E2">
        <w:rPr>
          <w:bCs/>
          <w:color w:val="000000"/>
          <w:szCs w:val="22"/>
        </w:rPr>
        <w:t>several</w:t>
      </w:r>
      <w:r w:rsidRPr="00073AC8">
        <w:rPr>
          <w:bCs/>
          <w:color w:val="000000"/>
          <w:szCs w:val="22"/>
        </w:rPr>
        <w:t xml:space="preserve"> factors</w:t>
      </w:r>
      <w:r w:rsidR="00A14436">
        <w:rPr>
          <w:bCs/>
          <w:color w:val="000000"/>
          <w:szCs w:val="22"/>
        </w:rPr>
        <w:t>: possibly flawed customs data, or regulatory non-compliance,</w:t>
      </w:r>
      <w:r w:rsidRPr="00073AC8">
        <w:rPr>
          <w:bCs/>
          <w:color w:val="000000"/>
          <w:szCs w:val="22"/>
        </w:rPr>
        <w:t xml:space="preserve"> or a more serious issue</w:t>
      </w:r>
      <w:r w:rsidR="00A14436">
        <w:rPr>
          <w:bCs/>
          <w:color w:val="000000"/>
          <w:szCs w:val="22"/>
        </w:rPr>
        <w:t>, such as</w:t>
      </w:r>
      <w:r w:rsidRPr="00073AC8">
        <w:rPr>
          <w:bCs/>
          <w:color w:val="000000"/>
          <w:szCs w:val="22"/>
        </w:rPr>
        <w:t xml:space="preserve"> goods </w:t>
      </w:r>
      <w:r w:rsidR="00A14436">
        <w:rPr>
          <w:bCs/>
          <w:color w:val="000000"/>
          <w:szCs w:val="22"/>
        </w:rPr>
        <w:t>being</w:t>
      </w:r>
      <w:r w:rsidRPr="00073AC8">
        <w:rPr>
          <w:bCs/>
          <w:color w:val="000000"/>
          <w:szCs w:val="22"/>
        </w:rPr>
        <w:t xml:space="preserve"> undervalued in declaration forms</w:t>
      </w:r>
      <w:r w:rsidR="00A14436">
        <w:rPr>
          <w:bCs/>
          <w:color w:val="000000"/>
          <w:szCs w:val="22"/>
        </w:rPr>
        <w:t xml:space="preserve"> yet </w:t>
      </w:r>
      <w:r w:rsidRPr="00073AC8">
        <w:rPr>
          <w:bCs/>
          <w:color w:val="000000"/>
          <w:szCs w:val="22"/>
        </w:rPr>
        <w:t xml:space="preserve">somehow </w:t>
      </w:r>
      <w:r w:rsidR="00EF7C8B">
        <w:rPr>
          <w:bCs/>
          <w:color w:val="000000"/>
          <w:szCs w:val="22"/>
        </w:rPr>
        <w:t>attracting</w:t>
      </w:r>
      <w:r w:rsidRPr="00073AC8">
        <w:rPr>
          <w:bCs/>
          <w:color w:val="000000"/>
          <w:szCs w:val="22"/>
        </w:rPr>
        <w:t xml:space="preserve"> higher duties.    </w:t>
      </w:r>
    </w:p>
    <w:p w:rsidR="00992FE6" w:rsidRDefault="00992FE6" w:rsidP="00926F4A">
      <w:pPr>
        <w:autoSpaceDE w:val="0"/>
        <w:autoSpaceDN w:val="0"/>
        <w:adjustRightInd w:val="0"/>
        <w:spacing w:before="240"/>
        <w:rPr>
          <w:bCs/>
          <w:color w:val="000000"/>
          <w:szCs w:val="22"/>
        </w:rPr>
      </w:pPr>
    </w:p>
    <w:p w:rsidR="00992FE6" w:rsidRDefault="00992FE6" w:rsidP="00926F4A">
      <w:pPr>
        <w:autoSpaceDE w:val="0"/>
        <w:autoSpaceDN w:val="0"/>
        <w:adjustRightInd w:val="0"/>
        <w:spacing w:before="240"/>
        <w:rPr>
          <w:bCs/>
          <w:color w:val="000000"/>
          <w:szCs w:val="22"/>
        </w:rPr>
      </w:pPr>
    </w:p>
    <w:p w:rsidR="00992FE6" w:rsidRDefault="00992FE6" w:rsidP="00926F4A">
      <w:pPr>
        <w:autoSpaceDE w:val="0"/>
        <w:autoSpaceDN w:val="0"/>
        <w:adjustRightInd w:val="0"/>
        <w:spacing w:before="240"/>
        <w:rPr>
          <w:bCs/>
          <w:color w:val="000000"/>
          <w:szCs w:val="22"/>
        </w:rPr>
      </w:pPr>
    </w:p>
    <w:p w:rsidR="00992FE6" w:rsidRDefault="00992FE6" w:rsidP="00926F4A">
      <w:pPr>
        <w:autoSpaceDE w:val="0"/>
        <w:autoSpaceDN w:val="0"/>
        <w:adjustRightInd w:val="0"/>
        <w:spacing w:before="240"/>
        <w:rPr>
          <w:bCs/>
          <w:color w:val="000000"/>
          <w:szCs w:val="22"/>
        </w:rPr>
      </w:pPr>
    </w:p>
    <w:p w:rsidR="00992FE6" w:rsidRDefault="00992FE6" w:rsidP="00926F4A">
      <w:pPr>
        <w:autoSpaceDE w:val="0"/>
        <w:autoSpaceDN w:val="0"/>
        <w:adjustRightInd w:val="0"/>
        <w:spacing w:before="240"/>
        <w:rPr>
          <w:bCs/>
          <w:color w:val="00000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4667F" w:rsidRPr="00073AC8" w:rsidTr="009B47B2">
        <w:tc>
          <w:tcPr>
            <w:tcW w:w="4788" w:type="dxa"/>
          </w:tcPr>
          <w:p w:rsidR="0014667F" w:rsidRPr="00EF7C8B" w:rsidRDefault="0014667F" w:rsidP="00CC7427">
            <w:pPr>
              <w:autoSpaceDE w:val="0"/>
              <w:autoSpaceDN w:val="0"/>
              <w:adjustRightInd w:val="0"/>
              <w:spacing w:before="240" w:line="276" w:lineRule="auto"/>
              <w:rPr>
                <w:b/>
                <w:bCs/>
                <w:color w:val="410082" w:themeColor="text1"/>
                <w:szCs w:val="22"/>
              </w:rPr>
            </w:pPr>
            <w:r w:rsidRPr="00EF7C8B">
              <w:rPr>
                <w:b/>
                <w:bCs/>
                <w:color w:val="410082" w:themeColor="text1"/>
                <w:szCs w:val="22"/>
              </w:rPr>
              <w:lastRenderedPageBreak/>
              <w:t xml:space="preserve">Figure </w:t>
            </w:r>
            <w:r w:rsidR="00EF7C8B" w:rsidRPr="00EF7C8B">
              <w:rPr>
                <w:b/>
                <w:bCs/>
                <w:color w:val="410082" w:themeColor="text1"/>
                <w:szCs w:val="22"/>
              </w:rPr>
              <w:t>1.</w:t>
            </w:r>
            <w:r w:rsidR="00CC7427">
              <w:rPr>
                <w:b/>
                <w:bCs/>
                <w:color w:val="410082" w:themeColor="text1"/>
                <w:szCs w:val="22"/>
              </w:rPr>
              <w:t>16</w:t>
            </w:r>
            <w:r w:rsidRPr="00EF7C8B">
              <w:rPr>
                <w:b/>
                <w:bCs/>
                <w:color w:val="410082" w:themeColor="text1"/>
                <w:szCs w:val="22"/>
              </w:rPr>
              <w:t xml:space="preserve">: Distribution of </w:t>
            </w:r>
            <w:r w:rsidR="00EF7C8B">
              <w:rPr>
                <w:b/>
                <w:bCs/>
                <w:color w:val="410082" w:themeColor="text1"/>
                <w:szCs w:val="22"/>
              </w:rPr>
              <w:t>C</w:t>
            </w:r>
            <w:r w:rsidRPr="00EF7C8B">
              <w:rPr>
                <w:b/>
                <w:bCs/>
                <w:color w:val="410082" w:themeColor="text1"/>
                <w:szCs w:val="22"/>
              </w:rPr>
              <w:t xml:space="preserve">ollected </w:t>
            </w:r>
            <w:r w:rsidR="00EF7C8B">
              <w:rPr>
                <w:b/>
                <w:bCs/>
                <w:color w:val="410082" w:themeColor="text1"/>
                <w:szCs w:val="22"/>
              </w:rPr>
              <w:t>R</w:t>
            </w:r>
            <w:r w:rsidRPr="00EF7C8B">
              <w:rPr>
                <w:b/>
                <w:bCs/>
                <w:color w:val="410082" w:themeColor="text1"/>
                <w:szCs w:val="22"/>
              </w:rPr>
              <w:t xml:space="preserve">evenue (Duties </w:t>
            </w:r>
            <w:r w:rsidR="00EF7C8B">
              <w:rPr>
                <w:b/>
                <w:bCs/>
                <w:color w:val="410082" w:themeColor="text1"/>
                <w:szCs w:val="22"/>
              </w:rPr>
              <w:t>&amp;</w:t>
            </w:r>
            <w:r w:rsidR="00EF7C8B" w:rsidRPr="00EF7C8B">
              <w:rPr>
                <w:b/>
                <w:bCs/>
                <w:color w:val="410082" w:themeColor="text1"/>
                <w:szCs w:val="22"/>
              </w:rPr>
              <w:t xml:space="preserve"> </w:t>
            </w:r>
            <w:r w:rsidRPr="00EF7C8B">
              <w:rPr>
                <w:b/>
                <w:bCs/>
                <w:color w:val="410082" w:themeColor="text1"/>
                <w:szCs w:val="22"/>
              </w:rPr>
              <w:t>Taxes)</w:t>
            </w:r>
          </w:p>
        </w:tc>
        <w:tc>
          <w:tcPr>
            <w:tcW w:w="4788" w:type="dxa"/>
          </w:tcPr>
          <w:p w:rsidR="0014667F" w:rsidRPr="00EF7C8B" w:rsidRDefault="0014667F" w:rsidP="00CC7427">
            <w:pPr>
              <w:autoSpaceDE w:val="0"/>
              <w:autoSpaceDN w:val="0"/>
              <w:adjustRightInd w:val="0"/>
              <w:spacing w:before="240" w:line="276" w:lineRule="auto"/>
              <w:rPr>
                <w:b/>
                <w:bCs/>
                <w:color w:val="410082" w:themeColor="text1"/>
                <w:szCs w:val="22"/>
              </w:rPr>
            </w:pPr>
            <w:r w:rsidRPr="00EF7C8B">
              <w:rPr>
                <w:b/>
                <w:bCs/>
                <w:color w:val="410082" w:themeColor="text1"/>
                <w:szCs w:val="22"/>
              </w:rPr>
              <w:t xml:space="preserve">Figure </w:t>
            </w:r>
            <w:r w:rsidR="00EF7C8B" w:rsidRPr="00EF7C8B">
              <w:rPr>
                <w:b/>
                <w:bCs/>
                <w:color w:val="410082" w:themeColor="text1"/>
                <w:szCs w:val="22"/>
              </w:rPr>
              <w:t>1.</w:t>
            </w:r>
            <w:r w:rsidR="00CC7427">
              <w:rPr>
                <w:b/>
                <w:bCs/>
                <w:color w:val="410082" w:themeColor="text1"/>
                <w:szCs w:val="22"/>
              </w:rPr>
              <w:t>17</w:t>
            </w:r>
            <w:r w:rsidR="00EF7C8B" w:rsidRPr="00EF7C8B">
              <w:rPr>
                <w:b/>
                <w:bCs/>
                <w:color w:val="410082" w:themeColor="text1"/>
                <w:szCs w:val="22"/>
              </w:rPr>
              <w:t xml:space="preserve">: </w:t>
            </w:r>
            <w:r w:rsidRPr="00EF7C8B">
              <w:rPr>
                <w:b/>
                <w:bCs/>
                <w:color w:val="410082" w:themeColor="text1"/>
                <w:szCs w:val="22"/>
              </w:rPr>
              <w:t xml:space="preserve">Ratio of Duty </w:t>
            </w:r>
            <w:r w:rsidR="00EF7C8B">
              <w:rPr>
                <w:b/>
                <w:bCs/>
                <w:color w:val="410082" w:themeColor="text1"/>
                <w:szCs w:val="22"/>
              </w:rPr>
              <w:t>C</w:t>
            </w:r>
            <w:r w:rsidRPr="00EF7C8B">
              <w:rPr>
                <w:b/>
                <w:bCs/>
                <w:color w:val="410082" w:themeColor="text1"/>
                <w:szCs w:val="22"/>
              </w:rPr>
              <w:t>ollected</w:t>
            </w:r>
          </w:p>
        </w:tc>
      </w:tr>
      <w:tr w:rsidR="0014667F" w:rsidRPr="00073AC8" w:rsidTr="009B47B2">
        <w:tc>
          <w:tcPr>
            <w:tcW w:w="4788" w:type="dxa"/>
          </w:tcPr>
          <w:p w:rsidR="0014667F" w:rsidRPr="00073AC8" w:rsidRDefault="0014667F" w:rsidP="00926F4A">
            <w:pPr>
              <w:autoSpaceDE w:val="0"/>
              <w:autoSpaceDN w:val="0"/>
              <w:adjustRightInd w:val="0"/>
              <w:spacing w:before="240"/>
              <w:rPr>
                <w:bCs/>
                <w:color w:val="000000"/>
                <w:szCs w:val="22"/>
              </w:rPr>
            </w:pPr>
            <w:r w:rsidRPr="00073AC8">
              <w:rPr>
                <w:bCs/>
                <w:noProof/>
                <w:color w:val="000000"/>
                <w:szCs w:val="22"/>
                <w:lang w:bidi="ar-SA"/>
              </w:rPr>
              <w:drawing>
                <wp:inline distT="0" distB="0" distL="0" distR="0" wp14:anchorId="0548156C" wp14:editId="396A8AC1">
                  <wp:extent cx="2500045" cy="1828800"/>
                  <wp:effectExtent l="19050" t="0" r="0" b="0"/>
                  <wp:docPr id="2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2500045" cy="1828800"/>
                          </a:xfrm>
                          <a:prstGeom prst="rect">
                            <a:avLst/>
                          </a:prstGeom>
                          <a:noFill/>
                          <a:ln w="9525">
                            <a:noFill/>
                            <a:miter lim="800000"/>
                            <a:headEnd/>
                            <a:tailEnd/>
                          </a:ln>
                        </pic:spPr>
                      </pic:pic>
                    </a:graphicData>
                  </a:graphic>
                </wp:inline>
              </w:drawing>
            </w:r>
          </w:p>
        </w:tc>
        <w:tc>
          <w:tcPr>
            <w:tcW w:w="4788" w:type="dxa"/>
          </w:tcPr>
          <w:p w:rsidR="0014667F" w:rsidRPr="00073AC8" w:rsidRDefault="0014667F" w:rsidP="009A45D4">
            <w:pPr>
              <w:autoSpaceDE w:val="0"/>
              <w:autoSpaceDN w:val="0"/>
              <w:adjustRightInd w:val="0"/>
              <w:rPr>
                <w:bCs/>
                <w:color w:val="000000"/>
                <w:szCs w:val="22"/>
              </w:rPr>
            </w:pPr>
            <w:r w:rsidRPr="00073AC8">
              <w:rPr>
                <w:bCs/>
                <w:noProof/>
                <w:color w:val="000000"/>
                <w:szCs w:val="22"/>
                <w:lang w:bidi="ar-SA"/>
              </w:rPr>
              <w:drawing>
                <wp:inline distT="0" distB="0" distL="0" distR="0" wp14:anchorId="4759E2A2" wp14:editId="5E58367E">
                  <wp:extent cx="2495601" cy="1828800"/>
                  <wp:effectExtent l="19050" t="0" r="0" b="0"/>
                  <wp:docPr id="2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2495601" cy="1828800"/>
                          </a:xfrm>
                          <a:prstGeom prst="rect">
                            <a:avLst/>
                          </a:prstGeom>
                          <a:noFill/>
                          <a:ln w="9525">
                            <a:noFill/>
                            <a:miter lim="800000"/>
                            <a:headEnd/>
                            <a:tailEnd/>
                          </a:ln>
                        </pic:spPr>
                      </pic:pic>
                    </a:graphicData>
                  </a:graphic>
                </wp:inline>
              </w:drawing>
            </w:r>
          </w:p>
        </w:tc>
      </w:tr>
    </w:tbl>
    <w:p w:rsidR="0014667F" w:rsidRDefault="0014667F" w:rsidP="0014667F">
      <w:pPr>
        <w:rPr>
          <w:sz w:val="20"/>
        </w:rPr>
      </w:pPr>
      <w:r w:rsidRPr="00904B3B">
        <w:rPr>
          <w:sz w:val="20"/>
        </w:rPr>
        <w:t>Source: Customs, WB Staff calculations</w:t>
      </w:r>
    </w:p>
    <w:p w:rsidR="00FB78E6" w:rsidRPr="006008F4" w:rsidRDefault="00FB78E6" w:rsidP="00FB78E6">
      <w:r>
        <w:rPr>
          <w:b/>
        </w:rPr>
        <w:t xml:space="preserve">Developing government </w:t>
      </w:r>
      <w:r w:rsidRPr="009C38D3">
        <w:rPr>
          <w:b/>
        </w:rPr>
        <w:t xml:space="preserve">capacity </w:t>
      </w:r>
      <w:r>
        <w:rPr>
          <w:b/>
        </w:rPr>
        <w:t>for trade policy evaluation</w:t>
      </w:r>
      <w:r w:rsidRPr="009C38D3">
        <w:rPr>
          <w:b/>
        </w:rPr>
        <w:t xml:space="preserve"> </w:t>
      </w:r>
      <w:r>
        <w:rPr>
          <w:b/>
        </w:rPr>
        <w:t xml:space="preserve">is key to take informed policy decisions.  </w:t>
      </w:r>
      <w:r w:rsidRPr="00FB78E6">
        <w:t>While Afghanistan’s trade policy overall is conducive to trade development, in order</w:t>
      </w:r>
      <w:r>
        <w:t xml:space="preserve"> to take informed policy decisions going forward, s</w:t>
      </w:r>
      <w:r w:rsidRPr="006008F4">
        <w:t>trengthen</w:t>
      </w:r>
      <w:r>
        <w:t xml:space="preserve">ing the capacity of MOCI to evaluate the impact of different trade policy alternatives is important.  This could include building capacity: </w:t>
      </w:r>
      <w:r w:rsidRPr="006008F4">
        <w:t>to analyze indicators and monitor results of policies and investments</w:t>
      </w:r>
      <w:r>
        <w:t>, on</w:t>
      </w:r>
      <w:r w:rsidRPr="006008F4">
        <w:t xml:space="preserve"> </w:t>
      </w:r>
      <w:r>
        <w:t xml:space="preserve">trade negotiation, impact evaluation techniques, and economic modeling of trade policy impact.  </w:t>
      </w:r>
      <w:r w:rsidRPr="00FB78E6">
        <w:t>However, it would require developing</w:t>
      </w:r>
      <w:r>
        <w:t xml:space="preserve"> and maintaining</w:t>
      </w:r>
      <w:r w:rsidRPr="00FB78E6">
        <w:t xml:space="preserve"> a database with trade data to inform such policy analysis.  The</w:t>
      </w:r>
      <w:r>
        <w:t xml:space="preserve"> database should compile trade information from different agencies </w:t>
      </w:r>
      <w:r w:rsidRPr="006008F4">
        <w:t>including data from the CSO, ARD, and existing donor-funded trade-related surveys)</w:t>
      </w:r>
      <w:r>
        <w:t>.  With such tool</w:t>
      </w:r>
      <w:r w:rsidR="00E84BF4">
        <w:t>,</w:t>
      </w:r>
      <w:r>
        <w:t xml:space="preserve"> the technical units within MOCI would be able to p</w:t>
      </w:r>
      <w:r w:rsidRPr="006008F4">
        <w:t>repare</w:t>
      </w:r>
      <w:r w:rsidR="00E84BF4">
        <w:t xml:space="preserve"> </w:t>
      </w:r>
      <w:r w:rsidR="00274415">
        <w:t>periodically</w:t>
      </w:r>
      <w:r w:rsidRPr="006008F4">
        <w:t xml:space="preserve"> </w:t>
      </w:r>
      <w:r>
        <w:t xml:space="preserve">bulletins analyzing </w:t>
      </w:r>
      <w:r w:rsidRPr="006008F4">
        <w:t xml:space="preserve">trade data trends for management. </w:t>
      </w:r>
      <w:r>
        <w:t xml:space="preserve">  Thus, b</w:t>
      </w:r>
      <w:r w:rsidRPr="006008F4">
        <w:t>uild</w:t>
      </w:r>
      <w:r>
        <w:t>ing</w:t>
      </w:r>
      <w:r w:rsidRPr="006008F4">
        <w:t xml:space="preserve"> capacity at the MOCI </w:t>
      </w:r>
      <w:r>
        <w:t>to maintain</w:t>
      </w:r>
      <w:r w:rsidRPr="006008F4">
        <w:t xml:space="preserve"> the database</w:t>
      </w:r>
      <w:r>
        <w:t xml:space="preserve"> is key</w:t>
      </w:r>
      <w:r w:rsidRPr="006008F4">
        <w:t xml:space="preserve">.  </w:t>
      </w:r>
    </w:p>
    <w:p w:rsidR="0014667F" w:rsidRPr="00073AC8" w:rsidRDefault="00EF7C8B" w:rsidP="00992FE6">
      <w:pPr>
        <w:pStyle w:val="Heading2"/>
      </w:pPr>
      <w:bookmarkStart w:id="214" w:name="_Toc327208441"/>
      <w:bookmarkStart w:id="215" w:name="_Toc348451681"/>
      <w:r>
        <w:t>I</w:t>
      </w:r>
      <w:r w:rsidR="0014667F" w:rsidRPr="00073AC8">
        <w:t xml:space="preserve">mpact of Afghanistan’s </w:t>
      </w:r>
      <w:r>
        <w:t>T</w:t>
      </w:r>
      <w:r w:rsidR="0014667F" w:rsidRPr="00073AC8">
        <w:t xml:space="preserve">ariff </w:t>
      </w:r>
      <w:r>
        <w:t>S</w:t>
      </w:r>
      <w:r w:rsidR="0014667F" w:rsidRPr="00073AC8">
        <w:t xml:space="preserve">tructure on </w:t>
      </w:r>
      <w:r>
        <w:t>P</w:t>
      </w:r>
      <w:r w:rsidR="0014667F" w:rsidRPr="00073AC8">
        <w:t>overty</w:t>
      </w:r>
      <w:bookmarkEnd w:id="214"/>
      <w:bookmarkEnd w:id="215"/>
    </w:p>
    <w:p w:rsidR="0014667F" w:rsidRDefault="0014667F" w:rsidP="00660FEC">
      <w:pPr>
        <w:spacing w:after="0"/>
        <w:rPr>
          <w:szCs w:val="22"/>
        </w:rPr>
      </w:pPr>
      <w:r w:rsidRPr="00073AC8">
        <w:rPr>
          <w:b/>
          <w:szCs w:val="22"/>
        </w:rPr>
        <w:t>Afghanistan’s tariff structure is slightly progressive</w:t>
      </w:r>
      <w:r w:rsidRPr="00073AC8">
        <w:rPr>
          <w:szCs w:val="22"/>
        </w:rPr>
        <w:t xml:space="preserve">.  </w:t>
      </w:r>
      <w:r w:rsidR="00EF7C8B">
        <w:rPr>
          <w:szCs w:val="22"/>
        </w:rPr>
        <w:t>H</w:t>
      </w:r>
      <w:r w:rsidRPr="00073AC8">
        <w:rPr>
          <w:szCs w:val="22"/>
        </w:rPr>
        <w:t xml:space="preserve">ousehold consumption data for a basket of basic goods from the </w:t>
      </w:r>
      <w:r w:rsidR="00A250D5">
        <w:rPr>
          <w:szCs w:val="22"/>
        </w:rPr>
        <w:t xml:space="preserve">2008 </w:t>
      </w:r>
      <w:r w:rsidRPr="00073AC8">
        <w:rPr>
          <w:szCs w:val="22"/>
        </w:rPr>
        <w:t xml:space="preserve">National Risk Vulnerability Assessment (NRVA) suggest that tariffs are biased in favor of lower-income households.  For a country with great food insecurity and a net importer of food, this is a promising finding.  The average tariff paid by the poorest households (Figure </w:t>
      </w:r>
      <w:r w:rsidR="0023154C">
        <w:rPr>
          <w:szCs w:val="22"/>
        </w:rPr>
        <w:t>1.</w:t>
      </w:r>
      <w:r w:rsidR="00660FEC">
        <w:rPr>
          <w:szCs w:val="22"/>
        </w:rPr>
        <w:t>18</w:t>
      </w:r>
      <w:r w:rsidRPr="00073AC8">
        <w:rPr>
          <w:szCs w:val="22"/>
        </w:rPr>
        <w:t>) was below 6 per cent, whereas wealthier households paid a much larger share.</w:t>
      </w:r>
      <w:r w:rsidRPr="00073AC8">
        <w:rPr>
          <w:rStyle w:val="FootnoteReference"/>
          <w:szCs w:val="22"/>
        </w:rPr>
        <w:footnoteReference w:id="29"/>
      </w:r>
      <w:r w:rsidRPr="00073AC8">
        <w:rPr>
          <w:szCs w:val="22"/>
        </w:rPr>
        <w:t xml:space="preserve">  To some extent it </w:t>
      </w:r>
      <w:r w:rsidR="0023154C">
        <w:rPr>
          <w:szCs w:val="22"/>
        </w:rPr>
        <w:t xml:space="preserve">is </w:t>
      </w:r>
      <w:r w:rsidRPr="00073AC8">
        <w:rPr>
          <w:szCs w:val="22"/>
        </w:rPr>
        <w:t>reflect</w:t>
      </w:r>
      <w:r w:rsidR="0023154C">
        <w:rPr>
          <w:szCs w:val="22"/>
        </w:rPr>
        <w:t>ed by</w:t>
      </w:r>
      <w:r w:rsidRPr="00073AC8">
        <w:rPr>
          <w:szCs w:val="22"/>
        </w:rPr>
        <w:t xml:space="preserve"> lower taxation on food imports compar</w:t>
      </w:r>
      <w:r w:rsidR="0023154C">
        <w:rPr>
          <w:szCs w:val="22"/>
        </w:rPr>
        <w:t>ed</w:t>
      </w:r>
      <w:r w:rsidRPr="00073AC8">
        <w:rPr>
          <w:szCs w:val="22"/>
        </w:rPr>
        <w:t xml:space="preserve"> to taxes on other imported goods</w:t>
      </w:r>
      <w:r w:rsidR="0023154C">
        <w:rPr>
          <w:szCs w:val="22"/>
        </w:rPr>
        <w:t>,</w:t>
      </w:r>
      <w:r w:rsidRPr="00073AC8">
        <w:rPr>
          <w:szCs w:val="22"/>
        </w:rPr>
        <w:t xml:space="preserve"> consumed by richer segments of the population and services.  </w:t>
      </w:r>
      <w:r w:rsidR="0023154C">
        <w:rPr>
          <w:szCs w:val="22"/>
        </w:rPr>
        <w:t>Notably</w:t>
      </w:r>
      <w:r w:rsidRPr="00073AC8">
        <w:rPr>
          <w:szCs w:val="22"/>
        </w:rPr>
        <w:t>, richer households in Afghanistan consume a larger share of services, thus, when including services within the basket of goods, the impact turns from progressive to regressive.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4667F" w:rsidRPr="00073AC8" w:rsidTr="006008F4">
        <w:tc>
          <w:tcPr>
            <w:tcW w:w="4788" w:type="dxa"/>
          </w:tcPr>
          <w:p w:rsidR="0014667F" w:rsidRPr="0023154C" w:rsidRDefault="0014667F" w:rsidP="00B10B98">
            <w:pPr>
              <w:rPr>
                <w:b/>
                <w:color w:val="410082" w:themeColor="text1"/>
                <w:szCs w:val="22"/>
              </w:rPr>
            </w:pPr>
            <w:r w:rsidRPr="0023154C">
              <w:rPr>
                <w:b/>
                <w:color w:val="410082" w:themeColor="text1"/>
                <w:szCs w:val="22"/>
              </w:rPr>
              <w:lastRenderedPageBreak/>
              <w:t xml:space="preserve">Figure </w:t>
            </w:r>
            <w:r w:rsidR="00EF7C8B" w:rsidRPr="0023154C">
              <w:rPr>
                <w:b/>
                <w:color w:val="410082" w:themeColor="text1"/>
                <w:szCs w:val="22"/>
              </w:rPr>
              <w:t>1.</w:t>
            </w:r>
            <w:r w:rsidR="00B10B98">
              <w:rPr>
                <w:b/>
                <w:color w:val="410082" w:themeColor="text1"/>
                <w:szCs w:val="22"/>
              </w:rPr>
              <w:t>18</w:t>
            </w:r>
            <w:r w:rsidR="00EF7C8B" w:rsidRPr="0023154C">
              <w:rPr>
                <w:b/>
                <w:color w:val="410082" w:themeColor="text1"/>
                <w:szCs w:val="22"/>
              </w:rPr>
              <w:t>:</w:t>
            </w:r>
            <w:r w:rsidRPr="0023154C">
              <w:rPr>
                <w:b/>
                <w:color w:val="410082" w:themeColor="text1"/>
                <w:szCs w:val="22"/>
              </w:rPr>
              <w:t xml:space="preserve"> Tariff structure progressive…</w:t>
            </w:r>
          </w:p>
        </w:tc>
        <w:tc>
          <w:tcPr>
            <w:tcW w:w="4788" w:type="dxa"/>
          </w:tcPr>
          <w:p w:rsidR="0014667F" w:rsidRPr="0023154C" w:rsidRDefault="0023154C" w:rsidP="00EF7C8B">
            <w:pPr>
              <w:rPr>
                <w:b/>
                <w:color w:val="410082" w:themeColor="text1"/>
                <w:szCs w:val="22"/>
              </w:rPr>
            </w:pPr>
            <w:r w:rsidRPr="0023154C">
              <w:rPr>
                <w:b/>
                <w:color w:val="410082" w:themeColor="text1"/>
                <w:szCs w:val="22"/>
              </w:rPr>
              <w:t xml:space="preserve">           </w:t>
            </w:r>
            <w:r w:rsidR="0014667F" w:rsidRPr="0023154C">
              <w:rPr>
                <w:b/>
                <w:color w:val="410082" w:themeColor="text1"/>
                <w:szCs w:val="22"/>
              </w:rPr>
              <w:t>…or slightly regressive</w:t>
            </w:r>
          </w:p>
        </w:tc>
      </w:tr>
      <w:tr w:rsidR="0014667F" w:rsidRPr="00073AC8" w:rsidTr="006008F4">
        <w:tc>
          <w:tcPr>
            <w:tcW w:w="4788" w:type="dxa"/>
          </w:tcPr>
          <w:p w:rsidR="0014667F" w:rsidRPr="00073AC8" w:rsidRDefault="0014667F" w:rsidP="009A45D4">
            <w:pPr>
              <w:rPr>
                <w:szCs w:val="22"/>
              </w:rPr>
            </w:pPr>
            <w:r w:rsidRPr="00073AC8">
              <w:rPr>
                <w:noProof/>
                <w:szCs w:val="22"/>
                <w:lang w:bidi="ar-SA"/>
              </w:rPr>
              <w:drawing>
                <wp:inline distT="0" distB="0" distL="0" distR="0" wp14:anchorId="792F7136" wp14:editId="2C1724F9">
                  <wp:extent cx="2502040" cy="1828800"/>
                  <wp:effectExtent l="19050" t="0" r="0" b="0"/>
                  <wp:docPr id="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2502040" cy="1828800"/>
                          </a:xfrm>
                          <a:prstGeom prst="rect">
                            <a:avLst/>
                          </a:prstGeom>
                          <a:noFill/>
                          <a:ln w="9525">
                            <a:noFill/>
                            <a:miter lim="800000"/>
                            <a:headEnd/>
                            <a:tailEnd/>
                          </a:ln>
                        </pic:spPr>
                      </pic:pic>
                    </a:graphicData>
                  </a:graphic>
                </wp:inline>
              </w:drawing>
            </w:r>
          </w:p>
        </w:tc>
        <w:tc>
          <w:tcPr>
            <w:tcW w:w="4788" w:type="dxa"/>
          </w:tcPr>
          <w:p w:rsidR="0014667F" w:rsidRPr="00073AC8" w:rsidRDefault="0014667F" w:rsidP="009A45D4">
            <w:pPr>
              <w:rPr>
                <w:szCs w:val="22"/>
              </w:rPr>
            </w:pPr>
            <w:r w:rsidRPr="00073AC8">
              <w:rPr>
                <w:noProof/>
                <w:szCs w:val="22"/>
                <w:lang w:bidi="ar-SA"/>
              </w:rPr>
              <w:drawing>
                <wp:inline distT="0" distB="0" distL="0" distR="0" wp14:anchorId="0EF21DC8" wp14:editId="796D3368">
                  <wp:extent cx="2502039" cy="1828800"/>
                  <wp:effectExtent l="19050" t="0" r="0" b="0"/>
                  <wp:docPr id="2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2502039" cy="1828800"/>
                          </a:xfrm>
                          <a:prstGeom prst="rect">
                            <a:avLst/>
                          </a:prstGeom>
                          <a:noFill/>
                          <a:ln w="9525">
                            <a:noFill/>
                            <a:miter lim="800000"/>
                            <a:headEnd/>
                            <a:tailEnd/>
                          </a:ln>
                        </pic:spPr>
                      </pic:pic>
                    </a:graphicData>
                  </a:graphic>
                </wp:inline>
              </w:drawing>
            </w:r>
          </w:p>
        </w:tc>
      </w:tr>
    </w:tbl>
    <w:p w:rsidR="0014667F" w:rsidRPr="00904B3B" w:rsidRDefault="0014667F" w:rsidP="0014667F">
      <w:pPr>
        <w:autoSpaceDE w:val="0"/>
        <w:autoSpaceDN w:val="0"/>
        <w:adjustRightInd w:val="0"/>
        <w:rPr>
          <w:bCs/>
          <w:color w:val="000000"/>
          <w:sz w:val="20"/>
        </w:rPr>
      </w:pPr>
      <w:r w:rsidRPr="00904B3B">
        <w:rPr>
          <w:bCs/>
          <w:color w:val="000000"/>
          <w:sz w:val="20"/>
        </w:rPr>
        <w:t>Source</w:t>
      </w:r>
      <w:r w:rsidR="00904B3B">
        <w:rPr>
          <w:bCs/>
          <w:color w:val="000000"/>
          <w:sz w:val="20"/>
        </w:rPr>
        <w:t>s</w:t>
      </w:r>
      <w:r w:rsidRPr="00904B3B">
        <w:rPr>
          <w:bCs/>
          <w:color w:val="000000"/>
          <w:sz w:val="20"/>
        </w:rPr>
        <w:t xml:space="preserve">: </w:t>
      </w:r>
      <w:r w:rsidR="00EF7C8B" w:rsidRPr="00904B3B">
        <w:rPr>
          <w:bCs/>
          <w:color w:val="000000"/>
          <w:sz w:val="20"/>
        </w:rPr>
        <w:t xml:space="preserve">World Bank, </w:t>
      </w:r>
      <w:r w:rsidRPr="00904B3B">
        <w:rPr>
          <w:bCs/>
          <w:color w:val="000000"/>
          <w:sz w:val="20"/>
        </w:rPr>
        <w:t>based on TRAINS and Household Survey</w:t>
      </w:r>
    </w:p>
    <w:p w:rsidR="00200AD3" w:rsidRDefault="0014667F" w:rsidP="0069795B">
      <w:pPr>
        <w:autoSpaceDE w:val="0"/>
        <w:autoSpaceDN w:val="0"/>
        <w:adjustRightInd w:val="0"/>
        <w:spacing w:before="240"/>
        <w:rPr>
          <w:bCs/>
          <w:color w:val="000000"/>
          <w:szCs w:val="22"/>
        </w:rPr>
      </w:pPr>
      <w:r w:rsidRPr="00073AC8">
        <w:rPr>
          <w:b/>
          <w:bCs/>
          <w:color w:val="000000"/>
          <w:szCs w:val="22"/>
        </w:rPr>
        <w:t xml:space="preserve">The </w:t>
      </w:r>
      <w:r w:rsidR="0023154C">
        <w:rPr>
          <w:b/>
          <w:bCs/>
          <w:color w:val="000000"/>
          <w:szCs w:val="22"/>
        </w:rPr>
        <w:t>government of Afghanistan</w:t>
      </w:r>
      <w:r w:rsidR="0023154C" w:rsidRPr="00073AC8">
        <w:rPr>
          <w:b/>
          <w:bCs/>
          <w:color w:val="000000"/>
          <w:szCs w:val="22"/>
        </w:rPr>
        <w:t xml:space="preserve"> </w:t>
      </w:r>
      <w:r w:rsidRPr="00073AC8">
        <w:rPr>
          <w:b/>
          <w:bCs/>
          <w:color w:val="000000"/>
          <w:szCs w:val="22"/>
        </w:rPr>
        <w:t xml:space="preserve">has taken important steps to increase the transparency </w:t>
      </w:r>
      <w:r w:rsidR="0023154C">
        <w:rPr>
          <w:b/>
          <w:bCs/>
          <w:color w:val="000000"/>
          <w:szCs w:val="22"/>
        </w:rPr>
        <w:t xml:space="preserve">of </w:t>
      </w:r>
      <w:r w:rsidRPr="00073AC8">
        <w:rPr>
          <w:b/>
          <w:bCs/>
          <w:color w:val="000000"/>
          <w:szCs w:val="22"/>
        </w:rPr>
        <w:t>cross-agency coordination for tariff policy and customs revenue collection</w:t>
      </w:r>
      <w:r w:rsidRPr="00073AC8">
        <w:rPr>
          <w:bCs/>
          <w:color w:val="000000"/>
          <w:szCs w:val="22"/>
        </w:rPr>
        <w:t xml:space="preserve">.  Relevant information is posted regularly on the websites of the </w:t>
      </w:r>
      <w:r w:rsidR="0023154C">
        <w:rPr>
          <w:bCs/>
          <w:color w:val="000000"/>
          <w:szCs w:val="22"/>
        </w:rPr>
        <w:t>Ministry of Commerce and Industry (</w:t>
      </w:r>
      <w:r w:rsidRPr="00073AC8">
        <w:rPr>
          <w:bCs/>
          <w:color w:val="000000"/>
          <w:szCs w:val="22"/>
        </w:rPr>
        <w:t>M</w:t>
      </w:r>
      <w:r w:rsidR="0023154C">
        <w:rPr>
          <w:bCs/>
          <w:color w:val="000000"/>
          <w:szCs w:val="22"/>
        </w:rPr>
        <w:t>o</w:t>
      </w:r>
      <w:r w:rsidRPr="00073AC8">
        <w:rPr>
          <w:bCs/>
          <w:color w:val="000000"/>
          <w:szCs w:val="22"/>
        </w:rPr>
        <w:t>CI</w:t>
      </w:r>
      <w:r w:rsidR="0023154C">
        <w:rPr>
          <w:bCs/>
          <w:color w:val="000000"/>
          <w:szCs w:val="22"/>
        </w:rPr>
        <w:t>)</w:t>
      </w:r>
      <w:r w:rsidRPr="00073AC8">
        <w:rPr>
          <w:bCs/>
          <w:color w:val="000000"/>
          <w:szCs w:val="22"/>
        </w:rPr>
        <w:t xml:space="preserve"> and </w:t>
      </w:r>
      <w:r w:rsidR="0023154C">
        <w:rPr>
          <w:bCs/>
          <w:color w:val="000000"/>
          <w:szCs w:val="22"/>
        </w:rPr>
        <w:t>the r</w:t>
      </w:r>
      <w:r w:rsidRPr="00073AC8">
        <w:rPr>
          <w:bCs/>
          <w:color w:val="000000"/>
          <w:szCs w:val="22"/>
        </w:rPr>
        <w:t xml:space="preserve">evenue </w:t>
      </w:r>
      <w:r w:rsidR="0023154C">
        <w:rPr>
          <w:bCs/>
          <w:color w:val="000000"/>
          <w:szCs w:val="22"/>
        </w:rPr>
        <w:t>d</w:t>
      </w:r>
      <w:r w:rsidRPr="00073AC8">
        <w:rPr>
          <w:bCs/>
          <w:color w:val="000000"/>
          <w:szCs w:val="22"/>
        </w:rPr>
        <w:t>epartment responsible for customs.  However</w:t>
      </w:r>
      <w:r w:rsidR="0023154C">
        <w:rPr>
          <w:bCs/>
          <w:color w:val="000000"/>
          <w:szCs w:val="22"/>
        </w:rPr>
        <w:t>,</w:t>
      </w:r>
      <w:r w:rsidRPr="00073AC8">
        <w:rPr>
          <w:bCs/>
          <w:color w:val="000000"/>
          <w:szCs w:val="22"/>
        </w:rPr>
        <w:t xml:space="preserve"> greater coordination across government agencies responsible for designing and implementing trade policy is needed.  For example, the M</w:t>
      </w:r>
      <w:r w:rsidR="0023154C">
        <w:rPr>
          <w:bCs/>
          <w:color w:val="000000"/>
          <w:szCs w:val="22"/>
        </w:rPr>
        <w:t>o</w:t>
      </w:r>
      <w:r w:rsidRPr="00073AC8">
        <w:rPr>
          <w:bCs/>
          <w:color w:val="000000"/>
          <w:szCs w:val="22"/>
        </w:rPr>
        <w:t>CI is responsible for negotiating trade agreement</w:t>
      </w:r>
      <w:r w:rsidR="0023154C">
        <w:rPr>
          <w:bCs/>
          <w:color w:val="000000"/>
          <w:szCs w:val="22"/>
        </w:rPr>
        <w:t>s</w:t>
      </w:r>
      <w:r w:rsidRPr="00073AC8">
        <w:rPr>
          <w:bCs/>
          <w:color w:val="000000"/>
          <w:szCs w:val="22"/>
        </w:rPr>
        <w:t xml:space="preserve"> and tariffs with partner countries, while the M</w:t>
      </w:r>
      <w:r w:rsidR="0023154C">
        <w:rPr>
          <w:bCs/>
          <w:color w:val="000000"/>
          <w:szCs w:val="22"/>
        </w:rPr>
        <w:t>inistry of Finance (MoF)</w:t>
      </w:r>
      <w:r w:rsidRPr="00073AC8">
        <w:rPr>
          <w:bCs/>
          <w:color w:val="000000"/>
          <w:szCs w:val="22"/>
        </w:rPr>
        <w:t xml:space="preserve"> is responsible for the custom</w:t>
      </w:r>
      <w:r w:rsidR="0023154C">
        <w:rPr>
          <w:bCs/>
          <w:color w:val="000000"/>
          <w:szCs w:val="22"/>
        </w:rPr>
        <w:t>s</w:t>
      </w:r>
      <w:r w:rsidRPr="00073AC8">
        <w:rPr>
          <w:bCs/>
          <w:color w:val="000000"/>
          <w:szCs w:val="22"/>
        </w:rPr>
        <w:t xml:space="preserve"> law and overall customs duty collection.  Greater coordination across these two ministries and other government agencies involved are being considered within the WTO accession process. </w:t>
      </w:r>
    </w:p>
    <w:p w:rsidR="0014667F" w:rsidRPr="0069795B" w:rsidRDefault="0014667F" w:rsidP="00992FE6">
      <w:pPr>
        <w:pStyle w:val="Heading2"/>
      </w:pPr>
      <w:bookmarkStart w:id="216" w:name="_Toc296964693"/>
      <w:bookmarkStart w:id="217" w:name="_Toc327208442"/>
      <w:bookmarkStart w:id="218" w:name="_Toc348451682"/>
      <w:r w:rsidRPr="0069795B">
        <w:t>Non</w:t>
      </w:r>
      <w:r w:rsidR="003F3C4F">
        <w:t>-</w:t>
      </w:r>
      <w:r w:rsidRPr="0069795B">
        <w:t>Tariff Measures</w:t>
      </w:r>
      <w:bookmarkEnd w:id="216"/>
      <w:bookmarkEnd w:id="217"/>
      <w:bookmarkEnd w:id="218"/>
    </w:p>
    <w:p w:rsidR="0014667F" w:rsidRPr="003F0C19" w:rsidRDefault="000246B3" w:rsidP="0069795B">
      <w:pPr>
        <w:spacing w:after="0"/>
        <w:rPr>
          <w:i/>
          <w:szCs w:val="22"/>
        </w:rPr>
      </w:pPr>
      <w:r>
        <w:rPr>
          <w:b/>
          <w:szCs w:val="22"/>
        </w:rPr>
        <w:t>Most n</w:t>
      </w:r>
      <w:r w:rsidR="0014667F" w:rsidRPr="00073AC8">
        <w:rPr>
          <w:b/>
          <w:szCs w:val="22"/>
        </w:rPr>
        <w:t>on</w:t>
      </w:r>
      <w:r w:rsidR="0069795B">
        <w:rPr>
          <w:b/>
          <w:szCs w:val="22"/>
        </w:rPr>
        <w:t>-</w:t>
      </w:r>
      <w:r w:rsidR="0014667F" w:rsidRPr="00073AC8">
        <w:rPr>
          <w:b/>
          <w:szCs w:val="22"/>
        </w:rPr>
        <w:t xml:space="preserve">tariff measures in Afghanistan </w:t>
      </w:r>
      <w:r>
        <w:rPr>
          <w:b/>
          <w:szCs w:val="22"/>
        </w:rPr>
        <w:t xml:space="preserve">are </w:t>
      </w:r>
      <w:r w:rsidR="00E54138">
        <w:rPr>
          <w:b/>
          <w:szCs w:val="22"/>
        </w:rPr>
        <w:t>to</w:t>
      </w:r>
      <w:r w:rsidR="0014667F" w:rsidRPr="00073AC8">
        <w:rPr>
          <w:b/>
          <w:szCs w:val="22"/>
        </w:rPr>
        <w:t xml:space="preserve"> prohibit</w:t>
      </w:r>
      <w:r w:rsidR="00E54138">
        <w:rPr>
          <w:b/>
          <w:szCs w:val="22"/>
        </w:rPr>
        <w:t xml:space="preserve"> imports</w:t>
      </w:r>
      <w:r w:rsidR="0014667F" w:rsidRPr="00073AC8">
        <w:rPr>
          <w:b/>
          <w:szCs w:val="22"/>
        </w:rPr>
        <w:t xml:space="preserve"> </w:t>
      </w:r>
      <w:r w:rsidR="0069795B">
        <w:rPr>
          <w:b/>
          <w:szCs w:val="22"/>
        </w:rPr>
        <w:t xml:space="preserve">of </w:t>
      </w:r>
      <w:r w:rsidR="0014667F" w:rsidRPr="00073AC8">
        <w:rPr>
          <w:b/>
          <w:szCs w:val="22"/>
        </w:rPr>
        <w:t xml:space="preserve">goods on the basis of compliance with moral, security, and religious beliefs.  </w:t>
      </w:r>
      <w:r w:rsidR="0014667F" w:rsidRPr="00073AC8">
        <w:rPr>
          <w:szCs w:val="22"/>
        </w:rPr>
        <w:t>Non-</w:t>
      </w:r>
      <w:r w:rsidR="0069795B">
        <w:rPr>
          <w:szCs w:val="22"/>
        </w:rPr>
        <w:t>T</w:t>
      </w:r>
      <w:r w:rsidR="0014667F" w:rsidRPr="00073AC8">
        <w:rPr>
          <w:szCs w:val="22"/>
        </w:rPr>
        <w:t xml:space="preserve">ariff Measures (NTMs) have risen in </w:t>
      </w:r>
      <w:r w:rsidR="0069795B">
        <w:rPr>
          <w:szCs w:val="22"/>
        </w:rPr>
        <w:t>importance</w:t>
      </w:r>
      <w:r w:rsidR="0069795B" w:rsidRPr="00073AC8">
        <w:rPr>
          <w:szCs w:val="22"/>
        </w:rPr>
        <w:t xml:space="preserve"> </w:t>
      </w:r>
      <w:r w:rsidR="0014667F" w:rsidRPr="00073AC8">
        <w:rPr>
          <w:szCs w:val="22"/>
        </w:rPr>
        <w:t xml:space="preserve">worldwide as a result of multilateral rounds and preferential agreements that have pressured countries to reduce their tariffs.  In Afghanistan, NTM are not widespread and the Customs Law (Art 53/2005) explicitly places restrictions on trade on the basis of compliance with public morality, public security, </w:t>
      </w:r>
      <w:r w:rsidR="00A474E2">
        <w:rPr>
          <w:szCs w:val="22"/>
        </w:rPr>
        <w:t xml:space="preserve">environmental </w:t>
      </w:r>
      <w:r w:rsidR="0014667F" w:rsidRPr="00073AC8">
        <w:rPr>
          <w:szCs w:val="22"/>
        </w:rPr>
        <w:t xml:space="preserve">protection, health </w:t>
      </w:r>
      <w:r w:rsidR="00A474E2">
        <w:rPr>
          <w:szCs w:val="22"/>
        </w:rPr>
        <w:t>and</w:t>
      </w:r>
      <w:r w:rsidR="00A474E2" w:rsidRPr="00073AC8">
        <w:rPr>
          <w:szCs w:val="22"/>
        </w:rPr>
        <w:t xml:space="preserve"> </w:t>
      </w:r>
      <w:r w:rsidR="0014667F" w:rsidRPr="00073AC8">
        <w:rPr>
          <w:szCs w:val="22"/>
        </w:rPr>
        <w:t xml:space="preserve">life of humans, animals or plants, protection of national treasures, </w:t>
      </w:r>
      <w:r w:rsidR="00A474E2">
        <w:rPr>
          <w:szCs w:val="22"/>
        </w:rPr>
        <w:t xml:space="preserve">and </w:t>
      </w:r>
      <w:r w:rsidR="0014667F" w:rsidRPr="00073AC8">
        <w:rPr>
          <w:szCs w:val="22"/>
        </w:rPr>
        <w:t xml:space="preserve">protection of industrial and commercial property. This </w:t>
      </w:r>
      <w:r w:rsidR="0069795B">
        <w:rPr>
          <w:szCs w:val="22"/>
        </w:rPr>
        <w:t xml:space="preserve">amounts </w:t>
      </w:r>
      <w:r w:rsidR="0014667F" w:rsidRPr="00073AC8">
        <w:rPr>
          <w:szCs w:val="22"/>
        </w:rPr>
        <w:t>to the prohibition of imports of alcoholic drinks, live pork and pork meat, narcotics, and ammonium nitrate.  However, other commodities in the prohibited list suggest the protection of certain domestic industries</w:t>
      </w:r>
      <w:r w:rsidR="0069795B">
        <w:rPr>
          <w:szCs w:val="22"/>
        </w:rPr>
        <w:t xml:space="preserve"> – for instance,</w:t>
      </w:r>
      <w:r w:rsidR="0014667F" w:rsidRPr="00073AC8">
        <w:rPr>
          <w:szCs w:val="22"/>
        </w:rPr>
        <w:t xml:space="preserve"> restrictions on the trading of cotton seeds, gypsum, anhydride, plaster, and salt.</w:t>
      </w:r>
      <w:r w:rsidR="003F0C19">
        <w:rPr>
          <w:szCs w:val="22"/>
        </w:rPr>
        <w:t xml:space="preserve">  </w:t>
      </w:r>
      <w:r w:rsidR="003F0C19" w:rsidRPr="003F0C19">
        <w:rPr>
          <w:i/>
          <w:szCs w:val="22"/>
        </w:rPr>
        <w:t>(For a list of Non Trade measures, see Annex</w:t>
      </w:r>
      <w:r w:rsidR="00204C71">
        <w:rPr>
          <w:i/>
          <w:szCs w:val="22"/>
        </w:rPr>
        <w:t xml:space="preserve"> II</w:t>
      </w:r>
      <w:r w:rsidR="003F0C19" w:rsidRPr="003F0C19">
        <w:rPr>
          <w:i/>
          <w:szCs w:val="22"/>
        </w:rPr>
        <w:t>)</w:t>
      </w:r>
    </w:p>
    <w:p w:rsidR="0014667F" w:rsidRPr="00073AC8" w:rsidRDefault="0014667F" w:rsidP="0014667F">
      <w:pPr>
        <w:spacing w:after="0"/>
        <w:rPr>
          <w:szCs w:val="22"/>
        </w:rPr>
      </w:pPr>
    </w:p>
    <w:p w:rsidR="0014667F" w:rsidRPr="00231EDB" w:rsidRDefault="0014667F" w:rsidP="00231EDB">
      <w:pPr>
        <w:spacing w:after="0"/>
        <w:rPr>
          <w:szCs w:val="22"/>
        </w:rPr>
      </w:pPr>
      <w:r w:rsidRPr="00231EDB">
        <w:rPr>
          <w:szCs w:val="22"/>
        </w:rPr>
        <w:t xml:space="preserve">The importation of the following goods into Afghanistan is further subject to substantive and procedural limitations: </w:t>
      </w:r>
    </w:p>
    <w:p w:rsidR="008A0616" w:rsidRPr="00FE15A6" w:rsidRDefault="0069795B" w:rsidP="00F96BFA">
      <w:pPr>
        <w:pStyle w:val="ListParagraph"/>
        <w:numPr>
          <w:ilvl w:val="0"/>
          <w:numId w:val="9"/>
        </w:numPr>
        <w:rPr>
          <w:szCs w:val="22"/>
        </w:rPr>
      </w:pPr>
      <w:r w:rsidRPr="00FE15A6">
        <w:rPr>
          <w:szCs w:val="22"/>
        </w:rPr>
        <w:t>M</w:t>
      </w:r>
      <w:r w:rsidR="0014667F" w:rsidRPr="00FE15A6">
        <w:rPr>
          <w:szCs w:val="22"/>
        </w:rPr>
        <w:t>edicine</w:t>
      </w:r>
      <w:r w:rsidRPr="00FE15A6">
        <w:rPr>
          <w:szCs w:val="22"/>
        </w:rPr>
        <w:t>s,</w:t>
      </w:r>
      <w:r w:rsidR="0014667F" w:rsidRPr="00FE15A6">
        <w:rPr>
          <w:szCs w:val="22"/>
        </w:rPr>
        <w:t xml:space="preserve"> subject to permissions and regulations of the Ministry of Public Health and the Ministry of Agriculture</w:t>
      </w:r>
      <w:r w:rsidRPr="00FE15A6">
        <w:rPr>
          <w:szCs w:val="22"/>
        </w:rPr>
        <w:t>;</w:t>
      </w:r>
    </w:p>
    <w:p w:rsidR="008A0616" w:rsidRDefault="0069795B" w:rsidP="00F96BFA">
      <w:pPr>
        <w:pStyle w:val="ListParagraph"/>
        <w:numPr>
          <w:ilvl w:val="0"/>
          <w:numId w:val="9"/>
        </w:numPr>
      </w:pPr>
      <w:r>
        <w:lastRenderedPageBreak/>
        <w:t>Armaments</w:t>
      </w:r>
      <w:r w:rsidR="0014667F" w:rsidRPr="00231EDB">
        <w:t xml:space="preserve"> and military equipment</w:t>
      </w:r>
      <w:r>
        <w:t>,</w:t>
      </w:r>
      <w:r w:rsidR="0014667F" w:rsidRPr="00231EDB">
        <w:t xml:space="preserve"> subject to regulations </w:t>
      </w:r>
      <w:r>
        <w:t>for</w:t>
      </w:r>
      <w:r w:rsidRPr="00231EDB">
        <w:t xml:space="preserve"> </w:t>
      </w:r>
      <w:r w:rsidR="0014667F" w:rsidRPr="00231EDB">
        <w:t>the import of arms, ammunitions, military equipment, spares required for their manufactur</w:t>
      </w:r>
      <w:r>
        <w:t>e</w:t>
      </w:r>
      <w:r w:rsidR="0014667F" w:rsidRPr="00231EDB">
        <w:t>, military</w:t>
      </w:r>
      <w:r>
        <w:t>-</w:t>
      </w:r>
      <w:r w:rsidR="0014667F" w:rsidRPr="00231EDB">
        <w:t>related scientific-technical information</w:t>
      </w:r>
      <w:r>
        <w:t>, subject to</w:t>
      </w:r>
      <w:r w:rsidR="0014667F" w:rsidRPr="00231EDB">
        <w:t xml:space="preserve"> a special permit from the Ministry of Defense</w:t>
      </w:r>
      <w:r w:rsidR="00AB5F7D">
        <w:t>;</w:t>
      </w:r>
      <w:r w:rsidR="008A0616">
        <w:t xml:space="preserve"> and</w:t>
      </w:r>
    </w:p>
    <w:p w:rsidR="00231EDB" w:rsidRPr="0073395E" w:rsidRDefault="0069795B" w:rsidP="00F96BFA">
      <w:pPr>
        <w:pStyle w:val="ListParagraph"/>
        <w:numPr>
          <w:ilvl w:val="0"/>
          <w:numId w:val="9"/>
        </w:numPr>
        <w:spacing w:after="0"/>
        <w:rPr>
          <w:szCs w:val="22"/>
        </w:rPr>
      </w:pPr>
      <w:r w:rsidRPr="0073395E">
        <w:rPr>
          <w:szCs w:val="22"/>
        </w:rPr>
        <w:t xml:space="preserve">Goods subject to measures determined by the Ministry of Finance.  </w:t>
      </w:r>
      <w:r w:rsidR="0014667F" w:rsidRPr="00231EDB">
        <w:t>The</w:t>
      </w:r>
      <w:r>
        <w:t>se</w:t>
      </w:r>
      <w:r w:rsidR="0014667F" w:rsidRPr="00231EDB">
        <w:t xml:space="preserve"> non-tariff measures includ</w:t>
      </w:r>
      <w:r>
        <w:t>e</w:t>
      </w:r>
      <w:r w:rsidR="0014667F" w:rsidRPr="00231EDB">
        <w:t xml:space="preserve"> quantitative restrictions, absolute prohibition, quantity control measures, technical measures, discretionary import licenses, import licensing, automatic import licensing, non-automatic licensing prior to authorization for sensitive products, inspection, and quarantine</w:t>
      </w:r>
      <w:r>
        <w:t xml:space="preserve"> </w:t>
      </w:r>
    </w:p>
    <w:p w:rsidR="00231EDB" w:rsidRPr="00992FE6" w:rsidRDefault="00231EDB" w:rsidP="009422A0">
      <w:pPr>
        <w:pStyle w:val="Heading2"/>
      </w:pPr>
      <w:bookmarkStart w:id="219" w:name="_Toc296964695"/>
      <w:bookmarkStart w:id="220" w:name="_Toc327208443"/>
      <w:bookmarkStart w:id="221" w:name="_Toc348451683"/>
      <w:r w:rsidRPr="00992FE6">
        <w:t>Standards</w:t>
      </w:r>
      <w:bookmarkEnd w:id="219"/>
      <w:bookmarkEnd w:id="220"/>
      <w:bookmarkEnd w:id="221"/>
    </w:p>
    <w:p w:rsidR="00915E60" w:rsidRDefault="00915E60" w:rsidP="00915E60">
      <w:pPr>
        <w:spacing w:after="0"/>
      </w:pPr>
      <w:r w:rsidRPr="00915E60">
        <w:rPr>
          <w:b/>
        </w:rPr>
        <w:t>While tariff and quota barriers to trade in many agricultural, food, and manufactured products have declined, international trade is governed by an increasing range of product and process standards and technical regulations</w:t>
      </w:r>
      <w:r w:rsidRPr="00915E60">
        <w:t>. Standards and technical regulations, whether for products, labor, or for the environment , are applied to mitigate against health and environmental risks, to prevent deceptive practices, and to reduce transaction costs in business by providing common reference points for notions of 'quality', 'safety', 'authenticity', 'good practice', and 'sustainability'. In practice, however, standards and technical regulations may be used strategically to enhance the competitive position of countries or individual firms.</w:t>
      </w:r>
    </w:p>
    <w:p w:rsidR="00B86F97" w:rsidRDefault="00B86F97" w:rsidP="00915E60">
      <w:pPr>
        <w:spacing w:after="0"/>
      </w:pPr>
    </w:p>
    <w:p w:rsidR="00B86F97" w:rsidRPr="009D7DBF" w:rsidRDefault="00B86F97" w:rsidP="00B86F97">
      <w:pPr>
        <w:spacing w:after="240"/>
      </w:pPr>
      <w:r w:rsidRPr="00B86F97">
        <w:rPr>
          <w:b/>
        </w:rPr>
        <w:t>The concept of “quality”</w:t>
      </w:r>
      <w:r w:rsidR="001A265C">
        <w:rPr>
          <w:b/>
        </w:rPr>
        <w:t xml:space="preserve"> standards</w:t>
      </w:r>
      <w:r w:rsidRPr="00B86F97">
        <w:rPr>
          <w:b/>
        </w:rPr>
        <w:t xml:space="preserve"> is not currently well defined in Afghanistan's legal framework and is often confused with safety and protection of health.</w:t>
      </w:r>
      <w:r w:rsidRPr="009D7DBF">
        <w:t xml:space="preserve">  Thus, the new SPS and TBT laws will draw clear distinction between these concepts.  Afghanistan intends to start drafting a law on food safety and producer declarations/certificates will be considered for low-risk food products. </w:t>
      </w:r>
      <w:r w:rsidR="00FD0B2C">
        <w:t xml:space="preserve">In addition, it </w:t>
      </w:r>
      <w:r w:rsidRPr="009D7DBF">
        <w:t>aims to intensify efforts in the coming years to achieve greater harmonization of the quality standards and guidelines that follow international standards (OIE, IPPC, Codex Alimentarius, and ISO).</w:t>
      </w:r>
      <w:r>
        <w:t xml:space="preserve"> </w:t>
      </w:r>
    </w:p>
    <w:p w:rsidR="0004389A" w:rsidRPr="000C1A55" w:rsidRDefault="0004389A" w:rsidP="0004389A">
      <w:pPr>
        <w:spacing w:after="0"/>
      </w:pPr>
      <w:r w:rsidRPr="0004389A">
        <w:rPr>
          <w:b/>
        </w:rPr>
        <w:t xml:space="preserve">As part of the WTO accession process the government </w:t>
      </w:r>
      <w:r w:rsidR="00011F20">
        <w:rPr>
          <w:b/>
        </w:rPr>
        <w:t>through</w:t>
      </w:r>
      <w:r w:rsidRPr="0004389A">
        <w:rPr>
          <w:b/>
        </w:rPr>
        <w:t xml:space="preserve"> the Afghan National Standards Authority (ANSA) and the MOCI are working on developing a regulatory framework</w:t>
      </w:r>
      <w:r>
        <w:rPr>
          <w:b/>
        </w:rPr>
        <w:t xml:space="preserve">.  </w:t>
      </w:r>
      <w:r w:rsidR="00011F20" w:rsidRPr="00011F20">
        <w:t xml:space="preserve">This aims to </w:t>
      </w:r>
      <w:r w:rsidR="00011F20">
        <w:t xml:space="preserve">develop a framework for standards and technical regulations and </w:t>
      </w:r>
      <w:r w:rsidR="00011F20" w:rsidRPr="00011F20">
        <w:t xml:space="preserve">comprises </w:t>
      </w:r>
      <w:r w:rsidRPr="00011F20">
        <w:t xml:space="preserve">the preparation </w:t>
      </w:r>
      <w:r w:rsidR="00274415" w:rsidRPr="00011F20">
        <w:t>of:</w:t>
      </w:r>
      <w:r w:rsidR="00011F20" w:rsidRPr="00011F20">
        <w:t xml:space="preserve"> </w:t>
      </w:r>
      <w:r w:rsidRPr="00011F20">
        <w:t>a Standard Law, a Law on Plant Protection and Quarantine prepared by the Ministry of Agriculture (MAIL), a law on animal health and veterinary services</w:t>
      </w:r>
      <w:r w:rsidRPr="000C1A55">
        <w:t xml:space="preserve"> is being prepared by </w:t>
      </w:r>
      <w:r>
        <w:t xml:space="preserve">MAIL, </w:t>
      </w:r>
      <w:r w:rsidR="00274415">
        <w:t>ame</w:t>
      </w:r>
      <w:r w:rsidR="00274415" w:rsidRPr="000C1A55">
        <w:t>ndments</w:t>
      </w:r>
      <w:r w:rsidRPr="000C1A55">
        <w:t xml:space="preserve"> to the 2005 customs law prepared </w:t>
      </w:r>
      <w:r>
        <w:t xml:space="preserve">by the Ministry of justice, a </w:t>
      </w:r>
      <w:r w:rsidRPr="000C1A55">
        <w:t xml:space="preserve">law on control of trade in strategic goods and services being developed by </w:t>
      </w:r>
      <w:r>
        <w:t xml:space="preserve">MOCI, and a </w:t>
      </w:r>
      <w:r w:rsidRPr="000C1A55">
        <w:t xml:space="preserve">law on metrology being developed by </w:t>
      </w:r>
      <w:r>
        <w:t>ANSA</w:t>
      </w:r>
      <w:r w:rsidRPr="000C1A55">
        <w:t>.</w:t>
      </w:r>
      <w:r>
        <w:t xml:space="preserve">  These laws are undergoing revisions at the </w:t>
      </w:r>
      <w:r w:rsidR="00274415">
        <w:t>ministries</w:t>
      </w:r>
      <w:r>
        <w:t xml:space="preserve"> and are in draft form.</w:t>
      </w:r>
      <w:r w:rsidR="00FD0B2C">
        <w:t xml:space="preserve"> (F</w:t>
      </w:r>
      <w:r>
        <w:t>or a discussion on WTO accession see Chapter V).</w:t>
      </w:r>
    </w:p>
    <w:p w:rsidR="00B86F97" w:rsidRDefault="00B86F97" w:rsidP="00011F20">
      <w:pPr>
        <w:spacing w:after="0"/>
      </w:pPr>
    </w:p>
    <w:p w:rsidR="00011F20" w:rsidRDefault="0004389A" w:rsidP="00915E60">
      <w:pPr>
        <w:spacing w:after="0"/>
      </w:pPr>
      <w:r w:rsidRPr="00B86F97">
        <w:rPr>
          <w:b/>
        </w:rPr>
        <w:t>T</w:t>
      </w:r>
      <w:r w:rsidR="00011F20" w:rsidRPr="00B86F97">
        <w:rPr>
          <w:b/>
        </w:rPr>
        <w:t>he</w:t>
      </w:r>
      <w:r w:rsidRPr="00B86F97">
        <w:rPr>
          <w:b/>
        </w:rPr>
        <w:t xml:space="preserve"> ANSA was established </w:t>
      </w:r>
      <w:r w:rsidR="00B86F97">
        <w:rPr>
          <w:b/>
        </w:rPr>
        <w:t xml:space="preserve">in 2004 </w:t>
      </w:r>
      <w:r w:rsidRPr="00B86F97">
        <w:rPr>
          <w:b/>
        </w:rPr>
        <w:t>with a mandate to enable quality control of commodities and services, consumer protection and environment protection</w:t>
      </w:r>
      <w:r w:rsidRPr="00B86F97">
        <w:t xml:space="preserve">.  </w:t>
      </w:r>
      <w:r w:rsidR="00011F20" w:rsidRPr="00B86F97">
        <w:t>In March 2011, it introduced the Strategic Plan for the Development of a National Quality Infrastructure in Afghanistan that attempts to organize activities in the areas of metrology, accreditation and standardization processes.  The plan is aimed at ensuring that standardization activities are organized to improve access to existing and new markets for Afghan goods and services</w:t>
      </w:r>
      <w:r w:rsidR="00B86F97">
        <w:t xml:space="preserve">.  </w:t>
      </w:r>
      <w:r w:rsidR="00FD0B2C">
        <w:t xml:space="preserve">ANSA has also set up </w:t>
      </w:r>
      <w:r w:rsidR="00B86F97">
        <w:t>t</w:t>
      </w:r>
      <w:r w:rsidR="000410DF" w:rsidRPr="000410DF">
        <w:t xml:space="preserve">echnical </w:t>
      </w:r>
      <w:r w:rsidR="00B86F97">
        <w:t>c</w:t>
      </w:r>
      <w:r w:rsidR="000410DF" w:rsidRPr="000410DF">
        <w:t xml:space="preserve">ommittees to develop National Standards </w:t>
      </w:r>
      <w:r w:rsidR="000410DF" w:rsidRPr="000410DF">
        <w:lastRenderedPageBreak/>
        <w:t>for petroleum products, food and agricultural products, pharmaceuticals and cosmetics, construction materials, textile, envi</w:t>
      </w:r>
      <w:r w:rsidR="00FB7445">
        <w:t>ronment and electro-technical.</w:t>
      </w:r>
    </w:p>
    <w:p w:rsidR="00B86F97" w:rsidRPr="000F3A63" w:rsidRDefault="000410DF" w:rsidP="00B86F97">
      <w:pPr>
        <w:spacing w:after="0"/>
      </w:pPr>
      <w:r w:rsidRPr="00B86F97">
        <w:rPr>
          <w:b/>
        </w:rPr>
        <w:t>The ANSA is working towards achieving the accreditation of the Afghan National Accreditation Bureau (ANAB).</w:t>
      </w:r>
      <w:r w:rsidRPr="000410DF">
        <w:t xml:space="preserve">  </w:t>
      </w:r>
      <w:r w:rsidR="00B86F97" w:rsidRPr="00B86F97">
        <w:t xml:space="preserve">Accreditation is the international recognized procedure demonstrating the competence of a laboratory or certification body. </w:t>
      </w:r>
      <w:r w:rsidR="00274415">
        <w:t>Thus, e</w:t>
      </w:r>
      <w:r w:rsidR="00274415" w:rsidRPr="00B86F97">
        <w:t>stablishing an accreditation system</w:t>
      </w:r>
      <w:r w:rsidR="00274415">
        <w:t>,</w:t>
      </w:r>
      <w:r w:rsidR="00274415" w:rsidRPr="00B86F97">
        <w:t xml:space="preserve"> based on international standards and linked with membership of the International Laboratory Accreditation Cooperation (ILAC) and the International Accreditation Forum (IAF)</w:t>
      </w:r>
      <w:r w:rsidR="00274415">
        <w:t>, will provide mutual recognition and</w:t>
      </w:r>
      <w:r w:rsidR="00274415" w:rsidRPr="00B86F97">
        <w:t xml:space="preserve"> </w:t>
      </w:r>
      <w:r w:rsidR="00274415">
        <w:t>assure</w:t>
      </w:r>
      <w:r w:rsidR="00274415" w:rsidRPr="00B86F97">
        <w:t xml:space="preserve"> trading partners tests and certificates are competent</w:t>
      </w:r>
      <w:r w:rsidR="00274415" w:rsidRPr="000F3A63">
        <w:t xml:space="preserve">. </w:t>
      </w:r>
      <w:r w:rsidR="00B86F97" w:rsidRPr="000F3A63">
        <w:t xml:space="preserve">The road map to </w:t>
      </w:r>
      <w:r w:rsidR="00D67152" w:rsidRPr="000F3A63">
        <w:t>achieve</w:t>
      </w:r>
      <w:r w:rsidR="00B86F97" w:rsidRPr="000F3A63">
        <w:t xml:space="preserve"> recognition is below</w:t>
      </w:r>
      <w:r w:rsidR="00FB7445" w:rsidRPr="000F3A63">
        <w:t xml:space="preserve"> (Table 1.2)</w:t>
      </w:r>
      <w:r w:rsidR="00B86F97" w:rsidRPr="000F3A63">
        <w:t>.</w:t>
      </w:r>
    </w:p>
    <w:p w:rsidR="00B86F97" w:rsidRPr="000F3A63" w:rsidRDefault="00B86F97" w:rsidP="00915E60">
      <w:pPr>
        <w:spacing w:after="0"/>
      </w:pPr>
    </w:p>
    <w:p w:rsidR="000410DF" w:rsidRPr="000410DF" w:rsidRDefault="000410DF" w:rsidP="00B86F97">
      <w:pPr>
        <w:pStyle w:val="ListParagraph"/>
        <w:spacing w:after="0"/>
      </w:pPr>
      <w:r w:rsidRPr="000F3A63">
        <w:t>Table</w:t>
      </w:r>
      <w:r w:rsidR="00FB7445" w:rsidRPr="000F3A63">
        <w:t xml:space="preserve"> 1.2</w:t>
      </w:r>
      <w:r w:rsidRPr="000F3A63">
        <w:t>.  Roadmap for Laboratory</w:t>
      </w:r>
      <w:r w:rsidRPr="000410DF">
        <w:t xml:space="preserve"> Accreditation by ILAC</w:t>
      </w:r>
    </w:p>
    <w:p w:rsidR="000410DF" w:rsidRDefault="000410DF" w:rsidP="000410DF">
      <w:pPr>
        <w:jc w:val="center"/>
        <w:rPr>
          <w:rFonts w:asciiTheme="majorHAnsi" w:hAnsiTheme="majorHAnsi"/>
        </w:rPr>
      </w:pPr>
      <w:r>
        <w:rPr>
          <w:rFonts w:asciiTheme="majorHAnsi" w:hAnsiTheme="majorHAnsi"/>
          <w:noProof/>
          <w:lang w:bidi="ar-SA"/>
        </w:rPr>
        <w:drawing>
          <wp:inline distT="0" distB="0" distL="0" distR="0" wp14:anchorId="6D5A0DFF" wp14:editId="32D7DB29">
            <wp:extent cx="5029747" cy="3200400"/>
            <wp:effectExtent l="19050" t="0" r="0" b="0"/>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5029747" cy="3200400"/>
                    </a:xfrm>
                    <a:prstGeom prst="rect">
                      <a:avLst/>
                    </a:prstGeom>
                    <a:noFill/>
                    <a:ln w="9525">
                      <a:noFill/>
                      <a:miter lim="800000"/>
                      <a:headEnd/>
                      <a:tailEnd/>
                    </a:ln>
                  </pic:spPr>
                </pic:pic>
              </a:graphicData>
            </a:graphic>
          </wp:inline>
        </w:drawing>
      </w:r>
    </w:p>
    <w:p w:rsidR="000410DF" w:rsidRPr="007F00F1" w:rsidRDefault="000410DF" w:rsidP="000410DF">
      <w:pPr>
        <w:jc w:val="center"/>
        <w:rPr>
          <w:rFonts w:asciiTheme="majorHAnsi" w:hAnsiTheme="majorHAnsi"/>
        </w:rPr>
      </w:pPr>
      <w:r>
        <w:rPr>
          <w:rFonts w:asciiTheme="majorHAnsi" w:hAnsiTheme="majorHAnsi"/>
        </w:rPr>
        <w:t>Source: ANSA Report 2011</w:t>
      </w:r>
    </w:p>
    <w:p w:rsidR="000410DF" w:rsidRDefault="00915E60" w:rsidP="00915E60">
      <w:pPr>
        <w:spacing w:after="0"/>
        <w:rPr>
          <w:rFonts w:asciiTheme="majorHAnsi" w:hAnsiTheme="majorHAnsi"/>
          <w:b/>
        </w:rPr>
      </w:pPr>
      <w:r w:rsidRPr="00F27283">
        <w:rPr>
          <w:b/>
        </w:rPr>
        <w:t xml:space="preserve">Veterinary certificates are required for the export of animals and animal products.  </w:t>
      </w:r>
      <w:r w:rsidRPr="009D7DBF">
        <w:t>These are issued by the General Directorate (DG) of Animal Health under the MAIL, while the phytosanitary certification for exports of plants and plant products are under the Directorate for Plant Quarantine (following the IPPC standards).  The quality permits required for the imports of non-processed agricultural products (except live animals and live plants), agrochemicals, and chemical fertilizers are issued by the DG of Food Security and Quality Control, which is responsible for carrying out a physical inspection at the border and examines the quality certificate issued by the exporting country (a mandatory requirement to import) It is also responsible for issuing the Quality permits required for the export of all non-processed agricultural food products (except live animals and live plants).  Finally, the Quality certificate for export of fresh fruits, dried fruits, and vegetables is issued the Afghan Raisin, Fruits and Vegetables Promotion Association.  In practice, however border control for the movement of animals to and from Pakistan and the import of products of animal origin is rarely enforced.</w:t>
      </w:r>
    </w:p>
    <w:p w:rsidR="006008F4" w:rsidRDefault="006008F4" w:rsidP="006008F4">
      <w:pPr>
        <w:pStyle w:val="Heading2"/>
        <w:spacing w:before="240"/>
      </w:pPr>
      <w:bookmarkStart w:id="222" w:name="_Toc327208444"/>
      <w:bookmarkStart w:id="223" w:name="_Toc348451684"/>
      <w:r>
        <w:lastRenderedPageBreak/>
        <w:t>Opportunities and Recommendations</w:t>
      </w:r>
      <w:bookmarkEnd w:id="222"/>
      <w:bookmarkEnd w:id="223"/>
    </w:p>
    <w:p w:rsidR="006008F4" w:rsidRDefault="009C38D3" w:rsidP="006008F4">
      <w:r>
        <w:rPr>
          <w:b/>
        </w:rPr>
        <w:t xml:space="preserve">Develop </w:t>
      </w:r>
      <w:r w:rsidRPr="009C38D3">
        <w:rPr>
          <w:b/>
        </w:rPr>
        <w:t>a capacity building plan</w:t>
      </w:r>
      <w:r w:rsidR="00F91D00">
        <w:rPr>
          <w:b/>
        </w:rPr>
        <w:t xml:space="preserve"> for trade policy evaluation</w:t>
      </w:r>
      <w:r w:rsidRPr="009C38D3">
        <w:rPr>
          <w:b/>
        </w:rPr>
        <w:t xml:space="preserve"> </w:t>
      </w:r>
      <w:r w:rsidR="00F91D00">
        <w:rPr>
          <w:b/>
        </w:rPr>
        <w:t>in</w:t>
      </w:r>
      <w:r w:rsidRPr="009C38D3">
        <w:rPr>
          <w:b/>
        </w:rPr>
        <w:t xml:space="preserve"> the directorates responsible for designing and evaluating trade policy with</w:t>
      </w:r>
      <w:r>
        <w:rPr>
          <w:b/>
        </w:rPr>
        <w:t>in</w:t>
      </w:r>
      <w:r w:rsidRPr="009C38D3">
        <w:rPr>
          <w:b/>
        </w:rPr>
        <w:t xml:space="preserve"> the MOCI</w:t>
      </w:r>
      <w:r>
        <w:t xml:space="preserve">. </w:t>
      </w:r>
      <w:r w:rsidR="00F91D00">
        <w:t>In order to take informed policy decisions, s</w:t>
      </w:r>
      <w:r w:rsidRPr="006008F4">
        <w:t>trengthen</w:t>
      </w:r>
      <w:r>
        <w:t>ing the</w:t>
      </w:r>
      <w:r w:rsidR="00F91D00">
        <w:t xml:space="preserve"> capacity to</w:t>
      </w:r>
      <w:r w:rsidR="00251801">
        <w:t xml:space="preserve"> </w:t>
      </w:r>
      <w:r w:rsidR="00F91D00">
        <w:t xml:space="preserve">evaluate the impact of different trade policy alternatives is important.  This could include building capacity on </w:t>
      </w:r>
      <w:r w:rsidR="00F91D00" w:rsidRPr="006008F4">
        <w:t>to analyze indicators and monitor results of policies and investments</w:t>
      </w:r>
      <w:r w:rsidR="00F91D00">
        <w:t>, on</w:t>
      </w:r>
      <w:r w:rsidR="00F91D00" w:rsidRPr="006008F4">
        <w:t xml:space="preserve"> </w:t>
      </w:r>
      <w:r w:rsidR="00F91D00">
        <w:t>trade negotiation, impact evaluation techniques, and economic modeling of trade policy impact</w:t>
      </w:r>
      <w:r w:rsidRPr="009C38D3">
        <w:t xml:space="preserve"> </w:t>
      </w:r>
    </w:p>
    <w:p w:rsidR="006008F4" w:rsidRPr="006008F4" w:rsidRDefault="006008F4" w:rsidP="006008F4">
      <w:r w:rsidRPr="009C38D3">
        <w:rPr>
          <w:b/>
        </w:rPr>
        <w:t>Develop a database with trade data to inform policy analysis</w:t>
      </w:r>
      <w:r w:rsidRPr="006008F4">
        <w:t>.</w:t>
      </w:r>
      <w:r>
        <w:t xml:space="preserve">  </w:t>
      </w:r>
      <w:r w:rsidR="00F91D00">
        <w:t xml:space="preserve">The database should compile trade information from different agencies </w:t>
      </w:r>
      <w:r w:rsidRPr="006008F4">
        <w:t>including data from the CSO, ARD, and existing donor-funded trade-related surveys)</w:t>
      </w:r>
      <w:r w:rsidR="00F91D00">
        <w:t xml:space="preserve">.  </w:t>
      </w:r>
      <w:r w:rsidRPr="006008F4">
        <w:t>Build</w:t>
      </w:r>
      <w:r w:rsidR="00F91D00">
        <w:t>ing</w:t>
      </w:r>
      <w:r w:rsidRPr="006008F4">
        <w:t xml:space="preserve"> capacity at the MOCI </w:t>
      </w:r>
      <w:r w:rsidR="00F91D00">
        <w:t>to maintain</w:t>
      </w:r>
      <w:r w:rsidRPr="006008F4">
        <w:t xml:space="preserve"> the database</w:t>
      </w:r>
      <w:r w:rsidR="00F91D00">
        <w:t xml:space="preserve"> will be key</w:t>
      </w:r>
      <w:r w:rsidRPr="006008F4">
        <w:t xml:space="preserve">.  </w:t>
      </w:r>
      <w:r w:rsidR="00F91D00">
        <w:t xml:space="preserve">On the basis of this database, the </w:t>
      </w:r>
      <w:r w:rsidR="00D01204">
        <w:t xml:space="preserve">technical units within </w:t>
      </w:r>
      <w:r w:rsidR="00F91D00">
        <w:t>MOCI would be able to p</w:t>
      </w:r>
      <w:r w:rsidRPr="006008F4">
        <w:t xml:space="preserve">repare </w:t>
      </w:r>
      <w:r w:rsidR="00F91D00">
        <w:t xml:space="preserve">bulletins analyzing </w:t>
      </w:r>
      <w:r w:rsidRPr="006008F4">
        <w:t xml:space="preserve">trade data trends for management.  </w:t>
      </w:r>
    </w:p>
    <w:p w:rsidR="006008F4" w:rsidRPr="00D01204" w:rsidRDefault="006008F4" w:rsidP="000667F7">
      <w:pPr>
        <w:spacing w:after="240"/>
      </w:pPr>
      <w:r w:rsidRPr="00D01204">
        <w:rPr>
          <w:b/>
        </w:rPr>
        <w:t>Conduct a review of current items exempt from paying tariffs with the aim to broaden the tariff base</w:t>
      </w:r>
      <w:r w:rsidRPr="00D01204">
        <w:t>.  This will lessen the impact from foregone revenues, which is estimated at a third of import revenue, but minimum consumption basket food items should remain exempted in order to protect the poor.</w:t>
      </w:r>
    </w:p>
    <w:p w:rsidR="0091569D" w:rsidRPr="00D01204" w:rsidRDefault="0091569D" w:rsidP="000667F7">
      <w:pPr>
        <w:spacing w:after="240"/>
      </w:pPr>
      <w:r>
        <w:rPr>
          <w:b/>
        </w:rPr>
        <w:t xml:space="preserve">Monitor the elimination of Non-trade barriers.  </w:t>
      </w:r>
      <w:r w:rsidR="006008F4" w:rsidRPr="0091569D">
        <w:t>Identify NTMs implemented by all government agencies</w:t>
      </w:r>
      <w:r>
        <w:t xml:space="preserve"> and </w:t>
      </w:r>
      <w:r w:rsidRPr="0091569D">
        <w:t xml:space="preserve">make </w:t>
      </w:r>
      <w:r w:rsidR="00D01204" w:rsidRPr="0091569D">
        <w:t xml:space="preserve">information on </w:t>
      </w:r>
      <w:r>
        <w:t xml:space="preserve">them </w:t>
      </w:r>
      <w:r w:rsidRPr="0091569D">
        <w:t>readily availab</w:t>
      </w:r>
      <w:r>
        <w:t xml:space="preserve">le to the </w:t>
      </w:r>
      <w:r w:rsidR="00D01204" w:rsidRPr="00D01204">
        <w:t>private sector</w:t>
      </w:r>
      <w:r>
        <w:t>, a</w:t>
      </w:r>
      <w:r w:rsidR="00D01204" w:rsidRPr="00D01204">
        <w:t xml:space="preserve">s there is lack of clarity over </w:t>
      </w:r>
      <w:r>
        <w:t>requirements</w:t>
      </w:r>
      <w:r w:rsidR="00D01204" w:rsidRPr="00D01204">
        <w:t xml:space="preserve">.  By making </w:t>
      </w:r>
      <w:r>
        <w:t xml:space="preserve">the implementation of </w:t>
      </w:r>
      <w:r w:rsidRPr="00D01204">
        <w:t>NTMs</w:t>
      </w:r>
      <w:r>
        <w:t xml:space="preserve"> more transparent </w:t>
      </w:r>
      <w:r w:rsidR="00D01204" w:rsidRPr="00D01204">
        <w:t xml:space="preserve">e the private sector will be in a better position to comply with them.  </w:t>
      </w:r>
      <w:r w:rsidRPr="0091569D">
        <w:t xml:space="preserve">Identify NTMs implemented by all government agencies and </w:t>
      </w:r>
      <w:r w:rsidR="0056412F">
        <w:t>s</w:t>
      </w:r>
      <w:r w:rsidRPr="0091569D">
        <w:t>treamline related procedures in terms of time and cost.  Conduct a firm survey on NTMs faced by importers and exporters and set up a public‐private NTM Review Committee to discuss less trade distorting alternatives.</w:t>
      </w:r>
    </w:p>
    <w:p w:rsidR="000667F7" w:rsidRPr="003359A5" w:rsidRDefault="004D05BE" w:rsidP="000667F7">
      <w:pPr>
        <w:spacing w:before="100" w:beforeAutospacing="1" w:after="0" w:line="240" w:lineRule="auto"/>
        <w:rPr>
          <w:rFonts w:ascii="Calibri" w:eastAsia="Times New Roman" w:hAnsi="Calibri" w:cs="Calibri"/>
          <w:lang w:eastAsia="de-DE"/>
        </w:rPr>
      </w:pPr>
      <w:r w:rsidRPr="00D01204">
        <w:rPr>
          <w:rFonts w:ascii="Calibri" w:eastAsia="Times New Roman" w:hAnsi="Calibri" w:cs="Calibri"/>
          <w:lang w:eastAsia="de-DE"/>
        </w:rPr>
        <w:t xml:space="preserve">If Afghan trade policy overall is conducive to growth, then why </w:t>
      </w:r>
      <w:r w:rsidR="00B62D2F" w:rsidRPr="00D01204">
        <w:rPr>
          <w:rFonts w:ascii="Calibri" w:eastAsia="Times New Roman" w:hAnsi="Calibri" w:cs="Calibri"/>
          <w:lang w:eastAsia="de-DE"/>
        </w:rPr>
        <w:t>is</w:t>
      </w:r>
      <w:r w:rsidRPr="00D01204">
        <w:rPr>
          <w:rFonts w:ascii="Calibri" w:eastAsia="Times New Roman" w:hAnsi="Calibri" w:cs="Calibri"/>
          <w:lang w:eastAsia="de-DE"/>
        </w:rPr>
        <w:t xml:space="preserve"> trade not play</w:t>
      </w:r>
      <w:r w:rsidR="00B62D2F" w:rsidRPr="00D01204">
        <w:rPr>
          <w:rFonts w:ascii="Calibri" w:eastAsia="Times New Roman" w:hAnsi="Calibri" w:cs="Calibri"/>
          <w:lang w:eastAsia="de-DE"/>
        </w:rPr>
        <w:t>ing</w:t>
      </w:r>
      <w:r w:rsidRPr="00D01204">
        <w:rPr>
          <w:rFonts w:ascii="Calibri" w:eastAsia="Times New Roman" w:hAnsi="Calibri" w:cs="Calibri"/>
          <w:lang w:eastAsia="de-DE"/>
        </w:rPr>
        <w:t xml:space="preserve"> a greater role in economic development?</w:t>
      </w:r>
      <w:r w:rsidRPr="003359A5">
        <w:rPr>
          <w:rFonts w:ascii="Calibri" w:eastAsia="Times New Roman" w:hAnsi="Calibri" w:cs="Calibri"/>
          <w:lang w:eastAsia="de-DE"/>
        </w:rPr>
        <w:t xml:space="preserve">  The findings from this chapter suggest</w:t>
      </w:r>
      <w:r w:rsidR="00B62D2F" w:rsidRPr="003359A5">
        <w:rPr>
          <w:rFonts w:ascii="Calibri" w:eastAsia="Times New Roman" w:hAnsi="Calibri" w:cs="Calibri"/>
          <w:lang w:eastAsia="de-DE"/>
        </w:rPr>
        <w:t xml:space="preserve"> that</w:t>
      </w:r>
      <w:r w:rsidRPr="003359A5">
        <w:rPr>
          <w:rFonts w:ascii="Calibri" w:eastAsia="Times New Roman" w:hAnsi="Calibri" w:cs="Calibri"/>
          <w:lang w:eastAsia="de-DE"/>
        </w:rPr>
        <w:t xml:space="preserve"> </w:t>
      </w:r>
      <w:r w:rsidR="00B62D2F" w:rsidRPr="003359A5">
        <w:rPr>
          <w:rFonts w:ascii="Calibri" w:eastAsia="Times New Roman" w:hAnsi="Calibri" w:cs="Calibri"/>
          <w:lang w:eastAsia="de-DE"/>
        </w:rPr>
        <w:t xml:space="preserve">while </w:t>
      </w:r>
      <w:r w:rsidRPr="003359A5">
        <w:rPr>
          <w:rFonts w:ascii="Calibri" w:eastAsia="Times New Roman" w:hAnsi="Calibri" w:cs="Calibri"/>
          <w:lang w:eastAsia="de-DE"/>
        </w:rPr>
        <w:t xml:space="preserve">trade is underperforming in terms of its potential contribution to economic growth and welfare, </w:t>
      </w:r>
      <w:r w:rsidR="00B62D2F" w:rsidRPr="003359A5">
        <w:rPr>
          <w:rFonts w:ascii="Calibri" w:eastAsia="Times New Roman" w:hAnsi="Calibri" w:cs="Calibri"/>
          <w:lang w:eastAsia="de-DE"/>
        </w:rPr>
        <w:t xml:space="preserve">there is, in general, a policy </w:t>
      </w:r>
      <w:r w:rsidRPr="003359A5">
        <w:rPr>
          <w:rFonts w:ascii="Calibri" w:eastAsia="Times New Roman" w:hAnsi="Calibri" w:cs="Calibri"/>
          <w:lang w:eastAsia="de-DE"/>
        </w:rPr>
        <w:t xml:space="preserve">environment </w:t>
      </w:r>
      <w:r w:rsidR="00B62D2F" w:rsidRPr="003359A5">
        <w:rPr>
          <w:rFonts w:ascii="Calibri" w:eastAsia="Times New Roman" w:hAnsi="Calibri" w:cs="Calibri"/>
          <w:lang w:eastAsia="de-DE"/>
        </w:rPr>
        <w:t xml:space="preserve">for its </w:t>
      </w:r>
      <w:r w:rsidRPr="003359A5">
        <w:rPr>
          <w:rFonts w:ascii="Calibri" w:eastAsia="Times New Roman" w:hAnsi="Calibri" w:cs="Calibri"/>
          <w:lang w:eastAsia="de-DE"/>
        </w:rPr>
        <w:t>development.  T</w:t>
      </w:r>
      <w:r w:rsidR="00B62D2F" w:rsidRPr="003359A5">
        <w:rPr>
          <w:rFonts w:ascii="Calibri" w:eastAsia="Times New Roman" w:hAnsi="Calibri" w:cs="Calibri"/>
          <w:lang w:eastAsia="de-DE"/>
        </w:rPr>
        <w:t xml:space="preserve">he following chapters attempt to answer this question by having a closer look at the </w:t>
      </w:r>
      <w:r w:rsidRPr="003359A5">
        <w:rPr>
          <w:rFonts w:ascii="Calibri" w:eastAsia="Times New Roman" w:hAnsi="Calibri" w:cs="Calibri"/>
          <w:lang w:eastAsia="de-DE"/>
        </w:rPr>
        <w:t xml:space="preserve">supply side constraints, </w:t>
      </w:r>
      <w:r w:rsidR="00B62D2F" w:rsidRPr="003359A5">
        <w:rPr>
          <w:rFonts w:ascii="Calibri" w:eastAsia="Times New Roman" w:hAnsi="Calibri" w:cs="Calibri"/>
          <w:lang w:eastAsia="de-DE"/>
        </w:rPr>
        <w:t xml:space="preserve">trade facilitation systems in place for effective customs and logistics, </w:t>
      </w:r>
      <w:r w:rsidR="003359A5" w:rsidRPr="003359A5">
        <w:rPr>
          <w:rFonts w:ascii="Calibri" w:eastAsia="Times New Roman" w:hAnsi="Calibri" w:cs="Calibri"/>
          <w:lang w:eastAsia="de-DE"/>
        </w:rPr>
        <w:t>infrastructure services</w:t>
      </w:r>
      <w:r w:rsidR="00B62D2F" w:rsidRPr="003359A5">
        <w:rPr>
          <w:rFonts w:ascii="Calibri" w:eastAsia="Times New Roman" w:hAnsi="Calibri" w:cs="Calibri"/>
          <w:lang w:eastAsia="de-DE"/>
        </w:rPr>
        <w:t xml:space="preserve"> and </w:t>
      </w:r>
      <w:r w:rsidRPr="003359A5">
        <w:rPr>
          <w:rFonts w:ascii="Calibri" w:eastAsia="Times New Roman" w:hAnsi="Calibri" w:cs="Calibri"/>
          <w:lang w:eastAsia="de-DE"/>
        </w:rPr>
        <w:t>private sector development</w:t>
      </w:r>
      <w:r w:rsidR="00B62D2F" w:rsidRPr="003359A5">
        <w:rPr>
          <w:rFonts w:ascii="Calibri" w:eastAsia="Times New Roman" w:hAnsi="Calibri" w:cs="Calibri"/>
          <w:lang w:eastAsia="de-DE"/>
        </w:rPr>
        <w:t>.  Th</w:t>
      </w:r>
      <w:r w:rsidR="003359A5" w:rsidRPr="003359A5">
        <w:rPr>
          <w:rFonts w:ascii="Calibri" w:eastAsia="Times New Roman" w:hAnsi="Calibri" w:cs="Calibri"/>
          <w:lang w:eastAsia="de-DE"/>
        </w:rPr>
        <w:t xml:space="preserve">us, the subsequent </w:t>
      </w:r>
      <w:r w:rsidR="00B62D2F" w:rsidRPr="003359A5">
        <w:rPr>
          <w:rFonts w:ascii="Calibri" w:eastAsia="Times New Roman" w:hAnsi="Calibri" w:cs="Calibri"/>
          <w:lang w:eastAsia="de-DE"/>
        </w:rPr>
        <w:t xml:space="preserve">chapter </w:t>
      </w:r>
      <w:r w:rsidR="003359A5" w:rsidRPr="003359A5">
        <w:rPr>
          <w:rFonts w:ascii="Calibri" w:eastAsia="Times New Roman" w:hAnsi="Calibri" w:cs="Calibri"/>
          <w:lang w:eastAsia="de-DE"/>
        </w:rPr>
        <w:t>a</w:t>
      </w:r>
      <w:r w:rsidR="003359A5">
        <w:rPr>
          <w:rFonts w:ascii="Calibri" w:eastAsia="Times New Roman" w:hAnsi="Calibri" w:cs="Calibri"/>
          <w:lang w:eastAsia="de-DE"/>
        </w:rPr>
        <w:t>ims</w:t>
      </w:r>
      <w:r w:rsidR="003359A5" w:rsidRPr="003359A5">
        <w:rPr>
          <w:rFonts w:ascii="Calibri" w:eastAsia="Times New Roman" w:hAnsi="Calibri" w:cs="Calibri"/>
          <w:lang w:eastAsia="de-DE"/>
        </w:rPr>
        <w:t xml:space="preserve"> to understand the existing Afghan customs systems in place and the status of the ongoing customs reform, which will have great impact on improving trade facilitation.  </w:t>
      </w:r>
      <w:r w:rsidR="00B62D2F" w:rsidRPr="003359A5">
        <w:rPr>
          <w:rFonts w:ascii="Calibri" w:eastAsia="Times New Roman" w:hAnsi="Calibri" w:cs="Calibri"/>
          <w:lang w:eastAsia="de-DE"/>
        </w:rPr>
        <w:t xml:space="preserve"> </w:t>
      </w:r>
    </w:p>
    <w:p w:rsidR="0014667F" w:rsidRPr="00B62D2F" w:rsidRDefault="0014667F" w:rsidP="008A0616">
      <w:pPr>
        <w:spacing w:after="240"/>
        <w:rPr>
          <w:rFonts w:eastAsia="Times New Roman" w:cstheme="minorHAnsi"/>
          <w:szCs w:val="22"/>
        </w:rPr>
      </w:pPr>
      <w:r w:rsidRPr="00B62D2F">
        <w:rPr>
          <w:rFonts w:eastAsia="Times New Roman" w:cstheme="minorHAnsi"/>
          <w:szCs w:val="22"/>
        </w:rPr>
        <w:br w:type="page"/>
      </w:r>
    </w:p>
    <w:p w:rsidR="00FA1FE1" w:rsidRPr="00010C9A" w:rsidRDefault="00FA1FE1" w:rsidP="00FA1FE1">
      <w:pPr>
        <w:pStyle w:val="Heading1"/>
      </w:pPr>
      <w:bookmarkStart w:id="224" w:name="_Toc348451685"/>
      <w:bookmarkStart w:id="225" w:name="_Toc327208445"/>
      <w:r>
        <w:t>Chapter II.</w:t>
      </w:r>
      <w:r w:rsidRPr="00010C9A">
        <w:t xml:space="preserve">  Trade Development and Export Promotion</w:t>
      </w:r>
      <w:bookmarkEnd w:id="224"/>
    </w:p>
    <w:p w:rsidR="00FA1FE1" w:rsidRPr="008A1FEC" w:rsidRDefault="00FA1FE1" w:rsidP="00FA1FE1">
      <w:pPr>
        <w:rPr>
          <w:rFonts w:cstheme="minorHAnsi"/>
          <w:i/>
        </w:rPr>
      </w:pPr>
      <w:r>
        <w:rPr>
          <w:rFonts w:cstheme="minorHAnsi"/>
          <w:i/>
        </w:rPr>
        <w:t xml:space="preserve">Afghanistan’s national </w:t>
      </w:r>
      <w:r w:rsidRPr="008A1FEC">
        <w:rPr>
          <w:rFonts w:cstheme="minorHAnsi"/>
          <w:i/>
        </w:rPr>
        <w:t>trade strategy could focus on private sector development to produce cheaper quality goods, promot</w:t>
      </w:r>
      <w:r>
        <w:rPr>
          <w:rFonts w:cstheme="minorHAnsi"/>
          <w:i/>
        </w:rPr>
        <w:t>e</w:t>
      </w:r>
      <w:r w:rsidRPr="008A1FEC">
        <w:rPr>
          <w:rFonts w:cstheme="minorHAnsi"/>
          <w:i/>
        </w:rPr>
        <w:t xml:space="preserve"> an attractive investment climate</w:t>
      </w:r>
      <w:r>
        <w:rPr>
          <w:rFonts w:cstheme="minorHAnsi"/>
          <w:i/>
        </w:rPr>
        <w:t xml:space="preserve"> and lower costs for quality inputs. It could also promote</w:t>
      </w:r>
      <w:r w:rsidRPr="008A1FEC">
        <w:rPr>
          <w:rFonts w:cstheme="minorHAnsi"/>
          <w:i/>
        </w:rPr>
        <w:t xml:space="preserve"> export</w:t>
      </w:r>
      <w:r>
        <w:rPr>
          <w:rFonts w:cstheme="minorHAnsi"/>
          <w:i/>
        </w:rPr>
        <w:t>s by facilitating</w:t>
      </w:r>
      <w:r w:rsidRPr="008A1FEC">
        <w:rPr>
          <w:rFonts w:cstheme="minorHAnsi"/>
          <w:i/>
        </w:rPr>
        <w:t xml:space="preserve"> breakthrough</w:t>
      </w:r>
      <w:r>
        <w:rPr>
          <w:rFonts w:cstheme="minorHAnsi"/>
          <w:i/>
        </w:rPr>
        <w:t>s</w:t>
      </w:r>
      <w:r w:rsidRPr="008A1FEC">
        <w:rPr>
          <w:rFonts w:cstheme="minorHAnsi"/>
          <w:i/>
        </w:rPr>
        <w:t xml:space="preserve"> into international markets for established competitive firms. Exporting </w:t>
      </w:r>
      <w:r w:rsidRPr="008A1FEC">
        <w:rPr>
          <w:rFonts w:ascii="Calibri" w:eastAsia="Times New Roman" w:hAnsi="Calibri" w:cs="Calibri"/>
          <w:i/>
          <w:lang w:eastAsia="de-DE"/>
        </w:rPr>
        <w:t>from Afghanistan is expensive</w:t>
      </w:r>
      <w:r>
        <w:rPr>
          <w:rFonts w:ascii="Calibri" w:eastAsia="Times New Roman" w:hAnsi="Calibri" w:cs="Calibri"/>
          <w:i/>
          <w:lang w:eastAsia="de-DE"/>
        </w:rPr>
        <w:t>;</w:t>
      </w:r>
      <w:r w:rsidRPr="008A1FEC">
        <w:rPr>
          <w:rFonts w:ascii="Calibri" w:eastAsia="Times New Roman" w:hAnsi="Calibri" w:cs="Calibri"/>
          <w:i/>
          <w:lang w:eastAsia="de-DE"/>
        </w:rPr>
        <w:t xml:space="preserve"> trade diagnostics suggest </w:t>
      </w:r>
      <w:r w:rsidRPr="008A1FEC">
        <w:rPr>
          <w:rFonts w:cstheme="minorHAnsi"/>
          <w:i/>
        </w:rPr>
        <w:t>the principal barriers lie on the supply side.  Th</w:t>
      </w:r>
      <w:r>
        <w:rPr>
          <w:rFonts w:cstheme="minorHAnsi"/>
          <w:i/>
        </w:rPr>
        <w:t xml:space="preserve">is implies that </w:t>
      </w:r>
      <w:r w:rsidRPr="008A1FEC">
        <w:rPr>
          <w:rFonts w:cstheme="minorHAnsi"/>
          <w:i/>
        </w:rPr>
        <w:t xml:space="preserve">export support will be most effective when geared </w:t>
      </w:r>
      <w:r>
        <w:rPr>
          <w:rFonts w:cstheme="minorHAnsi"/>
          <w:i/>
        </w:rPr>
        <w:t>towards</w:t>
      </w:r>
      <w:r w:rsidRPr="008A1FEC">
        <w:rPr>
          <w:rFonts w:cstheme="minorHAnsi"/>
          <w:i/>
        </w:rPr>
        <w:t xml:space="preserve"> raising the competitiveness of firms. </w:t>
      </w:r>
      <w:r>
        <w:rPr>
          <w:i/>
        </w:rPr>
        <w:t>The</w:t>
      </w:r>
      <w:r w:rsidRPr="008A1FEC">
        <w:rPr>
          <w:i/>
        </w:rPr>
        <w:t xml:space="preserve"> literature on </w:t>
      </w:r>
      <w:r>
        <w:rPr>
          <w:i/>
        </w:rPr>
        <w:t xml:space="preserve">sectoral and </w:t>
      </w:r>
      <w:r w:rsidRPr="008A1FEC">
        <w:rPr>
          <w:i/>
        </w:rPr>
        <w:t xml:space="preserve">value chain analysis shows that competitiveness across potential </w:t>
      </w:r>
      <w:r>
        <w:rPr>
          <w:i/>
        </w:rPr>
        <w:t xml:space="preserve">Afghan </w:t>
      </w:r>
      <w:r w:rsidRPr="008A1FEC">
        <w:rPr>
          <w:i/>
        </w:rPr>
        <w:t xml:space="preserve">export sectors is </w:t>
      </w:r>
      <w:r>
        <w:rPr>
          <w:i/>
        </w:rPr>
        <w:t>hampered</w:t>
      </w:r>
      <w:r w:rsidRPr="008A1FEC">
        <w:rPr>
          <w:i/>
        </w:rPr>
        <w:t xml:space="preserve"> by </w:t>
      </w:r>
      <w:r>
        <w:rPr>
          <w:i/>
        </w:rPr>
        <w:t>(</w:t>
      </w:r>
      <w:r w:rsidRPr="008A1FEC">
        <w:rPr>
          <w:i/>
        </w:rPr>
        <w:t xml:space="preserve">i) high costs due to microeconomic </w:t>
      </w:r>
      <w:r>
        <w:rPr>
          <w:i/>
        </w:rPr>
        <w:t xml:space="preserve">and lesser extent macroeconomic </w:t>
      </w:r>
      <w:r w:rsidRPr="008A1FEC">
        <w:rPr>
          <w:i/>
        </w:rPr>
        <w:t xml:space="preserve">fundamentals, </w:t>
      </w:r>
      <w:r>
        <w:rPr>
          <w:i/>
        </w:rPr>
        <w:t>(</w:t>
      </w:r>
      <w:r w:rsidRPr="008A1FEC">
        <w:rPr>
          <w:i/>
        </w:rPr>
        <w:t>ii) low value</w:t>
      </w:r>
      <w:r>
        <w:rPr>
          <w:i/>
        </w:rPr>
        <w:t xml:space="preserve"> added</w:t>
      </w:r>
      <w:r w:rsidRPr="008A1FEC">
        <w:rPr>
          <w:i/>
        </w:rPr>
        <w:t xml:space="preserve">, and </w:t>
      </w:r>
      <w:r>
        <w:rPr>
          <w:i/>
        </w:rPr>
        <w:t>(</w:t>
      </w:r>
      <w:r w:rsidRPr="008A1FEC">
        <w:rPr>
          <w:i/>
        </w:rPr>
        <w:t>iii) institutional constraints.</w:t>
      </w:r>
      <w:r w:rsidRPr="008A1FEC">
        <w:rPr>
          <w:rFonts w:cstheme="minorHAnsi"/>
          <w:i/>
        </w:rPr>
        <w:t xml:space="preserve"> </w:t>
      </w:r>
    </w:p>
    <w:p w:rsidR="00FA1FE1" w:rsidRDefault="00FA1FE1" w:rsidP="00FA1FE1">
      <w:pPr>
        <w:rPr>
          <w:rFonts w:cs="Calibri"/>
        </w:rPr>
      </w:pPr>
      <w:r w:rsidRPr="002E0EAD">
        <w:rPr>
          <w:rFonts w:cs="Calibri"/>
          <w:b/>
        </w:rPr>
        <w:t>Th</w:t>
      </w:r>
      <w:r>
        <w:rPr>
          <w:rFonts w:cs="Calibri"/>
          <w:b/>
        </w:rPr>
        <w:t xml:space="preserve">is chapter aims to inform </w:t>
      </w:r>
      <w:r w:rsidRPr="002E0EAD">
        <w:rPr>
          <w:rFonts w:cs="Calibri"/>
          <w:b/>
        </w:rPr>
        <w:t xml:space="preserve">the process of developing a National Trade </w:t>
      </w:r>
      <w:r>
        <w:rPr>
          <w:rFonts w:cs="Calibri"/>
          <w:b/>
        </w:rPr>
        <w:t>Policy for Afghanistan</w:t>
      </w:r>
      <w:r w:rsidRPr="002E0EAD">
        <w:rPr>
          <w:rFonts w:cs="Calibri"/>
          <w:b/>
        </w:rPr>
        <w:t xml:space="preserve">.  </w:t>
      </w:r>
      <w:r w:rsidRPr="00FE7612">
        <w:rPr>
          <w:rFonts w:cs="Calibri"/>
        </w:rPr>
        <w:t>It is essential to set</w:t>
      </w:r>
      <w:r>
        <w:rPr>
          <w:rFonts w:cs="Calibri"/>
        </w:rPr>
        <w:t xml:space="preserve"> a</w:t>
      </w:r>
      <w:r w:rsidRPr="00C82C98">
        <w:rPr>
          <w:rFonts w:cs="Calibri"/>
        </w:rPr>
        <w:t xml:space="preserve"> direction and role </w:t>
      </w:r>
      <w:r>
        <w:rPr>
          <w:rFonts w:cs="Calibri"/>
        </w:rPr>
        <w:t>for</w:t>
      </w:r>
      <w:r w:rsidRPr="00C82C98">
        <w:rPr>
          <w:rFonts w:cs="Calibri"/>
        </w:rPr>
        <w:t xml:space="preserve"> trade </w:t>
      </w:r>
      <w:r>
        <w:rPr>
          <w:rFonts w:cs="Calibri"/>
        </w:rPr>
        <w:t>to contribute to the country’s</w:t>
      </w:r>
      <w:r w:rsidRPr="00C82C98">
        <w:rPr>
          <w:rFonts w:cs="Calibri"/>
        </w:rPr>
        <w:t xml:space="preserve"> economic development</w:t>
      </w:r>
      <w:r>
        <w:rPr>
          <w:rFonts w:cs="Calibri"/>
        </w:rPr>
        <w:t xml:space="preserve">.  The first section of this chapter discusses the role of the public sector in private-sector development and proposes concrete measures to improve the overall business climate.  A second section explores the role of export promotion and current barriers to export development in Afghanistan.  The third, final, section examines sector-specific actions that could impact growth and draws lessons from a rich literature of sectoral reviews and value-chain analysis.   </w:t>
      </w:r>
      <w:r w:rsidRPr="002E0EAD">
        <w:rPr>
          <w:rFonts w:cs="Calibri"/>
        </w:rPr>
        <w:t xml:space="preserve"> </w:t>
      </w:r>
    </w:p>
    <w:p w:rsidR="00FA1FE1" w:rsidRDefault="00FA1FE1" w:rsidP="00FA1FE1">
      <w:pPr>
        <w:contextualSpacing/>
        <w:rPr>
          <w:rFonts w:cstheme="minorHAnsi"/>
        </w:rPr>
      </w:pPr>
      <w:r w:rsidRPr="00730E8C">
        <w:rPr>
          <w:rFonts w:cstheme="minorHAnsi"/>
          <w:b/>
        </w:rPr>
        <w:t>Afghanistan is heavily reliant on imports</w:t>
      </w:r>
      <w:r>
        <w:rPr>
          <w:rFonts w:cstheme="minorHAnsi"/>
          <w:b/>
        </w:rPr>
        <w:t xml:space="preserve"> of</w:t>
      </w:r>
      <w:r w:rsidRPr="00730E8C">
        <w:rPr>
          <w:rFonts w:cstheme="minorHAnsi"/>
          <w:b/>
        </w:rPr>
        <w:t xml:space="preserve"> goods</w:t>
      </w:r>
      <w:r>
        <w:rPr>
          <w:rFonts w:cstheme="minorHAnsi"/>
          <w:b/>
        </w:rPr>
        <w:t>, some of which</w:t>
      </w:r>
      <w:r w:rsidRPr="00730E8C">
        <w:rPr>
          <w:rFonts w:cstheme="minorHAnsi"/>
          <w:b/>
        </w:rPr>
        <w:t xml:space="preserve"> would be cheaper to produce domestically. </w:t>
      </w:r>
      <w:r>
        <w:rPr>
          <w:rFonts w:cstheme="minorHAnsi"/>
        </w:rPr>
        <w:t>T</w:t>
      </w:r>
      <w:r w:rsidRPr="00730E8C">
        <w:rPr>
          <w:rFonts w:cstheme="minorHAnsi"/>
        </w:rPr>
        <w:t>o achieve export-led growth</w:t>
      </w:r>
      <w:r>
        <w:rPr>
          <w:rFonts w:cstheme="minorHAnsi"/>
        </w:rPr>
        <w:t>,</w:t>
      </w:r>
      <w:r w:rsidRPr="00730E8C">
        <w:rPr>
          <w:rFonts w:cstheme="minorHAnsi"/>
        </w:rPr>
        <w:t xml:space="preserve"> public policy </w:t>
      </w:r>
      <w:r>
        <w:rPr>
          <w:rFonts w:cstheme="minorHAnsi"/>
        </w:rPr>
        <w:t>generally looks for</w:t>
      </w:r>
      <w:r w:rsidRPr="00730E8C">
        <w:rPr>
          <w:rFonts w:cstheme="minorHAnsi"/>
        </w:rPr>
        <w:t xml:space="preserve"> ways to increase the ability to sell domestically produced goods and services on global markets.</w:t>
      </w:r>
      <w:r w:rsidRPr="00F566A8">
        <w:rPr>
          <w:rFonts w:cstheme="minorHAnsi"/>
        </w:rPr>
        <w:t xml:space="preserve"> </w:t>
      </w:r>
      <w:r>
        <w:rPr>
          <w:rFonts w:cstheme="minorHAnsi"/>
        </w:rPr>
        <w:t>E</w:t>
      </w:r>
      <w:r w:rsidRPr="00F566A8">
        <w:rPr>
          <w:rFonts w:cstheme="minorHAnsi"/>
        </w:rPr>
        <w:t>xports become the target and ultimate goal</w:t>
      </w:r>
      <w:r>
        <w:rPr>
          <w:rFonts w:cstheme="minorHAnsi"/>
        </w:rPr>
        <w:t xml:space="preserve"> of economic policy, which is beneficial because exporting generates positive externalities and increases firms’ competitiveness. Afghanistan, however, would benefit from a two-pronged trade development strategy: (i) focusing on private-sector development and on producing cheaper quality goods</w:t>
      </w:r>
      <w:r w:rsidRPr="007216BC">
        <w:rPr>
          <w:rFonts w:cstheme="minorHAnsi"/>
        </w:rPr>
        <w:t xml:space="preserve"> </w:t>
      </w:r>
      <w:r>
        <w:rPr>
          <w:rFonts w:cstheme="minorHAnsi"/>
        </w:rPr>
        <w:t xml:space="preserve">domestically, and (ii) facilitating the breakthrough into international markets of established and competitive firms ready to expand.  Measures to achieve the first prong focus mostly on reducing the costs of imports of quality raw materials and with improving the business climate (see first section, below). To achieve the second prong, export promotion measures are more relevant, such as marketing, branding, and creating added value (see second section, below).  </w:t>
      </w:r>
    </w:p>
    <w:p w:rsidR="00FA1FE1" w:rsidRDefault="00FA1FE1" w:rsidP="00FA1FE1">
      <w:pPr>
        <w:pStyle w:val="Heading2"/>
      </w:pPr>
      <w:bookmarkStart w:id="226" w:name="_Toc327208471"/>
      <w:bookmarkStart w:id="227" w:name="_Toc348451686"/>
      <w:r w:rsidRPr="00010C9A">
        <w:t>Private-Sector Development</w:t>
      </w:r>
      <w:bookmarkEnd w:id="226"/>
      <w:bookmarkEnd w:id="227"/>
    </w:p>
    <w:p w:rsidR="00FA1FE1" w:rsidRPr="007F43F6" w:rsidRDefault="00FA1FE1" w:rsidP="00FA1FE1">
      <w:pPr>
        <w:pStyle w:val="Heading3"/>
        <w:rPr>
          <w:sz w:val="24"/>
          <w:szCs w:val="24"/>
        </w:rPr>
      </w:pPr>
      <w:bookmarkStart w:id="228" w:name="_Toc327208472"/>
      <w:bookmarkStart w:id="229" w:name="_Toc348451687"/>
      <w:r w:rsidRPr="007F43F6">
        <w:rPr>
          <w:sz w:val="24"/>
          <w:szCs w:val="24"/>
        </w:rPr>
        <w:t>The Role of the Public Sector</w:t>
      </w:r>
      <w:bookmarkEnd w:id="228"/>
      <w:bookmarkEnd w:id="229"/>
    </w:p>
    <w:p w:rsidR="00FA1FE1" w:rsidRPr="00626AD1" w:rsidRDefault="00FA1FE1" w:rsidP="00FA1FE1">
      <w:pPr>
        <w:spacing w:before="240"/>
        <w:rPr>
          <w:rFonts w:cs="Calibri"/>
        </w:rPr>
      </w:pPr>
      <w:r w:rsidRPr="00626AD1">
        <w:rPr>
          <w:rFonts w:cs="Calibri"/>
          <w:b/>
        </w:rPr>
        <w:t>National Trade Policy, and its export component, should aim to set an enabling environment for the private sector to flourish</w:t>
      </w:r>
      <w:r w:rsidRPr="00626AD1">
        <w:rPr>
          <w:rFonts w:cs="Calibri"/>
        </w:rPr>
        <w:t xml:space="preserve">. </w:t>
      </w:r>
      <w:r>
        <w:rPr>
          <w:rFonts w:cs="Calibri"/>
        </w:rPr>
        <w:t>P</w:t>
      </w:r>
      <w:r w:rsidRPr="00626AD1">
        <w:rPr>
          <w:rFonts w:cs="Calibri"/>
        </w:rPr>
        <w:t>ublic policy</w:t>
      </w:r>
      <w:r>
        <w:rPr>
          <w:rFonts w:cs="Calibri"/>
        </w:rPr>
        <w:t xml:space="preserve"> can enable the private s</w:t>
      </w:r>
      <w:r w:rsidRPr="00626AD1">
        <w:rPr>
          <w:rFonts w:cs="Calibri"/>
        </w:rPr>
        <w:t>ector</w:t>
      </w:r>
      <w:r>
        <w:rPr>
          <w:rFonts w:cs="Calibri"/>
        </w:rPr>
        <w:t xml:space="preserve"> to become a motor of growth when it corrects instances where markets fa</w:t>
      </w:r>
      <w:r w:rsidRPr="00626AD1">
        <w:rPr>
          <w:rFonts w:cs="Calibri"/>
        </w:rPr>
        <w:t>il to allocate resources efficiently</w:t>
      </w:r>
      <w:r>
        <w:rPr>
          <w:rFonts w:cs="Calibri"/>
        </w:rPr>
        <w:t>. It should aim to m</w:t>
      </w:r>
      <w:r w:rsidRPr="00626AD1">
        <w:rPr>
          <w:rFonts w:cs="Calibri"/>
        </w:rPr>
        <w:t xml:space="preserve">inimize price distortions faced by both producers and consumers, while promoting inclusive growth. In practice, this translates into interventions </w:t>
      </w:r>
      <w:r>
        <w:rPr>
          <w:rFonts w:cs="Calibri"/>
        </w:rPr>
        <w:t>in</w:t>
      </w:r>
      <w:r w:rsidRPr="00626AD1">
        <w:rPr>
          <w:rFonts w:cs="Calibri"/>
        </w:rPr>
        <w:t xml:space="preserve"> several dimensions: </w:t>
      </w:r>
    </w:p>
    <w:p w:rsidR="00FA1FE1" w:rsidRDefault="00FA1FE1" w:rsidP="0005346D">
      <w:pPr>
        <w:numPr>
          <w:ilvl w:val="0"/>
          <w:numId w:val="16"/>
        </w:numPr>
        <w:tabs>
          <w:tab w:val="num" w:pos="720"/>
        </w:tabs>
        <w:autoSpaceDE w:val="0"/>
        <w:autoSpaceDN w:val="0"/>
        <w:adjustRightInd w:val="0"/>
        <w:spacing w:after="100" w:afterAutospacing="1"/>
        <w:ind w:left="720" w:hanging="720"/>
      </w:pPr>
      <w:r>
        <w:t xml:space="preserve">Correcting for externalities, which requires making people pay (or be paid) for the cost and benefits of their actions––for example, discouraging the over-use of fertilizer leading to pollution, or rewarding advances in R&amp;D with a patent; </w:t>
      </w:r>
    </w:p>
    <w:p w:rsidR="00FA1FE1" w:rsidRDefault="00FA1FE1" w:rsidP="0005346D">
      <w:pPr>
        <w:numPr>
          <w:ilvl w:val="0"/>
          <w:numId w:val="16"/>
        </w:numPr>
        <w:tabs>
          <w:tab w:val="num" w:pos="720"/>
        </w:tabs>
        <w:autoSpaceDE w:val="0"/>
        <w:autoSpaceDN w:val="0"/>
        <w:adjustRightInd w:val="0"/>
        <w:spacing w:after="100" w:afterAutospacing="1"/>
        <w:ind w:left="720" w:hanging="720"/>
      </w:pPr>
      <w:r>
        <w:t xml:space="preserve">Providing for public goods that are not efficiently and sufficiently produced by the market––for example, providing security, building rural roads and irrigation systems, and funding R&amp;D); </w:t>
      </w:r>
    </w:p>
    <w:p w:rsidR="00FA1FE1" w:rsidRDefault="00FA1FE1" w:rsidP="0005346D">
      <w:pPr>
        <w:numPr>
          <w:ilvl w:val="0"/>
          <w:numId w:val="16"/>
        </w:numPr>
        <w:tabs>
          <w:tab w:val="num" w:pos="720"/>
        </w:tabs>
        <w:autoSpaceDE w:val="0"/>
        <w:autoSpaceDN w:val="0"/>
        <w:adjustRightInd w:val="0"/>
        <w:spacing w:after="100" w:afterAutospacing="1"/>
        <w:ind w:left="720" w:hanging="720"/>
      </w:pPr>
      <w:r>
        <w:t xml:space="preserve">Addressing information asymmetries, eliminating information gaps so that producers and  consumers can make informed decisions on what to produce, with what level of inputs, and at what price––for example, certifying products with input and output quality standards, ensuring plant and animal health, providing information to potential exporters about demand in foreign markets; and </w:t>
      </w:r>
    </w:p>
    <w:p w:rsidR="00FA1FE1" w:rsidRPr="00E269D7" w:rsidRDefault="00FA1FE1" w:rsidP="0005346D">
      <w:pPr>
        <w:numPr>
          <w:ilvl w:val="0"/>
          <w:numId w:val="16"/>
        </w:numPr>
        <w:tabs>
          <w:tab w:val="num" w:pos="720"/>
        </w:tabs>
        <w:autoSpaceDE w:val="0"/>
        <w:autoSpaceDN w:val="0"/>
        <w:adjustRightInd w:val="0"/>
        <w:spacing w:after="100" w:afterAutospacing="1"/>
        <w:ind w:left="720" w:hanging="720"/>
        <w:rPr>
          <w:i/>
        </w:rPr>
      </w:pPr>
      <w:r>
        <w:t>Regulating against monopolistic behavior that reduces social welfare through lower outputs sold at higher prices.</w:t>
      </w:r>
    </w:p>
    <w:p w:rsidR="00FA1FE1" w:rsidRDefault="00FA1FE1" w:rsidP="00FA1FE1">
      <w:pPr>
        <w:autoSpaceDE w:val="0"/>
        <w:autoSpaceDN w:val="0"/>
        <w:adjustRightInd w:val="0"/>
        <w:rPr>
          <w:rFonts w:cstheme="minorHAnsi"/>
        </w:rPr>
      </w:pPr>
      <w:r w:rsidRPr="00662842">
        <w:rPr>
          <w:rFonts w:cstheme="minorHAnsi"/>
          <w:b/>
        </w:rPr>
        <w:t xml:space="preserve">An attractive investment climate will set incentives for private activity to grow, for firms to invest over the medium term, which in turn </w:t>
      </w:r>
      <w:r>
        <w:rPr>
          <w:rFonts w:cstheme="minorHAnsi"/>
          <w:b/>
        </w:rPr>
        <w:t xml:space="preserve">will </w:t>
      </w:r>
      <w:r w:rsidRPr="00662842">
        <w:rPr>
          <w:rFonts w:cstheme="minorHAnsi"/>
          <w:b/>
        </w:rPr>
        <w:t>translate into new job opportunities</w:t>
      </w:r>
      <w:r w:rsidRPr="00271011">
        <w:rPr>
          <w:rFonts w:cstheme="minorHAnsi"/>
        </w:rPr>
        <w:t>.</w:t>
      </w:r>
      <w:r>
        <w:rPr>
          <w:rFonts w:cstheme="minorHAnsi"/>
        </w:rPr>
        <w:t xml:space="preserve"> In this sense, r</w:t>
      </w:r>
      <w:r w:rsidRPr="003A5F9E">
        <w:rPr>
          <w:rFonts w:cstheme="minorHAnsi"/>
        </w:rPr>
        <w:t>egulations</w:t>
      </w:r>
      <w:r>
        <w:rPr>
          <w:rFonts w:cstheme="minorHAnsi"/>
        </w:rPr>
        <w:t xml:space="preserve"> play an important role, and if </w:t>
      </w:r>
      <w:r w:rsidRPr="003A5F9E">
        <w:rPr>
          <w:rFonts w:cstheme="minorHAnsi"/>
        </w:rPr>
        <w:t xml:space="preserve">transparent, accessible, and efficiently implemented </w:t>
      </w:r>
      <w:r>
        <w:rPr>
          <w:rFonts w:cstheme="minorHAnsi"/>
        </w:rPr>
        <w:t xml:space="preserve">these will stimulate </w:t>
      </w:r>
      <w:r w:rsidRPr="003A5F9E">
        <w:rPr>
          <w:rFonts w:cstheme="minorHAnsi"/>
        </w:rPr>
        <w:t xml:space="preserve">growth, job creation and poverty reduction. As one measurement of the investment climate, </w:t>
      </w:r>
      <w:r>
        <w:rPr>
          <w:rFonts w:cstheme="minorHAnsi"/>
        </w:rPr>
        <w:t xml:space="preserve">the World Bank’s </w:t>
      </w:r>
      <w:r w:rsidRPr="003A5F9E">
        <w:rPr>
          <w:rFonts w:cstheme="minorHAnsi"/>
        </w:rPr>
        <w:t>Doing Business</w:t>
      </w:r>
      <w:r>
        <w:rPr>
          <w:rFonts w:cstheme="minorHAnsi"/>
        </w:rPr>
        <w:t xml:space="preserve"> indicators </w:t>
      </w:r>
      <w:r w:rsidRPr="003A5F9E">
        <w:rPr>
          <w:rFonts w:cstheme="minorHAnsi"/>
        </w:rPr>
        <w:t>provide a set of benchmarks to help governments identify areas where regulatory reform can help foster private</w:t>
      </w:r>
      <w:r>
        <w:rPr>
          <w:rFonts w:cstheme="minorHAnsi"/>
        </w:rPr>
        <w:t>-</w:t>
      </w:r>
      <w:r w:rsidRPr="003A5F9E">
        <w:rPr>
          <w:rFonts w:cstheme="minorHAnsi"/>
        </w:rPr>
        <w:t>sector growth.</w:t>
      </w:r>
      <w:r>
        <w:rPr>
          <w:rStyle w:val="FootnoteReference"/>
          <w:rFonts w:cstheme="minorHAnsi"/>
        </w:rPr>
        <w:footnoteReference w:id="30"/>
      </w:r>
      <w:r w:rsidRPr="00271011">
        <w:rPr>
          <w:rFonts w:cstheme="minorHAnsi"/>
        </w:rPr>
        <w:t xml:space="preserve">   </w:t>
      </w:r>
    </w:p>
    <w:p w:rsidR="00FA1FE1" w:rsidRPr="00E63F1B" w:rsidRDefault="00FA1FE1" w:rsidP="00FA1FE1">
      <w:pPr>
        <w:autoSpaceDE w:val="0"/>
        <w:autoSpaceDN w:val="0"/>
        <w:adjustRightInd w:val="0"/>
        <w:rPr>
          <w:rFonts w:cstheme="minorHAnsi"/>
          <w:szCs w:val="22"/>
        </w:rPr>
      </w:pPr>
      <w:r w:rsidRPr="00E63F1B">
        <w:rPr>
          <w:rFonts w:cstheme="minorHAnsi"/>
          <w:b/>
          <w:szCs w:val="22"/>
        </w:rPr>
        <w:t>A World Bank assessment of the business climate in Afghanistan in 2011 recommended reforms in nine of the ten indicators of the Doing Business</w:t>
      </w:r>
      <w:r w:rsidRPr="00FC5FF6">
        <w:rPr>
          <w:rFonts w:cstheme="minorHAnsi"/>
          <w:szCs w:val="22"/>
        </w:rPr>
        <w:t>.</w:t>
      </w:r>
      <w:r w:rsidRPr="00FC5FF6">
        <w:rPr>
          <w:rStyle w:val="FootnoteReference"/>
          <w:rFonts w:cstheme="minorHAnsi"/>
          <w:sz w:val="22"/>
          <w:szCs w:val="22"/>
        </w:rPr>
        <w:footnoteReference w:id="31"/>
      </w:r>
      <w:r w:rsidRPr="00FC5FF6">
        <w:rPr>
          <w:rFonts w:cstheme="minorHAnsi"/>
          <w:szCs w:val="22"/>
        </w:rPr>
        <w:t xml:space="preserve"> </w:t>
      </w:r>
      <w:r>
        <w:rPr>
          <w:rFonts w:cstheme="minorHAnsi"/>
          <w:szCs w:val="22"/>
        </w:rPr>
        <w:t>T</w:t>
      </w:r>
      <w:r w:rsidRPr="00FC5FF6">
        <w:rPr>
          <w:rFonts w:cstheme="minorHAnsi"/>
          <w:szCs w:val="22"/>
        </w:rPr>
        <w:t xml:space="preserve">his DTIS </w:t>
      </w:r>
      <w:r>
        <w:rPr>
          <w:rFonts w:cstheme="minorHAnsi"/>
          <w:szCs w:val="22"/>
        </w:rPr>
        <w:t xml:space="preserve">places special emphasis </w:t>
      </w:r>
      <w:r w:rsidRPr="00FC5FF6">
        <w:rPr>
          <w:rFonts w:cstheme="minorHAnsi"/>
          <w:szCs w:val="22"/>
        </w:rPr>
        <w:t xml:space="preserve">on a subset of these indicators </w:t>
      </w:r>
      <w:r>
        <w:rPr>
          <w:rFonts w:cstheme="minorHAnsi"/>
          <w:szCs w:val="22"/>
        </w:rPr>
        <w:t>in an effort to</w:t>
      </w:r>
      <w:r w:rsidRPr="00FC5FF6">
        <w:rPr>
          <w:rFonts w:cstheme="minorHAnsi"/>
          <w:szCs w:val="22"/>
        </w:rPr>
        <w:t xml:space="preserve"> boost private sector development and export generation</w:t>
      </w:r>
      <w:r>
        <w:rPr>
          <w:rFonts w:cstheme="minorHAnsi"/>
          <w:szCs w:val="22"/>
        </w:rPr>
        <w:t xml:space="preserve"> through</w:t>
      </w:r>
      <w:r w:rsidRPr="00FC5FF6">
        <w:rPr>
          <w:rFonts w:cstheme="minorHAnsi"/>
          <w:szCs w:val="22"/>
        </w:rPr>
        <w:t xml:space="preserve"> </w:t>
      </w:r>
      <w:r>
        <w:rPr>
          <w:rFonts w:cstheme="minorHAnsi"/>
          <w:szCs w:val="22"/>
        </w:rPr>
        <w:t>(</w:t>
      </w:r>
      <w:r w:rsidRPr="00FC5FF6">
        <w:rPr>
          <w:rFonts w:cstheme="minorHAnsi"/>
          <w:szCs w:val="22"/>
        </w:rPr>
        <w:t xml:space="preserve">i) </w:t>
      </w:r>
      <w:r>
        <w:rPr>
          <w:rFonts w:cstheme="minorHAnsi"/>
          <w:szCs w:val="22"/>
        </w:rPr>
        <w:t>s</w:t>
      </w:r>
      <w:r w:rsidRPr="00FC5FF6">
        <w:rPr>
          <w:rFonts w:cstheme="minorHAnsi"/>
          <w:szCs w:val="22"/>
        </w:rPr>
        <w:t xml:space="preserve">tarting a business, </w:t>
      </w:r>
      <w:r>
        <w:rPr>
          <w:rFonts w:cstheme="minorHAnsi"/>
          <w:szCs w:val="22"/>
        </w:rPr>
        <w:t>(</w:t>
      </w:r>
      <w:r w:rsidRPr="00FC5FF6">
        <w:rPr>
          <w:rFonts w:cstheme="minorHAnsi"/>
          <w:szCs w:val="22"/>
        </w:rPr>
        <w:t>ii)</w:t>
      </w:r>
      <w:r>
        <w:rPr>
          <w:rFonts w:cstheme="minorHAnsi"/>
          <w:szCs w:val="22"/>
        </w:rPr>
        <w:t xml:space="preserve"> g</w:t>
      </w:r>
      <w:r w:rsidRPr="00FC5FF6">
        <w:rPr>
          <w:rFonts w:cstheme="minorHAnsi"/>
          <w:szCs w:val="22"/>
        </w:rPr>
        <w:t xml:space="preserve">etting credit, </w:t>
      </w:r>
      <w:r>
        <w:rPr>
          <w:rFonts w:cstheme="minorHAnsi"/>
          <w:szCs w:val="22"/>
        </w:rPr>
        <w:t>(</w:t>
      </w:r>
      <w:r w:rsidRPr="00FC5FF6">
        <w:rPr>
          <w:rFonts w:cstheme="minorHAnsi"/>
          <w:szCs w:val="22"/>
        </w:rPr>
        <w:t xml:space="preserve">iii) </w:t>
      </w:r>
      <w:r>
        <w:rPr>
          <w:rFonts w:cstheme="minorHAnsi"/>
          <w:szCs w:val="22"/>
        </w:rPr>
        <w:t>p</w:t>
      </w:r>
      <w:r w:rsidRPr="00FC5FF6">
        <w:rPr>
          <w:rFonts w:cstheme="minorHAnsi"/>
          <w:szCs w:val="22"/>
        </w:rPr>
        <w:t xml:space="preserve">rotecting investors, and </w:t>
      </w:r>
      <w:r>
        <w:rPr>
          <w:rFonts w:cstheme="minorHAnsi"/>
          <w:szCs w:val="22"/>
        </w:rPr>
        <w:t>(</w:t>
      </w:r>
      <w:r w:rsidRPr="00FC5FF6">
        <w:rPr>
          <w:rFonts w:cstheme="minorHAnsi"/>
          <w:szCs w:val="22"/>
        </w:rPr>
        <w:t xml:space="preserve">iv) </w:t>
      </w:r>
      <w:r>
        <w:rPr>
          <w:rFonts w:cstheme="minorHAnsi"/>
          <w:szCs w:val="22"/>
        </w:rPr>
        <w:t>e</w:t>
      </w:r>
      <w:r w:rsidRPr="00FC5FF6">
        <w:rPr>
          <w:rFonts w:cstheme="minorHAnsi"/>
          <w:szCs w:val="22"/>
        </w:rPr>
        <w:t>nforcing contracts</w:t>
      </w:r>
      <w:r>
        <w:rPr>
          <w:rFonts w:cstheme="minorHAnsi"/>
        </w:rPr>
        <w:t>.</w:t>
      </w:r>
      <w:r>
        <w:rPr>
          <w:rStyle w:val="FootnoteReference"/>
          <w:rFonts w:cstheme="minorHAnsi"/>
        </w:rPr>
        <w:footnoteReference w:id="32"/>
      </w:r>
    </w:p>
    <w:p w:rsidR="00FA1FE1" w:rsidRDefault="00FA1FE1" w:rsidP="00FA1FE1">
      <w:pPr>
        <w:autoSpaceDE w:val="0"/>
        <w:autoSpaceDN w:val="0"/>
        <w:adjustRightInd w:val="0"/>
        <w:rPr>
          <w:rFonts w:cstheme="minorHAnsi"/>
        </w:rPr>
      </w:pPr>
      <w:r>
        <w:rPr>
          <w:rFonts w:cstheme="minorHAnsi"/>
          <w:b/>
        </w:rPr>
        <w:t>Afghanistan, represented by Kabul</w:t>
      </w:r>
      <w:r w:rsidRPr="00D47D73">
        <w:rPr>
          <w:rFonts w:cstheme="minorHAnsi"/>
          <w:b/>
        </w:rPr>
        <w:t xml:space="preserve"> </w:t>
      </w:r>
      <w:r>
        <w:rPr>
          <w:rFonts w:cstheme="minorHAnsi"/>
          <w:b/>
        </w:rPr>
        <w:t>i</w:t>
      </w:r>
      <w:r w:rsidRPr="007A48DE">
        <w:rPr>
          <w:rFonts w:cstheme="minorHAnsi"/>
          <w:b/>
        </w:rPr>
        <w:t>n Doing Business 2012</w:t>
      </w:r>
      <w:r>
        <w:rPr>
          <w:rFonts w:cstheme="minorHAnsi"/>
          <w:b/>
        </w:rPr>
        <w:t>,</w:t>
      </w:r>
      <w:r w:rsidRPr="007A48DE">
        <w:rPr>
          <w:rFonts w:cstheme="minorHAnsi"/>
          <w:b/>
        </w:rPr>
        <w:t xml:space="preserve"> rank</w:t>
      </w:r>
      <w:r>
        <w:rPr>
          <w:rFonts w:cstheme="minorHAnsi"/>
          <w:b/>
        </w:rPr>
        <w:t xml:space="preserve">ed </w:t>
      </w:r>
      <w:r w:rsidRPr="007A48DE">
        <w:rPr>
          <w:rFonts w:cstheme="minorHAnsi"/>
          <w:b/>
        </w:rPr>
        <w:t xml:space="preserve">160th out of 183 economies and last among the </w:t>
      </w:r>
      <w:r>
        <w:rPr>
          <w:rFonts w:cstheme="minorHAnsi"/>
          <w:b/>
        </w:rPr>
        <w:t>eight</w:t>
      </w:r>
      <w:r w:rsidRPr="007A48DE">
        <w:rPr>
          <w:rFonts w:cstheme="minorHAnsi"/>
          <w:b/>
        </w:rPr>
        <w:t xml:space="preserve"> economies that make up the South Asia region</w:t>
      </w:r>
      <w:r>
        <w:rPr>
          <w:rFonts w:cstheme="minorHAnsi"/>
          <w:b/>
        </w:rPr>
        <w:t>.</w:t>
      </w:r>
      <w:r>
        <w:rPr>
          <w:rFonts w:cstheme="minorHAnsi"/>
        </w:rPr>
        <w:t xml:space="preserve"> This was well behind countries such as </w:t>
      </w:r>
      <w:r w:rsidRPr="00E269D7">
        <w:rPr>
          <w:rFonts w:cstheme="minorHAnsi"/>
        </w:rPr>
        <w:t xml:space="preserve">Maldives (79), Sri Lanka (89), Pakistan (105), Nepal (107) and </w:t>
      </w:r>
      <w:r>
        <w:rPr>
          <w:rFonts w:cstheme="minorHAnsi"/>
        </w:rPr>
        <w:t>Bangladesh (122). The country’s performance wa</w:t>
      </w:r>
      <w:r w:rsidRPr="00E269D7">
        <w:rPr>
          <w:rFonts w:cstheme="minorHAnsi"/>
        </w:rPr>
        <w:t>s uneven across the Doing Business ind</w:t>
      </w:r>
      <w:r>
        <w:rPr>
          <w:rFonts w:cstheme="minorHAnsi"/>
        </w:rPr>
        <w:t xml:space="preserve">icators. It ranked </w:t>
      </w:r>
      <w:r w:rsidRPr="00E269D7">
        <w:rPr>
          <w:rFonts w:cstheme="minorHAnsi"/>
        </w:rPr>
        <w:t>relatively high in starting a business (30) and paying taxes (63), but</w:t>
      </w:r>
      <w:r>
        <w:rPr>
          <w:rFonts w:cstheme="minorHAnsi"/>
        </w:rPr>
        <w:t xml:space="preserve"> last (183) in protecting </w:t>
      </w:r>
      <w:r w:rsidRPr="00E269D7">
        <w:rPr>
          <w:rFonts w:cstheme="minorHAnsi"/>
        </w:rPr>
        <w:t xml:space="preserve">investors, and poorly in indicators </w:t>
      </w:r>
      <w:r>
        <w:rPr>
          <w:rFonts w:cstheme="minorHAnsi"/>
        </w:rPr>
        <w:t>such as</w:t>
      </w:r>
      <w:r w:rsidRPr="00E269D7">
        <w:rPr>
          <w:rFonts w:cstheme="minorHAnsi"/>
        </w:rPr>
        <w:t xml:space="preserve"> trading across borders (179)</w:t>
      </w:r>
      <w:r>
        <w:rPr>
          <w:rFonts w:cstheme="minorHAnsi"/>
        </w:rPr>
        <w:t xml:space="preserve">, registering property (172), </w:t>
      </w:r>
      <w:r w:rsidRPr="00E269D7">
        <w:rPr>
          <w:rFonts w:cstheme="minorHAnsi"/>
        </w:rPr>
        <w:t xml:space="preserve">dealing with construction permits (162), enforcing contracts (161), </w:t>
      </w:r>
      <w:r>
        <w:rPr>
          <w:rFonts w:cstheme="minorHAnsi"/>
        </w:rPr>
        <w:t xml:space="preserve">and getting credit (150). These </w:t>
      </w:r>
      <w:r w:rsidRPr="00E269D7">
        <w:rPr>
          <w:rFonts w:cstheme="minorHAnsi"/>
        </w:rPr>
        <w:t>rankings reflect outdated regulations and unnecessary bureaucracy t</w:t>
      </w:r>
      <w:r>
        <w:rPr>
          <w:rFonts w:cstheme="minorHAnsi"/>
        </w:rPr>
        <w:t xml:space="preserve">hat create significant barriers </w:t>
      </w:r>
      <w:r w:rsidRPr="00E269D7">
        <w:rPr>
          <w:rFonts w:cstheme="minorHAnsi"/>
        </w:rPr>
        <w:t>for Afghan businesses.</w:t>
      </w:r>
      <w:r>
        <w:rPr>
          <w:rStyle w:val="FootnoteReference"/>
          <w:rFonts w:cstheme="minorHAnsi"/>
        </w:rPr>
        <w:footnoteReference w:id="33"/>
      </w:r>
      <w:r w:rsidRPr="00E269D7">
        <w:rPr>
          <w:rFonts w:cstheme="minorHAnsi"/>
        </w:rPr>
        <w:t xml:space="preserve"> </w:t>
      </w:r>
    </w:p>
    <w:p w:rsidR="00FA1FE1" w:rsidRDefault="00FA1FE1" w:rsidP="00FA1FE1">
      <w:pPr>
        <w:autoSpaceDE w:val="0"/>
        <w:autoSpaceDN w:val="0"/>
        <w:adjustRightInd w:val="0"/>
        <w:spacing w:after="0"/>
        <w:rPr>
          <w:rFonts w:cstheme="minorHAnsi"/>
        </w:rPr>
      </w:pPr>
      <w:r w:rsidRPr="007A48DE">
        <w:rPr>
          <w:rFonts w:cstheme="minorHAnsi"/>
          <w:b/>
        </w:rPr>
        <w:t>Improvements in the Doing Business rankings are difficult to predict for Afghanistan or any other country</w:t>
      </w:r>
      <w:r w:rsidRPr="00E269D7">
        <w:rPr>
          <w:rFonts w:cstheme="minorHAnsi"/>
        </w:rPr>
        <w:t xml:space="preserve">. Rather than aiming for specific advancements in the rankings, </w:t>
      </w:r>
      <w:r>
        <w:rPr>
          <w:rFonts w:cstheme="minorHAnsi"/>
        </w:rPr>
        <w:t>the government should promote</w:t>
      </w:r>
      <w:r w:rsidRPr="00E269D7">
        <w:rPr>
          <w:rFonts w:cstheme="minorHAnsi"/>
        </w:rPr>
        <w:t xml:space="preserve"> reforms to improve the investment cl</w:t>
      </w:r>
      <w:r>
        <w:rPr>
          <w:rFonts w:cstheme="minorHAnsi"/>
        </w:rPr>
        <w:t xml:space="preserve">imate. A rigorous reform effort </w:t>
      </w:r>
      <w:r w:rsidRPr="00E269D7">
        <w:rPr>
          <w:rFonts w:cstheme="minorHAnsi"/>
        </w:rPr>
        <w:t xml:space="preserve">will likely </w:t>
      </w:r>
      <w:r>
        <w:rPr>
          <w:rFonts w:cstheme="minorHAnsi"/>
        </w:rPr>
        <w:t>improve Afghanistan’s</w:t>
      </w:r>
      <w:r w:rsidRPr="00E269D7">
        <w:rPr>
          <w:rFonts w:cstheme="minorHAnsi"/>
        </w:rPr>
        <w:t xml:space="preserve"> Doing Business rankings and—more importantly—</w:t>
      </w:r>
      <w:r>
        <w:rPr>
          <w:rFonts w:cstheme="minorHAnsi"/>
        </w:rPr>
        <w:t xml:space="preserve">provide a better </w:t>
      </w:r>
      <w:r w:rsidRPr="00E269D7">
        <w:rPr>
          <w:rFonts w:cstheme="minorHAnsi"/>
        </w:rPr>
        <w:t>business environment</w:t>
      </w:r>
      <w:r>
        <w:rPr>
          <w:rFonts w:cstheme="minorHAnsi"/>
        </w:rPr>
        <w:t>,</w:t>
      </w:r>
      <w:r w:rsidRPr="00E269D7">
        <w:rPr>
          <w:rFonts w:cstheme="minorHAnsi"/>
        </w:rPr>
        <w:t xml:space="preserve"> more conducive to economic growth and private</w:t>
      </w:r>
      <w:r>
        <w:rPr>
          <w:rFonts w:cstheme="minorHAnsi"/>
        </w:rPr>
        <w:t>-</w:t>
      </w:r>
      <w:r w:rsidRPr="00E269D7">
        <w:rPr>
          <w:rFonts w:cstheme="minorHAnsi"/>
        </w:rPr>
        <w:t>sector development.</w:t>
      </w:r>
    </w:p>
    <w:p w:rsidR="00FA1FE1" w:rsidRDefault="00FA1FE1" w:rsidP="00FA1FE1">
      <w:pPr>
        <w:rPr>
          <w:rFonts w:cstheme="minorHAnsi"/>
          <w:b/>
        </w:rPr>
      </w:pPr>
      <w:r w:rsidRPr="00A00A62">
        <w:t xml:space="preserve">Starting a </w:t>
      </w:r>
      <w:r>
        <w:t>b</w:t>
      </w:r>
      <w:r w:rsidRPr="00A00A62">
        <w:t>usiness</w:t>
      </w:r>
    </w:p>
    <w:p w:rsidR="00FA1FE1" w:rsidRPr="00F445DD" w:rsidRDefault="00FA1FE1" w:rsidP="00FA1FE1">
      <w:r w:rsidRPr="00F445DD">
        <w:rPr>
          <w:b/>
        </w:rPr>
        <w:t>Business entry in Afghanistan has been simplified in recent years by taking company registration out of the commercial courts and establishing an Afghan Central Business Registry (ACBR).</w:t>
      </w:r>
      <w:r w:rsidRPr="00F445DD">
        <w:t xml:space="preserve"> The Registry acts as a one-stop shop, combining company registration, tax registration, publication in the official gazette, and charges a flat registration fee. While these reforms are a leap forward, the process to register and operate a business is still encumbered with bureaucracy and unnecessary licenses. Presently, all businesses, regardless of sector or risk to public health or environment, have either to get a trader’s license from the Ministry of Commerce and Industry (MoCI) or an investment license from the Afghan Investment Support Agency (AISA). This is in addition to sector-specific licenses from respective ministries. Businesses are also instructed to renew their licenses every year, which takes three months, with renewal fees ranging from 25-100 percent of the original license fee (according to sector).</w:t>
      </w:r>
    </w:p>
    <w:p w:rsidR="00FA1FE1" w:rsidRPr="00866C02" w:rsidRDefault="00FA1FE1" w:rsidP="00FA1FE1">
      <w:pPr>
        <w:autoSpaceDE w:val="0"/>
        <w:autoSpaceDN w:val="0"/>
        <w:adjustRightInd w:val="0"/>
        <w:rPr>
          <w:rFonts w:cstheme="minorHAnsi"/>
        </w:rPr>
      </w:pPr>
      <w:r w:rsidRPr="00A00A62">
        <w:rPr>
          <w:rFonts w:cstheme="minorHAnsi"/>
          <w:b/>
        </w:rPr>
        <w:t>The need for further business entry reform is pressing because the majority of Afghan enterprises are small and medium firms.</w:t>
      </w:r>
      <w:r w:rsidRPr="00866C02">
        <w:rPr>
          <w:rFonts w:cstheme="minorHAnsi"/>
        </w:rPr>
        <w:t xml:space="preserve"> Studies have shown that regulatory costs are more burdensome for small firms than larger ones.</w:t>
      </w:r>
      <w:r w:rsidRPr="00866C02">
        <w:rPr>
          <w:rFonts w:cstheme="minorHAnsi"/>
        </w:rPr>
        <w:tab/>
      </w:r>
    </w:p>
    <w:p w:rsidR="00FA1FE1" w:rsidRDefault="00FA1FE1" w:rsidP="00FA1FE1">
      <w:pPr>
        <w:autoSpaceDE w:val="0"/>
        <w:autoSpaceDN w:val="0"/>
        <w:adjustRightInd w:val="0"/>
        <w:rPr>
          <w:rFonts w:cstheme="minorHAnsi"/>
        </w:rPr>
      </w:pPr>
      <w:r w:rsidRPr="00866C02">
        <w:rPr>
          <w:rFonts w:cstheme="minorHAnsi"/>
          <w:b/>
        </w:rPr>
        <w:t>Speed</w:t>
      </w:r>
      <w:r>
        <w:rPr>
          <w:rFonts w:cstheme="minorHAnsi"/>
          <w:b/>
        </w:rPr>
        <w:t>ing</w:t>
      </w:r>
      <w:r w:rsidRPr="00866C02">
        <w:rPr>
          <w:rFonts w:cstheme="minorHAnsi"/>
          <w:b/>
        </w:rPr>
        <w:t xml:space="preserve"> up the process to renew investment licenses </w:t>
      </w:r>
      <w:r>
        <w:rPr>
          <w:rFonts w:cstheme="minorHAnsi"/>
          <w:b/>
        </w:rPr>
        <w:t xml:space="preserve">and the </w:t>
      </w:r>
      <w:r w:rsidRPr="00866C02">
        <w:rPr>
          <w:rFonts w:cstheme="minorHAnsi"/>
          <w:b/>
        </w:rPr>
        <w:t>frequency of renewals</w:t>
      </w:r>
      <w:r>
        <w:rPr>
          <w:rFonts w:cstheme="minorHAnsi"/>
          <w:b/>
        </w:rPr>
        <w:t xml:space="preserve"> would</w:t>
      </w:r>
      <w:r w:rsidRPr="00866C02">
        <w:rPr>
          <w:rFonts w:cstheme="minorHAnsi"/>
          <w:b/>
        </w:rPr>
        <w:t xml:space="preserve"> reduce cost</w:t>
      </w:r>
      <w:r>
        <w:rPr>
          <w:rFonts w:cstheme="minorHAnsi"/>
          <w:b/>
        </w:rPr>
        <w:t>s</w:t>
      </w:r>
      <w:r w:rsidRPr="00866C02">
        <w:rPr>
          <w:rFonts w:cstheme="minorHAnsi"/>
          <w:b/>
        </w:rPr>
        <w:t xml:space="preserve">. </w:t>
      </w:r>
      <w:r w:rsidRPr="00866C02">
        <w:rPr>
          <w:rFonts w:cstheme="minorHAnsi"/>
        </w:rPr>
        <w:t xml:space="preserve">AISA mandates the yearly renewal of licenses, with </w:t>
      </w:r>
      <w:r>
        <w:rPr>
          <w:rFonts w:cstheme="minorHAnsi"/>
        </w:rPr>
        <w:t xml:space="preserve">the stringent </w:t>
      </w:r>
      <w:r w:rsidRPr="00866C02">
        <w:rPr>
          <w:rFonts w:cstheme="minorHAnsi"/>
        </w:rPr>
        <w:t xml:space="preserve">renewal fees </w:t>
      </w:r>
      <w:r>
        <w:rPr>
          <w:rFonts w:cstheme="minorHAnsi"/>
        </w:rPr>
        <w:t>mentioned above</w:t>
      </w:r>
      <w:r w:rsidRPr="00866C02">
        <w:rPr>
          <w:rFonts w:cstheme="minorHAnsi"/>
        </w:rPr>
        <w:t xml:space="preserve">, and amounts from </w:t>
      </w:r>
      <w:r>
        <w:rPr>
          <w:rFonts w:cstheme="minorHAnsi"/>
        </w:rPr>
        <w:t>US</w:t>
      </w:r>
      <w:r w:rsidRPr="00866C02">
        <w:rPr>
          <w:rFonts w:cstheme="minorHAnsi"/>
        </w:rPr>
        <w:t xml:space="preserve">$25 to </w:t>
      </w:r>
      <w:r>
        <w:rPr>
          <w:rFonts w:cstheme="minorHAnsi"/>
        </w:rPr>
        <w:t>US</w:t>
      </w:r>
      <w:r w:rsidRPr="00866C02">
        <w:rPr>
          <w:rFonts w:cstheme="minorHAnsi"/>
        </w:rPr>
        <w:t xml:space="preserve">$500 (according to firm size). This does not include the cost </w:t>
      </w:r>
      <w:r>
        <w:rPr>
          <w:rFonts w:cstheme="minorHAnsi"/>
        </w:rPr>
        <w:t>of a</w:t>
      </w:r>
      <w:r w:rsidRPr="00866C02">
        <w:rPr>
          <w:rFonts w:cstheme="minorHAnsi"/>
        </w:rPr>
        <w:t xml:space="preserve"> copy of the certified license (</w:t>
      </w:r>
      <w:r>
        <w:rPr>
          <w:rFonts w:cstheme="minorHAnsi"/>
        </w:rPr>
        <w:t>US</w:t>
      </w:r>
      <w:r w:rsidRPr="00866C02">
        <w:rPr>
          <w:rFonts w:cstheme="minorHAnsi"/>
        </w:rPr>
        <w:t xml:space="preserve">$10) or the fees paid by construction companies </w:t>
      </w:r>
      <w:r>
        <w:rPr>
          <w:rFonts w:cstheme="minorHAnsi"/>
        </w:rPr>
        <w:t>to</w:t>
      </w:r>
      <w:r w:rsidRPr="00866C02">
        <w:rPr>
          <w:rFonts w:cstheme="minorHAnsi"/>
        </w:rPr>
        <w:t xml:space="preserve"> publish in the Ministry of Justice’s gazette (</w:t>
      </w:r>
      <w:r>
        <w:rPr>
          <w:rFonts w:cstheme="minorHAnsi"/>
        </w:rPr>
        <w:t>US</w:t>
      </w:r>
      <w:r w:rsidRPr="00866C02">
        <w:rPr>
          <w:rFonts w:cstheme="minorHAnsi"/>
        </w:rPr>
        <w:t xml:space="preserve">$32). AISA </w:t>
      </w:r>
      <w:r>
        <w:rPr>
          <w:rFonts w:cstheme="minorHAnsi"/>
        </w:rPr>
        <w:t xml:space="preserve">could </w:t>
      </w:r>
      <w:r w:rsidRPr="00866C02">
        <w:rPr>
          <w:rFonts w:cstheme="minorHAnsi"/>
        </w:rPr>
        <w:t>charge a small, flat administration fee to renew licenses, instead of fee</w:t>
      </w:r>
      <w:r>
        <w:rPr>
          <w:rFonts w:cstheme="minorHAnsi"/>
        </w:rPr>
        <w:t>s</w:t>
      </w:r>
      <w:r w:rsidRPr="00866C02">
        <w:rPr>
          <w:rFonts w:cstheme="minorHAnsi"/>
        </w:rPr>
        <w:t xml:space="preserve"> based on sector or firm size</w:t>
      </w:r>
      <w:r>
        <w:rPr>
          <w:rFonts w:cstheme="minorHAnsi"/>
        </w:rPr>
        <w:t>.</w:t>
      </w:r>
      <w:r w:rsidRPr="00866C02">
        <w:rPr>
          <w:rFonts w:cstheme="minorHAnsi"/>
        </w:rPr>
        <w:t xml:space="preserve"> Authorities maintain that the renewal helps the Ministry of Finance’s auditing process, and helps monitor tax compliance. Firms have complained </w:t>
      </w:r>
      <w:r>
        <w:rPr>
          <w:rFonts w:cstheme="minorHAnsi"/>
        </w:rPr>
        <w:t>about the 3-4 months</w:t>
      </w:r>
      <w:r w:rsidRPr="00866C02">
        <w:rPr>
          <w:rFonts w:cstheme="minorHAnsi"/>
        </w:rPr>
        <w:t xml:space="preserve"> renewal process, during which they cannot apply for bank loans, </w:t>
      </w:r>
      <w:r>
        <w:rPr>
          <w:rFonts w:cstheme="minorHAnsi"/>
        </w:rPr>
        <w:t>thereby</w:t>
      </w:r>
      <w:r w:rsidRPr="00866C02">
        <w:rPr>
          <w:rFonts w:cstheme="minorHAnsi"/>
        </w:rPr>
        <w:t xml:space="preserve"> disrupt</w:t>
      </w:r>
      <w:r>
        <w:rPr>
          <w:rFonts w:cstheme="minorHAnsi"/>
        </w:rPr>
        <w:t>ing</w:t>
      </w:r>
      <w:r w:rsidRPr="00866C02">
        <w:rPr>
          <w:rFonts w:cstheme="minorHAnsi"/>
        </w:rPr>
        <w:t xml:space="preserve"> their business activities. Expediting the annual license renewal will save firms time, helping them focus on more important functions. Speeding up the process will involve setting thresholds for which compan</w:t>
      </w:r>
      <w:r>
        <w:rPr>
          <w:rFonts w:cstheme="minorHAnsi"/>
        </w:rPr>
        <w:t>ies</w:t>
      </w:r>
      <w:r w:rsidRPr="00866C02">
        <w:rPr>
          <w:rFonts w:cstheme="minorHAnsi"/>
        </w:rPr>
        <w:t>’ books get inspected (e.g.</w:t>
      </w:r>
      <w:r>
        <w:rPr>
          <w:rFonts w:cstheme="minorHAnsi"/>
        </w:rPr>
        <w:t>,</w:t>
      </w:r>
      <w:r w:rsidRPr="00866C02">
        <w:rPr>
          <w:rFonts w:cstheme="minorHAnsi"/>
        </w:rPr>
        <w:t xml:space="preserve"> only </w:t>
      </w:r>
      <w:r>
        <w:rPr>
          <w:rFonts w:cstheme="minorHAnsi"/>
        </w:rPr>
        <w:t xml:space="preserve">for </w:t>
      </w:r>
      <w:r w:rsidRPr="00866C02">
        <w:rPr>
          <w:rFonts w:cstheme="minorHAnsi"/>
        </w:rPr>
        <w:t xml:space="preserve">those with </w:t>
      </w:r>
      <w:r>
        <w:rPr>
          <w:rFonts w:cstheme="minorHAnsi"/>
        </w:rPr>
        <w:t>turnover exceeding</w:t>
      </w:r>
      <w:r w:rsidRPr="00866C02">
        <w:rPr>
          <w:rFonts w:cstheme="minorHAnsi"/>
        </w:rPr>
        <w:t xml:space="preserve"> </w:t>
      </w:r>
      <w:r>
        <w:rPr>
          <w:rFonts w:cstheme="minorHAnsi"/>
        </w:rPr>
        <w:t>US</w:t>
      </w:r>
      <w:r w:rsidRPr="00866C02">
        <w:rPr>
          <w:rFonts w:cstheme="minorHAnsi"/>
        </w:rPr>
        <w:t>$100,000), streamlining the inspections process at AISA and eliminating the requirement for gazette publication altogether. Reducing the frequency of renewal to every two years w</w:t>
      </w:r>
      <w:r>
        <w:rPr>
          <w:rFonts w:cstheme="minorHAnsi"/>
        </w:rPr>
        <w:t>ould</w:t>
      </w:r>
      <w:r w:rsidRPr="00866C02">
        <w:rPr>
          <w:rFonts w:cstheme="minorHAnsi"/>
        </w:rPr>
        <w:t xml:space="preserve"> also reduce the burden on businesses.</w:t>
      </w:r>
    </w:p>
    <w:p w:rsidR="00FA1FE1" w:rsidRPr="00D47D73" w:rsidRDefault="00FA1FE1" w:rsidP="00FA1FE1">
      <w:pPr>
        <w:autoSpaceDE w:val="0"/>
        <w:autoSpaceDN w:val="0"/>
        <w:adjustRightInd w:val="0"/>
        <w:spacing w:after="0"/>
        <w:rPr>
          <w:rFonts w:cstheme="minorHAnsi"/>
          <w:b/>
        </w:rPr>
      </w:pPr>
      <w:r>
        <w:rPr>
          <w:rFonts w:cstheme="minorHAnsi"/>
          <w:b/>
        </w:rPr>
        <w:t>The Ministry of Commerce &amp; Industries (</w:t>
      </w:r>
      <w:r w:rsidRPr="00866C02">
        <w:rPr>
          <w:rFonts w:cstheme="minorHAnsi"/>
          <w:b/>
        </w:rPr>
        <w:t>MoCI</w:t>
      </w:r>
      <w:r>
        <w:rPr>
          <w:rFonts w:cstheme="minorHAnsi"/>
          <w:b/>
        </w:rPr>
        <w:t>)</w:t>
      </w:r>
      <w:r w:rsidRPr="00866C02">
        <w:rPr>
          <w:rFonts w:cstheme="minorHAnsi"/>
          <w:b/>
        </w:rPr>
        <w:t xml:space="preserve"> and AISA </w:t>
      </w:r>
      <w:r>
        <w:rPr>
          <w:rFonts w:cstheme="minorHAnsi"/>
          <w:b/>
        </w:rPr>
        <w:t>should synchronize</w:t>
      </w:r>
      <w:r w:rsidRPr="00866C02">
        <w:rPr>
          <w:rFonts w:cstheme="minorHAnsi"/>
          <w:b/>
        </w:rPr>
        <w:t xml:space="preserve"> so that entrepreneurs deal only </w:t>
      </w:r>
      <w:r>
        <w:rPr>
          <w:rFonts w:cstheme="minorHAnsi"/>
          <w:b/>
        </w:rPr>
        <w:t xml:space="preserve">with a single agency for </w:t>
      </w:r>
      <w:r w:rsidRPr="00866C02">
        <w:rPr>
          <w:rFonts w:cstheme="minorHAnsi"/>
          <w:b/>
        </w:rPr>
        <w:t>registration and licensing</w:t>
      </w:r>
      <w:r w:rsidRPr="00866C02">
        <w:rPr>
          <w:rFonts w:cstheme="minorHAnsi"/>
        </w:rPr>
        <w:t xml:space="preserve">. Presently, entrepreneurs have to </w:t>
      </w:r>
      <w:r>
        <w:rPr>
          <w:rFonts w:cstheme="minorHAnsi"/>
        </w:rPr>
        <w:t>deal with</w:t>
      </w:r>
      <w:r w:rsidRPr="00866C02">
        <w:rPr>
          <w:rFonts w:cstheme="minorHAnsi"/>
        </w:rPr>
        <w:t xml:space="preserve"> several agencies </w:t>
      </w:r>
      <w:r>
        <w:rPr>
          <w:rFonts w:cstheme="minorHAnsi"/>
        </w:rPr>
        <w:t>for</w:t>
      </w:r>
      <w:r w:rsidRPr="00866C02">
        <w:rPr>
          <w:rFonts w:cstheme="minorHAnsi"/>
        </w:rPr>
        <w:t xml:space="preserve"> business entry</w:t>
      </w:r>
      <w:r>
        <w:rPr>
          <w:rFonts w:cstheme="minorHAnsi"/>
        </w:rPr>
        <w:t>:</w:t>
      </w:r>
      <w:r w:rsidRPr="00866C02">
        <w:rPr>
          <w:rFonts w:cstheme="minorHAnsi"/>
        </w:rPr>
        <w:t xml:space="preserve"> the ACBR, AISA and the MoCI’s licensing department. The process is confusing and duplicative. The government of Afghanistan may consider a single point of interaction between </w:t>
      </w:r>
      <w:r>
        <w:rPr>
          <w:rFonts w:cstheme="minorHAnsi"/>
        </w:rPr>
        <w:t>it</w:t>
      </w:r>
      <w:r w:rsidRPr="00866C02">
        <w:rPr>
          <w:rFonts w:cstheme="minorHAnsi"/>
        </w:rPr>
        <w:t xml:space="preserve"> and the entrepreneur, where all the information and fees are collected, and registration certificates and licenses are dispensed.</w:t>
      </w:r>
    </w:p>
    <w:p w:rsidR="00FA1FE1" w:rsidRPr="00F445DD" w:rsidRDefault="00FA1FE1" w:rsidP="00FA1FE1">
      <w:pPr>
        <w:pStyle w:val="Heading4"/>
        <w:spacing w:after="240"/>
        <w:rPr>
          <w:color w:val="410082" w:themeColor="text1"/>
          <w:sz w:val="22"/>
          <w:szCs w:val="22"/>
        </w:rPr>
      </w:pPr>
      <w:r w:rsidRPr="00F445DD">
        <w:rPr>
          <w:color w:val="410082" w:themeColor="text1"/>
          <w:sz w:val="22"/>
          <w:szCs w:val="22"/>
        </w:rPr>
        <w:t>Access to credit</w:t>
      </w:r>
    </w:p>
    <w:p w:rsidR="00FA1FE1" w:rsidRPr="00FC2282" w:rsidRDefault="00FA1FE1" w:rsidP="00FA1FE1">
      <w:pPr>
        <w:autoSpaceDE w:val="0"/>
        <w:autoSpaceDN w:val="0"/>
        <w:adjustRightInd w:val="0"/>
        <w:spacing w:after="240"/>
        <w:rPr>
          <w:rFonts w:cstheme="minorHAnsi"/>
        </w:rPr>
      </w:pPr>
      <w:r w:rsidRPr="00FC2282">
        <w:rPr>
          <w:rFonts w:cstheme="minorHAnsi"/>
          <w:b/>
        </w:rPr>
        <w:t>Doing Business covers two aspects of regulation that affect the availability of credit: the quality of credit information and the strength of the legal rights of borrowers and lenders</w:t>
      </w:r>
      <w:r w:rsidRPr="00FC2282">
        <w:rPr>
          <w:rFonts w:cstheme="minorHAnsi"/>
        </w:rPr>
        <w:t>.</w:t>
      </w:r>
      <w:r>
        <w:rPr>
          <w:rStyle w:val="FootnoteReference"/>
          <w:rFonts w:cstheme="minorHAnsi"/>
        </w:rPr>
        <w:footnoteReference w:id="34"/>
      </w:r>
      <w:r w:rsidRPr="00FC2282">
        <w:rPr>
          <w:rFonts w:cstheme="minorHAnsi"/>
        </w:rPr>
        <w:t xml:space="preserve"> Afghanistan ranks 150th globally in this indicator, and 7th in South Asia. The country’s score on the strength of legal rights index (6 out of 10) indicate</w:t>
      </w:r>
      <w:r>
        <w:rPr>
          <w:rFonts w:cstheme="minorHAnsi"/>
        </w:rPr>
        <w:t>s</w:t>
      </w:r>
      <w:r w:rsidRPr="00FC2282">
        <w:rPr>
          <w:rFonts w:cstheme="minorHAnsi"/>
        </w:rPr>
        <w:t xml:space="preserve"> that debtors and creditors enjoy some legal guarantees to borrowing and lending. The depth of credit information index (0 out of 6) indicates a significant dearth of credit information and </w:t>
      </w:r>
      <w:r>
        <w:rPr>
          <w:rFonts w:cstheme="minorHAnsi"/>
        </w:rPr>
        <w:t>much room</w:t>
      </w:r>
      <w:r w:rsidRPr="00FC2282">
        <w:rPr>
          <w:rFonts w:cstheme="minorHAnsi"/>
        </w:rPr>
        <w:t xml:space="preserve"> for improvement in information sharing.  </w:t>
      </w:r>
    </w:p>
    <w:p w:rsidR="00FA1FE1" w:rsidRPr="00F445DD" w:rsidRDefault="00FA1FE1" w:rsidP="00FA1FE1">
      <w:pPr>
        <w:pStyle w:val="Heading4"/>
        <w:spacing w:after="240"/>
        <w:rPr>
          <w:color w:val="410082" w:themeColor="text1"/>
          <w:sz w:val="22"/>
          <w:szCs w:val="22"/>
        </w:rPr>
      </w:pPr>
      <w:r w:rsidRPr="00F445DD">
        <w:rPr>
          <w:color w:val="410082" w:themeColor="text1"/>
          <w:sz w:val="22"/>
          <w:szCs w:val="22"/>
        </w:rPr>
        <w:t>Investor protection</w:t>
      </w:r>
    </w:p>
    <w:p w:rsidR="00FA1FE1" w:rsidRDefault="00FA1FE1" w:rsidP="00FA1FE1">
      <w:pPr>
        <w:autoSpaceDE w:val="0"/>
        <w:autoSpaceDN w:val="0"/>
        <w:adjustRightInd w:val="0"/>
        <w:spacing w:after="240"/>
        <w:rPr>
          <w:rFonts w:cstheme="minorHAnsi"/>
        </w:rPr>
      </w:pPr>
      <w:r w:rsidRPr="00A02309">
        <w:rPr>
          <w:rFonts w:cstheme="minorHAnsi"/>
          <w:b/>
        </w:rPr>
        <w:t>Afghanistan ranks last globally and regionally on the strength of investor protection.</w:t>
      </w:r>
      <w:r w:rsidRPr="00A02309">
        <w:rPr>
          <w:rFonts w:cstheme="minorHAnsi"/>
        </w:rPr>
        <w:t xml:space="preserve"> </w:t>
      </w:r>
      <w:r>
        <w:rPr>
          <w:rFonts w:cstheme="minorHAnsi"/>
        </w:rPr>
        <w:t xml:space="preserve">The </w:t>
      </w:r>
      <w:r w:rsidRPr="00A02309">
        <w:rPr>
          <w:rFonts w:cstheme="minorHAnsi"/>
        </w:rPr>
        <w:t>Doing Business measure</w:t>
      </w:r>
      <w:r>
        <w:rPr>
          <w:rFonts w:cstheme="minorHAnsi"/>
        </w:rPr>
        <w:t xml:space="preserve"> ranked</w:t>
      </w:r>
      <w:r w:rsidRPr="00A02309">
        <w:rPr>
          <w:rFonts w:cstheme="minorHAnsi"/>
        </w:rPr>
        <w:t xml:space="preserve"> the strength of minority shareholder protections against directors’ misuse of corporate assets for personal gain. The overall index of investor protection is an average of three sub</w:t>
      </w:r>
      <w:r>
        <w:rPr>
          <w:rFonts w:cstheme="minorHAnsi"/>
        </w:rPr>
        <w:t>-</w:t>
      </w:r>
      <w:r w:rsidRPr="00A02309">
        <w:rPr>
          <w:rFonts w:cstheme="minorHAnsi"/>
        </w:rPr>
        <w:t>ind</w:t>
      </w:r>
      <w:r>
        <w:rPr>
          <w:rFonts w:cstheme="minorHAnsi"/>
        </w:rPr>
        <w:t>ices, including disclosure</w:t>
      </w:r>
      <w:r w:rsidRPr="00A02309">
        <w:rPr>
          <w:rFonts w:cstheme="minorHAnsi"/>
        </w:rPr>
        <w:t>, director liability</w:t>
      </w:r>
      <w:r>
        <w:rPr>
          <w:rFonts w:cstheme="minorHAnsi"/>
        </w:rPr>
        <w:t>,</w:t>
      </w:r>
      <w:r w:rsidRPr="00A02309">
        <w:rPr>
          <w:rFonts w:cstheme="minorHAnsi"/>
        </w:rPr>
        <w:t xml:space="preserve"> and shareholder suits</w:t>
      </w:r>
      <w:r>
        <w:rPr>
          <w:rFonts w:cstheme="minorHAnsi"/>
        </w:rPr>
        <w:t>, in each of which Afghanistan scored</w:t>
      </w:r>
      <w:r w:rsidRPr="00A02309">
        <w:rPr>
          <w:rFonts w:cstheme="minorHAnsi"/>
        </w:rPr>
        <w:t xml:space="preserve"> 1 out of 10. </w:t>
      </w:r>
    </w:p>
    <w:p w:rsidR="00FA1FE1" w:rsidRDefault="00FA1FE1" w:rsidP="00FA1FE1">
      <w:pPr>
        <w:autoSpaceDE w:val="0"/>
        <w:autoSpaceDN w:val="0"/>
        <w:adjustRightInd w:val="0"/>
        <w:rPr>
          <w:rFonts w:cstheme="minorHAnsi"/>
        </w:rPr>
      </w:pPr>
      <w:r>
        <w:rPr>
          <w:rFonts w:cstheme="minorHAnsi"/>
          <w:b/>
        </w:rPr>
        <w:t>Amendments must be made to both</w:t>
      </w:r>
      <w:r w:rsidRPr="00FC2282">
        <w:rPr>
          <w:rFonts w:cstheme="minorHAnsi"/>
        </w:rPr>
        <w:t xml:space="preserve"> </w:t>
      </w:r>
      <w:r w:rsidRPr="0079050F">
        <w:rPr>
          <w:rFonts w:cstheme="minorHAnsi"/>
          <w:b/>
        </w:rPr>
        <w:t>the Joint Stock Company Law and the Corporations and Limited Liability Companies Law</w:t>
      </w:r>
      <w:r>
        <w:rPr>
          <w:rFonts w:cstheme="minorHAnsi"/>
          <w:b/>
        </w:rPr>
        <w:t xml:space="preserve"> to align their investor protection and disclosure requirements</w:t>
      </w:r>
      <w:r w:rsidRPr="0079050F">
        <w:rPr>
          <w:rFonts w:cstheme="minorHAnsi"/>
          <w:b/>
        </w:rPr>
        <w:t xml:space="preserve"> </w:t>
      </w:r>
      <w:r>
        <w:rPr>
          <w:rFonts w:cstheme="minorHAnsi"/>
          <w:b/>
        </w:rPr>
        <w:t xml:space="preserve">more completely </w:t>
      </w:r>
      <w:r w:rsidRPr="0079050F">
        <w:rPr>
          <w:rFonts w:cstheme="minorHAnsi"/>
          <w:b/>
        </w:rPr>
        <w:t>with international best practice.</w:t>
      </w:r>
      <w:r>
        <w:rPr>
          <w:rFonts w:cstheme="minorHAnsi"/>
        </w:rPr>
        <w:t xml:space="preserve"> </w:t>
      </w:r>
      <w:r w:rsidRPr="00FC2282">
        <w:rPr>
          <w:rFonts w:cstheme="minorHAnsi"/>
        </w:rPr>
        <w:t>In 2009, Afghanistan amend</w:t>
      </w:r>
      <w:r>
        <w:rPr>
          <w:rFonts w:cstheme="minorHAnsi"/>
        </w:rPr>
        <w:t>ed</w:t>
      </w:r>
      <w:r w:rsidRPr="00FC2282">
        <w:rPr>
          <w:rFonts w:cstheme="minorHAnsi"/>
        </w:rPr>
        <w:t xml:space="preserve"> the Joint Stock Company Law to require greater corporate disclosure in company annual reports. The amended law should also mandate an independent auditor review of large related-party transactions before the transactions take place. Shareholder approval of large related-party transactions should also be a requirement. Article 50 of the Corporations and Limited Liability Companies Law</w:t>
      </w:r>
      <w:r>
        <w:rPr>
          <w:rFonts w:cstheme="minorHAnsi"/>
        </w:rPr>
        <w:t>,</w:t>
      </w:r>
      <w:r w:rsidRPr="00FC2282">
        <w:rPr>
          <w:rFonts w:cstheme="minorHAnsi"/>
        </w:rPr>
        <w:t xml:space="preserve"> deal</w:t>
      </w:r>
      <w:r>
        <w:rPr>
          <w:rFonts w:cstheme="minorHAnsi"/>
        </w:rPr>
        <w:t>ing</w:t>
      </w:r>
      <w:r w:rsidRPr="00FC2282">
        <w:rPr>
          <w:rFonts w:cstheme="minorHAnsi"/>
        </w:rPr>
        <w:t xml:space="preserve"> with conflict of interest in transactions</w:t>
      </w:r>
      <w:r>
        <w:rPr>
          <w:rFonts w:cstheme="minorHAnsi"/>
        </w:rPr>
        <w:t xml:space="preserve">, </w:t>
      </w:r>
      <w:r w:rsidRPr="00FC2282">
        <w:rPr>
          <w:rFonts w:cstheme="minorHAnsi"/>
        </w:rPr>
        <w:t>should be amended to increase disclosure requirements to the public and in the annual reports in case</w:t>
      </w:r>
      <w:r>
        <w:rPr>
          <w:rFonts w:cstheme="minorHAnsi"/>
        </w:rPr>
        <w:t>s</w:t>
      </w:r>
      <w:r w:rsidRPr="00FC2282">
        <w:rPr>
          <w:rFonts w:cstheme="minorHAnsi"/>
        </w:rPr>
        <w:t xml:space="preserve"> of related-part</w:t>
      </w:r>
      <w:r>
        <w:rPr>
          <w:rFonts w:cstheme="minorHAnsi"/>
        </w:rPr>
        <w:t xml:space="preserve">y transactions. Currently, the </w:t>
      </w:r>
      <w:r w:rsidR="006A78F3">
        <w:rPr>
          <w:rFonts w:cstheme="minorHAnsi"/>
        </w:rPr>
        <w:t>c</w:t>
      </w:r>
      <w:r w:rsidR="006A78F3" w:rsidRPr="00FC2282">
        <w:rPr>
          <w:rFonts w:cstheme="minorHAnsi"/>
        </w:rPr>
        <w:t>orporation’s</w:t>
      </w:r>
      <w:r w:rsidRPr="00FC2282">
        <w:rPr>
          <w:rFonts w:cstheme="minorHAnsi"/>
        </w:rPr>
        <w:t xml:space="preserve"> </w:t>
      </w:r>
      <w:r>
        <w:rPr>
          <w:rFonts w:cstheme="minorHAnsi"/>
        </w:rPr>
        <w:t>law requires only the b</w:t>
      </w:r>
      <w:r w:rsidRPr="00FC2282">
        <w:rPr>
          <w:rFonts w:cstheme="minorHAnsi"/>
        </w:rPr>
        <w:t xml:space="preserve">oard of </w:t>
      </w:r>
      <w:r>
        <w:rPr>
          <w:rFonts w:cstheme="minorHAnsi"/>
        </w:rPr>
        <w:t>d</w:t>
      </w:r>
      <w:r w:rsidRPr="00FC2282">
        <w:rPr>
          <w:rFonts w:cstheme="minorHAnsi"/>
        </w:rPr>
        <w:t>irectors’ approval in case of large related</w:t>
      </w:r>
      <w:r>
        <w:rPr>
          <w:rFonts w:cstheme="minorHAnsi"/>
        </w:rPr>
        <w:t>-</w:t>
      </w:r>
      <w:r w:rsidRPr="00FC2282">
        <w:rPr>
          <w:rFonts w:cstheme="minorHAnsi"/>
        </w:rPr>
        <w:t>party transactions (above 5</w:t>
      </w:r>
      <w:r>
        <w:rPr>
          <w:rFonts w:cstheme="minorHAnsi"/>
        </w:rPr>
        <w:t xml:space="preserve"> percent</w:t>
      </w:r>
      <w:r w:rsidRPr="00FC2282">
        <w:rPr>
          <w:rFonts w:cstheme="minorHAnsi"/>
        </w:rPr>
        <w:t xml:space="preserve"> of the assets of the company). However, in order to better protect minority shareholders, these transactions should be approved by the shareholders</w:t>
      </w:r>
      <w:r>
        <w:rPr>
          <w:rFonts w:cstheme="minorHAnsi"/>
        </w:rPr>
        <w:t>’</w:t>
      </w:r>
      <w:r w:rsidRPr="00FC2282">
        <w:rPr>
          <w:rFonts w:cstheme="minorHAnsi"/>
        </w:rPr>
        <w:t xml:space="preserve"> meeting.</w:t>
      </w:r>
      <w:r>
        <w:rPr>
          <w:rStyle w:val="FootnoteReference"/>
          <w:rFonts w:cstheme="minorHAnsi"/>
        </w:rPr>
        <w:footnoteReference w:id="35"/>
      </w:r>
      <w:r w:rsidRPr="00FC2282">
        <w:rPr>
          <w:rFonts w:cstheme="minorHAnsi"/>
        </w:rPr>
        <w:t xml:space="preserve"> </w:t>
      </w:r>
    </w:p>
    <w:p w:rsidR="00FA1FE1" w:rsidRDefault="00FA1FE1" w:rsidP="00FA1FE1">
      <w:pPr>
        <w:autoSpaceDE w:val="0"/>
        <w:autoSpaceDN w:val="0"/>
        <w:adjustRightInd w:val="0"/>
        <w:rPr>
          <w:rFonts w:cstheme="minorHAnsi"/>
        </w:rPr>
      </w:pPr>
      <w:r>
        <w:rPr>
          <w:rFonts w:cstheme="minorHAnsi"/>
          <w:b/>
        </w:rPr>
        <w:t>It should be</w:t>
      </w:r>
      <w:r w:rsidRPr="00C85311">
        <w:rPr>
          <w:rFonts w:cstheme="minorHAnsi"/>
          <w:b/>
        </w:rPr>
        <w:t xml:space="preserve"> easier for investors to enforce their rights through the courts</w:t>
      </w:r>
      <w:r>
        <w:rPr>
          <w:rFonts w:cstheme="minorHAnsi"/>
          <w:b/>
        </w:rPr>
        <w:t>.</w:t>
      </w:r>
      <w:r w:rsidRPr="00C85311">
        <w:rPr>
          <w:rFonts w:cstheme="minorHAnsi"/>
        </w:rPr>
        <w:t xml:space="preserve"> In the case of a </w:t>
      </w:r>
      <w:r>
        <w:rPr>
          <w:rFonts w:cstheme="minorHAnsi"/>
        </w:rPr>
        <w:t xml:space="preserve">mismanagement </w:t>
      </w:r>
      <w:r w:rsidRPr="00C85311">
        <w:rPr>
          <w:rFonts w:cstheme="minorHAnsi"/>
        </w:rPr>
        <w:t xml:space="preserve">suit against a company’s </w:t>
      </w:r>
      <w:r>
        <w:rPr>
          <w:rFonts w:cstheme="minorHAnsi"/>
        </w:rPr>
        <w:t>d</w:t>
      </w:r>
      <w:r w:rsidRPr="00C85311">
        <w:rPr>
          <w:rFonts w:cstheme="minorHAnsi"/>
        </w:rPr>
        <w:t xml:space="preserve">irector, interested parties should be allowed to access relevant non-confidential company documents without </w:t>
      </w:r>
      <w:r>
        <w:rPr>
          <w:rFonts w:cstheme="minorHAnsi"/>
        </w:rPr>
        <w:t>having to file</w:t>
      </w:r>
      <w:r w:rsidRPr="00C85311">
        <w:rPr>
          <w:rFonts w:cstheme="minorHAnsi"/>
        </w:rPr>
        <w:t xml:space="preserve"> suit, and without having to identify specific documents. Parties to a trial should be allowed to question (orally or in writing) the opposing party or the witnesses during trial without prior approval of the questions by the judge. In order to facilitate the access to evidence during the trial, minority shareholders’ lawyers could be allowed to directly question the defendant and witnesses during a trial.</w:t>
      </w:r>
    </w:p>
    <w:p w:rsidR="00FA1FE1" w:rsidRPr="00F445DD" w:rsidRDefault="00FA1FE1" w:rsidP="00FA1FE1">
      <w:pPr>
        <w:pStyle w:val="Heading4"/>
        <w:spacing w:after="240"/>
        <w:rPr>
          <w:color w:val="410082" w:themeColor="text1"/>
          <w:sz w:val="22"/>
          <w:szCs w:val="22"/>
        </w:rPr>
      </w:pPr>
      <w:r w:rsidRPr="00F445DD">
        <w:rPr>
          <w:color w:val="410082" w:themeColor="text1"/>
          <w:sz w:val="22"/>
          <w:szCs w:val="22"/>
        </w:rPr>
        <w:t>Enforcing contracts</w:t>
      </w:r>
    </w:p>
    <w:p w:rsidR="00FA1FE1" w:rsidRPr="00C85311" w:rsidRDefault="00FA1FE1" w:rsidP="00FA1FE1">
      <w:pPr>
        <w:autoSpaceDE w:val="0"/>
        <w:autoSpaceDN w:val="0"/>
        <w:adjustRightInd w:val="0"/>
        <w:rPr>
          <w:rFonts w:cstheme="minorHAnsi"/>
        </w:rPr>
      </w:pPr>
      <w:r>
        <w:rPr>
          <w:rFonts w:cstheme="minorHAnsi"/>
          <w:b/>
        </w:rPr>
        <w:t>M</w:t>
      </w:r>
      <w:r w:rsidRPr="006819B3">
        <w:rPr>
          <w:rFonts w:cstheme="minorHAnsi"/>
          <w:b/>
        </w:rPr>
        <w:t xml:space="preserve">easuring the efficiency of Afghan courts </w:t>
      </w:r>
      <w:r>
        <w:rPr>
          <w:rFonts w:cstheme="minorHAnsi"/>
          <w:b/>
        </w:rPr>
        <w:t>in</w:t>
      </w:r>
      <w:r w:rsidRPr="006819B3">
        <w:rPr>
          <w:rFonts w:cstheme="minorHAnsi"/>
          <w:b/>
        </w:rPr>
        <w:t xml:space="preserve"> resolving commercial disputes, the country is close to the bottom of the ranking </w:t>
      </w:r>
      <w:r>
        <w:rPr>
          <w:rFonts w:cstheme="minorHAnsi"/>
          <w:b/>
        </w:rPr>
        <w:t>in</w:t>
      </w:r>
      <w:r w:rsidRPr="006819B3">
        <w:rPr>
          <w:rFonts w:cstheme="minorHAnsi"/>
          <w:b/>
        </w:rPr>
        <w:t xml:space="preserve"> the enforcing contracts indicator</w:t>
      </w:r>
      <w:r>
        <w:rPr>
          <w:rFonts w:cstheme="minorHAnsi"/>
          <w:b/>
        </w:rPr>
        <w:t>––</w:t>
      </w:r>
      <w:r w:rsidRPr="006819B3">
        <w:rPr>
          <w:rFonts w:cstheme="minorHAnsi"/>
          <w:b/>
        </w:rPr>
        <w:t>161 out of 183 economies</w:t>
      </w:r>
      <w:r>
        <w:rPr>
          <w:rFonts w:cstheme="minorHAnsi"/>
          <w:b/>
        </w:rPr>
        <w:t>,</w:t>
      </w:r>
      <w:r w:rsidRPr="006819B3">
        <w:rPr>
          <w:rFonts w:cstheme="minorHAnsi"/>
          <w:b/>
        </w:rPr>
        <w:t xml:space="preserve"> and 6th in</w:t>
      </w:r>
      <w:r>
        <w:rPr>
          <w:rFonts w:cstheme="minorHAnsi"/>
          <w:b/>
        </w:rPr>
        <w:t xml:space="preserve"> </w:t>
      </w:r>
      <w:r w:rsidRPr="006819B3">
        <w:rPr>
          <w:rFonts w:cstheme="minorHAnsi"/>
          <w:b/>
        </w:rPr>
        <w:t>South Asia.</w:t>
      </w:r>
      <w:r w:rsidRPr="00C85311">
        <w:rPr>
          <w:rFonts w:cstheme="minorHAnsi"/>
        </w:rPr>
        <w:t xml:space="preserve"> On average, it costs 25</w:t>
      </w:r>
      <w:r>
        <w:rPr>
          <w:rFonts w:cstheme="minorHAnsi"/>
        </w:rPr>
        <w:t xml:space="preserve"> percent</w:t>
      </w:r>
      <w:r w:rsidRPr="00C85311">
        <w:rPr>
          <w:rFonts w:cstheme="minorHAnsi"/>
        </w:rPr>
        <w:t xml:space="preserve"> of the claim value and takes 47</w:t>
      </w:r>
      <w:r>
        <w:rPr>
          <w:rFonts w:cstheme="minorHAnsi"/>
        </w:rPr>
        <w:t xml:space="preserve"> </w:t>
      </w:r>
      <w:r w:rsidRPr="00C85311">
        <w:rPr>
          <w:rFonts w:cstheme="minorHAnsi"/>
        </w:rPr>
        <w:t>procedures and 1</w:t>
      </w:r>
      <w:r>
        <w:rPr>
          <w:rFonts w:cstheme="minorHAnsi"/>
        </w:rPr>
        <w:t>,</w:t>
      </w:r>
      <w:r w:rsidRPr="00C85311">
        <w:rPr>
          <w:rFonts w:cstheme="minorHAnsi"/>
        </w:rPr>
        <w:t xml:space="preserve">642 days to resolve a commercial dispute at the Kabul Commercial Court. </w:t>
      </w:r>
      <w:r>
        <w:rPr>
          <w:rFonts w:cstheme="minorHAnsi"/>
        </w:rPr>
        <w:t>According to the</w:t>
      </w:r>
      <w:r w:rsidRPr="00C85311">
        <w:rPr>
          <w:rFonts w:cstheme="minorHAnsi"/>
        </w:rPr>
        <w:t xml:space="preserve"> Enterprise Surveys, </w:t>
      </w:r>
      <w:r>
        <w:rPr>
          <w:rFonts w:cstheme="minorHAnsi"/>
        </w:rPr>
        <w:t xml:space="preserve">only </w:t>
      </w:r>
      <w:r w:rsidRPr="00C85311">
        <w:rPr>
          <w:rFonts w:cstheme="minorHAnsi"/>
        </w:rPr>
        <w:t>17</w:t>
      </w:r>
      <w:r>
        <w:rPr>
          <w:rFonts w:cstheme="minorHAnsi"/>
        </w:rPr>
        <w:t xml:space="preserve"> percent</w:t>
      </w:r>
      <w:r w:rsidRPr="00C85311">
        <w:rPr>
          <w:rFonts w:cstheme="minorHAnsi"/>
        </w:rPr>
        <w:t xml:space="preserve"> of firms believed the court</w:t>
      </w:r>
      <w:r>
        <w:rPr>
          <w:rFonts w:cstheme="minorHAnsi"/>
        </w:rPr>
        <w:t xml:space="preserve"> </w:t>
      </w:r>
      <w:r w:rsidRPr="00C85311">
        <w:rPr>
          <w:rFonts w:cstheme="minorHAnsi"/>
        </w:rPr>
        <w:t>system was fair, impartial and uncorrupted.</w:t>
      </w:r>
    </w:p>
    <w:p w:rsidR="00FA1FE1" w:rsidRPr="00441DB0" w:rsidRDefault="00FA1FE1" w:rsidP="00FA1FE1">
      <w:pPr>
        <w:autoSpaceDE w:val="0"/>
        <w:autoSpaceDN w:val="0"/>
        <w:adjustRightInd w:val="0"/>
        <w:spacing w:after="0"/>
        <w:rPr>
          <w:rFonts w:cstheme="minorHAnsi"/>
          <w:b/>
        </w:rPr>
      </w:pPr>
      <w:r w:rsidRPr="00441DB0">
        <w:rPr>
          <w:rFonts w:cstheme="minorHAnsi"/>
          <w:b/>
        </w:rPr>
        <w:t>In post-conflict Afghanistan, many courts are inoperable and those that do function are understaffed.</w:t>
      </w:r>
    </w:p>
    <w:p w:rsidR="00FA1FE1" w:rsidRDefault="00FA1FE1" w:rsidP="00FA1FE1">
      <w:pPr>
        <w:autoSpaceDE w:val="0"/>
        <w:autoSpaceDN w:val="0"/>
        <w:adjustRightInd w:val="0"/>
        <w:rPr>
          <w:rFonts w:cstheme="minorHAnsi"/>
        </w:rPr>
      </w:pPr>
      <w:r w:rsidRPr="00C85311">
        <w:rPr>
          <w:rFonts w:cstheme="minorHAnsi"/>
        </w:rPr>
        <w:t xml:space="preserve">Insecurity, lack of proper training and low salaries </w:t>
      </w:r>
      <w:r w:rsidR="006A78F3" w:rsidRPr="00C85311">
        <w:rPr>
          <w:rFonts w:cstheme="minorHAnsi"/>
        </w:rPr>
        <w:t>has</w:t>
      </w:r>
      <w:r w:rsidRPr="00C85311">
        <w:rPr>
          <w:rFonts w:cstheme="minorHAnsi"/>
        </w:rPr>
        <w:t xml:space="preserve"> driven many judges and prosecutors from their</w:t>
      </w:r>
      <w:r>
        <w:rPr>
          <w:rFonts w:cstheme="minorHAnsi"/>
        </w:rPr>
        <w:t xml:space="preserve"> </w:t>
      </w:r>
      <w:r w:rsidRPr="00C85311">
        <w:rPr>
          <w:rFonts w:cstheme="minorHAnsi"/>
        </w:rPr>
        <w:t>jobs. Those who remain are susceptible to bribery. As a result, the public has lost confidence in the</w:t>
      </w:r>
      <w:r>
        <w:rPr>
          <w:rFonts w:cstheme="minorHAnsi"/>
        </w:rPr>
        <w:t xml:space="preserve"> </w:t>
      </w:r>
      <w:r w:rsidRPr="00C85311">
        <w:rPr>
          <w:rFonts w:cstheme="minorHAnsi"/>
        </w:rPr>
        <w:t xml:space="preserve">formal justice system, and disputes are resolved through notables or in </w:t>
      </w:r>
      <w:r>
        <w:rPr>
          <w:rFonts w:cstheme="minorHAnsi"/>
        </w:rPr>
        <w:t xml:space="preserve">the </w:t>
      </w:r>
      <w:r w:rsidRPr="00C85311">
        <w:rPr>
          <w:rFonts w:cstheme="minorHAnsi"/>
        </w:rPr>
        <w:t>private sector by traders. The</w:t>
      </w:r>
      <w:r>
        <w:rPr>
          <w:rFonts w:cstheme="minorHAnsi"/>
        </w:rPr>
        <w:t xml:space="preserve"> </w:t>
      </w:r>
      <w:r w:rsidRPr="00C85311">
        <w:rPr>
          <w:rFonts w:cstheme="minorHAnsi"/>
        </w:rPr>
        <w:t>patchwork of laws adopted over three decades of conflict, combined with a multi-layered system of</w:t>
      </w:r>
      <w:r>
        <w:rPr>
          <w:rFonts w:cstheme="minorHAnsi"/>
        </w:rPr>
        <w:t xml:space="preserve"> </w:t>
      </w:r>
      <w:r w:rsidRPr="00C85311">
        <w:rPr>
          <w:rFonts w:cstheme="minorHAnsi"/>
        </w:rPr>
        <w:t>jurisprudence (secular, Sharia and customary or traditional tribal law) has confounded investors and</w:t>
      </w:r>
      <w:r>
        <w:rPr>
          <w:rFonts w:cstheme="minorHAnsi"/>
        </w:rPr>
        <w:t xml:space="preserve"> </w:t>
      </w:r>
      <w:r w:rsidRPr="00C85311">
        <w:rPr>
          <w:rFonts w:cstheme="minorHAnsi"/>
        </w:rPr>
        <w:t>challenged international legal standards.</w:t>
      </w:r>
    </w:p>
    <w:p w:rsidR="00FA1FE1" w:rsidRPr="00C85311" w:rsidRDefault="00FA1FE1" w:rsidP="00FA1FE1">
      <w:pPr>
        <w:autoSpaceDE w:val="0"/>
        <w:autoSpaceDN w:val="0"/>
        <w:adjustRightInd w:val="0"/>
        <w:rPr>
          <w:rFonts w:cstheme="minorHAnsi"/>
        </w:rPr>
      </w:pPr>
      <w:r>
        <w:rPr>
          <w:rFonts w:cstheme="minorHAnsi"/>
          <w:b/>
          <w:bCs/>
        </w:rPr>
        <w:t>Se</w:t>
      </w:r>
      <w:r w:rsidRPr="00C85311">
        <w:rPr>
          <w:rFonts w:cstheme="minorHAnsi"/>
          <w:b/>
          <w:bCs/>
        </w:rPr>
        <w:t>tting up an alternate dispute resolution</w:t>
      </w:r>
      <w:r>
        <w:rPr>
          <w:rFonts w:cstheme="minorHAnsi"/>
          <w:b/>
          <w:bCs/>
        </w:rPr>
        <w:t xml:space="preserve"> mechanism could </w:t>
      </w:r>
      <w:r w:rsidRPr="00C85311">
        <w:rPr>
          <w:rFonts w:cstheme="minorHAnsi"/>
          <w:b/>
          <w:bCs/>
        </w:rPr>
        <w:t>improve efficiency of commercial judgments.</w:t>
      </w:r>
      <w:r>
        <w:rPr>
          <w:rFonts w:cstheme="minorHAnsi"/>
          <w:b/>
          <w:bCs/>
        </w:rPr>
        <w:t xml:space="preserve">  </w:t>
      </w:r>
      <w:r w:rsidRPr="00C85311">
        <w:rPr>
          <w:rFonts w:cstheme="minorHAnsi"/>
        </w:rPr>
        <w:t>A</w:t>
      </w:r>
      <w:r>
        <w:rPr>
          <w:rFonts w:cstheme="minorHAnsi"/>
        </w:rPr>
        <w:t xml:space="preserve">lternate dispute resolution systems </w:t>
      </w:r>
      <w:r w:rsidRPr="00C85311">
        <w:rPr>
          <w:rFonts w:cstheme="minorHAnsi"/>
        </w:rPr>
        <w:t>offer disputants a chance to avoid the often long and expensive process of</w:t>
      </w:r>
      <w:r>
        <w:rPr>
          <w:rFonts w:cstheme="minorHAnsi"/>
        </w:rPr>
        <w:t xml:space="preserve"> </w:t>
      </w:r>
      <w:r w:rsidRPr="00C85311">
        <w:rPr>
          <w:rFonts w:cstheme="minorHAnsi"/>
        </w:rPr>
        <w:t>taking a case through the formal judicial system. Mediated solutions are generally faster, less expensive,</w:t>
      </w:r>
      <w:r>
        <w:rPr>
          <w:rFonts w:cstheme="minorHAnsi"/>
        </w:rPr>
        <w:t xml:space="preserve"> </w:t>
      </w:r>
      <w:r w:rsidRPr="00C85311">
        <w:rPr>
          <w:rFonts w:cstheme="minorHAnsi"/>
        </w:rPr>
        <w:t xml:space="preserve">and more likely to allow the parties to return to doing business with one another. </w:t>
      </w:r>
      <w:r>
        <w:rPr>
          <w:rFonts w:cstheme="minorHAnsi"/>
        </w:rPr>
        <w:t>This</w:t>
      </w:r>
      <w:r w:rsidRPr="00C85311">
        <w:rPr>
          <w:rFonts w:cstheme="minorHAnsi"/>
        </w:rPr>
        <w:t xml:space="preserve"> has long been an</w:t>
      </w:r>
      <w:r>
        <w:rPr>
          <w:rFonts w:cstheme="minorHAnsi"/>
        </w:rPr>
        <w:t xml:space="preserve"> </w:t>
      </w:r>
      <w:r w:rsidRPr="00C85311">
        <w:rPr>
          <w:rFonts w:cstheme="minorHAnsi"/>
        </w:rPr>
        <w:t>important part of dispute resolution in many developed counties and is becoming increasingly important</w:t>
      </w:r>
      <w:r>
        <w:rPr>
          <w:rFonts w:cstheme="minorHAnsi"/>
        </w:rPr>
        <w:t xml:space="preserve"> </w:t>
      </w:r>
      <w:r w:rsidRPr="00C85311">
        <w:rPr>
          <w:rFonts w:cstheme="minorHAnsi"/>
        </w:rPr>
        <w:t>in developing countries as the</w:t>
      </w:r>
      <w:r>
        <w:rPr>
          <w:rFonts w:cstheme="minorHAnsi"/>
        </w:rPr>
        <w:t>y</w:t>
      </w:r>
      <w:r w:rsidRPr="00C85311">
        <w:rPr>
          <w:rFonts w:cstheme="minorHAnsi"/>
        </w:rPr>
        <w:t xml:space="preserve"> attempt to reform their judicial systems.</w:t>
      </w:r>
    </w:p>
    <w:p w:rsidR="00FA1FE1" w:rsidRPr="0095360A" w:rsidRDefault="00FA1FE1" w:rsidP="00FA1FE1">
      <w:pPr>
        <w:pStyle w:val="Heading3"/>
        <w:spacing w:after="240" w:line="276" w:lineRule="auto"/>
        <w:rPr>
          <w:rFonts w:eastAsia="Times New Roman"/>
          <w:sz w:val="26"/>
          <w:szCs w:val="26"/>
          <w:lang w:eastAsia="de-DE"/>
        </w:rPr>
      </w:pPr>
      <w:bookmarkStart w:id="230" w:name="_Toc327208473"/>
      <w:bookmarkStart w:id="231" w:name="_Toc348451688"/>
      <w:r w:rsidRPr="0095360A">
        <w:rPr>
          <w:rFonts w:eastAsia="Times New Roman"/>
          <w:sz w:val="26"/>
          <w:szCs w:val="26"/>
          <w:lang w:eastAsia="de-DE"/>
        </w:rPr>
        <w:t>Opportunities and Recommendations</w:t>
      </w:r>
      <w:bookmarkEnd w:id="230"/>
      <w:bookmarkEnd w:id="231"/>
    </w:p>
    <w:p w:rsidR="00FA1FE1" w:rsidRPr="00F445DD" w:rsidRDefault="00FA1FE1" w:rsidP="00FA1FE1">
      <w:pPr>
        <w:pStyle w:val="Heading4"/>
        <w:spacing w:after="240"/>
        <w:rPr>
          <w:color w:val="410082" w:themeColor="text1"/>
          <w:sz w:val="22"/>
          <w:szCs w:val="22"/>
        </w:rPr>
      </w:pPr>
      <w:r w:rsidRPr="00F445DD">
        <w:rPr>
          <w:color w:val="410082" w:themeColor="text1"/>
          <w:sz w:val="22"/>
          <w:szCs w:val="22"/>
        </w:rPr>
        <w:t>Starting a business</w:t>
      </w:r>
    </w:p>
    <w:p w:rsidR="00FA1FE1" w:rsidRDefault="00FA1FE1" w:rsidP="00FA1FE1">
      <w:pPr>
        <w:autoSpaceDE w:val="0"/>
        <w:autoSpaceDN w:val="0"/>
        <w:adjustRightInd w:val="0"/>
        <w:spacing w:after="240"/>
        <w:rPr>
          <w:rFonts w:cstheme="minorHAnsi"/>
        </w:rPr>
      </w:pPr>
      <w:r w:rsidRPr="00006646">
        <w:rPr>
          <w:rFonts w:cstheme="minorHAnsi"/>
          <w:b/>
        </w:rPr>
        <w:t>Short Term</w:t>
      </w:r>
      <w:r>
        <w:rPr>
          <w:rFonts w:cstheme="minorHAnsi"/>
          <w:b/>
        </w:rPr>
        <w:t xml:space="preserve">: </w:t>
      </w:r>
      <w:r w:rsidRPr="00006646">
        <w:rPr>
          <w:rFonts w:cstheme="minorHAnsi"/>
        </w:rPr>
        <w:t xml:space="preserve">Speed up the process to renew investment licenses and reduce cost and frequency of renewals. </w:t>
      </w:r>
      <w:r w:rsidRPr="00866C02">
        <w:rPr>
          <w:rFonts w:cstheme="minorHAnsi"/>
        </w:rPr>
        <w:t xml:space="preserve">It is recommended that AISA charge a small, flat administration fee to renew the licenses, instead of a fee based on sector or firm size. </w:t>
      </w:r>
      <w:r>
        <w:rPr>
          <w:rFonts w:cstheme="minorHAnsi"/>
        </w:rPr>
        <w:t xml:space="preserve">  </w:t>
      </w:r>
    </w:p>
    <w:p w:rsidR="00FA1FE1" w:rsidRPr="00D47D73" w:rsidRDefault="00FA1FE1" w:rsidP="00FA1FE1">
      <w:pPr>
        <w:autoSpaceDE w:val="0"/>
        <w:autoSpaceDN w:val="0"/>
        <w:adjustRightInd w:val="0"/>
        <w:spacing w:after="0"/>
        <w:rPr>
          <w:rFonts w:cstheme="minorHAnsi"/>
          <w:b/>
        </w:rPr>
      </w:pPr>
      <w:r w:rsidRPr="00006646">
        <w:rPr>
          <w:rFonts w:cstheme="minorHAnsi"/>
          <w:b/>
        </w:rPr>
        <w:t>Medium Term</w:t>
      </w:r>
      <w:r>
        <w:rPr>
          <w:rFonts w:cstheme="minorHAnsi"/>
          <w:b/>
        </w:rPr>
        <w:t xml:space="preserve">: </w:t>
      </w:r>
      <w:r w:rsidRPr="00006646">
        <w:rPr>
          <w:rFonts w:cstheme="minorHAnsi"/>
        </w:rPr>
        <w:t xml:space="preserve">Re-organize </w:t>
      </w:r>
      <w:r>
        <w:rPr>
          <w:rFonts w:cstheme="minorHAnsi"/>
        </w:rPr>
        <w:t xml:space="preserve">the </w:t>
      </w:r>
      <w:r w:rsidRPr="00006646">
        <w:rPr>
          <w:rFonts w:cstheme="minorHAnsi"/>
        </w:rPr>
        <w:t>MoCI and AISA so that entrepreneurs will only deal with a single agency for registration and licensing.</w:t>
      </w:r>
      <w:r>
        <w:rPr>
          <w:rFonts w:cstheme="minorHAnsi"/>
        </w:rPr>
        <w:t xml:space="preserve"> </w:t>
      </w:r>
      <w:r w:rsidRPr="00866C02">
        <w:rPr>
          <w:rFonts w:cstheme="minorHAnsi"/>
        </w:rPr>
        <w:t>The government of Afghanistan may consider a single point of interaction between the government and the entrepreneur, where all the information and fees are collected, and registration certificates and licenses are dispensed.</w:t>
      </w:r>
    </w:p>
    <w:p w:rsidR="00FA1FE1" w:rsidRPr="00F445DD" w:rsidRDefault="00FA1FE1" w:rsidP="00FA1FE1">
      <w:pPr>
        <w:pStyle w:val="Heading4"/>
        <w:spacing w:after="240"/>
        <w:rPr>
          <w:color w:val="410082" w:themeColor="text1"/>
          <w:sz w:val="22"/>
          <w:szCs w:val="22"/>
        </w:rPr>
      </w:pPr>
      <w:r w:rsidRPr="00F445DD">
        <w:rPr>
          <w:color w:val="410082" w:themeColor="text1"/>
          <w:sz w:val="22"/>
          <w:szCs w:val="22"/>
        </w:rPr>
        <w:t>Investor protection</w:t>
      </w:r>
    </w:p>
    <w:p w:rsidR="00FA1FE1" w:rsidRDefault="00FA1FE1" w:rsidP="00FA1FE1">
      <w:pPr>
        <w:autoSpaceDE w:val="0"/>
        <w:autoSpaceDN w:val="0"/>
        <w:adjustRightInd w:val="0"/>
        <w:spacing w:after="240"/>
        <w:rPr>
          <w:rFonts w:cstheme="minorHAnsi"/>
        </w:rPr>
      </w:pPr>
      <w:r w:rsidRPr="00006646">
        <w:rPr>
          <w:rFonts w:cstheme="minorHAnsi"/>
          <w:b/>
        </w:rPr>
        <w:t>Short Term</w:t>
      </w:r>
      <w:r>
        <w:rPr>
          <w:rFonts w:cstheme="minorHAnsi"/>
          <w:b/>
        </w:rPr>
        <w:t xml:space="preserve">: </w:t>
      </w:r>
      <w:r w:rsidRPr="00006646">
        <w:rPr>
          <w:rFonts w:cstheme="minorHAnsi"/>
        </w:rPr>
        <w:t>Amend both the Joint Stock Company Law and the Corporations and Limited Liability Companies Law to align their investor protection and disclosure requirements more completely with international best practice.</w:t>
      </w:r>
      <w:r>
        <w:rPr>
          <w:rFonts w:cstheme="minorHAnsi"/>
        </w:rPr>
        <w:t xml:space="preserve"> </w:t>
      </w:r>
      <w:r w:rsidRPr="00FC2282">
        <w:rPr>
          <w:rFonts w:cstheme="minorHAnsi"/>
        </w:rPr>
        <w:t>The amended law should also mandate an independent auditor review of large related-party transactions before the transactions take place. Shareholder approval of large related-party transactions should also be a requirement. Article 50 of the Corporations and Limited Liability Companies Law</w:t>
      </w:r>
      <w:r>
        <w:rPr>
          <w:rFonts w:cstheme="minorHAnsi"/>
        </w:rPr>
        <w:t>, dealing</w:t>
      </w:r>
      <w:r w:rsidRPr="00FC2282">
        <w:rPr>
          <w:rFonts w:cstheme="minorHAnsi"/>
        </w:rPr>
        <w:t xml:space="preserve"> with conflict of interest in transactions</w:t>
      </w:r>
      <w:r>
        <w:rPr>
          <w:rFonts w:cstheme="minorHAnsi"/>
        </w:rPr>
        <w:t xml:space="preserve">, </w:t>
      </w:r>
      <w:r w:rsidRPr="00FC2282">
        <w:rPr>
          <w:rFonts w:cstheme="minorHAnsi"/>
        </w:rPr>
        <w:t xml:space="preserve">should be amended to increase disclosure requirements to the public and in the annual reports in case of related- party transactions. Currently, the </w:t>
      </w:r>
      <w:r>
        <w:rPr>
          <w:rFonts w:cstheme="minorHAnsi"/>
        </w:rPr>
        <w:t>corporation</w:t>
      </w:r>
      <w:r w:rsidR="004D3503">
        <w:rPr>
          <w:rFonts w:cstheme="minorHAnsi"/>
        </w:rPr>
        <w:t>’</w:t>
      </w:r>
      <w:r>
        <w:rPr>
          <w:rFonts w:cstheme="minorHAnsi"/>
        </w:rPr>
        <w:t>s l</w:t>
      </w:r>
      <w:r w:rsidRPr="00FC2282">
        <w:rPr>
          <w:rFonts w:cstheme="minorHAnsi"/>
        </w:rPr>
        <w:t xml:space="preserve">aw requires only the </w:t>
      </w:r>
      <w:r>
        <w:rPr>
          <w:rFonts w:cstheme="minorHAnsi"/>
        </w:rPr>
        <w:t>b</w:t>
      </w:r>
      <w:r w:rsidRPr="00FC2282">
        <w:rPr>
          <w:rFonts w:cstheme="minorHAnsi"/>
        </w:rPr>
        <w:t xml:space="preserve">oard of </w:t>
      </w:r>
      <w:r>
        <w:rPr>
          <w:rFonts w:cstheme="minorHAnsi"/>
        </w:rPr>
        <w:t>d</w:t>
      </w:r>
      <w:r w:rsidRPr="00FC2282">
        <w:rPr>
          <w:rFonts w:cstheme="minorHAnsi"/>
        </w:rPr>
        <w:t>irectors’ approval in case</w:t>
      </w:r>
      <w:r>
        <w:rPr>
          <w:rFonts w:cstheme="minorHAnsi"/>
        </w:rPr>
        <w:t>s</w:t>
      </w:r>
      <w:r w:rsidRPr="00FC2282">
        <w:rPr>
          <w:rFonts w:cstheme="minorHAnsi"/>
        </w:rPr>
        <w:t xml:space="preserve"> of large related</w:t>
      </w:r>
      <w:r>
        <w:rPr>
          <w:rFonts w:cstheme="minorHAnsi"/>
        </w:rPr>
        <w:t>-</w:t>
      </w:r>
      <w:r w:rsidRPr="00FC2282">
        <w:rPr>
          <w:rFonts w:cstheme="minorHAnsi"/>
        </w:rPr>
        <w:t>party transactions (above 5</w:t>
      </w:r>
      <w:r>
        <w:rPr>
          <w:rFonts w:cstheme="minorHAnsi"/>
        </w:rPr>
        <w:t xml:space="preserve"> percent</w:t>
      </w:r>
      <w:r w:rsidRPr="00FC2282">
        <w:rPr>
          <w:rFonts w:cstheme="minorHAnsi"/>
        </w:rPr>
        <w:t xml:space="preserve"> of the </w:t>
      </w:r>
      <w:r>
        <w:rPr>
          <w:rFonts w:cstheme="minorHAnsi"/>
        </w:rPr>
        <w:t xml:space="preserve">company’s </w:t>
      </w:r>
      <w:r w:rsidRPr="00FC2282">
        <w:rPr>
          <w:rFonts w:cstheme="minorHAnsi"/>
        </w:rPr>
        <w:t xml:space="preserve">assets). </w:t>
      </w:r>
      <w:r>
        <w:rPr>
          <w:rFonts w:cstheme="minorHAnsi"/>
        </w:rPr>
        <w:t>T</w:t>
      </w:r>
      <w:r w:rsidRPr="00FC2282">
        <w:rPr>
          <w:rFonts w:cstheme="minorHAnsi"/>
        </w:rPr>
        <w:t>o better protect minority shareholders, these transactions should be approved by the shareholders</w:t>
      </w:r>
      <w:r>
        <w:rPr>
          <w:rFonts w:cstheme="minorHAnsi"/>
        </w:rPr>
        <w:t>’</w:t>
      </w:r>
      <w:r w:rsidRPr="00FC2282">
        <w:rPr>
          <w:rFonts w:cstheme="minorHAnsi"/>
        </w:rPr>
        <w:t xml:space="preserve"> meeting. </w:t>
      </w:r>
    </w:p>
    <w:p w:rsidR="00FA1FE1" w:rsidRDefault="00FA1FE1" w:rsidP="00FA1FE1">
      <w:pPr>
        <w:autoSpaceDE w:val="0"/>
        <w:autoSpaceDN w:val="0"/>
        <w:adjustRightInd w:val="0"/>
        <w:spacing w:after="0"/>
        <w:rPr>
          <w:rFonts w:cstheme="minorHAnsi"/>
        </w:rPr>
      </w:pPr>
      <w:r w:rsidRPr="00006646">
        <w:rPr>
          <w:rFonts w:cstheme="minorHAnsi"/>
          <w:b/>
        </w:rPr>
        <w:t>Medium Term</w:t>
      </w:r>
      <w:r>
        <w:rPr>
          <w:rFonts w:cstheme="minorHAnsi"/>
          <w:b/>
        </w:rPr>
        <w:t xml:space="preserve">: </w:t>
      </w:r>
      <w:r w:rsidRPr="00D1646B">
        <w:rPr>
          <w:rFonts w:cstheme="minorHAnsi"/>
        </w:rPr>
        <w:t>To make it easier for investors to enforce their rights through the courts,</w:t>
      </w:r>
      <w:r>
        <w:rPr>
          <w:rFonts w:cstheme="minorHAnsi"/>
        </w:rPr>
        <w:t xml:space="preserve"> </w:t>
      </w:r>
      <w:r w:rsidRPr="00D1646B">
        <w:rPr>
          <w:rFonts w:cstheme="minorHAnsi"/>
        </w:rPr>
        <w:t>interested parties should be allowed access to relevant non-confidential company documents without filing suit, and without having to identify specific documents.</w:t>
      </w:r>
      <w:r>
        <w:rPr>
          <w:rFonts w:cstheme="minorHAnsi"/>
        </w:rPr>
        <w:t xml:space="preserve"> </w:t>
      </w:r>
      <w:r w:rsidRPr="00C85311">
        <w:rPr>
          <w:rFonts w:cstheme="minorHAnsi"/>
        </w:rPr>
        <w:t>Parties to a trial should be allowed to question (orally or in writing) the opposing party or the witnesses during trial without prior approval of the questions by the judge. In order to facilitate the access to evidence during the trial, minority shareholders’ lawyers could be allowed to directly question the defendant and witnesses during a trial.</w:t>
      </w:r>
    </w:p>
    <w:p w:rsidR="00FA1FE1" w:rsidRPr="00F445DD" w:rsidRDefault="00FA1FE1" w:rsidP="00FA1FE1">
      <w:pPr>
        <w:pStyle w:val="Heading4"/>
        <w:spacing w:after="240"/>
        <w:rPr>
          <w:color w:val="410082" w:themeColor="text1"/>
          <w:sz w:val="22"/>
          <w:szCs w:val="22"/>
        </w:rPr>
      </w:pPr>
      <w:r w:rsidRPr="00F445DD">
        <w:rPr>
          <w:color w:val="410082" w:themeColor="text1"/>
          <w:sz w:val="22"/>
          <w:szCs w:val="22"/>
        </w:rPr>
        <w:t>Enforcing contracts</w:t>
      </w:r>
    </w:p>
    <w:p w:rsidR="00FA1FE1" w:rsidRPr="00C85311" w:rsidRDefault="00FA1FE1" w:rsidP="00FA1FE1">
      <w:pPr>
        <w:autoSpaceDE w:val="0"/>
        <w:autoSpaceDN w:val="0"/>
        <w:adjustRightInd w:val="0"/>
        <w:spacing w:after="240"/>
        <w:rPr>
          <w:rFonts w:cstheme="minorHAnsi"/>
        </w:rPr>
      </w:pPr>
      <w:r w:rsidRPr="00F879F6">
        <w:rPr>
          <w:rFonts w:cstheme="minorHAnsi"/>
          <w:b/>
        </w:rPr>
        <w:t>Medium Term</w:t>
      </w:r>
      <w:r>
        <w:rPr>
          <w:rFonts w:cstheme="minorHAnsi"/>
          <w:b/>
        </w:rPr>
        <w:t>:</w:t>
      </w:r>
      <w:r>
        <w:rPr>
          <w:rFonts w:cstheme="minorHAnsi"/>
          <w:b/>
          <w:bCs/>
        </w:rPr>
        <w:t xml:space="preserve"> </w:t>
      </w:r>
      <w:r w:rsidRPr="00F879F6">
        <w:rPr>
          <w:rFonts w:cstheme="minorHAnsi"/>
          <w:bCs/>
        </w:rPr>
        <w:t>Explore setting up an alternate dispute resolution mechanism to improve efficiency of commercial judgments.</w:t>
      </w:r>
      <w:r>
        <w:rPr>
          <w:rFonts w:cstheme="minorHAnsi"/>
          <w:b/>
          <w:bCs/>
        </w:rPr>
        <w:t xml:space="preserve"> </w:t>
      </w:r>
      <w:r w:rsidRPr="00C85311">
        <w:rPr>
          <w:rFonts w:cstheme="minorHAnsi"/>
        </w:rPr>
        <w:t>Mediated solutions are generally faster, less expensive,</w:t>
      </w:r>
      <w:r>
        <w:rPr>
          <w:rFonts w:cstheme="minorHAnsi"/>
        </w:rPr>
        <w:t xml:space="preserve"> </w:t>
      </w:r>
      <w:r w:rsidRPr="00C85311">
        <w:rPr>
          <w:rFonts w:cstheme="minorHAnsi"/>
        </w:rPr>
        <w:t xml:space="preserve">and more likely to allow the parties to return to doing business with one another. </w:t>
      </w:r>
    </w:p>
    <w:p w:rsidR="00FA1FE1" w:rsidRPr="0066449B" w:rsidRDefault="00FA1FE1" w:rsidP="00FA1FE1">
      <w:pPr>
        <w:autoSpaceDE w:val="0"/>
        <w:autoSpaceDN w:val="0"/>
        <w:adjustRightInd w:val="0"/>
        <w:spacing w:after="0"/>
        <w:rPr>
          <w:rFonts w:cstheme="minorHAnsi"/>
        </w:rPr>
      </w:pPr>
      <w:r w:rsidRPr="00F879F6">
        <w:rPr>
          <w:rFonts w:cstheme="minorHAnsi"/>
          <w:b/>
        </w:rPr>
        <w:t xml:space="preserve">While the recommendations above offer a concise set of actions for Afghanistan to improve its business environment, they are </w:t>
      </w:r>
      <w:r>
        <w:rPr>
          <w:rFonts w:cstheme="minorHAnsi"/>
          <w:b/>
        </w:rPr>
        <w:t xml:space="preserve">but </w:t>
      </w:r>
      <w:r w:rsidRPr="00F879F6">
        <w:rPr>
          <w:rFonts w:cstheme="minorHAnsi"/>
          <w:b/>
        </w:rPr>
        <w:t>a subset within a much wider reform process facing challenges.</w:t>
      </w:r>
      <w:r w:rsidRPr="0066449B">
        <w:rPr>
          <w:rFonts w:cstheme="minorHAnsi"/>
        </w:rPr>
        <w:t xml:space="preserve">  Despite these difficulties, reforming the investment climate now</w:t>
      </w:r>
      <w:r>
        <w:rPr>
          <w:rFonts w:cstheme="minorHAnsi"/>
        </w:rPr>
        <w:t>––</w:t>
      </w:r>
      <w:r w:rsidRPr="0066449B">
        <w:rPr>
          <w:rFonts w:cstheme="minorHAnsi"/>
        </w:rPr>
        <w:t>while security and infrastructure are still recovering</w:t>
      </w:r>
      <w:r>
        <w:rPr>
          <w:rFonts w:cstheme="minorHAnsi"/>
        </w:rPr>
        <w:t>––wi</w:t>
      </w:r>
      <w:r w:rsidRPr="0066449B">
        <w:rPr>
          <w:rFonts w:cstheme="minorHAnsi"/>
        </w:rPr>
        <w:t xml:space="preserve">ll help prepare the country for a stable economic future.  </w:t>
      </w:r>
    </w:p>
    <w:p w:rsidR="00FA1FE1" w:rsidRDefault="00FA1FE1" w:rsidP="00FA1FE1">
      <w:pPr>
        <w:autoSpaceDE w:val="0"/>
        <w:autoSpaceDN w:val="0"/>
        <w:adjustRightInd w:val="0"/>
        <w:spacing w:before="240"/>
        <w:rPr>
          <w:rFonts w:cstheme="minorHAnsi"/>
        </w:rPr>
      </w:pPr>
      <w:r w:rsidRPr="0066449B">
        <w:rPr>
          <w:rFonts w:cstheme="minorHAnsi"/>
        </w:rPr>
        <w:t>For established and competitive firms ready to expand, the public sector can help facilitate their breakthrough into international markets. Through interventions that address market failures, governments can reduce the risk of taking this important step and, therefore, promote export growth.</w:t>
      </w:r>
    </w:p>
    <w:p w:rsidR="00FA1FE1" w:rsidRPr="00F879F6" w:rsidRDefault="00FA1FE1" w:rsidP="00FA1FE1">
      <w:pPr>
        <w:pStyle w:val="Heading2"/>
        <w:rPr>
          <w:sz w:val="28"/>
          <w:szCs w:val="28"/>
        </w:rPr>
      </w:pPr>
      <w:bookmarkStart w:id="232" w:name="_Toc327208474"/>
      <w:bookmarkStart w:id="233" w:name="_Toc348451689"/>
      <w:r w:rsidRPr="00F879F6">
        <w:t>Why Export Promotion is Important</w:t>
      </w:r>
      <w:bookmarkEnd w:id="232"/>
      <w:bookmarkEnd w:id="233"/>
    </w:p>
    <w:p w:rsidR="00FA1FE1" w:rsidRDefault="00FA1FE1" w:rsidP="00FA1FE1">
      <w:pPr>
        <w:autoSpaceDE w:val="0"/>
        <w:autoSpaceDN w:val="0"/>
        <w:adjustRightInd w:val="0"/>
        <w:spacing w:before="240"/>
        <w:rPr>
          <w:rFonts w:cstheme="minorHAnsi"/>
        </w:rPr>
      </w:pPr>
      <w:r w:rsidRPr="00334F92">
        <w:rPr>
          <w:rFonts w:cs="Calibri"/>
          <w:b/>
        </w:rPr>
        <w:t>The economic justification for public sector involvement in export promotion is linked to existing information asymmetries</w:t>
      </w:r>
      <w:r>
        <w:rPr>
          <w:rFonts w:cs="Calibri"/>
        </w:rPr>
        <w:t>. Before investing, p</w:t>
      </w:r>
      <w:r w:rsidRPr="00F566A8">
        <w:rPr>
          <w:rFonts w:cstheme="minorHAnsi"/>
        </w:rPr>
        <w:t>rivate companies</w:t>
      </w:r>
      <w:r>
        <w:rPr>
          <w:rFonts w:cstheme="minorHAnsi"/>
        </w:rPr>
        <w:t xml:space="preserve"> need to know the prevailing </w:t>
      </w:r>
      <w:r w:rsidRPr="00F566A8">
        <w:rPr>
          <w:rFonts w:cstheme="minorHAnsi"/>
        </w:rPr>
        <w:t>consumer preferences</w:t>
      </w:r>
      <w:r>
        <w:rPr>
          <w:rFonts w:cstheme="minorHAnsi"/>
        </w:rPr>
        <w:t xml:space="preserve"> in foreign markets</w:t>
      </w:r>
      <w:r w:rsidRPr="00F566A8">
        <w:rPr>
          <w:rFonts w:cstheme="minorHAnsi"/>
        </w:rPr>
        <w:t>,</w:t>
      </w:r>
      <w:r>
        <w:rPr>
          <w:rFonts w:cstheme="minorHAnsi"/>
        </w:rPr>
        <w:t xml:space="preserve"> </w:t>
      </w:r>
      <w:r w:rsidRPr="00F566A8">
        <w:rPr>
          <w:rFonts w:cstheme="minorHAnsi"/>
        </w:rPr>
        <w:t xml:space="preserve">business opportunities, </w:t>
      </w:r>
      <w:r>
        <w:rPr>
          <w:rFonts w:cstheme="minorHAnsi"/>
        </w:rPr>
        <w:t xml:space="preserve">the </w:t>
      </w:r>
      <w:r w:rsidRPr="00F566A8">
        <w:rPr>
          <w:rFonts w:cstheme="minorHAnsi"/>
        </w:rPr>
        <w:t>quality and technica</w:t>
      </w:r>
      <w:r>
        <w:rPr>
          <w:rFonts w:cstheme="minorHAnsi"/>
        </w:rPr>
        <w:t xml:space="preserve">l </w:t>
      </w:r>
      <w:r w:rsidRPr="00F566A8">
        <w:rPr>
          <w:rFonts w:cstheme="minorHAnsi"/>
        </w:rPr>
        <w:t>requirements,</w:t>
      </w:r>
      <w:r>
        <w:rPr>
          <w:rFonts w:cstheme="minorHAnsi"/>
        </w:rPr>
        <w:t xml:space="preserve"> and regulations. Not only do firms </w:t>
      </w:r>
      <w:r w:rsidRPr="00F566A8">
        <w:rPr>
          <w:rFonts w:cstheme="minorHAnsi"/>
        </w:rPr>
        <w:t xml:space="preserve">hesitate </w:t>
      </w:r>
      <w:r>
        <w:rPr>
          <w:rFonts w:cstheme="minorHAnsi"/>
        </w:rPr>
        <w:t>to invest in such</w:t>
      </w:r>
      <w:r w:rsidRPr="00F566A8">
        <w:rPr>
          <w:rFonts w:cstheme="minorHAnsi"/>
        </w:rPr>
        <w:t xml:space="preserve"> research and marketing costs</w:t>
      </w:r>
      <w:r>
        <w:rPr>
          <w:rFonts w:cstheme="minorHAnsi"/>
        </w:rPr>
        <w:t xml:space="preserve">, it is easy for competitors to free ride -the efforts of </w:t>
      </w:r>
      <w:r w:rsidRPr="00F566A8">
        <w:rPr>
          <w:rFonts w:cstheme="minorHAnsi"/>
        </w:rPr>
        <w:t>pioneer exporters</w:t>
      </w:r>
      <w:r>
        <w:rPr>
          <w:rFonts w:cstheme="minorHAnsi"/>
        </w:rPr>
        <w:t>. Thus, e</w:t>
      </w:r>
      <w:r w:rsidRPr="00367749">
        <w:rPr>
          <w:rFonts w:cstheme="minorHAnsi"/>
        </w:rPr>
        <w:t xml:space="preserve">xport promotion agencies play an important role </w:t>
      </w:r>
      <w:r>
        <w:rPr>
          <w:rFonts w:cstheme="minorHAnsi"/>
        </w:rPr>
        <w:t xml:space="preserve">by </w:t>
      </w:r>
      <w:r w:rsidRPr="00367749">
        <w:rPr>
          <w:rFonts w:cstheme="minorHAnsi"/>
        </w:rPr>
        <w:t>providing firms with knowledge and expertise on foreign markets</w:t>
      </w:r>
      <w:r>
        <w:rPr>
          <w:rFonts w:cstheme="minorHAnsi"/>
        </w:rPr>
        <w:t xml:space="preserve">.   </w:t>
      </w:r>
    </w:p>
    <w:p w:rsidR="00FA1FE1" w:rsidRPr="00546017" w:rsidRDefault="00FA1FE1" w:rsidP="00FA1FE1">
      <w:pPr>
        <w:autoSpaceDE w:val="0"/>
        <w:autoSpaceDN w:val="0"/>
        <w:adjustRightInd w:val="0"/>
        <w:spacing w:after="0"/>
        <w:rPr>
          <w:rFonts w:cstheme="minorHAnsi"/>
        </w:rPr>
      </w:pPr>
      <w:r w:rsidRPr="00546017">
        <w:rPr>
          <w:rFonts w:cstheme="minorHAnsi"/>
          <w:b/>
        </w:rPr>
        <w:t xml:space="preserve">Export support is more effective when it is geared </w:t>
      </w:r>
      <w:r>
        <w:rPr>
          <w:rFonts w:cstheme="minorHAnsi"/>
          <w:b/>
        </w:rPr>
        <w:t>towards</w:t>
      </w:r>
      <w:r w:rsidRPr="00546017">
        <w:rPr>
          <w:rFonts w:cstheme="minorHAnsi"/>
          <w:b/>
        </w:rPr>
        <w:t xml:space="preserve"> raising the competitiveness of firms. </w:t>
      </w:r>
      <w:r>
        <w:rPr>
          <w:rFonts w:cstheme="minorHAnsi"/>
        </w:rPr>
        <w:t>This means that exp</w:t>
      </w:r>
      <w:r w:rsidRPr="00546017">
        <w:rPr>
          <w:rFonts w:cstheme="minorHAnsi"/>
        </w:rPr>
        <w:t xml:space="preserve">ort promotion needs start at home, focusing on </w:t>
      </w:r>
      <w:r>
        <w:rPr>
          <w:rFonts w:cstheme="minorHAnsi"/>
        </w:rPr>
        <w:t>supply-side issues</w:t>
      </w:r>
      <w:r w:rsidRPr="00546017">
        <w:rPr>
          <w:rFonts w:cstheme="minorHAnsi"/>
        </w:rPr>
        <w:t xml:space="preserve"> </w:t>
      </w:r>
      <w:r>
        <w:rPr>
          <w:rFonts w:cstheme="minorHAnsi"/>
        </w:rPr>
        <w:t xml:space="preserve">and </w:t>
      </w:r>
      <w:r w:rsidRPr="00546017">
        <w:rPr>
          <w:rFonts w:cstheme="minorHAnsi"/>
        </w:rPr>
        <w:t xml:space="preserve">enhancing </w:t>
      </w:r>
      <w:r>
        <w:rPr>
          <w:rFonts w:cstheme="minorHAnsi"/>
        </w:rPr>
        <w:t xml:space="preserve">the </w:t>
      </w:r>
      <w:r w:rsidRPr="00546017">
        <w:rPr>
          <w:rFonts w:cstheme="minorHAnsi"/>
        </w:rPr>
        <w:t>overall business climate. Consequently, a</w:t>
      </w:r>
      <w:r>
        <w:rPr>
          <w:rFonts w:cstheme="minorHAnsi"/>
        </w:rPr>
        <w:t xml:space="preserve">n export promotion agency can act as an </w:t>
      </w:r>
      <w:r w:rsidRPr="00546017">
        <w:rPr>
          <w:rFonts w:cstheme="minorHAnsi"/>
        </w:rPr>
        <w:t xml:space="preserve">adviser to the government on foreign trade and related matters, while </w:t>
      </w:r>
      <w:r>
        <w:rPr>
          <w:rFonts w:cstheme="minorHAnsi"/>
        </w:rPr>
        <w:t>being an interlocutor for the e</w:t>
      </w:r>
      <w:r w:rsidRPr="00546017">
        <w:rPr>
          <w:rFonts w:cstheme="minorHAnsi"/>
        </w:rPr>
        <w:t>xport community</w:t>
      </w:r>
      <w:r>
        <w:rPr>
          <w:rFonts w:cstheme="minorHAnsi"/>
        </w:rPr>
        <w:t xml:space="preserve">.  </w:t>
      </w:r>
      <w:r w:rsidRPr="00546017">
        <w:rPr>
          <w:rFonts w:cstheme="minorHAnsi"/>
        </w:rPr>
        <w:t xml:space="preserve">In </w:t>
      </w:r>
      <w:r>
        <w:rPr>
          <w:rFonts w:cstheme="minorHAnsi"/>
        </w:rPr>
        <w:t xml:space="preserve">practice, the </w:t>
      </w:r>
      <w:r w:rsidRPr="00546017">
        <w:rPr>
          <w:rFonts w:cstheme="minorHAnsi"/>
        </w:rPr>
        <w:t>activities</w:t>
      </w:r>
      <w:r>
        <w:rPr>
          <w:rFonts w:cstheme="minorHAnsi"/>
        </w:rPr>
        <w:t xml:space="preserve"> of an export promotion agency </w:t>
      </w:r>
      <w:r w:rsidRPr="00546017">
        <w:rPr>
          <w:rFonts w:cstheme="minorHAnsi"/>
        </w:rPr>
        <w:t xml:space="preserve">should focus on </w:t>
      </w:r>
      <w:r>
        <w:rPr>
          <w:rFonts w:cstheme="minorHAnsi"/>
        </w:rPr>
        <w:t>(</w:t>
      </w:r>
      <w:r w:rsidRPr="00546017">
        <w:rPr>
          <w:rFonts w:cstheme="minorHAnsi"/>
        </w:rPr>
        <w:t xml:space="preserve">i) developing a broad awareness of export opportunities and on stimulating interest for export in the business community, </w:t>
      </w:r>
      <w:r>
        <w:rPr>
          <w:rFonts w:cstheme="minorHAnsi"/>
        </w:rPr>
        <w:t>(ii</w:t>
      </w:r>
      <w:r w:rsidRPr="00546017">
        <w:rPr>
          <w:rFonts w:cstheme="minorHAnsi"/>
        </w:rPr>
        <w:t>) assisting firms in the planning and preparation (e</w:t>
      </w:r>
      <w:r>
        <w:rPr>
          <w:rFonts w:cstheme="minorHAnsi"/>
        </w:rPr>
        <w:t>.g</w:t>
      </w:r>
      <w:r w:rsidRPr="00546017">
        <w:rPr>
          <w:rFonts w:cstheme="minorHAnsi"/>
        </w:rPr>
        <w:t>.</w:t>
      </w:r>
      <w:r>
        <w:rPr>
          <w:rFonts w:cstheme="minorHAnsi"/>
        </w:rPr>
        <w:t>,</w:t>
      </w:r>
      <w:r w:rsidRPr="00546017">
        <w:rPr>
          <w:rFonts w:cstheme="minorHAnsi"/>
        </w:rPr>
        <w:t xml:space="preserve"> developing export action plans), </w:t>
      </w:r>
      <w:r>
        <w:rPr>
          <w:rFonts w:cstheme="minorHAnsi"/>
        </w:rPr>
        <w:t>(iii</w:t>
      </w:r>
      <w:r w:rsidRPr="00546017">
        <w:rPr>
          <w:rFonts w:cstheme="minorHAnsi"/>
        </w:rPr>
        <w:t xml:space="preserve">) providing technical expertise during the process, </w:t>
      </w:r>
      <w:r>
        <w:rPr>
          <w:rFonts w:cstheme="minorHAnsi"/>
        </w:rPr>
        <w:t>(iv</w:t>
      </w:r>
      <w:r w:rsidRPr="00546017">
        <w:rPr>
          <w:rFonts w:cstheme="minorHAnsi"/>
        </w:rPr>
        <w:t>) supporting breakthrough</w:t>
      </w:r>
      <w:r>
        <w:rPr>
          <w:rFonts w:cstheme="minorHAnsi"/>
        </w:rPr>
        <w:t>s</w:t>
      </w:r>
      <w:r w:rsidRPr="00546017">
        <w:rPr>
          <w:rFonts w:cstheme="minorHAnsi"/>
        </w:rPr>
        <w:t xml:space="preserve"> into foreign markets with cost-sharing programs that mostly subsidize the initial market entry costs</w:t>
      </w:r>
      <w:r>
        <w:rPr>
          <w:rFonts w:cstheme="minorHAnsi"/>
        </w:rPr>
        <w:t>, and (v) providing information on markets and country-specific issues to domestic and international actors</w:t>
      </w:r>
      <w:r w:rsidRPr="00546017">
        <w:rPr>
          <w:rFonts w:cstheme="minorHAnsi"/>
        </w:rPr>
        <w:t xml:space="preserve">. </w:t>
      </w:r>
    </w:p>
    <w:p w:rsidR="00FA1FE1" w:rsidRPr="00010C9A" w:rsidRDefault="00FA1FE1" w:rsidP="00FA1FE1">
      <w:pPr>
        <w:pStyle w:val="Heading3"/>
      </w:pPr>
      <w:bookmarkStart w:id="234" w:name="_Toc327208475"/>
      <w:bookmarkStart w:id="235" w:name="_Toc348451690"/>
      <w:r w:rsidRPr="00010C9A">
        <w:t>The Role of the Export Promotion Agency (EPAA) in Afghanistan</w:t>
      </w:r>
      <w:bookmarkEnd w:id="234"/>
      <w:bookmarkEnd w:id="235"/>
    </w:p>
    <w:p w:rsidR="00FA1FE1" w:rsidRPr="00FC5FF6" w:rsidRDefault="00FA1FE1" w:rsidP="00FA1FE1">
      <w:pPr>
        <w:spacing w:after="240" w:line="240" w:lineRule="auto"/>
        <w:rPr>
          <w:rFonts w:cstheme="minorHAnsi"/>
          <w:szCs w:val="22"/>
        </w:rPr>
      </w:pPr>
      <w:r w:rsidRPr="00FC5FF6">
        <w:rPr>
          <w:rFonts w:cstheme="minorHAnsi"/>
          <w:b/>
          <w:szCs w:val="22"/>
        </w:rPr>
        <w:t>The Export Promotion Agency of Afghanistan (EPAA) was established in 2006 to increase Afghan exports in foreign markets</w:t>
      </w:r>
      <w:r>
        <w:rPr>
          <w:rFonts w:cstheme="minorHAnsi"/>
          <w:b/>
          <w:szCs w:val="22"/>
        </w:rPr>
        <w:t xml:space="preserve">, but it has languished since the </w:t>
      </w:r>
      <w:r w:rsidRPr="00FC5FF6">
        <w:rPr>
          <w:rFonts w:cstheme="minorHAnsi"/>
          <w:b/>
          <w:szCs w:val="22"/>
        </w:rPr>
        <w:t xml:space="preserve">institutional arrangements </w:t>
      </w:r>
      <w:r>
        <w:rPr>
          <w:rFonts w:cstheme="minorHAnsi"/>
          <w:b/>
          <w:szCs w:val="22"/>
        </w:rPr>
        <w:t>were</w:t>
      </w:r>
      <w:r w:rsidRPr="00FC5FF6">
        <w:rPr>
          <w:rFonts w:cstheme="minorHAnsi"/>
          <w:b/>
          <w:szCs w:val="22"/>
        </w:rPr>
        <w:t xml:space="preserve"> changed</w:t>
      </w:r>
      <w:r w:rsidRPr="00FC5FF6">
        <w:rPr>
          <w:rFonts w:cstheme="minorHAnsi"/>
          <w:szCs w:val="22"/>
        </w:rPr>
        <w:t>.  Its creation was a step in the right direction</w:t>
      </w:r>
      <w:r>
        <w:rPr>
          <w:rFonts w:cstheme="minorHAnsi"/>
          <w:szCs w:val="22"/>
        </w:rPr>
        <w:t>,</w:t>
      </w:r>
      <w:r w:rsidRPr="00FC5FF6">
        <w:rPr>
          <w:rFonts w:cstheme="minorHAnsi"/>
          <w:szCs w:val="22"/>
        </w:rPr>
        <w:t xml:space="preserve"> and in 2008 </w:t>
      </w:r>
      <w:r>
        <w:rPr>
          <w:rFonts w:cstheme="minorHAnsi"/>
          <w:szCs w:val="22"/>
        </w:rPr>
        <w:t xml:space="preserve">it </w:t>
      </w:r>
      <w:r w:rsidRPr="00FC5FF6">
        <w:rPr>
          <w:rFonts w:cstheme="minorHAnsi"/>
          <w:szCs w:val="22"/>
        </w:rPr>
        <w:t>received an international</w:t>
      </w:r>
      <w:r>
        <w:rPr>
          <w:rFonts w:cstheme="minorHAnsi"/>
          <w:szCs w:val="22"/>
        </w:rPr>
        <w:t xml:space="preserve"> award</w:t>
      </w:r>
      <w:r w:rsidRPr="00FC5FF6">
        <w:rPr>
          <w:rFonts w:cstheme="minorHAnsi"/>
          <w:szCs w:val="22"/>
        </w:rPr>
        <w:t xml:space="preserve">. The idea was to provide exporters with assistance </w:t>
      </w:r>
      <w:r>
        <w:rPr>
          <w:rFonts w:cstheme="minorHAnsi"/>
          <w:szCs w:val="22"/>
        </w:rPr>
        <w:t>in</w:t>
      </w:r>
      <w:r w:rsidRPr="00FC5FF6">
        <w:rPr>
          <w:rFonts w:cstheme="minorHAnsi"/>
          <w:szCs w:val="22"/>
        </w:rPr>
        <w:t xml:space="preserve"> marketing, foreign markets, regulations, to help develop contacts with foreign importers, and to </w:t>
      </w:r>
      <w:r>
        <w:rPr>
          <w:rFonts w:cstheme="minorHAnsi"/>
          <w:szCs w:val="22"/>
        </w:rPr>
        <w:t>be</w:t>
      </w:r>
      <w:r w:rsidRPr="00FC5FF6">
        <w:rPr>
          <w:rFonts w:cstheme="minorHAnsi"/>
          <w:szCs w:val="22"/>
        </w:rPr>
        <w:t xml:space="preserve"> a</w:t>
      </w:r>
      <w:r w:rsidRPr="00FC5FF6">
        <w:rPr>
          <w:rFonts w:eastAsia="Calibri" w:cstheme="minorHAnsi"/>
          <w:szCs w:val="22"/>
        </w:rPr>
        <w:t xml:space="preserve"> one-s</w:t>
      </w:r>
      <w:r>
        <w:rPr>
          <w:rFonts w:eastAsia="Calibri" w:cstheme="minorHAnsi"/>
          <w:szCs w:val="22"/>
        </w:rPr>
        <w:t>top</w:t>
      </w:r>
      <w:r w:rsidRPr="00FC5FF6">
        <w:rPr>
          <w:rFonts w:eastAsia="Calibri" w:cstheme="minorHAnsi"/>
          <w:szCs w:val="22"/>
        </w:rPr>
        <w:t xml:space="preserve"> agency for all export-related documents</w:t>
      </w:r>
      <w:r w:rsidRPr="00FC5FF6">
        <w:rPr>
          <w:rFonts w:cstheme="minorHAnsi"/>
          <w:szCs w:val="22"/>
        </w:rPr>
        <w:t>.</w:t>
      </w:r>
      <w:r>
        <w:rPr>
          <w:rFonts w:cstheme="minorHAnsi"/>
          <w:szCs w:val="22"/>
        </w:rPr>
        <w:t xml:space="preserve">  </w:t>
      </w:r>
      <w:r w:rsidRPr="004832E4">
        <w:rPr>
          <w:rFonts w:cstheme="minorHAnsi"/>
          <w:szCs w:val="22"/>
        </w:rPr>
        <w:t>However</w:t>
      </w:r>
      <w:r>
        <w:rPr>
          <w:rFonts w:cstheme="minorHAnsi"/>
          <w:szCs w:val="22"/>
        </w:rPr>
        <w:t>, t</w:t>
      </w:r>
      <w:r w:rsidRPr="004832E4">
        <w:rPr>
          <w:rFonts w:cstheme="minorHAnsi"/>
          <w:szCs w:val="22"/>
        </w:rPr>
        <w:t>he</w:t>
      </w:r>
      <w:r w:rsidRPr="00FC5FF6">
        <w:rPr>
          <w:rFonts w:cstheme="minorHAnsi"/>
          <w:szCs w:val="22"/>
        </w:rPr>
        <w:t xml:space="preserve"> EPAA </w:t>
      </w:r>
      <w:r>
        <w:rPr>
          <w:rFonts w:cstheme="minorHAnsi"/>
          <w:szCs w:val="22"/>
        </w:rPr>
        <w:t>lost its</w:t>
      </w:r>
      <w:r w:rsidRPr="00FC5FF6">
        <w:rPr>
          <w:rFonts w:cstheme="minorHAnsi"/>
          <w:szCs w:val="22"/>
        </w:rPr>
        <w:t xml:space="preserve"> independen</w:t>
      </w:r>
      <w:r>
        <w:rPr>
          <w:rFonts w:cstheme="minorHAnsi"/>
          <w:szCs w:val="22"/>
        </w:rPr>
        <w:t>ce when it was turned into</w:t>
      </w:r>
      <w:r w:rsidRPr="00FC5FF6">
        <w:rPr>
          <w:rFonts w:cstheme="minorHAnsi"/>
          <w:szCs w:val="22"/>
        </w:rPr>
        <w:t xml:space="preserve"> the Export Promotion Direct</w:t>
      </w:r>
      <w:r>
        <w:rPr>
          <w:rFonts w:cstheme="minorHAnsi"/>
          <w:szCs w:val="22"/>
        </w:rPr>
        <w:t>orate of the MOCI. It</w:t>
      </w:r>
      <w:r w:rsidRPr="00FC5FF6">
        <w:rPr>
          <w:rFonts w:cstheme="minorHAnsi"/>
          <w:szCs w:val="22"/>
        </w:rPr>
        <w:t xml:space="preserve"> no longer provides </w:t>
      </w:r>
      <w:r>
        <w:rPr>
          <w:rFonts w:cstheme="minorHAnsi"/>
          <w:szCs w:val="22"/>
        </w:rPr>
        <w:t xml:space="preserve">the scope of its </w:t>
      </w:r>
      <w:r w:rsidRPr="00FC5FF6">
        <w:rPr>
          <w:rFonts w:cstheme="minorHAnsi"/>
          <w:szCs w:val="22"/>
        </w:rPr>
        <w:t xml:space="preserve">original services; its new role and direction have not been clearly defined, and the definition of </w:t>
      </w:r>
      <w:r>
        <w:rPr>
          <w:rFonts w:cstheme="minorHAnsi"/>
          <w:szCs w:val="22"/>
        </w:rPr>
        <w:t>function</w:t>
      </w:r>
      <w:r w:rsidRPr="00FC5FF6">
        <w:rPr>
          <w:rFonts w:cstheme="minorHAnsi"/>
          <w:szCs w:val="22"/>
        </w:rPr>
        <w:t xml:space="preserve">s </w:t>
      </w:r>
      <w:r>
        <w:rPr>
          <w:rFonts w:cstheme="minorHAnsi"/>
          <w:szCs w:val="22"/>
        </w:rPr>
        <w:t>between</w:t>
      </w:r>
      <w:r w:rsidRPr="00FC5FF6">
        <w:rPr>
          <w:rFonts w:cstheme="minorHAnsi"/>
          <w:szCs w:val="22"/>
        </w:rPr>
        <w:t xml:space="preserve"> all three directorates </w:t>
      </w:r>
      <w:r>
        <w:rPr>
          <w:rFonts w:cstheme="minorHAnsi"/>
          <w:szCs w:val="22"/>
        </w:rPr>
        <w:t>i</w:t>
      </w:r>
      <w:r w:rsidRPr="00FC5FF6">
        <w:rPr>
          <w:rFonts w:cstheme="minorHAnsi"/>
          <w:szCs w:val="22"/>
        </w:rPr>
        <w:t xml:space="preserve">s ambiguous. </w:t>
      </w:r>
    </w:p>
    <w:p w:rsidR="00FA1FE1" w:rsidRDefault="00FA1FE1" w:rsidP="00FA1FE1">
      <w:pPr>
        <w:spacing w:after="0"/>
      </w:pPr>
      <w:r w:rsidRPr="003B4A55">
        <w:rPr>
          <w:rFonts w:cs="Calibri"/>
          <w:b/>
        </w:rPr>
        <w:t xml:space="preserve">If </w:t>
      </w:r>
      <w:r>
        <w:rPr>
          <w:rFonts w:cs="Calibri"/>
          <w:b/>
        </w:rPr>
        <w:t>EPAA</w:t>
      </w:r>
      <w:r w:rsidRPr="003B4A55">
        <w:rPr>
          <w:rFonts w:cs="Calibri"/>
          <w:b/>
        </w:rPr>
        <w:t xml:space="preserve"> is to have an impact on export promotion in Afghanistan it needs to define its</w:t>
      </w:r>
      <w:r>
        <w:rPr>
          <w:rFonts w:cs="Calibri"/>
          <w:b/>
        </w:rPr>
        <w:t xml:space="preserve"> new</w:t>
      </w:r>
      <w:r w:rsidRPr="003B4A55">
        <w:rPr>
          <w:rFonts w:cs="Calibri"/>
          <w:b/>
        </w:rPr>
        <w:t xml:space="preserve"> role and activities</w:t>
      </w:r>
      <w:r>
        <w:rPr>
          <w:rFonts w:cs="Calibri"/>
          <w:b/>
        </w:rPr>
        <w:t>, and</w:t>
      </w:r>
      <w:r w:rsidRPr="003B4A55">
        <w:rPr>
          <w:rFonts w:cs="Calibri"/>
          <w:b/>
        </w:rPr>
        <w:t xml:space="preserve"> </w:t>
      </w:r>
      <w:r>
        <w:rPr>
          <w:rFonts w:cs="Calibri"/>
          <w:b/>
        </w:rPr>
        <w:t xml:space="preserve">have a </w:t>
      </w:r>
      <w:r w:rsidRPr="003B4A55">
        <w:rPr>
          <w:rFonts w:cs="Calibri"/>
          <w:b/>
        </w:rPr>
        <w:t>mandate beyond be</w:t>
      </w:r>
      <w:r>
        <w:rPr>
          <w:rFonts w:cs="Calibri"/>
          <w:b/>
        </w:rPr>
        <w:t>ing</w:t>
      </w:r>
      <w:r w:rsidRPr="003B4A55">
        <w:rPr>
          <w:rFonts w:cs="Calibri"/>
          <w:b/>
        </w:rPr>
        <w:t xml:space="preserve"> just an information center</w:t>
      </w:r>
      <w:r>
        <w:rPr>
          <w:rFonts w:cs="Calibri"/>
        </w:rPr>
        <w:t xml:space="preserve">. </w:t>
      </w:r>
      <w:r>
        <w:t>It is important for this new directorate to place particular emphasis on promotion, export support services, technical assistance, capacity building, and marketing. The Tunisian example is instructive, for it shows the importance of providing support services</w:t>
      </w:r>
      <w:r w:rsidRPr="00AC489D">
        <w:t xml:space="preserve"> </w:t>
      </w:r>
      <w:r>
        <w:t xml:space="preserve">to firms through technical assistance and capacity-building to develop concrete export action plans (Box 5.1). It shows that firms need support for marketing abroad, which has been shown to be one of the major constraints on Afghanistan’s exports.  </w:t>
      </w:r>
    </w:p>
    <w:p w:rsidR="00FA1FE1" w:rsidRDefault="00FA1FE1" w:rsidP="00FA1FE1">
      <w:pPr>
        <w:spacing w:after="0"/>
      </w:pPr>
    </w:p>
    <w:p w:rsidR="00FA1FE1" w:rsidRDefault="00FA1FE1" w:rsidP="00FA1FE1">
      <w:pPr>
        <w:spacing w:after="0"/>
      </w:pPr>
      <w:r w:rsidRPr="00A92AAD">
        <w:rPr>
          <w:b/>
        </w:rPr>
        <w:t xml:space="preserve">In Tunisia, </w:t>
      </w:r>
      <w:r>
        <w:rPr>
          <w:b/>
        </w:rPr>
        <w:t xml:space="preserve">a </w:t>
      </w:r>
      <w:r w:rsidRPr="00A92AAD">
        <w:rPr>
          <w:b/>
        </w:rPr>
        <w:t>program</w:t>
      </w:r>
      <w:r>
        <w:rPr>
          <w:b/>
        </w:rPr>
        <w:t xml:space="preserve"> providing matching grants for export services and technical assistance had a positive impact on export promotion.  </w:t>
      </w:r>
      <w:r w:rsidRPr="00BF639F">
        <w:t>It did so because public funds complemented rather than substituted private funding.  In order to</w:t>
      </w:r>
      <w:r>
        <w:t xml:space="preserve"> minimize the effects of subsidizing activities that firms would have paid for anyway, the beneficiaries were identified and received matching grants only for interventions aligned with the program’s objectives: export diversification and SMEs with potential to export. The eligibility criteria allowed for only one, first-time subsidy for an enterprise to participate in a trade fair or similar activity. The Tunisian access fund, EMAF II, paid particular attention to measuring results, and </w:t>
      </w:r>
      <w:r w:rsidRPr="005515F1">
        <w:t xml:space="preserve">incorporating an </w:t>
      </w:r>
      <w:r w:rsidRPr="00CA1280">
        <w:rPr>
          <w:i/>
        </w:rPr>
        <w:t>ex ante</w:t>
      </w:r>
      <w:r w:rsidRPr="005515F1">
        <w:t xml:space="preserve"> evaluation strategy</w:t>
      </w:r>
      <w:r>
        <w:t xml:space="preserve"> to help inform redesign of the program’s second phase.   </w:t>
      </w:r>
    </w:p>
    <w:p w:rsidR="00FA1FE1" w:rsidRDefault="00FA1FE1" w:rsidP="00FA1FE1">
      <w:pPr>
        <w:spacing w:after="0" w:line="240" w:lineRule="auto"/>
      </w:pPr>
    </w:p>
    <w:tbl>
      <w:tblPr>
        <w:tblStyle w:val="TableGrid"/>
        <w:tblW w:w="0" w:type="auto"/>
        <w:tblLook w:val="04A0" w:firstRow="1" w:lastRow="0" w:firstColumn="1" w:lastColumn="0" w:noHBand="0" w:noVBand="1"/>
      </w:tblPr>
      <w:tblGrid>
        <w:gridCol w:w="9576"/>
      </w:tblGrid>
      <w:tr w:rsidR="00FA1FE1" w:rsidTr="00C525B7">
        <w:tc>
          <w:tcPr>
            <w:tcW w:w="9576" w:type="dxa"/>
            <w:shd w:val="clear" w:color="auto" w:fill="ECE4F1" w:themeFill="accent4" w:themeFillTint="33"/>
          </w:tcPr>
          <w:p w:rsidR="00FA1FE1" w:rsidRPr="00BB1354" w:rsidRDefault="00FA1FE1" w:rsidP="00C525B7">
            <w:pPr>
              <w:rPr>
                <w:b/>
              </w:rPr>
            </w:pPr>
            <w:r w:rsidRPr="00BB1354">
              <w:rPr>
                <w:b/>
              </w:rPr>
              <w:t xml:space="preserve">Box </w:t>
            </w:r>
            <w:r>
              <w:rPr>
                <w:b/>
              </w:rPr>
              <w:t>5.1</w:t>
            </w:r>
            <w:r w:rsidRPr="00BB1354">
              <w:rPr>
                <w:b/>
              </w:rPr>
              <w:t>:  Tunisia Export Market Access Fund</w:t>
            </w:r>
          </w:p>
          <w:p w:rsidR="00FA1FE1" w:rsidRPr="00BB1354" w:rsidRDefault="00FA1FE1" w:rsidP="00C525B7"/>
          <w:p w:rsidR="00FA1FE1" w:rsidRPr="00BB1354" w:rsidRDefault="00FA1FE1" w:rsidP="00C525B7">
            <w:r>
              <w:t>I</w:t>
            </w:r>
            <w:r w:rsidRPr="00BB1354">
              <w:t>n 2000</w:t>
            </w:r>
            <w:r>
              <w:t>, t</w:t>
            </w:r>
            <w:r w:rsidRPr="00BB1354">
              <w:t>he Tunisian Ministry of Commerce and Artisans established a new support tool for exporters, an export</w:t>
            </w:r>
            <w:r>
              <w:t>-</w:t>
            </w:r>
            <w:r w:rsidRPr="00BB1354">
              <w:t>promotion</w:t>
            </w:r>
            <w:r>
              <w:t xml:space="preserve">, </w:t>
            </w:r>
            <w:r w:rsidRPr="00BB1354">
              <w:t>matching</w:t>
            </w:r>
            <w:r>
              <w:t xml:space="preserve"> </w:t>
            </w:r>
            <w:r w:rsidRPr="00BB1354">
              <w:t>grant fund. The Tunisian Export Market Access Fund (EMAF)</w:t>
            </w:r>
            <w:r>
              <w:t xml:space="preserve"> and its</w:t>
            </w:r>
            <w:r w:rsidRPr="00BB1354">
              <w:t xml:space="preserve"> second phase</w:t>
            </w:r>
            <w:r>
              <w:t>,</w:t>
            </w:r>
            <w:r w:rsidRPr="00BB1354">
              <w:t xml:space="preserve"> the EMAF</w:t>
            </w:r>
            <w:r>
              <w:t xml:space="preserve"> </w:t>
            </w:r>
            <w:r w:rsidRPr="00BB1354">
              <w:t>II</w:t>
            </w:r>
            <w:r>
              <w:t>,</w:t>
            </w:r>
            <w:r w:rsidRPr="00BB1354">
              <w:t xml:space="preserve"> started in 2005</w:t>
            </w:r>
            <w:r>
              <w:t xml:space="preserve"> and</w:t>
            </w:r>
            <w:r w:rsidRPr="00BB1354">
              <w:t xml:space="preserve"> lasted four and a half years</w:t>
            </w:r>
            <w:r>
              <w:t>. W</w:t>
            </w:r>
            <w:r w:rsidRPr="00BB1354">
              <w:t xml:space="preserve">ith a budget of </w:t>
            </w:r>
            <w:r>
              <w:t>US</w:t>
            </w:r>
            <w:r w:rsidRPr="00BB1354">
              <w:t xml:space="preserve">$25 million, </w:t>
            </w:r>
            <w:r>
              <w:t xml:space="preserve">it </w:t>
            </w:r>
            <w:r w:rsidRPr="00BB1354">
              <w:t xml:space="preserve">successfully diversified and promoted </w:t>
            </w:r>
            <w:r>
              <w:t xml:space="preserve">Tunisian </w:t>
            </w:r>
            <w:r w:rsidRPr="00BB1354">
              <w:t>exports.</w:t>
            </w:r>
          </w:p>
          <w:p w:rsidR="00FA1FE1" w:rsidRDefault="00FA1FE1" w:rsidP="00C525B7"/>
          <w:p w:rsidR="00FA1FE1" w:rsidRPr="00BB1354" w:rsidRDefault="00FA1FE1" w:rsidP="00C525B7">
            <w:r w:rsidRPr="00BB1354">
              <w:t xml:space="preserve">The idea to establish </w:t>
            </w:r>
            <w:r>
              <w:t xml:space="preserve">the </w:t>
            </w:r>
            <w:r w:rsidRPr="00BB1354">
              <w:t>EMAF came from two simple observations. First</w:t>
            </w:r>
            <w:r>
              <w:t>ly</w:t>
            </w:r>
            <w:r w:rsidRPr="00BB1354">
              <w:t>, firms needed support to penetrate new markets, as over 80</w:t>
            </w:r>
            <w:r>
              <w:t xml:space="preserve"> percent</w:t>
            </w:r>
            <w:r w:rsidRPr="00BB1354">
              <w:t xml:space="preserve"> of Tunisian exports were concentrated on four countries</w:t>
            </w:r>
            <w:r>
              <w:t xml:space="preserve">.  </w:t>
            </w:r>
            <w:r w:rsidRPr="00BB1354">
              <w:t xml:space="preserve">Secondly, many SMEs with great potential were not exporting.  Based on these observations, the objectives of the program were defined to </w:t>
            </w:r>
            <w:r>
              <w:t>(</w:t>
            </w:r>
            <w:r w:rsidRPr="00BB1354">
              <w:t xml:space="preserve">i) support 350 enterprises to export and diversify their markets, </w:t>
            </w:r>
            <w:r>
              <w:t>(</w:t>
            </w:r>
            <w:r w:rsidRPr="00BB1354">
              <w:t>ii) provide them with subsid</w:t>
            </w:r>
            <w:r>
              <w:t>ies</w:t>
            </w:r>
            <w:r w:rsidRPr="00BB1354">
              <w:t xml:space="preserve"> at a ratio of </w:t>
            </w:r>
            <w:r>
              <w:t>US$1 subsidy for every</w:t>
            </w:r>
            <w:r w:rsidRPr="00BB1354">
              <w:t xml:space="preserve"> </w:t>
            </w:r>
            <w:r>
              <w:t>US</w:t>
            </w:r>
            <w:r w:rsidRPr="00BB1354">
              <w:t xml:space="preserve">$10 in exports, and </w:t>
            </w:r>
            <w:r>
              <w:t>(</w:t>
            </w:r>
            <w:r w:rsidRPr="00BB1354">
              <w:t>iii)</w:t>
            </w:r>
            <w:r>
              <w:t xml:space="preserve"> </w:t>
            </w:r>
            <w:r w:rsidRPr="00BB1354">
              <w:t xml:space="preserve">to </w:t>
            </w:r>
            <w:r>
              <w:t>stimulate</w:t>
            </w:r>
            <w:r w:rsidRPr="00BB1354">
              <w:t xml:space="preserve"> development of </w:t>
            </w:r>
            <w:r>
              <w:t>a</w:t>
            </w:r>
            <w:r w:rsidRPr="00BB1354">
              <w:t xml:space="preserve"> local consultancy sector in the process.</w:t>
            </w:r>
          </w:p>
          <w:p w:rsidR="00FA1FE1" w:rsidRPr="00BB1354" w:rsidRDefault="00FA1FE1" w:rsidP="00C525B7"/>
          <w:p w:rsidR="00FA1FE1" w:rsidRPr="00BB1354" w:rsidRDefault="00FA1FE1" w:rsidP="00C525B7">
            <w:r w:rsidRPr="00BB1354">
              <w:t>The EMAF program provided non-reimbursable co-financing, matching grants, to assist investments in market research and programs to increase export market access at the firm level. It first helped firms define their objectives and formulate an exporting action plan. During this phase, technical assistance and a subsidy of 70</w:t>
            </w:r>
            <w:r>
              <w:t xml:space="preserve"> percent</w:t>
            </w:r>
            <w:r w:rsidRPr="00BB1354">
              <w:t xml:space="preserve"> of contracting services (to a maximum of </w:t>
            </w:r>
            <w:r>
              <w:t>US</w:t>
            </w:r>
            <w:r w:rsidRPr="00BB1354">
              <w:t>$8</w:t>
            </w:r>
            <w:r>
              <w:t>,</w:t>
            </w:r>
            <w:r w:rsidRPr="00BB1354">
              <w:t xml:space="preserve">000) was provided. </w:t>
            </w:r>
            <w:r>
              <w:t>I</w:t>
            </w:r>
            <w:r w:rsidRPr="00BB1354">
              <w:t xml:space="preserve">n </w:t>
            </w:r>
            <w:r>
              <w:t>the</w:t>
            </w:r>
            <w:r w:rsidRPr="00BB1354">
              <w:t xml:space="preserve"> second phase, the support focused on implementing the action plan with a subsidy of up to 50</w:t>
            </w:r>
            <w:r>
              <w:t xml:space="preserve"> percent</w:t>
            </w:r>
            <w:r w:rsidRPr="00BB1354">
              <w:t xml:space="preserve"> of the implementation costs (</w:t>
            </w:r>
            <w:r>
              <w:t>with</w:t>
            </w:r>
            <w:r w:rsidRPr="00BB1354">
              <w:t xml:space="preserve"> a ceiling of </w:t>
            </w:r>
            <w:r>
              <w:t>US</w:t>
            </w:r>
            <w:r w:rsidRPr="00BB1354">
              <w:t xml:space="preserve">$80,000). The program’s technical assistance focused on actions that were </w:t>
            </w:r>
            <w:r>
              <w:t>deemed</w:t>
            </w:r>
            <w:r w:rsidRPr="00BB1354">
              <w:t xml:space="preserve"> most likely </w:t>
            </w:r>
            <w:r>
              <w:t>to succeed i</w:t>
            </w:r>
            <w:r w:rsidRPr="00BB1354">
              <w:t xml:space="preserve">n entering international markets. </w:t>
            </w:r>
            <w:r>
              <w:t>These</w:t>
            </w:r>
            <w:r w:rsidRPr="00BB1354">
              <w:t xml:space="preserve"> supported actions </w:t>
            </w:r>
            <w:r>
              <w:t>included</w:t>
            </w:r>
            <w:r w:rsidRPr="00BB1354">
              <w:t>: the preparation of a website</w:t>
            </w:r>
            <w:r>
              <w:t>,</w:t>
            </w:r>
            <w:r w:rsidRPr="00BB1354">
              <w:t xml:space="preserve"> or product catalogue</w:t>
            </w:r>
            <w:r>
              <w:t>;</w:t>
            </w:r>
            <w:r w:rsidRPr="00BB1354">
              <w:t xml:space="preserve"> prospecting missions, visits or participation in professional trade shows</w:t>
            </w:r>
            <w:r>
              <w:t>;</w:t>
            </w:r>
            <w:r w:rsidRPr="00BB1354">
              <w:t xml:space="preserve"> invitations </w:t>
            </w:r>
            <w:r>
              <w:t>to</w:t>
            </w:r>
            <w:r w:rsidRPr="00BB1354">
              <w:t xml:space="preserve"> buyers</w:t>
            </w:r>
            <w:r>
              <w:t>;</w:t>
            </w:r>
            <w:r w:rsidRPr="00BB1354">
              <w:t xml:space="preserve"> and the adaptation of product</w:t>
            </w:r>
            <w:r>
              <w:t>s</w:t>
            </w:r>
            <w:r w:rsidRPr="00BB1354">
              <w:t xml:space="preserve"> and packaging to the </w:t>
            </w:r>
            <w:r>
              <w:t xml:space="preserve">tastes of the </w:t>
            </w:r>
            <w:r w:rsidRPr="00BB1354">
              <w:t xml:space="preserve">targeted country. </w:t>
            </w:r>
            <w:r>
              <w:t>In essence</w:t>
            </w:r>
            <w:r w:rsidRPr="00BB1354">
              <w:t xml:space="preserve">, the EMAF’s performance targets were </w:t>
            </w:r>
            <w:r>
              <w:t>determined by</w:t>
            </w:r>
            <w:r w:rsidRPr="00BB1354">
              <w:t xml:space="preserve"> value of exports, destination markets and product diversification.</w:t>
            </w:r>
          </w:p>
          <w:p w:rsidR="00FA1FE1" w:rsidRPr="00BB1354" w:rsidRDefault="00FA1FE1" w:rsidP="00C525B7"/>
          <w:p w:rsidR="00FA1FE1" w:rsidRPr="00BB1354" w:rsidRDefault="00FA1FE1" w:rsidP="00C525B7">
            <w:r w:rsidRPr="00BB1354">
              <w:t>A</w:t>
            </w:r>
            <w:r>
              <w:t xml:space="preserve"> </w:t>
            </w:r>
            <w:r w:rsidRPr="00BB1354">
              <w:t>post</w:t>
            </w:r>
            <w:r>
              <w:t>-</w:t>
            </w:r>
            <w:r w:rsidRPr="00BB1354">
              <w:t xml:space="preserve">impact evaluation of the EMAF II program suggests </w:t>
            </w:r>
            <w:r>
              <w:t>it was highly successful between</w:t>
            </w:r>
            <w:r w:rsidRPr="00BB1354">
              <w:t xml:space="preserve"> 2004</w:t>
            </w:r>
            <w:r>
              <w:t xml:space="preserve"> and 20</w:t>
            </w:r>
            <w:r w:rsidRPr="00BB1354">
              <w:t xml:space="preserve">08. By December 2009, </w:t>
            </w:r>
            <w:r>
              <w:t xml:space="preserve">of the </w:t>
            </w:r>
            <w:r w:rsidRPr="00BB1354">
              <w:t>1</w:t>
            </w:r>
            <w:r>
              <w:t>,</w:t>
            </w:r>
            <w:r w:rsidRPr="00BB1354">
              <w:t xml:space="preserve">710 firms (mostly SMEs) </w:t>
            </w:r>
            <w:r>
              <w:t xml:space="preserve">that </w:t>
            </w:r>
            <w:r w:rsidRPr="00BB1354">
              <w:t xml:space="preserve">had applied, 72 </w:t>
            </w:r>
            <w:r>
              <w:t>percent</w:t>
            </w:r>
            <w:r w:rsidRPr="00BB1354">
              <w:t xml:space="preserve"> </w:t>
            </w:r>
            <w:r>
              <w:t xml:space="preserve">had been </w:t>
            </w:r>
            <w:r w:rsidRPr="00BB1354">
              <w:t xml:space="preserve">accepted. </w:t>
            </w:r>
            <w:r>
              <w:t>One-third of these</w:t>
            </w:r>
            <w:r w:rsidRPr="00BB1354">
              <w:t xml:space="preserve"> had been in EMAF I</w:t>
            </w:r>
            <w:r>
              <w:t>,</w:t>
            </w:r>
            <w:r w:rsidRPr="00BB1354">
              <w:t xml:space="preserve"> while 167 dropped out without disbursements.  The estimates suggest that participation in EMAF II </w:t>
            </w:r>
            <w:r>
              <w:t>led to</w:t>
            </w:r>
            <w:r w:rsidRPr="00BB1354">
              <w:t xml:space="preserve"> increased growth in </w:t>
            </w:r>
            <w:r>
              <w:t xml:space="preserve">the </w:t>
            </w:r>
            <w:r w:rsidRPr="00BB1354">
              <w:t xml:space="preserve">firms’ </w:t>
            </w:r>
            <w:r>
              <w:t>overall</w:t>
            </w:r>
            <w:r w:rsidRPr="00BB1354">
              <w:t xml:space="preserve"> exports</w:t>
            </w:r>
            <w:r>
              <w:t xml:space="preserve">: </w:t>
            </w:r>
            <w:r w:rsidRPr="00BB1354">
              <w:t xml:space="preserve">annual export growth </w:t>
            </w:r>
            <w:r>
              <w:t>of</w:t>
            </w:r>
            <w:r w:rsidRPr="00BB1354">
              <w:t xml:space="preserve"> EMAF II</w:t>
            </w:r>
            <w:r>
              <w:t>-</w:t>
            </w:r>
            <w:r w:rsidRPr="00BB1354">
              <w:t xml:space="preserve">assisted firms was 38.9 </w:t>
            </w:r>
            <w:r>
              <w:t>percent</w:t>
            </w:r>
            <w:r w:rsidRPr="00BB1354">
              <w:t xml:space="preserve"> higher </w:t>
            </w:r>
            <w:r>
              <w:t>than non-EMAF II firms of</w:t>
            </w:r>
            <w:r w:rsidRPr="00BB1354">
              <w:t xml:space="preserve"> similar propensity. </w:t>
            </w:r>
            <w:r>
              <w:t>A</w:t>
            </w:r>
            <w:r w:rsidRPr="00BB1354">
              <w:t xml:space="preserve">nnual growth in destination markets reached was 4 </w:t>
            </w:r>
            <w:r>
              <w:t>percent</w:t>
            </w:r>
            <w:r w:rsidRPr="00BB1354">
              <w:t xml:space="preserve"> higher for firms assisted by </w:t>
            </w:r>
            <w:r>
              <w:t xml:space="preserve">the </w:t>
            </w:r>
            <w:r w:rsidRPr="00BB1354">
              <w:t>EMAF</w:t>
            </w:r>
            <w:r>
              <w:t>.</w:t>
            </w:r>
          </w:p>
          <w:p w:rsidR="00FA1FE1" w:rsidRPr="00BB1354" w:rsidRDefault="00FA1FE1" w:rsidP="00C525B7"/>
          <w:p w:rsidR="00FA1FE1" w:rsidRPr="00BB1354" w:rsidRDefault="00FA1FE1" w:rsidP="00C525B7">
            <w:r>
              <w:t>T</w:t>
            </w:r>
            <w:r w:rsidRPr="00BB1354">
              <w:t>he impact varied widely among different types of firms</w:t>
            </w:r>
            <w:r>
              <w:t>, with</w:t>
            </w:r>
            <w:r w:rsidRPr="00BB1354">
              <w:t xml:space="preserve"> new exporters</w:t>
            </w:r>
            <w:r>
              <w:t>, representing about 30 percent</w:t>
            </w:r>
            <w:r w:rsidRPr="00BB1354">
              <w:t xml:space="preserve"> </w:t>
            </w:r>
            <w:r>
              <w:t>of beneficiaries, faring the best</w:t>
            </w:r>
            <w:r w:rsidRPr="00BB1354">
              <w:t xml:space="preserve">. Thus, one might say that EMAF II was </w:t>
            </w:r>
            <w:r>
              <w:t xml:space="preserve">the </w:t>
            </w:r>
            <w:r w:rsidRPr="00BB1354">
              <w:t xml:space="preserve">key in helping </w:t>
            </w:r>
            <w:r>
              <w:t>to establish</w:t>
            </w:r>
            <w:r w:rsidRPr="00BB1354">
              <w:t xml:space="preserve"> a new class of exporters.</w:t>
            </w:r>
            <w:r>
              <w:t xml:space="preserve"> F</w:t>
            </w:r>
            <w:r w:rsidRPr="00BB1354">
              <w:t xml:space="preserve">irms that expanded their markets (50 </w:t>
            </w:r>
            <w:r>
              <w:t>percent</w:t>
            </w:r>
            <w:r w:rsidRPr="00BB1354">
              <w:t xml:space="preserve"> of </w:t>
            </w:r>
            <w:r>
              <w:t xml:space="preserve">all </w:t>
            </w:r>
            <w:r w:rsidRPr="00BB1354">
              <w:t xml:space="preserve">beneficiaries) experienced positive results, but those who expanded their product line (20 </w:t>
            </w:r>
            <w:r>
              <w:t>percent of beneficiaries</w:t>
            </w:r>
            <w:r w:rsidRPr="00BB1354">
              <w:t>) did not do better than non-beneficiary firms.</w:t>
            </w:r>
          </w:p>
          <w:p w:rsidR="00FA1FE1" w:rsidRPr="00BB1354" w:rsidRDefault="00FA1FE1" w:rsidP="00C525B7"/>
          <w:p w:rsidR="00FA1FE1" w:rsidRPr="00BB1354" w:rsidRDefault="00FA1FE1" w:rsidP="00C525B7">
            <w:r w:rsidRPr="00BB1354">
              <w:t xml:space="preserve">The EMAF experience shows that a public-private approach is more effective in export promotion and </w:t>
            </w:r>
            <w:r>
              <w:t>offer</w:t>
            </w:r>
            <w:r w:rsidRPr="00BB1354">
              <w:t>s important lessons for Afghan</w:t>
            </w:r>
            <w:r>
              <w:t>istan</w:t>
            </w:r>
            <w:r w:rsidRPr="00BB1354">
              <w:t>.  First</w:t>
            </w:r>
            <w:r>
              <w:t>ly</w:t>
            </w:r>
            <w:r w:rsidRPr="00BB1354">
              <w:t>, the scheme was demand-driven and the private sector paid for half of the costs of the implementation of their export plans.  Second</w:t>
            </w:r>
            <w:r>
              <w:t>ly</w:t>
            </w:r>
            <w:r w:rsidRPr="00BB1354">
              <w:t>, the program’s design was a determinant of success</w:t>
            </w:r>
            <w:r>
              <w:t>; i</w:t>
            </w:r>
            <w:r w:rsidRPr="00BB1354">
              <w:t xml:space="preserve">t was targeted, not all firms were eligible </w:t>
            </w:r>
            <w:r>
              <w:t>for</w:t>
            </w:r>
            <w:r w:rsidRPr="00BB1354">
              <w:t xml:space="preserve"> matching grants, only new exporters and firms seeking greater market diversification based on the objectives of the program.  Third</w:t>
            </w:r>
            <w:r>
              <w:t>ly</w:t>
            </w:r>
            <w:r w:rsidRPr="00BB1354">
              <w:t>, the export plans allowed the results of EMAF’s assistance to be measur</w:t>
            </w:r>
            <w:r>
              <w:t>ed</w:t>
            </w:r>
            <w:r w:rsidRPr="00BB1354">
              <w:t xml:space="preserve">. Finally, the development of a market for exporting services was important, as firms could rely on technical expertise to develop and successfully implement their action plans. </w:t>
            </w:r>
          </w:p>
          <w:p w:rsidR="00FA1FE1" w:rsidRPr="00BB1354" w:rsidRDefault="00FA1FE1" w:rsidP="00C525B7"/>
          <w:p w:rsidR="00FA1FE1" w:rsidRDefault="00FA1FE1" w:rsidP="00C525B7">
            <w:r>
              <w:t>Source:</w:t>
            </w:r>
            <w:r w:rsidRPr="00BB1354">
              <w:t xml:space="preserve"> “Ex-Post Impact Evaluation of an Export Promotion Matching Grant: Tunisia’s EMAF II”</w:t>
            </w:r>
            <w:r>
              <w:t>,</w:t>
            </w:r>
            <w:r w:rsidRPr="00BB1354">
              <w:t xml:space="preserve"> World Bank</w:t>
            </w:r>
            <w:r>
              <w:t>,</w:t>
            </w:r>
            <w:r w:rsidRPr="00BB1354">
              <w:t xml:space="preserve"> 2011</w:t>
            </w:r>
            <w:r>
              <w:t>.</w:t>
            </w:r>
          </w:p>
        </w:tc>
      </w:tr>
    </w:tbl>
    <w:p w:rsidR="00FA1FE1" w:rsidRPr="003E6FEA" w:rsidRDefault="00FA1FE1" w:rsidP="00FA1FE1">
      <w:pPr>
        <w:spacing w:after="0" w:line="240" w:lineRule="auto"/>
        <w:rPr>
          <w:color w:val="FF0000"/>
        </w:rPr>
      </w:pPr>
    </w:p>
    <w:p w:rsidR="00FA1FE1" w:rsidRPr="004E16E8" w:rsidRDefault="00FA1FE1" w:rsidP="00FA1FE1">
      <w:pPr>
        <w:autoSpaceDE w:val="0"/>
        <w:autoSpaceDN w:val="0"/>
        <w:adjustRightInd w:val="0"/>
        <w:spacing w:after="0"/>
        <w:rPr>
          <w:rFonts w:cstheme="minorHAnsi"/>
          <w:sz w:val="18"/>
          <w:szCs w:val="18"/>
        </w:rPr>
      </w:pPr>
      <w:r>
        <w:rPr>
          <w:rFonts w:cstheme="minorHAnsi"/>
          <w:b/>
        </w:rPr>
        <w:t xml:space="preserve">The </w:t>
      </w:r>
      <w:r w:rsidRPr="004E16E8">
        <w:rPr>
          <w:rFonts w:cstheme="minorHAnsi"/>
          <w:b/>
        </w:rPr>
        <w:t xml:space="preserve">EPAA could support activities aiming to develop local export services. </w:t>
      </w:r>
      <w:r w:rsidRPr="004E16E8">
        <w:rPr>
          <w:rFonts w:cstheme="minorHAnsi"/>
        </w:rPr>
        <w:t>These could be promoted through implementation of the Export Step-by-Step pro</w:t>
      </w:r>
      <w:r>
        <w:rPr>
          <w:rFonts w:cstheme="minorHAnsi"/>
        </w:rPr>
        <w:t>cess that was</w:t>
      </w:r>
      <w:r w:rsidRPr="004E16E8">
        <w:rPr>
          <w:rFonts w:cstheme="minorHAnsi"/>
        </w:rPr>
        <w:t xml:space="preserve"> developed by</w:t>
      </w:r>
      <w:r>
        <w:rPr>
          <w:rFonts w:cstheme="minorHAnsi"/>
        </w:rPr>
        <w:t xml:space="preserve"> the</w:t>
      </w:r>
      <w:r w:rsidRPr="004E16E8">
        <w:rPr>
          <w:rFonts w:cstheme="minorHAnsi"/>
        </w:rPr>
        <w:t xml:space="preserve"> EPAA in 2007</w:t>
      </w:r>
      <w:r>
        <w:rPr>
          <w:rFonts w:cstheme="minorHAnsi"/>
        </w:rPr>
        <w:t>. Deliv</w:t>
      </w:r>
      <w:r w:rsidRPr="004E16E8">
        <w:rPr>
          <w:rFonts w:cstheme="minorHAnsi"/>
        </w:rPr>
        <w:t xml:space="preserve">ering </w:t>
      </w:r>
      <w:r>
        <w:rPr>
          <w:rFonts w:cstheme="minorHAnsi"/>
        </w:rPr>
        <w:t xml:space="preserve">such </w:t>
      </w:r>
      <w:r w:rsidRPr="004E16E8">
        <w:rPr>
          <w:rFonts w:cstheme="minorHAnsi"/>
        </w:rPr>
        <w:t>a “training for trainer</w:t>
      </w:r>
      <w:r>
        <w:rPr>
          <w:rFonts w:cstheme="minorHAnsi"/>
        </w:rPr>
        <w:t>”</w:t>
      </w:r>
      <w:r w:rsidRPr="004E16E8">
        <w:rPr>
          <w:rFonts w:cstheme="minorHAnsi"/>
        </w:rPr>
        <w:t xml:space="preserve"> module would foster a private</w:t>
      </w:r>
      <w:r>
        <w:rPr>
          <w:rFonts w:cstheme="minorHAnsi"/>
        </w:rPr>
        <w:t>-</w:t>
      </w:r>
      <w:r w:rsidRPr="004E16E8">
        <w:rPr>
          <w:rFonts w:cstheme="minorHAnsi"/>
        </w:rPr>
        <w:t>sector export consultan</w:t>
      </w:r>
      <w:r>
        <w:rPr>
          <w:rFonts w:cstheme="minorHAnsi"/>
        </w:rPr>
        <w:t>cy</w:t>
      </w:r>
      <w:r w:rsidRPr="004E16E8">
        <w:rPr>
          <w:rFonts w:cstheme="minorHAnsi"/>
        </w:rPr>
        <w:t xml:space="preserve"> service comparable to the successful Tunisia Export Market Access Fund experience. </w:t>
      </w:r>
      <w:r>
        <w:rPr>
          <w:rFonts w:cstheme="minorHAnsi"/>
        </w:rPr>
        <w:t>Working in tandem with</w:t>
      </w:r>
      <w:r>
        <w:rPr>
          <w:rFonts w:cstheme="minorHAnsi"/>
          <w:szCs w:val="22"/>
          <w:lang w:val="en-GB"/>
        </w:rPr>
        <w:t xml:space="preserve"> </w:t>
      </w:r>
      <w:r w:rsidRPr="004E16E8">
        <w:rPr>
          <w:rFonts w:cstheme="minorHAnsi"/>
          <w:szCs w:val="22"/>
          <w:lang w:val="en-GB"/>
        </w:rPr>
        <w:t xml:space="preserve">service enterprises, </w:t>
      </w:r>
      <w:r>
        <w:rPr>
          <w:rFonts w:cstheme="minorHAnsi"/>
          <w:szCs w:val="22"/>
          <w:lang w:val="en-GB"/>
        </w:rPr>
        <w:t>Tunisia’s</w:t>
      </w:r>
      <w:r w:rsidRPr="004E16E8">
        <w:rPr>
          <w:rFonts w:cstheme="minorHAnsi"/>
          <w:szCs w:val="22"/>
          <w:lang w:val="en-GB"/>
        </w:rPr>
        <w:t xml:space="preserve"> EMAF </w:t>
      </w:r>
      <w:r>
        <w:rPr>
          <w:rFonts w:cstheme="minorHAnsi"/>
          <w:szCs w:val="22"/>
          <w:lang w:val="en-GB"/>
        </w:rPr>
        <w:t xml:space="preserve">contributed </w:t>
      </w:r>
      <w:r>
        <w:rPr>
          <w:rFonts w:cstheme="minorHAnsi"/>
        </w:rPr>
        <w:t>significantly</w:t>
      </w:r>
      <w:r w:rsidRPr="004E16E8">
        <w:rPr>
          <w:rFonts w:cstheme="minorHAnsi"/>
          <w:szCs w:val="22"/>
          <w:lang w:val="en-GB"/>
        </w:rPr>
        <w:t xml:space="preserve"> to the development of the local consultancy sector. </w:t>
      </w:r>
      <w:r>
        <w:rPr>
          <w:rFonts w:cstheme="minorHAnsi"/>
          <w:szCs w:val="22"/>
          <w:lang w:val="en-GB"/>
        </w:rPr>
        <w:t>It built a</w:t>
      </w:r>
      <w:r w:rsidRPr="004E16E8">
        <w:rPr>
          <w:rFonts w:cstheme="minorHAnsi"/>
          <w:szCs w:val="22"/>
          <w:lang w:val="en-GB"/>
        </w:rPr>
        <w:t xml:space="preserve"> network of exporting consultants</w:t>
      </w:r>
      <w:r>
        <w:rPr>
          <w:rFonts w:cstheme="minorHAnsi"/>
          <w:szCs w:val="22"/>
          <w:lang w:val="en-GB"/>
        </w:rPr>
        <w:t>, working alongside the</w:t>
      </w:r>
      <w:r w:rsidRPr="004E16E8">
        <w:rPr>
          <w:rFonts w:cstheme="minorHAnsi"/>
          <w:szCs w:val="22"/>
          <w:lang w:val="en-GB"/>
        </w:rPr>
        <w:t xml:space="preserve"> EMAF, </w:t>
      </w:r>
      <w:r>
        <w:rPr>
          <w:rFonts w:cstheme="minorHAnsi"/>
          <w:szCs w:val="22"/>
          <w:lang w:val="en-GB"/>
        </w:rPr>
        <w:t>to</w:t>
      </w:r>
      <w:r w:rsidRPr="004E16E8">
        <w:rPr>
          <w:rFonts w:cstheme="minorHAnsi"/>
          <w:szCs w:val="22"/>
          <w:lang w:val="en-GB"/>
        </w:rPr>
        <w:t xml:space="preserve"> prepar</w:t>
      </w:r>
      <w:r>
        <w:rPr>
          <w:rFonts w:cstheme="minorHAnsi"/>
          <w:szCs w:val="22"/>
          <w:lang w:val="en-GB"/>
        </w:rPr>
        <w:t>e</w:t>
      </w:r>
      <w:r w:rsidRPr="004E16E8">
        <w:rPr>
          <w:rFonts w:cstheme="minorHAnsi"/>
          <w:szCs w:val="22"/>
          <w:lang w:val="en-GB"/>
        </w:rPr>
        <w:t xml:space="preserve"> export plans</w:t>
      </w:r>
      <w:r>
        <w:rPr>
          <w:rFonts w:cstheme="minorHAnsi"/>
          <w:szCs w:val="22"/>
          <w:lang w:val="en-GB"/>
        </w:rPr>
        <w:t xml:space="preserve"> and follow-up,</w:t>
      </w:r>
      <w:r w:rsidRPr="004E16E8">
        <w:rPr>
          <w:rFonts w:cstheme="minorHAnsi"/>
          <w:szCs w:val="22"/>
          <w:lang w:val="en-GB"/>
        </w:rPr>
        <w:t xml:space="preserve"> coaching and technical assistance </w:t>
      </w:r>
      <w:r>
        <w:rPr>
          <w:rFonts w:cstheme="minorHAnsi"/>
          <w:szCs w:val="22"/>
          <w:lang w:val="en-GB"/>
        </w:rPr>
        <w:t>from fulltime, EMAF-employed</w:t>
      </w:r>
      <w:r w:rsidRPr="004E16E8">
        <w:rPr>
          <w:rFonts w:cstheme="minorHAnsi"/>
          <w:szCs w:val="22"/>
          <w:lang w:val="en-GB"/>
        </w:rPr>
        <w:t xml:space="preserve"> experts</w:t>
      </w:r>
      <w:r>
        <w:rPr>
          <w:rFonts w:cstheme="minorHAnsi"/>
          <w:szCs w:val="22"/>
          <w:lang w:val="en-GB"/>
        </w:rPr>
        <w:t>,</w:t>
      </w:r>
      <w:r w:rsidRPr="004E16E8">
        <w:rPr>
          <w:rFonts w:cstheme="minorHAnsi"/>
          <w:szCs w:val="22"/>
          <w:lang w:val="en-GB"/>
        </w:rPr>
        <w:t xml:space="preserve"> and </w:t>
      </w:r>
      <w:r>
        <w:rPr>
          <w:rFonts w:cstheme="minorHAnsi"/>
          <w:szCs w:val="22"/>
          <w:lang w:val="en-GB"/>
        </w:rPr>
        <w:t xml:space="preserve">export-process </w:t>
      </w:r>
      <w:r w:rsidRPr="004E16E8">
        <w:rPr>
          <w:rFonts w:cstheme="minorHAnsi"/>
          <w:szCs w:val="22"/>
          <w:lang w:val="en-GB"/>
        </w:rPr>
        <w:t>training.</w:t>
      </w:r>
      <w:r w:rsidRPr="004E16E8">
        <w:rPr>
          <w:rFonts w:cstheme="minorHAnsi"/>
          <w:sz w:val="18"/>
          <w:szCs w:val="18"/>
        </w:rPr>
        <w:t xml:space="preserve"> </w:t>
      </w:r>
      <w:r>
        <w:rPr>
          <w:rFonts w:cstheme="minorHAnsi"/>
          <w:szCs w:val="22"/>
          <w:lang w:val="en-GB"/>
        </w:rPr>
        <w:t xml:space="preserve">The </w:t>
      </w:r>
      <w:r w:rsidRPr="004E16E8">
        <w:rPr>
          <w:rFonts w:cstheme="minorHAnsi"/>
          <w:szCs w:val="22"/>
          <w:lang w:val="en-GB"/>
        </w:rPr>
        <w:t>Ministry of Commerce and Artisans</w:t>
      </w:r>
      <w:r>
        <w:rPr>
          <w:rFonts w:cstheme="minorHAnsi"/>
          <w:szCs w:val="22"/>
          <w:lang w:val="en-GB"/>
        </w:rPr>
        <w:t xml:space="preserve"> even created a special job category, export consultant, and</w:t>
      </w:r>
      <w:r>
        <w:rPr>
          <w:rFonts w:cstheme="minorHAnsi"/>
        </w:rPr>
        <w:t xml:space="preserve"> th</w:t>
      </w:r>
      <w:r w:rsidRPr="004E16E8">
        <w:rPr>
          <w:rFonts w:cstheme="minorHAnsi"/>
          <w:szCs w:val="22"/>
          <w:lang w:val="en-GB"/>
        </w:rPr>
        <w:t xml:space="preserve">e </w:t>
      </w:r>
      <w:r>
        <w:rPr>
          <w:rFonts w:cstheme="minorHAnsi"/>
          <w:szCs w:val="22"/>
          <w:lang w:val="en-GB"/>
        </w:rPr>
        <w:t>enabling legislation</w:t>
      </w:r>
      <w:r w:rsidRPr="004E16E8">
        <w:rPr>
          <w:rFonts w:cstheme="minorHAnsi"/>
          <w:szCs w:val="22"/>
          <w:lang w:val="en-GB"/>
        </w:rPr>
        <w:t xml:space="preserve"> </w:t>
      </w:r>
      <w:r>
        <w:rPr>
          <w:rFonts w:cstheme="minorHAnsi"/>
        </w:rPr>
        <w:t>provided</w:t>
      </w:r>
      <w:r w:rsidRPr="004E16E8">
        <w:rPr>
          <w:rFonts w:cstheme="minorHAnsi"/>
          <w:szCs w:val="22"/>
          <w:lang w:val="en-GB"/>
        </w:rPr>
        <w:t xml:space="preserve"> tax incentives to professionals and experts in the exporting</w:t>
      </w:r>
      <w:r>
        <w:rPr>
          <w:rFonts w:cstheme="minorHAnsi"/>
          <w:szCs w:val="22"/>
          <w:lang w:val="en-GB"/>
        </w:rPr>
        <w:t xml:space="preserve"> domain</w:t>
      </w:r>
      <w:r w:rsidRPr="004E16E8">
        <w:rPr>
          <w:rFonts w:cstheme="minorHAnsi"/>
          <w:szCs w:val="22"/>
          <w:lang w:val="en-GB"/>
        </w:rPr>
        <w:t xml:space="preserve">. </w:t>
      </w:r>
    </w:p>
    <w:p w:rsidR="00FA1FE1" w:rsidRPr="0095360A" w:rsidRDefault="00FA1FE1" w:rsidP="00FA1FE1">
      <w:pPr>
        <w:pStyle w:val="Heading3"/>
        <w:spacing w:after="240" w:line="276" w:lineRule="auto"/>
        <w:rPr>
          <w:rFonts w:eastAsia="Times New Roman"/>
          <w:sz w:val="26"/>
          <w:szCs w:val="26"/>
          <w:lang w:eastAsia="de-DE"/>
        </w:rPr>
      </w:pPr>
      <w:bookmarkStart w:id="236" w:name="_Toc327208476"/>
      <w:bookmarkStart w:id="237" w:name="_Toc348451691"/>
      <w:r w:rsidRPr="0095360A">
        <w:rPr>
          <w:rFonts w:eastAsia="Times New Roman"/>
          <w:sz w:val="26"/>
          <w:szCs w:val="26"/>
          <w:lang w:eastAsia="de-DE"/>
        </w:rPr>
        <w:t>Opportunities and Recommendations</w:t>
      </w:r>
      <w:bookmarkEnd w:id="236"/>
      <w:bookmarkEnd w:id="237"/>
    </w:p>
    <w:p w:rsidR="00FA1FE1" w:rsidRDefault="00FA1FE1" w:rsidP="00FA1FE1">
      <w:r w:rsidRPr="009E4348">
        <w:rPr>
          <w:b/>
        </w:rPr>
        <w:t xml:space="preserve">Define the new role and activities of </w:t>
      </w:r>
      <w:r>
        <w:rPr>
          <w:b/>
        </w:rPr>
        <w:t xml:space="preserve">the </w:t>
      </w:r>
      <w:r w:rsidRPr="009E4348">
        <w:rPr>
          <w:b/>
        </w:rPr>
        <w:t>EPAA.</w:t>
      </w:r>
      <w:r>
        <w:t xml:space="preserve"> </w:t>
      </w:r>
      <w:r w:rsidRPr="009E4348">
        <w:rPr>
          <w:rFonts w:cs="Calibri"/>
        </w:rPr>
        <w:t xml:space="preserve">If this </w:t>
      </w:r>
      <w:r>
        <w:rPr>
          <w:rFonts w:cs="Calibri"/>
        </w:rPr>
        <w:t>d</w:t>
      </w:r>
      <w:r w:rsidRPr="009E4348">
        <w:rPr>
          <w:rFonts w:cs="Calibri"/>
        </w:rPr>
        <w:t>irectorate is to have an</w:t>
      </w:r>
      <w:r>
        <w:rPr>
          <w:rFonts w:cs="Calibri"/>
        </w:rPr>
        <w:t>y</w:t>
      </w:r>
      <w:r w:rsidRPr="009E4348">
        <w:rPr>
          <w:rFonts w:cs="Calibri"/>
        </w:rPr>
        <w:t xml:space="preserve"> impact on export promotion in Afghanistan it needs to have a mandate beyond becoming just an</w:t>
      </w:r>
      <w:r>
        <w:rPr>
          <w:rFonts w:cs="Calibri"/>
        </w:rPr>
        <w:t xml:space="preserve"> </w:t>
      </w:r>
      <w:r w:rsidRPr="009E4348">
        <w:rPr>
          <w:rFonts w:cs="Calibri"/>
        </w:rPr>
        <w:t>information center</w:t>
      </w:r>
      <w:r>
        <w:rPr>
          <w:rFonts w:cs="Calibri"/>
        </w:rPr>
        <w:t>. It</w:t>
      </w:r>
      <w:r w:rsidRPr="009E4348">
        <w:rPr>
          <w:rFonts w:cs="Calibri"/>
        </w:rPr>
        <w:t xml:space="preserve"> </w:t>
      </w:r>
      <w:r>
        <w:rPr>
          <w:rFonts w:cs="Calibri"/>
        </w:rPr>
        <w:t>should</w:t>
      </w:r>
      <w:r w:rsidRPr="009E4348">
        <w:rPr>
          <w:rFonts w:cs="Calibri"/>
        </w:rPr>
        <w:t xml:space="preserve"> </w:t>
      </w:r>
      <w:r>
        <w:rPr>
          <w:rFonts w:cs="Calibri"/>
        </w:rPr>
        <w:t xml:space="preserve">be </w:t>
      </w:r>
      <w:r w:rsidRPr="009E4348">
        <w:t>plac</w:t>
      </w:r>
      <w:r>
        <w:t>ing</w:t>
      </w:r>
      <w:r w:rsidRPr="009E4348">
        <w:t xml:space="preserve"> emphasis on: promotion</w:t>
      </w:r>
      <w:r>
        <w:t xml:space="preserve">, export support services, technical assistance, capacity building, and marketing.  </w:t>
      </w:r>
      <w:r>
        <w:rPr>
          <w:rFonts w:cs="Calibri"/>
        </w:rPr>
        <w:t xml:space="preserve"> </w:t>
      </w:r>
      <w:r>
        <w:t xml:space="preserve">  </w:t>
      </w:r>
    </w:p>
    <w:p w:rsidR="00FA1FE1" w:rsidRDefault="00FA1FE1" w:rsidP="00FA1FE1">
      <w:r w:rsidRPr="009E4348">
        <w:rPr>
          <w:b/>
        </w:rPr>
        <w:t xml:space="preserve">Explore </w:t>
      </w:r>
      <w:r>
        <w:rPr>
          <w:b/>
        </w:rPr>
        <w:t xml:space="preserve">ways to </w:t>
      </w:r>
      <w:r w:rsidRPr="009E4348">
        <w:rPr>
          <w:b/>
        </w:rPr>
        <w:t>develop a matching grant scheme for export promotion based on the success of the Tunisian experience.</w:t>
      </w:r>
      <w:r>
        <w:rPr>
          <w:b/>
        </w:rPr>
        <w:t xml:space="preserve"> </w:t>
      </w:r>
      <w:r w:rsidRPr="0096512D">
        <w:t xml:space="preserve">This subsidized scheme should be targeted and aligned with the objectives of export diversification and export development for SMEs. </w:t>
      </w:r>
    </w:p>
    <w:p w:rsidR="00FA1FE1" w:rsidRDefault="00FA1FE1" w:rsidP="00FA1FE1">
      <w:r>
        <w:rPr>
          <w:b/>
        </w:rPr>
        <w:t>Prepare a</w:t>
      </w:r>
      <w:r w:rsidRPr="0096512D">
        <w:rPr>
          <w:b/>
        </w:rPr>
        <w:t xml:space="preserve"> National E</w:t>
      </w:r>
      <w:r>
        <w:rPr>
          <w:b/>
        </w:rPr>
        <w:t>xport Strategy (NES) as a stand-</w:t>
      </w:r>
      <w:r w:rsidRPr="0096512D">
        <w:rPr>
          <w:b/>
        </w:rPr>
        <w:t xml:space="preserve">alone document </w:t>
      </w:r>
      <w:r>
        <w:rPr>
          <w:b/>
        </w:rPr>
        <w:t xml:space="preserve">to support </w:t>
      </w:r>
      <w:r w:rsidRPr="0096512D">
        <w:rPr>
          <w:b/>
        </w:rPr>
        <w:t>the National Trade Policy</w:t>
      </w:r>
      <w:r>
        <w:rPr>
          <w:b/>
        </w:rPr>
        <w:t xml:space="preserve">. </w:t>
      </w:r>
      <w:r w:rsidRPr="00BE0E95">
        <w:t>This strategy</w:t>
      </w:r>
      <w:r>
        <w:t xml:space="preserve"> should identify key sectors with potential, in which Afghanistan has comparative advantage, and that are labor-intensive so as to generate more jobs during the transformation era.  It would be bolstered by measures focused on increasing the competitiveness of Afghan firms, particularly SME’s, and their breakthrough and survival in international markets.  </w:t>
      </w:r>
    </w:p>
    <w:p w:rsidR="00FA1FE1" w:rsidRDefault="00FA1FE1" w:rsidP="00FA1FE1">
      <w:pPr>
        <w:spacing w:before="240"/>
        <w:rPr>
          <w:rFonts w:eastAsia="Times New Roman"/>
          <w:lang w:eastAsia="de-DE"/>
        </w:rPr>
      </w:pPr>
      <w:r w:rsidRPr="00DF6B62">
        <w:rPr>
          <w:rFonts w:cstheme="minorHAnsi"/>
          <w:b/>
        </w:rPr>
        <w:t xml:space="preserve">Some of the constraints to export development </w:t>
      </w:r>
      <w:r>
        <w:rPr>
          <w:rFonts w:cstheme="minorHAnsi"/>
          <w:b/>
        </w:rPr>
        <w:t xml:space="preserve">identified here </w:t>
      </w:r>
      <w:r w:rsidRPr="00DF6B62">
        <w:rPr>
          <w:rFonts w:cstheme="minorHAnsi"/>
          <w:b/>
        </w:rPr>
        <w:t>are not specific to Afghanistan</w:t>
      </w:r>
      <w:r>
        <w:rPr>
          <w:rFonts w:cstheme="minorHAnsi"/>
          <w:b/>
        </w:rPr>
        <w:t xml:space="preserve">, </w:t>
      </w:r>
      <w:r w:rsidRPr="00001308">
        <w:rPr>
          <w:rFonts w:cstheme="minorHAnsi"/>
        </w:rPr>
        <w:t>but</w:t>
      </w:r>
      <w:r>
        <w:rPr>
          <w:rFonts w:cstheme="minorHAnsi"/>
          <w:b/>
        </w:rPr>
        <w:t xml:space="preserve"> </w:t>
      </w:r>
      <w:r w:rsidRPr="004E16E8">
        <w:rPr>
          <w:rFonts w:cstheme="minorHAnsi"/>
        </w:rPr>
        <w:t xml:space="preserve">recur </w:t>
      </w:r>
      <w:r>
        <w:rPr>
          <w:rFonts w:cstheme="minorHAnsi"/>
        </w:rPr>
        <w:t xml:space="preserve">in trade diagnostic </w:t>
      </w:r>
      <w:r w:rsidRPr="004E16E8">
        <w:rPr>
          <w:rFonts w:cstheme="minorHAnsi"/>
        </w:rPr>
        <w:t xml:space="preserve">studies </w:t>
      </w:r>
      <w:r>
        <w:rPr>
          <w:rFonts w:cstheme="minorHAnsi"/>
        </w:rPr>
        <w:t>of many</w:t>
      </w:r>
      <w:r w:rsidRPr="004E16E8">
        <w:rPr>
          <w:rFonts w:cstheme="minorHAnsi"/>
        </w:rPr>
        <w:t xml:space="preserve"> least</w:t>
      </w:r>
      <w:r>
        <w:rPr>
          <w:rFonts w:cstheme="minorHAnsi"/>
        </w:rPr>
        <w:t>-</w:t>
      </w:r>
      <w:r w:rsidRPr="004E16E8">
        <w:rPr>
          <w:rFonts w:cstheme="minorHAnsi"/>
        </w:rPr>
        <w:t>developed countries</w:t>
      </w:r>
      <w:r>
        <w:rPr>
          <w:rFonts w:cstheme="minorHAnsi"/>
        </w:rPr>
        <w:t>; others are r</w:t>
      </w:r>
      <w:r w:rsidRPr="004E16E8">
        <w:rPr>
          <w:rFonts w:cstheme="minorHAnsi"/>
        </w:rPr>
        <w:t>elevant</w:t>
      </w:r>
      <w:r>
        <w:rPr>
          <w:rFonts w:cstheme="minorHAnsi"/>
        </w:rPr>
        <w:t xml:space="preserve"> only to</w:t>
      </w:r>
      <w:r w:rsidRPr="004E16E8">
        <w:rPr>
          <w:rFonts w:cstheme="minorHAnsi"/>
        </w:rPr>
        <w:t xml:space="preserve"> specific exporting sector</w:t>
      </w:r>
      <w:r>
        <w:rPr>
          <w:rFonts w:cstheme="minorHAnsi"/>
        </w:rPr>
        <w:t>s</w:t>
      </w:r>
      <w:r w:rsidRPr="004E16E8">
        <w:rPr>
          <w:rFonts w:cstheme="minorHAnsi"/>
        </w:rPr>
        <w:t xml:space="preserve">. In this sense, the following sections present lessons drawn from DTIS studies in other </w:t>
      </w:r>
      <w:r>
        <w:rPr>
          <w:rFonts w:cstheme="minorHAnsi"/>
        </w:rPr>
        <w:t xml:space="preserve">least-developed </w:t>
      </w:r>
      <w:r w:rsidRPr="004E16E8">
        <w:rPr>
          <w:rFonts w:cstheme="minorHAnsi"/>
        </w:rPr>
        <w:t xml:space="preserve">countries </w:t>
      </w:r>
      <w:r>
        <w:rPr>
          <w:rFonts w:cstheme="minorHAnsi"/>
        </w:rPr>
        <w:t xml:space="preserve">which are </w:t>
      </w:r>
      <w:r w:rsidRPr="004E16E8">
        <w:rPr>
          <w:rFonts w:cstheme="minorHAnsi"/>
        </w:rPr>
        <w:t>relevant to Afghan</w:t>
      </w:r>
      <w:r>
        <w:rPr>
          <w:rFonts w:cstheme="minorHAnsi"/>
        </w:rPr>
        <w:t>istan. These are f</w:t>
      </w:r>
      <w:r w:rsidRPr="004E16E8">
        <w:rPr>
          <w:rFonts w:cstheme="minorHAnsi"/>
        </w:rPr>
        <w:t>ollowed by a discussion on specific sector constr</w:t>
      </w:r>
      <w:r>
        <w:rPr>
          <w:rFonts w:cstheme="minorHAnsi"/>
        </w:rPr>
        <w:t xml:space="preserve">aints and opportunities, as identified through a rich </w:t>
      </w:r>
      <w:r w:rsidRPr="004E16E8">
        <w:rPr>
          <w:rFonts w:cstheme="minorHAnsi"/>
        </w:rPr>
        <w:t>literature o</w:t>
      </w:r>
      <w:r>
        <w:rPr>
          <w:rFonts w:cstheme="minorHAnsi"/>
        </w:rPr>
        <w:t>n value-</w:t>
      </w:r>
      <w:r w:rsidRPr="004E16E8">
        <w:rPr>
          <w:rFonts w:cstheme="minorHAnsi"/>
        </w:rPr>
        <w:t>chain analysis and sectoral reviews</w:t>
      </w:r>
      <w:r>
        <w:rPr>
          <w:rFonts w:cstheme="minorHAnsi"/>
        </w:rPr>
        <w:t xml:space="preserve"> in Afghanistan</w:t>
      </w:r>
      <w:r w:rsidRPr="004E16E8">
        <w:rPr>
          <w:rFonts w:cstheme="minorHAnsi"/>
        </w:rPr>
        <w:t xml:space="preserve">.  </w:t>
      </w:r>
    </w:p>
    <w:p w:rsidR="00FA1FE1" w:rsidRPr="00F14DDD" w:rsidRDefault="00FA1FE1" w:rsidP="00FA1FE1">
      <w:pPr>
        <w:pStyle w:val="Heading3"/>
      </w:pPr>
      <w:bookmarkStart w:id="238" w:name="_Toc327208477"/>
      <w:bookmarkStart w:id="239" w:name="_Toc348451692"/>
      <w:r w:rsidRPr="00F14DDD">
        <w:rPr>
          <w:rFonts w:eastAsia="Times New Roman"/>
          <w:lang w:eastAsia="de-DE"/>
        </w:rPr>
        <w:t>The Barriers to Export Development</w:t>
      </w:r>
      <w:bookmarkEnd w:id="238"/>
      <w:bookmarkEnd w:id="239"/>
    </w:p>
    <w:p w:rsidR="00FA1FE1" w:rsidRDefault="00FA1FE1" w:rsidP="00FA1FE1">
      <w:pPr>
        <w:spacing w:after="0"/>
        <w:contextualSpacing/>
        <w:rPr>
          <w:rFonts w:cstheme="minorHAnsi"/>
        </w:rPr>
      </w:pPr>
      <w:r w:rsidRPr="008A5EE1">
        <w:rPr>
          <w:rFonts w:cstheme="minorHAnsi"/>
          <w:b/>
        </w:rPr>
        <w:t>The consensus among the DTIS</w:t>
      </w:r>
      <w:r>
        <w:rPr>
          <w:rFonts w:cstheme="minorHAnsi"/>
          <w:b/>
        </w:rPr>
        <w:t xml:space="preserve"> </w:t>
      </w:r>
      <w:r w:rsidRPr="008A5EE1">
        <w:rPr>
          <w:rFonts w:cstheme="minorHAnsi"/>
          <w:b/>
        </w:rPr>
        <w:t>s</w:t>
      </w:r>
      <w:r>
        <w:rPr>
          <w:rFonts w:cstheme="minorHAnsi"/>
          <w:b/>
        </w:rPr>
        <w:t>tudies</w:t>
      </w:r>
      <w:r w:rsidRPr="008A5EE1">
        <w:rPr>
          <w:rFonts w:cstheme="minorHAnsi"/>
          <w:b/>
        </w:rPr>
        <w:t xml:space="preserve"> is that the principal barriers to export development lie on the supply side.</w:t>
      </w:r>
      <w:r w:rsidRPr="008A5EE1">
        <w:rPr>
          <w:rFonts w:cstheme="minorHAnsi"/>
        </w:rPr>
        <w:t xml:space="preserve"> There are four important lessons that stand out across most DTIS diagnostic work</w:t>
      </w:r>
      <w:r>
        <w:rPr>
          <w:rFonts w:cstheme="minorHAnsi"/>
        </w:rPr>
        <w:t>.</w:t>
      </w:r>
      <w:r w:rsidRPr="008A5EE1">
        <w:rPr>
          <w:rFonts w:cstheme="minorHAnsi"/>
        </w:rPr>
        <w:t xml:space="preserve"> </w:t>
      </w:r>
      <w:r w:rsidRPr="006537B9">
        <w:rPr>
          <w:rFonts w:cstheme="minorHAnsi"/>
        </w:rPr>
        <w:t>Firstly,</w:t>
      </w:r>
      <w:r w:rsidRPr="008A5EE1">
        <w:rPr>
          <w:rFonts w:cstheme="minorHAnsi"/>
        </w:rPr>
        <w:t xml:space="preserve"> macroeconomic stabilization and trade liberalization </w:t>
      </w:r>
      <w:r>
        <w:rPr>
          <w:rFonts w:cstheme="minorHAnsi"/>
        </w:rPr>
        <w:t xml:space="preserve">help, but are not </w:t>
      </w:r>
      <w:r w:rsidRPr="008A5EE1">
        <w:rPr>
          <w:rFonts w:cstheme="minorHAnsi"/>
        </w:rPr>
        <w:t>enough to promote sustained export expansion and diversification.</w:t>
      </w:r>
      <w:r w:rsidRPr="008A5EE1">
        <w:rPr>
          <w:rFonts w:cstheme="minorHAnsi"/>
          <w:b/>
        </w:rPr>
        <w:t xml:space="preserve"> </w:t>
      </w:r>
      <w:r w:rsidRPr="006537B9">
        <w:rPr>
          <w:rFonts w:cstheme="minorHAnsi"/>
          <w:bCs/>
          <w:iCs/>
        </w:rPr>
        <w:t>Second</w:t>
      </w:r>
      <w:r>
        <w:rPr>
          <w:rFonts w:cstheme="minorHAnsi"/>
          <w:bCs/>
          <w:iCs/>
        </w:rPr>
        <w:t>ly</w:t>
      </w:r>
      <w:r w:rsidRPr="006537B9">
        <w:rPr>
          <w:rFonts w:cstheme="minorHAnsi"/>
          <w:bCs/>
          <w:iCs/>
        </w:rPr>
        <w:t>,</w:t>
      </w:r>
      <w:r w:rsidRPr="008A5EE1">
        <w:rPr>
          <w:rFonts w:cstheme="minorHAnsi"/>
          <w:bCs/>
          <w:iCs/>
        </w:rPr>
        <w:t xml:space="preserve"> the growth outcomes produced </w:t>
      </w:r>
      <w:r>
        <w:rPr>
          <w:rFonts w:cstheme="minorHAnsi"/>
          <w:bCs/>
          <w:iCs/>
        </w:rPr>
        <w:t>by trade liberalization depend</w:t>
      </w:r>
      <w:r w:rsidRPr="008A5EE1">
        <w:rPr>
          <w:rFonts w:cstheme="minorHAnsi"/>
          <w:bCs/>
          <w:iCs/>
        </w:rPr>
        <w:t xml:space="preserve"> on how reductions</w:t>
      </w:r>
      <w:r>
        <w:rPr>
          <w:rFonts w:cstheme="minorHAnsi"/>
          <w:bCs/>
          <w:iCs/>
        </w:rPr>
        <w:t xml:space="preserve"> in import restrictions affect</w:t>
      </w:r>
      <w:r w:rsidRPr="008A5EE1">
        <w:rPr>
          <w:rFonts w:cstheme="minorHAnsi"/>
          <w:bCs/>
          <w:iCs/>
        </w:rPr>
        <w:t xml:space="preserve"> the economy. </w:t>
      </w:r>
      <w:r w:rsidRPr="008A5EE1">
        <w:rPr>
          <w:rFonts w:cstheme="minorHAnsi"/>
        </w:rPr>
        <w:t xml:space="preserve">If trade liberalization stimulates a modest increase in traditional exports, </w:t>
      </w:r>
      <w:r>
        <w:rPr>
          <w:rFonts w:cstheme="minorHAnsi"/>
        </w:rPr>
        <w:t xml:space="preserve">but causes </w:t>
      </w:r>
      <w:r w:rsidRPr="008A5EE1">
        <w:rPr>
          <w:rFonts w:cstheme="minorHAnsi"/>
        </w:rPr>
        <w:t>a decline in the industrial base, without sufficiently stimulating new non-traditional exports, then future</w:t>
      </w:r>
      <w:r>
        <w:rPr>
          <w:rFonts w:cstheme="minorHAnsi"/>
        </w:rPr>
        <w:t xml:space="preserve"> exports will be </w:t>
      </w:r>
      <w:r w:rsidRPr="008A5EE1">
        <w:rPr>
          <w:rFonts w:cstheme="minorHAnsi"/>
        </w:rPr>
        <w:t xml:space="preserve">disappointing. </w:t>
      </w:r>
      <w:r w:rsidRPr="006537B9">
        <w:rPr>
          <w:rFonts w:cstheme="minorHAnsi"/>
        </w:rPr>
        <w:t>Third</w:t>
      </w:r>
      <w:r>
        <w:rPr>
          <w:rFonts w:cstheme="minorHAnsi"/>
        </w:rPr>
        <w:t>ly</w:t>
      </w:r>
      <w:r w:rsidRPr="006537B9">
        <w:rPr>
          <w:rFonts w:cstheme="minorHAnsi"/>
        </w:rPr>
        <w:t>,</w:t>
      </w:r>
      <w:r w:rsidRPr="00F566A8">
        <w:rPr>
          <w:rFonts w:cstheme="minorHAnsi"/>
        </w:rPr>
        <w:t xml:space="preserve"> </w:t>
      </w:r>
      <w:r>
        <w:rPr>
          <w:rFonts w:cstheme="minorHAnsi"/>
        </w:rPr>
        <w:t xml:space="preserve">customs reform plays a central role, as </w:t>
      </w:r>
      <w:r w:rsidRPr="00F566A8">
        <w:rPr>
          <w:rFonts w:cstheme="minorHAnsi"/>
        </w:rPr>
        <w:t>time delays, hand</w:t>
      </w:r>
      <w:r>
        <w:rPr>
          <w:rFonts w:cstheme="minorHAnsi"/>
        </w:rPr>
        <w:t xml:space="preserve">ling costs, hassles, and bribes </w:t>
      </w:r>
      <w:r w:rsidRPr="00F566A8">
        <w:rPr>
          <w:rFonts w:cstheme="minorHAnsi"/>
        </w:rPr>
        <w:t>involved in trade logistics services</w:t>
      </w:r>
      <w:r>
        <w:rPr>
          <w:rFonts w:cstheme="minorHAnsi"/>
        </w:rPr>
        <w:t xml:space="preserve"> </w:t>
      </w:r>
      <w:r w:rsidRPr="00F566A8">
        <w:rPr>
          <w:rFonts w:cstheme="minorHAnsi"/>
        </w:rPr>
        <w:t>a</w:t>
      </w:r>
      <w:r>
        <w:rPr>
          <w:rFonts w:cstheme="minorHAnsi"/>
        </w:rPr>
        <w:t>re</w:t>
      </w:r>
      <w:r w:rsidRPr="00F566A8">
        <w:rPr>
          <w:rFonts w:cstheme="minorHAnsi"/>
        </w:rPr>
        <w:t xml:space="preserve"> major constraint</w:t>
      </w:r>
      <w:r>
        <w:rPr>
          <w:rFonts w:cstheme="minorHAnsi"/>
        </w:rPr>
        <w:t>s</w:t>
      </w:r>
      <w:r w:rsidRPr="006537B9">
        <w:rPr>
          <w:rFonts w:cstheme="minorHAnsi"/>
        </w:rPr>
        <w:t>.  Finally,</w:t>
      </w:r>
      <w:r w:rsidRPr="00F566A8">
        <w:rPr>
          <w:rFonts w:cstheme="minorHAnsi"/>
        </w:rPr>
        <w:t xml:space="preserve"> proactive policies and measures to overcome </w:t>
      </w:r>
      <w:r>
        <w:rPr>
          <w:rFonts w:cstheme="minorHAnsi"/>
        </w:rPr>
        <w:t>institutional issues are c</w:t>
      </w:r>
      <w:r w:rsidRPr="00883788">
        <w:rPr>
          <w:rFonts w:cstheme="minorHAnsi"/>
          <w:bCs/>
          <w:iCs/>
        </w:rPr>
        <w:t>rucial.</w:t>
      </w:r>
      <w:r w:rsidRPr="00883788">
        <w:rPr>
          <w:rFonts w:cstheme="minorHAnsi"/>
          <w:bCs/>
          <w:iCs/>
          <w:szCs w:val="22"/>
        </w:rPr>
        <w:t xml:space="preserve"> In general, t</w:t>
      </w:r>
      <w:r w:rsidRPr="00F566A8">
        <w:rPr>
          <w:rFonts w:cstheme="minorHAnsi"/>
          <w:bCs/>
          <w:iCs/>
        </w:rPr>
        <w:t>he DTIS</w:t>
      </w:r>
      <w:r>
        <w:rPr>
          <w:rFonts w:cstheme="minorHAnsi"/>
          <w:bCs/>
          <w:iCs/>
        </w:rPr>
        <w:t xml:space="preserve"> literature shows </w:t>
      </w:r>
      <w:r w:rsidRPr="00F566A8">
        <w:rPr>
          <w:rFonts w:cstheme="minorHAnsi"/>
          <w:bCs/>
          <w:iCs/>
        </w:rPr>
        <w:t>that government institutions involved with formulating and implementing</w:t>
      </w:r>
      <w:r w:rsidRPr="00F566A8">
        <w:rPr>
          <w:rFonts w:cstheme="minorHAnsi"/>
        </w:rPr>
        <w:t xml:space="preserve"> </w:t>
      </w:r>
      <w:r>
        <w:rPr>
          <w:rFonts w:cstheme="minorHAnsi"/>
          <w:bCs/>
          <w:iCs/>
        </w:rPr>
        <w:t>trade policy require significant technical</w:t>
      </w:r>
      <w:r w:rsidRPr="00F566A8">
        <w:rPr>
          <w:rFonts w:cstheme="minorHAnsi"/>
        </w:rPr>
        <w:t xml:space="preserve"> assista</w:t>
      </w:r>
      <w:r>
        <w:rPr>
          <w:rFonts w:cstheme="minorHAnsi"/>
        </w:rPr>
        <w:t>nce.</w:t>
      </w:r>
    </w:p>
    <w:p w:rsidR="00FA1FE1" w:rsidRPr="00F566A8" w:rsidRDefault="00FA1FE1" w:rsidP="00FA1FE1">
      <w:pPr>
        <w:spacing w:after="0"/>
        <w:contextualSpacing/>
        <w:rPr>
          <w:rFonts w:cstheme="minorHAnsi"/>
        </w:rPr>
      </w:pPr>
    </w:p>
    <w:p w:rsidR="00FA1FE1" w:rsidRDefault="00FA1FE1" w:rsidP="00FA1FE1">
      <w:pPr>
        <w:autoSpaceDE w:val="0"/>
        <w:autoSpaceDN w:val="0"/>
        <w:adjustRightInd w:val="0"/>
        <w:contextualSpacing/>
        <w:rPr>
          <w:rFonts w:ascii="Calibri" w:eastAsia="Times New Roman" w:hAnsi="Calibri" w:cs="Calibri"/>
          <w:lang w:eastAsia="de-DE"/>
        </w:rPr>
      </w:pPr>
      <w:r w:rsidRPr="00593AAC">
        <w:rPr>
          <w:rFonts w:cstheme="minorHAnsi"/>
          <w:b/>
        </w:rPr>
        <w:t>Exports will only be a motor of growth when certain fundamental conditions are in place</w:t>
      </w:r>
      <w:r>
        <w:rPr>
          <w:rFonts w:cstheme="minorHAnsi"/>
        </w:rPr>
        <w:t xml:space="preserve">. This is a common </w:t>
      </w:r>
      <w:r w:rsidRPr="00F566A8">
        <w:rPr>
          <w:rFonts w:cstheme="minorHAnsi"/>
        </w:rPr>
        <w:t>finding</w:t>
      </w:r>
      <w:r>
        <w:rPr>
          <w:rFonts w:cstheme="minorHAnsi"/>
        </w:rPr>
        <w:t xml:space="preserve"> shared by </w:t>
      </w:r>
      <w:r w:rsidRPr="00F566A8">
        <w:rPr>
          <w:rFonts w:cstheme="minorHAnsi"/>
        </w:rPr>
        <w:t>DTI</w:t>
      </w:r>
      <w:r>
        <w:rPr>
          <w:rFonts w:cstheme="minorHAnsi"/>
        </w:rPr>
        <w:t xml:space="preserve"> studies</w:t>
      </w:r>
      <w:r w:rsidRPr="006537B9">
        <w:rPr>
          <w:rFonts w:cstheme="minorHAnsi"/>
          <w:b/>
          <w:vertAlign w:val="superscript"/>
        </w:rPr>
        <w:footnoteReference w:id="36"/>
      </w:r>
      <w:r w:rsidRPr="00F566A8">
        <w:rPr>
          <w:rFonts w:cstheme="minorHAnsi"/>
          <w:b/>
          <w:color w:val="FF0000"/>
        </w:rPr>
        <w:t xml:space="preserve"> </w:t>
      </w:r>
      <w:r w:rsidRPr="00883788">
        <w:rPr>
          <w:rFonts w:cstheme="minorHAnsi"/>
        </w:rPr>
        <w:t xml:space="preserve">in </w:t>
      </w:r>
      <w:r>
        <w:rPr>
          <w:rFonts w:cstheme="minorHAnsi"/>
        </w:rPr>
        <w:t xml:space="preserve">over </w:t>
      </w:r>
      <w:r w:rsidRPr="00F566A8">
        <w:rPr>
          <w:rFonts w:cstheme="minorHAnsi"/>
        </w:rPr>
        <w:t>40 least</w:t>
      </w:r>
      <w:r>
        <w:rPr>
          <w:rFonts w:cstheme="minorHAnsi"/>
        </w:rPr>
        <w:t>-</w:t>
      </w:r>
      <w:r w:rsidRPr="00F566A8">
        <w:rPr>
          <w:rFonts w:cstheme="minorHAnsi"/>
        </w:rPr>
        <w:t xml:space="preserve">developed countries. </w:t>
      </w:r>
      <w:r>
        <w:rPr>
          <w:rFonts w:cstheme="minorHAnsi"/>
        </w:rPr>
        <w:t>Th</w:t>
      </w:r>
      <w:r w:rsidRPr="00F566A8">
        <w:rPr>
          <w:rFonts w:cstheme="minorHAnsi"/>
          <w:color w:val="000000"/>
        </w:rPr>
        <w:t xml:space="preserve">e </w:t>
      </w:r>
      <w:r>
        <w:rPr>
          <w:rFonts w:cstheme="minorHAnsi"/>
          <w:color w:val="000000"/>
        </w:rPr>
        <w:t xml:space="preserve">most pressing </w:t>
      </w:r>
      <w:r w:rsidRPr="00F566A8">
        <w:rPr>
          <w:rFonts w:cstheme="minorHAnsi"/>
          <w:color w:val="000000"/>
        </w:rPr>
        <w:t xml:space="preserve">barriers to trade integration are the high costs of producing goods and services for export and </w:t>
      </w:r>
      <w:r>
        <w:rPr>
          <w:rFonts w:cstheme="minorHAnsi"/>
          <w:color w:val="000000"/>
        </w:rPr>
        <w:t>the ability to deliver them to</w:t>
      </w:r>
      <w:r w:rsidRPr="00F566A8">
        <w:rPr>
          <w:rFonts w:cstheme="minorHAnsi"/>
          <w:color w:val="000000"/>
        </w:rPr>
        <w:t xml:space="preserve"> foreign markets</w:t>
      </w:r>
      <w:r>
        <w:rPr>
          <w:rFonts w:cstheme="minorHAnsi"/>
          <w:color w:val="000000"/>
        </w:rPr>
        <w:t>, rather than trade policy</w:t>
      </w:r>
      <w:r w:rsidRPr="00F566A8">
        <w:rPr>
          <w:rFonts w:cstheme="minorHAnsi"/>
          <w:color w:val="000000"/>
        </w:rPr>
        <w:t xml:space="preserve"> per se.</w:t>
      </w:r>
      <w:r w:rsidR="00263078">
        <w:rPr>
          <w:rFonts w:cstheme="minorHAnsi"/>
          <w:color w:val="000000"/>
        </w:rPr>
        <w:t xml:space="preserve"> </w:t>
      </w:r>
      <w:r>
        <w:rPr>
          <w:rFonts w:cstheme="minorHAnsi"/>
          <w:color w:val="000000"/>
        </w:rPr>
        <w:t xml:space="preserve"> Factors such as </w:t>
      </w:r>
      <w:r w:rsidRPr="00F566A8">
        <w:rPr>
          <w:rFonts w:cstheme="minorHAnsi"/>
          <w:color w:val="000000"/>
        </w:rPr>
        <w:t xml:space="preserve">import tariffs, export taxes, </w:t>
      </w:r>
      <w:r>
        <w:rPr>
          <w:rFonts w:cstheme="minorHAnsi"/>
          <w:color w:val="000000"/>
        </w:rPr>
        <w:t xml:space="preserve">or </w:t>
      </w:r>
      <w:r w:rsidRPr="00F566A8">
        <w:rPr>
          <w:rFonts w:cstheme="minorHAnsi"/>
          <w:color w:val="000000"/>
        </w:rPr>
        <w:t>quantitative trade restrictions</w:t>
      </w:r>
      <w:r>
        <w:rPr>
          <w:rFonts w:cstheme="minorHAnsi"/>
          <w:color w:val="000000"/>
        </w:rPr>
        <w:t xml:space="preserve"> matter, but are not the main constraints to exports.</w:t>
      </w:r>
      <w:r w:rsidRPr="00621E7F">
        <w:rPr>
          <w:rFonts w:cstheme="minorHAnsi"/>
        </w:rPr>
        <w:t xml:space="preserve"> </w:t>
      </w:r>
      <w:r>
        <w:rPr>
          <w:rFonts w:ascii="Calibri" w:eastAsia="Times New Roman" w:hAnsi="Calibri" w:cs="Calibri"/>
          <w:lang w:eastAsia="de-DE"/>
        </w:rPr>
        <w:t>T</w:t>
      </w:r>
      <w:r w:rsidRPr="00621E7F">
        <w:rPr>
          <w:rFonts w:ascii="Calibri" w:eastAsia="Times New Roman" w:hAnsi="Calibri" w:cs="Calibri"/>
          <w:lang w:eastAsia="de-DE"/>
        </w:rPr>
        <w:t>his</w:t>
      </w:r>
      <w:r>
        <w:rPr>
          <w:rFonts w:ascii="Calibri" w:eastAsia="Times New Roman" w:hAnsi="Calibri" w:cs="Calibri"/>
          <w:lang w:eastAsia="de-DE"/>
        </w:rPr>
        <w:t xml:space="preserve"> is an important lesson for </w:t>
      </w:r>
      <w:r w:rsidRPr="00621E7F">
        <w:rPr>
          <w:rFonts w:ascii="Calibri" w:eastAsia="Times New Roman" w:hAnsi="Calibri" w:cs="Calibri"/>
          <w:lang w:eastAsia="de-DE"/>
        </w:rPr>
        <w:t xml:space="preserve">Afghanistan, </w:t>
      </w:r>
      <w:r>
        <w:rPr>
          <w:rFonts w:ascii="Calibri" w:eastAsia="Times New Roman" w:hAnsi="Calibri" w:cs="Calibri"/>
          <w:lang w:eastAsia="de-DE"/>
        </w:rPr>
        <w:t>as it</w:t>
      </w:r>
      <w:r w:rsidRPr="00621E7F">
        <w:rPr>
          <w:rFonts w:ascii="Calibri" w:eastAsia="Times New Roman" w:hAnsi="Calibri" w:cs="Calibri"/>
          <w:lang w:eastAsia="de-DE"/>
        </w:rPr>
        <w:t xml:space="preserve"> implies that </w:t>
      </w:r>
      <w:r>
        <w:rPr>
          <w:rFonts w:ascii="Calibri" w:eastAsia="Times New Roman" w:hAnsi="Calibri" w:cs="Calibri"/>
          <w:lang w:eastAsia="de-DE"/>
        </w:rPr>
        <w:t>an</w:t>
      </w:r>
      <w:r w:rsidRPr="00621E7F">
        <w:rPr>
          <w:rFonts w:ascii="Calibri" w:eastAsia="Times New Roman" w:hAnsi="Calibri" w:cs="Calibri"/>
          <w:lang w:eastAsia="de-DE"/>
        </w:rPr>
        <w:t xml:space="preserve"> export strategy</w:t>
      </w:r>
      <w:r>
        <w:rPr>
          <w:rFonts w:ascii="Calibri" w:eastAsia="Times New Roman" w:hAnsi="Calibri" w:cs="Calibri"/>
          <w:lang w:eastAsia="de-DE"/>
        </w:rPr>
        <w:t xml:space="preserve"> </w:t>
      </w:r>
      <w:r w:rsidRPr="00621E7F">
        <w:rPr>
          <w:rFonts w:ascii="Calibri" w:eastAsia="Times New Roman" w:hAnsi="Calibri" w:cs="Calibri"/>
          <w:lang w:eastAsia="de-DE"/>
        </w:rPr>
        <w:t xml:space="preserve">should be </w:t>
      </w:r>
      <w:r>
        <w:rPr>
          <w:rFonts w:ascii="Calibri" w:eastAsia="Times New Roman" w:hAnsi="Calibri" w:cs="Calibri"/>
          <w:lang w:eastAsia="de-DE"/>
        </w:rPr>
        <w:t>bolster</w:t>
      </w:r>
      <w:r w:rsidRPr="00621E7F">
        <w:rPr>
          <w:rFonts w:ascii="Calibri" w:eastAsia="Times New Roman" w:hAnsi="Calibri" w:cs="Calibri"/>
          <w:lang w:eastAsia="de-DE"/>
        </w:rPr>
        <w:t xml:space="preserve">ed by measures promoting competitiveness </w:t>
      </w:r>
      <w:r>
        <w:rPr>
          <w:rFonts w:ascii="Calibri" w:eastAsia="Times New Roman" w:hAnsi="Calibri" w:cs="Calibri"/>
          <w:lang w:eastAsia="de-DE"/>
        </w:rPr>
        <w:t xml:space="preserve">and lowering production and transaction costs of the private sector.  </w:t>
      </w:r>
    </w:p>
    <w:p w:rsidR="00FA1FE1" w:rsidRDefault="00FA1FE1" w:rsidP="00FA1FE1">
      <w:pPr>
        <w:pStyle w:val="Heading2"/>
        <w:spacing w:before="240" w:after="200" w:line="276" w:lineRule="auto"/>
        <w:rPr>
          <w:rFonts w:eastAsia="Times New Roman"/>
          <w:lang w:eastAsia="de-DE"/>
        </w:rPr>
      </w:pPr>
      <w:bookmarkStart w:id="240" w:name="_Toc327208478"/>
      <w:bookmarkStart w:id="241" w:name="_Toc348451693"/>
      <w:r>
        <w:rPr>
          <w:rFonts w:eastAsia="Times New Roman"/>
          <w:lang w:eastAsia="de-DE"/>
        </w:rPr>
        <w:t>F</w:t>
      </w:r>
      <w:r w:rsidRPr="001446D3">
        <w:rPr>
          <w:rFonts w:eastAsia="Times New Roman"/>
          <w:lang w:eastAsia="de-DE"/>
        </w:rPr>
        <w:t xml:space="preserve">actors </w:t>
      </w:r>
      <w:r>
        <w:rPr>
          <w:rFonts w:eastAsia="Times New Roman"/>
          <w:lang w:eastAsia="de-DE"/>
        </w:rPr>
        <w:t>Influencing t</w:t>
      </w:r>
      <w:r w:rsidRPr="001446D3">
        <w:rPr>
          <w:rFonts w:eastAsia="Times New Roman"/>
          <w:lang w:eastAsia="de-DE"/>
        </w:rPr>
        <w:t xml:space="preserve">he Competiveness </w:t>
      </w:r>
      <w:r>
        <w:rPr>
          <w:rFonts w:eastAsia="Times New Roman"/>
          <w:lang w:eastAsia="de-DE"/>
        </w:rPr>
        <w:t>of A</w:t>
      </w:r>
      <w:r w:rsidRPr="001446D3">
        <w:rPr>
          <w:rFonts w:eastAsia="Times New Roman"/>
          <w:lang w:eastAsia="de-DE"/>
        </w:rPr>
        <w:t>fghan</w:t>
      </w:r>
      <w:r>
        <w:rPr>
          <w:rFonts w:eastAsia="Times New Roman"/>
          <w:lang w:eastAsia="de-DE"/>
        </w:rPr>
        <w:t>istan’s</w:t>
      </w:r>
      <w:r w:rsidRPr="001446D3">
        <w:rPr>
          <w:rFonts w:eastAsia="Times New Roman"/>
          <w:lang w:eastAsia="de-DE"/>
        </w:rPr>
        <w:t xml:space="preserve"> Export Sector</w:t>
      </w:r>
      <w:bookmarkEnd w:id="240"/>
      <w:bookmarkEnd w:id="241"/>
    </w:p>
    <w:p w:rsidR="00FA1FE1" w:rsidRDefault="00FA1FE1" w:rsidP="00FA1FE1">
      <w:pPr>
        <w:spacing w:before="240"/>
      </w:pPr>
      <w:r w:rsidRPr="00035D9C">
        <w:rPr>
          <w:b/>
        </w:rPr>
        <w:t xml:space="preserve">To better understand the constraints to </w:t>
      </w:r>
      <w:r>
        <w:rPr>
          <w:b/>
        </w:rPr>
        <w:t>export</w:t>
      </w:r>
      <w:r w:rsidRPr="00035D9C">
        <w:rPr>
          <w:b/>
        </w:rPr>
        <w:t xml:space="preserve"> development, this report reviewed the existing literature on </w:t>
      </w:r>
      <w:r>
        <w:rPr>
          <w:b/>
        </w:rPr>
        <w:t xml:space="preserve">sector analysis and </w:t>
      </w:r>
      <w:r w:rsidRPr="00035D9C">
        <w:rPr>
          <w:b/>
        </w:rPr>
        <w:t>value chain analysis for Afghanistan</w:t>
      </w:r>
      <w:r>
        <w:t xml:space="preserve"> for the carpets, gemstones, pomegranates, agriculture products, grapes &amp; raisins, marble, and cashmere, sectors.  While the findings are sector-specific, common constraints to competitiveness are apparent in the form of (i) higher costs due to microeconomic, and to lesser extent macroeconomic issues, (ii) low value added, and (iii) institutional constraints.</w:t>
      </w:r>
    </w:p>
    <w:p w:rsidR="00FA1FE1" w:rsidRPr="00CE5D68" w:rsidRDefault="00FA1FE1" w:rsidP="00FA1FE1">
      <w:pPr>
        <w:pStyle w:val="Heading4"/>
        <w:spacing w:after="240"/>
        <w:rPr>
          <w:rFonts w:eastAsiaTheme="minorHAnsi"/>
          <w:color w:val="410082" w:themeColor="text1"/>
          <w:szCs w:val="22"/>
        </w:rPr>
      </w:pPr>
      <w:r w:rsidRPr="00CE5D68">
        <w:rPr>
          <w:color w:val="410082" w:themeColor="text1"/>
        </w:rPr>
        <w:t xml:space="preserve">Higher costs </w:t>
      </w:r>
      <w:r>
        <w:rPr>
          <w:color w:val="410082" w:themeColor="text1"/>
        </w:rPr>
        <w:t>harm</w:t>
      </w:r>
      <w:r w:rsidRPr="00CE5D68">
        <w:rPr>
          <w:color w:val="410082" w:themeColor="text1"/>
        </w:rPr>
        <w:t xml:space="preserve"> competitiveness</w:t>
      </w:r>
    </w:p>
    <w:p w:rsidR="00FA1FE1" w:rsidRDefault="00FA1FE1" w:rsidP="00FA1FE1">
      <w:pPr>
        <w:autoSpaceDE w:val="0"/>
        <w:autoSpaceDN w:val="0"/>
        <w:adjustRightInd w:val="0"/>
        <w:spacing w:after="0"/>
        <w:contextualSpacing/>
      </w:pPr>
      <w:r>
        <w:rPr>
          <w:b/>
        </w:rPr>
        <w:t xml:space="preserve">Security is the main driver of costs </w:t>
      </w:r>
      <w:r>
        <w:rPr>
          <w:rFonts w:ascii="Calibri" w:eastAsia="Times New Roman" w:hAnsi="Calibri" w:cs="Calibri"/>
          <w:b/>
          <w:lang w:eastAsia="de-DE"/>
        </w:rPr>
        <w:t xml:space="preserve">and a factor for </w:t>
      </w:r>
      <w:r w:rsidRPr="000749A9">
        <w:rPr>
          <w:rFonts w:ascii="Calibri" w:eastAsia="Times New Roman" w:hAnsi="Calibri" w:cs="Calibri"/>
          <w:b/>
          <w:lang w:eastAsia="de-DE"/>
        </w:rPr>
        <w:t>economic improvement and investment</w:t>
      </w:r>
      <w:r>
        <w:rPr>
          <w:rFonts w:ascii="Calibri" w:eastAsia="Times New Roman" w:hAnsi="Calibri" w:cs="Calibri"/>
          <w:b/>
          <w:lang w:eastAsia="de-DE"/>
        </w:rPr>
        <w:t xml:space="preserve">. </w:t>
      </w:r>
      <w:r>
        <w:rPr>
          <w:rFonts w:ascii="Calibri" w:eastAsia="Times New Roman" w:hAnsi="Calibri" w:cs="Calibri"/>
          <w:lang w:eastAsia="de-DE"/>
        </w:rPr>
        <w:t xml:space="preserve">The Afghanistan </w:t>
      </w:r>
      <w:r w:rsidRPr="000749A9">
        <w:rPr>
          <w:rFonts w:ascii="Calibri" w:eastAsia="Times New Roman" w:hAnsi="Calibri" w:cs="Calibri"/>
          <w:lang w:eastAsia="de-DE"/>
        </w:rPr>
        <w:t xml:space="preserve">economy </w:t>
      </w:r>
      <w:r>
        <w:rPr>
          <w:rFonts w:ascii="Calibri" w:eastAsia="Times New Roman" w:hAnsi="Calibri" w:cs="Calibri"/>
          <w:lang w:eastAsia="de-DE"/>
        </w:rPr>
        <w:t xml:space="preserve">continues to struggle with the </w:t>
      </w:r>
      <w:r w:rsidRPr="000749A9">
        <w:rPr>
          <w:rFonts w:ascii="Calibri" w:eastAsia="Times New Roman" w:hAnsi="Calibri" w:cs="Calibri"/>
          <w:lang w:eastAsia="de-DE"/>
        </w:rPr>
        <w:t>misallocation of resources</w:t>
      </w:r>
      <w:r>
        <w:rPr>
          <w:rFonts w:ascii="Calibri" w:eastAsia="Times New Roman" w:hAnsi="Calibri" w:cs="Calibri"/>
          <w:lang w:eastAsia="de-DE"/>
        </w:rPr>
        <w:t xml:space="preserve">, </w:t>
      </w:r>
      <w:r w:rsidRPr="000749A9">
        <w:rPr>
          <w:rFonts w:ascii="Calibri" w:eastAsia="Times New Roman" w:hAnsi="Calibri" w:cs="Calibri"/>
          <w:lang w:eastAsia="de-DE"/>
        </w:rPr>
        <w:t>weak</w:t>
      </w:r>
      <w:r>
        <w:rPr>
          <w:rFonts w:ascii="Calibri" w:eastAsia="Times New Roman" w:hAnsi="Calibri" w:cs="Calibri"/>
          <w:lang w:eastAsia="de-DE"/>
        </w:rPr>
        <w:t>ening</w:t>
      </w:r>
      <w:r w:rsidRPr="000749A9">
        <w:rPr>
          <w:rFonts w:ascii="Calibri" w:eastAsia="Times New Roman" w:hAnsi="Calibri" w:cs="Calibri"/>
          <w:lang w:eastAsia="de-DE"/>
        </w:rPr>
        <w:t xml:space="preserve"> security situation and the drug trad</w:t>
      </w:r>
      <w:r>
        <w:rPr>
          <w:rFonts w:ascii="Calibri" w:eastAsia="Times New Roman" w:hAnsi="Calibri" w:cs="Calibri"/>
          <w:lang w:eastAsia="de-DE"/>
        </w:rPr>
        <w:t>e. Security</w:t>
      </w:r>
      <w:r w:rsidRPr="003E7148">
        <w:t xml:space="preserve"> burdens traders both</w:t>
      </w:r>
      <w:r>
        <w:rPr>
          <w:b/>
        </w:rPr>
        <w:t xml:space="preserve"> </w:t>
      </w:r>
      <w:r>
        <w:t>directly and indirectly. It is a</w:t>
      </w:r>
      <w:r w:rsidRPr="001612C6">
        <w:t xml:space="preserve"> burden on private firms that competitors in neighboring countries do not </w:t>
      </w:r>
      <w:r>
        <w:t xml:space="preserve">endure, having </w:t>
      </w:r>
      <w:r w:rsidRPr="001612C6">
        <w:t xml:space="preserve">to pay to protect </w:t>
      </w:r>
      <w:r>
        <w:t xml:space="preserve">their </w:t>
      </w:r>
      <w:r w:rsidRPr="001612C6">
        <w:t>daily operations</w:t>
      </w:r>
      <w:r>
        <w:t xml:space="preserve">. But, its biggest burden is indirect, in the </w:t>
      </w:r>
      <w:r w:rsidRPr="001612C6">
        <w:t>limit</w:t>
      </w:r>
      <w:r>
        <w:t>ation of</w:t>
      </w:r>
      <w:r w:rsidRPr="001612C6">
        <w:t xml:space="preserve"> market</w:t>
      </w:r>
      <w:r>
        <w:t xml:space="preserve">s and, with few firms thriving and inputs not readily available, stunted market competition. Underdeveloped markets lead to limited logistics services, limited warehousing facilities, and production cost increases, all factors that increase export costs. </w:t>
      </w:r>
    </w:p>
    <w:p w:rsidR="00FA1FE1" w:rsidRDefault="00FA1FE1" w:rsidP="00FA1FE1">
      <w:pPr>
        <w:autoSpaceDE w:val="0"/>
        <w:autoSpaceDN w:val="0"/>
        <w:adjustRightInd w:val="0"/>
        <w:spacing w:after="0"/>
        <w:contextualSpacing/>
      </w:pPr>
    </w:p>
    <w:p w:rsidR="00FA1FE1" w:rsidRPr="000C6191" w:rsidRDefault="00FA1FE1" w:rsidP="00FA1FE1">
      <w:pPr>
        <w:autoSpaceDE w:val="0"/>
        <w:autoSpaceDN w:val="0"/>
        <w:adjustRightInd w:val="0"/>
        <w:spacing w:after="0"/>
        <w:contextualSpacing/>
      </w:pPr>
      <w:r w:rsidRPr="00FC5FF6">
        <w:rPr>
          <w:rFonts w:eastAsia="Times New Roman" w:cstheme="minorHAnsi"/>
          <w:b/>
          <w:szCs w:val="22"/>
          <w:lang w:eastAsia="de-DE"/>
        </w:rPr>
        <w:t xml:space="preserve">Overall, macroeconomic factors are not </w:t>
      </w:r>
      <w:r>
        <w:rPr>
          <w:rFonts w:eastAsia="Times New Roman" w:cstheme="minorHAnsi"/>
          <w:b/>
          <w:szCs w:val="22"/>
          <w:lang w:eastAsia="de-DE"/>
        </w:rPr>
        <w:t>a</w:t>
      </w:r>
      <w:r w:rsidRPr="00FC5FF6">
        <w:rPr>
          <w:rFonts w:eastAsia="Times New Roman" w:cstheme="minorHAnsi"/>
          <w:b/>
          <w:szCs w:val="22"/>
          <w:lang w:eastAsia="de-DE"/>
        </w:rPr>
        <w:t xml:space="preserve"> binding constraint </w:t>
      </w:r>
      <w:r>
        <w:rPr>
          <w:rFonts w:eastAsia="Times New Roman" w:cstheme="minorHAnsi"/>
          <w:b/>
          <w:szCs w:val="22"/>
          <w:lang w:eastAsia="de-DE"/>
        </w:rPr>
        <w:t>on</w:t>
      </w:r>
      <w:r w:rsidRPr="00FC5FF6">
        <w:rPr>
          <w:rFonts w:eastAsia="Times New Roman" w:cstheme="minorHAnsi"/>
          <w:b/>
          <w:szCs w:val="22"/>
          <w:lang w:eastAsia="de-DE"/>
        </w:rPr>
        <w:t xml:space="preserve"> export development, but do contribute to export costs. </w:t>
      </w:r>
      <w:r w:rsidRPr="00FC5FF6">
        <w:rPr>
          <w:rFonts w:eastAsia="Times New Roman" w:cstheme="minorHAnsi"/>
          <w:szCs w:val="22"/>
          <w:lang w:eastAsia="de-DE"/>
        </w:rPr>
        <w:t xml:space="preserve">The fact that monetary policy in the country has </w:t>
      </w:r>
      <w:r>
        <w:rPr>
          <w:rFonts w:eastAsia="Times New Roman" w:cstheme="minorHAnsi"/>
          <w:szCs w:val="22"/>
          <w:lang w:eastAsia="de-DE"/>
        </w:rPr>
        <w:t xml:space="preserve">significantly </w:t>
      </w:r>
      <w:r w:rsidRPr="00FC5FF6">
        <w:rPr>
          <w:rFonts w:eastAsia="Times New Roman" w:cstheme="minorHAnsi"/>
          <w:szCs w:val="22"/>
          <w:lang w:eastAsia="de-DE"/>
        </w:rPr>
        <w:t xml:space="preserve">reduced exchange rate volatility is an accomplishment </w:t>
      </w:r>
      <w:r>
        <w:rPr>
          <w:rFonts w:eastAsia="Times New Roman" w:cstheme="minorHAnsi"/>
          <w:szCs w:val="22"/>
          <w:lang w:eastAsia="de-DE"/>
        </w:rPr>
        <w:t>of</w:t>
      </w:r>
      <w:r w:rsidRPr="00FC5FF6">
        <w:rPr>
          <w:rFonts w:eastAsia="Times New Roman" w:cstheme="minorHAnsi"/>
          <w:szCs w:val="22"/>
          <w:lang w:eastAsia="de-DE"/>
        </w:rPr>
        <w:t xml:space="preserve"> the </w:t>
      </w:r>
      <w:r>
        <w:rPr>
          <w:rFonts w:eastAsia="Times New Roman" w:cstheme="minorHAnsi"/>
          <w:szCs w:val="22"/>
          <w:lang w:eastAsia="de-DE"/>
        </w:rPr>
        <w:t>C</w:t>
      </w:r>
      <w:r w:rsidRPr="00FC5FF6">
        <w:rPr>
          <w:rFonts w:eastAsia="Times New Roman" w:cstheme="minorHAnsi"/>
          <w:szCs w:val="22"/>
          <w:lang w:eastAsia="de-DE"/>
        </w:rPr>
        <w:t xml:space="preserve">entral </w:t>
      </w:r>
      <w:r>
        <w:rPr>
          <w:rFonts w:eastAsia="Times New Roman" w:cstheme="minorHAnsi"/>
          <w:szCs w:val="22"/>
          <w:lang w:eastAsia="de-DE"/>
        </w:rPr>
        <w:t>B</w:t>
      </w:r>
      <w:r w:rsidRPr="00FC5FF6">
        <w:rPr>
          <w:rFonts w:eastAsia="Times New Roman" w:cstheme="minorHAnsi"/>
          <w:szCs w:val="22"/>
          <w:lang w:eastAsia="de-DE"/>
        </w:rPr>
        <w:t xml:space="preserve">ank. </w:t>
      </w:r>
      <w:r>
        <w:rPr>
          <w:rFonts w:eastAsia="Times New Roman" w:cstheme="minorHAnsi"/>
          <w:szCs w:val="22"/>
          <w:lang w:eastAsia="de-DE"/>
        </w:rPr>
        <w:t>The Afghani is relatively strong compared to</w:t>
      </w:r>
      <w:r w:rsidRPr="00FC5FF6">
        <w:rPr>
          <w:rFonts w:eastAsia="Times New Roman" w:cstheme="minorHAnsi"/>
          <w:szCs w:val="22"/>
          <w:lang w:eastAsia="de-DE"/>
        </w:rPr>
        <w:t xml:space="preserve"> other South Asian currencies</w:t>
      </w:r>
      <w:r>
        <w:rPr>
          <w:rFonts w:eastAsia="Times New Roman" w:cstheme="minorHAnsi"/>
          <w:szCs w:val="22"/>
          <w:lang w:eastAsia="de-DE"/>
        </w:rPr>
        <w:t xml:space="preserve">, thus, Afghan exports are comparatively more expensive.  The </w:t>
      </w:r>
      <w:r w:rsidRPr="00FC5FF6">
        <w:rPr>
          <w:rFonts w:eastAsia="Times New Roman" w:cstheme="minorHAnsi"/>
          <w:szCs w:val="22"/>
          <w:lang w:eastAsia="de-DE"/>
        </w:rPr>
        <w:t xml:space="preserve">trade balance </w:t>
      </w:r>
      <w:r>
        <w:rPr>
          <w:rFonts w:eastAsia="Times New Roman" w:cstheme="minorHAnsi"/>
          <w:szCs w:val="22"/>
          <w:lang w:eastAsia="de-DE"/>
        </w:rPr>
        <w:t xml:space="preserve">remains </w:t>
      </w:r>
      <w:r w:rsidRPr="00FC5FF6">
        <w:rPr>
          <w:rFonts w:eastAsia="Times New Roman" w:cstheme="minorHAnsi"/>
          <w:szCs w:val="22"/>
          <w:lang w:eastAsia="de-DE"/>
        </w:rPr>
        <w:t xml:space="preserve">heavily </w:t>
      </w:r>
      <w:r>
        <w:rPr>
          <w:rFonts w:eastAsia="Times New Roman" w:cstheme="minorHAnsi"/>
          <w:szCs w:val="22"/>
          <w:lang w:eastAsia="de-DE"/>
        </w:rPr>
        <w:t xml:space="preserve">weighted </w:t>
      </w:r>
      <w:r w:rsidRPr="00FC5FF6">
        <w:rPr>
          <w:rFonts w:eastAsia="Times New Roman" w:cstheme="minorHAnsi"/>
          <w:szCs w:val="22"/>
          <w:lang w:eastAsia="de-DE"/>
        </w:rPr>
        <w:t xml:space="preserve">towards imports, </w:t>
      </w:r>
      <w:r>
        <w:rPr>
          <w:rFonts w:eastAsia="Times New Roman" w:cstheme="minorHAnsi"/>
          <w:szCs w:val="22"/>
          <w:lang w:eastAsia="de-DE"/>
        </w:rPr>
        <w:t>thanks to</w:t>
      </w:r>
      <w:r w:rsidRPr="00FC5FF6">
        <w:rPr>
          <w:rFonts w:eastAsia="Times New Roman" w:cstheme="minorHAnsi"/>
          <w:szCs w:val="22"/>
          <w:lang w:eastAsia="de-DE"/>
        </w:rPr>
        <w:t xml:space="preserve"> the large aid flows </w:t>
      </w:r>
      <w:r>
        <w:rPr>
          <w:rFonts w:eastAsia="Times New Roman" w:cstheme="minorHAnsi"/>
          <w:szCs w:val="22"/>
          <w:lang w:eastAsia="de-DE"/>
        </w:rPr>
        <w:t>to</w:t>
      </w:r>
      <w:r w:rsidRPr="00FC5FF6">
        <w:rPr>
          <w:rFonts w:eastAsia="Times New Roman" w:cstheme="minorHAnsi"/>
          <w:szCs w:val="22"/>
          <w:lang w:eastAsia="de-DE"/>
        </w:rPr>
        <w:t xml:space="preserve"> the country’s reconstruction and recovery efforts</w:t>
      </w:r>
      <w:r>
        <w:rPr>
          <w:rFonts w:eastAsia="Times New Roman" w:cstheme="minorHAnsi"/>
          <w:szCs w:val="22"/>
          <w:lang w:eastAsia="de-DE"/>
        </w:rPr>
        <w:t>.</w:t>
      </w:r>
      <w:r w:rsidRPr="00FC5FF6">
        <w:rPr>
          <w:rFonts w:eastAsia="Times New Roman" w:cstheme="minorHAnsi"/>
          <w:szCs w:val="22"/>
          <w:lang w:eastAsia="de-DE"/>
        </w:rPr>
        <w:t xml:space="preserve"> </w:t>
      </w:r>
      <w:r>
        <w:rPr>
          <w:rFonts w:eastAsia="Times New Roman" w:cstheme="minorHAnsi"/>
          <w:szCs w:val="22"/>
          <w:lang w:eastAsia="de-DE"/>
        </w:rPr>
        <w:t xml:space="preserve">Meanwhile, </w:t>
      </w:r>
      <w:r w:rsidRPr="00FC5FF6">
        <w:rPr>
          <w:rFonts w:eastAsia="Times New Roman" w:cstheme="minorHAnsi"/>
          <w:szCs w:val="22"/>
          <w:lang w:eastAsia="de-DE"/>
        </w:rPr>
        <w:t xml:space="preserve">the cost of unskilled labor in Afghanistan </w:t>
      </w:r>
      <w:r>
        <w:rPr>
          <w:rFonts w:eastAsia="Times New Roman" w:cstheme="minorHAnsi"/>
          <w:szCs w:val="22"/>
          <w:lang w:eastAsia="de-DE"/>
        </w:rPr>
        <w:t xml:space="preserve">is </w:t>
      </w:r>
      <w:r w:rsidRPr="00FC5FF6">
        <w:rPr>
          <w:rFonts w:eastAsia="Times New Roman" w:cstheme="minorHAnsi"/>
          <w:szCs w:val="22"/>
          <w:lang w:eastAsia="de-DE"/>
        </w:rPr>
        <w:t>relative</w:t>
      </w:r>
      <w:r>
        <w:rPr>
          <w:rFonts w:eastAsia="Times New Roman" w:cstheme="minorHAnsi"/>
          <w:szCs w:val="22"/>
          <w:lang w:eastAsia="de-DE"/>
        </w:rPr>
        <w:t>ly high by</w:t>
      </w:r>
      <w:r w:rsidRPr="00FC5FF6">
        <w:rPr>
          <w:rFonts w:eastAsia="Times New Roman" w:cstheme="minorHAnsi"/>
          <w:szCs w:val="22"/>
          <w:lang w:eastAsia="de-DE"/>
        </w:rPr>
        <w:t xml:space="preserve"> other countries</w:t>
      </w:r>
      <w:r>
        <w:rPr>
          <w:rFonts w:eastAsia="Times New Roman" w:cstheme="minorHAnsi"/>
          <w:szCs w:val="22"/>
          <w:lang w:eastAsia="de-DE"/>
        </w:rPr>
        <w:t>’ standards,</w:t>
      </w:r>
      <w:r w:rsidRPr="00FC5FF6">
        <w:rPr>
          <w:rFonts w:eastAsia="Times New Roman" w:cstheme="minorHAnsi"/>
          <w:szCs w:val="22"/>
          <w:lang w:eastAsia="de-DE"/>
        </w:rPr>
        <w:t xml:space="preserve"> and wages are no incentive for private investment</w:t>
      </w:r>
      <w:r>
        <w:rPr>
          <w:rFonts w:eastAsia="Times New Roman" w:cstheme="minorHAnsi"/>
          <w:szCs w:val="22"/>
          <w:lang w:eastAsia="de-DE"/>
        </w:rPr>
        <w:t>.</w:t>
      </w:r>
    </w:p>
    <w:p w:rsidR="00FA1FE1" w:rsidRDefault="00FA1FE1" w:rsidP="00FA1FE1">
      <w:pPr>
        <w:contextualSpacing/>
        <w:rPr>
          <w:rFonts w:ascii="Calibri" w:eastAsia="Times New Roman" w:hAnsi="Calibri" w:cs="Calibri"/>
          <w:b/>
          <w:lang w:eastAsia="de-DE"/>
        </w:rPr>
      </w:pPr>
    </w:p>
    <w:p w:rsidR="00FA1FE1" w:rsidRDefault="00FA1FE1" w:rsidP="00FA1FE1">
      <w:pPr>
        <w:contextualSpacing/>
        <w:rPr>
          <w:rFonts w:ascii="Calibri" w:eastAsia="Times New Roman" w:hAnsi="Calibri" w:cs="Calibri"/>
          <w:lang w:eastAsia="de-DE"/>
        </w:rPr>
      </w:pPr>
      <w:r>
        <w:rPr>
          <w:rFonts w:ascii="Calibri" w:eastAsia="Times New Roman" w:hAnsi="Calibri" w:cs="Calibri"/>
          <w:b/>
          <w:lang w:eastAsia="de-DE"/>
        </w:rPr>
        <w:t>E</w:t>
      </w:r>
      <w:r w:rsidRPr="008821B0">
        <w:rPr>
          <w:rFonts w:ascii="Calibri" w:eastAsia="Times New Roman" w:hAnsi="Calibri" w:cs="Calibri"/>
          <w:b/>
          <w:lang w:eastAsia="de-DE"/>
        </w:rPr>
        <w:t xml:space="preserve">xporting from Afghanistan is </w:t>
      </w:r>
      <w:r>
        <w:rPr>
          <w:rFonts w:ascii="Calibri" w:eastAsia="Times New Roman" w:hAnsi="Calibri" w:cs="Calibri"/>
          <w:b/>
          <w:lang w:eastAsia="de-DE"/>
        </w:rPr>
        <w:t>very expensive</w:t>
      </w:r>
      <w:r w:rsidRPr="008821B0">
        <w:rPr>
          <w:rFonts w:ascii="Calibri" w:eastAsia="Times New Roman" w:hAnsi="Calibri" w:cs="Calibri"/>
          <w:lang w:eastAsia="de-DE"/>
        </w:rPr>
        <w:t xml:space="preserve">. </w:t>
      </w:r>
      <w:r>
        <w:rPr>
          <w:rFonts w:ascii="Calibri" w:eastAsia="Times New Roman" w:hAnsi="Calibri" w:cs="Calibri"/>
          <w:lang w:eastAsia="de-DE"/>
        </w:rPr>
        <w:t>While there are many drivers of costs, Afghan commodities trade at higher prices because they depend heavily on imports of raw materials and inputs for production. Traders face high product losses due to transport and warehousing issues, which all drive up the final price.</w:t>
      </w:r>
    </w:p>
    <w:p w:rsidR="00FA1FE1" w:rsidRDefault="00FA1FE1" w:rsidP="00FA1FE1">
      <w:pPr>
        <w:contextualSpacing/>
        <w:rPr>
          <w:rFonts w:cstheme="minorHAnsi"/>
        </w:rPr>
      </w:pPr>
    </w:p>
    <w:p w:rsidR="00FA1FE1" w:rsidRDefault="00FA1FE1" w:rsidP="00FA1FE1">
      <w:pPr>
        <w:contextualSpacing/>
        <w:rPr>
          <w:rFonts w:ascii="Calibri" w:eastAsia="Times New Roman" w:hAnsi="Calibri" w:cs="Calibri"/>
          <w:lang w:eastAsia="de-DE"/>
        </w:rPr>
      </w:pPr>
      <w:r w:rsidRPr="00A21E20">
        <w:rPr>
          <w:rFonts w:ascii="Calibri" w:eastAsia="Times New Roman" w:hAnsi="Calibri" w:cs="Calibri"/>
          <w:b/>
          <w:lang w:eastAsia="de-DE"/>
        </w:rPr>
        <w:t>The high cost of exporting from Afghanistan means that traders must depend on small profit margins.</w:t>
      </w:r>
      <w:r w:rsidRPr="00A21E20">
        <w:rPr>
          <w:rFonts w:ascii="Calibri" w:eastAsia="Times New Roman" w:hAnsi="Calibri" w:cs="Calibri"/>
          <w:lang w:eastAsia="de-DE"/>
        </w:rPr>
        <w:t xml:space="preserve"> Therefore, the only way to i</w:t>
      </w:r>
      <w:r w:rsidRPr="00D03308">
        <w:rPr>
          <w:rFonts w:ascii="Calibri" w:eastAsia="Times New Roman" w:hAnsi="Calibri" w:cs="Calibri"/>
          <w:lang w:eastAsia="de-DE"/>
        </w:rPr>
        <w:t>ncreas</w:t>
      </w:r>
      <w:r>
        <w:rPr>
          <w:rFonts w:ascii="Calibri" w:eastAsia="Times New Roman" w:hAnsi="Calibri" w:cs="Calibri"/>
          <w:lang w:eastAsia="de-DE"/>
        </w:rPr>
        <w:t>e</w:t>
      </w:r>
      <w:r w:rsidRPr="00D03308">
        <w:rPr>
          <w:rFonts w:ascii="Calibri" w:eastAsia="Times New Roman" w:hAnsi="Calibri" w:cs="Calibri"/>
          <w:lang w:eastAsia="de-DE"/>
        </w:rPr>
        <w:t xml:space="preserve"> the number and value of products produced, number of markets served, and survival rate of </w:t>
      </w:r>
      <w:r>
        <w:rPr>
          <w:rFonts w:ascii="Calibri" w:eastAsia="Times New Roman" w:hAnsi="Calibri" w:cs="Calibri"/>
          <w:lang w:eastAsia="de-DE"/>
        </w:rPr>
        <w:t>exporters</w:t>
      </w:r>
      <w:r w:rsidRPr="00D03308">
        <w:rPr>
          <w:rFonts w:ascii="Calibri" w:eastAsia="Times New Roman" w:hAnsi="Calibri" w:cs="Calibri"/>
          <w:lang w:eastAsia="de-DE"/>
        </w:rPr>
        <w:t xml:space="preserve"> </w:t>
      </w:r>
      <w:r>
        <w:rPr>
          <w:rFonts w:ascii="Calibri" w:eastAsia="Times New Roman" w:hAnsi="Calibri" w:cs="Calibri"/>
          <w:lang w:eastAsia="de-DE"/>
        </w:rPr>
        <w:t>is to drive down the costs</w:t>
      </w:r>
      <w:r w:rsidRPr="00D03308">
        <w:rPr>
          <w:rFonts w:ascii="Calibri" w:eastAsia="Times New Roman" w:hAnsi="Calibri" w:cs="Calibri"/>
          <w:lang w:eastAsia="de-DE"/>
        </w:rPr>
        <w:t xml:space="preserve">. </w:t>
      </w:r>
      <w:r>
        <w:rPr>
          <w:rFonts w:ascii="Calibri" w:eastAsia="Times New Roman" w:hAnsi="Calibri" w:cs="Calibri"/>
          <w:lang w:eastAsia="de-DE"/>
        </w:rPr>
        <w:t>Sending</w:t>
      </w:r>
      <w:r w:rsidRPr="00D03308">
        <w:rPr>
          <w:rFonts w:ascii="Calibri" w:eastAsia="Times New Roman" w:hAnsi="Calibri" w:cs="Calibri"/>
          <w:lang w:eastAsia="de-DE"/>
        </w:rPr>
        <w:t xml:space="preserve"> </w:t>
      </w:r>
      <w:r>
        <w:rPr>
          <w:rFonts w:ascii="Calibri" w:eastAsia="Times New Roman" w:hAnsi="Calibri" w:cs="Calibri"/>
          <w:lang w:eastAsia="de-DE"/>
        </w:rPr>
        <w:t xml:space="preserve">Afghan </w:t>
      </w:r>
      <w:r w:rsidRPr="00D03308">
        <w:rPr>
          <w:rFonts w:ascii="Calibri" w:eastAsia="Times New Roman" w:hAnsi="Calibri" w:cs="Calibri"/>
          <w:lang w:eastAsia="de-DE"/>
        </w:rPr>
        <w:t>pomegranates to India</w:t>
      </w:r>
      <w:r>
        <w:rPr>
          <w:rFonts w:ascii="Calibri" w:eastAsia="Times New Roman" w:hAnsi="Calibri" w:cs="Calibri"/>
          <w:lang w:eastAsia="de-DE"/>
        </w:rPr>
        <w:t>, for instance (Figure 5.1),</w:t>
      </w:r>
      <w:r w:rsidRPr="00D03308">
        <w:rPr>
          <w:rFonts w:ascii="Calibri" w:eastAsia="Times New Roman" w:hAnsi="Calibri" w:cs="Calibri"/>
          <w:lang w:eastAsia="de-DE"/>
        </w:rPr>
        <w:t xml:space="preserve"> </w:t>
      </w:r>
      <w:r>
        <w:rPr>
          <w:rFonts w:ascii="Calibri" w:eastAsia="Times New Roman" w:hAnsi="Calibri" w:cs="Calibri"/>
          <w:lang w:eastAsia="de-DE"/>
        </w:rPr>
        <w:t>an</w:t>
      </w:r>
      <w:r w:rsidRPr="00D03308">
        <w:rPr>
          <w:rFonts w:ascii="Calibri" w:eastAsia="Times New Roman" w:hAnsi="Calibri" w:cs="Calibri"/>
          <w:lang w:eastAsia="de-DE"/>
        </w:rPr>
        <w:t xml:space="preserve"> Afghan </w:t>
      </w:r>
      <w:r>
        <w:rPr>
          <w:rFonts w:ascii="Calibri" w:eastAsia="Times New Roman" w:hAnsi="Calibri" w:cs="Calibri"/>
          <w:lang w:eastAsia="de-DE"/>
        </w:rPr>
        <w:t xml:space="preserve">exporter trader retains just 3.7 percent profit, after paying over 61 percent of the price on production costs and product losses, and a further 18 percent on taxes and commissions, and 17 percent on transport before the fruit even leaves Afghanistan. By comparison, the costs paid in India are just 23 percent, and in Pakistan 8 percent. </w:t>
      </w:r>
    </w:p>
    <w:p w:rsidR="00FA1FE1" w:rsidRDefault="00FA1FE1" w:rsidP="00FA1FE1">
      <w:pPr>
        <w:contextualSpacing/>
        <w:rPr>
          <w:rFonts w:ascii="Calibri" w:eastAsia="Times New Roman" w:hAnsi="Calibri" w:cs="Calibri"/>
          <w:lang w:eastAsia="de-DE"/>
        </w:rPr>
      </w:pPr>
    </w:p>
    <w:p w:rsidR="00FA1FE1" w:rsidRDefault="00FA1FE1" w:rsidP="00FA1FE1">
      <w:pPr>
        <w:spacing w:after="0" w:line="240" w:lineRule="auto"/>
        <w:contextualSpacing/>
        <w:rPr>
          <w:rFonts w:ascii="Calibri" w:eastAsia="Times New Roman" w:hAnsi="Calibri" w:cs="Calibri"/>
          <w:lang w:eastAsia="de-DE"/>
        </w:rPr>
      </w:pPr>
      <w:r w:rsidRPr="00134354">
        <w:rPr>
          <w:rFonts w:ascii="Calibri" w:eastAsia="Times New Roman" w:hAnsi="Calibri" w:cs="Calibri"/>
          <w:b/>
          <w:color w:val="410082" w:themeColor="text1"/>
          <w:lang w:eastAsia="de-DE"/>
        </w:rPr>
        <w:t xml:space="preserve">Figure </w:t>
      </w:r>
      <w:r>
        <w:rPr>
          <w:rFonts w:ascii="Calibri" w:eastAsia="Times New Roman" w:hAnsi="Calibri" w:cs="Calibri"/>
          <w:b/>
          <w:color w:val="410082" w:themeColor="text1"/>
          <w:lang w:eastAsia="de-DE"/>
        </w:rPr>
        <w:t>5.1</w:t>
      </w:r>
      <w:r w:rsidRPr="00134354">
        <w:rPr>
          <w:rFonts w:ascii="Calibri" w:eastAsia="Times New Roman" w:hAnsi="Calibri" w:cs="Calibri"/>
          <w:b/>
          <w:color w:val="410082" w:themeColor="text1"/>
          <w:lang w:eastAsia="de-DE"/>
        </w:rPr>
        <w:t>: Export Costs and Margins: The Example of Pomegranate Exports to India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8"/>
        <w:gridCol w:w="4878"/>
      </w:tblGrid>
      <w:tr w:rsidR="00FA1FE1" w:rsidTr="00C525B7">
        <w:tc>
          <w:tcPr>
            <w:tcW w:w="4698" w:type="dxa"/>
          </w:tcPr>
          <w:p w:rsidR="00FA1FE1" w:rsidRDefault="00FA1FE1" w:rsidP="00C525B7">
            <w:pPr>
              <w:contextualSpacing/>
              <w:rPr>
                <w:rFonts w:ascii="Calibri" w:eastAsia="Times New Roman" w:hAnsi="Calibri" w:cs="Calibri"/>
                <w:lang w:eastAsia="de-DE"/>
              </w:rPr>
            </w:pPr>
          </w:p>
        </w:tc>
        <w:tc>
          <w:tcPr>
            <w:tcW w:w="4878" w:type="dxa"/>
          </w:tcPr>
          <w:p w:rsidR="00FA1FE1" w:rsidRDefault="00FA1FE1" w:rsidP="00C525B7">
            <w:pPr>
              <w:contextualSpacing/>
              <w:rPr>
                <w:rFonts w:ascii="Calibri" w:eastAsia="Times New Roman" w:hAnsi="Calibri" w:cs="Calibri"/>
                <w:lang w:eastAsia="de-DE"/>
              </w:rPr>
            </w:pPr>
            <w:r>
              <w:rPr>
                <w:noProof/>
                <w:lang w:bidi="ar-SA"/>
              </w:rPr>
              <w:t xml:space="preserve"> </w:t>
            </w:r>
          </w:p>
        </w:tc>
      </w:tr>
      <w:tr w:rsidR="0046556F" w:rsidTr="0046556F">
        <w:tc>
          <w:tcPr>
            <w:tcW w:w="4698" w:type="dxa"/>
          </w:tcPr>
          <w:p w:rsidR="0046556F" w:rsidRDefault="0046556F" w:rsidP="00C66D2B">
            <w:pPr>
              <w:contextualSpacing/>
              <w:rPr>
                <w:rFonts w:ascii="Calibri" w:eastAsia="Times New Roman" w:hAnsi="Calibri" w:cs="Calibri"/>
                <w:lang w:eastAsia="de-DE"/>
              </w:rPr>
            </w:pPr>
            <w:r>
              <w:rPr>
                <w:rFonts w:ascii="Calibri" w:eastAsia="Times New Roman" w:hAnsi="Calibri" w:cs="Calibri"/>
                <w:noProof/>
                <w:lang w:bidi="ar-SA"/>
              </w:rPr>
              <w:drawing>
                <wp:inline distT="0" distB="0" distL="0" distR="0" wp14:anchorId="1DFF808C" wp14:editId="6DF34DBA">
                  <wp:extent cx="3202916" cy="2047164"/>
                  <wp:effectExtent l="0" t="0" r="0" b="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0155" cy="2051791"/>
                          </a:xfrm>
                          <a:prstGeom prst="rect">
                            <a:avLst/>
                          </a:prstGeom>
                          <a:noFill/>
                        </pic:spPr>
                      </pic:pic>
                    </a:graphicData>
                  </a:graphic>
                </wp:inline>
              </w:drawing>
            </w:r>
          </w:p>
        </w:tc>
        <w:tc>
          <w:tcPr>
            <w:tcW w:w="4878" w:type="dxa"/>
          </w:tcPr>
          <w:p w:rsidR="0046556F" w:rsidRDefault="0046556F" w:rsidP="00C66D2B">
            <w:pPr>
              <w:contextualSpacing/>
              <w:rPr>
                <w:rFonts w:ascii="Calibri" w:eastAsia="Times New Roman" w:hAnsi="Calibri" w:cs="Calibri"/>
                <w:lang w:eastAsia="de-DE"/>
              </w:rPr>
            </w:pPr>
            <w:r>
              <w:rPr>
                <w:noProof/>
                <w:lang w:bidi="ar-SA"/>
              </w:rPr>
              <w:t xml:space="preserve"> </w:t>
            </w:r>
            <w:r>
              <w:rPr>
                <w:noProof/>
                <w:lang w:bidi="ar-SA"/>
              </w:rPr>
              <w:drawing>
                <wp:inline distT="0" distB="0" distL="0" distR="0" wp14:anchorId="29F9D4BA" wp14:editId="7062BCA8">
                  <wp:extent cx="2954740" cy="1869743"/>
                  <wp:effectExtent l="0" t="0" r="0" b="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8060" cy="1871844"/>
                          </a:xfrm>
                          <a:prstGeom prst="rect">
                            <a:avLst/>
                          </a:prstGeom>
                          <a:noFill/>
                        </pic:spPr>
                      </pic:pic>
                    </a:graphicData>
                  </a:graphic>
                </wp:inline>
              </w:drawing>
            </w:r>
          </w:p>
        </w:tc>
      </w:tr>
    </w:tbl>
    <w:p w:rsidR="00FA1FE1" w:rsidRDefault="00FA1FE1" w:rsidP="00FA1FE1">
      <w:pPr>
        <w:spacing w:before="100" w:beforeAutospacing="1" w:after="0" w:line="240" w:lineRule="auto"/>
        <w:rPr>
          <w:rFonts w:ascii="Calibri" w:eastAsia="Times New Roman" w:hAnsi="Calibri" w:cs="Calibri"/>
          <w:noProof/>
          <w:color w:val="000000"/>
          <w:sz w:val="18"/>
          <w:szCs w:val="18"/>
          <w:lang w:eastAsia="de-DE"/>
        </w:rPr>
      </w:pPr>
      <w:r>
        <w:rPr>
          <w:rFonts w:ascii="Calibri" w:eastAsia="Times New Roman" w:hAnsi="Calibri" w:cs="Calibri"/>
          <w:color w:val="000000"/>
          <w:sz w:val="18"/>
          <w:szCs w:val="18"/>
          <w:lang w:eastAsia="de-DE"/>
        </w:rPr>
        <w:t>S</w:t>
      </w:r>
      <w:r w:rsidRPr="008821B0">
        <w:rPr>
          <w:rFonts w:ascii="Calibri" w:eastAsia="Times New Roman" w:hAnsi="Calibri" w:cs="Calibri"/>
          <w:color w:val="000000"/>
          <w:sz w:val="18"/>
          <w:szCs w:val="18"/>
          <w:lang w:eastAsia="de-DE"/>
        </w:rPr>
        <w:t xml:space="preserve">ource: </w:t>
      </w:r>
      <w:r w:rsidRPr="008821B0">
        <w:rPr>
          <w:rFonts w:ascii="Calibri" w:eastAsia="Times New Roman" w:hAnsi="Calibri" w:cs="Calibri"/>
          <w:noProof/>
          <w:color w:val="000000"/>
          <w:sz w:val="18"/>
          <w:szCs w:val="18"/>
          <w:lang w:eastAsia="de-DE"/>
        </w:rPr>
        <w:t>Lieshout, June 2011</w:t>
      </w:r>
      <w:r>
        <w:rPr>
          <w:rFonts w:ascii="Calibri" w:eastAsia="Times New Roman" w:hAnsi="Calibri" w:cs="Calibri"/>
          <w:noProof/>
          <w:color w:val="000000"/>
          <w:sz w:val="18"/>
          <w:szCs w:val="18"/>
          <w:lang w:eastAsia="de-DE"/>
        </w:rPr>
        <w:t>.</w:t>
      </w:r>
    </w:p>
    <w:p w:rsidR="00FA1FE1" w:rsidRPr="008821B0" w:rsidRDefault="00FA1FE1" w:rsidP="00FA1FE1">
      <w:pPr>
        <w:spacing w:after="0" w:line="240" w:lineRule="auto"/>
        <w:contextualSpacing/>
        <w:rPr>
          <w:rFonts w:ascii="Calibri" w:eastAsia="Times New Roman" w:hAnsi="Calibri" w:cs="Calibri"/>
          <w:lang w:eastAsia="de-DE"/>
        </w:rPr>
      </w:pPr>
    </w:p>
    <w:p w:rsidR="00FA1FE1" w:rsidRDefault="00FA1FE1" w:rsidP="00FA1FE1">
      <w:pPr>
        <w:rPr>
          <w:rFonts w:ascii="Calibri" w:eastAsia="Times New Roman" w:hAnsi="Calibri" w:cs="Times New Roman"/>
          <w:lang w:eastAsia="de-DE"/>
        </w:rPr>
      </w:pPr>
      <w:r w:rsidRPr="004F15D1">
        <w:rPr>
          <w:rFonts w:ascii="Calibri" w:eastAsia="Times New Roman" w:hAnsi="Calibri" w:cs="Times New Roman"/>
          <w:b/>
          <w:lang w:eastAsia="de-DE"/>
        </w:rPr>
        <w:t>The</w:t>
      </w:r>
      <w:r>
        <w:rPr>
          <w:rFonts w:ascii="Calibri" w:eastAsia="Times New Roman" w:hAnsi="Calibri" w:cs="Times New Roman"/>
          <w:b/>
          <w:lang w:eastAsia="de-DE"/>
        </w:rPr>
        <w:t xml:space="preserve"> lack of p</w:t>
      </w:r>
      <w:r w:rsidRPr="004F15D1">
        <w:rPr>
          <w:rFonts w:ascii="Calibri" w:eastAsia="Times New Roman" w:hAnsi="Calibri" w:cs="Times New Roman"/>
          <w:b/>
          <w:lang w:eastAsia="de-DE"/>
        </w:rPr>
        <w:t xml:space="preserve">ackaging and cold storage </w:t>
      </w:r>
      <w:r>
        <w:rPr>
          <w:rFonts w:ascii="Calibri" w:eastAsia="Times New Roman" w:hAnsi="Calibri" w:cs="Times New Roman"/>
          <w:b/>
          <w:lang w:eastAsia="de-DE"/>
        </w:rPr>
        <w:t xml:space="preserve">infrastructure facilities harms the development of agri-exports and perishable commodities. </w:t>
      </w:r>
      <w:r w:rsidRPr="007E0726">
        <w:rPr>
          <w:rFonts w:ascii="Calibri" w:eastAsia="Times New Roman" w:hAnsi="Calibri" w:cs="Times New Roman"/>
          <w:lang w:eastAsia="de-DE"/>
        </w:rPr>
        <w:t xml:space="preserve">The lack of cold storage facilities is </w:t>
      </w:r>
      <w:r>
        <w:rPr>
          <w:rFonts w:ascii="Calibri" w:eastAsia="Times New Roman" w:hAnsi="Calibri" w:cs="Times New Roman"/>
          <w:lang w:eastAsia="de-DE"/>
        </w:rPr>
        <w:t xml:space="preserve">one of the reasons why </w:t>
      </w:r>
      <w:r w:rsidRPr="007E0726">
        <w:rPr>
          <w:rFonts w:ascii="Calibri" w:eastAsia="Times New Roman" w:hAnsi="Calibri" w:cs="Times New Roman"/>
          <w:lang w:eastAsia="de-DE"/>
        </w:rPr>
        <w:t>Afghanistan mostly exports “dry” fruits as opposed to “fresh” fruits</w:t>
      </w:r>
      <w:r>
        <w:rPr>
          <w:rFonts w:ascii="Calibri" w:eastAsia="Times New Roman" w:hAnsi="Calibri" w:cs="Times New Roman"/>
          <w:lang w:eastAsia="de-DE"/>
        </w:rPr>
        <w:t xml:space="preserve">. This translates into product losses and lower product quality for traders.   There is a limited supply of refrigerated </w:t>
      </w:r>
      <w:r w:rsidRPr="004F15D1">
        <w:rPr>
          <w:rFonts w:ascii="Calibri" w:eastAsia="Times New Roman" w:hAnsi="Calibri" w:cs="Times New Roman"/>
          <w:lang w:eastAsia="de-DE"/>
        </w:rPr>
        <w:t>trucks around the country</w:t>
      </w:r>
      <w:r>
        <w:rPr>
          <w:rFonts w:ascii="Calibri" w:eastAsia="Times New Roman" w:hAnsi="Calibri" w:cs="Times New Roman"/>
          <w:lang w:eastAsia="de-DE"/>
        </w:rPr>
        <w:t xml:space="preserve"> for cold storage transportation</w:t>
      </w:r>
      <w:r w:rsidRPr="004F15D1">
        <w:rPr>
          <w:rFonts w:ascii="Calibri" w:eastAsia="Times New Roman" w:hAnsi="Calibri" w:cs="Times New Roman"/>
          <w:lang w:eastAsia="de-DE"/>
        </w:rPr>
        <w:t>.</w:t>
      </w:r>
      <w:r>
        <w:rPr>
          <w:rFonts w:ascii="Calibri" w:eastAsia="Times New Roman" w:hAnsi="Calibri" w:cs="Times New Roman"/>
          <w:lang w:eastAsia="de-DE"/>
        </w:rPr>
        <w:t xml:space="preserve"> Improved logistics and investment in cold storage facilities would lower prices and improve the quality of agriculture goods.</w:t>
      </w:r>
    </w:p>
    <w:p w:rsidR="00FA1FE1" w:rsidRDefault="00FA1FE1" w:rsidP="00FA1FE1">
      <w:pPr>
        <w:rPr>
          <w:rFonts w:ascii="Calibri" w:eastAsia="Times New Roman" w:hAnsi="Calibri" w:cs="Times New Roman"/>
          <w:lang w:eastAsia="de-DE"/>
        </w:rPr>
      </w:pPr>
      <w:r w:rsidRPr="007F2FAD">
        <w:rPr>
          <w:rFonts w:ascii="Calibri" w:eastAsia="Times New Roman" w:hAnsi="Calibri" w:cs="Times New Roman"/>
          <w:b/>
          <w:lang w:eastAsia="de-DE"/>
        </w:rPr>
        <w:t>Poor packaging</w:t>
      </w:r>
      <w:r>
        <w:rPr>
          <w:rFonts w:ascii="Calibri" w:eastAsia="Times New Roman" w:hAnsi="Calibri" w:cs="Times New Roman"/>
          <w:b/>
          <w:lang w:eastAsia="de-DE"/>
        </w:rPr>
        <w:t xml:space="preserve"> </w:t>
      </w:r>
      <w:r w:rsidRPr="007F2FAD">
        <w:rPr>
          <w:rFonts w:ascii="Calibri" w:eastAsia="Times New Roman" w:hAnsi="Calibri" w:cs="Times New Roman"/>
          <w:b/>
          <w:lang w:eastAsia="de-DE"/>
        </w:rPr>
        <w:t>limit</w:t>
      </w:r>
      <w:r>
        <w:rPr>
          <w:rFonts w:ascii="Calibri" w:eastAsia="Times New Roman" w:hAnsi="Calibri" w:cs="Times New Roman"/>
          <w:b/>
          <w:lang w:eastAsia="de-DE"/>
        </w:rPr>
        <w:t>s</w:t>
      </w:r>
      <w:r w:rsidRPr="007F2FAD">
        <w:rPr>
          <w:rFonts w:ascii="Calibri" w:eastAsia="Times New Roman" w:hAnsi="Calibri" w:cs="Times New Roman"/>
          <w:b/>
          <w:lang w:eastAsia="de-DE"/>
        </w:rPr>
        <w:t xml:space="preserve"> agriculture export development</w:t>
      </w:r>
      <w:r>
        <w:rPr>
          <w:rFonts w:ascii="Calibri" w:eastAsia="Times New Roman" w:hAnsi="Calibri" w:cs="Times New Roman"/>
          <w:b/>
          <w:lang w:eastAsia="de-DE"/>
        </w:rPr>
        <w:t xml:space="preserve"> too</w:t>
      </w:r>
      <w:r>
        <w:rPr>
          <w:rFonts w:ascii="Calibri" w:eastAsia="Times New Roman" w:hAnsi="Calibri" w:cs="Times New Roman"/>
          <w:lang w:eastAsia="de-DE"/>
        </w:rPr>
        <w:t xml:space="preserve">. It is estimated that some 20-40 percent of </w:t>
      </w:r>
      <w:r w:rsidRPr="004F15D1">
        <w:rPr>
          <w:rFonts w:ascii="Calibri" w:eastAsia="Times New Roman" w:hAnsi="Calibri" w:cs="Times New Roman"/>
          <w:lang w:eastAsia="de-DE"/>
        </w:rPr>
        <w:t xml:space="preserve">post-harvest horticulture products </w:t>
      </w:r>
      <w:r>
        <w:rPr>
          <w:rFonts w:ascii="Calibri" w:eastAsia="Times New Roman" w:hAnsi="Calibri" w:cs="Times New Roman"/>
          <w:lang w:eastAsia="de-DE"/>
        </w:rPr>
        <w:t xml:space="preserve">are </w:t>
      </w:r>
      <w:r w:rsidRPr="004F15D1">
        <w:rPr>
          <w:rFonts w:ascii="Calibri" w:eastAsia="Times New Roman" w:hAnsi="Calibri" w:cs="Times New Roman"/>
          <w:lang w:eastAsia="de-DE"/>
        </w:rPr>
        <w:t>damage en r</w:t>
      </w:r>
      <w:r>
        <w:rPr>
          <w:rFonts w:ascii="Calibri" w:eastAsia="Times New Roman" w:hAnsi="Calibri" w:cs="Times New Roman"/>
          <w:lang w:eastAsia="de-DE"/>
        </w:rPr>
        <w:t>oute to markets</w:t>
      </w:r>
      <w:r w:rsidRPr="004F15D1">
        <w:rPr>
          <w:rFonts w:ascii="Calibri" w:eastAsia="Times New Roman" w:hAnsi="Calibri" w:cs="Times New Roman"/>
          <w:lang w:eastAsia="de-DE"/>
        </w:rPr>
        <w:t xml:space="preserve"> because of poor packaging</w:t>
      </w:r>
      <w:r>
        <w:rPr>
          <w:rFonts w:ascii="Calibri" w:eastAsia="Times New Roman" w:hAnsi="Calibri" w:cs="Times New Roman"/>
          <w:lang w:eastAsia="de-DE"/>
        </w:rPr>
        <w:t>.</w:t>
      </w:r>
      <w:r w:rsidRPr="00C362FF">
        <w:rPr>
          <w:rStyle w:val="FootnoteReference"/>
          <w:rFonts w:ascii="Calibri" w:eastAsia="Times New Roman" w:hAnsi="Calibri" w:cs="Times New Roman"/>
          <w:b/>
          <w:lang w:eastAsia="de-DE"/>
        </w:rPr>
        <w:footnoteReference w:id="37"/>
      </w:r>
      <w:r w:rsidRPr="004F15D1">
        <w:rPr>
          <w:rFonts w:ascii="Calibri" w:eastAsia="Times New Roman" w:hAnsi="Calibri" w:cs="Times New Roman"/>
          <w:b/>
          <w:color w:val="FF0000"/>
          <w:lang w:eastAsia="de-DE"/>
        </w:rPr>
        <w:t xml:space="preserve"> </w:t>
      </w:r>
      <w:r>
        <w:rPr>
          <w:rFonts w:ascii="Calibri" w:eastAsia="Times New Roman" w:hAnsi="Calibri" w:cs="Times New Roman"/>
          <w:lang w:eastAsia="de-DE"/>
        </w:rPr>
        <w:t>T</w:t>
      </w:r>
      <w:r w:rsidRPr="009D0507">
        <w:rPr>
          <w:rFonts w:ascii="Calibri" w:eastAsia="Times New Roman" w:hAnsi="Calibri" w:cs="Times New Roman"/>
          <w:lang w:eastAsia="de-DE"/>
        </w:rPr>
        <w:t xml:space="preserve">his could be </w:t>
      </w:r>
      <w:r>
        <w:rPr>
          <w:rFonts w:ascii="Calibri" w:eastAsia="Times New Roman" w:hAnsi="Calibri" w:cs="Times New Roman"/>
          <w:lang w:eastAsia="de-DE"/>
        </w:rPr>
        <w:t>rectified with improved</w:t>
      </w:r>
      <w:r w:rsidRPr="009D0507">
        <w:rPr>
          <w:rFonts w:ascii="Calibri" w:eastAsia="Times New Roman" w:hAnsi="Calibri" w:cs="Times New Roman"/>
          <w:lang w:eastAsia="de-DE"/>
        </w:rPr>
        <w:t xml:space="preserve"> packaging and plastic tunnels</w:t>
      </w:r>
      <w:r>
        <w:rPr>
          <w:rFonts w:ascii="Calibri" w:eastAsia="Times New Roman" w:hAnsi="Calibri" w:cs="Times New Roman"/>
          <w:lang w:eastAsia="de-DE"/>
        </w:rPr>
        <w:t xml:space="preserve"> to</w:t>
      </w:r>
      <w:r w:rsidRPr="009D0507">
        <w:rPr>
          <w:rFonts w:ascii="Calibri" w:eastAsia="Times New Roman" w:hAnsi="Calibri" w:cs="Times New Roman"/>
          <w:lang w:eastAsia="de-DE"/>
        </w:rPr>
        <w:t xml:space="preserve"> </w:t>
      </w:r>
      <w:r w:rsidRPr="004F15D1">
        <w:rPr>
          <w:rFonts w:ascii="Calibri" w:eastAsia="Times New Roman" w:hAnsi="Calibri" w:cs="Times New Roman"/>
          <w:lang w:eastAsia="de-DE"/>
        </w:rPr>
        <w:t>extend t</w:t>
      </w:r>
      <w:r>
        <w:rPr>
          <w:rFonts w:ascii="Calibri" w:eastAsia="Times New Roman" w:hAnsi="Calibri" w:cs="Times New Roman"/>
          <w:lang w:eastAsia="de-DE"/>
        </w:rPr>
        <w:t xml:space="preserve">he freshness of vegetables such as </w:t>
      </w:r>
      <w:r w:rsidRPr="004F15D1">
        <w:rPr>
          <w:rFonts w:ascii="Calibri" w:eastAsia="Times New Roman" w:hAnsi="Calibri" w:cs="Times New Roman"/>
          <w:lang w:eastAsia="de-DE"/>
        </w:rPr>
        <w:t>cucumbers and tomatoes</w:t>
      </w:r>
      <w:r>
        <w:rPr>
          <w:rFonts w:ascii="Calibri" w:eastAsia="Times New Roman" w:hAnsi="Calibri" w:cs="Times New Roman"/>
          <w:lang w:eastAsia="de-DE"/>
        </w:rPr>
        <w:t>, for example</w:t>
      </w:r>
      <w:r w:rsidRPr="004F15D1">
        <w:rPr>
          <w:rFonts w:ascii="Calibri" w:eastAsia="Times New Roman" w:hAnsi="Calibri" w:cs="Times New Roman"/>
          <w:lang w:eastAsia="de-DE"/>
        </w:rPr>
        <w:t>.</w:t>
      </w:r>
      <w:r>
        <w:rPr>
          <w:rFonts w:ascii="Calibri" w:eastAsia="Times New Roman" w:hAnsi="Calibri" w:cs="Times New Roman"/>
          <w:lang w:eastAsia="de-DE"/>
        </w:rPr>
        <w:t xml:space="preserve">  </w:t>
      </w:r>
      <w:r w:rsidRPr="004F15D1">
        <w:rPr>
          <w:rFonts w:ascii="Calibri" w:eastAsia="Times New Roman" w:hAnsi="Calibri" w:cs="Times New Roman"/>
          <w:lang w:eastAsia="de-DE"/>
        </w:rPr>
        <w:t xml:space="preserve"> Plastic as</w:t>
      </w:r>
      <w:r>
        <w:rPr>
          <w:rFonts w:ascii="Calibri" w:eastAsia="Times New Roman" w:hAnsi="Calibri" w:cs="Times New Roman"/>
          <w:lang w:eastAsia="de-DE"/>
        </w:rPr>
        <w:t xml:space="preserve"> opposed to the widely used wooden crates, </w:t>
      </w:r>
      <w:r w:rsidRPr="004F15D1">
        <w:rPr>
          <w:rFonts w:ascii="Calibri" w:eastAsia="Times New Roman" w:hAnsi="Calibri" w:cs="Times New Roman"/>
          <w:lang w:eastAsia="de-DE"/>
        </w:rPr>
        <w:t>preserve</w:t>
      </w:r>
      <w:r>
        <w:rPr>
          <w:rFonts w:ascii="Calibri" w:eastAsia="Times New Roman" w:hAnsi="Calibri" w:cs="Times New Roman"/>
          <w:lang w:eastAsia="de-DE"/>
        </w:rPr>
        <w:t>s</w:t>
      </w:r>
      <w:r w:rsidRPr="004F15D1">
        <w:rPr>
          <w:rFonts w:ascii="Calibri" w:eastAsia="Times New Roman" w:hAnsi="Calibri" w:cs="Times New Roman"/>
          <w:lang w:eastAsia="de-DE"/>
        </w:rPr>
        <w:t xml:space="preserve"> freshness, maintain</w:t>
      </w:r>
      <w:r>
        <w:rPr>
          <w:rFonts w:ascii="Calibri" w:eastAsia="Times New Roman" w:hAnsi="Calibri" w:cs="Times New Roman"/>
          <w:lang w:eastAsia="de-DE"/>
        </w:rPr>
        <w:t>s</w:t>
      </w:r>
      <w:r w:rsidRPr="004F15D1">
        <w:rPr>
          <w:rFonts w:ascii="Calibri" w:eastAsia="Times New Roman" w:hAnsi="Calibri" w:cs="Times New Roman"/>
          <w:lang w:eastAsia="de-DE"/>
        </w:rPr>
        <w:t xml:space="preserve"> hygiene, </w:t>
      </w:r>
      <w:r>
        <w:rPr>
          <w:rFonts w:ascii="Calibri" w:eastAsia="Times New Roman" w:hAnsi="Calibri" w:cs="Times New Roman"/>
          <w:lang w:eastAsia="de-DE"/>
        </w:rPr>
        <w:t xml:space="preserve">and provides higher quality </w:t>
      </w:r>
      <w:r w:rsidRPr="004F15D1">
        <w:rPr>
          <w:rFonts w:ascii="Calibri" w:eastAsia="Times New Roman" w:hAnsi="Calibri" w:cs="Times New Roman"/>
          <w:lang w:eastAsia="de-DE"/>
        </w:rPr>
        <w:t>products for international export</w:t>
      </w:r>
      <w:r>
        <w:rPr>
          <w:rFonts w:ascii="Calibri" w:eastAsia="Times New Roman" w:hAnsi="Calibri" w:cs="Times New Roman"/>
          <w:lang w:eastAsia="de-DE"/>
        </w:rPr>
        <w:t xml:space="preserve">. </w:t>
      </w:r>
    </w:p>
    <w:p w:rsidR="00FA1FE1" w:rsidRPr="00C362FF" w:rsidRDefault="00FA1FE1" w:rsidP="00FA1FE1">
      <w:pPr>
        <w:pStyle w:val="Heading4"/>
        <w:spacing w:after="240"/>
        <w:rPr>
          <w:color w:val="410082" w:themeColor="text1"/>
        </w:rPr>
      </w:pPr>
      <w:r w:rsidRPr="00C362FF">
        <w:rPr>
          <w:color w:val="410082" w:themeColor="text1"/>
        </w:rPr>
        <w:t xml:space="preserve">Afghan </w:t>
      </w:r>
      <w:r>
        <w:rPr>
          <w:color w:val="410082" w:themeColor="text1"/>
        </w:rPr>
        <w:t>e</w:t>
      </w:r>
      <w:r w:rsidRPr="00C362FF">
        <w:rPr>
          <w:color w:val="410082" w:themeColor="text1"/>
        </w:rPr>
        <w:t xml:space="preserve">xports have low </w:t>
      </w:r>
      <w:r>
        <w:rPr>
          <w:color w:val="410082" w:themeColor="text1"/>
        </w:rPr>
        <w:t xml:space="preserve">added </w:t>
      </w:r>
      <w:r w:rsidRPr="00C362FF">
        <w:rPr>
          <w:color w:val="410082" w:themeColor="text1"/>
        </w:rPr>
        <w:t xml:space="preserve">value </w:t>
      </w:r>
    </w:p>
    <w:p w:rsidR="00FA1FE1" w:rsidRDefault="00FA1FE1" w:rsidP="00FA1FE1">
      <w:pPr>
        <w:spacing w:after="240"/>
        <w:contextualSpacing/>
      </w:pPr>
      <w:r w:rsidRPr="006A3466">
        <w:rPr>
          <w:rFonts w:ascii="Calibri" w:eastAsia="Times New Roman" w:hAnsi="Calibri" w:cs="Calibri"/>
          <w:b/>
          <w:lang w:eastAsia="de-DE"/>
        </w:rPr>
        <w:t>Afghan</w:t>
      </w:r>
      <w:r>
        <w:rPr>
          <w:rFonts w:ascii="Calibri" w:eastAsia="Times New Roman" w:hAnsi="Calibri" w:cs="Calibri"/>
          <w:b/>
          <w:lang w:eastAsia="de-DE"/>
        </w:rPr>
        <w:t>istan</w:t>
      </w:r>
      <w:r w:rsidRPr="006A3466">
        <w:rPr>
          <w:rFonts w:ascii="Calibri" w:eastAsia="Times New Roman" w:hAnsi="Calibri" w:cs="Calibri"/>
          <w:b/>
          <w:lang w:eastAsia="de-DE"/>
        </w:rPr>
        <w:t xml:space="preserve"> exports mostly primary products that are</w:t>
      </w:r>
      <w:r w:rsidRPr="006A3466">
        <w:rPr>
          <w:b/>
        </w:rPr>
        <w:t xml:space="preserve"> vulnerable to commodity price fluctuations</w:t>
      </w:r>
      <w:r w:rsidRPr="006A3466">
        <w:rPr>
          <w:rFonts w:ascii="Calibri" w:eastAsia="Times New Roman" w:hAnsi="Calibri" w:cs="Calibri"/>
          <w:b/>
          <w:lang w:eastAsia="de-DE"/>
        </w:rPr>
        <w:t>.</w:t>
      </w:r>
      <w:r>
        <w:rPr>
          <w:rFonts w:ascii="Calibri" w:eastAsia="Times New Roman" w:hAnsi="Calibri" w:cs="Calibri"/>
          <w:lang w:eastAsia="de-DE"/>
        </w:rPr>
        <w:t xml:space="preserve">  This makes trade very sensitive to prices and often </w:t>
      </w:r>
      <w:r w:rsidRPr="008821B0">
        <w:rPr>
          <w:rFonts w:ascii="Calibri" w:eastAsia="Times New Roman" w:hAnsi="Calibri" w:cs="Calibri"/>
          <w:lang w:eastAsia="de-DE"/>
        </w:rPr>
        <w:t>volumes</w:t>
      </w:r>
      <w:r>
        <w:rPr>
          <w:rFonts w:ascii="Calibri" w:eastAsia="Times New Roman" w:hAnsi="Calibri" w:cs="Calibri"/>
          <w:lang w:eastAsia="de-DE"/>
        </w:rPr>
        <w:t xml:space="preserve"> drop when goods can be easily substituted with cheaper imports from neighboring countries. </w:t>
      </w:r>
      <w:r>
        <w:t>In</w:t>
      </w:r>
      <w:r w:rsidRPr="00CD548A">
        <w:t xml:space="preserve"> the period 2008-2010, unprocessed goods accounted for 98</w:t>
      </w:r>
      <w:r>
        <w:t xml:space="preserve"> percent</w:t>
      </w:r>
      <w:r w:rsidRPr="00CD548A">
        <w:t xml:space="preserve"> of the exported volume and 70</w:t>
      </w:r>
      <w:r>
        <w:t xml:space="preserve"> percent</w:t>
      </w:r>
      <w:r w:rsidRPr="00CD548A">
        <w:t xml:space="preserve"> of the value</w:t>
      </w:r>
      <w:r>
        <w:t>, according to CSO data</w:t>
      </w:r>
      <w:r w:rsidRPr="00CD548A">
        <w:t xml:space="preserve">. The average price </w:t>
      </w:r>
      <w:r>
        <w:t xml:space="preserve">for primary products, the bulk of exports, </w:t>
      </w:r>
      <w:r w:rsidRPr="00CD548A">
        <w:t xml:space="preserve">was </w:t>
      </w:r>
      <w:r>
        <w:t>US</w:t>
      </w:r>
      <w:r w:rsidRPr="00CD548A">
        <w:t>$1.24 per kg</w:t>
      </w:r>
      <w:r>
        <w:t xml:space="preserve"> compared to the </w:t>
      </w:r>
      <w:r w:rsidRPr="00CD548A">
        <w:t xml:space="preserve">average price </w:t>
      </w:r>
      <w:r>
        <w:t>of p</w:t>
      </w:r>
      <w:r w:rsidRPr="00CD548A">
        <w:t xml:space="preserve">rocessed goods </w:t>
      </w:r>
      <w:r>
        <w:t>at US</w:t>
      </w:r>
      <w:r w:rsidRPr="00CD548A">
        <w:t>$34.80 per kg.</w:t>
      </w:r>
      <w:r>
        <w:t xml:space="preserve"> Although the latter accounted for only </w:t>
      </w:r>
      <w:r w:rsidRPr="00CD548A">
        <w:t>1.2</w:t>
      </w:r>
      <w:r>
        <w:t xml:space="preserve"> percent</w:t>
      </w:r>
      <w:r w:rsidRPr="00CD548A">
        <w:t xml:space="preserve"> of the </w:t>
      </w:r>
      <w:r>
        <w:t xml:space="preserve">export </w:t>
      </w:r>
      <w:r w:rsidRPr="00CD548A">
        <w:t>volume</w:t>
      </w:r>
      <w:r>
        <w:t xml:space="preserve">, it represented </w:t>
      </w:r>
      <w:r w:rsidRPr="00CD548A">
        <w:t>24</w:t>
      </w:r>
      <w:r>
        <w:t xml:space="preserve"> percent</w:t>
      </w:r>
      <w:r w:rsidRPr="00CD548A">
        <w:t xml:space="preserve"> of the value.</w:t>
      </w:r>
      <w:r>
        <w:t xml:space="preserve"> Moving to higher value-added </w:t>
      </w:r>
      <w:r w:rsidRPr="00CD548A">
        <w:t xml:space="preserve">products is therefore </w:t>
      </w:r>
      <w:r>
        <w:t>vital for</w:t>
      </w:r>
      <w:r w:rsidRPr="00CD548A">
        <w:t xml:space="preserve"> further export growth</w:t>
      </w:r>
      <w:r>
        <w:t xml:space="preserve">. </w:t>
      </w:r>
      <w:r w:rsidRPr="008821B0">
        <w:rPr>
          <w:rFonts w:ascii="Calibri" w:eastAsia="Times New Roman" w:hAnsi="Calibri" w:cs="Calibri"/>
          <w:lang w:eastAsia="de-DE"/>
        </w:rPr>
        <w:t>For certain commodities</w:t>
      </w:r>
      <w:r>
        <w:rPr>
          <w:rFonts w:ascii="Calibri" w:eastAsia="Times New Roman" w:hAnsi="Calibri" w:cs="Calibri"/>
          <w:lang w:eastAsia="de-DE"/>
        </w:rPr>
        <w:t>,</w:t>
      </w:r>
      <w:r w:rsidRPr="008821B0">
        <w:rPr>
          <w:rFonts w:ascii="Calibri" w:eastAsia="Times New Roman" w:hAnsi="Calibri" w:cs="Calibri"/>
          <w:lang w:eastAsia="de-DE"/>
        </w:rPr>
        <w:t xml:space="preserve"> Afghanistan has goodwill in the market</w:t>
      </w:r>
      <w:r>
        <w:rPr>
          <w:rFonts w:ascii="Calibri" w:eastAsia="Times New Roman" w:hAnsi="Calibri" w:cs="Calibri"/>
          <w:lang w:eastAsia="de-DE"/>
        </w:rPr>
        <w:t xml:space="preserve"> and customers pay a premium for what is perceived as higher quality, as is the case with Afghan carpets.  </w:t>
      </w:r>
    </w:p>
    <w:p w:rsidR="00FA1FE1" w:rsidRDefault="00FA1FE1" w:rsidP="00FA1FE1">
      <w:pPr>
        <w:spacing w:after="0"/>
        <w:rPr>
          <w:rFonts w:ascii="Calibri" w:eastAsia="Times New Roman" w:hAnsi="Calibri" w:cs="Times New Roman"/>
          <w:lang w:eastAsia="de-DE"/>
        </w:rPr>
      </w:pPr>
    </w:p>
    <w:p w:rsidR="00FA1FE1" w:rsidRDefault="00FA1FE1" w:rsidP="00FA1FE1">
      <w:r w:rsidRPr="002D53CA">
        <w:rPr>
          <w:b/>
        </w:rPr>
        <w:t xml:space="preserve">Value </w:t>
      </w:r>
      <w:r>
        <w:rPr>
          <w:b/>
        </w:rPr>
        <w:t xml:space="preserve">is </w:t>
      </w:r>
      <w:r w:rsidRPr="002D53CA">
        <w:rPr>
          <w:b/>
        </w:rPr>
        <w:t xml:space="preserve">added to Afghan goods in Pakistan </w:t>
      </w:r>
      <w:r>
        <w:rPr>
          <w:b/>
        </w:rPr>
        <w:t>and other</w:t>
      </w:r>
      <w:r w:rsidRPr="002D53CA">
        <w:rPr>
          <w:b/>
        </w:rPr>
        <w:t xml:space="preserve"> neighboring countries</w:t>
      </w:r>
      <w:r>
        <w:rPr>
          <w:b/>
        </w:rPr>
        <w:t xml:space="preserve">, which is where the profit is </w:t>
      </w:r>
      <w:r w:rsidRPr="002D53CA">
        <w:rPr>
          <w:b/>
        </w:rPr>
        <w:t xml:space="preserve">captured. </w:t>
      </w:r>
      <w:r>
        <w:rPr>
          <w:b/>
        </w:rPr>
        <w:t>By r</w:t>
      </w:r>
      <w:r w:rsidRPr="0035591B">
        <w:t xml:space="preserve">epackaging, relabeling, </w:t>
      </w:r>
      <w:r>
        <w:t xml:space="preserve">and </w:t>
      </w:r>
      <w:r w:rsidRPr="0035591B">
        <w:t xml:space="preserve">minor processing, </w:t>
      </w:r>
      <w:r>
        <w:t xml:space="preserve">these countries re-export </w:t>
      </w:r>
      <w:r w:rsidRPr="0035591B">
        <w:t xml:space="preserve">Afghan goods </w:t>
      </w:r>
      <w:r>
        <w:t>for</w:t>
      </w:r>
      <w:r w:rsidRPr="0035591B">
        <w:t xml:space="preserve"> higher prices.</w:t>
      </w:r>
      <w:r>
        <w:t xml:space="preserve"> In the carpet sector, for example, about 85-90 percent of carpets imported by the EU were originally Afghan made, but washed and finished and sold as Pakistani. The carpet sector is trying to address this by focusing on the development of the “Made in Afghanistan” brand that consumers can associate with higher quality. This is a step in the right direction to retain the premium enjoyed in the market, but addressing the issue structurally will require developing an Afghan cut-and-wash industry.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9"/>
        <w:gridCol w:w="5057"/>
      </w:tblGrid>
      <w:tr w:rsidR="00FA1FE1" w:rsidTr="00C525B7">
        <w:tc>
          <w:tcPr>
            <w:tcW w:w="4475" w:type="dxa"/>
          </w:tcPr>
          <w:p w:rsidR="00FA1FE1" w:rsidRPr="00134354" w:rsidRDefault="00FA1FE1" w:rsidP="00C525B7">
            <w:pPr>
              <w:rPr>
                <w:b/>
                <w:color w:val="410082" w:themeColor="text1"/>
              </w:rPr>
            </w:pPr>
            <w:r w:rsidRPr="00134354">
              <w:rPr>
                <w:b/>
                <w:color w:val="410082" w:themeColor="text1"/>
              </w:rPr>
              <w:t>Figure 5.2 Exports by Sector, FY 2008-201</w:t>
            </w:r>
            <w:r>
              <w:rPr>
                <w:b/>
                <w:color w:val="410082" w:themeColor="text1"/>
              </w:rPr>
              <w:t>1</w:t>
            </w:r>
          </w:p>
          <w:p w:rsidR="00FA1FE1" w:rsidRPr="00134354" w:rsidRDefault="00FA1FE1" w:rsidP="00C525B7">
            <w:pPr>
              <w:rPr>
                <w:b/>
                <w:color w:val="410082" w:themeColor="text1"/>
              </w:rPr>
            </w:pPr>
          </w:p>
        </w:tc>
        <w:tc>
          <w:tcPr>
            <w:tcW w:w="5101" w:type="dxa"/>
          </w:tcPr>
          <w:p w:rsidR="00FA1FE1" w:rsidRPr="00134354" w:rsidRDefault="00FA1FE1" w:rsidP="00C525B7">
            <w:pPr>
              <w:rPr>
                <w:b/>
                <w:color w:val="410082" w:themeColor="text1"/>
              </w:rPr>
            </w:pPr>
            <w:r w:rsidRPr="00134354">
              <w:rPr>
                <w:b/>
                <w:color w:val="410082" w:themeColor="text1"/>
              </w:rPr>
              <w:t>Figure 5.3 Export Values, FY 2008-201</w:t>
            </w:r>
            <w:r>
              <w:rPr>
                <w:b/>
                <w:color w:val="410082" w:themeColor="text1"/>
              </w:rPr>
              <w:t>1</w:t>
            </w:r>
          </w:p>
          <w:p w:rsidR="00FA1FE1" w:rsidRPr="00134354" w:rsidRDefault="00FA1FE1" w:rsidP="00C525B7">
            <w:pPr>
              <w:rPr>
                <w:b/>
                <w:color w:val="410082" w:themeColor="text1"/>
              </w:rPr>
            </w:pPr>
          </w:p>
        </w:tc>
      </w:tr>
      <w:tr w:rsidR="00FA1FE1" w:rsidTr="00C525B7">
        <w:tc>
          <w:tcPr>
            <w:tcW w:w="4475" w:type="dxa"/>
          </w:tcPr>
          <w:p w:rsidR="00FA1FE1" w:rsidRDefault="00FA1FE1" w:rsidP="00C525B7">
            <w:pPr>
              <w:rPr>
                <w:b/>
              </w:rPr>
            </w:pPr>
            <w:r>
              <w:rPr>
                <w:noProof/>
                <w:lang w:bidi="ar-SA"/>
              </w:rPr>
              <w:drawing>
                <wp:inline distT="0" distB="0" distL="0" distR="0" wp14:anchorId="16EC781D" wp14:editId="08C8A66A">
                  <wp:extent cx="2732567" cy="1786270"/>
                  <wp:effectExtent l="0" t="0" r="0" b="4445"/>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730851" cy="1785148"/>
                          </a:xfrm>
                          <a:prstGeom prst="rect">
                            <a:avLst/>
                          </a:prstGeom>
                        </pic:spPr>
                      </pic:pic>
                    </a:graphicData>
                  </a:graphic>
                </wp:inline>
              </w:drawing>
            </w:r>
          </w:p>
        </w:tc>
        <w:tc>
          <w:tcPr>
            <w:tcW w:w="5101" w:type="dxa"/>
          </w:tcPr>
          <w:p w:rsidR="00FA1FE1" w:rsidRDefault="00FA1FE1" w:rsidP="00C525B7">
            <w:pPr>
              <w:rPr>
                <w:b/>
              </w:rPr>
            </w:pPr>
            <w:r>
              <w:rPr>
                <w:noProof/>
                <w:lang w:bidi="ar-SA"/>
              </w:rPr>
              <w:drawing>
                <wp:inline distT="0" distB="0" distL="0" distR="0" wp14:anchorId="14A4D4A0" wp14:editId="127DC6BC">
                  <wp:extent cx="2955851" cy="1881963"/>
                  <wp:effectExtent l="0" t="0" r="0" b="4445"/>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957332" cy="1882906"/>
                          </a:xfrm>
                          <a:prstGeom prst="rect">
                            <a:avLst/>
                          </a:prstGeom>
                        </pic:spPr>
                      </pic:pic>
                    </a:graphicData>
                  </a:graphic>
                </wp:inline>
              </w:drawing>
            </w:r>
          </w:p>
        </w:tc>
      </w:tr>
    </w:tbl>
    <w:p w:rsidR="00FA1FE1" w:rsidRPr="008821B0" w:rsidRDefault="00FA1FE1" w:rsidP="00FA1FE1">
      <w:pPr>
        <w:rPr>
          <w:sz w:val="18"/>
          <w:szCs w:val="18"/>
        </w:rPr>
      </w:pPr>
      <w:r w:rsidRPr="008821B0">
        <w:rPr>
          <w:sz w:val="18"/>
          <w:szCs w:val="18"/>
        </w:rPr>
        <w:t>Source: CSO</w:t>
      </w:r>
    </w:p>
    <w:p w:rsidR="00FA1FE1" w:rsidRPr="00CE13C6" w:rsidRDefault="00FA1FE1" w:rsidP="00FA1FE1">
      <w:pPr>
        <w:pStyle w:val="Heading4"/>
        <w:spacing w:after="240"/>
        <w:rPr>
          <w:rFonts w:eastAsia="Times New Roman"/>
          <w:color w:val="410082" w:themeColor="text1"/>
          <w:lang w:eastAsia="de-DE"/>
        </w:rPr>
      </w:pPr>
      <w:r w:rsidRPr="00CE13C6">
        <w:rPr>
          <w:rFonts w:eastAsia="Times New Roman"/>
          <w:color w:val="410082" w:themeColor="text1"/>
          <w:lang w:eastAsia="de-DE"/>
        </w:rPr>
        <w:t>Informality and institutions are a challenge</w:t>
      </w:r>
    </w:p>
    <w:p w:rsidR="00FA1FE1" w:rsidRDefault="00FA1FE1" w:rsidP="00FA1FE1">
      <w:r w:rsidRPr="000749A9">
        <w:rPr>
          <w:rFonts w:ascii="Calibri" w:eastAsia="Times New Roman" w:hAnsi="Calibri" w:cs="Calibri"/>
          <w:b/>
          <w:lang w:eastAsia="de-DE"/>
        </w:rPr>
        <w:t>Afghanistan’s economy is dominated by the informal sector</w:t>
      </w:r>
      <w:r>
        <w:rPr>
          <w:rFonts w:ascii="Calibri" w:eastAsia="Times New Roman" w:hAnsi="Calibri" w:cs="Calibri"/>
          <w:b/>
          <w:lang w:eastAsia="de-DE"/>
        </w:rPr>
        <w:t xml:space="preserve">. </w:t>
      </w:r>
      <w:r w:rsidRPr="000749A9">
        <w:rPr>
          <w:rFonts w:ascii="Calibri" w:eastAsia="Times New Roman" w:hAnsi="Calibri" w:cs="Calibri"/>
          <w:lang w:eastAsia="de-DE"/>
        </w:rPr>
        <w:t>The informal economy, accounts for some 80-90</w:t>
      </w:r>
      <w:r>
        <w:rPr>
          <w:rFonts w:ascii="Calibri" w:eastAsia="Times New Roman" w:hAnsi="Calibri" w:cs="Calibri"/>
          <w:lang w:eastAsia="de-DE"/>
        </w:rPr>
        <w:t xml:space="preserve"> percent</w:t>
      </w:r>
      <w:r w:rsidRPr="000749A9">
        <w:rPr>
          <w:rFonts w:ascii="Calibri" w:eastAsia="Times New Roman" w:hAnsi="Calibri" w:cs="Calibri"/>
          <w:lang w:eastAsia="de-DE"/>
        </w:rPr>
        <w:t xml:space="preserve"> of the</w:t>
      </w:r>
      <w:r>
        <w:rPr>
          <w:rFonts w:ascii="Calibri" w:eastAsia="Times New Roman" w:hAnsi="Calibri" w:cs="Calibri"/>
          <w:lang w:eastAsia="de-DE"/>
        </w:rPr>
        <w:t xml:space="preserve"> total economy (including the drugs trade). </w:t>
      </w:r>
      <w:r w:rsidRPr="000749A9">
        <w:rPr>
          <w:rFonts w:ascii="Calibri" w:eastAsia="Times New Roman" w:hAnsi="Calibri" w:cs="Calibri"/>
          <w:lang w:eastAsia="de-DE"/>
        </w:rPr>
        <w:t>It is flexible in responding to shocks and short-term opportunities</w:t>
      </w:r>
      <w:r>
        <w:rPr>
          <w:rFonts w:ascii="Calibri" w:eastAsia="Times New Roman" w:hAnsi="Calibri" w:cs="Calibri"/>
          <w:lang w:eastAsia="de-DE"/>
        </w:rPr>
        <w:t>, b</w:t>
      </w:r>
      <w:r w:rsidRPr="000749A9">
        <w:rPr>
          <w:rFonts w:ascii="Calibri" w:eastAsia="Times New Roman" w:hAnsi="Calibri" w:cs="Calibri"/>
          <w:lang w:eastAsia="de-DE"/>
        </w:rPr>
        <w:t xml:space="preserve">ut </w:t>
      </w:r>
      <w:r>
        <w:rPr>
          <w:rFonts w:ascii="Calibri" w:eastAsia="Times New Roman" w:hAnsi="Calibri" w:cs="Calibri"/>
          <w:lang w:eastAsia="de-DE"/>
        </w:rPr>
        <w:t xml:space="preserve">reflects the state of conflict. Political and social uncertainties, </w:t>
      </w:r>
      <w:r w:rsidRPr="000749A9">
        <w:rPr>
          <w:rFonts w:ascii="Calibri" w:eastAsia="Times New Roman" w:hAnsi="Calibri" w:cs="Calibri"/>
          <w:lang w:eastAsia="de-DE"/>
        </w:rPr>
        <w:t xml:space="preserve">erosion of rule of law, and lack of public services, </w:t>
      </w:r>
      <w:r>
        <w:rPr>
          <w:rFonts w:ascii="Calibri" w:eastAsia="Times New Roman" w:hAnsi="Calibri" w:cs="Calibri"/>
          <w:lang w:eastAsia="de-DE"/>
        </w:rPr>
        <w:t xml:space="preserve">have kept entrepreneurship </w:t>
      </w:r>
      <w:r w:rsidRPr="000749A9">
        <w:rPr>
          <w:rFonts w:ascii="Calibri" w:eastAsia="Times New Roman" w:hAnsi="Calibri" w:cs="Calibri"/>
          <w:lang w:eastAsia="de-DE"/>
        </w:rPr>
        <w:t xml:space="preserve">informal, </w:t>
      </w:r>
      <w:r>
        <w:rPr>
          <w:rFonts w:ascii="Calibri" w:eastAsia="Times New Roman" w:hAnsi="Calibri" w:cs="Calibri"/>
          <w:lang w:eastAsia="de-DE"/>
        </w:rPr>
        <w:t xml:space="preserve">and </w:t>
      </w:r>
      <w:r w:rsidRPr="000749A9">
        <w:rPr>
          <w:rFonts w:ascii="Calibri" w:eastAsia="Times New Roman" w:hAnsi="Calibri" w:cs="Calibri"/>
          <w:lang w:eastAsia="de-DE"/>
        </w:rPr>
        <w:t>relatively small</w:t>
      </w:r>
      <w:r>
        <w:rPr>
          <w:rFonts w:ascii="Calibri" w:eastAsia="Times New Roman" w:hAnsi="Calibri" w:cs="Calibri"/>
          <w:lang w:eastAsia="de-DE"/>
        </w:rPr>
        <w:t xml:space="preserve">. </w:t>
      </w:r>
      <w:r w:rsidRPr="00E90724">
        <w:t xml:space="preserve">The informal sector can be a constraint on long-term growth, because informal businesses tend not to expand in size, </w:t>
      </w:r>
      <w:r>
        <w:t>but</w:t>
      </w:r>
      <w:r w:rsidRPr="00E90724">
        <w:t xml:space="preserve"> </w:t>
      </w:r>
      <w:r>
        <w:t xml:space="preserve">they do </w:t>
      </w:r>
      <w:r w:rsidRPr="00E90724">
        <w:t>not invest in technology, and face difficulties breaking into export markets.</w:t>
      </w:r>
      <w:r>
        <w:t xml:space="preserve">  The system also </w:t>
      </w:r>
      <w:r w:rsidRPr="000749A9">
        <w:rPr>
          <w:rFonts w:ascii="Calibri" w:eastAsia="Times New Roman" w:hAnsi="Calibri" w:cs="Calibri"/>
          <w:lang w:eastAsia="de-DE"/>
        </w:rPr>
        <w:t xml:space="preserve">hinders revenue mobilization, state building, </w:t>
      </w:r>
      <w:r>
        <w:rPr>
          <w:rFonts w:ascii="Calibri" w:eastAsia="Times New Roman" w:hAnsi="Calibri" w:cs="Calibri"/>
          <w:lang w:eastAsia="de-DE"/>
        </w:rPr>
        <w:t xml:space="preserve">and </w:t>
      </w:r>
      <w:r w:rsidRPr="002E0C68">
        <w:rPr>
          <w:rFonts w:ascii="Calibri" w:eastAsia="Times New Roman" w:hAnsi="Calibri" w:cs="Calibri"/>
          <w:lang w:eastAsia="de-DE"/>
        </w:rPr>
        <w:t xml:space="preserve">security. </w:t>
      </w:r>
      <w:r w:rsidRPr="002E0C68">
        <w:t xml:space="preserve">In this sense, coping with such high levels of informality </w:t>
      </w:r>
      <w:r>
        <w:t>is</w:t>
      </w:r>
      <w:r w:rsidRPr="002E0C68">
        <w:t xml:space="preserve"> a challenge for Afghanistan</w:t>
      </w:r>
      <w:r>
        <w:t>.</w:t>
      </w:r>
      <w:r w:rsidRPr="002E0C68">
        <w:t xml:space="preserve">  </w:t>
      </w:r>
    </w:p>
    <w:p w:rsidR="00FA1FE1" w:rsidRDefault="00FA1FE1" w:rsidP="00FA1FE1">
      <w:pPr>
        <w:pStyle w:val="ListParagraph"/>
        <w:autoSpaceDE w:val="0"/>
        <w:autoSpaceDN w:val="0"/>
        <w:adjustRightInd w:val="0"/>
        <w:spacing w:after="0" w:line="240" w:lineRule="auto"/>
        <w:ind w:left="0"/>
        <w:jc w:val="center"/>
        <w:rPr>
          <w:rFonts w:cstheme="minorHAnsi"/>
          <w:b/>
          <w:color w:val="410082" w:themeColor="text1"/>
        </w:rPr>
      </w:pPr>
      <w:r w:rsidRPr="00CE13C6">
        <w:rPr>
          <w:rFonts w:cstheme="minorHAnsi"/>
          <w:b/>
          <w:color w:val="410082" w:themeColor="text1"/>
        </w:rPr>
        <w:t>Figure 5.4: The Informal Economy by Sector</w:t>
      </w:r>
      <w:r>
        <w:rPr>
          <w:rFonts w:cstheme="minorHAnsi"/>
          <w:b/>
          <w:color w:val="410082" w:themeColor="text1"/>
        </w:rPr>
        <w:t>, Share of GDP</w:t>
      </w:r>
    </w:p>
    <w:p w:rsidR="00FA1FE1" w:rsidRDefault="00FA1FE1" w:rsidP="00FA1FE1">
      <w:pPr>
        <w:pStyle w:val="ListParagraph"/>
        <w:autoSpaceDE w:val="0"/>
        <w:autoSpaceDN w:val="0"/>
        <w:adjustRightInd w:val="0"/>
        <w:spacing w:after="0" w:line="240" w:lineRule="auto"/>
        <w:ind w:left="0"/>
        <w:jc w:val="center"/>
        <w:rPr>
          <w:rFonts w:cstheme="minorHAnsi"/>
          <w:b/>
          <w:color w:val="410082" w:themeColor="text1"/>
        </w:rPr>
      </w:pPr>
      <w:r>
        <w:rPr>
          <w:noProof/>
          <w:lang w:bidi="ar-SA"/>
        </w:rPr>
        <w:drawing>
          <wp:inline distT="0" distB="0" distL="0" distR="0" wp14:anchorId="7E3DCE25" wp14:editId="241A55F5">
            <wp:extent cx="2690037" cy="1855786"/>
            <wp:effectExtent l="0" t="0" r="0" b="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693363" cy="1858080"/>
                    </a:xfrm>
                    <a:prstGeom prst="rect">
                      <a:avLst/>
                    </a:prstGeom>
                  </pic:spPr>
                </pic:pic>
              </a:graphicData>
            </a:graphic>
          </wp:inline>
        </w:drawing>
      </w:r>
    </w:p>
    <w:p w:rsidR="00263078" w:rsidRPr="00263078" w:rsidRDefault="00263078" w:rsidP="00263078">
      <w:pPr>
        <w:autoSpaceDE w:val="0"/>
        <w:autoSpaceDN w:val="0"/>
        <w:adjustRightInd w:val="0"/>
        <w:spacing w:after="0" w:line="240" w:lineRule="auto"/>
        <w:ind w:left="720" w:firstLine="720"/>
        <w:jc w:val="left"/>
        <w:rPr>
          <w:rFonts w:cstheme="minorHAnsi"/>
          <w:sz w:val="20"/>
        </w:rPr>
      </w:pPr>
      <w:r w:rsidRPr="00263078">
        <w:rPr>
          <w:rFonts w:cstheme="minorHAnsi"/>
          <w:sz w:val="20"/>
        </w:rPr>
        <w:t>Source:  World Bank 2005</w:t>
      </w:r>
    </w:p>
    <w:p w:rsidR="00FA1FE1" w:rsidRPr="00263078" w:rsidRDefault="00FA1FE1" w:rsidP="00263078">
      <w:pPr>
        <w:pStyle w:val="ListParagraph"/>
        <w:autoSpaceDE w:val="0"/>
        <w:autoSpaceDN w:val="0"/>
        <w:adjustRightInd w:val="0"/>
        <w:spacing w:after="0" w:line="240" w:lineRule="auto"/>
        <w:ind w:firstLine="720"/>
        <w:rPr>
          <w:rFonts w:cstheme="minorHAnsi"/>
          <w:sz w:val="20"/>
        </w:rPr>
      </w:pPr>
      <w:r w:rsidRPr="00263078">
        <w:rPr>
          <w:rFonts w:cstheme="minorHAnsi"/>
          <w:sz w:val="20"/>
        </w:rPr>
        <w:t>Note:  Shading refers to rough estimates of the scale of informality</w:t>
      </w:r>
    </w:p>
    <w:p w:rsidR="00FA1FE1" w:rsidRDefault="00FA1FE1" w:rsidP="00FA1FE1">
      <w:pPr>
        <w:autoSpaceDE w:val="0"/>
        <w:autoSpaceDN w:val="0"/>
        <w:adjustRightInd w:val="0"/>
        <w:spacing w:line="240" w:lineRule="auto"/>
        <w:contextualSpacing/>
        <w:jc w:val="center"/>
        <w:rPr>
          <w:rFonts w:ascii="Calibri" w:eastAsia="Times New Roman" w:hAnsi="Calibri" w:cs="Calibri"/>
          <w:b/>
          <w:lang w:eastAsia="de-DE"/>
        </w:rPr>
      </w:pPr>
    </w:p>
    <w:p w:rsidR="00FA1FE1" w:rsidRDefault="00FA1FE1" w:rsidP="00FA1FE1">
      <w:pPr>
        <w:rPr>
          <w:rFonts w:ascii="Calibri" w:eastAsia="Times New Roman" w:hAnsi="Calibri" w:cs="Calibri"/>
          <w:lang w:eastAsia="de-DE"/>
        </w:rPr>
      </w:pPr>
      <w:r w:rsidRPr="00B212FF">
        <w:rPr>
          <w:b/>
        </w:rPr>
        <w:t>The lack of rule of law is a constraint to private-sector development</w:t>
      </w:r>
      <w:r w:rsidRPr="00397805">
        <w:t xml:space="preserve">. In Afghanistan the lack of rule of law––the insecurity of contracts, lack of a legal framework impartially enforced, weak or absent formal justice system, </w:t>
      </w:r>
      <w:r>
        <w:t>weak</w:t>
      </w:r>
      <w:r w:rsidRPr="00397805">
        <w:t xml:space="preserve"> commercial courts, and</w:t>
      </w:r>
      <w:r>
        <w:t xml:space="preserve"> </w:t>
      </w:r>
      <w:r w:rsidRPr="00397805">
        <w:t xml:space="preserve">the lack of a functioning commercial insurance system–– makes private investment risky. This reinforces the adverse impact of security and puts great uncertainty on daily activities, </w:t>
      </w:r>
      <w:r>
        <w:t>such as</w:t>
      </w:r>
      <w:r w:rsidRPr="00397805">
        <w:t xml:space="preserve"> decisions over permits, investment licenses, tax laws and their application. </w:t>
      </w:r>
      <w:r>
        <w:rPr>
          <w:rFonts w:ascii="Calibri" w:eastAsia="Times New Roman" w:hAnsi="Calibri" w:cs="Calibri"/>
          <w:lang w:eastAsia="de-DE"/>
        </w:rPr>
        <w:t xml:space="preserve">Such institutional constraints erode the competitiveness of private activity and constrain firms from investing and growing. The underdeveloped justice system contributes to the informal nature of business activity.   </w:t>
      </w:r>
    </w:p>
    <w:p w:rsidR="00FA1FE1" w:rsidRDefault="00FA1FE1" w:rsidP="00FA1FE1">
      <w:pPr>
        <w:autoSpaceDE w:val="0"/>
        <w:autoSpaceDN w:val="0"/>
        <w:adjustRightInd w:val="0"/>
        <w:spacing w:after="0"/>
        <w:contextualSpacing/>
        <w:rPr>
          <w:rFonts w:ascii="Calibri" w:eastAsia="Times New Roman" w:hAnsi="Calibri" w:cs="Times New Roman"/>
          <w:lang w:eastAsia="de-DE"/>
        </w:rPr>
      </w:pPr>
      <w:r w:rsidRPr="00420B9B">
        <w:rPr>
          <w:rFonts w:ascii="Calibri" w:eastAsia="Times New Roman" w:hAnsi="Calibri" w:cs="Times New Roman"/>
          <w:b/>
          <w:lang w:eastAsia="de-DE"/>
        </w:rPr>
        <w:t xml:space="preserve">One of the greatest impediments to private investment is the difficulty </w:t>
      </w:r>
      <w:r>
        <w:rPr>
          <w:rFonts w:ascii="Calibri" w:eastAsia="Times New Roman" w:hAnsi="Calibri" w:cs="Times New Roman"/>
          <w:b/>
          <w:lang w:eastAsia="de-DE"/>
        </w:rPr>
        <w:t>in</w:t>
      </w:r>
      <w:r w:rsidRPr="00420B9B">
        <w:rPr>
          <w:rFonts w:ascii="Calibri" w:eastAsia="Times New Roman" w:hAnsi="Calibri" w:cs="Times New Roman"/>
          <w:b/>
          <w:lang w:eastAsia="de-DE"/>
        </w:rPr>
        <w:t xml:space="preserve"> access</w:t>
      </w:r>
      <w:r>
        <w:rPr>
          <w:rFonts w:ascii="Calibri" w:eastAsia="Times New Roman" w:hAnsi="Calibri" w:cs="Times New Roman"/>
          <w:b/>
          <w:lang w:eastAsia="de-DE"/>
        </w:rPr>
        <w:t>ing</w:t>
      </w:r>
      <w:r w:rsidRPr="00420B9B">
        <w:rPr>
          <w:rFonts w:ascii="Calibri" w:eastAsia="Times New Roman" w:hAnsi="Calibri" w:cs="Times New Roman"/>
          <w:b/>
          <w:lang w:eastAsia="de-DE"/>
        </w:rPr>
        <w:t xml:space="preserve"> land for commercial purposes</w:t>
      </w:r>
      <w:r w:rsidRPr="00B31A50">
        <w:rPr>
          <w:rFonts w:ascii="Calibri" w:eastAsia="Times New Roman" w:hAnsi="Calibri" w:cs="Times New Roman"/>
          <w:lang w:eastAsia="de-DE"/>
        </w:rPr>
        <w:t>. The process of transferring and registering land titles is cumbersome, time</w:t>
      </w:r>
      <w:r>
        <w:rPr>
          <w:rFonts w:ascii="Calibri" w:eastAsia="Times New Roman" w:hAnsi="Calibri" w:cs="Times New Roman"/>
          <w:lang w:eastAsia="de-DE"/>
        </w:rPr>
        <w:t>-</w:t>
      </w:r>
      <w:r w:rsidRPr="00B31A50">
        <w:rPr>
          <w:rFonts w:ascii="Calibri" w:eastAsia="Times New Roman" w:hAnsi="Calibri" w:cs="Times New Roman"/>
          <w:lang w:eastAsia="de-DE"/>
        </w:rPr>
        <w:t>consuming and costly.</w:t>
      </w:r>
      <w:r>
        <w:rPr>
          <w:rFonts w:ascii="Calibri" w:eastAsia="Times New Roman" w:hAnsi="Calibri" w:cs="Times New Roman"/>
          <w:lang w:eastAsia="de-DE"/>
        </w:rPr>
        <w:t xml:space="preserve"> </w:t>
      </w:r>
      <w:r w:rsidRPr="00420B9B">
        <w:rPr>
          <w:rFonts w:ascii="Calibri" w:eastAsia="Times New Roman" w:hAnsi="Calibri" w:cs="Times New Roman"/>
          <w:lang w:eastAsia="de-DE"/>
        </w:rPr>
        <w:t>Property and land rights are unclear and enforcement mechanisms weak.  Almost half of Kabul’s residents are under threat of eviction or relocation</w:t>
      </w:r>
      <w:r>
        <w:rPr>
          <w:rFonts w:ascii="Calibri" w:eastAsia="Times New Roman" w:hAnsi="Calibri" w:cs="Times New Roman"/>
          <w:lang w:eastAsia="de-DE"/>
        </w:rPr>
        <w:t xml:space="preserve">; with such uncertainty, agents cannot use land as collateral for credit. Uncertainty of property rights has reduced </w:t>
      </w:r>
      <w:r w:rsidRPr="00420B9B">
        <w:rPr>
          <w:rFonts w:ascii="Calibri" w:eastAsia="Times New Roman" w:hAnsi="Calibri" w:cs="Times New Roman"/>
          <w:lang w:eastAsia="de-DE"/>
        </w:rPr>
        <w:t xml:space="preserve">the amount of land </w:t>
      </w:r>
      <w:r>
        <w:rPr>
          <w:rFonts w:ascii="Calibri" w:eastAsia="Times New Roman" w:hAnsi="Calibri" w:cs="Times New Roman"/>
          <w:lang w:eastAsia="de-DE"/>
        </w:rPr>
        <w:t>in</w:t>
      </w:r>
      <w:r w:rsidRPr="00420B9B">
        <w:rPr>
          <w:rFonts w:ascii="Calibri" w:eastAsia="Times New Roman" w:hAnsi="Calibri" w:cs="Times New Roman"/>
          <w:lang w:eastAsia="de-DE"/>
        </w:rPr>
        <w:t xml:space="preserve"> the market</w:t>
      </w:r>
      <w:r>
        <w:rPr>
          <w:rFonts w:ascii="Calibri" w:eastAsia="Times New Roman" w:hAnsi="Calibri" w:cs="Times New Roman"/>
          <w:lang w:eastAsia="de-DE"/>
        </w:rPr>
        <w:t>, which has become an issue in major urban centers such as Kabul, especially. R</w:t>
      </w:r>
      <w:r w:rsidRPr="00420B9B">
        <w:rPr>
          <w:rFonts w:ascii="Calibri" w:eastAsia="Times New Roman" w:hAnsi="Calibri" w:cs="Times New Roman"/>
          <w:lang w:eastAsia="de-DE"/>
        </w:rPr>
        <w:t>ural land tenure</w:t>
      </w:r>
      <w:r>
        <w:rPr>
          <w:rFonts w:ascii="Calibri" w:eastAsia="Times New Roman" w:hAnsi="Calibri" w:cs="Times New Roman"/>
          <w:lang w:eastAsia="de-DE"/>
        </w:rPr>
        <w:t>, too,</w:t>
      </w:r>
      <w:r w:rsidRPr="00420B9B">
        <w:rPr>
          <w:rFonts w:ascii="Calibri" w:eastAsia="Times New Roman" w:hAnsi="Calibri" w:cs="Times New Roman"/>
          <w:lang w:eastAsia="de-DE"/>
        </w:rPr>
        <w:t xml:space="preserve"> is subject to a vast</w:t>
      </w:r>
      <w:r>
        <w:rPr>
          <w:rFonts w:ascii="Calibri" w:eastAsia="Times New Roman" w:hAnsi="Calibri" w:cs="Times New Roman"/>
          <w:lang w:eastAsia="de-DE"/>
        </w:rPr>
        <w:t>,</w:t>
      </w:r>
      <w:r w:rsidRPr="00420B9B">
        <w:rPr>
          <w:rFonts w:ascii="Calibri" w:eastAsia="Times New Roman" w:hAnsi="Calibri" w:cs="Times New Roman"/>
          <w:lang w:eastAsia="de-DE"/>
        </w:rPr>
        <w:t xml:space="preserve"> disaggregated regime of for</w:t>
      </w:r>
      <w:r>
        <w:rPr>
          <w:rFonts w:ascii="Calibri" w:eastAsia="Times New Roman" w:hAnsi="Calibri" w:cs="Times New Roman"/>
          <w:lang w:eastAsia="de-DE"/>
        </w:rPr>
        <w:t>mal and informal mechanisms, hampering the</w:t>
      </w:r>
      <w:r w:rsidRPr="00420B9B">
        <w:rPr>
          <w:rFonts w:ascii="Calibri" w:eastAsia="Times New Roman" w:hAnsi="Calibri" w:cs="Times New Roman"/>
          <w:lang w:eastAsia="de-DE"/>
        </w:rPr>
        <w:t xml:space="preserve"> setting up </w:t>
      </w:r>
      <w:r>
        <w:rPr>
          <w:rFonts w:ascii="Calibri" w:eastAsia="Times New Roman" w:hAnsi="Calibri" w:cs="Times New Roman"/>
          <w:lang w:eastAsia="de-DE"/>
        </w:rPr>
        <w:t>of</w:t>
      </w:r>
      <w:r w:rsidRPr="00420B9B">
        <w:rPr>
          <w:rFonts w:ascii="Calibri" w:eastAsia="Times New Roman" w:hAnsi="Calibri" w:cs="Times New Roman"/>
          <w:lang w:eastAsia="de-DE"/>
        </w:rPr>
        <w:t xml:space="preserve"> business</w:t>
      </w:r>
      <w:r>
        <w:rPr>
          <w:rFonts w:ascii="Calibri" w:eastAsia="Times New Roman" w:hAnsi="Calibri" w:cs="Times New Roman"/>
          <w:lang w:eastAsia="de-DE"/>
        </w:rPr>
        <w:t>es</w:t>
      </w:r>
      <w:r w:rsidRPr="00420B9B">
        <w:rPr>
          <w:rFonts w:ascii="Calibri" w:eastAsia="Times New Roman" w:hAnsi="Calibri" w:cs="Times New Roman"/>
          <w:lang w:eastAsia="de-DE"/>
        </w:rPr>
        <w:t xml:space="preserve">. </w:t>
      </w:r>
    </w:p>
    <w:p w:rsidR="00FA1FE1" w:rsidRPr="003520D2" w:rsidRDefault="00FA1FE1" w:rsidP="00FA1FE1">
      <w:pPr>
        <w:autoSpaceDE w:val="0"/>
        <w:autoSpaceDN w:val="0"/>
        <w:adjustRightInd w:val="0"/>
        <w:spacing w:after="0"/>
        <w:contextualSpacing/>
        <w:rPr>
          <w:rFonts w:ascii="Calibri" w:eastAsia="Times New Roman" w:hAnsi="Calibri" w:cs="Calibri"/>
          <w:lang w:eastAsia="de-DE"/>
        </w:rPr>
      </w:pPr>
    </w:p>
    <w:p w:rsidR="00FA1FE1" w:rsidRDefault="00FA1FE1" w:rsidP="00FA1FE1">
      <w:r w:rsidRPr="007F395B">
        <w:rPr>
          <w:b/>
        </w:rPr>
        <w:t xml:space="preserve">Limited </w:t>
      </w:r>
      <w:r>
        <w:rPr>
          <w:b/>
        </w:rPr>
        <w:t>access to</w:t>
      </w:r>
      <w:r w:rsidRPr="007F395B">
        <w:rPr>
          <w:b/>
        </w:rPr>
        <w:t xml:space="preserve"> credit and financing </w:t>
      </w:r>
      <w:r>
        <w:rPr>
          <w:b/>
        </w:rPr>
        <w:t>constrains investment</w:t>
      </w:r>
      <w:r w:rsidRPr="007F395B">
        <w:rPr>
          <w:b/>
        </w:rPr>
        <w:t>.</w:t>
      </w:r>
      <w:r>
        <w:t xml:space="preserve"> T</w:t>
      </w:r>
      <w:r w:rsidRPr="007F395B">
        <w:t>he lack of bank support,</w:t>
      </w:r>
      <w:r>
        <w:t xml:space="preserve"> </w:t>
      </w:r>
      <w:r w:rsidRPr="007F395B">
        <w:t xml:space="preserve">particularly </w:t>
      </w:r>
      <w:r>
        <w:t>in</w:t>
      </w:r>
      <w:r w:rsidRPr="007F395B">
        <w:t xml:space="preserve"> longer-term investments and export financing</w:t>
      </w:r>
      <w:r>
        <w:t>, is</w:t>
      </w:r>
      <w:r w:rsidRPr="007F395B">
        <w:t xml:space="preserve"> a serious constraint. Only a few commercial banks are operating, many of which do not lend to private businesses at all, or only on a highly restricted basis </w:t>
      </w:r>
      <w:r>
        <w:t>with</w:t>
      </w:r>
      <w:r w:rsidRPr="007F395B">
        <w:t xml:space="preserve"> uncompetitive interest rates.</w:t>
      </w:r>
      <w:r w:rsidRPr="00F01862">
        <w:t xml:space="preserve"> Lack of external finance is one of the main constraints cited by business people. Afghanistan rank</w:t>
      </w:r>
      <w:r>
        <w:t>ed</w:t>
      </w:r>
      <w:r w:rsidRPr="00F01862">
        <w:t xml:space="preserve"> 122</w:t>
      </w:r>
      <w:r w:rsidRPr="0082379D">
        <w:rPr>
          <w:vertAlign w:val="superscript"/>
        </w:rPr>
        <w:t>nd</w:t>
      </w:r>
      <w:r w:rsidRPr="00F01862">
        <w:t xml:space="preserve"> out of 155 countries in the Doing Business rankings for </w:t>
      </w:r>
      <w:r>
        <w:t>access to</w:t>
      </w:r>
      <w:r w:rsidRPr="00F01862">
        <w:t xml:space="preserve"> credit. Access to finance is particularly limited in rural areas.</w:t>
      </w:r>
    </w:p>
    <w:p w:rsidR="00FA1FE1" w:rsidRDefault="00FA1FE1" w:rsidP="00FA1FE1">
      <w:pPr>
        <w:spacing w:before="240"/>
      </w:pPr>
      <w:r>
        <w:rPr>
          <w:b/>
        </w:rPr>
        <w:t>Supporting export growth requires closer examination of the challenges within sectors</w:t>
      </w:r>
      <w:r w:rsidRPr="00BE0E95">
        <w:rPr>
          <w:b/>
        </w:rPr>
        <w:t xml:space="preserve"> </w:t>
      </w:r>
      <w:r>
        <w:rPr>
          <w:b/>
        </w:rPr>
        <w:t xml:space="preserve">with great potential. </w:t>
      </w:r>
      <w:r>
        <w:t xml:space="preserve">This DTIS identifies three key sectors with important export potential: agriculture and agri-business development, gemstones, and carpets. The following section focuses on the challenges and opportunities for export-led growth within these areas. </w:t>
      </w:r>
    </w:p>
    <w:p w:rsidR="00FA1FE1" w:rsidRDefault="00FA1FE1" w:rsidP="00FA1FE1">
      <w:pPr>
        <w:pStyle w:val="Heading2"/>
        <w:spacing w:before="240"/>
        <w:rPr>
          <w:rFonts w:eastAsia="Times New Roman"/>
          <w:lang w:eastAsia="de-DE"/>
        </w:rPr>
      </w:pPr>
      <w:bookmarkStart w:id="242" w:name="_Toc327208479"/>
      <w:bookmarkStart w:id="243" w:name="_Toc348451694"/>
      <w:r>
        <w:rPr>
          <w:rFonts w:eastAsia="Times New Roman"/>
          <w:lang w:eastAsia="de-DE"/>
        </w:rPr>
        <w:t>Case Studies:  O</w:t>
      </w:r>
      <w:r w:rsidRPr="005657C8">
        <w:rPr>
          <w:rFonts w:eastAsia="Times New Roman"/>
          <w:lang w:eastAsia="de-DE"/>
        </w:rPr>
        <w:t>pportunities</w:t>
      </w:r>
      <w:r>
        <w:rPr>
          <w:rFonts w:eastAsia="Times New Roman"/>
          <w:lang w:eastAsia="de-DE"/>
        </w:rPr>
        <w:t xml:space="preserve"> for Export Growth in Key Sectors</w:t>
      </w:r>
      <w:bookmarkEnd w:id="242"/>
      <w:bookmarkEnd w:id="243"/>
    </w:p>
    <w:p w:rsidR="00FA1FE1" w:rsidRPr="00157B67" w:rsidRDefault="00FA1FE1" w:rsidP="00FA1FE1">
      <w:pPr>
        <w:spacing w:before="240" w:after="0"/>
        <w:rPr>
          <w:rFonts w:ascii="Calibri" w:eastAsia="Times New Roman" w:hAnsi="Calibri" w:cs="Calibri"/>
          <w:iCs/>
          <w:color w:val="000000"/>
          <w:lang w:val="en-IE" w:eastAsia="de-DE"/>
        </w:rPr>
      </w:pPr>
      <w:r w:rsidRPr="00157B67">
        <w:rPr>
          <w:rFonts w:ascii="Calibri" w:eastAsia="Times New Roman" w:hAnsi="Calibri" w:cs="Calibri"/>
          <w:b/>
          <w:iCs/>
          <w:color w:val="000000"/>
          <w:lang w:val="en-IE" w:eastAsia="de-DE"/>
        </w:rPr>
        <w:t xml:space="preserve">Afghanistan is internationally competitive in </w:t>
      </w:r>
      <w:r>
        <w:rPr>
          <w:rFonts w:ascii="Calibri" w:eastAsia="Times New Roman" w:hAnsi="Calibri" w:cs="Calibri"/>
          <w:b/>
          <w:iCs/>
          <w:color w:val="000000"/>
          <w:lang w:val="en-IE" w:eastAsia="de-DE"/>
        </w:rPr>
        <w:t>several exporting</w:t>
      </w:r>
      <w:r w:rsidRPr="00157B67">
        <w:rPr>
          <w:rFonts w:ascii="Calibri" w:eastAsia="Times New Roman" w:hAnsi="Calibri" w:cs="Calibri"/>
          <w:b/>
          <w:iCs/>
          <w:color w:val="000000"/>
          <w:lang w:val="en-IE" w:eastAsia="de-DE"/>
        </w:rPr>
        <w:t xml:space="preserve"> sectors and could successfully move up the value chain in others. </w:t>
      </w:r>
      <w:r>
        <w:rPr>
          <w:rFonts w:ascii="Calibri" w:eastAsia="Times New Roman" w:hAnsi="Calibri" w:cs="Calibri"/>
          <w:iCs/>
          <w:color w:val="000000"/>
          <w:lang w:val="en-IE" w:eastAsia="de-DE"/>
        </w:rPr>
        <w:t>V</w:t>
      </w:r>
      <w:r w:rsidRPr="00157B67">
        <w:rPr>
          <w:rFonts w:ascii="Calibri" w:eastAsia="Times New Roman" w:hAnsi="Calibri" w:cs="Calibri"/>
          <w:iCs/>
          <w:color w:val="000000"/>
          <w:lang w:val="en-IE" w:eastAsia="de-DE"/>
        </w:rPr>
        <w:t xml:space="preserve">alue chain analysis </w:t>
      </w:r>
      <w:r>
        <w:rPr>
          <w:rFonts w:ascii="Calibri" w:eastAsia="Times New Roman" w:hAnsi="Calibri" w:cs="Calibri"/>
          <w:iCs/>
          <w:color w:val="000000"/>
          <w:lang w:val="en-IE" w:eastAsia="de-DE"/>
        </w:rPr>
        <w:t xml:space="preserve">and sectoral reviews </w:t>
      </w:r>
      <w:r w:rsidRPr="00157B67">
        <w:rPr>
          <w:rFonts w:ascii="Calibri" w:eastAsia="Times New Roman" w:hAnsi="Calibri" w:cs="Calibri"/>
          <w:iCs/>
          <w:color w:val="000000"/>
          <w:lang w:val="en-IE" w:eastAsia="de-DE"/>
        </w:rPr>
        <w:t>suggest</w:t>
      </w:r>
      <w:r>
        <w:rPr>
          <w:rFonts w:ascii="Calibri" w:eastAsia="Times New Roman" w:hAnsi="Calibri" w:cs="Calibri"/>
          <w:iCs/>
          <w:color w:val="000000"/>
          <w:lang w:val="en-IE" w:eastAsia="de-DE"/>
        </w:rPr>
        <w:t xml:space="preserve"> that the country</w:t>
      </w:r>
      <w:r w:rsidRPr="00157B67">
        <w:rPr>
          <w:rFonts w:ascii="Calibri" w:eastAsia="Times New Roman" w:hAnsi="Calibri" w:cs="Calibri"/>
          <w:iCs/>
          <w:color w:val="000000"/>
          <w:lang w:val="en-IE" w:eastAsia="de-DE"/>
        </w:rPr>
        <w:t xml:space="preserve"> has </w:t>
      </w:r>
      <w:r>
        <w:rPr>
          <w:rFonts w:ascii="Calibri" w:eastAsia="Times New Roman" w:hAnsi="Calibri" w:cs="Calibri"/>
          <w:iCs/>
          <w:color w:val="000000"/>
          <w:lang w:val="en-IE" w:eastAsia="de-DE"/>
        </w:rPr>
        <w:t xml:space="preserve">expansion </w:t>
      </w:r>
      <w:r w:rsidRPr="00157B67">
        <w:rPr>
          <w:rFonts w:ascii="Calibri" w:eastAsia="Times New Roman" w:hAnsi="Calibri" w:cs="Calibri"/>
          <w:iCs/>
          <w:color w:val="000000"/>
          <w:lang w:val="en-IE" w:eastAsia="de-DE"/>
        </w:rPr>
        <w:t xml:space="preserve">potential in </w:t>
      </w:r>
      <w:r>
        <w:rPr>
          <w:rFonts w:ascii="Calibri" w:eastAsia="Times New Roman" w:hAnsi="Calibri" w:cs="Calibri"/>
          <w:iCs/>
          <w:color w:val="000000"/>
          <w:lang w:val="en-IE" w:eastAsia="de-DE"/>
        </w:rPr>
        <w:t xml:space="preserve">agriculture &amp; agri-business through improved packaging and storage facilities, </w:t>
      </w:r>
      <w:r w:rsidRPr="00157B67">
        <w:rPr>
          <w:rFonts w:ascii="Calibri" w:eastAsia="Times New Roman" w:hAnsi="Calibri" w:cs="Calibri"/>
          <w:iCs/>
          <w:color w:val="000000"/>
          <w:lang w:val="en-IE" w:eastAsia="de-DE"/>
        </w:rPr>
        <w:t>the carpet sector through the development of a cut</w:t>
      </w:r>
      <w:r>
        <w:rPr>
          <w:rFonts w:ascii="Calibri" w:eastAsia="Times New Roman" w:hAnsi="Calibri" w:cs="Calibri"/>
          <w:iCs/>
          <w:color w:val="000000"/>
          <w:lang w:val="en-IE" w:eastAsia="de-DE"/>
        </w:rPr>
        <w:t>-</w:t>
      </w:r>
      <w:r w:rsidRPr="00157B67">
        <w:rPr>
          <w:rFonts w:ascii="Calibri" w:eastAsia="Times New Roman" w:hAnsi="Calibri" w:cs="Calibri"/>
          <w:iCs/>
          <w:color w:val="000000"/>
          <w:lang w:val="en-IE" w:eastAsia="de-DE"/>
        </w:rPr>
        <w:t>and</w:t>
      </w:r>
      <w:r>
        <w:rPr>
          <w:rFonts w:ascii="Calibri" w:eastAsia="Times New Roman" w:hAnsi="Calibri" w:cs="Calibri"/>
          <w:iCs/>
          <w:color w:val="000000"/>
          <w:lang w:val="en-IE" w:eastAsia="de-DE"/>
        </w:rPr>
        <w:t>-</w:t>
      </w:r>
      <w:r w:rsidRPr="00157B67">
        <w:rPr>
          <w:rFonts w:ascii="Calibri" w:eastAsia="Times New Roman" w:hAnsi="Calibri" w:cs="Calibri"/>
          <w:iCs/>
          <w:color w:val="000000"/>
          <w:lang w:val="en-IE" w:eastAsia="de-DE"/>
        </w:rPr>
        <w:t>wash industry,</w:t>
      </w:r>
      <w:r>
        <w:rPr>
          <w:rFonts w:ascii="Calibri" w:eastAsia="Times New Roman" w:hAnsi="Calibri" w:cs="Calibri"/>
          <w:iCs/>
          <w:color w:val="000000"/>
          <w:lang w:val="en-IE" w:eastAsia="de-DE"/>
        </w:rPr>
        <w:t xml:space="preserve"> </w:t>
      </w:r>
      <w:r w:rsidRPr="00157B67">
        <w:rPr>
          <w:rFonts w:ascii="Calibri" w:eastAsia="Times New Roman" w:hAnsi="Calibri" w:cs="Calibri"/>
          <w:iCs/>
          <w:color w:val="000000"/>
          <w:lang w:val="en-IE" w:eastAsia="de-DE"/>
        </w:rPr>
        <w:t>gemstones through the development of cutting and polishing services</w:t>
      </w:r>
      <w:r>
        <w:rPr>
          <w:rFonts w:ascii="Calibri" w:eastAsia="Times New Roman" w:hAnsi="Calibri" w:cs="Calibri"/>
          <w:iCs/>
          <w:color w:val="000000"/>
          <w:lang w:val="en-IE" w:eastAsia="de-DE"/>
        </w:rPr>
        <w:t>, and</w:t>
      </w:r>
      <w:r w:rsidRPr="00157B67">
        <w:rPr>
          <w:rFonts w:ascii="Calibri" w:eastAsia="Times New Roman" w:hAnsi="Calibri" w:cs="Calibri"/>
          <w:iCs/>
          <w:color w:val="000000"/>
          <w:lang w:val="en-IE" w:eastAsia="de-DE"/>
        </w:rPr>
        <w:t xml:space="preserve"> the marble sector, </w:t>
      </w:r>
      <w:r>
        <w:rPr>
          <w:rFonts w:ascii="Calibri" w:eastAsia="Times New Roman" w:hAnsi="Calibri" w:cs="Calibri"/>
          <w:iCs/>
          <w:color w:val="000000"/>
          <w:lang w:val="en-IE" w:eastAsia="de-DE"/>
        </w:rPr>
        <w:t>with</w:t>
      </w:r>
      <w:r w:rsidRPr="00157B67">
        <w:rPr>
          <w:rFonts w:ascii="Calibri" w:eastAsia="Times New Roman" w:hAnsi="Calibri" w:cs="Calibri"/>
          <w:iCs/>
          <w:color w:val="000000"/>
          <w:lang w:val="en-IE" w:eastAsia="de-DE"/>
        </w:rPr>
        <w:t xml:space="preserve"> great </w:t>
      </w:r>
      <w:r>
        <w:rPr>
          <w:rFonts w:ascii="Calibri" w:eastAsia="Times New Roman" w:hAnsi="Calibri" w:cs="Calibri"/>
          <w:iCs/>
          <w:color w:val="000000"/>
          <w:lang w:val="en-IE" w:eastAsia="de-DE"/>
        </w:rPr>
        <w:t xml:space="preserve">prospects for SME development.  </w:t>
      </w:r>
      <w:r w:rsidRPr="00157B67">
        <w:rPr>
          <w:rFonts w:ascii="Calibri" w:eastAsia="Times New Roman" w:hAnsi="Calibri" w:cs="Calibri"/>
          <w:iCs/>
          <w:color w:val="000000"/>
          <w:lang w:val="en-IE" w:eastAsia="de-DE"/>
        </w:rPr>
        <w:t>The construction sector, particularly building, also presents great potential</w:t>
      </w:r>
      <w:r>
        <w:rPr>
          <w:rFonts w:ascii="Calibri" w:eastAsia="Times New Roman" w:hAnsi="Calibri" w:cs="Calibri"/>
          <w:iCs/>
          <w:color w:val="000000"/>
          <w:lang w:val="en-IE" w:eastAsia="de-DE"/>
        </w:rPr>
        <w:t>, as</w:t>
      </w:r>
      <w:r w:rsidRPr="00157B67">
        <w:rPr>
          <w:rFonts w:ascii="Calibri" w:eastAsia="Times New Roman" w:hAnsi="Calibri" w:cs="Calibri"/>
          <w:iCs/>
          <w:color w:val="000000"/>
          <w:lang w:val="en-IE" w:eastAsia="de-DE"/>
        </w:rPr>
        <w:t xml:space="preserve"> most of the brick and simple tools </w:t>
      </w:r>
      <w:r>
        <w:rPr>
          <w:rFonts w:ascii="Calibri" w:eastAsia="Times New Roman" w:hAnsi="Calibri" w:cs="Calibri"/>
          <w:iCs/>
          <w:color w:val="000000"/>
          <w:lang w:val="en-IE" w:eastAsia="de-DE"/>
        </w:rPr>
        <w:t>now</w:t>
      </w:r>
      <w:r w:rsidRPr="00157B67">
        <w:rPr>
          <w:rFonts w:ascii="Calibri" w:eastAsia="Times New Roman" w:hAnsi="Calibri" w:cs="Calibri"/>
          <w:iCs/>
          <w:color w:val="000000"/>
          <w:lang w:val="en-IE" w:eastAsia="de-DE"/>
        </w:rPr>
        <w:t xml:space="preserve"> imported </w:t>
      </w:r>
      <w:r>
        <w:rPr>
          <w:rFonts w:ascii="Calibri" w:eastAsia="Times New Roman" w:hAnsi="Calibri" w:cs="Calibri"/>
          <w:iCs/>
          <w:color w:val="000000"/>
          <w:lang w:val="en-IE" w:eastAsia="de-DE"/>
        </w:rPr>
        <w:t>could be manufactured domestically for less cost</w:t>
      </w:r>
      <w:r w:rsidRPr="00157B67">
        <w:rPr>
          <w:rFonts w:ascii="Calibri" w:eastAsia="Times New Roman" w:hAnsi="Calibri" w:cs="Calibri"/>
          <w:iCs/>
          <w:color w:val="000000"/>
          <w:lang w:val="en-IE" w:eastAsia="de-DE"/>
        </w:rPr>
        <w:t>.  This section explore</w:t>
      </w:r>
      <w:r>
        <w:rPr>
          <w:rFonts w:ascii="Calibri" w:eastAsia="Times New Roman" w:hAnsi="Calibri" w:cs="Calibri"/>
          <w:iCs/>
          <w:color w:val="000000"/>
          <w:lang w:val="en-IE" w:eastAsia="de-DE"/>
        </w:rPr>
        <w:t>s</w:t>
      </w:r>
      <w:r w:rsidRPr="00157B67">
        <w:rPr>
          <w:rFonts w:ascii="Calibri" w:eastAsia="Times New Roman" w:hAnsi="Calibri" w:cs="Calibri"/>
          <w:iCs/>
          <w:color w:val="000000"/>
          <w:lang w:val="en-IE" w:eastAsia="de-DE"/>
        </w:rPr>
        <w:t xml:space="preserve"> opportunities </w:t>
      </w:r>
      <w:r>
        <w:rPr>
          <w:rFonts w:ascii="Calibri" w:eastAsia="Times New Roman" w:hAnsi="Calibri" w:cs="Calibri"/>
          <w:iCs/>
          <w:color w:val="000000"/>
          <w:lang w:val="en-IE" w:eastAsia="de-DE"/>
        </w:rPr>
        <w:t>for</w:t>
      </w:r>
      <w:r w:rsidRPr="00157B67">
        <w:rPr>
          <w:rFonts w:ascii="Calibri" w:eastAsia="Times New Roman" w:hAnsi="Calibri" w:cs="Calibri"/>
          <w:iCs/>
          <w:color w:val="000000"/>
          <w:lang w:val="en-IE" w:eastAsia="de-DE"/>
        </w:rPr>
        <w:t xml:space="preserve"> promot</w:t>
      </w:r>
      <w:r>
        <w:rPr>
          <w:rFonts w:ascii="Calibri" w:eastAsia="Times New Roman" w:hAnsi="Calibri" w:cs="Calibri"/>
          <w:iCs/>
          <w:color w:val="000000"/>
          <w:lang w:val="en-IE" w:eastAsia="de-DE"/>
        </w:rPr>
        <w:t>ing</w:t>
      </w:r>
      <w:r w:rsidRPr="00157B67">
        <w:rPr>
          <w:rFonts w:ascii="Calibri" w:eastAsia="Times New Roman" w:hAnsi="Calibri" w:cs="Calibri"/>
          <w:iCs/>
          <w:color w:val="000000"/>
          <w:lang w:val="en-IE" w:eastAsia="de-DE"/>
        </w:rPr>
        <w:t xml:space="preserve"> </w:t>
      </w:r>
      <w:r>
        <w:rPr>
          <w:rFonts w:ascii="Calibri" w:eastAsia="Times New Roman" w:hAnsi="Calibri" w:cs="Calibri"/>
          <w:iCs/>
          <w:color w:val="000000"/>
          <w:lang w:val="en-IE" w:eastAsia="de-DE"/>
        </w:rPr>
        <w:t>(i) agriculture, (</w:t>
      </w:r>
      <w:r w:rsidRPr="00157B67">
        <w:rPr>
          <w:rFonts w:ascii="Calibri" w:eastAsia="Times New Roman" w:hAnsi="Calibri" w:cs="Calibri"/>
          <w:iCs/>
          <w:color w:val="000000"/>
          <w:lang w:val="en-IE" w:eastAsia="de-DE"/>
        </w:rPr>
        <w:t>ii) gemstones</w:t>
      </w:r>
      <w:r>
        <w:rPr>
          <w:rFonts w:ascii="Calibri" w:eastAsia="Times New Roman" w:hAnsi="Calibri" w:cs="Calibri"/>
          <w:iCs/>
          <w:color w:val="000000"/>
          <w:lang w:val="en-IE" w:eastAsia="de-DE"/>
        </w:rPr>
        <w:t>, and (iii) carpets</w:t>
      </w:r>
      <w:r w:rsidRPr="00157B67">
        <w:rPr>
          <w:rFonts w:ascii="Calibri" w:eastAsia="Times New Roman" w:hAnsi="Calibri" w:cs="Calibri"/>
          <w:iCs/>
          <w:color w:val="000000"/>
          <w:lang w:val="en-IE" w:eastAsia="de-DE"/>
        </w:rPr>
        <w:t xml:space="preserve">. </w:t>
      </w:r>
    </w:p>
    <w:p w:rsidR="00FA1FE1" w:rsidRDefault="00FA1FE1" w:rsidP="00FA1FE1">
      <w:pPr>
        <w:spacing w:after="0" w:line="240" w:lineRule="auto"/>
        <w:rPr>
          <w:rFonts w:ascii="Calibri" w:eastAsia="Times New Roman" w:hAnsi="Calibri" w:cs="Calibri"/>
          <w:b/>
          <w:bCs/>
          <w:color w:val="410082" w:themeColor="text1"/>
          <w:lang w:eastAsia="de-DE"/>
        </w:rPr>
      </w:pPr>
      <w:bookmarkStart w:id="244" w:name="_Toc268773377"/>
    </w:p>
    <w:p w:rsidR="00FA1FE1" w:rsidRPr="0082379D" w:rsidRDefault="00FA1FE1" w:rsidP="00FA1FE1">
      <w:pPr>
        <w:spacing w:after="0" w:line="240" w:lineRule="auto"/>
        <w:jc w:val="center"/>
        <w:rPr>
          <w:rFonts w:ascii="Calibri" w:eastAsia="Times New Roman" w:hAnsi="Calibri" w:cs="Calibri"/>
          <w:b/>
          <w:bCs/>
          <w:color w:val="410082" w:themeColor="text1"/>
          <w:lang w:eastAsia="de-DE"/>
        </w:rPr>
      </w:pPr>
      <w:r w:rsidRPr="0082379D">
        <w:rPr>
          <w:rFonts w:ascii="Calibri" w:eastAsia="Times New Roman" w:hAnsi="Calibri" w:cs="Calibri"/>
          <w:b/>
          <w:bCs/>
          <w:color w:val="410082" w:themeColor="text1"/>
          <w:lang w:eastAsia="de-DE"/>
        </w:rPr>
        <w:t>Figure 5.5: Value</w:t>
      </w:r>
      <w:r>
        <w:rPr>
          <w:rFonts w:ascii="Calibri" w:eastAsia="Times New Roman" w:hAnsi="Calibri" w:cs="Calibri"/>
          <w:b/>
          <w:bCs/>
          <w:color w:val="410082" w:themeColor="text1"/>
          <w:lang w:eastAsia="de-DE"/>
        </w:rPr>
        <w:t>-</w:t>
      </w:r>
      <w:r w:rsidRPr="0082379D">
        <w:rPr>
          <w:rFonts w:ascii="Calibri" w:eastAsia="Times New Roman" w:hAnsi="Calibri" w:cs="Calibri"/>
          <w:b/>
          <w:bCs/>
          <w:color w:val="410082" w:themeColor="text1"/>
          <w:lang w:eastAsia="de-DE"/>
        </w:rPr>
        <w:t>Chain Opportunities Across Key Sectors</w:t>
      </w:r>
      <w:bookmarkEnd w:id="244"/>
    </w:p>
    <w:p w:rsidR="00FA1FE1" w:rsidRPr="00157B67" w:rsidRDefault="00FA1FE1" w:rsidP="00FA1FE1">
      <w:pPr>
        <w:jc w:val="center"/>
      </w:pPr>
      <w:r w:rsidRPr="00157B67">
        <w:rPr>
          <w:noProof/>
          <w:lang w:bidi="ar-SA"/>
        </w:rPr>
        <w:drawing>
          <wp:inline distT="0" distB="0" distL="0" distR="0" wp14:anchorId="21605CDD" wp14:editId="08D7615B">
            <wp:extent cx="5041900" cy="2859405"/>
            <wp:effectExtent l="0" t="0" r="0" b="0"/>
            <wp:docPr id="177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1900" cy="2859405"/>
                    </a:xfrm>
                    <a:prstGeom prst="rect">
                      <a:avLst/>
                    </a:prstGeom>
                    <a:noFill/>
                  </pic:spPr>
                </pic:pic>
              </a:graphicData>
            </a:graphic>
          </wp:inline>
        </w:drawing>
      </w:r>
    </w:p>
    <w:p w:rsidR="00FA1FE1" w:rsidRPr="00157B67" w:rsidRDefault="00FA1FE1" w:rsidP="00FA1FE1">
      <w:r w:rsidRPr="00157B67">
        <w:rPr>
          <w:sz w:val="20"/>
        </w:rPr>
        <w:t>Source: SME Development Strategy</w:t>
      </w:r>
      <w:r>
        <w:rPr>
          <w:sz w:val="20"/>
        </w:rPr>
        <w:t>,</w:t>
      </w:r>
      <w:r w:rsidRPr="00157B67">
        <w:rPr>
          <w:sz w:val="20"/>
        </w:rPr>
        <w:t xml:space="preserve"> MOCI </w:t>
      </w:r>
    </w:p>
    <w:p w:rsidR="00FA1FE1" w:rsidRPr="00010C9A" w:rsidRDefault="00FA1FE1" w:rsidP="00FA1FE1">
      <w:pPr>
        <w:pStyle w:val="Heading3"/>
        <w:rPr>
          <w:rFonts w:eastAsia="Times New Roman"/>
          <w:sz w:val="24"/>
          <w:szCs w:val="24"/>
          <w:lang w:eastAsia="de-DE"/>
        </w:rPr>
      </w:pPr>
      <w:bookmarkStart w:id="245" w:name="_Toc327208480"/>
      <w:bookmarkStart w:id="246" w:name="_Toc348451695"/>
      <w:r w:rsidRPr="00010C9A">
        <w:rPr>
          <w:rFonts w:eastAsia="Times New Roman"/>
          <w:sz w:val="24"/>
          <w:szCs w:val="24"/>
          <w:lang w:eastAsia="de-DE"/>
        </w:rPr>
        <w:t>Agriculture and Agri-Business</w:t>
      </w:r>
      <w:bookmarkEnd w:id="245"/>
      <w:bookmarkEnd w:id="246"/>
    </w:p>
    <w:p w:rsidR="00FA1FE1" w:rsidRPr="00157B67" w:rsidRDefault="00FA1FE1" w:rsidP="00FA1FE1">
      <w:pPr>
        <w:autoSpaceDE w:val="0"/>
        <w:autoSpaceDN w:val="0"/>
        <w:adjustRightInd w:val="0"/>
        <w:spacing w:after="0"/>
        <w:rPr>
          <w:rFonts w:ascii="Calibri" w:eastAsia="Times New Roman" w:hAnsi="Calibri" w:cs="Calibri"/>
          <w:color w:val="FF0000"/>
          <w:lang w:eastAsia="de-DE"/>
        </w:rPr>
      </w:pPr>
      <w:r w:rsidRPr="00157B67">
        <w:rPr>
          <w:rFonts w:ascii="Calibri" w:eastAsia="Times New Roman" w:hAnsi="Calibri" w:cs="Calibri"/>
          <w:b/>
          <w:bCs/>
          <w:color w:val="000000"/>
          <w:lang w:eastAsia="de-DE"/>
        </w:rPr>
        <w:t xml:space="preserve">Agricultural products </w:t>
      </w:r>
      <w:r>
        <w:rPr>
          <w:rFonts w:ascii="Calibri" w:eastAsia="Times New Roman" w:hAnsi="Calibri" w:cs="Calibri"/>
          <w:b/>
          <w:bCs/>
          <w:color w:val="000000"/>
          <w:lang w:eastAsia="de-DE"/>
        </w:rPr>
        <w:t>are</w:t>
      </w:r>
      <w:r w:rsidRPr="00157B67">
        <w:rPr>
          <w:rFonts w:ascii="Calibri" w:eastAsia="Times New Roman" w:hAnsi="Calibri" w:cs="Calibri"/>
          <w:b/>
          <w:bCs/>
          <w:color w:val="000000"/>
          <w:lang w:eastAsia="de-DE"/>
        </w:rPr>
        <w:t xml:space="preserve"> the backbone of Afghanistan’s exports</w:t>
      </w:r>
      <w:r w:rsidRPr="00157B67">
        <w:rPr>
          <w:rFonts w:ascii="Calibri" w:eastAsia="Times New Roman" w:hAnsi="Calibri" w:cs="Calibri"/>
          <w:bCs/>
          <w:color w:val="000000"/>
          <w:lang w:eastAsia="de-DE"/>
        </w:rPr>
        <w:t xml:space="preserve">. </w:t>
      </w:r>
      <w:r>
        <w:rPr>
          <w:rFonts w:ascii="Calibri" w:eastAsia="Times New Roman" w:hAnsi="Calibri" w:cs="Calibri"/>
          <w:bCs/>
          <w:color w:val="000000"/>
          <w:lang w:eastAsia="de-DE"/>
        </w:rPr>
        <w:t>A</w:t>
      </w:r>
      <w:r w:rsidRPr="00157B67">
        <w:rPr>
          <w:rFonts w:ascii="Calibri" w:eastAsia="Times New Roman" w:hAnsi="Calibri" w:cs="Calibri"/>
          <w:color w:val="000000"/>
          <w:lang w:eastAsia="de-DE"/>
        </w:rPr>
        <w:t>griculture account</w:t>
      </w:r>
      <w:r>
        <w:rPr>
          <w:rFonts w:ascii="Calibri" w:eastAsia="Times New Roman" w:hAnsi="Calibri" w:cs="Calibri"/>
          <w:color w:val="000000"/>
          <w:lang w:eastAsia="de-DE"/>
        </w:rPr>
        <w:t>s</w:t>
      </w:r>
      <w:r w:rsidRPr="00157B67">
        <w:rPr>
          <w:rFonts w:ascii="Calibri" w:eastAsia="Times New Roman" w:hAnsi="Calibri" w:cs="Calibri"/>
          <w:color w:val="000000"/>
          <w:lang w:eastAsia="de-DE"/>
        </w:rPr>
        <w:t xml:space="preserve"> for </w:t>
      </w:r>
      <w:r>
        <w:rPr>
          <w:rFonts w:ascii="Calibri" w:eastAsia="Times New Roman" w:hAnsi="Calibri" w:cs="Calibri"/>
          <w:color w:val="000000"/>
          <w:lang w:eastAsia="de-DE"/>
        </w:rPr>
        <w:t>one-</w:t>
      </w:r>
      <w:r w:rsidRPr="00157B67">
        <w:rPr>
          <w:rFonts w:ascii="Calibri" w:eastAsia="Times New Roman" w:hAnsi="Calibri" w:cs="Calibri"/>
          <w:color w:val="000000"/>
          <w:lang w:eastAsia="de-DE"/>
        </w:rPr>
        <w:t xml:space="preserve">third of Afghanistan’s gross domestic product (GDP), </w:t>
      </w:r>
      <w:r>
        <w:rPr>
          <w:rFonts w:ascii="Calibri" w:eastAsia="Times New Roman" w:hAnsi="Calibri" w:cs="Calibri"/>
          <w:color w:val="000000"/>
          <w:lang w:eastAsia="de-DE"/>
        </w:rPr>
        <w:t>and</w:t>
      </w:r>
      <w:r>
        <w:rPr>
          <w:rFonts w:ascii="Calibri" w:eastAsia="Times New Roman" w:hAnsi="Calibri" w:cs="Calibri"/>
          <w:bCs/>
          <w:color w:val="000000"/>
          <w:lang w:eastAsia="de-DE"/>
        </w:rPr>
        <w:t xml:space="preserve"> about </w:t>
      </w:r>
      <w:r w:rsidRPr="00157B67">
        <w:rPr>
          <w:rFonts w:ascii="Calibri" w:eastAsia="Times New Roman" w:hAnsi="Calibri" w:cs="Calibri"/>
          <w:bCs/>
          <w:color w:val="000000"/>
          <w:lang w:eastAsia="de-DE"/>
        </w:rPr>
        <w:t>90</w:t>
      </w:r>
      <w:r>
        <w:rPr>
          <w:rFonts w:ascii="Calibri" w:eastAsia="Times New Roman" w:hAnsi="Calibri" w:cs="Calibri"/>
          <w:bCs/>
          <w:color w:val="000000"/>
          <w:lang w:eastAsia="de-DE"/>
        </w:rPr>
        <w:t xml:space="preserve"> percent</w:t>
      </w:r>
      <w:r w:rsidRPr="00157B67">
        <w:rPr>
          <w:rFonts w:ascii="Calibri" w:eastAsia="Times New Roman" w:hAnsi="Calibri" w:cs="Calibri"/>
          <w:bCs/>
          <w:color w:val="000000"/>
          <w:lang w:eastAsia="de-DE"/>
        </w:rPr>
        <w:t xml:space="preserve"> of </w:t>
      </w:r>
      <w:r>
        <w:rPr>
          <w:rFonts w:ascii="Calibri" w:eastAsia="Times New Roman" w:hAnsi="Calibri" w:cs="Calibri"/>
          <w:bCs/>
          <w:color w:val="000000"/>
          <w:lang w:eastAsia="de-DE"/>
        </w:rPr>
        <w:t>the country’s</w:t>
      </w:r>
      <w:r w:rsidRPr="00157B67">
        <w:rPr>
          <w:rFonts w:ascii="Calibri" w:eastAsia="Times New Roman" w:hAnsi="Calibri" w:cs="Calibri"/>
          <w:bCs/>
          <w:color w:val="000000"/>
          <w:lang w:eastAsia="de-DE"/>
        </w:rPr>
        <w:t xml:space="preserve"> licit</w:t>
      </w:r>
      <w:r>
        <w:rPr>
          <w:rFonts w:ascii="Calibri" w:eastAsia="Times New Roman" w:hAnsi="Calibri" w:cs="Calibri"/>
          <w:bCs/>
          <w:color w:val="000000"/>
          <w:lang w:eastAsia="de-DE"/>
        </w:rPr>
        <w:t xml:space="preserve"> </w:t>
      </w:r>
      <w:r w:rsidRPr="00157B67">
        <w:rPr>
          <w:rFonts w:ascii="Calibri" w:eastAsia="Times New Roman" w:hAnsi="Calibri" w:cs="Calibri"/>
          <w:bCs/>
          <w:color w:val="000000"/>
          <w:lang w:eastAsia="de-DE"/>
        </w:rPr>
        <w:t>exports</w:t>
      </w:r>
      <w:r>
        <w:rPr>
          <w:rFonts w:ascii="Calibri" w:eastAsia="Times New Roman" w:hAnsi="Calibri" w:cs="Calibri"/>
          <w:bCs/>
          <w:color w:val="000000"/>
          <w:lang w:eastAsia="de-DE"/>
        </w:rPr>
        <w:t>,</w:t>
      </w:r>
      <w:r w:rsidRPr="001D4141">
        <w:rPr>
          <w:rFonts w:ascii="Calibri" w:eastAsia="Times New Roman" w:hAnsi="Calibri" w:cs="Calibri"/>
          <w:bCs/>
          <w:sz w:val="20"/>
          <w:vertAlign w:val="superscript"/>
          <w:lang w:val="de-DE" w:eastAsia="de-DE"/>
        </w:rPr>
        <w:footnoteReference w:id="38"/>
      </w:r>
      <w:r w:rsidRPr="00157B67">
        <w:rPr>
          <w:rFonts w:ascii="Calibri" w:eastAsia="Times New Roman" w:hAnsi="Calibri" w:cs="Calibri"/>
          <w:bCs/>
          <w:color w:val="000000"/>
          <w:lang w:eastAsia="de-DE"/>
        </w:rPr>
        <w:t xml:space="preserve"> </w:t>
      </w:r>
      <w:r w:rsidRPr="00157B67">
        <w:rPr>
          <w:rFonts w:ascii="Calibri" w:eastAsia="Times New Roman" w:hAnsi="Calibri" w:cs="Calibri"/>
          <w:color w:val="000000"/>
          <w:lang w:eastAsia="en-GB"/>
        </w:rPr>
        <w:t>and employs a</w:t>
      </w:r>
      <w:r>
        <w:rPr>
          <w:rFonts w:ascii="Calibri" w:eastAsia="Times New Roman" w:hAnsi="Calibri" w:cs="Calibri"/>
          <w:color w:val="000000"/>
          <w:lang w:eastAsia="en-GB"/>
        </w:rPr>
        <w:t>bout</w:t>
      </w:r>
      <w:r w:rsidRPr="00157B67">
        <w:rPr>
          <w:rFonts w:ascii="Calibri" w:eastAsia="Times New Roman" w:hAnsi="Calibri" w:cs="Calibri"/>
          <w:color w:val="000000"/>
          <w:lang w:eastAsia="en-GB"/>
        </w:rPr>
        <w:t xml:space="preserve"> 80</w:t>
      </w:r>
      <w:r>
        <w:rPr>
          <w:rFonts w:ascii="Calibri" w:eastAsia="Times New Roman" w:hAnsi="Calibri" w:cs="Calibri"/>
          <w:color w:val="000000"/>
          <w:lang w:eastAsia="en-GB"/>
        </w:rPr>
        <w:t xml:space="preserve"> percent</w:t>
      </w:r>
      <w:r w:rsidRPr="00157B67">
        <w:rPr>
          <w:rFonts w:ascii="Calibri" w:eastAsia="Times New Roman" w:hAnsi="Calibri" w:cs="Calibri"/>
          <w:color w:val="000000"/>
          <w:lang w:eastAsia="en-GB"/>
        </w:rPr>
        <w:t xml:space="preserve"> of the country’s poor. </w:t>
      </w:r>
      <w:r w:rsidRPr="00157B67">
        <w:rPr>
          <w:rFonts w:ascii="Calibri" w:eastAsia="Times New Roman" w:hAnsi="Calibri" w:cs="Calibri"/>
          <w:color w:val="000000"/>
          <w:lang w:eastAsia="de-DE"/>
        </w:rPr>
        <w:t>Commercial agriculture in Afghanistan is dominated by horticulture and livestock, with product sales in domestic and export markets. Productivity and product quality standards have declined over the past five years</w:t>
      </w:r>
      <w:r>
        <w:rPr>
          <w:rFonts w:ascii="Calibri" w:eastAsia="Times New Roman" w:hAnsi="Calibri" w:cs="Calibri"/>
          <w:color w:val="000000"/>
          <w:lang w:eastAsia="de-DE"/>
        </w:rPr>
        <w:t>;</w:t>
      </w:r>
      <w:r w:rsidRPr="00157B67">
        <w:rPr>
          <w:rFonts w:ascii="Calibri" w:eastAsia="Times New Roman" w:hAnsi="Calibri" w:cs="Calibri"/>
          <w:color w:val="000000"/>
          <w:lang w:eastAsia="de-DE"/>
        </w:rPr>
        <w:t xml:space="preserve"> damaged irrigation systems and </w:t>
      </w:r>
      <w:r>
        <w:rPr>
          <w:rFonts w:ascii="Calibri" w:eastAsia="Times New Roman" w:hAnsi="Calibri" w:cs="Calibri"/>
          <w:color w:val="000000"/>
          <w:lang w:eastAsia="de-DE"/>
        </w:rPr>
        <w:t>inadequate</w:t>
      </w:r>
      <w:r w:rsidRPr="00157B67">
        <w:rPr>
          <w:rFonts w:ascii="Calibri" w:eastAsia="Times New Roman" w:hAnsi="Calibri" w:cs="Calibri"/>
          <w:color w:val="000000"/>
          <w:lang w:eastAsia="de-DE"/>
        </w:rPr>
        <w:t xml:space="preserve"> access to technical and market support are </w:t>
      </w:r>
      <w:r>
        <w:rPr>
          <w:rFonts w:ascii="Calibri" w:eastAsia="Times New Roman" w:hAnsi="Calibri" w:cs="Calibri"/>
          <w:color w:val="000000"/>
          <w:lang w:eastAsia="de-DE"/>
        </w:rPr>
        <w:t>estimated to account for</w:t>
      </w:r>
      <w:r w:rsidRPr="00157B67">
        <w:rPr>
          <w:rFonts w:ascii="Calibri" w:eastAsia="Times New Roman" w:hAnsi="Calibri" w:cs="Calibri"/>
          <w:color w:val="000000"/>
          <w:lang w:eastAsia="de-DE"/>
        </w:rPr>
        <w:t xml:space="preserve"> </w:t>
      </w:r>
      <w:r>
        <w:rPr>
          <w:rFonts w:ascii="Calibri" w:eastAsia="Times New Roman" w:hAnsi="Calibri" w:cs="Calibri"/>
          <w:color w:val="000000"/>
          <w:lang w:eastAsia="de-DE"/>
        </w:rPr>
        <w:t xml:space="preserve">some </w:t>
      </w:r>
      <w:r w:rsidRPr="00157B67">
        <w:rPr>
          <w:rFonts w:ascii="Calibri" w:eastAsia="Times New Roman" w:hAnsi="Calibri" w:cs="Calibri"/>
          <w:color w:val="000000"/>
          <w:lang w:eastAsia="de-DE"/>
        </w:rPr>
        <w:t>30</w:t>
      </w:r>
      <w:r>
        <w:rPr>
          <w:rFonts w:ascii="Calibri" w:eastAsia="Times New Roman" w:hAnsi="Calibri" w:cs="Calibri"/>
          <w:color w:val="000000"/>
          <w:lang w:eastAsia="de-DE"/>
        </w:rPr>
        <w:t>-</w:t>
      </w:r>
      <w:r w:rsidRPr="00157B67">
        <w:rPr>
          <w:rFonts w:ascii="Calibri" w:eastAsia="Times New Roman" w:hAnsi="Calibri" w:cs="Calibri"/>
          <w:color w:val="000000"/>
          <w:lang w:eastAsia="de-DE"/>
        </w:rPr>
        <w:t>40</w:t>
      </w:r>
      <w:r>
        <w:rPr>
          <w:rFonts w:ascii="Calibri" w:eastAsia="Times New Roman" w:hAnsi="Calibri" w:cs="Calibri"/>
          <w:color w:val="000000"/>
          <w:lang w:eastAsia="de-DE"/>
        </w:rPr>
        <w:t xml:space="preserve"> percent</w:t>
      </w:r>
      <w:r w:rsidRPr="00157B67">
        <w:rPr>
          <w:rFonts w:ascii="Calibri" w:eastAsia="Times New Roman" w:hAnsi="Calibri" w:cs="Calibri"/>
          <w:color w:val="000000"/>
          <w:lang w:eastAsia="de-DE"/>
        </w:rPr>
        <w:t xml:space="preserve"> of postharvest losses.</w:t>
      </w:r>
      <w:r w:rsidRPr="001D4141">
        <w:rPr>
          <w:rStyle w:val="FootnoteReference"/>
          <w:rFonts w:ascii="Calibri" w:eastAsia="Times New Roman" w:hAnsi="Calibri" w:cs="Calibri"/>
          <w:b/>
          <w:lang w:eastAsia="de-DE"/>
        </w:rPr>
        <w:footnoteReference w:id="39"/>
      </w:r>
      <w:r w:rsidRPr="00157B67">
        <w:rPr>
          <w:rFonts w:ascii="Calibri" w:eastAsia="Times New Roman" w:hAnsi="Calibri" w:cs="Calibri"/>
          <w:color w:val="000000"/>
          <w:lang w:eastAsia="de-DE"/>
        </w:rPr>
        <w:t xml:space="preserve">  </w:t>
      </w:r>
    </w:p>
    <w:p w:rsidR="00FA1FE1" w:rsidRPr="00157B67" w:rsidRDefault="00FA1FE1" w:rsidP="00FA1FE1">
      <w:pPr>
        <w:autoSpaceDE w:val="0"/>
        <w:autoSpaceDN w:val="0"/>
        <w:adjustRightInd w:val="0"/>
        <w:spacing w:after="0"/>
        <w:rPr>
          <w:rFonts w:ascii="Calibri" w:eastAsia="Times New Roman" w:hAnsi="Calibri" w:cs="Calibri"/>
          <w:color w:val="FF0000"/>
          <w:lang w:eastAsia="de-DE"/>
        </w:rPr>
      </w:pPr>
    </w:p>
    <w:p w:rsidR="00FA1FE1" w:rsidRPr="00157B67" w:rsidRDefault="00FA1FE1" w:rsidP="00FA1FE1">
      <w:pPr>
        <w:autoSpaceDE w:val="0"/>
        <w:autoSpaceDN w:val="0"/>
        <w:adjustRightInd w:val="0"/>
        <w:spacing w:after="0"/>
        <w:rPr>
          <w:rFonts w:eastAsia="Times New Roman" w:cs="Calibri"/>
          <w:lang w:eastAsia="de-DE"/>
        </w:rPr>
      </w:pPr>
      <w:r w:rsidRPr="00157B67">
        <w:rPr>
          <w:rFonts w:ascii="Calibri" w:eastAsia="Times New Roman" w:hAnsi="Calibri" w:cs="Calibri"/>
          <w:b/>
          <w:color w:val="000000"/>
          <w:lang w:eastAsia="de-DE"/>
        </w:rPr>
        <w:t>Agricultur</w:t>
      </w:r>
      <w:r>
        <w:rPr>
          <w:rFonts w:ascii="Calibri" w:eastAsia="Times New Roman" w:hAnsi="Calibri" w:cs="Calibri"/>
          <w:b/>
          <w:color w:val="000000"/>
          <w:lang w:eastAsia="de-DE"/>
        </w:rPr>
        <w:t>al</w:t>
      </w:r>
      <w:r w:rsidRPr="00157B67">
        <w:rPr>
          <w:rFonts w:ascii="Calibri" w:eastAsia="Times New Roman" w:hAnsi="Calibri" w:cs="Calibri"/>
          <w:b/>
          <w:color w:val="000000"/>
          <w:lang w:eastAsia="de-DE"/>
        </w:rPr>
        <w:t xml:space="preserve"> growth is highly volatile. </w:t>
      </w:r>
      <w:r w:rsidRPr="00157B67">
        <w:rPr>
          <w:rFonts w:ascii="Calibri" w:eastAsia="Times New Roman" w:hAnsi="Calibri" w:cs="Calibri"/>
          <w:color w:val="000000"/>
          <w:lang w:eastAsia="de-DE"/>
        </w:rPr>
        <w:t>This is because it depends on climat</w:t>
      </w:r>
      <w:r>
        <w:rPr>
          <w:rFonts w:ascii="Calibri" w:eastAsia="Times New Roman" w:hAnsi="Calibri" w:cs="Calibri"/>
          <w:color w:val="000000"/>
          <w:lang w:eastAsia="de-DE"/>
        </w:rPr>
        <w:t>ic condition, as only 3% is irrigated land.  Ce</w:t>
      </w:r>
      <w:r w:rsidRPr="00157B67">
        <w:rPr>
          <w:rFonts w:ascii="Calibri" w:eastAsia="Times New Roman" w:hAnsi="Calibri" w:cs="Calibri"/>
          <w:color w:val="000000"/>
          <w:lang w:eastAsia="de-DE"/>
        </w:rPr>
        <w:t xml:space="preserve">real sector growth was the major contributor to the explosive growth </w:t>
      </w:r>
      <w:r>
        <w:rPr>
          <w:rFonts w:ascii="Calibri" w:eastAsia="Times New Roman" w:hAnsi="Calibri" w:cs="Calibri"/>
          <w:color w:val="000000"/>
          <w:lang w:eastAsia="de-DE"/>
        </w:rPr>
        <w:t>in agriculture in fiscal</w:t>
      </w:r>
      <w:r w:rsidRPr="00157B67">
        <w:rPr>
          <w:rFonts w:ascii="Calibri" w:eastAsia="Times New Roman" w:hAnsi="Calibri" w:cs="Calibri"/>
          <w:color w:val="000000"/>
          <w:lang w:eastAsia="de-DE"/>
        </w:rPr>
        <w:t xml:space="preserve"> 2010</w:t>
      </w:r>
      <w:r>
        <w:rPr>
          <w:rFonts w:ascii="Calibri" w:eastAsia="Times New Roman" w:hAnsi="Calibri" w:cs="Calibri"/>
          <w:color w:val="000000"/>
          <w:lang w:eastAsia="de-DE"/>
        </w:rPr>
        <w:t>, although</w:t>
      </w:r>
      <w:r w:rsidRPr="00157B67">
        <w:rPr>
          <w:rFonts w:ascii="Calibri" w:eastAsia="Times New Roman" w:hAnsi="Calibri" w:cs="Calibri"/>
          <w:color w:val="000000"/>
          <w:lang w:eastAsia="de-DE"/>
        </w:rPr>
        <w:t xml:space="preserve"> the fruit and livestock subsectors also grew</w:t>
      </w:r>
      <w:r>
        <w:rPr>
          <w:rFonts w:ascii="Calibri" w:eastAsia="Times New Roman" w:hAnsi="Calibri" w:cs="Calibri"/>
          <w:color w:val="000000"/>
          <w:lang w:eastAsia="de-DE"/>
        </w:rPr>
        <w:t>,</w:t>
      </w:r>
      <w:r w:rsidRPr="00157B67">
        <w:rPr>
          <w:rFonts w:ascii="Calibri" w:eastAsia="Times New Roman" w:hAnsi="Calibri" w:cs="Calibri"/>
          <w:color w:val="000000"/>
          <w:lang w:eastAsia="de-DE"/>
        </w:rPr>
        <w:t xml:space="preserve"> by 10 percent and 1 percent. In general, the country’s </w:t>
      </w:r>
      <w:r w:rsidRPr="00157B67">
        <w:rPr>
          <w:rFonts w:eastAsia="Times New Roman" w:cs="Calibri"/>
          <w:lang w:eastAsia="de-DE"/>
        </w:rPr>
        <w:t xml:space="preserve">rural economy is </w:t>
      </w:r>
      <w:r>
        <w:rPr>
          <w:rFonts w:eastAsia="Times New Roman" w:cs="Calibri"/>
          <w:lang w:eastAsia="de-DE"/>
        </w:rPr>
        <w:t>dependent on</w:t>
      </w:r>
      <w:r w:rsidRPr="00157B67">
        <w:rPr>
          <w:rFonts w:eastAsia="Times New Roman" w:cs="Calibri"/>
          <w:lang w:eastAsia="de-DE"/>
        </w:rPr>
        <w:t xml:space="preserve"> small producers</w:t>
      </w:r>
      <w:r>
        <w:rPr>
          <w:rFonts w:eastAsia="Times New Roman" w:cs="Calibri"/>
          <w:lang w:eastAsia="de-DE"/>
        </w:rPr>
        <w:t>, mainly</w:t>
      </w:r>
      <w:r w:rsidRPr="00157B67">
        <w:rPr>
          <w:rFonts w:eastAsia="Times New Roman" w:cs="Calibri"/>
          <w:lang w:eastAsia="de-DE"/>
        </w:rPr>
        <w:t xml:space="preserve"> </w:t>
      </w:r>
      <w:r>
        <w:rPr>
          <w:rFonts w:eastAsia="Times New Roman" w:cs="Calibri"/>
          <w:lang w:eastAsia="de-DE"/>
        </w:rPr>
        <w:t xml:space="preserve">lightly-mechanized </w:t>
      </w:r>
      <w:r w:rsidRPr="00157B67">
        <w:rPr>
          <w:rFonts w:eastAsia="Times New Roman" w:cs="Calibri"/>
          <w:lang w:eastAsia="de-DE"/>
        </w:rPr>
        <w:t xml:space="preserve">family-based businesses </w:t>
      </w:r>
      <w:r>
        <w:rPr>
          <w:rFonts w:eastAsia="Times New Roman" w:cs="Calibri"/>
          <w:lang w:eastAsia="de-DE"/>
        </w:rPr>
        <w:t>that</w:t>
      </w:r>
      <w:r w:rsidRPr="00157B67">
        <w:rPr>
          <w:rFonts w:eastAsia="Times New Roman" w:cs="Calibri"/>
          <w:lang w:eastAsia="de-DE"/>
        </w:rPr>
        <w:t xml:space="preserve"> trade commodities with little value added.</w:t>
      </w:r>
    </w:p>
    <w:p w:rsidR="00FA1FE1" w:rsidRDefault="00FA1FE1" w:rsidP="00FA1FE1">
      <w:pPr>
        <w:autoSpaceDE w:val="0"/>
        <w:autoSpaceDN w:val="0"/>
        <w:adjustRightInd w:val="0"/>
        <w:spacing w:after="0"/>
        <w:rPr>
          <w:rFonts w:ascii="Calibri" w:eastAsia="Times New Roman" w:hAnsi="Calibri" w:cs="Calibri"/>
          <w:b/>
          <w:color w:val="410082" w:themeColor="text1"/>
          <w:lang w:eastAsia="de-DE"/>
        </w:rPr>
      </w:pPr>
    </w:p>
    <w:p w:rsidR="00FA1FE1" w:rsidRPr="00417FEC" w:rsidRDefault="00FA1FE1" w:rsidP="00FA1FE1">
      <w:pPr>
        <w:autoSpaceDE w:val="0"/>
        <w:autoSpaceDN w:val="0"/>
        <w:adjustRightInd w:val="0"/>
        <w:spacing w:after="0"/>
        <w:jc w:val="center"/>
        <w:rPr>
          <w:rFonts w:ascii="Calibri" w:eastAsia="Times New Roman" w:hAnsi="Calibri" w:cs="Calibri"/>
          <w:b/>
          <w:color w:val="410082" w:themeColor="text1"/>
          <w:lang w:eastAsia="de-DE"/>
        </w:rPr>
      </w:pPr>
      <w:r w:rsidRPr="00417FEC">
        <w:rPr>
          <w:rFonts w:ascii="Calibri" w:eastAsia="Times New Roman" w:hAnsi="Calibri" w:cs="Calibri"/>
          <w:b/>
          <w:color w:val="410082" w:themeColor="text1"/>
          <w:lang w:eastAsia="de-DE"/>
        </w:rPr>
        <w:t>Figure 5.</w:t>
      </w:r>
      <w:r>
        <w:rPr>
          <w:rFonts w:ascii="Calibri" w:eastAsia="Times New Roman" w:hAnsi="Calibri" w:cs="Calibri"/>
          <w:b/>
          <w:color w:val="410082" w:themeColor="text1"/>
          <w:lang w:eastAsia="de-DE"/>
        </w:rPr>
        <w:t>6</w:t>
      </w:r>
      <w:r w:rsidRPr="00417FEC">
        <w:rPr>
          <w:rFonts w:ascii="Calibri" w:eastAsia="Times New Roman" w:hAnsi="Calibri" w:cs="Calibri"/>
          <w:b/>
          <w:color w:val="410082" w:themeColor="text1"/>
          <w:lang w:eastAsia="de-DE"/>
        </w:rPr>
        <w:t>: Agricultural GDP Growth Rate</w:t>
      </w:r>
    </w:p>
    <w:p w:rsidR="00FA1FE1" w:rsidRDefault="00FA1FE1" w:rsidP="00FA1FE1">
      <w:pPr>
        <w:jc w:val="center"/>
        <w:rPr>
          <w:rFonts w:eastAsia="Calibri" w:cs="Times New Roman"/>
        </w:rPr>
      </w:pPr>
      <w:r>
        <w:rPr>
          <w:noProof/>
          <w:lang w:bidi="ar-SA"/>
        </w:rPr>
        <w:drawing>
          <wp:inline distT="0" distB="0" distL="0" distR="0" wp14:anchorId="49BE9615" wp14:editId="2F907C0C">
            <wp:extent cx="3420693" cy="1850065"/>
            <wp:effectExtent l="0" t="0" r="8890" b="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25901" cy="1852882"/>
                    </a:xfrm>
                    <a:prstGeom prst="rect">
                      <a:avLst/>
                    </a:prstGeom>
                  </pic:spPr>
                </pic:pic>
              </a:graphicData>
            </a:graphic>
          </wp:inline>
        </w:drawing>
      </w:r>
    </w:p>
    <w:p w:rsidR="00FA1FE1" w:rsidRPr="00F14DDD" w:rsidRDefault="00FA1FE1" w:rsidP="00FA1FE1">
      <w:pPr>
        <w:ind w:left="1440" w:firstLine="720"/>
        <w:jc w:val="left"/>
        <w:rPr>
          <w:rFonts w:eastAsia="Calibri" w:cs="Times New Roman"/>
          <w:sz w:val="20"/>
        </w:rPr>
      </w:pPr>
      <w:r w:rsidRPr="00F14DDD">
        <w:rPr>
          <w:rFonts w:eastAsia="Calibri" w:cs="Times New Roman"/>
          <w:sz w:val="20"/>
        </w:rPr>
        <w:t>Source: CSO</w:t>
      </w:r>
      <w:r w:rsidR="00BC39AB">
        <w:rPr>
          <w:rFonts w:eastAsia="Calibri" w:cs="Times New Roman"/>
          <w:sz w:val="20"/>
        </w:rPr>
        <w:t xml:space="preserve"> Statistical Yearbook</w:t>
      </w:r>
    </w:p>
    <w:p w:rsidR="00FA1FE1" w:rsidRDefault="00FA1FE1" w:rsidP="00FA1FE1">
      <w:r w:rsidRPr="00157B67">
        <w:rPr>
          <w:b/>
        </w:rPr>
        <w:t>Promoting agricultur</w:t>
      </w:r>
      <w:r>
        <w:rPr>
          <w:b/>
        </w:rPr>
        <w:t>al</w:t>
      </w:r>
      <w:r w:rsidRPr="00157B67">
        <w:rPr>
          <w:b/>
        </w:rPr>
        <w:t xml:space="preserve"> growth has a gender effect, as a</w:t>
      </w:r>
      <w:r>
        <w:rPr>
          <w:b/>
        </w:rPr>
        <w:t>bout</w:t>
      </w:r>
      <w:r w:rsidRPr="00157B67">
        <w:rPr>
          <w:b/>
        </w:rPr>
        <w:t xml:space="preserve"> 54 percent of Afghanistan’s agricultural workforce is female</w:t>
      </w:r>
      <w:r>
        <w:rPr>
          <w:b/>
        </w:rPr>
        <w:t>, most</w:t>
      </w:r>
      <w:r w:rsidRPr="00157B67">
        <w:rPr>
          <w:b/>
        </w:rPr>
        <w:t xml:space="preserve"> prominent</w:t>
      </w:r>
      <w:r>
        <w:rPr>
          <w:b/>
        </w:rPr>
        <w:t>ly</w:t>
      </w:r>
      <w:r w:rsidRPr="00157B67">
        <w:rPr>
          <w:b/>
        </w:rPr>
        <w:t xml:space="preserve"> in horticulture</w:t>
      </w:r>
      <w:r>
        <w:rPr>
          <w:b/>
        </w:rPr>
        <w:t xml:space="preserve">.  </w:t>
      </w:r>
      <w:r w:rsidRPr="004B412A">
        <w:t>For example, women make up most of the lower tiers of the grape/raisin, almond, and saffron val</w:t>
      </w:r>
      <w:r w:rsidRPr="00B1423D">
        <w:t xml:space="preserve">ue chains. </w:t>
      </w:r>
      <w:r>
        <w:t>They</w:t>
      </w:r>
      <w:r w:rsidRPr="00B1423D">
        <w:t xml:space="preserve"> </w:t>
      </w:r>
      <w:r>
        <w:t>carry out most tasks in</w:t>
      </w:r>
      <w:r w:rsidRPr="00157B67">
        <w:t xml:space="preserve"> irrigation, weeding, harvesting, and minimal processing, such as drying and packing raisins and almonds, at household level. Th</w:t>
      </w:r>
      <w:r>
        <w:t>is</w:t>
      </w:r>
      <w:r w:rsidRPr="00157B67">
        <w:t xml:space="preserve"> division of labor is largely a reflection of social and cultural norms, which do not allow</w:t>
      </w:r>
      <w:r>
        <w:t xml:space="preserve"> women </w:t>
      </w:r>
      <w:r w:rsidRPr="00157B67">
        <w:t>to interact with men, tra</w:t>
      </w:r>
      <w:r>
        <w:t>vel by themselves, or own land.</w:t>
      </w:r>
      <w:r w:rsidRPr="00C16945">
        <w:rPr>
          <w:rStyle w:val="FootnoteReference"/>
        </w:rPr>
        <w:footnoteReference w:id="40"/>
      </w:r>
    </w:p>
    <w:p w:rsidR="00FA1FE1" w:rsidRPr="000E074F" w:rsidRDefault="00FA1FE1" w:rsidP="00FA1FE1">
      <w:pPr>
        <w:jc w:val="center"/>
        <w:rPr>
          <w:b/>
          <w:color w:val="410082" w:themeColor="text1"/>
        </w:rPr>
      </w:pPr>
      <w:r w:rsidRPr="000E074F">
        <w:rPr>
          <w:b/>
          <w:color w:val="410082" w:themeColor="text1"/>
        </w:rPr>
        <w:t>Figure 5.7: Agricultural Value Chain</w:t>
      </w:r>
    </w:p>
    <w:p w:rsidR="00FA1FE1" w:rsidRDefault="00FA1FE1" w:rsidP="00FA1FE1">
      <w:pPr>
        <w:spacing w:line="240" w:lineRule="auto"/>
        <w:jc w:val="center"/>
        <w:rPr>
          <w:rFonts w:eastAsia="Times New Roman"/>
          <w:sz w:val="18"/>
          <w:szCs w:val="18"/>
          <w:lang w:eastAsia="de-DE"/>
        </w:rPr>
      </w:pPr>
      <w:r w:rsidRPr="00157B67">
        <w:rPr>
          <w:noProof/>
          <w:lang w:bidi="ar-SA"/>
        </w:rPr>
        <w:drawing>
          <wp:inline distT="0" distB="0" distL="0" distR="0" wp14:anchorId="54F398B9" wp14:editId="2036CC2C">
            <wp:extent cx="4720855" cy="2994919"/>
            <wp:effectExtent l="0" t="0" r="3810" b="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4738672" cy="3006222"/>
                    </a:xfrm>
                    <a:prstGeom prst="rect">
                      <a:avLst/>
                    </a:prstGeom>
                  </pic:spPr>
                </pic:pic>
              </a:graphicData>
            </a:graphic>
          </wp:inline>
        </w:drawing>
      </w:r>
    </w:p>
    <w:p w:rsidR="00EB665D" w:rsidRPr="00157B67" w:rsidRDefault="00EB665D" w:rsidP="00EB665D">
      <w:pPr>
        <w:spacing w:line="240" w:lineRule="auto"/>
        <w:ind w:left="720" w:firstLine="720"/>
        <w:jc w:val="left"/>
        <w:rPr>
          <w:rFonts w:eastAsia="Times New Roman"/>
          <w:sz w:val="18"/>
          <w:szCs w:val="18"/>
          <w:lang w:eastAsia="de-DE"/>
        </w:rPr>
      </w:pPr>
      <w:r>
        <w:rPr>
          <w:rFonts w:eastAsia="Times New Roman"/>
          <w:sz w:val="18"/>
          <w:szCs w:val="18"/>
          <w:lang w:eastAsia="de-DE"/>
        </w:rPr>
        <w:t>Source: MOCI</w:t>
      </w:r>
    </w:p>
    <w:p w:rsidR="00FA1FE1" w:rsidRPr="00157B67" w:rsidRDefault="00FA1FE1" w:rsidP="00FA1FE1">
      <w:pPr>
        <w:rPr>
          <w:rFonts w:eastAsia="Times New Roman"/>
          <w:lang w:eastAsia="de-DE"/>
        </w:rPr>
      </w:pPr>
      <w:r w:rsidRPr="00157B67">
        <w:rPr>
          <w:rFonts w:eastAsia="Times New Roman"/>
          <w:b/>
          <w:lang w:eastAsia="de-DE"/>
        </w:rPr>
        <w:t xml:space="preserve">The </w:t>
      </w:r>
      <w:r>
        <w:rPr>
          <w:rFonts w:eastAsia="Times New Roman"/>
          <w:b/>
          <w:lang w:eastAsia="de-DE"/>
        </w:rPr>
        <w:t>a</w:t>
      </w:r>
      <w:r w:rsidRPr="00157B67">
        <w:rPr>
          <w:rFonts w:eastAsia="Times New Roman"/>
          <w:b/>
          <w:lang w:eastAsia="de-DE"/>
        </w:rPr>
        <w:t>gr</w:t>
      </w:r>
      <w:r>
        <w:rPr>
          <w:rFonts w:eastAsia="Times New Roman"/>
          <w:b/>
          <w:lang w:eastAsia="de-DE"/>
        </w:rPr>
        <w:t>i</w:t>
      </w:r>
      <w:r w:rsidRPr="00157B67">
        <w:rPr>
          <w:rFonts w:eastAsia="Times New Roman"/>
          <w:b/>
          <w:lang w:eastAsia="de-DE"/>
        </w:rPr>
        <w:t>-</w:t>
      </w:r>
      <w:r>
        <w:rPr>
          <w:rFonts w:eastAsia="Times New Roman"/>
          <w:b/>
          <w:lang w:eastAsia="de-DE"/>
        </w:rPr>
        <w:t>i</w:t>
      </w:r>
      <w:r w:rsidRPr="00157B67">
        <w:rPr>
          <w:rFonts w:eastAsia="Times New Roman"/>
          <w:b/>
          <w:lang w:eastAsia="de-DE"/>
        </w:rPr>
        <w:t xml:space="preserve">ndustry has </w:t>
      </w:r>
      <w:r>
        <w:rPr>
          <w:rFonts w:eastAsia="Times New Roman"/>
          <w:b/>
          <w:lang w:eastAsia="de-DE"/>
        </w:rPr>
        <w:t>enjoyed</w:t>
      </w:r>
      <w:r w:rsidRPr="00157B67">
        <w:rPr>
          <w:rFonts w:eastAsia="Times New Roman"/>
          <w:b/>
          <w:lang w:eastAsia="de-DE"/>
        </w:rPr>
        <w:t xml:space="preserve"> successful investments in </w:t>
      </w:r>
      <w:r>
        <w:rPr>
          <w:rFonts w:eastAsia="Times New Roman"/>
          <w:b/>
          <w:lang w:eastAsia="de-DE"/>
        </w:rPr>
        <w:t>recent</w:t>
      </w:r>
      <w:r w:rsidRPr="00157B67">
        <w:rPr>
          <w:rFonts w:eastAsia="Times New Roman"/>
          <w:b/>
          <w:lang w:eastAsia="de-DE"/>
        </w:rPr>
        <w:t xml:space="preserve"> years. </w:t>
      </w:r>
      <w:r w:rsidRPr="00157B67">
        <w:rPr>
          <w:rFonts w:eastAsia="Times New Roman"/>
          <w:lang w:eastAsia="de-DE"/>
        </w:rPr>
        <w:t>Agr</w:t>
      </w:r>
      <w:r>
        <w:rPr>
          <w:rFonts w:eastAsia="Times New Roman"/>
          <w:lang w:eastAsia="de-DE"/>
        </w:rPr>
        <w:t>i</w:t>
      </w:r>
      <w:r w:rsidRPr="00157B67">
        <w:rPr>
          <w:rFonts w:eastAsia="Times New Roman"/>
          <w:lang w:eastAsia="de-DE"/>
        </w:rPr>
        <w:t>-business and agr</w:t>
      </w:r>
      <w:r>
        <w:rPr>
          <w:rFonts w:eastAsia="Times New Roman"/>
          <w:lang w:eastAsia="de-DE"/>
        </w:rPr>
        <w:t>i</w:t>
      </w:r>
      <w:r w:rsidRPr="00157B67">
        <w:rPr>
          <w:rFonts w:eastAsia="Times New Roman"/>
          <w:lang w:eastAsia="de-DE"/>
        </w:rPr>
        <w:t>-processing provide an array of exciting investment opportunities.</w:t>
      </w:r>
      <w:r w:rsidRPr="00C16945">
        <w:rPr>
          <w:rStyle w:val="FootnoteReference"/>
          <w:rFonts w:eastAsia="Times New Roman"/>
          <w:lang w:eastAsia="de-DE"/>
        </w:rPr>
        <w:footnoteReference w:id="41"/>
      </w:r>
      <w:r w:rsidRPr="00157B67">
        <w:rPr>
          <w:rFonts w:eastAsia="Times New Roman"/>
          <w:b/>
          <w:color w:val="FF0000"/>
          <w:lang w:eastAsia="de-DE"/>
        </w:rPr>
        <w:t xml:space="preserve"> </w:t>
      </w:r>
      <w:r w:rsidRPr="00157B67">
        <w:rPr>
          <w:rFonts w:eastAsia="Times New Roman"/>
          <w:lang w:eastAsia="de-DE"/>
        </w:rPr>
        <w:t xml:space="preserve">The industry has first-mover advantages for investors in modern processing techniques </w:t>
      </w:r>
      <w:r>
        <w:rPr>
          <w:rFonts w:eastAsia="Times New Roman"/>
          <w:lang w:eastAsia="de-DE"/>
        </w:rPr>
        <w:t>i</w:t>
      </w:r>
      <w:r w:rsidRPr="00157B67">
        <w:rPr>
          <w:rFonts w:eastAsia="Times New Roman"/>
          <w:lang w:eastAsia="de-DE"/>
        </w:rPr>
        <w:t>nvolv</w:t>
      </w:r>
      <w:r>
        <w:rPr>
          <w:rFonts w:eastAsia="Times New Roman"/>
          <w:lang w:eastAsia="de-DE"/>
        </w:rPr>
        <w:t>ing</w:t>
      </w:r>
      <w:r w:rsidRPr="00157B67">
        <w:rPr>
          <w:rFonts w:eastAsia="Times New Roman"/>
          <w:lang w:eastAsia="de-DE"/>
        </w:rPr>
        <w:t xml:space="preserve"> cleaning, sorting and grading, a</w:t>
      </w:r>
      <w:r>
        <w:rPr>
          <w:rFonts w:eastAsia="Times New Roman"/>
          <w:lang w:eastAsia="de-DE"/>
        </w:rPr>
        <w:t>s well as</w:t>
      </w:r>
      <w:r w:rsidRPr="00157B67">
        <w:rPr>
          <w:rFonts w:eastAsia="Times New Roman"/>
          <w:lang w:eastAsia="de-DE"/>
        </w:rPr>
        <w:t xml:space="preserve"> packaging plants that incorporate quality</w:t>
      </w:r>
      <w:r>
        <w:rPr>
          <w:rFonts w:eastAsia="Times New Roman"/>
          <w:lang w:eastAsia="de-DE"/>
        </w:rPr>
        <w:t>-</w:t>
      </w:r>
      <w:r w:rsidRPr="00157B67">
        <w:rPr>
          <w:rFonts w:eastAsia="Times New Roman"/>
          <w:lang w:eastAsia="de-DE"/>
        </w:rPr>
        <w:t xml:space="preserve"> control measures </w:t>
      </w:r>
      <w:r>
        <w:rPr>
          <w:rFonts w:eastAsia="Times New Roman"/>
          <w:lang w:eastAsia="de-DE"/>
        </w:rPr>
        <w:t>such as</w:t>
      </w:r>
      <w:r w:rsidRPr="00157B67">
        <w:rPr>
          <w:rFonts w:eastAsia="Times New Roman"/>
          <w:lang w:eastAsia="de-DE"/>
        </w:rPr>
        <w:t xml:space="preserve"> hygiene and traceability. Presently, the wheat milling industry is the largest agr</w:t>
      </w:r>
      <w:r>
        <w:rPr>
          <w:rFonts w:eastAsia="Times New Roman"/>
          <w:lang w:eastAsia="de-DE"/>
        </w:rPr>
        <w:t>i</w:t>
      </w:r>
      <w:r w:rsidRPr="00157B67">
        <w:rPr>
          <w:rFonts w:eastAsia="Times New Roman"/>
          <w:lang w:eastAsia="de-DE"/>
        </w:rPr>
        <w:t>-based industry in Afghanistan. State</w:t>
      </w:r>
      <w:r>
        <w:rPr>
          <w:rFonts w:eastAsia="Times New Roman"/>
          <w:lang w:eastAsia="de-DE"/>
        </w:rPr>
        <w:t>-</w:t>
      </w:r>
      <w:r w:rsidRPr="00157B67">
        <w:rPr>
          <w:rFonts w:eastAsia="Times New Roman"/>
          <w:lang w:eastAsia="de-DE"/>
        </w:rPr>
        <w:t xml:space="preserve">owned mills built by the former Soviet Union only partially operate and are </w:t>
      </w:r>
      <w:r>
        <w:rPr>
          <w:rFonts w:eastAsia="Times New Roman"/>
          <w:lang w:eastAsia="de-DE"/>
        </w:rPr>
        <w:t xml:space="preserve">used </w:t>
      </w:r>
      <w:r w:rsidRPr="00157B67">
        <w:rPr>
          <w:rFonts w:eastAsia="Times New Roman"/>
          <w:lang w:eastAsia="de-DE"/>
        </w:rPr>
        <w:t>mostly</w:t>
      </w:r>
      <w:r>
        <w:rPr>
          <w:rFonts w:eastAsia="Times New Roman"/>
          <w:lang w:eastAsia="de-DE"/>
        </w:rPr>
        <w:t xml:space="preserve"> for</w:t>
      </w:r>
      <w:r w:rsidRPr="00157B67">
        <w:rPr>
          <w:rFonts w:eastAsia="Times New Roman"/>
          <w:lang w:eastAsia="de-DE"/>
        </w:rPr>
        <w:t xml:space="preserve"> storage. Recently other agr</w:t>
      </w:r>
      <w:r>
        <w:rPr>
          <w:rFonts w:eastAsia="Times New Roman"/>
          <w:lang w:eastAsia="de-DE"/>
        </w:rPr>
        <w:t>i</w:t>
      </w:r>
      <w:r w:rsidRPr="00157B67">
        <w:rPr>
          <w:rFonts w:eastAsia="Times New Roman"/>
          <w:lang w:eastAsia="de-DE"/>
        </w:rPr>
        <w:t xml:space="preserve">-industries have </w:t>
      </w:r>
      <w:r>
        <w:rPr>
          <w:rFonts w:eastAsia="Times New Roman"/>
          <w:lang w:eastAsia="de-DE"/>
        </w:rPr>
        <w:t>appeared,</w:t>
      </w:r>
      <w:r w:rsidRPr="00157B67">
        <w:rPr>
          <w:rFonts w:eastAsia="Times New Roman"/>
          <w:lang w:eastAsia="de-DE"/>
        </w:rPr>
        <w:t xml:space="preserve"> particularly in processing fresh and dried fruits and nuts for export.  </w:t>
      </w:r>
    </w:p>
    <w:p w:rsidR="00FA1FE1" w:rsidRPr="00157B67" w:rsidRDefault="00FA1FE1" w:rsidP="00FA1FE1">
      <w:pPr>
        <w:spacing w:line="240" w:lineRule="auto"/>
        <w:rPr>
          <w:rFonts w:eastAsia="Times New Roman"/>
          <w:lang w:eastAsia="de-DE"/>
        </w:rPr>
      </w:pPr>
      <w:r w:rsidRPr="00157B67">
        <w:rPr>
          <w:rFonts w:eastAsia="Times New Roman"/>
          <w:b/>
          <w:lang w:eastAsia="de-DE"/>
        </w:rPr>
        <w:t xml:space="preserve">Fruit juices </w:t>
      </w:r>
      <w:r>
        <w:rPr>
          <w:rFonts w:eastAsia="Times New Roman"/>
          <w:b/>
          <w:lang w:eastAsia="de-DE"/>
        </w:rPr>
        <w:t>constitute</w:t>
      </w:r>
      <w:r w:rsidRPr="00157B67">
        <w:rPr>
          <w:rFonts w:eastAsia="Times New Roman"/>
          <w:b/>
          <w:lang w:eastAsia="de-DE"/>
        </w:rPr>
        <w:t xml:space="preserve"> the fastest</w:t>
      </w:r>
      <w:r>
        <w:rPr>
          <w:rFonts w:eastAsia="Times New Roman"/>
          <w:b/>
          <w:lang w:eastAsia="de-DE"/>
        </w:rPr>
        <w:t>-</w:t>
      </w:r>
      <w:r w:rsidRPr="00157B67">
        <w:rPr>
          <w:rFonts w:eastAsia="Times New Roman"/>
          <w:b/>
          <w:lang w:eastAsia="de-DE"/>
        </w:rPr>
        <w:t>growing market for processed food in Afghanistan</w:t>
      </w:r>
      <w:r w:rsidRPr="00157B67">
        <w:rPr>
          <w:rFonts w:eastAsia="Times New Roman"/>
          <w:lang w:eastAsia="de-DE"/>
        </w:rPr>
        <w:t xml:space="preserve">. The quality and variety of fruits </w:t>
      </w:r>
      <w:r>
        <w:rPr>
          <w:rFonts w:eastAsia="Times New Roman"/>
          <w:lang w:eastAsia="de-DE"/>
        </w:rPr>
        <w:t>have the</w:t>
      </w:r>
      <w:r w:rsidRPr="00157B67">
        <w:rPr>
          <w:rFonts w:eastAsia="Times New Roman"/>
          <w:lang w:eastAsia="de-DE"/>
        </w:rPr>
        <w:t xml:space="preserve"> potential</w:t>
      </w:r>
      <w:r>
        <w:rPr>
          <w:rFonts w:eastAsia="Times New Roman"/>
          <w:lang w:eastAsia="de-DE"/>
        </w:rPr>
        <w:t xml:space="preserve"> to</w:t>
      </w:r>
      <w:r w:rsidRPr="00157B67">
        <w:rPr>
          <w:rFonts w:eastAsia="Times New Roman"/>
          <w:lang w:eastAsia="de-DE"/>
        </w:rPr>
        <w:t xml:space="preserve"> make Afghanistan a leader in juices, nectars (fruit purees) and concentrates. The market value for juices in Afghanistan is approximately </w:t>
      </w:r>
      <w:r>
        <w:rPr>
          <w:rFonts w:eastAsia="Times New Roman"/>
          <w:lang w:eastAsia="de-DE"/>
        </w:rPr>
        <w:t>US$</w:t>
      </w:r>
      <w:r w:rsidRPr="00157B67">
        <w:rPr>
          <w:rFonts w:eastAsia="Times New Roman"/>
          <w:lang w:eastAsia="de-DE"/>
        </w:rPr>
        <w:t>20 million</w:t>
      </w:r>
      <w:r>
        <w:rPr>
          <w:rFonts w:eastAsia="Times New Roman"/>
          <w:lang w:eastAsia="de-DE"/>
        </w:rPr>
        <w:t>,</w:t>
      </w:r>
      <w:r w:rsidRPr="00157B67">
        <w:rPr>
          <w:rFonts w:eastAsia="Times New Roman"/>
          <w:lang w:eastAsia="de-DE"/>
        </w:rPr>
        <w:t xml:space="preserve"> with a yearly growth of a</w:t>
      </w:r>
      <w:r>
        <w:rPr>
          <w:rFonts w:eastAsia="Times New Roman"/>
          <w:lang w:eastAsia="de-DE"/>
        </w:rPr>
        <w:t>bout</w:t>
      </w:r>
      <w:r w:rsidRPr="00157B67">
        <w:rPr>
          <w:rFonts w:eastAsia="Times New Roman"/>
          <w:lang w:eastAsia="de-DE"/>
        </w:rPr>
        <w:t xml:space="preserve"> 15</w:t>
      </w:r>
      <w:r>
        <w:rPr>
          <w:rFonts w:eastAsia="Times New Roman"/>
          <w:lang w:eastAsia="de-DE"/>
        </w:rPr>
        <w:t xml:space="preserve"> percent</w:t>
      </w:r>
      <w:r w:rsidRPr="00157B67">
        <w:rPr>
          <w:rFonts w:eastAsia="Times New Roman"/>
          <w:lang w:eastAsia="de-DE"/>
        </w:rPr>
        <w:t>.</w:t>
      </w:r>
      <w:r>
        <w:rPr>
          <w:rStyle w:val="FootnoteReference"/>
          <w:rFonts w:eastAsia="Times New Roman"/>
          <w:lang w:eastAsia="de-DE"/>
        </w:rPr>
        <w:footnoteReference w:id="42"/>
      </w:r>
      <w:r w:rsidRPr="00157B67">
        <w:rPr>
          <w:rFonts w:eastAsia="Times New Roman"/>
          <w:lang w:eastAsia="de-DE"/>
        </w:rPr>
        <w:t xml:space="preserve"> Local and regional demand </w:t>
      </w:r>
      <w:r>
        <w:rPr>
          <w:rFonts w:eastAsia="Times New Roman"/>
          <w:lang w:eastAsia="de-DE"/>
        </w:rPr>
        <w:t>for</w:t>
      </w:r>
      <w:r w:rsidRPr="00157B67">
        <w:rPr>
          <w:rFonts w:eastAsia="Times New Roman"/>
          <w:lang w:eastAsia="de-DE"/>
        </w:rPr>
        <w:t xml:space="preserve"> fruit juices, the potential for import substitution and growth </w:t>
      </w:r>
      <w:r>
        <w:rPr>
          <w:rFonts w:eastAsia="Times New Roman"/>
          <w:lang w:eastAsia="de-DE"/>
        </w:rPr>
        <w:t>at</w:t>
      </w:r>
      <w:r w:rsidRPr="00157B67">
        <w:rPr>
          <w:rFonts w:eastAsia="Times New Roman"/>
          <w:lang w:eastAsia="de-DE"/>
        </w:rPr>
        <w:t xml:space="preserve"> current consumption trends and rising income, and the many opportunities for production (such as bottling factories and sorting facilities) make fruit juice processing a </w:t>
      </w:r>
      <w:r>
        <w:rPr>
          <w:rFonts w:eastAsia="Times New Roman"/>
          <w:lang w:eastAsia="de-DE"/>
        </w:rPr>
        <w:t>highly attractive enterprise</w:t>
      </w:r>
      <w:r w:rsidRPr="00157B67">
        <w:rPr>
          <w:rFonts w:eastAsia="Times New Roman"/>
          <w:lang w:eastAsia="de-DE"/>
        </w:rPr>
        <w:t xml:space="preserve">. Investment in this area </w:t>
      </w:r>
      <w:r>
        <w:rPr>
          <w:rFonts w:eastAsia="Times New Roman"/>
          <w:lang w:eastAsia="de-DE"/>
        </w:rPr>
        <w:t>would</w:t>
      </w:r>
      <w:r w:rsidRPr="00157B67">
        <w:rPr>
          <w:rFonts w:eastAsia="Times New Roman"/>
          <w:lang w:eastAsia="de-DE"/>
        </w:rPr>
        <w:t xml:space="preserve"> have high initial costs due to </w:t>
      </w:r>
      <w:r>
        <w:rPr>
          <w:rFonts w:eastAsia="Times New Roman"/>
          <w:lang w:eastAsia="de-DE"/>
        </w:rPr>
        <w:t>technology and machinery needs</w:t>
      </w:r>
      <w:r w:rsidRPr="00157B67">
        <w:rPr>
          <w:rFonts w:eastAsia="Times New Roman"/>
          <w:lang w:eastAsia="de-DE"/>
        </w:rPr>
        <w:t>, but the potential for profit is significant.</w:t>
      </w:r>
    </w:p>
    <w:p w:rsidR="00FA1FE1" w:rsidRPr="00A8022E" w:rsidRDefault="00FA1FE1" w:rsidP="00FA1FE1">
      <w:pPr>
        <w:autoSpaceDE w:val="0"/>
        <w:autoSpaceDN w:val="0"/>
        <w:adjustRightInd w:val="0"/>
        <w:spacing w:after="0" w:line="240" w:lineRule="auto"/>
        <w:jc w:val="left"/>
        <w:rPr>
          <w:rFonts w:ascii="ArialMT" w:eastAsiaTheme="minorHAnsi" w:hAnsi="ArialMT" w:cs="ArialMT"/>
          <w:sz w:val="18"/>
          <w:szCs w:val="18"/>
        </w:rPr>
      </w:pPr>
    </w:p>
    <w:p w:rsidR="00FA1FE1" w:rsidRPr="00157B67" w:rsidRDefault="00FA1FE1" w:rsidP="00FA1FE1">
      <w:pPr>
        <w:spacing w:after="0"/>
        <w:rPr>
          <w:rFonts w:eastAsia="Times New Roman"/>
          <w:lang w:eastAsia="de-DE"/>
        </w:rPr>
      </w:pPr>
      <w:r>
        <w:rPr>
          <w:rFonts w:eastAsia="Times New Roman"/>
          <w:b/>
          <w:lang w:eastAsia="de-DE"/>
        </w:rPr>
        <w:t>R</w:t>
      </w:r>
      <w:r w:rsidRPr="00157B67">
        <w:rPr>
          <w:rFonts w:eastAsia="Times New Roman"/>
          <w:b/>
          <w:lang w:eastAsia="de-DE"/>
        </w:rPr>
        <w:t>aisin export</w:t>
      </w:r>
      <w:r>
        <w:rPr>
          <w:rFonts w:eastAsia="Times New Roman"/>
          <w:b/>
          <w:lang w:eastAsia="de-DE"/>
        </w:rPr>
        <w:t>s</w:t>
      </w:r>
      <w:r w:rsidRPr="00157B67">
        <w:rPr>
          <w:rFonts w:eastAsia="Times New Roman"/>
          <w:b/>
          <w:lang w:eastAsia="de-DE"/>
        </w:rPr>
        <w:t xml:space="preserve"> </w:t>
      </w:r>
      <w:r>
        <w:rPr>
          <w:rFonts w:eastAsia="Times New Roman"/>
          <w:b/>
          <w:lang w:eastAsia="de-DE"/>
        </w:rPr>
        <w:t>are struggling to regain market share</w:t>
      </w:r>
      <w:r w:rsidRPr="00157B67">
        <w:rPr>
          <w:rFonts w:eastAsia="Times New Roman"/>
          <w:b/>
          <w:lang w:eastAsia="de-DE"/>
        </w:rPr>
        <w:t xml:space="preserve"> after </w:t>
      </w:r>
      <w:r>
        <w:rPr>
          <w:rFonts w:eastAsia="Times New Roman"/>
          <w:b/>
          <w:lang w:eastAsia="de-DE"/>
        </w:rPr>
        <w:t xml:space="preserve">returning </w:t>
      </w:r>
      <w:r w:rsidRPr="00157B67">
        <w:rPr>
          <w:rFonts w:eastAsia="Times New Roman"/>
          <w:b/>
          <w:lang w:eastAsia="de-DE"/>
        </w:rPr>
        <w:t xml:space="preserve">a long </w:t>
      </w:r>
      <w:r>
        <w:rPr>
          <w:rFonts w:eastAsia="Times New Roman"/>
          <w:b/>
          <w:lang w:eastAsia="de-DE"/>
        </w:rPr>
        <w:t>absence</w:t>
      </w:r>
      <w:r w:rsidRPr="00157B67">
        <w:rPr>
          <w:rFonts w:eastAsia="Times New Roman"/>
          <w:b/>
          <w:lang w:eastAsia="de-DE"/>
        </w:rPr>
        <w:t xml:space="preserve"> </w:t>
      </w:r>
      <w:r>
        <w:rPr>
          <w:rFonts w:eastAsia="Times New Roman"/>
          <w:b/>
          <w:lang w:eastAsia="de-DE"/>
        </w:rPr>
        <w:t xml:space="preserve">from </w:t>
      </w:r>
      <w:r w:rsidRPr="00157B67">
        <w:rPr>
          <w:rFonts w:eastAsia="Times New Roman"/>
          <w:b/>
          <w:lang w:eastAsia="de-DE"/>
        </w:rPr>
        <w:t>international markets.</w:t>
      </w:r>
      <w:r w:rsidRPr="00157B67">
        <w:rPr>
          <w:rFonts w:eastAsia="Times New Roman"/>
          <w:lang w:eastAsia="de-DE"/>
        </w:rPr>
        <w:t xml:space="preserve"> In the 1980s more than </w:t>
      </w:r>
      <w:r>
        <w:rPr>
          <w:rFonts w:eastAsia="Times New Roman"/>
          <w:lang w:eastAsia="de-DE"/>
        </w:rPr>
        <w:t>30</w:t>
      </w:r>
      <w:r w:rsidRPr="00157B67">
        <w:rPr>
          <w:rFonts w:eastAsia="Times New Roman"/>
          <w:lang w:eastAsia="de-DE"/>
        </w:rPr>
        <w:t xml:space="preserve"> raisin processing factories existed in Afghanistan, but only eight are </w:t>
      </w:r>
      <w:r>
        <w:rPr>
          <w:rFonts w:eastAsia="Times New Roman"/>
          <w:lang w:eastAsia="de-DE"/>
        </w:rPr>
        <w:t xml:space="preserve">now </w:t>
      </w:r>
      <w:r w:rsidRPr="00157B67">
        <w:rPr>
          <w:rFonts w:eastAsia="Times New Roman"/>
          <w:lang w:eastAsia="de-DE"/>
        </w:rPr>
        <w:t>operational. These factories are using outmoded machinery</w:t>
      </w:r>
      <w:r>
        <w:rPr>
          <w:rFonts w:eastAsia="Times New Roman"/>
          <w:lang w:eastAsia="de-DE"/>
        </w:rPr>
        <w:t>;</w:t>
      </w:r>
      <w:r w:rsidRPr="00157B67">
        <w:rPr>
          <w:rFonts w:eastAsia="Times New Roman"/>
          <w:lang w:eastAsia="de-DE"/>
        </w:rPr>
        <w:t xml:space="preserve"> capital investment for newer and cleaner drying techniques is </w:t>
      </w:r>
      <w:r>
        <w:rPr>
          <w:rFonts w:eastAsia="Times New Roman"/>
          <w:lang w:eastAsia="de-DE"/>
        </w:rPr>
        <w:t>sorely needed</w:t>
      </w:r>
      <w:r w:rsidRPr="00157B67">
        <w:rPr>
          <w:rFonts w:eastAsia="Times New Roman"/>
          <w:lang w:eastAsia="de-DE"/>
        </w:rPr>
        <w:t xml:space="preserve">. </w:t>
      </w:r>
      <w:r>
        <w:rPr>
          <w:rFonts w:eastAsia="Times New Roman"/>
          <w:lang w:eastAsia="de-DE"/>
        </w:rPr>
        <w:t>R</w:t>
      </w:r>
      <w:r w:rsidRPr="00157B67">
        <w:rPr>
          <w:rFonts w:eastAsia="Times New Roman"/>
          <w:lang w:eastAsia="de-DE"/>
        </w:rPr>
        <w:t>aisin</w:t>
      </w:r>
      <w:r>
        <w:rPr>
          <w:rFonts w:eastAsia="Times New Roman"/>
          <w:lang w:eastAsia="de-DE"/>
        </w:rPr>
        <w:t>s are</w:t>
      </w:r>
      <w:r w:rsidRPr="00157B67">
        <w:rPr>
          <w:rFonts w:eastAsia="Times New Roman"/>
          <w:lang w:eastAsia="de-DE"/>
        </w:rPr>
        <w:t xml:space="preserve"> a labor</w:t>
      </w:r>
      <w:r>
        <w:rPr>
          <w:rFonts w:eastAsia="Times New Roman"/>
          <w:lang w:eastAsia="de-DE"/>
        </w:rPr>
        <w:t>-</w:t>
      </w:r>
      <w:r w:rsidRPr="00157B67">
        <w:rPr>
          <w:rFonts w:eastAsia="Times New Roman"/>
          <w:lang w:eastAsia="de-DE"/>
        </w:rPr>
        <w:t>intensive crop</w:t>
      </w:r>
      <w:r>
        <w:rPr>
          <w:rFonts w:eastAsia="Times New Roman"/>
          <w:lang w:eastAsia="de-DE"/>
        </w:rPr>
        <w:t>,</w:t>
      </w:r>
      <w:r w:rsidRPr="00157B67">
        <w:rPr>
          <w:rFonts w:eastAsia="Times New Roman"/>
          <w:lang w:eastAsia="de-DE"/>
        </w:rPr>
        <w:t xml:space="preserve"> because manual sorting is preferred </w:t>
      </w:r>
      <w:r>
        <w:rPr>
          <w:rFonts w:eastAsia="Times New Roman"/>
          <w:lang w:eastAsia="de-DE"/>
        </w:rPr>
        <w:t>to</w:t>
      </w:r>
      <w:r w:rsidRPr="00157B67">
        <w:rPr>
          <w:rFonts w:eastAsia="Times New Roman"/>
          <w:lang w:eastAsia="de-DE"/>
        </w:rPr>
        <w:t xml:space="preserve"> laser sort</w:t>
      </w:r>
      <w:r>
        <w:rPr>
          <w:rFonts w:eastAsia="Times New Roman"/>
          <w:lang w:eastAsia="de-DE"/>
        </w:rPr>
        <w:t>ing</w:t>
      </w:r>
      <w:r w:rsidRPr="00157B67">
        <w:rPr>
          <w:rFonts w:eastAsia="Times New Roman"/>
          <w:lang w:eastAsia="de-DE"/>
        </w:rPr>
        <w:t xml:space="preserve">. </w:t>
      </w:r>
      <w:r>
        <w:rPr>
          <w:rFonts w:eastAsia="Times New Roman"/>
          <w:lang w:eastAsia="de-DE"/>
        </w:rPr>
        <w:t>This makes the</w:t>
      </w:r>
      <w:r w:rsidRPr="00157B67">
        <w:rPr>
          <w:rFonts w:eastAsia="Times New Roman"/>
          <w:lang w:eastAsia="de-DE"/>
        </w:rPr>
        <w:t xml:space="preserve"> raisin processing industry potential</w:t>
      </w:r>
      <w:r>
        <w:rPr>
          <w:rFonts w:eastAsia="Times New Roman"/>
          <w:lang w:eastAsia="de-DE"/>
        </w:rPr>
        <w:t>ly valuable for</w:t>
      </w:r>
      <w:r w:rsidRPr="00157B67">
        <w:rPr>
          <w:rFonts w:eastAsia="Times New Roman"/>
          <w:lang w:eastAsia="de-DE"/>
        </w:rPr>
        <w:t xml:space="preserve"> employ</w:t>
      </w:r>
      <w:r>
        <w:rPr>
          <w:rFonts w:eastAsia="Times New Roman"/>
          <w:lang w:eastAsia="de-DE"/>
        </w:rPr>
        <w:t xml:space="preserve">ment of </w:t>
      </w:r>
      <w:r w:rsidRPr="00157B67">
        <w:rPr>
          <w:rFonts w:eastAsia="Times New Roman"/>
          <w:lang w:eastAsia="de-DE"/>
        </w:rPr>
        <w:t xml:space="preserve">unskilled farm labor.  However, </w:t>
      </w:r>
      <w:r>
        <w:rPr>
          <w:rFonts w:eastAsia="Times New Roman"/>
          <w:lang w:eastAsia="de-DE"/>
        </w:rPr>
        <w:t>to realize the sector’s potential,</w:t>
      </w:r>
      <w:r w:rsidRPr="00157B67">
        <w:rPr>
          <w:rFonts w:eastAsia="Times New Roman"/>
          <w:lang w:eastAsia="de-DE"/>
        </w:rPr>
        <w:t xml:space="preserve"> producers </w:t>
      </w:r>
      <w:r>
        <w:rPr>
          <w:rFonts w:eastAsia="Times New Roman"/>
          <w:lang w:eastAsia="de-DE"/>
        </w:rPr>
        <w:t xml:space="preserve">would </w:t>
      </w:r>
      <w:r w:rsidRPr="00157B67">
        <w:rPr>
          <w:rFonts w:eastAsia="Times New Roman"/>
          <w:lang w:eastAsia="de-DE"/>
        </w:rPr>
        <w:t>need to invest heavily in</w:t>
      </w:r>
      <w:r>
        <w:rPr>
          <w:rFonts w:eastAsia="Times New Roman"/>
          <w:lang w:eastAsia="de-DE"/>
        </w:rPr>
        <w:t xml:space="preserve"> (</w:t>
      </w:r>
      <w:r w:rsidRPr="00157B67">
        <w:rPr>
          <w:rFonts w:eastAsia="Times New Roman"/>
          <w:lang w:eastAsia="de-DE"/>
        </w:rPr>
        <w:t>i) machinery and fruit</w:t>
      </w:r>
      <w:r>
        <w:rPr>
          <w:rFonts w:eastAsia="Times New Roman"/>
          <w:lang w:eastAsia="de-DE"/>
        </w:rPr>
        <w:t>-</w:t>
      </w:r>
      <w:r w:rsidRPr="00157B67">
        <w:rPr>
          <w:rFonts w:eastAsia="Times New Roman"/>
          <w:lang w:eastAsia="de-DE"/>
        </w:rPr>
        <w:t xml:space="preserve">drying technology, </w:t>
      </w:r>
      <w:r>
        <w:rPr>
          <w:rFonts w:eastAsia="Times New Roman"/>
          <w:lang w:eastAsia="de-DE"/>
        </w:rPr>
        <w:t>(</w:t>
      </w:r>
      <w:r w:rsidRPr="00157B67">
        <w:rPr>
          <w:rFonts w:eastAsia="Times New Roman"/>
          <w:lang w:eastAsia="de-DE"/>
        </w:rPr>
        <w:t xml:space="preserve">ii) </w:t>
      </w:r>
      <w:r>
        <w:rPr>
          <w:rFonts w:eastAsia="Times New Roman"/>
          <w:lang w:eastAsia="de-DE"/>
        </w:rPr>
        <w:t>o</w:t>
      </w:r>
      <w:r w:rsidRPr="00157B67">
        <w:rPr>
          <w:rFonts w:eastAsia="Times New Roman"/>
          <w:lang w:eastAsia="de-DE"/>
        </w:rPr>
        <w:t xml:space="preserve">n-farm processing knowledge, </w:t>
      </w:r>
      <w:r>
        <w:rPr>
          <w:rFonts w:eastAsia="Times New Roman"/>
          <w:lang w:eastAsia="de-DE"/>
        </w:rPr>
        <w:t>(</w:t>
      </w:r>
      <w:r w:rsidRPr="00157B67">
        <w:rPr>
          <w:rFonts w:eastAsia="Times New Roman"/>
          <w:lang w:eastAsia="de-DE"/>
        </w:rPr>
        <w:t xml:space="preserve">iii) upgraded sanitary facilities, </w:t>
      </w:r>
      <w:r>
        <w:rPr>
          <w:rFonts w:eastAsia="Times New Roman"/>
          <w:lang w:eastAsia="de-DE"/>
        </w:rPr>
        <w:t>(</w:t>
      </w:r>
      <w:r w:rsidRPr="00157B67">
        <w:rPr>
          <w:rFonts w:eastAsia="Times New Roman"/>
          <w:lang w:eastAsia="de-DE"/>
        </w:rPr>
        <w:t xml:space="preserve">iv) packaging warehouses, and </w:t>
      </w:r>
      <w:r>
        <w:rPr>
          <w:rFonts w:eastAsia="Times New Roman"/>
          <w:lang w:eastAsia="de-DE"/>
        </w:rPr>
        <w:t>(</w:t>
      </w:r>
      <w:r w:rsidRPr="00157B67">
        <w:rPr>
          <w:rFonts w:eastAsia="Times New Roman"/>
          <w:lang w:eastAsia="de-DE"/>
        </w:rPr>
        <w:t>v) product marketing.</w:t>
      </w:r>
    </w:p>
    <w:p w:rsidR="00FA1FE1" w:rsidRPr="00F14DDD" w:rsidRDefault="00FA1FE1" w:rsidP="00FA1FE1">
      <w:r w:rsidRPr="00F14DDD">
        <w:t>Sector Challenges</w:t>
      </w:r>
    </w:p>
    <w:p w:rsidR="00FA1FE1" w:rsidRPr="00157B67" w:rsidRDefault="00FA1FE1" w:rsidP="00FA1FE1">
      <w:pPr>
        <w:autoSpaceDE w:val="0"/>
        <w:autoSpaceDN w:val="0"/>
        <w:adjustRightInd w:val="0"/>
        <w:spacing w:after="240"/>
        <w:rPr>
          <w:rFonts w:eastAsia="Calibri" w:cstheme="minorHAnsi"/>
          <w:b/>
        </w:rPr>
      </w:pPr>
      <w:r w:rsidRPr="00157B67">
        <w:rPr>
          <w:rFonts w:eastAsia="Times New Roman" w:cs="Calibri"/>
          <w:b/>
          <w:lang w:eastAsia="de-DE"/>
        </w:rPr>
        <w:t>A complex amalgam of constraints hampers the full exploitation of the agricultural sector</w:t>
      </w:r>
      <w:r w:rsidRPr="00157B67">
        <w:rPr>
          <w:rFonts w:eastAsia="Times New Roman" w:cs="Calibri"/>
          <w:lang w:eastAsia="de-DE"/>
        </w:rPr>
        <w:t xml:space="preserve">. </w:t>
      </w:r>
      <w:r w:rsidRPr="00157B67">
        <w:rPr>
          <w:rFonts w:cstheme="minorHAnsi"/>
          <w:b/>
        </w:rPr>
        <w:t xml:space="preserve">The main cross-cutting issues are: </w:t>
      </w:r>
    </w:p>
    <w:p w:rsidR="00FA1FE1" w:rsidRPr="00157B67" w:rsidRDefault="00FA1FE1" w:rsidP="00FA1FE1">
      <w:pPr>
        <w:autoSpaceDE w:val="0"/>
        <w:autoSpaceDN w:val="0"/>
        <w:adjustRightInd w:val="0"/>
        <w:rPr>
          <w:rFonts w:cstheme="minorHAnsi"/>
        </w:rPr>
      </w:pPr>
      <w:r w:rsidRPr="00157B67">
        <w:rPr>
          <w:rFonts w:cstheme="minorHAnsi"/>
          <w:b/>
        </w:rPr>
        <w:t>Low productivity in the farming of commercial crops:</w:t>
      </w:r>
      <w:r w:rsidRPr="00157B67">
        <w:rPr>
          <w:rFonts w:cstheme="minorHAnsi"/>
        </w:rPr>
        <w:t xml:space="preserve"> </w:t>
      </w:r>
      <w:r>
        <w:rPr>
          <w:rFonts w:cstheme="minorHAnsi"/>
        </w:rPr>
        <w:t>Rais</w:t>
      </w:r>
      <w:r w:rsidRPr="00157B67">
        <w:rPr>
          <w:rFonts w:cstheme="minorHAnsi"/>
        </w:rPr>
        <w:t>ing productivity of the agricultur</w:t>
      </w:r>
      <w:r>
        <w:rPr>
          <w:rFonts w:cstheme="minorHAnsi"/>
        </w:rPr>
        <w:t>al</w:t>
      </w:r>
      <w:r w:rsidRPr="00157B67">
        <w:rPr>
          <w:rFonts w:cstheme="minorHAnsi"/>
        </w:rPr>
        <w:t xml:space="preserve"> sector is </w:t>
      </w:r>
      <w:r>
        <w:rPr>
          <w:rFonts w:cstheme="minorHAnsi"/>
        </w:rPr>
        <w:t>crucial</w:t>
      </w:r>
      <w:r w:rsidRPr="00157B67">
        <w:rPr>
          <w:rFonts w:cstheme="minorHAnsi"/>
        </w:rPr>
        <w:t xml:space="preserve">. This </w:t>
      </w:r>
      <w:r>
        <w:rPr>
          <w:rFonts w:cstheme="minorHAnsi"/>
        </w:rPr>
        <w:t xml:space="preserve">would </w:t>
      </w:r>
      <w:r w:rsidRPr="00157B67">
        <w:rPr>
          <w:rFonts w:cstheme="minorHAnsi"/>
        </w:rPr>
        <w:t>require adoption of modern farming methods and ensuring an adequate supply of quality inputs (seeds, water systems, etc</w:t>
      </w:r>
      <w:r>
        <w:rPr>
          <w:rFonts w:cstheme="minorHAnsi"/>
        </w:rPr>
        <w:t>.</w:t>
      </w:r>
      <w:r w:rsidRPr="00157B67">
        <w:rPr>
          <w:rFonts w:cstheme="minorHAnsi"/>
        </w:rPr>
        <w:t>) in rural areas.</w:t>
      </w:r>
      <w:r>
        <w:rPr>
          <w:rFonts w:cstheme="minorHAnsi"/>
        </w:rPr>
        <w:t xml:space="preserve"> However, weather conditions will remain an impediment to productivity.</w:t>
      </w:r>
    </w:p>
    <w:p w:rsidR="00FA1FE1" w:rsidRPr="00157B67" w:rsidRDefault="00FA1FE1" w:rsidP="00FA1FE1">
      <w:pPr>
        <w:autoSpaceDE w:val="0"/>
        <w:autoSpaceDN w:val="0"/>
        <w:adjustRightInd w:val="0"/>
        <w:rPr>
          <w:rFonts w:cstheme="minorHAnsi"/>
        </w:rPr>
      </w:pPr>
      <w:r w:rsidRPr="00157B67">
        <w:rPr>
          <w:rFonts w:cstheme="minorHAnsi"/>
          <w:b/>
        </w:rPr>
        <w:t>Poor infrastructure</w:t>
      </w:r>
      <w:r w:rsidRPr="00157B67">
        <w:rPr>
          <w:rFonts w:cstheme="minorHAnsi"/>
        </w:rPr>
        <w:t xml:space="preserve">: </w:t>
      </w:r>
      <w:r>
        <w:rPr>
          <w:rFonts w:cstheme="minorHAnsi"/>
        </w:rPr>
        <w:t>Inadequate</w:t>
      </w:r>
      <w:r w:rsidRPr="00157B67">
        <w:rPr>
          <w:rFonts w:cstheme="minorHAnsi"/>
        </w:rPr>
        <w:t xml:space="preserve"> infrastructure </w:t>
      </w:r>
      <w:r>
        <w:rPr>
          <w:rFonts w:cstheme="minorHAnsi"/>
        </w:rPr>
        <w:t>weighs on</w:t>
      </w:r>
      <w:r w:rsidRPr="00157B67">
        <w:rPr>
          <w:rFonts w:cstheme="minorHAnsi"/>
        </w:rPr>
        <w:t xml:space="preserve"> productivity, as water and electricity </w:t>
      </w:r>
      <w:r>
        <w:rPr>
          <w:rFonts w:cstheme="minorHAnsi"/>
        </w:rPr>
        <w:t>supplies govern</w:t>
      </w:r>
      <w:r w:rsidRPr="00157B67">
        <w:rPr>
          <w:rFonts w:cstheme="minorHAnsi"/>
        </w:rPr>
        <w:t xml:space="preserve"> production. It is particularly important </w:t>
      </w:r>
      <w:r>
        <w:rPr>
          <w:rFonts w:cstheme="minorHAnsi"/>
        </w:rPr>
        <w:t>in</w:t>
      </w:r>
      <w:r w:rsidRPr="00157B67">
        <w:rPr>
          <w:rFonts w:cstheme="minorHAnsi"/>
        </w:rPr>
        <w:t xml:space="preserve"> agr</w:t>
      </w:r>
      <w:r>
        <w:rPr>
          <w:rFonts w:cstheme="minorHAnsi"/>
        </w:rPr>
        <w:t>i</w:t>
      </w:r>
      <w:r w:rsidRPr="00157B67">
        <w:rPr>
          <w:rFonts w:cstheme="minorHAnsi"/>
        </w:rPr>
        <w:t xml:space="preserve">-processing </w:t>
      </w:r>
      <w:r>
        <w:rPr>
          <w:rFonts w:cstheme="minorHAnsi"/>
        </w:rPr>
        <w:t>to</w:t>
      </w:r>
      <w:r w:rsidRPr="00157B67">
        <w:rPr>
          <w:rFonts w:cstheme="minorHAnsi"/>
        </w:rPr>
        <w:t xml:space="preserve"> </w:t>
      </w:r>
      <w:r>
        <w:rPr>
          <w:rFonts w:cstheme="minorHAnsi"/>
        </w:rPr>
        <w:t>minimize</w:t>
      </w:r>
      <w:r w:rsidRPr="00157B67">
        <w:rPr>
          <w:rFonts w:cstheme="minorHAnsi"/>
        </w:rPr>
        <w:t xml:space="preserve"> shipping time</w:t>
      </w:r>
      <w:r>
        <w:rPr>
          <w:rFonts w:cstheme="minorHAnsi"/>
        </w:rPr>
        <w:t>s</w:t>
      </w:r>
      <w:r w:rsidRPr="00157B67">
        <w:rPr>
          <w:rFonts w:cstheme="minorHAnsi"/>
        </w:rPr>
        <w:t xml:space="preserve"> and costs </w:t>
      </w:r>
      <w:r>
        <w:rPr>
          <w:rFonts w:cstheme="minorHAnsi"/>
        </w:rPr>
        <w:t xml:space="preserve">and </w:t>
      </w:r>
      <w:r w:rsidRPr="00157B67">
        <w:rPr>
          <w:rFonts w:cstheme="minorHAnsi"/>
        </w:rPr>
        <w:t xml:space="preserve">to </w:t>
      </w:r>
      <w:r>
        <w:rPr>
          <w:rFonts w:cstheme="minorHAnsi"/>
        </w:rPr>
        <w:t xml:space="preserve">be able to </w:t>
      </w:r>
      <w:r w:rsidRPr="00157B67">
        <w:rPr>
          <w:rFonts w:cstheme="minorHAnsi"/>
        </w:rPr>
        <w:t xml:space="preserve">access roads and irrigation systems.  </w:t>
      </w:r>
    </w:p>
    <w:p w:rsidR="00FA1FE1" w:rsidRDefault="00FA1FE1" w:rsidP="00FA1FE1">
      <w:pPr>
        <w:autoSpaceDE w:val="0"/>
        <w:autoSpaceDN w:val="0"/>
        <w:adjustRightInd w:val="0"/>
        <w:spacing w:after="0"/>
        <w:rPr>
          <w:rFonts w:cstheme="minorHAnsi"/>
        </w:rPr>
      </w:pPr>
      <w:r w:rsidRPr="00157B67">
        <w:rPr>
          <w:rFonts w:cstheme="minorHAnsi"/>
          <w:b/>
        </w:rPr>
        <w:t>Outdated or non-operational agr</w:t>
      </w:r>
      <w:r>
        <w:rPr>
          <w:rFonts w:cstheme="minorHAnsi"/>
          <w:b/>
        </w:rPr>
        <w:t>i</w:t>
      </w:r>
      <w:r w:rsidRPr="00157B67">
        <w:rPr>
          <w:rFonts w:cstheme="minorHAnsi"/>
          <w:b/>
        </w:rPr>
        <w:t>-processing facilities</w:t>
      </w:r>
      <w:r w:rsidRPr="00157B67">
        <w:rPr>
          <w:rFonts w:cstheme="minorHAnsi"/>
        </w:rPr>
        <w:t>: Many facilities operat</w:t>
      </w:r>
      <w:r>
        <w:rPr>
          <w:rFonts w:cstheme="minorHAnsi"/>
        </w:rPr>
        <w:t>e</w:t>
      </w:r>
      <w:r w:rsidRPr="00157B67">
        <w:rPr>
          <w:rFonts w:cstheme="minorHAnsi"/>
        </w:rPr>
        <w:t xml:space="preserve"> without sanitary floors and covered areas, proper drainage and clean water</w:t>
      </w:r>
      <w:r>
        <w:rPr>
          <w:rFonts w:cstheme="minorHAnsi"/>
        </w:rPr>
        <w:t>,</w:t>
      </w:r>
      <w:r w:rsidRPr="00157B67">
        <w:rPr>
          <w:rFonts w:cstheme="minorHAnsi"/>
        </w:rPr>
        <w:t xml:space="preserve"> or waste</w:t>
      </w:r>
      <w:r>
        <w:rPr>
          <w:rFonts w:cstheme="minorHAnsi"/>
        </w:rPr>
        <w:t>-</w:t>
      </w:r>
      <w:r w:rsidRPr="00157B67">
        <w:rPr>
          <w:rFonts w:cstheme="minorHAnsi"/>
        </w:rPr>
        <w:t>collection systems</w:t>
      </w:r>
      <w:r>
        <w:rPr>
          <w:rFonts w:cstheme="minorHAnsi"/>
        </w:rPr>
        <w:t>.</w:t>
      </w:r>
    </w:p>
    <w:p w:rsidR="00FA1FE1" w:rsidRDefault="00FA1FE1" w:rsidP="00FA1FE1">
      <w:pPr>
        <w:autoSpaceDE w:val="0"/>
        <w:autoSpaceDN w:val="0"/>
        <w:adjustRightInd w:val="0"/>
        <w:rPr>
          <w:rFonts w:cstheme="minorHAnsi"/>
          <w:b/>
        </w:rPr>
      </w:pPr>
    </w:p>
    <w:p w:rsidR="00FA1FE1" w:rsidRPr="00157B67" w:rsidRDefault="00FA1FE1" w:rsidP="00FA1FE1">
      <w:pPr>
        <w:autoSpaceDE w:val="0"/>
        <w:autoSpaceDN w:val="0"/>
        <w:adjustRightInd w:val="0"/>
        <w:rPr>
          <w:rFonts w:cstheme="minorHAnsi"/>
        </w:rPr>
      </w:pPr>
      <w:r>
        <w:rPr>
          <w:rFonts w:cstheme="minorHAnsi"/>
          <w:b/>
        </w:rPr>
        <w:t>Inadequate f</w:t>
      </w:r>
      <w:r w:rsidRPr="00157B67">
        <w:rPr>
          <w:rFonts w:cstheme="minorHAnsi"/>
          <w:b/>
        </w:rPr>
        <w:t xml:space="preserve">ood safety and </w:t>
      </w:r>
      <w:r>
        <w:rPr>
          <w:rFonts w:cstheme="minorHAnsi"/>
          <w:b/>
        </w:rPr>
        <w:t>c</w:t>
      </w:r>
      <w:r w:rsidRPr="00157B67">
        <w:rPr>
          <w:rFonts w:cstheme="minorHAnsi"/>
          <w:b/>
        </w:rPr>
        <w:t>ertification:</w:t>
      </w:r>
      <w:r w:rsidRPr="00157B67">
        <w:rPr>
          <w:rFonts w:cstheme="minorHAnsi"/>
        </w:rPr>
        <w:t xml:space="preserve"> Without accredited food safety and certification laboratories in Afghanistan it is difficult for agriculture exports to meet international standards and regulations in other markets.  </w:t>
      </w:r>
    </w:p>
    <w:p w:rsidR="00FA1FE1" w:rsidRPr="00157B67" w:rsidRDefault="00FA1FE1" w:rsidP="00FA1FE1">
      <w:pPr>
        <w:autoSpaceDE w:val="0"/>
        <w:autoSpaceDN w:val="0"/>
        <w:adjustRightInd w:val="0"/>
        <w:rPr>
          <w:rFonts w:cstheme="minorHAnsi"/>
        </w:rPr>
      </w:pPr>
      <w:r w:rsidRPr="00157B67">
        <w:rPr>
          <w:rFonts w:cstheme="minorHAnsi"/>
          <w:b/>
        </w:rPr>
        <w:t xml:space="preserve">Research &amp; </w:t>
      </w:r>
      <w:r>
        <w:rPr>
          <w:rFonts w:cstheme="minorHAnsi"/>
          <w:b/>
        </w:rPr>
        <w:t>d</w:t>
      </w:r>
      <w:r w:rsidRPr="00157B67">
        <w:rPr>
          <w:rFonts w:cstheme="minorHAnsi"/>
          <w:b/>
        </w:rPr>
        <w:t>evelopment</w:t>
      </w:r>
      <w:r w:rsidRPr="00157B67">
        <w:rPr>
          <w:rFonts w:cstheme="minorHAnsi"/>
        </w:rPr>
        <w:t>: There is little innovation in Afghanistan. The development of cultivation practices and crop diversification is con</w:t>
      </w:r>
      <w:r>
        <w:rPr>
          <w:rFonts w:cstheme="minorHAnsi"/>
        </w:rPr>
        <w:t>s</w:t>
      </w:r>
      <w:r w:rsidRPr="00157B67">
        <w:rPr>
          <w:rFonts w:cstheme="minorHAnsi"/>
        </w:rPr>
        <w:t>trained by low levels of investment in R&amp;D</w:t>
      </w:r>
      <w:r>
        <w:rPr>
          <w:rFonts w:cstheme="minorHAnsi"/>
        </w:rPr>
        <w:t>.</w:t>
      </w:r>
    </w:p>
    <w:p w:rsidR="00FA1FE1" w:rsidRPr="00157B67" w:rsidRDefault="00FA1FE1" w:rsidP="00FA1FE1">
      <w:pPr>
        <w:autoSpaceDE w:val="0"/>
        <w:autoSpaceDN w:val="0"/>
        <w:adjustRightInd w:val="0"/>
        <w:rPr>
          <w:rFonts w:cstheme="minorHAnsi"/>
        </w:rPr>
      </w:pPr>
      <w:r w:rsidRPr="00157B67">
        <w:rPr>
          <w:rFonts w:cstheme="minorHAnsi"/>
          <w:b/>
        </w:rPr>
        <w:t>Limited access to quality inputs</w:t>
      </w:r>
      <w:r>
        <w:rPr>
          <w:rFonts w:cstheme="minorHAnsi"/>
          <w:b/>
        </w:rPr>
        <w:t>:</w:t>
      </w:r>
      <w:r w:rsidRPr="00157B67">
        <w:rPr>
          <w:rFonts w:cstheme="minorHAnsi"/>
        </w:rPr>
        <w:t xml:space="preserve"> </w:t>
      </w:r>
      <w:r>
        <w:rPr>
          <w:rFonts w:cstheme="minorHAnsi"/>
        </w:rPr>
        <w:t>S</w:t>
      </w:r>
      <w:r w:rsidRPr="00157B67">
        <w:rPr>
          <w:rFonts w:cstheme="minorHAnsi"/>
        </w:rPr>
        <w:t>uppl</w:t>
      </w:r>
      <w:r>
        <w:rPr>
          <w:rFonts w:cstheme="minorHAnsi"/>
        </w:rPr>
        <w:t>ies</w:t>
      </w:r>
      <w:r w:rsidRPr="00157B67">
        <w:rPr>
          <w:rFonts w:cstheme="minorHAnsi"/>
        </w:rPr>
        <w:t xml:space="preserve"> of fertilizer, quality seeds, and other major inputs for agricultur</w:t>
      </w:r>
      <w:r>
        <w:rPr>
          <w:rFonts w:cstheme="minorHAnsi"/>
        </w:rPr>
        <w:t>al</w:t>
      </w:r>
      <w:r w:rsidRPr="00157B67">
        <w:rPr>
          <w:rFonts w:cstheme="minorHAnsi"/>
        </w:rPr>
        <w:t xml:space="preserve"> production </w:t>
      </w:r>
      <w:r>
        <w:rPr>
          <w:rFonts w:cstheme="minorHAnsi"/>
        </w:rPr>
        <w:t>are</w:t>
      </w:r>
      <w:r w:rsidRPr="00157B67">
        <w:rPr>
          <w:rFonts w:cstheme="minorHAnsi"/>
        </w:rPr>
        <w:t xml:space="preserve"> limited</w:t>
      </w:r>
      <w:r>
        <w:rPr>
          <w:rFonts w:cstheme="minorHAnsi"/>
        </w:rPr>
        <w:t>, and have stifled</w:t>
      </w:r>
      <w:r w:rsidRPr="00157B67">
        <w:rPr>
          <w:rFonts w:cstheme="minorHAnsi"/>
        </w:rPr>
        <w:t xml:space="preserve"> output</w:t>
      </w:r>
      <w:r>
        <w:rPr>
          <w:rFonts w:cstheme="minorHAnsi"/>
        </w:rPr>
        <w:t>s</w:t>
      </w:r>
      <w:r w:rsidRPr="00157B67">
        <w:rPr>
          <w:rFonts w:cstheme="minorHAnsi"/>
        </w:rPr>
        <w:t xml:space="preserve">.    </w:t>
      </w:r>
    </w:p>
    <w:p w:rsidR="00FA1FE1" w:rsidRPr="00157B67" w:rsidRDefault="00FA1FE1" w:rsidP="00FA1FE1">
      <w:pPr>
        <w:autoSpaceDE w:val="0"/>
        <w:autoSpaceDN w:val="0"/>
        <w:adjustRightInd w:val="0"/>
        <w:rPr>
          <w:rFonts w:cstheme="minorHAnsi"/>
        </w:rPr>
      </w:pPr>
      <w:r w:rsidRPr="00157B67">
        <w:rPr>
          <w:rFonts w:cstheme="minorHAnsi"/>
          <w:b/>
        </w:rPr>
        <w:t>Poor intensive</w:t>
      </w:r>
      <w:r>
        <w:rPr>
          <w:rFonts w:cstheme="minorHAnsi"/>
          <w:b/>
        </w:rPr>
        <w:t>-</w:t>
      </w:r>
      <w:r w:rsidRPr="00157B67">
        <w:rPr>
          <w:rFonts w:cstheme="minorHAnsi"/>
          <w:b/>
        </w:rPr>
        <w:t>farming practices and limited extension services</w:t>
      </w:r>
      <w:r w:rsidRPr="00157B67">
        <w:rPr>
          <w:rFonts w:cstheme="minorHAnsi"/>
        </w:rPr>
        <w:t xml:space="preserve">: Production is undermined by </w:t>
      </w:r>
      <w:r>
        <w:rPr>
          <w:rFonts w:cstheme="minorHAnsi"/>
        </w:rPr>
        <w:t xml:space="preserve">a </w:t>
      </w:r>
      <w:r w:rsidRPr="00157B67">
        <w:rPr>
          <w:rFonts w:cstheme="minorHAnsi"/>
        </w:rPr>
        <w:t xml:space="preserve">lack of pruning and soil testing, </w:t>
      </w:r>
      <w:r>
        <w:rPr>
          <w:rFonts w:cstheme="minorHAnsi"/>
        </w:rPr>
        <w:t>inadequate</w:t>
      </w:r>
      <w:r w:rsidRPr="00157B67">
        <w:rPr>
          <w:rFonts w:cstheme="minorHAnsi"/>
        </w:rPr>
        <w:t xml:space="preserve"> irrigation and plant spacing</w:t>
      </w:r>
      <w:r>
        <w:rPr>
          <w:rFonts w:cstheme="minorHAnsi"/>
        </w:rPr>
        <w:t xml:space="preserve"> due to insufficient</w:t>
      </w:r>
      <w:r w:rsidRPr="00157B67">
        <w:rPr>
          <w:rFonts w:cstheme="minorHAnsi"/>
        </w:rPr>
        <w:t xml:space="preserve"> extension services to educate farmers in </w:t>
      </w:r>
      <w:r>
        <w:rPr>
          <w:rFonts w:cstheme="minorHAnsi"/>
        </w:rPr>
        <w:t xml:space="preserve">the better </w:t>
      </w:r>
      <w:r w:rsidRPr="00157B67">
        <w:rPr>
          <w:rFonts w:cstheme="minorHAnsi"/>
        </w:rPr>
        <w:t xml:space="preserve">farming practices.  </w:t>
      </w:r>
    </w:p>
    <w:p w:rsidR="00FA1FE1" w:rsidRPr="00157B67" w:rsidRDefault="00FA1FE1" w:rsidP="00FA1FE1">
      <w:pPr>
        <w:autoSpaceDE w:val="0"/>
        <w:autoSpaceDN w:val="0"/>
        <w:adjustRightInd w:val="0"/>
        <w:spacing w:after="0"/>
        <w:rPr>
          <w:rFonts w:cstheme="minorHAnsi"/>
        </w:rPr>
      </w:pPr>
      <w:r w:rsidRPr="00157B67">
        <w:rPr>
          <w:rFonts w:cstheme="minorHAnsi"/>
          <w:b/>
        </w:rPr>
        <w:t>Access to credit:</w:t>
      </w:r>
      <w:r w:rsidRPr="00157B67">
        <w:rPr>
          <w:rFonts w:cstheme="minorHAnsi"/>
        </w:rPr>
        <w:t xml:space="preserve"> </w:t>
      </w:r>
      <w:r>
        <w:rPr>
          <w:rFonts w:cstheme="minorHAnsi"/>
        </w:rPr>
        <w:t>Farmers have limited assets and the informality of land tenure restricts access to credit.</w:t>
      </w:r>
      <w:r w:rsidRPr="00157B67">
        <w:rPr>
          <w:rFonts w:cstheme="minorHAnsi"/>
        </w:rPr>
        <w:t xml:space="preserve"> Lending i</w:t>
      </w:r>
      <w:r>
        <w:rPr>
          <w:rFonts w:cstheme="minorHAnsi"/>
        </w:rPr>
        <w:t>s crucial in</w:t>
      </w:r>
      <w:r w:rsidRPr="00157B67">
        <w:rPr>
          <w:rFonts w:cstheme="minorHAnsi"/>
        </w:rPr>
        <w:t xml:space="preserve"> agr</w:t>
      </w:r>
      <w:r>
        <w:rPr>
          <w:rFonts w:cstheme="minorHAnsi"/>
        </w:rPr>
        <w:t>i</w:t>
      </w:r>
      <w:r w:rsidRPr="00157B67">
        <w:rPr>
          <w:rFonts w:cstheme="minorHAnsi"/>
        </w:rPr>
        <w:t xml:space="preserve">-business </w:t>
      </w:r>
      <w:r>
        <w:rPr>
          <w:rFonts w:cstheme="minorHAnsi"/>
        </w:rPr>
        <w:t xml:space="preserve">as it enables </w:t>
      </w:r>
      <w:r w:rsidRPr="00157B67">
        <w:rPr>
          <w:rFonts w:cstheme="minorHAnsi"/>
        </w:rPr>
        <w:t xml:space="preserve">farmers </w:t>
      </w:r>
      <w:r>
        <w:rPr>
          <w:rFonts w:cstheme="minorHAnsi"/>
        </w:rPr>
        <w:t>to</w:t>
      </w:r>
      <w:r w:rsidRPr="00157B67">
        <w:rPr>
          <w:rFonts w:cstheme="minorHAnsi"/>
        </w:rPr>
        <w:t xml:space="preserve"> build storage facilities, buy or </w:t>
      </w:r>
      <w:r>
        <w:rPr>
          <w:rFonts w:cstheme="minorHAnsi"/>
        </w:rPr>
        <w:t>l</w:t>
      </w:r>
      <w:r w:rsidRPr="00157B67">
        <w:rPr>
          <w:rFonts w:cstheme="minorHAnsi"/>
        </w:rPr>
        <w:t>ease equipment</w:t>
      </w:r>
      <w:r>
        <w:rPr>
          <w:rFonts w:cstheme="minorHAnsi"/>
        </w:rPr>
        <w:t>,</w:t>
      </w:r>
      <w:r w:rsidRPr="00157B67">
        <w:rPr>
          <w:rFonts w:cstheme="minorHAnsi"/>
        </w:rPr>
        <w:t xml:space="preserve"> and purchase inputs</w:t>
      </w:r>
      <w:r>
        <w:rPr>
          <w:rFonts w:cstheme="minorHAnsi"/>
        </w:rPr>
        <w:t>, etc.</w:t>
      </w:r>
    </w:p>
    <w:p w:rsidR="00FA1FE1" w:rsidRPr="00157B67" w:rsidRDefault="00FA1FE1" w:rsidP="00FA1FE1">
      <w:pPr>
        <w:autoSpaceDE w:val="0"/>
        <w:autoSpaceDN w:val="0"/>
        <w:adjustRightInd w:val="0"/>
        <w:spacing w:before="240"/>
        <w:rPr>
          <w:rFonts w:cstheme="minorHAnsi"/>
        </w:rPr>
      </w:pPr>
      <w:r w:rsidRPr="00157B67">
        <w:rPr>
          <w:rFonts w:cstheme="minorHAnsi"/>
          <w:b/>
        </w:rPr>
        <w:t>Limited access to irrigation systems</w:t>
      </w:r>
      <w:r>
        <w:rPr>
          <w:rFonts w:cstheme="minorHAnsi"/>
          <w:b/>
        </w:rPr>
        <w:t>:</w:t>
      </w:r>
      <w:r w:rsidRPr="00157B67">
        <w:rPr>
          <w:rFonts w:cstheme="minorHAnsi"/>
        </w:rPr>
        <w:t xml:space="preserve"> Water suppl</w:t>
      </w:r>
      <w:r>
        <w:rPr>
          <w:rFonts w:cstheme="minorHAnsi"/>
        </w:rPr>
        <w:t>ies are</w:t>
      </w:r>
      <w:r w:rsidRPr="00157B67">
        <w:rPr>
          <w:rFonts w:cstheme="minorHAnsi"/>
        </w:rPr>
        <w:t xml:space="preserve"> limited in Afghanistan and farmers struggle to </w:t>
      </w:r>
      <w:r>
        <w:rPr>
          <w:rFonts w:cstheme="minorHAnsi"/>
        </w:rPr>
        <w:t>carry out</w:t>
      </w:r>
      <w:r w:rsidRPr="00157B67">
        <w:rPr>
          <w:rFonts w:cstheme="minorHAnsi"/>
        </w:rPr>
        <w:t xml:space="preserve"> irrigat</w:t>
      </w:r>
      <w:r>
        <w:rPr>
          <w:rFonts w:cstheme="minorHAnsi"/>
        </w:rPr>
        <w:t>ion</w:t>
      </w:r>
      <w:r w:rsidRPr="00157B67">
        <w:rPr>
          <w:rFonts w:cstheme="minorHAnsi"/>
        </w:rPr>
        <w:t xml:space="preserve">. Over half of the irrigation systems are broken and in need of rehabilitation.  Kandahar and Ghazni are two regions with </w:t>
      </w:r>
      <w:r>
        <w:rPr>
          <w:rFonts w:cstheme="minorHAnsi"/>
        </w:rPr>
        <w:t>the highest</w:t>
      </w:r>
      <w:r w:rsidRPr="00157B67">
        <w:rPr>
          <w:rFonts w:cstheme="minorHAnsi"/>
        </w:rPr>
        <w:t xml:space="preserve"> water insecurity </w:t>
      </w:r>
      <w:r>
        <w:rPr>
          <w:rFonts w:cstheme="minorHAnsi"/>
        </w:rPr>
        <w:t xml:space="preserve">rating </w:t>
      </w:r>
      <w:r w:rsidRPr="00157B67">
        <w:rPr>
          <w:rFonts w:cstheme="minorHAnsi"/>
        </w:rPr>
        <w:t xml:space="preserve">in </w:t>
      </w:r>
      <w:r>
        <w:rPr>
          <w:rFonts w:cstheme="minorHAnsi"/>
        </w:rPr>
        <w:t>n</w:t>
      </w:r>
      <w:r w:rsidRPr="00157B67">
        <w:rPr>
          <w:rFonts w:cstheme="minorHAnsi"/>
        </w:rPr>
        <w:t xml:space="preserve">orthern and </w:t>
      </w:r>
      <w:r>
        <w:rPr>
          <w:rFonts w:cstheme="minorHAnsi"/>
        </w:rPr>
        <w:t>w</w:t>
      </w:r>
      <w:r w:rsidRPr="00157B67">
        <w:rPr>
          <w:rFonts w:cstheme="minorHAnsi"/>
        </w:rPr>
        <w:t>estern Afghanistan</w:t>
      </w:r>
      <w:r>
        <w:rPr>
          <w:rFonts w:cstheme="minorHAnsi"/>
        </w:rPr>
        <w:t>, making them ideal candidates for</w:t>
      </w:r>
      <w:r w:rsidRPr="00157B67">
        <w:rPr>
          <w:rFonts w:cstheme="minorHAnsi"/>
        </w:rPr>
        <w:t xml:space="preserve"> water reservoir development.</w:t>
      </w:r>
    </w:p>
    <w:p w:rsidR="00FA1FE1" w:rsidRPr="00157B67" w:rsidRDefault="00FA1FE1" w:rsidP="00FA1FE1">
      <w:pPr>
        <w:spacing w:after="0"/>
        <w:rPr>
          <w:rFonts w:eastAsia="Times New Roman"/>
          <w:lang w:eastAsia="de-DE"/>
        </w:rPr>
      </w:pPr>
      <w:r>
        <w:rPr>
          <w:rFonts w:eastAsia="Times New Roman"/>
          <w:lang w:eastAsia="de-DE"/>
        </w:rPr>
        <w:t>P</w:t>
      </w:r>
      <w:r w:rsidRPr="00157B67">
        <w:rPr>
          <w:rFonts w:eastAsia="Times New Roman"/>
          <w:lang w:eastAsia="de-DE"/>
        </w:rPr>
        <w:t>ackaging procedures are outdated</w:t>
      </w:r>
      <w:r>
        <w:rPr>
          <w:rFonts w:eastAsia="Times New Roman"/>
          <w:lang w:eastAsia="de-DE"/>
        </w:rPr>
        <w:t>, leaving</w:t>
      </w:r>
      <w:r w:rsidRPr="00157B67">
        <w:rPr>
          <w:rFonts w:eastAsia="Times New Roman"/>
          <w:lang w:eastAsia="de-DE"/>
        </w:rPr>
        <w:t xml:space="preserve"> fresh goods </w:t>
      </w:r>
      <w:r>
        <w:rPr>
          <w:rFonts w:eastAsia="Times New Roman"/>
          <w:lang w:eastAsia="de-DE"/>
        </w:rPr>
        <w:t xml:space="preserve">to perish </w:t>
      </w:r>
      <w:r w:rsidRPr="00157B67">
        <w:rPr>
          <w:rFonts w:eastAsia="Times New Roman"/>
          <w:lang w:eastAsia="de-DE"/>
        </w:rPr>
        <w:t>en route to markets</w:t>
      </w:r>
      <w:r>
        <w:rPr>
          <w:rFonts w:eastAsia="Times New Roman"/>
          <w:lang w:eastAsia="de-DE"/>
        </w:rPr>
        <w:t xml:space="preserve">: </w:t>
      </w:r>
      <w:r w:rsidRPr="00FA4522">
        <w:rPr>
          <w:rFonts w:eastAsia="Times New Roman"/>
          <w:lang w:eastAsia="de-DE"/>
        </w:rPr>
        <w:t>Improved packaging, therefore, is crucial for export growth.</w:t>
      </w:r>
      <w:r w:rsidRPr="00157B67">
        <w:rPr>
          <w:rFonts w:eastAsia="Times New Roman"/>
          <w:lang w:eastAsia="de-DE"/>
        </w:rPr>
        <w:t xml:space="preserve"> </w:t>
      </w:r>
      <w:r>
        <w:rPr>
          <w:rFonts w:eastAsia="Times New Roman"/>
          <w:lang w:eastAsia="de-DE"/>
        </w:rPr>
        <w:t>This offers</w:t>
      </w:r>
      <w:r w:rsidRPr="00157B67">
        <w:rPr>
          <w:rFonts w:eastAsia="Times New Roman"/>
          <w:lang w:eastAsia="de-DE"/>
        </w:rPr>
        <w:t xml:space="preserve"> great opportunit</w:t>
      </w:r>
      <w:r>
        <w:rPr>
          <w:rFonts w:eastAsia="Times New Roman"/>
          <w:lang w:eastAsia="de-DE"/>
        </w:rPr>
        <w:t>y</w:t>
      </w:r>
      <w:r w:rsidRPr="00157B67">
        <w:rPr>
          <w:rFonts w:eastAsia="Times New Roman"/>
          <w:lang w:eastAsia="de-DE"/>
        </w:rPr>
        <w:t xml:space="preserve"> for investors, as demand for Afghan agricultural goods is high</w:t>
      </w:r>
      <w:r>
        <w:rPr>
          <w:rFonts w:eastAsia="Times New Roman"/>
          <w:lang w:eastAsia="de-DE"/>
        </w:rPr>
        <w:t>. But some</w:t>
      </w:r>
      <w:r w:rsidRPr="00157B67">
        <w:rPr>
          <w:rFonts w:eastAsia="Times New Roman"/>
          <w:lang w:eastAsia="de-DE"/>
        </w:rPr>
        <w:t xml:space="preserve"> 20-40</w:t>
      </w:r>
      <w:r>
        <w:rPr>
          <w:rFonts w:eastAsia="Times New Roman"/>
          <w:lang w:eastAsia="de-DE"/>
        </w:rPr>
        <w:t xml:space="preserve"> percent</w:t>
      </w:r>
      <w:r w:rsidRPr="00157B67">
        <w:rPr>
          <w:rFonts w:eastAsia="Times New Roman"/>
          <w:lang w:eastAsia="de-DE"/>
        </w:rPr>
        <w:t xml:space="preserve"> of post-harvest horticultur</w:t>
      </w:r>
      <w:r>
        <w:rPr>
          <w:rFonts w:eastAsia="Times New Roman"/>
          <w:lang w:eastAsia="de-DE"/>
        </w:rPr>
        <w:t>al</w:t>
      </w:r>
      <w:r w:rsidRPr="00157B67">
        <w:rPr>
          <w:rFonts w:eastAsia="Times New Roman"/>
          <w:lang w:eastAsia="de-DE"/>
        </w:rPr>
        <w:t xml:space="preserve"> products</w:t>
      </w:r>
      <w:r>
        <w:rPr>
          <w:rFonts w:eastAsia="Times New Roman"/>
          <w:lang w:eastAsia="de-DE"/>
        </w:rPr>
        <w:t xml:space="preserve"> </w:t>
      </w:r>
      <w:r w:rsidRPr="00157B67">
        <w:rPr>
          <w:rFonts w:eastAsia="Times New Roman"/>
          <w:lang w:eastAsia="de-DE"/>
        </w:rPr>
        <w:t>are wasted because of poor packaging.</w:t>
      </w:r>
      <w:r w:rsidRPr="0059541F">
        <w:rPr>
          <w:rStyle w:val="FootnoteReference"/>
          <w:rFonts w:eastAsia="Times New Roman"/>
          <w:b/>
          <w:lang w:eastAsia="de-DE"/>
        </w:rPr>
        <w:footnoteReference w:id="43"/>
      </w:r>
      <w:r w:rsidRPr="0059541F">
        <w:rPr>
          <w:rFonts w:eastAsia="Times New Roman"/>
          <w:b/>
          <w:lang w:eastAsia="de-DE"/>
        </w:rPr>
        <w:t xml:space="preserve"> </w:t>
      </w:r>
      <w:r w:rsidRPr="00157B67">
        <w:rPr>
          <w:rFonts w:eastAsia="Times New Roman"/>
          <w:lang w:eastAsia="de-DE"/>
        </w:rPr>
        <w:t>Plastic tunnels</w:t>
      </w:r>
      <w:r>
        <w:rPr>
          <w:rFonts w:eastAsia="Times New Roman"/>
          <w:lang w:eastAsia="de-DE"/>
        </w:rPr>
        <w:t>, rather than the currently-used wooden crates,</w:t>
      </w:r>
      <w:r w:rsidRPr="00157B67">
        <w:rPr>
          <w:rFonts w:eastAsia="Times New Roman"/>
          <w:lang w:eastAsia="de-DE"/>
        </w:rPr>
        <w:t xml:space="preserve"> could be used to extend the freshness of vegetables </w:t>
      </w:r>
      <w:r>
        <w:rPr>
          <w:rFonts w:eastAsia="Times New Roman"/>
          <w:lang w:eastAsia="de-DE"/>
        </w:rPr>
        <w:t>such as</w:t>
      </w:r>
      <w:r w:rsidRPr="00157B67">
        <w:rPr>
          <w:rFonts w:eastAsia="Times New Roman"/>
          <w:lang w:eastAsia="de-DE"/>
        </w:rPr>
        <w:t xml:space="preserve"> cucumbers and tomatoes. </w:t>
      </w:r>
      <w:r>
        <w:rPr>
          <w:rFonts w:eastAsia="Times New Roman"/>
          <w:lang w:eastAsia="de-DE"/>
        </w:rPr>
        <w:t>The p</w:t>
      </w:r>
      <w:r w:rsidRPr="00157B67">
        <w:rPr>
          <w:rFonts w:eastAsia="Times New Roman"/>
          <w:lang w:eastAsia="de-DE"/>
        </w:rPr>
        <w:t xml:space="preserve">lastic would </w:t>
      </w:r>
      <w:r>
        <w:rPr>
          <w:rFonts w:eastAsia="Times New Roman"/>
          <w:lang w:eastAsia="de-DE"/>
        </w:rPr>
        <w:t>help to extend</w:t>
      </w:r>
      <w:r w:rsidRPr="00157B67">
        <w:rPr>
          <w:rFonts w:eastAsia="Times New Roman"/>
          <w:lang w:eastAsia="de-DE"/>
        </w:rPr>
        <w:t xml:space="preserve"> freshness, maintain hygiene, and provide the highest quality products for international exports. </w:t>
      </w:r>
      <w:r>
        <w:rPr>
          <w:rFonts w:eastAsia="Times New Roman"/>
          <w:lang w:eastAsia="de-DE"/>
        </w:rPr>
        <w:t>Furthermore, plastic containers</w:t>
      </w:r>
      <w:r w:rsidRPr="00157B67">
        <w:rPr>
          <w:rFonts w:eastAsia="Times New Roman"/>
          <w:lang w:eastAsia="de-DE"/>
        </w:rPr>
        <w:t xml:space="preserve"> are </w:t>
      </w:r>
      <w:r>
        <w:rPr>
          <w:rFonts w:eastAsia="Times New Roman"/>
          <w:lang w:eastAsia="de-DE"/>
        </w:rPr>
        <w:t xml:space="preserve">more </w:t>
      </w:r>
      <w:r w:rsidRPr="00157B67">
        <w:rPr>
          <w:rFonts w:eastAsia="Times New Roman"/>
          <w:lang w:eastAsia="de-DE"/>
        </w:rPr>
        <w:t>easily reusable</w:t>
      </w:r>
      <w:r>
        <w:rPr>
          <w:rFonts w:eastAsia="Times New Roman"/>
          <w:lang w:eastAsia="de-DE"/>
        </w:rPr>
        <w:t xml:space="preserve"> and</w:t>
      </w:r>
      <w:r w:rsidRPr="00157B67">
        <w:rPr>
          <w:rFonts w:eastAsia="Times New Roman"/>
          <w:lang w:eastAsia="de-DE"/>
        </w:rPr>
        <w:t xml:space="preserve"> </w:t>
      </w:r>
      <w:r>
        <w:rPr>
          <w:rFonts w:eastAsia="Times New Roman"/>
          <w:lang w:eastAsia="de-DE"/>
        </w:rPr>
        <w:t>encourage</w:t>
      </w:r>
      <w:r w:rsidRPr="00157B67">
        <w:rPr>
          <w:rFonts w:eastAsia="Times New Roman"/>
          <w:lang w:eastAsia="de-DE"/>
        </w:rPr>
        <w:t xml:space="preserve"> creative product advertising. </w:t>
      </w:r>
    </w:p>
    <w:p w:rsidR="00FA1FE1" w:rsidRPr="00157B67" w:rsidRDefault="00FA1FE1" w:rsidP="00FA1FE1">
      <w:pPr>
        <w:spacing w:before="240"/>
        <w:rPr>
          <w:rFonts w:eastAsia="Times New Roman"/>
          <w:lang w:eastAsia="de-DE"/>
        </w:rPr>
      </w:pPr>
      <w:r w:rsidRPr="00157B67">
        <w:rPr>
          <w:rFonts w:eastAsia="Times New Roman"/>
          <w:b/>
          <w:lang w:eastAsia="de-DE"/>
        </w:rPr>
        <w:t xml:space="preserve">Cold storage and </w:t>
      </w:r>
      <w:r>
        <w:rPr>
          <w:rFonts w:eastAsia="Times New Roman"/>
          <w:b/>
          <w:lang w:eastAsia="de-DE"/>
        </w:rPr>
        <w:t>refrigerated</w:t>
      </w:r>
      <w:r w:rsidRPr="00157B67">
        <w:rPr>
          <w:rFonts w:eastAsia="Times New Roman"/>
          <w:b/>
          <w:lang w:eastAsia="de-DE"/>
        </w:rPr>
        <w:t xml:space="preserve"> transportation is another advantageous opportunity for invest</w:t>
      </w:r>
      <w:r>
        <w:rPr>
          <w:rFonts w:eastAsia="Times New Roman"/>
          <w:b/>
          <w:lang w:eastAsia="de-DE"/>
        </w:rPr>
        <w:t>ors while helping</w:t>
      </w:r>
      <w:r w:rsidRPr="00157B67">
        <w:rPr>
          <w:rFonts w:eastAsia="Times New Roman"/>
          <w:b/>
          <w:lang w:eastAsia="de-DE"/>
        </w:rPr>
        <w:t xml:space="preserve"> farmers </w:t>
      </w:r>
      <w:r>
        <w:rPr>
          <w:rFonts w:eastAsia="Times New Roman"/>
          <w:b/>
          <w:lang w:eastAsia="de-DE"/>
        </w:rPr>
        <w:t xml:space="preserve">to </w:t>
      </w:r>
      <w:r w:rsidRPr="00157B67">
        <w:rPr>
          <w:rFonts w:eastAsia="Times New Roman"/>
          <w:b/>
          <w:lang w:eastAsia="de-DE"/>
        </w:rPr>
        <w:t>avoid losses and improve product quality</w:t>
      </w:r>
      <w:r w:rsidRPr="00157B67">
        <w:rPr>
          <w:rFonts w:eastAsia="Times New Roman"/>
          <w:lang w:eastAsia="de-DE"/>
        </w:rPr>
        <w:t>. The best opportunity for cold storage is at the end of the season</w:t>
      </w:r>
      <w:r>
        <w:rPr>
          <w:rFonts w:eastAsia="Times New Roman"/>
          <w:lang w:eastAsia="de-DE"/>
        </w:rPr>
        <w:t>, before</w:t>
      </w:r>
      <w:r w:rsidRPr="00157B67">
        <w:rPr>
          <w:rFonts w:eastAsia="Times New Roman"/>
          <w:lang w:eastAsia="de-DE"/>
        </w:rPr>
        <w:t xml:space="preserve"> trad</w:t>
      </w:r>
      <w:r>
        <w:rPr>
          <w:rFonts w:eastAsia="Times New Roman"/>
          <w:lang w:eastAsia="de-DE"/>
        </w:rPr>
        <w:t>ing</w:t>
      </w:r>
      <w:r w:rsidRPr="00157B67">
        <w:rPr>
          <w:rFonts w:eastAsia="Times New Roman"/>
          <w:lang w:eastAsia="de-DE"/>
        </w:rPr>
        <w:t xml:space="preserve"> partners such as Pakistan are ready for </w:t>
      </w:r>
      <w:r>
        <w:rPr>
          <w:rFonts w:eastAsia="Times New Roman"/>
          <w:lang w:eastAsia="de-DE"/>
        </w:rPr>
        <w:t xml:space="preserve">their own </w:t>
      </w:r>
      <w:r w:rsidRPr="00157B67">
        <w:rPr>
          <w:rFonts w:eastAsia="Times New Roman"/>
          <w:lang w:eastAsia="de-DE"/>
        </w:rPr>
        <w:t xml:space="preserve">production. In </w:t>
      </w:r>
      <w:r>
        <w:rPr>
          <w:rFonts w:eastAsia="Times New Roman"/>
          <w:lang w:eastAsia="de-DE"/>
        </w:rPr>
        <w:t>refrigerated</w:t>
      </w:r>
      <w:r w:rsidRPr="00157B67">
        <w:rPr>
          <w:rFonts w:eastAsia="Times New Roman"/>
          <w:lang w:eastAsia="de-DE"/>
        </w:rPr>
        <w:t xml:space="preserve"> transportation, there are currently </w:t>
      </w:r>
      <w:r>
        <w:rPr>
          <w:rFonts w:eastAsia="Times New Roman"/>
          <w:lang w:eastAsia="de-DE"/>
        </w:rPr>
        <w:t>fewer</w:t>
      </w:r>
      <w:r w:rsidRPr="00157B67">
        <w:rPr>
          <w:rFonts w:eastAsia="Times New Roman"/>
          <w:lang w:eastAsia="de-DE"/>
        </w:rPr>
        <w:t xml:space="preserve"> than 50 refrigerated trucks available </w:t>
      </w:r>
      <w:r>
        <w:rPr>
          <w:rFonts w:eastAsia="Times New Roman"/>
          <w:lang w:eastAsia="de-DE"/>
        </w:rPr>
        <w:t>in</w:t>
      </w:r>
      <w:r w:rsidRPr="00157B67">
        <w:rPr>
          <w:rFonts w:eastAsia="Times New Roman"/>
          <w:lang w:eastAsia="de-DE"/>
        </w:rPr>
        <w:t xml:space="preserve"> the country. </w:t>
      </w:r>
      <w:r>
        <w:rPr>
          <w:rFonts w:eastAsia="Times New Roman"/>
          <w:lang w:eastAsia="de-DE"/>
        </w:rPr>
        <w:t>I</w:t>
      </w:r>
      <w:r w:rsidRPr="00157B67">
        <w:rPr>
          <w:rFonts w:eastAsia="Times New Roman"/>
          <w:lang w:eastAsia="de-DE"/>
        </w:rPr>
        <w:t>mprove</w:t>
      </w:r>
      <w:r>
        <w:rPr>
          <w:rFonts w:eastAsia="Times New Roman"/>
          <w:lang w:eastAsia="de-DE"/>
        </w:rPr>
        <w:t>d</w:t>
      </w:r>
      <w:r w:rsidRPr="00157B67">
        <w:rPr>
          <w:rFonts w:eastAsia="Times New Roman"/>
          <w:lang w:eastAsia="de-DE"/>
        </w:rPr>
        <w:t xml:space="preserve"> logistics would also help farmers obtain better prices for their exported products.</w:t>
      </w:r>
    </w:p>
    <w:p w:rsidR="00FA1FE1" w:rsidRPr="00E4572B" w:rsidRDefault="00FA1FE1" w:rsidP="00FA1FE1">
      <w:pPr>
        <w:pStyle w:val="Heading3"/>
        <w:rPr>
          <w:rFonts w:eastAsia="Times New Roman"/>
          <w:lang w:eastAsia="de-DE"/>
        </w:rPr>
      </w:pPr>
      <w:bookmarkStart w:id="247" w:name="_Toc327208481"/>
      <w:bookmarkStart w:id="248" w:name="_Toc348451696"/>
      <w:r w:rsidRPr="00E4572B">
        <w:rPr>
          <w:rFonts w:eastAsia="Times New Roman"/>
          <w:lang w:eastAsia="de-DE"/>
        </w:rPr>
        <w:t>Opportunities and Recommendations</w:t>
      </w:r>
      <w:bookmarkEnd w:id="247"/>
      <w:bookmarkEnd w:id="248"/>
    </w:p>
    <w:p w:rsidR="00FA1FE1" w:rsidRPr="000C728C" w:rsidRDefault="00FA1FE1" w:rsidP="00FA1FE1">
      <w:pPr>
        <w:spacing w:after="0" w:line="240" w:lineRule="auto"/>
        <w:rPr>
          <w:rFonts w:eastAsia="Times New Roman"/>
          <w:lang w:eastAsia="de-DE"/>
        </w:rPr>
      </w:pPr>
      <w:r>
        <w:rPr>
          <w:rFonts w:eastAsia="Times New Roman"/>
          <w:b/>
          <w:lang w:eastAsia="de-DE"/>
        </w:rPr>
        <w:t>F</w:t>
      </w:r>
      <w:r w:rsidRPr="000C728C">
        <w:rPr>
          <w:rFonts w:eastAsia="Times New Roman"/>
          <w:b/>
          <w:lang w:eastAsia="de-DE"/>
        </w:rPr>
        <w:t xml:space="preserve">ruit and vegetable storage facilities </w:t>
      </w:r>
      <w:r>
        <w:rPr>
          <w:rFonts w:eastAsia="Times New Roman"/>
          <w:b/>
          <w:lang w:eastAsia="de-DE"/>
        </w:rPr>
        <w:t xml:space="preserve">should be established </w:t>
      </w:r>
      <w:r w:rsidRPr="000C728C">
        <w:rPr>
          <w:rFonts w:eastAsia="Times New Roman"/>
          <w:b/>
          <w:lang w:eastAsia="de-DE"/>
        </w:rPr>
        <w:t xml:space="preserve">through </w:t>
      </w:r>
      <w:r>
        <w:rPr>
          <w:rFonts w:eastAsia="Times New Roman"/>
          <w:b/>
          <w:lang w:eastAsia="de-DE"/>
        </w:rPr>
        <w:t>pu</w:t>
      </w:r>
      <w:r w:rsidRPr="000C728C">
        <w:rPr>
          <w:rFonts w:eastAsia="Times New Roman"/>
          <w:b/>
          <w:lang w:eastAsia="de-DE"/>
        </w:rPr>
        <w:t>blic</w:t>
      </w:r>
      <w:r>
        <w:rPr>
          <w:rFonts w:eastAsia="Times New Roman"/>
          <w:b/>
          <w:lang w:eastAsia="de-DE"/>
        </w:rPr>
        <w:t>-p</w:t>
      </w:r>
      <w:r w:rsidRPr="000C728C">
        <w:rPr>
          <w:rFonts w:eastAsia="Times New Roman"/>
          <w:b/>
          <w:lang w:eastAsia="de-DE"/>
        </w:rPr>
        <w:t xml:space="preserve">rivate </w:t>
      </w:r>
      <w:r>
        <w:rPr>
          <w:rFonts w:eastAsia="Times New Roman"/>
          <w:b/>
          <w:lang w:eastAsia="de-DE"/>
        </w:rPr>
        <w:t>p</w:t>
      </w:r>
      <w:r w:rsidRPr="000C728C">
        <w:rPr>
          <w:rFonts w:eastAsia="Times New Roman"/>
          <w:b/>
          <w:lang w:eastAsia="de-DE"/>
        </w:rPr>
        <w:t>artnership</w:t>
      </w:r>
      <w:r>
        <w:rPr>
          <w:rFonts w:eastAsia="Times New Roman"/>
          <w:b/>
          <w:lang w:eastAsia="de-DE"/>
        </w:rPr>
        <w:t>s</w:t>
      </w:r>
      <w:r w:rsidRPr="000C728C">
        <w:rPr>
          <w:rFonts w:eastAsia="Times New Roman"/>
          <w:b/>
          <w:lang w:eastAsia="de-DE"/>
        </w:rPr>
        <w:t xml:space="preserve"> in Kabul and other major urban centers</w:t>
      </w:r>
      <w:r w:rsidRPr="000C728C">
        <w:rPr>
          <w:rFonts w:eastAsia="Times New Roman"/>
          <w:lang w:eastAsia="de-DE"/>
        </w:rPr>
        <w:t xml:space="preserve">. This will help address the limited storage capacity, </w:t>
      </w:r>
      <w:r>
        <w:rPr>
          <w:rFonts w:eastAsia="Times New Roman"/>
          <w:lang w:eastAsia="de-DE"/>
        </w:rPr>
        <w:t>and reduce</w:t>
      </w:r>
      <w:r w:rsidRPr="000C728C">
        <w:rPr>
          <w:rFonts w:eastAsia="Times New Roman"/>
          <w:lang w:eastAsia="de-DE"/>
        </w:rPr>
        <w:t xml:space="preserve"> post-harvest losses and higher costs.  </w:t>
      </w:r>
    </w:p>
    <w:p w:rsidR="00FA1FE1" w:rsidRPr="000C728C" w:rsidRDefault="00FA1FE1" w:rsidP="00FA1FE1">
      <w:pPr>
        <w:spacing w:after="0" w:line="240" w:lineRule="auto"/>
        <w:rPr>
          <w:rFonts w:eastAsia="Times New Roman"/>
          <w:lang w:eastAsia="de-DE"/>
        </w:rPr>
      </w:pPr>
    </w:p>
    <w:p w:rsidR="00FA1FE1" w:rsidRDefault="00FA1FE1" w:rsidP="00FA1FE1">
      <w:pPr>
        <w:spacing w:line="240" w:lineRule="auto"/>
        <w:rPr>
          <w:rFonts w:eastAsia="Times New Roman"/>
          <w:lang w:eastAsia="de-DE"/>
        </w:rPr>
      </w:pPr>
      <w:r>
        <w:rPr>
          <w:rFonts w:eastAsia="Times New Roman"/>
          <w:b/>
          <w:lang w:eastAsia="de-DE"/>
        </w:rPr>
        <w:t xml:space="preserve">Industry leaders should establish </w:t>
      </w:r>
      <w:r w:rsidRPr="000C728C">
        <w:rPr>
          <w:rFonts w:eastAsia="Times New Roman"/>
          <w:b/>
          <w:lang w:eastAsia="de-DE"/>
        </w:rPr>
        <w:t xml:space="preserve">standards for packaging and identify packaging needs. </w:t>
      </w:r>
      <w:r w:rsidRPr="000C728C">
        <w:rPr>
          <w:rFonts w:eastAsia="Times New Roman"/>
          <w:lang w:eastAsia="de-DE"/>
        </w:rPr>
        <w:t>This w</w:t>
      </w:r>
      <w:r>
        <w:rPr>
          <w:rFonts w:eastAsia="Times New Roman"/>
          <w:lang w:eastAsia="de-DE"/>
        </w:rPr>
        <w:t xml:space="preserve">ould </w:t>
      </w:r>
      <w:r w:rsidRPr="000C728C">
        <w:rPr>
          <w:rFonts w:eastAsia="Times New Roman"/>
          <w:lang w:eastAsia="de-DE"/>
        </w:rPr>
        <w:t>reduce product damage</w:t>
      </w:r>
      <w:r>
        <w:rPr>
          <w:rFonts w:eastAsia="Times New Roman"/>
          <w:lang w:eastAsia="de-DE"/>
        </w:rPr>
        <w:t>, and cut</w:t>
      </w:r>
      <w:r w:rsidRPr="000C728C">
        <w:rPr>
          <w:rFonts w:eastAsia="Times New Roman"/>
          <w:lang w:eastAsia="de-DE"/>
        </w:rPr>
        <w:t xml:space="preserve"> losses for exporters</w:t>
      </w:r>
      <w:r>
        <w:rPr>
          <w:rFonts w:eastAsia="Times New Roman"/>
          <w:lang w:eastAsia="de-DE"/>
        </w:rPr>
        <w:t xml:space="preserve"> by lower</w:t>
      </w:r>
      <w:r w:rsidRPr="000C728C">
        <w:rPr>
          <w:rFonts w:eastAsia="Times New Roman"/>
          <w:lang w:eastAsia="de-DE"/>
        </w:rPr>
        <w:t xml:space="preserve"> export costs and </w:t>
      </w:r>
      <w:r>
        <w:rPr>
          <w:rFonts w:eastAsia="Times New Roman"/>
          <w:lang w:eastAsia="de-DE"/>
        </w:rPr>
        <w:t xml:space="preserve">raising the </w:t>
      </w:r>
      <w:r w:rsidRPr="000C728C">
        <w:rPr>
          <w:rFonts w:eastAsia="Times New Roman"/>
          <w:lang w:eastAsia="de-DE"/>
        </w:rPr>
        <w:t xml:space="preserve">quality </w:t>
      </w:r>
      <w:r>
        <w:rPr>
          <w:rFonts w:eastAsia="Times New Roman"/>
          <w:lang w:eastAsia="de-DE"/>
        </w:rPr>
        <w:t xml:space="preserve">of </w:t>
      </w:r>
      <w:r w:rsidRPr="000C728C">
        <w:rPr>
          <w:rFonts w:eastAsia="Times New Roman"/>
          <w:lang w:eastAsia="de-DE"/>
        </w:rPr>
        <w:t xml:space="preserve">products </w:t>
      </w:r>
      <w:r>
        <w:rPr>
          <w:rFonts w:eastAsia="Times New Roman"/>
          <w:lang w:eastAsia="de-DE"/>
        </w:rPr>
        <w:t xml:space="preserve">for </w:t>
      </w:r>
      <w:r w:rsidRPr="000C728C">
        <w:rPr>
          <w:rFonts w:eastAsia="Times New Roman"/>
          <w:lang w:eastAsia="de-DE"/>
        </w:rPr>
        <w:t xml:space="preserve">the final destination. Packaging can be a way of </w:t>
      </w:r>
      <w:r>
        <w:rPr>
          <w:rFonts w:eastAsia="Times New Roman"/>
          <w:lang w:eastAsia="de-DE"/>
        </w:rPr>
        <w:t>promoting products</w:t>
      </w:r>
      <w:r w:rsidRPr="000C728C">
        <w:rPr>
          <w:rFonts w:eastAsia="Times New Roman"/>
          <w:lang w:eastAsia="de-DE"/>
        </w:rPr>
        <w:t xml:space="preserve"> by highlighting </w:t>
      </w:r>
      <w:r>
        <w:rPr>
          <w:rFonts w:eastAsia="Times New Roman"/>
          <w:lang w:eastAsia="de-DE"/>
        </w:rPr>
        <w:t xml:space="preserve">market-specific </w:t>
      </w:r>
      <w:r w:rsidRPr="000C728C">
        <w:rPr>
          <w:rFonts w:eastAsia="Times New Roman"/>
          <w:lang w:eastAsia="de-DE"/>
        </w:rPr>
        <w:t>price premiums</w:t>
      </w:r>
      <w:r>
        <w:rPr>
          <w:rFonts w:eastAsia="Times New Roman"/>
          <w:lang w:eastAsia="de-DE"/>
        </w:rPr>
        <w:t>,</w:t>
      </w:r>
      <w:r w:rsidRPr="000C728C">
        <w:rPr>
          <w:rFonts w:eastAsia="Times New Roman"/>
          <w:lang w:eastAsia="de-DE"/>
        </w:rPr>
        <w:t xml:space="preserve"> </w:t>
      </w:r>
      <w:r>
        <w:rPr>
          <w:rFonts w:eastAsia="Times New Roman"/>
          <w:lang w:eastAsia="de-DE"/>
        </w:rPr>
        <w:t>h</w:t>
      </w:r>
      <w:r w:rsidRPr="000C728C">
        <w:rPr>
          <w:rFonts w:eastAsia="Times New Roman"/>
          <w:lang w:eastAsia="de-DE"/>
        </w:rPr>
        <w:t>ealth benefits</w:t>
      </w:r>
      <w:r>
        <w:rPr>
          <w:rFonts w:eastAsia="Times New Roman"/>
          <w:lang w:eastAsia="de-DE"/>
        </w:rPr>
        <w:t>,</w:t>
      </w:r>
      <w:r w:rsidRPr="000C728C">
        <w:rPr>
          <w:rFonts w:eastAsia="Times New Roman"/>
          <w:lang w:eastAsia="de-DE"/>
        </w:rPr>
        <w:t xml:space="preserve"> </w:t>
      </w:r>
      <w:r>
        <w:rPr>
          <w:rFonts w:eastAsia="Times New Roman"/>
          <w:lang w:eastAsia="de-DE"/>
        </w:rPr>
        <w:t>and</w:t>
      </w:r>
      <w:r w:rsidRPr="000C728C">
        <w:rPr>
          <w:rFonts w:eastAsia="Times New Roman"/>
          <w:lang w:eastAsia="de-DE"/>
        </w:rPr>
        <w:t xml:space="preserve"> organic cultivation</w:t>
      </w:r>
      <w:r>
        <w:rPr>
          <w:rFonts w:eastAsia="Times New Roman"/>
          <w:lang w:eastAsia="de-DE"/>
        </w:rPr>
        <w:t>.</w:t>
      </w:r>
    </w:p>
    <w:p w:rsidR="00FA1FE1" w:rsidRDefault="00FA1FE1" w:rsidP="00FA1FE1">
      <w:pPr>
        <w:spacing w:line="240" w:lineRule="auto"/>
        <w:rPr>
          <w:rFonts w:eastAsia="Times New Roman"/>
          <w:lang w:eastAsia="de-DE"/>
        </w:rPr>
      </w:pPr>
      <w:r>
        <w:rPr>
          <w:rFonts w:eastAsia="Times New Roman"/>
          <w:b/>
          <w:lang w:eastAsia="de-DE"/>
        </w:rPr>
        <w:t>S</w:t>
      </w:r>
      <w:r w:rsidRPr="000C728C">
        <w:rPr>
          <w:rFonts w:eastAsia="Times New Roman"/>
          <w:b/>
          <w:lang w:eastAsia="de-DE"/>
        </w:rPr>
        <w:t>treamlin</w:t>
      </w:r>
      <w:r>
        <w:rPr>
          <w:rFonts w:eastAsia="Times New Roman"/>
          <w:b/>
          <w:lang w:eastAsia="de-DE"/>
        </w:rPr>
        <w:t>ing of</w:t>
      </w:r>
      <w:r w:rsidRPr="000C728C">
        <w:rPr>
          <w:rFonts w:eastAsia="Times New Roman"/>
          <w:b/>
          <w:lang w:eastAsia="de-DE"/>
        </w:rPr>
        <w:t xml:space="preserve"> food safety management, inspection, and certification</w:t>
      </w:r>
      <w:r>
        <w:rPr>
          <w:rFonts w:eastAsia="Times New Roman"/>
          <w:b/>
          <w:lang w:eastAsia="de-DE"/>
        </w:rPr>
        <w:t>,</w:t>
      </w:r>
      <w:r w:rsidRPr="000C728C">
        <w:rPr>
          <w:rFonts w:eastAsia="Times New Roman"/>
          <w:b/>
          <w:lang w:eastAsia="de-DE"/>
        </w:rPr>
        <w:t xml:space="preserve"> </w:t>
      </w:r>
      <w:r>
        <w:rPr>
          <w:rFonts w:eastAsia="Times New Roman"/>
          <w:b/>
          <w:lang w:eastAsia="de-DE"/>
        </w:rPr>
        <w:t>in a transparent manner, would be a crucial step</w:t>
      </w:r>
      <w:r w:rsidRPr="000C728C">
        <w:rPr>
          <w:rFonts w:eastAsia="Times New Roman"/>
          <w:lang w:eastAsia="de-DE"/>
        </w:rPr>
        <w:t xml:space="preserve"> </w:t>
      </w:r>
      <w:r>
        <w:rPr>
          <w:rFonts w:eastAsia="Times New Roman"/>
          <w:lang w:eastAsia="de-DE"/>
        </w:rPr>
        <w:t>in re</w:t>
      </w:r>
      <w:r w:rsidRPr="000C728C">
        <w:rPr>
          <w:rFonts w:eastAsia="Times New Roman"/>
          <w:lang w:eastAsia="de-DE"/>
        </w:rPr>
        <w:t>dress</w:t>
      </w:r>
      <w:r>
        <w:rPr>
          <w:rFonts w:eastAsia="Times New Roman"/>
          <w:lang w:eastAsia="de-DE"/>
        </w:rPr>
        <w:t>ing</w:t>
      </w:r>
      <w:r w:rsidRPr="000C728C">
        <w:rPr>
          <w:rFonts w:eastAsia="Times New Roman"/>
          <w:lang w:eastAsia="de-DE"/>
        </w:rPr>
        <w:t xml:space="preserve"> </w:t>
      </w:r>
      <w:r>
        <w:rPr>
          <w:rFonts w:eastAsia="Times New Roman"/>
          <w:lang w:eastAsia="de-DE"/>
        </w:rPr>
        <w:t xml:space="preserve">current </w:t>
      </w:r>
      <w:r w:rsidRPr="000C728C">
        <w:rPr>
          <w:rFonts w:eastAsia="Times New Roman"/>
          <w:lang w:eastAsia="de-DE"/>
        </w:rPr>
        <w:t>weak control</w:t>
      </w:r>
      <w:r>
        <w:rPr>
          <w:rFonts w:eastAsia="Times New Roman"/>
          <w:lang w:eastAsia="de-DE"/>
        </w:rPr>
        <w:t>s</w:t>
      </w:r>
      <w:r w:rsidRPr="000C728C">
        <w:rPr>
          <w:rFonts w:eastAsia="Times New Roman"/>
          <w:lang w:eastAsia="de-DE"/>
        </w:rPr>
        <w:t xml:space="preserve">. </w:t>
      </w:r>
      <w:r>
        <w:rPr>
          <w:rFonts w:eastAsia="Times New Roman"/>
          <w:lang w:eastAsia="de-DE"/>
        </w:rPr>
        <w:t>This</w:t>
      </w:r>
      <w:r w:rsidRPr="000C728C">
        <w:rPr>
          <w:rFonts w:eastAsia="Times New Roman"/>
          <w:lang w:eastAsia="de-DE"/>
        </w:rPr>
        <w:t xml:space="preserve"> w</w:t>
      </w:r>
      <w:r>
        <w:rPr>
          <w:rFonts w:eastAsia="Times New Roman"/>
          <w:lang w:eastAsia="de-DE"/>
        </w:rPr>
        <w:t>ould</w:t>
      </w:r>
      <w:r w:rsidRPr="000C728C">
        <w:rPr>
          <w:rFonts w:eastAsia="Times New Roman"/>
          <w:lang w:eastAsia="de-DE"/>
        </w:rPr>
        <w:t xml:space="preserve"> require </w:t>
      </w:r>
      <w:r>
        <w:rPr>
          <w:rFonts w:eastAsia="Times New Roman"/>
          <w:lang w:eastAsia="de-DE"/>
        </w:rPr>
        <w:t xml:space="preserve">ANSA to review and strengthen current </w:t>
      </w:r>
      <w:r w:rsidRPr="000C728C">
        <w:rPr>
          <w:rFonts w:eastAsia="Times New Roman"/>
          <w:lang w:eastAsia="de-DE"/>
        </w:rPr>
        <w:t xml:space="preserve">food </w:t>
      </w:r>
      <w:r>
        <w:rPr>
          <w:rFonts w:eastAsia="Times New Roman"/>
          <w:lang w:eastAsia="de-DE"/>
        </w:rPr>
        <w:t xml:space="preserve">control </w:t>
      </w:r>
      <w:r w:rsidRPr="000C728C">
        <w:rPr>
          <w:rFonts w:eastAsia="Times New Roman"/>
          <w:lang w:eastAsia="de-DE"/>
        </w:rPr>
        <w:t xml:space="preserve">standards in </w:t>
      </w:r>
      <w:r>
        <w:rPr>
          <w:rFonts w:eastAsia="Times New Roman"/>
          <w:lang w:eastAsia="de-DE"/>
        </w:rPr>
        <w:t xml:space="preserve">Afghan </w:t>
      </w:r>
      <w:r w:rsidRPr="000C728C">
        <w:rPr>
          <w:rFonts w:eastAsia="Times New Roman"/>
          <w:lang w:eastAsia="de-DE"/>
        </w:rPr>
        <w:t>laboratories.</w:t>
      </w:r>
    </w:p>
    <w:p w:rsidR="00FA1FE1" w:rsidRPr="000C728C" w:rsidRDefault="00FA1FE1" w:rsidP="00FA1FE1">
      <w:pPr>
        <w:autoSpaceDE w:val="0"/>
        <w:autoSpaceDN w:val="0"/>
        <w:adjustRightInd w:val="0"/>
        <w:spacing w:after="240" w:line="240" w:lineRule="auto"/>
        <w:jc w:val="left"/>
        <w:rPr>
          <w:rFonts w:eastAsia="Times New Roman"/>
          <w:szCs w:val="22"/>
          <w:lang w:eastAsia="de-DE"/>
        </w:rPr>
      </w:pPr>
      <w:r w:rsidRPr="000C728C">
        <w:rPr>
          <w:rFonts w:eastAsia="Times New Roman"/>
          <w:b/>
          <w:lang w:eastAsia="de-DE"/>
        </w:rPr>
        <w:t xml:space="preserve">Afghan exporters </w:t>
      </w:r>
      <w:r>
        <w:rPr>
          <w:rFonts w:eastAsia="Times New Roman"/>
          <w:b/>
          <w:lang w:eastAsia="de-DE"/>
        </w:rPr>
        <w:t xml:space="preserve">should </w:t>
      </w:r>
      <w:r w:rsidRPr="000C728C">
        <w:rPr>
          <w:rFonts w:eastAsia="Times New Roman"/>
          <w:b/>
          <w:lang w:eastAsia="de-DE"/>
        </w:rPr>
        <w:t>focus on premium segments</w:t>
      </w:r>
      <w:r>
        <w:rPr>
          <w:rFonts w:eastAsia="Times New Roman"/>
          <w:b/>
          <w:lang w:eastAsia="de-DE"/>
        </w:rPr>
        <w:t xml:space="preserve"> for</w:t>
      </w:r>
      <w:r w:rsidRPr="000C728C">
        <w:rPr>
          <w:rFonts w:eastAsia="Times New Roman"/>
          <w:b/>
          <w:lang w:eastAsia="de-DE"/>
        </w:rPr>
        <w:t xml:space="preserve"> large importer countries. </w:t>
      </w:r>
      <w:r>
        <w:rPr>
          <w:rFonts w:eastAsia="Times New Roman"/>
          <w:b/>
          <w:lang w:eastAsia="de-DE"/>
        </w:rPr>
        <w:t xml:space="preserve">  </w:t>
      </w:r>
      <w:r w:rsidRPr="005E1C1F">
        <w:rPr>
          <w:rFonts w:eastAsia="Times New Roman"/>
          <w:lang w:eastAsia="de-DE"/>
        </w:rPr>
        <w:t>Over the medium term, o</w:t>
      </w:r>
      <w:r w:rsidRPr="005E1C1F">
        <w:rPr>
          <w:rFonts w:eastAsia="Times New Roman"/>
          <w:szCs w:val="22"/>
          <w:lang w:eastAsia="de-DE"/>
        </w:rPr>
        <w:t xml:space="preserve">rganic is an attractive and growing market, but it </w:t>
      </w:r>
      <w:r w:rsidRPr="005E1C1F">
        <w:rPr>
          <w:rFonts w:eastAsia="Times New Roman"/>
          <w:lang w:eastAsia="de-DE"/>
        </w:rPr>
        <w:t>would</w:t>
      </w:r>
      <w:r w:rsidRPr="005E1C1F">
        <w:rPr>
          <w:rFonts w:eastAsia="Times New Roman"/>
          <w:szCs w:val="22"/>
          <w:lang w:eastAsia="de-DE"/>
        </w:rPr>
        <w:t xml:space="preserve"> take 3-4 years for Afgh</w:t>
      </w:r>
      <w:r w:rsidRPr="000C728C">
        <w:rPr>
          <w:rFonts w:eastAsia="Times New Roman"/>
          <w:szCs w:val="22"/>
          <w:lang w:eastAsia="de-DE"/>
        </w:rPr>
        <w:t>anistan to receive certification.</w:t>
      </w:r>
    </w:p>
    <w:p w:rsidR="00FA1FE1" w:rsidRPr="00010C9A" w:rsidRDefault="00FA1FE1" w:rsidP="00FA1FE1">
      <w:pPr>
        <w:pStyle w:val="Heading3"/>
        <w:rPr>
          <w:rFonts w:eastAsia="Times New Roman"/>
          <w:sz w:val="24"/>
          <w:szCs w:val="24"/>
          <w:lang w:eastAsia="de-DE"/>
        </w:rPr>
      </w:pPr>
      <w:bookmarkStart w:id="249" w:name="_Toc327208482"/>
      <w:bookmarkStart w:id="250" w:name="_Toc348451697"/>
      <w:r w:rsidRPr="00010C9A">
        <w:rPr>
          <w:rFonts w:eastAsia="Times New Roman"/>
          <w:sz w:val="24"/>
          <w:szCs w:val="24"/>
          <w:lang w:eastAsia="de-DE"/>
        </w:rPr>
        <w:t>Gemstones</w:t>
      </w:r>
      <w:bookmarkEnd w:id="249"/>
      <w:bookmarkEnd w:id="250"/>
      <w:r w:rsidRPr="00010C9A">
        <w:rPr>
          <w:rFonts w:eastAsia="Times New Roman"/>
          <w:sz w:val="24"/>
          <w:szCs w:val="24"/>
          <w:lang w:eastAsia="de-DE"/>
        </w:rPr>
        <w:t xml:space="preserve"> </w:t>
      </w:r>
    </w:p>
    <w:p w:rsidR="00FA1FE1" w:rsidRPr="000C3068" w:rsidRDefault="00FA1FE1" w:rsidP="00FA1FE1">
      <w:r w:rsidRPr="000C3068">
        <w:rPr>
          <w:b/>
        </w:rPr>
        <w:t>Afghanistan is rich in gemstone deposits and there is great potential for growth in production over the medium term.</w:t>
      </w:r>
      <w:r w:rsidRPr="000C3068">
        <w:t xml:space="preserve"> The country’s deposits are distributed throughout the country, notably the Panjshir Valley (emeralds), Jegdalek (rubies and sapphires), Nuristan (emeralds, rubies, aquamarine, tourmaline, kunzite, and spodumene), Helmand (flourite), Herat (aquamarine and tourmaline), and Badaskhan (sphene, peridot, aquamarine, ruby, spinel, lazurite and lapis lazuli).</w:t>
      </w:r>
      <w:r w:rsidRPr="000C3068">
        <w:footnoteReference w:id="44"/>
      </w:r>
      <w:r w:rsidRPr="000C3068">
        <w:t xml:space="preserve"> </w:t>
      </w:r>
    </w:p>
    <w:p w:rsidR="00FA1FE1" w:rsidRPr="00024A4D" w:rsidRDefault="00FA1FE1" w:rsidP="00FA1FE1">
      <w:pPr>
        <w:spacing w:before="240"/>
        <w:rPr>
          <w:rFonts w:ascii="Calibri" w:eastAsia="Times New Roman" w:hAnsi="Calibri" w:cs="Calibri"/>
          <w:color w:val="000000"/>
          <w:lang w:eastAsia="de-DE"/>
        </w:rPr>
      </w:pPr>
      <w:r w:rsidRPr="008821B0">
        <w:rPr>
          <w:rFonts w:ascii="Calibri" w:eastAsia="Times New Roman" w:hAnsi="Calibri" w:cs="Calibri"/>
          <w:b/>
          <w:lang w:eastAsia="de-DE"/>
        </w:rPr>
        <w:t xml:space="preserve">Afghanistan is not </w:t>
      </w:r>
      <w:r>
        <w:rPr>
          <w:rFonts w:ascii="Calibri" w:eastAsia="Times New Roman" w:hAnsi="Calibri" w:cs="Calibri"/>
          <w:b/>
          <w:lang w:eastAsia="de-DE"/>
        </w:rPr>
        <w:t>fully exploiting</w:t>
      </w:r>
      <w:r w:rsidRPr="008821B0">
        <w:rPr>
          <w:rFonts w:ascii="Calibri" w:eastAsia="Times New Roman" w:hAnsi="Calibri" w:cs="Calibri"/>
          <w:b/>
          <w:lang w:eastAsia="de-DE"/>
        </w:rPr>
        <w:t xml:space="preserve"> its gemstone </w:t>
      </w:r>
      <w:r>
        <w:rPr>
          <w:rFonts w:ascii="Calibri" w:eastAsia="Times New Roman" w:hAnsi="Calibri" w:cs="Calibri"/>
          <w:b/>
          <w:lang w:eastAsia="de-DE"/>
        </w:rPr>
        <w:t>mining</w:t>
      </w:r>
      <w:r w:rsidRPr="008821B0">
        <w:rPr>
          <w:rFonts w:ascii="Calibri" w:eastAsia="Times New Roman" w:hAnsi="Calibri" w:cs="Calibri"/>
          <w:b/>
          <w:lang w:eastAsia="de-DE"/>
        </w:rPr>
        <w:t xml:space="preserve"> potential</w:t>
      </w:r>
      <w:r w:rsidRPr="008821B0">
        <w:rPr>
          <w:rFonts w:ascii="Calibri" w:eastAsia="Times New Roman" w:hAnsi="Calibri" w:cs="Calibri"/>
          <w:lang w:eastAsia="de-DE"/>
        </w:rPr>
        <w:t xml:space="preserve">. </w:t>
      </w:r>
      <w:r>
        <w:rPr>
          <w:rFonts w:ascii="Calibri" w:eastAsia="Times New Roman" w:hAnsi="Calibri" w:cs="Calibri"/>
          <w:lang w:eastAsia="de-DE"/>
        </w:rPr>
        <w:t>The country</w:t>
      </w:r>
      <w:r w:rsidRPr="008821B0">
        <w:rPr>
          <w:rFonts w:ascii="Calibri" w:eastAsia="Times New Roman" w:hAnsi="Calibri" w:cs="Calibri"/>
          <w:lang w:eastAsia="de-DE"/>
        </w:rPr>
        <w:t xml:space="preserve">’s gemstone industry could be worth up to </w:t>
      </w:r>
      <w:r>
        <w:rPr>
          <w:rFonts w:ascii="Calibri" w:eastAsia="Times New Roman" w:hAnsi="Calibri" w:cs="Calibri"/>
          <w:lang w:eastAsia="de-DE"/>
        </w:rPr>
        <w:t>US</w:t>
      </w:r>
      <w:r w:rsidRPr="008821B0">
        <w:rPr>
          <w:rFonts w:ascii="Calibri" w:eastAsia="Times New Roman" w:hAnsi="Calibri" w:cs="Calibri"/>
          <w:lang w:eastAsia="de-DE"/>
        </w:rPr>
        <w:t xml:space="preserve">$300m </w:t>
      </w:r>
      <w:r>
        <w:rPr>
          <w:rFonts w:ascii="Calibri" w:eastAsia="Times New Roman" w:hAnsi="Calibri" w:cs="Calibri"/>
          <w:lang w:eastAsia="de-DE"/>
        </w:rPr>
        <w:t>per</w:t>
      </w:r>
      <w:r w:rsidRPr="008821B0">
        <w:rPr>
          <w:rFonts w:ascii="Calibri" w:eastAsia="Times New Roman" w:hAnsi="Calibri" w:cs="Calibri"/>
          <w:lang w:eastAsia="de-DE"/>
        </w:rPr>
        <w:t xml:space="preserve"> year,</w:t>
      </w:r>
      <w:r>
        <w:rPr>
          <w:rStyle w:val="FootnoteReference"/>
          <w:rFonts w:eastAsia="Times New Roman" w:cs="Calibri"/>
          <w:lang w:eastAsia="de-DE"/>
        </w:rPr>
        <w:footnoteReference w:id="45"/>
      </w:r>
      <w:r w:rsidRPr="008821B0">
        <w:rPr>
          <w:rFonts w:ascii="Calibri" w:eastAsia="Times New Roman" w:hAnsi="Calibri" w:cs="Calibri"/>
          <w:lang w:eastAsia="de-DE"/>
        </w:rPr>
        <w:t xml:space="preserve"> but </w:t>
      </w:r>
      <w:r>
        <w:rPr>
          <w:rFonts w:ascii="Calibri" w:eastAsia="Times New Roman" w:hAnsi="Calibri" w:cs="Calibri"/>
          <w:lang w:eastAsia="de-DE"/>
        </w:rPr>
        <w:t xml:space="preserve">it is currently achieving </w:t>
      </w:r>
      <w:r w:rsidRPr="008821B0">
        <w:rPr>
          <w:rFonts w:ascii="Calibri" w:eastAsia="Times New Roman" w:hAnsi="Calibri" w:cs="Calibri"/>
          <w:lang w:eastAsia="de-DE"/>
        </w:rPr>
        <w:t>only a fraction of this value</w:t>
      </w:r>
      <w:r>
        <w:rPr>
          <w:rFonts w:ascii="Calibri" w:eastAsia="Times New Roman" w:hAnsi="Calibri" w:cs="Calibri"/>
          <w:lang w:eastAsia="de-DE"/>
        </w:rPr>
        <w:t xml:space="preserve"> </w:t>
      </w:r>
      <w:r w:rsidRPr="008821B0">
        <w:rPr>
          <w:rFonts w:ascii="Calibri" w:eastAsia="Times New Roman" w:hAnsi="Calibri" w:cs="Calibri"/>
          <w:lang w:eastAsia="de-DE"/>
        </w:rPr>
        <w:t xml:space="preserve">domestically. </w:t>
      </w:r>
      <w:r>
        <w:rPr>
          <w:rFonts w:ascii="Calibri" w:eastAsia="Times New Roman" w:hAnsi="Calibri" w:cs="Calibri"/>
          <w:color w:val="000000"/>
          <w:lang w:eastAsia="de-DE"/>
        </w:rPr>
        <w:t>Insufficient</w:t>
      </w:r>
      <w:r w:rsidRPr="008821B0">
        <w:rPr>
          <w:rFonts w:ascii="Calibri" w:eastAsia="Times New Roman" w:hAnsi="Calibri" w:cs="Calibri"/>
          <w:color w:val="000000"/>
          <w:lang w:eastAsia="de-DE"/>
        </w:rPr>
        <w:t xml:space="preserve"> cutting, polishing and marketing skills </w:t>
      </w:r>
      <w:r>
        <w:rPr>
          <w:rFonts w:ascii="Calibri" w:eastAsia="Times New Roman" w:hAnsi="Calibri" w:cs="Calibri"/>
          <w:color w:val="000000"/>
          <w:lang w:eastAsia="de-DE"/>
        </w:rPr>
        <w:t>within the country ensures</w:t>
      </w:r>
      <w:r w:rsidRPr="008821B0">
        <w:rPr>
          <w:rFonts w:ascii="Calibri" w:eastAsia="Times New Roman" w:hAnsi="Calibri" w:cs="Calibri"/>
          <w:color w:val="000000"/>
          <w:lang w:eastAsia="de-DE"/>
        </w:rPr>
        <w:t xml:space="preserve"> that a</w:t>
      </w:r>
      <w:r>
        <w:rPr>
          <w:rFonts w:ascii="Calibri" w:eastAsia="Times New Roman" w:hAnsi="Calibri" w:cs="Calibri"/>
          <w:color w:val="000000"/>
          <w:lang w:eastAsia="de-DE"/>
        </w:rPr>
        <w:t xml:space="preserve">bout </w:t>
      </w:r>
      <w:r w:rsidRPr="008821B0">
        <w:rPr>
          <w:rFonts w:ascii="Calibri" w:eastAsia="Times New Roman" w:hAnsi="Calibri" w:cs="Calibri"/>
          <w:color w:val="000000"/>
          <w:lang w:eastAsia="de-DE"/>
        </w:rPr>
        <w:t>80-95</w:t>
      </w:r>
      <w:r>
        <w:rPr>
          <w:rFonts w:ascii="Calibri" w:eastAsia="Times New Roman" w:hAnsi="Calibri" w:cs="Calibri"/>
          <w:color w:val="000000"/>
          <w:lang w:eastAsia="de-DE"/>
        </w:rPr>
        <w:t xml:space="preserve"> percent</w:t>
      </w:r>
      <w:r w:rsidRPr="008821B0">
        <w:rPr>
          <w:rFonts w:ascii="Calibri" w:eastAsia="Times New Roman" w:hAnsi="Calibri" w:cs="Calibri"/>
          <w:color w:val="000000"/>
          <w:lang w:eastAsia="de-DE"/>
        </w:rPr>
        <w:t xml:space="preserve"> of Afghan production</w:t>
      </w:r>
      <w:r>
        <w:rPr>
          <w:rFonts w:ascii="Calibri" w:eastAsia="Times New Roman" w:hAnsi="Calibri" w:cs="Calibri"/>
          <w:color w:val="000000"/>
          <w:lang w:eastAsia="de-DE"/>
        </w:rPr>
        <w:t xml:space="preserve"> is exported in rough form</w:t>
      </w:r>
      <w:r w:rsidRPr="008821B0">
        <w:rPr>
          <w:rFonts w:ascii="Calibri" w:eastAsia="Times New Roman" w:hAnsi="Calibri" w:cs="Calibri"/>
          <w:color w:val="000000"/>
          <w:lang w:eastAsia="de-DE"/>
        </w:rPr>
        <w:t xml:space="preserve"> to P</w:t>
      </w:r>
      <w:r>
        <w:rPr>
          <w:rFonts w:ascii="Calibri" w:eastAsia="Times New Roman" w:hAnsi="Calibri" w:cs="Calibri"/>
          <w:color w:val="000000"/>
          <w:lang w:eastAsia="de-DE"/>
        </w:rPr>
        <w:t xml:space="preserve">akistan </w:t>
      </w:r>
      <w:r>
        <w:t>where it is sent to cutting centers such as Jaipur, Bangkok, a</w:t>
      </w:r>
      <w:r>
        <w:rPr>
          <w:rFonts w:ascii="Calibri" w:eastAsia="Times New Roman" w:hAnsi="Calibri" w:cs="Calibri"/>
          <w:color w:val="000000"/>
          <w:lang w:eastAsia="de-DE"/>
        </w:rPr>
        <w:t>nd further afield</w:t>
      </w:r>
      <w:r w:rsidRPr="008821B0">
        <w:rPr>
          <w:rFonts w:ascii="Calibri" w:eastAsia="Times New Roman" w:hAnsi="Calibri" w:cs="Calibri"/>
          <w:color w:val="000000"/>
          <w:lang w:eastAsia="de-DE"/>
        </w:rPr>
        <w:t xml:space="preserve"> international</w:t>
      </w:r>
      <w:r>
        <w:rPr>
          <w:rFonts w:ascii="Calibri" w:eastAsia="Times New Roman" w:hAnsi="Calibri" w:cs="Calibri"/>
          <w:color w:val="000000"/>
          <w:lang w:eastAsia="de-DE"/>
        </w:rPr>
        <w:t xml:space="preserve">ly. The stones are then </w:t>
      </w:r>
      <w:r w:rsidRPr="008821B0">
        <w:rPr>
          <w:rFonts w:ascii="Calibri" w:eastAsia="Times New Roman" w:hAnsi="Calibri" w:cs="Calibri"/>
          <w:color w:val="000000"/>
          <w:lang w:eastAsia="de-DE"/>
        </w:rPr>
        <w:t>cut and marketed by foreign dealers</w:t>
      </w:r>
      <w:r>
        <w:rPr>
          <w:rFonts w:ascii="Calibri" w:eastAsia="Times New Roman" w:hAnsi="Calibri" w:cs="Calibri"/>
          <w:color w:val="000000"/>
          <w:lang w:eastAsia="de-DE"/>
        </w:rPr>
        <w:t xml:space="preserve"> who reap the fruits of higher profits.</w:t>
      </w:r>
      <w:r>
        <w:rPr>
          <w:rStyle w:val="FootnoteReference"/>
          <w:rFonts w:eastAsia="Times New Roman" w:cs="Calibri"/>
          <w:color w:val="000000"/>
          <w:lang w:eastAsia="de-DE"/>
        </w:rPr>
        <w:footnoteReference w:id="46"/>
      </w:r>
      <w:r w:rsidRPr="008821B0">
        <w:rPr>
          <w:rFonts w:ascii="Calibri" w:eastAsia="Times New Roman" w:hAnsi="Calibri" w:cs="Calibri"/>
          <w:color w:val="000000"/>
          <w:lang w:eastAsia="de-DE"/>
        </w:rPr>
        <w:t xml:space="preserve"> </w:t>
      </w:r>
      <w:r>
        <w:rPr>
          <w:rFonts w:ascii="Calibri" w:eastAsia="Times New Roman" w:hAnsi="Calibri" w:cs="Calibri"/>
          <w:color w:val="000000"/>
          <w:lang w:eastAsia="de-DE"/>
        </w:rPr>
        <w:t xml:space="preserve">The </w:t>
      </w:r>
      <w:r>
        <w:t>USAID has estimated that, with reforms, the gemstone industry in Afghanistan could generate as many as 30,000 to 50,000 direct and indirect jobs.</w:t>
      </w:r>
      <w:r>
        <w:rPr>
          <w:rStyle w:val="FootnoteReference"/>
        </w:rPr>
        <w:footnoteReference w:id="47"/>
      </w:r>
      <w:r>
        <w:t xml:space="preserve">  Increased mining opportunities and skills would do much to reduce have poverty in gem-rich districts within Nuristan, Kunar, Panshir, Jegdalek and rural </w:t>
      </w:r>
      <w:r w:rsidR="00700544">
        <w:t>Badakhshan</w:t>
      </w:r>
      <w:r>
        <w:t xml:space="preserve">.  </w:t>
      </w:r>
    </w:p>
    <w:p w:rsidR="00FA1FE1" w:rsidRDefault="00FA1FE1" w:rsidP="00FA1FE1">
      <w:pPr>
        <w:spacing w:before="240"/>
        <w:rPr>
          <w:rFonts w:ascii="Calibri" w:eastAsia="Times New Roman" w:hAnsi="Calibri" w:cs="Calibri"/>
          <w:color w:val="000000"/>
          <w:lang w:eastAsia="de-DE"/>
        </w:rPr>
      </w:pPr>
      <w:r w:rsidRPr="003710AA">
        <w:rPr>
          <w:rFonts w:ascii="Calibri" w:eastAsia="Times New Roman" w:hAnsi="Calibri" w:cs="Calibri"/>
          <w:b/>
          <w:color w:val="000000"/>
          <w:lang w:eastAsia="de-DE"/>
        </w:rPr>
        <w:t xml:space="preserve">The </w:t>
      </w:r>
      <w:r>
        <w:rPr>
          <w:rFonts w:ascii="Calibri" w:eastAsia="Times New Roman" w:hAnsi="Calibri" w:cs="Calibri"/>
          <w:b/>
          <w:color w:val="000000"/>
          <w:lang w:eastAsia="de-DE"/>
        </w:rPr>
        <w:t>g</w:t>
      </w:r>
      <w:r w:rsidRPr="003710AA">
        <w:rPr>
          <w:rFonts w:ascii="Calibri" w:eastAsia="Times New Roman" w:hAnsi="Calibri" w:cs="Calibri"/>
          <w:b/>
          <w:color w:val="000000"/>
          <w:lang w:eastAsia="de-DE"/>
        </w:rPr>
        <w:t xml:space="preserve">overnment is in the process of formulating </w:t>
      </w:r>
      <w:r>
        <w:rPr>
          <w:rFonts w:ascii="Calibri" w:eastAsia="Times New Roman" w:hAnsi="Calibri" w:cs="Calibri"/>
          <w:b/>
          <w:color w:val="000000"/>
          <w:lang w:eastAsia="de-DE"/>
        </w:rPr>
        <w:t>a g</w:t>
      </w:r>
      <w:r w:rsidRPr="003710AA">
        <w:rPr>
          <w:rFonts w:ascii="Calibri" w:eastAsia="Times New Roman" w:hAnsi="Calibri" w:cs="Calibri"/>
          <w:b/>
          <w:color w:val="000000"/>
          <w:lang w:eastAsia="de-DE"/>
        </w:rPr>
        <w:t xml:space="preserve">emstone </w:t>
      </w:r>
      <w:r>
        <w:rPr>
          <w:rFonts w:ascii="Calibri" w:eastAsia="Times New Roman" w:hAnsi="Calibri" w:cs="Calibri"/>
          <w:b/>
          <w:color w:val="000000"/>
          <w:lang w:eastAsia="de-DE"/>
        </w:rPr>
        <w:t>p</w:t>
      </w:r>
      <w:r w:rsidRPr="003710AA">
        <w:rPr>
          <w:rFonts w:ascii="Calibri" w:eastAsia="Times New Roman" w:hAnsi="Calibri" w:cs="Calibri"/>
          <w:b/>
          <w:color w:val="000000"/>
          <w:lang w:eastAsia="de-DE"/>
        </w:rPr>
        <w:t xml:space="preserve">olicy and </w:t>
      </w:r>
      <w:r>
        <w:rPr>
          <w:rFonts w:ascii="Calibri" w:eastAsia="Times New Roman" w:hAnsi="Calibri" w:cs="Calibri"/>
          <w:b/>
          <w:color w:val="000000"/>
          <w:lang w:eastAsia="de-DE"/>
        </w:rPr>
        <w:t>s</w:t>
      </w:r>
      <w:r w:rsidRPr="003710AA">
        <w:rPr>
          <w:rFonts w:ascii="Calibri" w:eastAsia="Times New Roman" w:hAnsi="Calibri" w:cs="Calibri"/>
          <w:b/>
          <w:color w:val="000000"/>
          <w:lang w:eastAsia="de-DE"/>
        </w:rPr>
        <w:t>trategy</w:t>
      </w:r>
      <w:r w:rsidRPr="003710AA">
        <w:rPr>
          <w:rFonts w:ascii="Calibri" w:eastAsia="Times New Roman" w:hAnsi="Calibri" w:cs="Calibri"/>
          <w:color w:val="000000"/>
          <w:lang w:eastAsia="de-DE"/>
        </w:rPr>
        <w:t xml:space="preserve">. </w:t>
      </w:r>
      <w:r>
        <w:rPr>
          <w:rFonts w:ascii="Calibri" w:eastAsia="Times New Roman" w:hAnsi="Calibri" w:cs="Calibri"/>
          <w:color w:val="000000"/>
          <w:lang w:eastAsia="de-DE"/>
        </w:rPr>
        <w:t>This is a step in the right direction, as it contains an action plan that will require close coordination and definition of roles between the ministries of mines and commerce &amp; industries. T</w:t>
      </w:r>
      <w:r w:rsidRPr="003710AA">
        <w:rPr>
          <w:rFonts w:ascii="Calibri" w:eastAsia="Times New Roman" w:hAnsi="Calibri" w:cs="Calibri"/>
          <w:color w:val="000000"/>
          <w:lang w:eastAsia="de-DE"/>
        </w:rPr>
        <w:t>h</w:t>
      </w:r>
      <w:r>
        <w:rPr>
          <w:rFonts w:ascii="Calibri" w:eastAsia="Times New Roman" w:hAnsi="Calibri" w:cs="Calibri"/>
          <w:color w:val="000000"/>
          <w:lang w:eastAsia="de-DE"/>
        </w:rPr>
        <w:t>e</w:t>
      </w:r>
      <w:r w:rsidRPr="003710AA">
        <w:rPr>
          <w:rFonts w:ascii="Calibri" w:eastAsia="Times New Roman" w:hAnsi="Calibri" w:cs="Calibri"/>
          <w:color w:val="000000"/>
          <w:lang w:eastAsia="de-DE"/>
        </w:rPr>
        <w:t xml:space="preserve"> policy </w:t>
      </w:r>
      <w:r>
        <w:rPr>
          <w:rFonts w:ascii="Calibri" w:eastAsia="Times New Roman" w:hAnsi="Calibri" w:cs="Calibri"/>
          <w:color w:val="000000"/>
          <w:lang w:eastAsia="de-DE"/>
        </w:rPr>
        <w:t xml:space="preserve">aims to distinguish </w:t>
      </w:r>
      <w:r w:rsidRPr="003710AA">
        <w:rPr>
          <w:rFonts w:ascii="Calibri" w:eastAsia="Times New Roman" w:hAnsi="Calibri" w:cs="Calibri"/>
          <w:color w:val="000000"/>
          <w:lang w:eastAsia="de-DE"/>
        </w:rPr>
        <w:t>between “upstream”</w:t>
      </w:r>
      <w:r>
        <w:rPr>
          <w:rFonts w:ascii="Calibri" w:eastAsia="Times New Roman" w:hAnsi="Calibri" w:cs="Calibri"/>
          <w:color w:val="000000"/>
          <w:lang w:eastAsia="de-DE"/>
        </w:rPr>
        <w:t xml:space="preserve"> production</w:t>
      </w:r>
      <w:r w:rsidRPr="003710AA">
        <w:rPr>
          <w:rFonts w:ascii="Calibri" w:eastAsia="Times New Roman" w:hAnsi="Calibri" w:cs="Calibri"/>
          <w:color w:val="000000"/>
          <w:lang w:eastAsia="de-DE"/>
        </w:rPr>
        <w:t xml:space="preserve"> (mining) and “downstream” </w:t>
      </w:r>
      <w:r>
        <w:rPr>
          <w:rFonts w:ascii="Calibri" w:eastAsia="Times New Roman" w:hAnsi="Calibri" w:cs="Calibri"/>
          <w:color w:val="000000"/>
          <w:lang w:eastAsia="de-DE"/>
        </w:rPr>
        <w:t xml:space="preserve">production </w:t>
      </w:r>
      <w:r w:rsidRPr="003710AA">
        <w:rPr>
          <w:rFonts w:ascii="Calibri" w:eastAsia="Times New Roman" w:hAnsi="Calibri" w:cs="Calibri"/>
          <w:color w:val="000000"/>
          <w:lang w:eastAsia="de-DE"/>
        </w:rPr>
        <w:t xml:space="preserve">(processing and manufacturing) </w:t>
      </w:r>
      <w:r>
        <w:rPr>
          <w:rFonts w:ascii="Calibri" w:eastAsia="Times New Roman" w:hAnsi="Calibri" w:cs="Calibri"/>
          <w:color w:val="000000"/>
          <w:lang w:eastAsia="de-DE"/>
        </w:rPr>
        <w:t xml:space="preserve">of </w:t>
      </w:r>
      <w:r w:rsidRPr="003710AA">
        <w:rPr>
          <w:rFonts w:ascii="Calibri" w:eastAsia="Times New Roman" w:hAnsi="Calibri" w:cs="Calibri"/>
          <w:color w:val="000000"/>
          <w:lang w:eastAsia="de-DE"/>
        </w:rPr>
        <w:t>gemstone</w:t>
      </w:r>
      <w:r>
        <w:rPr>
          <w:rFonts w:ascii="Calibri" w:eastAsia="Times New Roman" w:hAnsi="Calibri" w:cs="Calibri"/>
          <w:color w:val="000000"/>
          <w:lang w:eastAsia="de-DE"/>
        </w:rPr>
        <w:t xml:space="preserve">s. Its principal objectives are (i) employment generation, (ii) minimal </w:t>
      </w:r>
      <w:r w:rsidRPr="003710AA">
        <w:rPr>
          <w:rFonts w:ascii="Calibri" w:eastAsia="Times New Roman" w:hAnsi="Calibri" w:cs="Calibri"/>
          <w:color w:val="000000"/>
          <w:lang w:eastAsia="de-DE"/>
        </w:rPr>
        <w:t>environmental</w:t>
      </w:r>
      <w:r>
        <w:rPr>
          <w:rFonts w:ascii="Calibri" w:eastAsia="Times New Roman" w:hAnsi="Calibri" w:cs="Calibri"/>
          <w:color w:val="000000"/>
          <w:lang w:eastAsia="de-DE"/>
        </w:rPr>
        <w:t xml:space="preserve"> impact, (iii) i</w:t>
      </w:r>
      <w:r w:rsidRPr="003710AA">
        <w:rPr>
          <w:rFonts w:ascii="Calibri" w:eastAsia="Times New Roman" w:hAnsi="Calibri" w:cs="Calibri"/>
          <w:color w:val="000000"/>
          <w:lang w:eastAsia="de-DE"/>
        </w:rPr>
        <w:t>mprov</w:t>
      </w:r>
      <w:r>
        <w:rPr>
          <w:rFonts w:ascii="Calibri" w:eastAsia="Times New Roman" w:hAnsi="Calibri" w:cs="Calibri"/>
          <w:color w:val="000000"/>
          <w:lang w:eastAsia="de-DE"/>
        </w:rPr>
        <w:t>ing</w:t>
      </w:r>
      <w:r w:rsidRPr="003710AA">
        <w:rPr>
          <w:rFonts w:ascii="Calibri" w:eastAsia="Times New Roman" w:hAnsi="Calibri" w:cs="Calibri"/>
          <w:color w:val="000000"/>
          <w:lang w:eastAsia="de-DE"/>
        </w:rPr>
        <w:t xml:space="preserve"> the </w:t>
      </w:r>
      <w:r>
        <w:rPr>
          <w:rFonts w:ascii="Calibri" w:eastAsia="Times New Roman" w:hAnsi="Calibri" w:cs="Calibri"/>
          <w:color w:val="000000"/>
          <w:lang w:eastAsia="de-DE"/>
        </w:rPr>
        <w:t xml:space="preserve">living </w:t>
      </w:r>
      <w:r w:rsidRPr="003710AA">
        <w:rPr>
          <w:rFonts w:ascii="Calibri" w:eastAsia="Times New Roman" w:hAnsi="Calibri" w:cs="Calibri"/>
          <w:color w:val="000000"/>
          <w:lang w:eastAsia="de-DE"/>
        </w:rPr>
        <w:t>conditions of gemstone</w:t>
      </w:r>
      <w:r>
        <w:rPr>
          <w:rFonts w:ascii="Calibri" w:eastAsia="Times New Roman" w:hAnsi="Calibri" w:cs="Calibri"/>
          <w:color w:val="000000"/>
          <w:lang w:eastAsia="de-DE"/>
        </w:rPr>
        <w:t>-</w:t>
      </w:r>
      <w:r w:rsidRPr="003710AA">
        <w:rPr>
          <w:rFonts w:ascii="Calibri" w:eastAsia="Times New Roman" w:hAnsi="Calibri" w:cs="Calibri"/>
          <w:color w:val="000000"/>
          <w:lang w:eastAsia="de-DE"/>
        </w:rPr>
        <w:t>mining communities</w:t>
      </w:r>
      <w:r>
        <w:rPr>
          <w:rFonts w:ascii="Calibri" w:eastAsia="Times New Roman" w:hAnsi="Calibri" w:cs="Calibri"/>
          <w:color w:val="000000"/>
          <w:lang w:eastAsia="de-DE"/>
        </w:rPr>
        <w:t xml:space="preserve">, (iv) </w:t>
      </w:r>
      <w:r w:rsidRPr="003710AA">
        <w:rPr>
          <w:rFonts w:ascii="Calibri" w:eastAsia="Times New Roman" w:hAnsi="Calibri" w:cs="Calibri"/>
          <w:color w:val="000000"/>
          <w:lang w:eastAsia="de-DE"/>
        </w:rPr>
        <w:t>improv</w:t>
      </w:r>
      <w:r>
        <w:rPr>
          <w:rFonts w:ascii="Calibri" w:eastAsia="Times New Roman" w:hAnsi="Calibri" w:cs="Calibri"/>
          <w:color w:val="000000"/>
          <w:lang w:eastAsia="de-DE"/>
        </w:rPr>
        <w:t>ing</w:t>
      </w:r>
      <w:r w:rsidRPr="003710AA">
        <w:rPr>
          <w:rFonts w:ascii="Calibri" w:eastAsia="Times New Roman" w:hAnsi="Calibri" w:cs="Calibri"/>
          <w:color w:val="000000"/>
          <w:lang w:eastAsia="de-DE"/>
        </w:rPr>
        <w:t xml:space="preserve"> the quantity and quality of gemstones mined</w:t>
      </w:r>
      <w:r>
        <w:rPr>
          <w:rFonts w:ascii="Calibri" w:eastAsia="Times New Roman" w:hAnsi="Calibri" w:cs="Calibri"/>
          <w:color w:val="000000"/>
          <w:lang w:eastAsia="de-DE"/>
        </w:rPr>
        <w:t>,</w:t>
      </w:r>
      <w:r w:rsidRPr="003710AA">
        <w:rPr>
          <w:rFonts w:ascii="Calibri" w:eastAsia="Times New Roman" w:hAnsi="Calibri" w:cs="Calibri"/>
          <w:color w:val="000000"/>
          <w:lang w:eastAsia="de-DE"/>
        </w:rPr>
        <w:t xml:space="preserve"> </w:t>
      </w:r>
      <w:r>
        <w:rPr>
          <w:rFonts w:ascii="Calibri" w:eastAsia="Times New Roman" w:hAnsi="Calibri" w:cs="Calibri"/>
          <w:color w:val="000000"/>
          <w:lang w:eastAsia="de-DE"/>
        </w:rPr>
        <w:t xml:space="preserve">and (v) </w:t>
      </w:r>
      <w:r w:rsidRPr="003710AA">
        <w:rPr>
          <w:rFonts w:ascii="Calibri" w:eastAsia="Times New Roman" w:hAnsi="Calibri" w:cs="Calibri"/>
          <w:color w:val="000000"/>
          <w:lang w:eastAsia="de-DE"/>
        </w:rPr>
        <w:t>incr</w:t>
      </w:r>
      <w:r>
        <w:rPr>
          <w:rFonts w:ascii="Calibri" w:eastAsia="Times New Roman" w:hAnsi="Calibri" w:cs="Calibri"/>
          <w:color w:val="000000"/>
          <w:lang w:eastAsia="de-DE"/>
        </w:rPr>
        <w:t xml:space="preserve">easing the capacity for value added within Afghanistan.  </w:t>
      </w:r>
    </w:p>
    <w:tbl>
      <w:tblPr>
        <w:tblStyle w:val="LightShading-Accent4"/>
        <w:tblpPr w:leftFromText="180" w:rightFromText="180" w:vertAnchor="text" w:horzAnchor="margin" w:tblpXSpec="center" w:tblpY="412"/>
        <w:tblW w:w="4238" w:type="pct"/>
        <w:tblBorders>
          <w:top w:val="none" w:sz="0" w:space="0" w:color="auto"/>
          <w:bottom w:val="none" w:sz="0" w:space="0" w:color="auto"/>
        </w:tblBorders>
        <w:tblLook w:val="04A0" w:firstRow="1" w:lastRow="0" w:firstColumn="1" w:lastColumn="0" w:noHBand="0" w:noVBand="1"/>
      </w:tblPr>
      <w:tblGrid>
        <w:gridCol w:w="2664"/>
        <w:gridCol w:w="5453"/>
      </w:tblGrid>
      <w:tr w:rsidR="002C0A5F" w:rsidRPr="00755D98" w:rsidTr="002C0A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pct"/>
            <w:tcBorders>
              <w:top w:val="none" w:sz="0" w:space="0" w:color="auto"/>
              <w:left w:val="none" w:sz="0" w:space="0" w:color="auto"/>
              <w:bottom w:val="none" w:sz="0" w:space="0" w:color="auto"/>
              <w:right w:val="none" w:sz="0" w:space="0" w:color="auto"/>
            </w:tcBorders>
          </w:tcPr>
          <w:p w:rsidR="002C0A5F" w:rsidRPr="00755D98" w:rsidRDefault="002C0A5F" w:rsidP="002C0A5F">
            <w:pPr>
              <w:rPr>
                <w:rFonts w:ascii="Calibri" w:eastAsia="Times New Roman" w:hAnsi="Calibri" w:cs="Calibri"/>
                <w:color w:val="000000"/>
              </w:rPr>
            </w:pPr>
            <w:r w:rsidRPr="00755D98">
              <w:rPr>
                <w:rFonts w:ascii="Calibri" w:eastAsia="Times New Roman" w:hAnsi="Calibri" w:cs="Calibri"/>
                <w:color w:val="000000"/>
              </w:rPr>
              <w:t>Province</w:t>
            </w:r>
          </w:p>
        </w:tc>
        <w:tc>
          <w:tcPr>
            <w:tcW w:w="3359" w:type="pct"/>
            <w:tcBorders>
              <w:top w:val="none" w:sz="0" w:space="0" w:color="auto"/>
              <w:left w:val="none" w:sz="0" w:space="0" w:color="auto"/>
              <w:bottom w:val="none" w:sz="0" w:space="0" w:color="auto"/>
              <w:right w:val="none" w:sz="0" w:space="0" w:color="auto"/>
            </w:tcBorders>
          </w:tcPr>
          <w:p w:rsidR="002C0A5F" w:rsidRPr="00755D98" w:rsidRDefault="002C0A5F" w:rsidP="002C0A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55D98">
              <w:rPr>
                <w:rFonts w:ascii="Calibri" w:eastAsia="Times New Roman" w:hAnsi="Calibri" w:cs="Calibri"/>
                <w:color w:val="000000"/>
              </w:rPr>
              <w:t>Primary Type of Gem Mining</w:t>
            </w:r>
          </w:p>
        </w:tc>
      </w:tr>
      <w:tr w:rsidR="002C0A5F" w:rsidRPr="00755D98" w:rsidTr="002C0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pct"/>
            <w:tcBorders>
              <w:left w:val="none" w:sz="0" w:space="0" w:color="auto"/>
              <w:right w:val="none" w:sz="0" w:space="0" w:color="auto"/>
            </w:tcBorders>
          </w:tcPr>
          <w:p w:rsidR="002C0A5F" w:rsidRPr="00755D98" w:rsidRDefault="002C0A5F" w:rsidP="002C0A5F">
            <w:pPr>
              <w:rPr>
                <w:rFonts w:ascii="Calibri" w:eastAsia="Times New Roman" w:hAnsi="Calibri" w:cs="Calibri"/>
                <w:color w:val="000000"/>
              </w:rPr>
            </w:pPr>
            <w:r w:rsidRPr="00755D98">
              <w:rPr>
                <w:rFonts w:ascii="Calibri" w:eastAsia="Times New Roman" w:hAnsi="Calibri" w:cs="Calibri"/>
                <w:color w:val="000000"/>
              </w:rPr>
              <w:t xml:space="preserve">Panjshir </w:t>
            </w:r>
          </w:p>
        </w:tc>
        <w:tc>
          <w:tcPr>
            <w:tcW w:w="3359" w:type="pct"/>
            <w:tcBorders>
              <w:left w:val="none" w:sz="0" w:space="0" w:color="auto"/>
              <w:right w:val="none" w:sz="0" w:space="0" w:color="auto"/>
            </w:tcBorders>
          </w:tcPr>
          <w:p w:rsidR="002C0A5F" w:rsidRPr="00755D98" w:rsidRDefault="002C0A5F" w:rsidP="002C0A5F">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55D98">
              <w:rPr>
                <w:rFonts w:ascii="Calibri" w:eastAsia="Times New Roman" w:hAnsi="Calibri" w:cs="Calibri"/>
                <w:color w:val="000000"/>
              </w:rPr>
              <w:t>Emeralds</w:t>
            </w:r>
          </w:p>
        </w:tc>
      </w:tr>
      <w:tr w:rsidR="002C0A5F" w:rsidRPr="00755D98" w:rsidTr="002C0A5F">
        <w:tc>
          <w:tcPr>
            <w:cnfStyle w:val="001000000000" w:firstRow="0" w:lastRow="0" w:firstColumn="1" w:lastColumn="0" w:oddVBand="0" w:evenVBand="0" w:oddHBand="0" w:evenHBand="0" w:firstRowFirstColumn="0" w:firstRowLastColumn="0" w:lastRowFirstColumn="0" w:lastRowLastColumn="0"/>
            <w:tcW w:w="1641" w:type="pct"/>
          </w:tcPr>
          <w:p w:rsidR="002C0A5F" w:rsidRPr="00755D98" w:rsidRDefault="002C0A5F" w:rsidP="002C0A5F">
            <w:pPr>
              <w:spacing w:after="120"/>
              <w:rPr>
                <w:rFonts w:ascii="Calibri" w:eastAsia="Times New Roman" w:hAnsi="Calibri" w:cs="Calibri"/>
                <w:color w:val="000000"/>
              </w:rPr>
            </w:pPr>
            <w:r w:rsidRPr="00755D98">
              <w:rPr>
                <w:rFonts w:ascii="Calibri" w:eastAsia="Times New Roman" w:hAnsi="Calibri" w:cs="Calibri"/>
                <w:color w:val="000000"/>
              </w:rPr>
              <w:t>Kabul</w:t>
            </w:r>
          </w:p>
        </w:tc>
        <w:tc>
          <w:tcPr>
            <w:tcW w:w="3359" w:type="pct"/>
          </w:tcPr>
          <w:p w:rsidR="002C0A5F" w:rsidRPr="00755D98" w:rsidRDefault="002C0A5F" w:rsidP="002C0A5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55D98">
              <w:rPr>
                <w:rFonts w:ascii="Calibri" w:eastAsia="Times New Roman" w:hAnsi="Calibri" w:cs="Calibri"/>
                <w:color w:val="000000"/>
              </w:rPr>
              <w:t>Rubies &amp; Sapphires</w:t>
            </w:r>
          </w:p>
        </w:tc>
      </w:tr>
      <w:tr w:rsidR="002C0A5F" w:rsidRPr="00755D98" w:rsidTr="002C0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pct"/>
          </w:tcPr>
          <w:p w:rsidR="002C0A5F" w:rsidRPr="00755D98" w:rsidRDefault="002C0A5F" w:rsidP="002C0A5F">
            <w:pPr>
              <w:spacing w:after="120"/>
              <w:rPr>
                <w:rFonts w:ascii="Calibri" w:eastAsia="Times New Roman" w:hAnsi="Calibri" w:cs="Calibri"/>
                <w:color w:val="000000"/>
              </w:rPr>
            </w:pPr>
            <w:r w:rsidRPr="00755D98">
              <w:rPr>
                <w:rFonts w:ascii="Calibri" w:eastAsia="Times New Roman" w:hAnsi="Calibri" w:cs="Calibri"/>
                <w:color w:val="000000"/>
              </w:rPr>
              <w:t>Badakhshan</w:t>
            </w:r>
          </w:p>
        </w:tc>
        <w:tc>
          <w:tcPr>
            <w:tcW w:w="3359" w:type="pct"/>
          </w:tcPr>
          <w:p w:rsidR="002C0A5F" w:rsidRPr="00755D98" w:rsidRDefault="002C0A5F" w:rsidP="002C0A5F">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55D98">
              <w:rPr>
                <w:rFonts w:ascii="Calibri" w:eastAsia="Times New Roman" w:hAnsi="Calibri" w:cs="Calibri"/>
                <w:color w:val="000000"/>
              </w:rPr>
              <w:t>Lapis Lazuli &amp; others</w:t>
            </w:r>
          </w:p>
        </w:tc>
      </w:tr>
      <w:tr w:rsidR="002C0A5F" w:rsidRPr="00755D98" w:rsidTr="002C0A5F">
        <w:tc>
          <w:tcPr>
            <w:cnfStyle w:val="001000000000" w:firstRow="0" w:lastRow="0" w:firstColumn="1" w:lastColumn="0" w:oddVBand="0" w:evenVBand="0" w:oddHBand="0" w:evenHBand="0" w:firstRowFirstColumn="0" w:firstRowLastColumn="0" w:lastRowFirstColumn="0" w:lastRowLastColumn="0"/>
            <w:tcW w:w="1641" w:type="pct"/>
          </w:tcPr>
          <w:p w:rsidR="002C0A5F" w:rsidRPr="00755D98" w:rsidRDefault="002C0A5F" w:rsidP="002C0A5F">
            <w:pPr>
              <w:spacing w:after="120"/>
              <w:rPr>
                <w:rFonts w:ascii="Calibri" w:eastAsia="Times New Roman" w:hAnsi="Calibri" w:cs="Calibri"/>
                <w:color w:val="000000"/>
              </w:rPr>
            </w:pPr>
            <w:r w:rsidRPr="00755D98">
              <w:rPr>
                <w:rFonts w:ascii="Calibri" w:eastAsia="Times New Roman" w:hAnsi="Calibri" w:cs="Calibri"/>
                <w:color w:val="000000"/>
              </w:rPr>
              <w:t>Kunar</w:t>
            </w:r>
          </w:p>
        </w:tc>
        <w:tc>
          <w:tcPr>
            <w:tcW w:w="3359" w:type="pct"/>
          </w:tcPr>
          <w:p w:rsidR="002C0A5F" w:rsidRPr="00755D98" w:rsidRDefault="002C0A5F" w:rsidP="002C0A5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55D98">
              <w:rPr>
                <w:rFonts w:ascii="Calibri" w:eastAsia="Times New Roman" w:hAnsi="Calibri" w:cs="Calibri"/>
                <w:color w:val="000000"/>
              </w:rPr>
              <w:t xml:space="preserve">Tourmaline, Aquamarine, Morganite, Kunzite &amp; others </w:t>
            </w:r>
          </w:p>
        </w:tc>
      </w:tr>
      <w:tr w:rsidR="002C0A5F" w:rsidRPr="00755D98" w:rsidTr="002C0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pct"/>
          </w:tcPr>
          <w:p w:rsidR="002C0A5F" w:rsidRPr="00755D98" w:rsidRDefault="002C0A5F" w:rsidP="002C0A5F">
            <w:pPr>
              <w:spacing w:after="120"/>
              <w:rPr>
                <w:rFonts w:ascii="Calibri" w:eastAsia="Times New Roman" w:hAnsi="Calibri" w:cs="Calibri"/>
                <w:color w:val="000000"/>
              </w:rPr>
            </w:pPr>
            <w:r w:rsidRPr="00755D98">
              <w:rPr>
                <w:rFonts w:ascii="Calibri" w:eastAsia="Times New Roman" w:hAnsi="Calibri" w:cs="Calibri"/>
                <w:color w:val="000000"/>
              </w:rPr>
              <w:t>Laghman</w:t>
            </w:r>
          </w:p>
        </w:tc>
        <w:tc>
          <w:tcPr>
            <w:tcW w:w="3359" w:type="pct"/>
          </w:tcPr>
          <w:p w:rsidR="002C0A5F" w:rsidRPr="00755D98" w:rsidRDefault="002C0A5F" w:rsidP="002C0A5F">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55D98">
              <w:rPr>
                <w:rFonts w:ascii="Calibri" w:eastAsia="Times New Roman" w:hAnsi="Calibri" w:cs="Calibri"/>
                <w:color w:val="000000"/>
              </w:rPr>
              <w:t xml:space="preserve">Tourmaline, Aquamarine, Morganite, Kunzite&amp; others </w:t>
            </w:r>
          </w:p>
        </w:tc>
      </w:tr>
      <w:tr w:rsidR="002C0A5F" w:rsidRPr="00755D98" w:rsidTr="002C0A5F">
        <w:tc>
          <w:tcPr>
            <w:cnfStyle w:val="001000000000" w:firstRow="0" w:lastRow="0" w:firstColumn="1" w:lastColumn="0" w:oddVBand="0" w:evenVBand="0" w:oddHBand="0" w:evenHBand="0" w:firstRowFirstColumn="0" w:firstRowLastColumn="0" w:lastRowFirstColumn="0" w:lastRowLastColumn="0"/>
            <w:tcW w:w="1641" w:type="pct"/>
          </w:tcPr>
          <w:p w:rsidR="002C0A5F" w:rsidRPr="00755D98" w:rsidRDefault="002C0A5F" w:rsidP="002C0A5F">
            <w:pPr>
              <w:spacing w:after="120"/>
              <w:rPr>
                <w:rFonts w:ascii="Calibri" w:eastAsia="Times New Roman" w:hAnsi="Calibri" w:cs="Calibri"/>
                <w:color w:val="000000"/>
              </w:rPr>
            </w:pPr>
            <w:r w:rsidRPr="00755D98">
              <w:rPr>
                <w:rFonts w:ascii="Calibri" w:eastAsia="Times New Roman" w:hAnsi="Calibri" w:cs="Calibri"/>
                <w:color w:val="000000"/>
              </w:rPr>
              <w:t>Jalalabad</w:t>
            </w:r>
          </w:p>
        </w:tc>
        <w:tc>
          <w:tcPr>
            <w:tcW w:w="3359" w:type="pct"/>
          </w:tcPr>
          <w:p w:rsidR="002C0A5F" w:rsidRPr="00755D98" w:rsidRDefault="002C0A5F" w:rsidP="002C0A5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55D98">
              <w:rPr>
                <w:rFonts w:ascii="Calibri" w:eastAsia="Times New Roman" w:hAnsi="Calibri" w:cs="Calibri"/>
                <w:color w:val="000000"/>
              </w:rPr>
              <w:t>Processing office for Kunar &amp; Laghman</w:t>
            </w:r>
          </w:p>
        </w:tc>
      </w:tr>
      <w:tr w:rsidR="002C0A5F" w:rsidRPr="00755D98" w:rsidTr="002C0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pct"/>
          </w:tcPr>
          <w:p w:rsidR="002C0A5F" w:rsidRPr="00755D98" w:rsidRDefault="002C0A5F" w:rsidP="002C0A5F">
            <w:pPr>
              <w:spacing w:after="120"/>
              <w:rPr>
                <w:rFonts w:ascii="Calibri" w:eastAsia="Times New Roman" w:hAnsi="Calibri" w:cs="Calibri"/>
                <w:color w:val="000000"/>
              </w:rPr>
            </w:pPr>
            <w:r w:rsidRPr="00755D98">
              <w:rPr>
                <w:rFonts w:ascii="Calibri" w:eastAsia="Times New Roman" w:hAnsi="Calibri" w:cs="Calibri"/>
                <w:color w:val="000000"/>
              </w:rPr>
              <w:t>Nuristan</w:t>
            </w:r>
          </w:p>
        </w:tc>
        <w:tc>
          <w:tcPr>
            <w:tcW w:w="3359" w:type="pct"/>
          </w:tcPr>
          <w:p w:rsidR="002C0A5F" w:rsidRPr="00755D98" w:rsidRDefault="002C0A5F" w:rsidP="002C0A5F">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55D98">
              <w:rPr>
                <w:rFonts w:ascii="Calibri" w:eastAsia="Times New Roman" w:hAnsi="Calibri" w:cs="Calibri"/>
                <w:color w:val="000000"/>
              </w:rPr>
              <w:t>Aquamarine, Kunzite, Spodumene, Tourmaline</w:t>
            </w:r>
          </w:p>
        </w:tc>
      </w:tr>
      <w:tr w:rsidR="002C0A5F" w:rsidRPr="00755D98" w:rsidTr="002C0A5F">
        <w:trPr>
          <w:trHeight w:val="70"/>
        </w:trPr>
        <w:tc>
          <w:tcPr>
            <w:cnfStyle w:val="001000000000" w:firstRow="0" w:lastRow="0" w:firstColumn="1" w:lastColumn="0" w:oddVBand="0" w:evenVBand="0" w:oddHBand="0" w:evenHBand="0" w:firstRowFirstColumn="0" w:firstRowLastColumn="0" w:lastRowFirstColumn="0" w:lastRowLastColumn="0"/>
            <w:tcW w:w="1641" w:type="pct"/>
          </w:tcPr>
          <w:p w:rsidR="002C0A5F" w:rsidRPr="00755D98" w:rsidRDefault="00700544" w:rsidP="002C0A5F">
            <w:pPr>
              <w:spacing w:after="120"/>
              <w:rPr>
                <w:rFonts w:ascii="Calibri" w:eastAsia="Times New Roman" w:hAnsi="Calibri" w:cs="Calibri"/>
                <w:color w:val="000000"/>
              </w:rPr>
            </w:pPr>
            <w:r>
              <w:rPr>
                <w:rFonts w:ascii="Calibri" w:eastAsia="Times New Roman" w:hAnsi="Calibri" w:cs="Calibri"/>
                <w:color w:val="000000"/>
              </w:rPr>
              <w:t>Bamyan</w:t>
            </w:r>
          </w:p>
        </w:tc>
        <w:tc>
          <w:tcPr>
            <w:tcW w:w="3359" w:type="pct"/>
          </w:tcPr>
          <w:p w:rsidR="002C0A5F" w:rsidRPr="00755D98" w:rsidRDefault="002C0A5F" w:rsidP="002C0A5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55D98">
              <w:rPr>
                <w:rFonts w:ascii="Calibri" w:eastAsia="Times New Roman" w:hAnsi="Calibri" w:cs="Calibri"/>
                <w:color w:val="000000"/>
              </w:rPr>
              <w:t>Turquoise</w:t>
            </w:r>
          </w:p>
        </w:tc>
      </w:tr>
    </w:tbl>
    <w:p w:rsidR="002C0A5F" w:rsidRDefault="00FA1FE1" w:rsidP="002C0A5F">
      <w:pPr>
        <w:spacing w:after="0" w:line="240" w:lineRule="auto"/>
        <w:rPr>
          <w:rFonts w:ascii="Calibri" w:eastAsia="Times New Roman" w:hAnsi="Calibri" w:cs="Calibri"/>
          <w:b/>
          <w:color w:val="410082" w:themeColor="text1"/>
        </w:rPr>
      </w:pPr>
      <w:r w:rsidRPr="000E074F">
        <w:rPr>
          <w:rFonts w:ascii="Calibri" w:eastAsia="Times New Roman" w:hAnsi="Calibri" w:cs="Calibri"/>
          <w:b/>
          <w:color w:val="410082" w:themeColor="text1"/>
        </w:rPr>
        <w:t>Table 5.1: Gemstone</w:t>
      </w:r>
      <w:r>
        <w:rPr>
          <w:rFonts w:ascii="Calibri" w:eastAsia="Times New Roman" w:hAnsi="Calibri" w:cs="Calibri"/>
          <w:b/>
          <w:color w:val="410082" w:themeColor="text1"/>
        </w:rPr>
        <w:t>s</w:t>
      </w:r>
      <w:r w:rsidRPr="000E074F">
        <w:rPr>
          <w:rFonts w:ascii="Calibri" w:eastAsia="Times New Roman" w:hAnsi="Calibri" w:cs="Calibri"/>
          <w:b/>
          <w:color w:val="410082" w:themeColor="text1"/>
        </w:rPr>
        <w:t xml:space="preserve"> and Mining </w:t>
      </w:r>
      <w:r>
        <w:rPr>
          <w:rFonts w:ascii="Calibri" w:eastAsia="Times New Roman" w:hAnsi="Calibri" w:cs="Calibri"/>
          <w:b/>
          <w:color w:val="410082" w:themeColor="text1"/>
        </w:rPr>
        <w:t>Reg</w:t>
      </w:r>
      <w:r w:rsidRPr="000E074F">
        <w:rPr>
          <w:rFonts w:ascii="Calibri" w:eastAsia="Times New Roman" w:hAnsi="Calibri" w:cs="Calibri"/>
          <w:b/>
          <w:color w:val="410082" w:themeColor="text1"/>
        </w:rPr>
        <w:t xml:space="preserve">ions in Afghanistan </w:t>
      </w:r>
    </w:p>
    <w:p w:rsidR="00FA1FE1" w:rsidRDefault="00FA1FE1" w:rsidP="002C0A5F">
      <w:pPr>
        <w:spacing w:after="0" w:line="240" w:lineRule="auto"/>
        <w:ind w:firstLine="720"/>
        <w:rPr>
          <w:rFonts w:ascii="Calibri" w:eastAsia="Times New Roman" w:hAnsi="Calibri" w:cs="Times New Roman"/>
          <w:sz w:val="18"/>
          <w:szCs w:val="18"/>
          <w:lang w:eastAsia="de-DE"/>
        </w:rPr>
      </w:pPr>
      <w:r w:rsidRPr="00DC4F55">
        <w:rPr>
          <w:rFonts w:ascii="Calibri" w:eastAsia="Times New Roman" w:hAnsi="Calibri" w:cs="Times New Roman"/>
          <w:sz w:val="18"/>
          <w:szCs w:val="18"/>
          <w:lang w:eastAsia="de-DE"/>
        </w:rPr>
        <w:t>Source: MOCI “National Strategy for Afghanistan’s Gemstone and Jewelry Sector: April 2011 – March 2013”</w:t>
      </w:r>
    </w:p>
    <w:p w:rsidR="002C0A5F" w:rsidRPr="002C0A5F" w:rsidRDefault="002C0A5F" w:rsidP="002C0A5F">
      <w:pPr>
        <w:spacing w:after="0" w:line="240" w:lineRule="auto"/>
        <w:ind w:firstLine="720"/>
        <w:rPr>
          <w:rFonts w:ascii="Calibri" w:eastAsia="Times New Roman" w:hAnsi="Calibri" w:cs="Calibri"/>
          <w:b/>
          <w:color w:val="410082" w:themeColor="text1"/>
        </w:rPr>
      </w:pPr>
    </w:p>
    <w:p w:rsidR="00FA1FE1" w:rsidRDefault="00FA1FE1" w:rsidP="00FA1FE1">
      <w:pPr>
        <w:spacing w:after="120"/>
        <w:rPr>
          <w:rFonts w:ascii="Calibri" w:eastAsia="Times New Roman" w:hAnsi="Calibri" w:cs="Calibri"/>
          <w:lang w:eastAsia="de-DE"/>
        </w:rPr>
      </w:pPr>
      <w:r w:rsidRPr="00D92902">
        <w:rPr>
          <w:rFonts w:ascii="Calibri" w:eastAsia="Times New Roman" w:hAnsi="Calibri" w:cs="Calibri"/>
          <w:b/>
          <w:lang w:eastAsia="de-DE"/>
        </w:rPr>
        <w:t xml:space="preserve">If Afghanistan could </w:t>
      </w:r>
      <w:r>
        <w:rPr>
          <w:rFonts w:ascii="Calibri" w:eastAsia="Times New Roman" w:hAnsi="Calibri" w:cs="Calibri"/>
          <w:b/>
          <w:lang w:eastAsia="de-DE"/>
        </w:rPr>
        <w:t>secure</w:t>
      </w:r>
      <w:r w:rsidRPr="00D92902">
        <w:rPr>
          <w:rFonts w:ascii="Calibri" w:eastAsia="Times New Roman" w:hAnsi="Calibri" w:cs="Calibri"/>
          <w:b/>
          <w:lang w:eastAsia="de-DE"/>
        </w:rPr>
        <w:t xml:space="preserve"> </w:t>
      </w:r>
      <w:r>
        <w:rPr>
          <w:rFonts w:ascii="Calibri" w:eastAsia="Times New Roman" w:hAnsi="Calibri" w:cs="Calibri"/>
          <w:b/>
          <w:lang w:eastAsia="de-DE"/>
        </w:rPr>
        <w:t xml:space="preserve">even </w:t>
      </w:r>
      <w:r w:rsidRPr="00D92902">
        <w:rPr>
          <w:rFonts w:ascii="Calibri" w:eastAsia="Times New Roman" w:hAnsi="Calibri" w:cs="Calibri"/>
          <w:b/>
          <w:lang w:eastAsia="de-DE"/>
        </w:rPr>
        <w:t xml:space="preserve">a small share of the </w:t>
      </w:r>
      <w:r>
        <w:rPr>
          <w:rFonts w:ascii="Calibri" w:eastAsia="Times New Roman" w:hAnsi="Calibri" w:cs="Calibri"/>
          <w:b/>
          <w:lang w:eastAsia="de-DE"/>
        </w:rPr>
        <w:t>ri</w:t>
      </w:r>
      <w:r w:rsidRPr="00D92902">
        <w:rPr>
          <w:rFonts w:ascii="Calibri" w:eastAsia="Times New Roman" w:hAnsi="Calibri" w:cs="Calibri"/>
          <w:b/>
          <w:lang w:eastAsia="de-DE"/>
        </w:rPr>
        <w:t>sing demand</w:t>
      </w:r>
      <w:r>
        <w:rPr>
          <w:rFonts w:ascii="Calibri" w:eastAsia="Times New Roman" w:hAnsi="Calibri" w:cs="Calibri"/>
          <w:b/>
          <w:lang w:eastAsia="de-DE"/>
        </w:rPr>
        <w:t xml:space="preserve"> for gemstones</w:t>
      </w:r>
      <w:r w:rsidRPr="00D92902">
        <w:rPr>
          <w:rFonts w:ascii="Calibri" w:eastAsia="Times New Roman" w:hAnsi="Calibri" w:cs="Calibri"/>
          <w:b/>
          <w:lang w:eastAsia="de-DE"/>
        </w:rPr>
        <w:t xml:space="preserve"> in international markets, it would </w:t>
      </w:r>
      <w:r>
        <w:rPr>
          <w:rFonts w:ascii="Calibri" w:eastAsia="Times New Roman" w:hAnsi="Calibri" w:cs="Calibri"/>
          <w:b/>
          <w:lang w:eastAsia="de-DE"/>
        </w:rPr>
        <w:t>make a big difference to</w:t>
      </w:r>
      <w:r w:rsidRPr="00D92902">
        <w:rPr>
          <w:rFonts w:ascii="Calibri" w:eastAsia="Times New Roman" w:hAnsi="Calibri" w:cs="Calibri"/>
          <w:b/>
          <w:lang w:eastAsia="de-DE"/>
        </w:rPr>
        <w:t xml:space="preserve"> the sector</w:t>
      </w:r>
      <w:r>
        <w:rPr>
          <w:rFonts w:ascii="Calibri" w:eastAsia="Times New Roman" w:hAnsi="Calibri" w:cs="Calibri"/>
          <w:b/>
          <w:lang w:eastAsia="de-DE"/>
        </w:rPr>
        <w:t>, and the country</w:t>
      </w:r>
      <w:r w:rsidRPr="00D92902">
        <w:rPr>
          <w:rFonts w:ascii="Calibri" w:eastAsia="Times New Roman" w:hAnsi="Calibri" w:cs="Calibri"/>
          <w:b/>
          <w:lang w:eastAsia="de-DE"/>
        </w:rPr>
        <w:t>.</w:t>
      </w:r>
      <w:r>
        <w:rPr>
          <w:rFonts w:ascii="Calibri" w:eastAsia="Times New Roman" w:hAnsi="Calibri" w:cs="Calibri"/>
          <w:lang w:eastAsia="de-DE"/>
        </w:rPr>
        <w:t xml:space="preserve"> </w:t>
      </w:r>
      <w:r w:rsidRPr="00D92902">
        <w:rPr>
          <w:rFonts w:ascii="Calibri" w:eastAsia="Times New Roman" w:hAnsi="Calibri" w:cs="Calibri"/>
          <w:lang w:eastAsia="de-DE"/>
        </w:rPr>
        <w:t xml:space="preserve">Pakistan currently </w:t>
      </w:r>
      <w:r>
        <w:rPr>
          <w:rFonts w:ascii="Calibri" w:eastAsia="Times New Roman" w:hAnsi="Calibri" w:cs="Calibri"/>
          <w:lang w:eastAsia="de-DE"/>
        </w:rPr>
        <w:t xml:space="preserve">is </w:t>
      </w:r>
      <w:r w:rsidRPr="00D92902">
        <w:rPr>
          <w:rFonts w:ascii="Calibri" w:eastAsia="Times New Roman" w:hAnsi="Calibri" w:cs="Calibri"/>
          <w:lang w:eastAsia="de-DE"/>
        </w:rPr>
        <w:t>Afghanistan’s main export market, with some 90</w:t>
      </w:r>
      <w:r>
        <w:rPr>
          <w:rFonts w:ascii="Calibri" w:eastAsia="Times New Roman" w:hAnsi="Calibri" w:cs="Calibri"/>
          <w:lang w:eastAsia="de-DE"/>
        </w:rPr>
        <w:t xml:space="preserve"> percent</w:t>
      </w:r>
      <w:r w:rsidRPr="00D92902">
        <w:rPr>
          <w:rFonts w:ascii="Calibri" w:eastAsia="Times New Roman" w:hAnsi="Calibri" w:cs="Calibri"/>
          <w:lang w:eastAsia="de-DE"/>
        </w:rPr>
        <w:t xml:space="preserve"> of all gemstones channeled through Peshawar. Peshawar</w:t>
      </w:r>
      <w:r w:rsidRPr="008821B0">
        <w:rPr>
          <w:rFonts w:ascii="Calibri" w:eastAsia="Times New Roman" w:hAnsi="Calibri" w:cs="Calibri"/>
          <w:lang w:eastAsia="de-DE"/>
        </w:rPr>
        <w:t xml:space="preserve"> will remain</w:t>
      </w:r>
      <w:r>
        <w:rPr>
          <w:rFonts w:ascii="Calibri" w:eastAsia="Times New Roman" w:hAnsi="Calibri" w:cs="Calibri"/>
          <w:lang w:eastAsia="de-DE"/>
        </w:rPr>
        <w:t xml:space="preserve"> an</w:t>
      </w:r>
      <w:r w:rsidRPr="008821B0">
        <w:rPr>
          <w:rFonts w:ascii="Calibri" w:eastAsia="Times New Roman" w:hAnsi="Calibri" w:cs="Calibri"/>
          <w:lang w:eastAsia="de-DE"/>
        </w:rPr>
        <w:t xml:space="preserve"> important</w:t>
      </w:r>
      <w:r>
        <w:rPr>
          <w:rFonts w:ascii="Calibri" w:eastAsia="Times New Roman" w:hAnsi="Calibri" w:cs="Calibri"/>
          <w:lang w:eastAsia="de-DE"/>
        </w:rPr>
        <w:t xml:space="preserve"> </w:t>
      </w:r>
      <w:r w:rsidRPr="008821B0">
        <w:rPr>
          <w:rFonts w:ascii="Calibri" w:eastAsia="Times New Roman" w:hAnsi="Calibri" w:cs="Calibri"/>
          <w:lang w:eastAsia="de-DE"/>
        </w:rPr>
        <w:t>gemstone market</w:t>
      </w:r>
      <w:r>
        <w:rPr>
          <w:rFonts w:ascii="Calibri" w:eastAsia="Times New Roman" w:hAnsi="Calibri" w:cs="Calibri"/>
          <w:lang w:eastAsia="de-DE"/>
        </w:rPr>
        <w:t xml:space="preserve">, but there is high growth potential further afield.  In 2009, imports to markets in </w:t>
      </w:r>
      <w:r w:rsidRPr="008821B0">
        <w:rPr>
          <w:rFonts w:ascii="Calibri" w:eastAsia="Times New Roman" w:hAnsi="Calibri" w:cs="Calibri"/>
          <w:lang w:eastAsia="de-DE"/>
        </w:rPr>
        <w:t>Asia</w:t>
      </w:r>
      <w:r>
        <w:rPr>
          <w:rFonts w:ascii="Calibri" w:eastAsia="Times New Roman" w:hAnsi="Calibri" w:cs="Calibri"/>
          <w:lang w:eastAsia="de-DE"/>
        </w:rPr>
        <w:t xml:space="preserve">, the </w:t>
      </w:r>
      <w:r w:rsidRPr="008821B0">
        <w:rPr>
          <w:rFonts w:ascii="Calibri" w:eastAsia="Times New Roman" w:hAnsi="Calibri" w:cs="Calibri"/>
          <w:lang w:eastAsia="de-DE"/>
        </w:rPr>
        <w:t>Middle East</w:t>
      </w:r>
      <w:r>
        <w:rPr>
          <w:rFonts w:ascii="Calibri" w:eastAsia="Times New Roman" w:hAnsi="Calibri" w:cs="Calibri"/>
          <w:lang w:eastAsia="de-DE"/>
        </w:rPr>
        <w:t xml:space="preserve"> and East Asian countries (</w:t>
      </w:r>
      <w:r w:rsidRPr="008821B0">
        <w:rPr>
          <w:rFonts w:ascii="Calibri" w:eastAsia="Times New Roman" w:hAnsi="Calibri" w:cs="Calibri"/>
          <w:lang w:eastAsia="de-DE"/>
        </w:rPr>
        <w:t>UAE, India, Thailand, Hong Kong, Singapore, China and Japan</w:t>
      </w:r>
      <w:r>
        <w:rPr>
          <w:rFonts w:ascii="Calibri" w:eastAsia="Times New Roman" w:hAnsi="Calibri" w:cs="Calibri"/>
          <w:lang w:eastAsia="de-DE"/>
        </w:rPr>
        <w:t>) brought about US$1</w:t>
      </w:r>
      <w:r w:rsidRPr="008821B0">
        <w:rPr>
          <w:rFonts w:ascii="Calibri" w:eastAsia="Times New Roman" w:hAnsi="Calibri" w:cs="Calibri"/>
          <w:lang w:eastAsia="de-DE"/>
        </w:rPr>
        <w:t>.27bn</w:t>
      </w:r>
      <w:r>
        <w:rPr>
          <w:rFonts w:ascii="Calibri" w:eastAsia="Times New Roman" w:hAnsi="Calibri" w:cs="Calibri"/>
          <w:lang w:eastAsia="de-DE"/>
        </w:rPr>
        <w:t xml:space="preserve"> in revenue. The </w:t>
      </w:r>
      <w:r w:rsidRPr="008821B0">
        <w:rPr>
          <w:rFonts w:ascii="Calibri" w:eastAsia="Times New Roman" w:hAnsi="Calibri" w:cs="Calibri"/>
          <w:lang w:eastAsia="de-DE"/>
        </w:rPr>
        <w:t>U</w:t>
      </w:r>
      <w:r>
        <w:rPr>
          <w:rFonts w:ascii="Calibri" w:eastAsia="Times New Roman" w:hAnsi="Calibri" w:cs="Calibri"/>
          <w:lang w:eastAsia="de-DE"/>
        </w:rPr>
        <w:t>nited States alone accounted for US</w:t>
      </w:r>
      <w:r w:rsidRPr="008821B0">
        <w:rPr>
          <w:rFonts w:ascii="Calibri" w:eastAsia="Times New Roman" w:hAnsi="Calibri" w:cs="Calibri"/>
          <w:lang w:eastAsia="de-DE"/>
        </w:rPr>
        <w:t>$658</w:t>
      </w:r>
      <w:r>
        <w:rPr>
          <w:rFonts w:ascii="Calibri" w:eastAsia="Times New Roman" w:hAnsi="Calibri" w:cs="Calibri"/>
          <w:lang w:eastAsia="de-DE"/>
        </w:rPr>
        <w:t xml:space="preserve"> million and Switzerland $378 million.</w:t>
      </w:r>
      <w:r>
        <w:rPr>
          <w:rStyle w:val="FootnoteReference"/>
          <w:rFonts w:ascii="Calibri" w:eastAsia="Times New Roman" w:hAnsi="Calibri" w:cs="Calibri"/>
          <w:lang w:eastAsia="de-DE"/>
        </w:rPr>
        <w:footnoteReference w:id="48"/>
      </w:r>
      <w:r>
        <w:rPr>
          <w:rFonts w:ascii="Calibri" w:eastAsia="Times New Roman" w:hAnsi="Calibri" w:cs="Calibri"/>
          <w:lang w:eastAsia="de-DE"/>
        </w:rPr>
        <w:t xml:space="preserve"> To realize</w:t>
      </w:r>
      <w:r w:rsidRPr="008821B0">
        <w:rPr>
          <w:rFonts w:ascii="Calibri" w:eastAsia="Times New Roman" w:hAnsi="Calibri" w:cs="Calibri"/>
          <w:lang w:eastAsia="de-DE"/>
        </w:rPr>
        <w:t xml:space="preserve"> </w:t>
      </w:r>
      <w:r>
        <w:rPr>
          <w:rFonts w:ascii="Calibri" w:eastAsia="Times New Roman" w:hAnsi="Calibri" w:cs="Calibri"/>
          <w:lang w:eastAsia="de-DE"/>
        </w:rPr>
        <w:t xml:space="preserve">and expand </w:t>
      </w:r>
      <w:r w:rsidRPr="008821B0">
        <w:rPr>
          <w:rFonts w:ascii="Calibri" w:eastAsia="Times New Roman" w:hAnsi="Calibri" w:cs="Calibri"/>
          <w:lang w:eastAsia="de-DE"/>
        </w:rPr>
        <w:t>these opportunities w</w:t>
      </w:r>
      <w:r>
        <w:rPr>
          <w:rFonts w:ascii="Calibri" w:eastAsia="Times New Roman" w:hAnsi="Calibri" w:cs="Calibri"/>
          <w:lang w:eastAsia="de-DE"/>
        </w:rPr>
        <w:t>ould</w:t>
      </w:r>
      <w:r w:rsidRPr="008821B0">
        <w:rPr>
          <w:rFonts w:ascii="Calibri" w:eastAsia="Times New Roman" w:hAnsi="Calibri" w:cs="Calibri"/>
          <w:lang w:eastAsia="de-DE"/>
        </w:rPr>
        <w:t xml:space="preserve"> require </w:t>
      </w:r>
      <w:r>
        <w:rPr>
          <w:rFonts w:ascii="Calibri" w:eastAsia="Times New Roman" w:hAnsi="Calibri" w:cs="Calibri"/>
          <w:lang w:eastAsia="de-DE"/>
        </w:rPr>
        <w:t xml:space="preserve">development of firm business relationships and more careful tailoring of products to the specific needs of each market.  </w:t>
      </w:r>
    </w:p>
    <w:p w:rsidR="00FA1FE1" w:rsidRPr="008D30E9" w:rsidRDefault="00FA1FE1" w:rsidP="00FA1FE1">
      <w:pPr>
        <w:spacing w:before="240" w:after="120" w:line="240" w:lineRule="auto"/>
        <w:jc w:val="center"/>
        <w:rPr>
          <w:rFonts w:ascii="Calibri" w:eastAsia="Times New Roman" w:hAnsi="Calibri" w:cs="Calibri"/>
          <w:b/>
          <w:color w:val="410082" w:themeColor="text1"/>
          <w:lang w:eastAsia="de-DE"/>
        </w:rPr>
      </w:pPr>
      <w:r w:rsidRPr="008D30E9">
        <w:rPr>
          <w:rFonts w:ascii="Calibri" w:eastAsia="Times New Roman" w:hAnsi="Calibri" w:cs="Calibri"/>
          <w:b/>
          <w:color w:val="410082" w:themeColor="text1"/>
          <w:lang w:eastAsia="de-DE"/>
        </w:rPr>
        <w:t xml:space="preserve">Figure 5.8: </w:t>
      </w:r>
      <w:r>
        <w:rPr>
          <w:rFonts w:ascii="Calibri" w:eastAsia="Times New Roman" w:hAnsi="Calibri" w:cs="Calibri"/>
          <w:b/>
          <w:color w:val="410082" w:themeColor="text1"/>
          <w:lang w:eastAsia="de-DE"/>
        </w:rPr>
        <w:t xml:space="preserve">The </w:t>
      </w:r>
      <w:r w:rsidRPr="008D30E9">
        <w:rPr>
          <w:rFonts w:ascii="Calibri" w:eastAsia="Times New Roman" w:hAnsi="Calibri" w:cs="Calibri"/>
          <w:b/>
          <w:color w:val="410082" w:themeColor="text1"/>
          <w:lang w:eastAsia="de-DE"/>
        </w:rPr>
        <w:t>Gemstone Value Chain</w:t>
      </w:r>
    </w:p>
    <w:p w:rsidR="00FA1FE1" w:rsidRDefault="00FA1FE1" w:rsidP="00FA1FE1">
      <w:pPr>
        <w:overflowPunct w:val="0"/>
        <w:autoSpaceDE w:val="0"/>
        <w:autoSpaceDN w:val="0"/>
        <w:adjustRightInd w:val="0"/>
        <w:spacing w:before="240" w:after="0" w:line="240" w:lineRule="auto"/>
        <w:jc w:val="center"/>
        <w:textAlignment w:val="baseline"/>
        <w:rPr>
          <w:rFonts w:ascii="Calibri" w:eastAsia="Times New Roman" w:hAnsi="Calibri" w:cs="Calibri"/>
          <w:b/>
          <w:lang w:eastAsia="de-DE"/>
        </w:rPr>
      </w:pPr>
      <w:r>
        <w:rPr>
          <w:rFonts w:ascii="Calibri" w:eastAsia="Times New Roman" w:hAnsi="Calibri" w:cs="Calibri"/>
          <w:b/>
          <w:noProof/>
          <w:lang w:bidi="ar-SA"/>
        </w:rPr>
        <w:drawing>
          <wp:inline distT="0" distB="0" distL="0" distR="0" wp14:anchorId="623D45E0" wp14:editId="63AE8607">
            <wp:extent cx="5019674" cy="3000375"/>
            <wp:effectExtent l="0" t="0" r="0" b="0"/>
            <wp:docPr id="178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23485" cy="3002653"/>
                    </a:xfrm>
                    <a:prstGeom prst="rect">
                      <a:avLst/>
                    </a:prstGeom>
                    <a:noFill/>
                  </pic:spPr>
                </pic:pic>
              </a:graphicData>
            </a:graphic>
          </wp:inline>
        </w:drawing>
      </w:r>
    </w:p>
    <w:p w:rsidR="00FA1FE1" w:rsidRPr="00DC4F55" w:rsidRDefault="00FA1FE1" w:rsidP="00FA1FE1">
      <w:pPr>
        <w:overflowPunct w:val="0"/>
        <w:autoSpaceDE w:val="0"/>
        <w:autoSpaceDN w:val="0"/>
        <w:adjustRightInd w:val="0"/>
        <w:spacing w:before="240" w:after="0" w:line="240" w:lineRule="auto"/>
        <w:textAlignment w:val="baseline"/>
        <w:rPr>
          <w:rFonts w:ascii="Calibri" w:eastAsia="Times New Roman" w:hAnsi="Calibri" w:cs="Calibri"/>
          <w:sz w:val="18"/>
          <w:szCs w:val="18"/>
          <w:lang w:eastAsia="de-DE"/>
        </w:rPr>
      </w:pPr>
      <w:r>
        <w:rPr>
          <w:rFonts w:ascii="Calibri" w:eastAsia="Times New Roman" w:hAnsi="Calibri" w:cs="Calibri"/>
          <w:sz w:val="18"/>
          <w:szCs w:val="18"/>
          <w:lang w:eastAsia="de-DE"/>
        </w:rPr>
        <w:t xml:space="preserve">Source: </w:t>
      </w:r>
      <w:r w:rsidRPr="00024662">
        <w:rPr>
          <w:rFonts w:ascii="Calibri" w:eastAsia="Times New Roman" w:hAnsi="Calibri" w:cs="Calibri"/>
          <w:sz w:val="18"/>
          <w:szCs w:val="18"/>
          <w:lang w:eastAsia="de-DE"/>
        </w:rPr>
        <w:t>Gemstone Value Chain Analysis, North Afghanistan</w:t>
      </w:r>
      <w:r>
        <w:rPr>
          <w:rFonts w:ascii="Calibri" w:eastAsia="Times New Roman" w:hAnsi="Calibri" w:cs="Calibri"/>
          <w:sz w:val="18"/>
          <w:szCs w:val="18"/>
          <w:lang w:eastAsia="de-DE"/>
        </w:rPr>
        <w:t>,</w:t>
      </w:r>
      <w:r w:rsidRPr="00024662">
        <w:rPr>
          <w:rFonts w:ascii="Calibri" w:eastAsia="Times New Roman" w:hAnsi="Calibri" w:cs="Calibri"/>
          <w:sz w:val="18"/>
          <w:szCs w:val="18"/>
          <w:lang w:eastAsia="de-DE"/>
        </w:rPr>
        <w:t xml:space="preserve"> Ralf Arning</w:t>
      </w:r>
    </w:p>
    <w:p w:rsidR="00FA1FE1" w:rsidRDefault="00FA1FE1" w:rsidP="00FA1FE1">
      <w:pPr>
        <w:rPr>
          <w:rFonts w:eastAsiaTheme="majorEastAsia" w:cstheme="majorBidi"/>
          <w:b/>
          <w:bCs/>
          <w:i/>
          <w:iCs/>
          <w:color w:val="410082" w:themeColor="text1"/>
          <w:sz w:val="20"/>
        </w:rPr>
      </w:pPr>
    </w:p>
    <w:p w:rsidR="00FA1FE1" w:rsidRPr="007F43F6" w:rsidRDefault="00FA1FE1" w:rsidP="00FA1FE1">
      <w:pPr>
        <w:rPr>
          <w:rFonts w:eastAsiaTheme="majorEastAsia" w:cstheme="majorBidi"/>
          <w:b/>
          <w:bCs/>
          <w:i/>
          <w:iCs/>
          <w:color w:val="410082" w:themeColor="text1"/>
          <w:sz w:val="20"/>
        </w:rPr>
      </w:pPr>
      <w:r w:rsidRPr="007F43F6">
        <w:rPr>
          <w:rFonts w:eastAsiaTheme="majorEastAsia" w:cstheme="majorBidi"/>
          <w:b/>
          <w:bCs/>
          <w:i/>
          <w:iCs/>
          <w:color w:val="410082" w:themeColor="text1"/>
          <w:sz w:val="20"/>
        </w:rPr>
        <w:t>Sector Challenges</w:t>
      </w:r>
    </w:p>
    <w:p w:rsidR="00FA1FE1" w:rsidRPr="008821B0" w:rsidRDefault="00FA1FE1" w:rsidP="00FA1FE1">
      <w:pPr>
        <w:spacing w:after="0"/>
        <w:rPr>
          <w:rFonts w:ascii="Calibri" w:eastAsia="Times New Roman" w:hAnsi="Calibri" w:cs="Calibri"/>
          <w:lang w:eastAsia="de-DE"/>
        </w:rPr>
      </w:pPr>
      <w:r>
        <w:rPr>
          <w:rFonts w:ascii="Calibri" w:eastAsia="Times New Roman" w:hAnsi="Calibri" w:cs="Calibri"/>
          <w:b/>
          <w:lang w:eastAsia="de-DE"/>
        </w:rPr>
        <w:t>For Afghanistan’s</w:t>
      </w:r>
      <w:r w:rsidRPr="008821B0">
        <w:rPr>
          <w:rFonts w:ascii="Calibri" w:eastAsia="Times New Roman" w:hAnsi="Calibri" w:cs="Calibri"/>
          <w:b/>
          <w:lang w:eastAsia="de-DE"/>
        </w:rPr>
        <w:t xml:space="preserve"> gemstone sector</w:t>
      </w:r>
      <w:r>
        <w:rPr>
          <w:rFonts w:ascii="Calibri" w:eastAsia="Times New Roman" w:hAnsi="Calibri" w:cs="Calibri"/>
          <w:b/>
          <w:lang w:eastAsia="de-DE"/>
        </w:rPr>
        <w:t xml:space="preserve"> to fully realize its potential it will have to overcome several challenges</w:t>
      </w:r>
      <w:r w:rsidRPr="009B5B56">
        <w:rPr>
          <w:rFonts w:ascii="Calibri" w:eastAsia="Times New Roman" w:hAnsi="Calibri" w:cs="Calibri"/>
          <w:lang w:eastAsia="de-DE"/>
        </w:rPr>
        <w:t xml:space="preserve">. </w:t>
      </w:r>
      <w:r>
        <w:rPr>
          <w:rFonts w:ascii="Calibri" w:eastAsia="Times New Roman" w:hAnsi="Calibri" w:cs="Calibri"/>
          <w:lang w:eastAsia="de-DE"/>
        </w:rPr>
        <w:t xml:space="preserve">The </w:t>
      </w:r>
      <w:r w:rsidRPr="009B5B56">
        <w:rPr>
          <w:rFonts w:ascii="Calibri" w:eastAsia="Times New Roman" w:hAnsi="Calibri" w:cs="Calibri"/>
          <w:lang w:eastAsia="de-DE"/>
        </w:rPr>
        <w:t xml:space="preserve">public sector </w:t>
      </w:r>
      <w:r>
        <w:rPr>
          <w:rFonts w:ascii="Calibri" w:eastAsia="Times New Roman" w:hAnsi="Calibri" w:cs="Calibri"/>
          <w:lang w:eastAsia="de-DE"/>
        </w:rPr>
        <w:t xml:space="preserve">must take the lead in </w:t>
      </w:r>
      <w:r w:rsidRPr="009B5B56">
        <w:rPr>
          <w:rFonts w:ascii="Calibri" w:eastAsia="Times New Roman" w:hAnsi="Calibri" w:cs="Calibri"/>
          <w:lang w:eastAsia="de-DE"/>
        </w:rPr>
        <w:t>oversee</w:t>
      </w:r>
      <w:r>
        <w:rPr>
          <w:rFonts w:ascii="Calibri" w:eastAsia="Times New Roman" w:hAnsi="Calibri" w:cs="Calibri"/>
          <w:lang w:eastAsia="de-DE"/>
        </w:rPr>
        <w:t>ing</w:t>
      </w:r>
      <w:r w:rsidRPr="009B5B56">
        <w:rPr>
          <w:rFonts w:ascii="Calibri" w:eastAsia="Times New Roman" w:hAnsi="Calibri" w:cs="Calibri"/>
          <w:lang w:eastAsia="de-DE"/>
        </w:rPr>
        <w:t xml:space="preserve"> and regulat</w:t>
      </w:r>
      <w:r>
        <w:rPr>
          <w:rFonts w:ascii="Calibri" w:eastAsia="Times New Roman" w:hAnsi="Calibri" w:cs="Calibri"/>
          <w:lang w:eastAsia="de-DE"/>
        </w:rPr>
        <w:t>ing</w:t>
      </w:r>
      <w:r w:rsidRPr="009B5B56">
        <w:rPr>
          <w:rFonts w:ascii="Calibri" w:eastAsia="Times New Roman" w:hAnsi="Calibri" w:cs="Calibri"/>
          <w:lang w:eastAsia="de-DE"/>
        </w:rPr>
        <w:t xml:space="preserve"> activities, </w:t>
      </w:r>
      <w:r>
        <w:rPr>
          <w:rFonts w:ascii="Calibri" w:eastAsia="Times New Roman" w:hAnsi="Calibri" w:cs="Calibri"/>
          <w:lang w:eastAsia="de-DE"/>
        </w:rPr>
        <w:t xml:space="preserve">both upstream and downstream, and </w:t>
      </w:r>
      <w:r w:rsidRPr="009B5B56">
        <w:rPr>
          <w:rFonts w:ascii="Calibri" w:eastAsia="Times New Roman" w:hAnsi="Calibri" w:cs="Calibri"/>
          <w:lang w:eastAsia="de-DE"/>
        </w:rPr>
        <w:t>provide technical assistance and</w:t>
      </w:r>
      <w:r w:rsidRPr="00BD0D98">
        <w:rPr>
          <w:rFonts w:ascii="Calibri" w:eastAsia="Times New Roman" w:hAnsi="Calibri" w:cs="Calibri"/>
          <w:lang w:eastAsia="de-DE"/>
        </w:rPr>
        <w:t xml:space="preserve"> training to improve sector performance and</w:t>
      </w:r>
      <w:r>
        <w:rPr>
          <w:rFonts w:ascii="Calibri" w:eastAsia="Times New Roman" w:hAnsi="Calibri" w:cs="Calibri"/>
          <w:lang w:eastAsia="de-DE"/>
        </w:rPr>
        <w:t xml:space="preserve"> to focus on increasing </w:t>
      </w:r>
      <w:r w:rsidRPr="00BD0D98">
        <w:rPr>
          <w:rFonts w:ascii="Calibri" w:eastAsia="Times New Roman" w:hAnsi="Calibri" w:cs="Calibri"/>
          <w:lang w:eastAsia="de-DE"/>
        </w:rPr>
        <w:t>the value added from cutting, polishing</w:t>
      </w:r>
      <w:r>
        <w:rPr>
          <w:rFonts w:ascii="Calibri" w:eastAsia="Times New Roman" w:hAnsi="Calibri" w:cs="Calibri"/>
          <w:lang w:eastAsia="de-DE"/>
        </w:rPr>
        <w:t>,</w:t>
      </w:r>
      <w:r w:rsidRPr="00BD0D98">
        <w:rPr>
          <w:rFonts w:ascii="Calibri" w:eastAsia="Times New Roman" w:hAnsi="Calibri" w:cs="Calibri"/>
          <w:lang w:eastAsia="de-DE"/>
        </w:rPr>
        <w:t xml:space="preserve"> and jewelry manufactur</w:t>
      </w:r>
      <w:r>
        <w:rPr>
          <w:rFonts w:ascii="Calibri" w:eastAsia="Times New Roman" w:hAnsi="Calibri" w:cs="Calibri"/>
          <w:lang w:eastAsia="de-DE"/>
        </w:rPr>
        <w:t>e</w:t>
      </w:r>
      <w:r w:rsidRPr="00BD0D98">
        <w:rPr>
          <w:rFonts w:ascii="Calibri" w:eastAsia="Times New Roman" w:hAnsi="Calibri" w:cs="Calibri"/>
          <w:lang w:eastAsia="de-DE"/>
        </w:rPr>
        <w:t xml:space="preserve"> and design.</w:t>
      </w:r>
    </w:p>
    <w:p w:rsidR="00FA1FE1" w:rsidRPr="008821B0" w:rsidRDefault="00FA1FE1" w:rsidP="00FA1FE1">
      <w:pPr>
        <w:spacing w:before="240"/>
        <w:rPr>
          <w:rFonts w:ascii="Calibri" w:eastAsia="Times New Roman" w:hAnsi="Calibri" w:cs="Times New Roman"/>
          <w:lang w:eastAsia="de-DE"/>
        </w:rPr>
      </w:pPr>
      <w:r w:rsidRPr="008821B0">
        <w:rPr>
          <w:rFonts w:ascii="Calibri" w:eastAsia="Times New Roman" w:hAnsi="Calibri" w:cs="Times New Roman"/>
          <w:b/>
          <w:lang w:eastAsia="de-DE"/>
        </w:rPr>
        <w:t>Institutional and legal constraints</w:t>
      </w:r>
      <w:r w:rsidRPr="008821B0">
        <w:rPr>
          <w:rFonts w:ascii="Calibri" w:eastAsia="Times New Roman" w:hAnsi="Calibri" w:cs="Times New Roman"/>
          <w:lang w:eastAsia="de-DE"/>
        </w:rPr>
        <w:t xml:space="preserve">: The lack of a clear legal framework inhibits the development and formalization of the sector. </w:t>
      </w:r>
      <w:r>
        <w:rPr>
          <w:rFonts w:ascii="Calibri" w:eastAsia="Times New Roman" w:hAnsi="Calibri" w:cs="Times New Roman"/>
          <w:lang w:eastAsia="de-DE"/>
        </w:rPr>
        <w:t xml:space="preserve">It </w:t>
      </w:r>
      <w:r w:rsidRPr="008821B0">
        <w:rPr>
          <w:rFonts w:ascii="Calibri" w:eastAsia="Times New Roman" w:hAnsi="Calibri" w:cs="Times New Roman"/>
          <w:lang w:eastAsia="de-DE"/>
        </w:rPr>
        <w:t>fosters illegal and unsafe trading</w:t>
      </w:r>
      <w:r>
        <w:rPr>
          <w:rFonts w:ascii="Calibri" w:eastAsia="Times New Roman" w:hAnsi="Calibri" w:cs="Times New Roman"/>
          <w:lang w:eastAsia="de-DE"/>
        </w:rPr>
        <w:t xml:space="preserve">, and constrains medium-term investment. </w:t>
      </w:r>
      <w:r w:rsidRPr="008821B0">
        <w:rPr>
          <w:rFonts w:ascii="Calibri" w:eastAsia="Times New Roman" w:hAnsi="Calibri" w:cs="Times New Roman"/>
          <w:lang w:eastAsia="de-DE"/>
        </w:rPr>
        <w:t>Extractive resources are public assets</w:t>
      </w:r>
      <w:r>
        <w:rPr>
          <w:rFonts w:ascii="Calibri" w:eastAsia="Times New Roman" w:hAnsi="Calibri" w:cs="Times New Roman"/>
          <w:lang w:eastAsia="de-DE"/>
        </w:rPr>
        <w:t xml:space="preserve"> and as such require</w:t>
      </w:r>
      <w:r w:rsidRPr="008821B0">
        <w:rPr>
          <w:rFonts w:ascii="Calibri" w:eastAsia="Times New Roman" w:hAnsi="Calibri" w:cs="Times New Roman"/>
          <w:lang w:eastAsia="de-DE"/>
        </w:rPr>
        <w:t xml:space="preserve"> laws and regulations</w:t>
      </w:r>
      <w:r>
        <w:rPr>
          <w:rFonts w:ascii="Calibri" w:eastAsia="Times New Roman" w:hAnsi="Calibri" w:cs="Times New Roman"/>
          <w:lang w:eastAsia="de-DE"/>
        </w:rPr>
        <w:t xml:space="preserve"> </w:t>
      </w:r>
      <w:r w:rsidRPr="008821B0">
        <w:rPr>
          <w:rFonts w:ascii="Calibri" w:eastAsia="Times New Roman" w:hAnsi="Calibri" w:cs="Times New Roman"/>
          <w:lang w:eastAsia="de-DE"/>
        </w:rPr>
        <w:t xml:space="preserve">to ensure </w:t>
      </w:r>
      <w:r>
        <w:rPr>
          <w:rFonts w:ascii="Calibri" w:eastAsia="Times New Roman" w:hAnsi="Calibri" w:cs="Times New Roman"/>
          <w:lang w:eastAsia="de-DE"/>
        </w:rPr>
        <w:t xml:space="preserve">transparency and </w:t>
      </w:r>
      <w:r w:rsidRPr="008821B0">
        <w:rPr>
          <w:rFonts w:ascii="Calibri" w:eastAsia="Times New Roman" w:hAnsi="Calibri" w:cs="Times New Roman"/>
          <w:lang w:eastAsia="de-DE"/>
        </w:rPr>
        <w:t xml:space="preserve">public </w:t>
      </w:r>
      <w:r>
        <w:rPr>
          <w:rFonts w:ascii="Calibri" w:eastAsia="Times New Roman" w:hAnsi="Calibri" w:cs="Times New Roman"/>
          <w:lang w:eastAsia="de-DE"/>
        </w:rPr>
        <w:t>accountability</w:t>
      </w:r>
      <w:r w:rsidRPr="008821B0">
        <w:rPr>
          <w:rFonts w:ascii="Calibri" w:eastAsia="Times New Roman" w:hAnsi="Calibri" w:cs="Times New Roman"/>
          <w:lang w:eastAsia="de-DE"/>
        </w:rPr>
        <w:t xml:space="preserve">. </w:t>
      </w:r>
    </w:p>
    <w:p w:rsidR="00FA1FE1" w:rsidRPr="008821B0" w:rsidRDefault="00FA1FE1" w:rsidP="00FA1FE1">
      <w:pPr>
        <w:spacing w:before="240"/>
        <w:rPr>
          <w:rFonts w:ascii="Calibri" w:eastAsia="Times New Roman" w:hAnsi="Calibri" w:cs="Times New Roman"/>
          <w:lang w:eastAsia="de-DE"/>
        </w:rPr>
      </w:pPr>
      <w:r w:rsidRPr="008821B0">
        <w:rPr>
          <w:rFonts w:ascii="Calibri" w:eastAsia="Times New Roman" w:hAnsi="Calibri" w:cs="Times New Roman"/>
          <w:b/>
          <w:lang w:eastAsia="de-DE"/>
        </w:rPr>
        <w:t>High royalties and tax</w:t>
      </w:r>
      <w:r>
        <w:rPr>
          <w:rFonts w:ascii="Calibri" w:eastAsia="Times New Roman" w:hAnsi="Calibri" w:cs="Times New Roman"/>
          <w:b/>
          <w:lang w:eastAsia="de-DE"/>
        </w:rPr>
        <w:t>es</w:t>
      </w:r>
      <w:r w:rsidRPr="008821B0">
        <w:rPr>
          <w:rFonts w:ascii="Calibri" w:eastAsia="Times New Roman" w:hAnsi="Calibri" w:cs="Times New Roman"/>
          <w:b/>
          <w:lang w:eastAsia="de-DE"/>
        </w:rPr>
        <w:t>:</w:t>
      </w:r>
      <w:r w:rsidRPr="008821B0">
        <w:rPr>
          <w:rFonts w:ascii="Calibri" w:eastAsia="Times New Roman" w:hAnsi="Calibri" w:cs="Times New Roman"/>
          <w:lang w:eastAsia="de-DE"/>
        </w:rPr>
        <w:t xml:space="preserve"> The cost structures of both mining and trading are high and </w:t>
      </w:r>
      <w:r>
        <w:rPr>
          <w:rFonts w:ascii="Calibri" w:eastAsia="Times New Roman" w:hAnsi="Calibri" w:cs="Times New Roman"/>
          <w:lang w:eastAsia="de-DE"/>
        </w:rPr>
        <w:t xml:space="preserve">are </w:t>
      </w:r>
      <w:r w:rsidRPr="008821B0">
        <w:rPr>
          <w:rFonts w:ascii="Calibri" w:eastAsia="Times New Roman" w:hAnsi="Calibri" w:cs="Times New Roman"/>
          <w:lang w:eastAsia="de-DE"/>
        </w:rPr>
        <w:t xml:space="preserve">exacerbated by </w:t>
      </w:r>
      <w:r>
        <w:rPr>
          <w:rFonts w:ascii="Calibri" w:eastAsia="Times New Roman" w:hAnsi="Calibri" w:cs="Times New Roman"/>
          <w:lang w:eastAsia="de-DE"/>
        </w:rPr>
        <w:t>g</w:t>
      </w:r>
      <w:r w:rsidRPr="008821B0">
        <w:rPr>
          <w:rFonts w:ascii="Calibri" w:eastAsia="Times New Roman" w:hAnsi="Calibri" w:cs="Times New Roman"/>
          <w:lang w:eastAsia="de-DE"/>
        </w:rPr>
        <w:t>overnment-imposed taxes</w:t>
      </w:r>
      <w:r>
        <w:rPr>
          <w:rFonts w:ascii="Calibri" w:eastAsia="Times New Roman" w:hAnsi="Calibri" w:cs="Times New Roman"/>
          <w:lang w:eastAsia="de-DE"/>
        </w:rPr>
        <w:t xml:space="preserve"> and illegal informal levies at the local level</w:t>
      </w:r>
      <w:r w:rsidRPr="008821B0">
        <w:rPr>
          <w:rFonts w:ascii="Calibri" w:eastAsia="Times New Roman" w:hAnsi="Calibri" w:cs="Times New Roman"/>
          <w:lang w:eastAsia="de-DE"/>
        </w:rPr>
        <w:t xml:space="preserve">, </w:t>
      </w:r>
      <w:r>
        <w:rPr>
          <w:rFonts w:ascii="Calibri" w:eastAsia="Times New Roman" w:hAnsi="Calibri" w:cs="Times New Roman"/>
          <w:lang w:eastAsia="de-DE"/>
        </w:rPr>
        <w:t xml:space="preserve">which </w:t>
      </w:r>
      <w:r w:rsidRPr="008821B0">
        <w:rPr>
          <w:rFonts w:ascii="Calibri" w:eastAsia="Times New Roman" w:hAnsi="Calibri" w:cs="Times New Roman"/>
          <w:lang w:eastAsia="de-DE"/>
        </w:rPr>
        <w:t>reduce profit margins</w:t>
      </w:r>
      <w:r>
        <w:rPr>
          <w:rFonts w:ascii="Calibri" w:eastAsia="Times New Roman" w:hAnsi="Calibri" w:cs="Times New Roman"/>
          <w:lang w:eastAsia="de-DE"/>
        </w:rPr>
        <w:t xml:space="preserve">.  </w:t>
      </w:r>
      <w:r w:rsidRPr="008821B0">
        <w:rPr>
          <w:rFonts w:ascii="Calibri" w:eastAsia="Times New Roman" w:hAnsi="Calibri" w:cs="Times New Roman"/>
          <w:lang w:eastAsia="de-DE"/>
        </w:rPr>
        <w:t>A royalty of 15</w:t>
      </w:r>
      <w:r>
        <w:rPr>
          <w:rFonts w:ascii="Calibri" w:eastAsia="Times New Roman" w:hAnsi="Calibri" w:cs="Times New Roman"/>
          <w:lang w:eastAsia="de-DE"/>
        </w:rPr>
        <w:t xml:space="preserve"> percent</w:t>
      </w:r>
      <w:r w:rsidRPr="008821B0">
        <w:rPr>
          <w:rFonts w:ascii="Calibri" w:eastAsia="Times New Roman" w:hAnsi="Calibri" w:cs="Times New Roman"/>
          <w:lang w:eastAsia="de-DE"/>
        </w:rPr>
        <w:t xml:space="preserve"> imposed by the Ministry of Mines, an export tax of 12</w:t>
      </w:r>
      <w:r>
        <w:rPr>
          <w:rFonts w:ascii="Calibri" w:eastAsia="Times New Roman" w:hAnsi="Calibri" w:cs="Times New Roman"/>
          <w:lang w:eastAsia="de-DE"/>
        </w:rPr>
        <w:t xml:space="preserve"> percent</w:t>
      </w:r>
      <w:r w:rsidRPr="008821B0">
        <w:rPr>
          <w:rFonts w:ascii="Calibri" w:eastAsia="Times New Roman" w:hAnsi="Calibri" w:cs="Times New Roman"/>
          <w:lang w:eastAsia="de-DE"/>
        </w:rPr>
        <w:t xml:space="preserve">, </w:t>
      </w:r>
      <w:r>
        <w:rPr>
          <w:rFonts w:ascii="Calibri" w:eastAsia="Times New Roman" w:hAnsi="Calibri" w:cs="Times New Roman"/>
          <w:lang w:eastAsia="de-DE"/>
        </w:rPr>
        <w:t>as well as</w:t>
      </w:r>
      <w:r w:rsidRPr="008821B0">
        <w:rPr>
          <w:rFonts w:ascii="Calibri" w:eastAsia="Times New Roman" w:hAnsi="Calibri" w:cs="Times New Roman"/>
          <w:lang w:eastAsia="de-DE"/>
        </w:rPr>
        <w:t xml:space="preserve"> unofficial costs imposed by the institutional operating environment </w:t>
      </w:r>
      <w:r>
        <w:rPr>
          <w:rFonts w:ascii="Calibri" w:eastAsia="Times New Roman" w:hAnsi="Calibri" w:cs="Times New Roman"/>
          <w:lang w:eastAsia="de-DE"/>
        </w:rPr>
        <w:t>combine to impose tax exceeding 50 percent on gemstone exporters</w:t>
      </w:r>
      <w:r w:rsidRPr="008821B0">
        <w:rPr>
          <w:rFonts w:ascii="Calibri" w:eastAsia="Times New Roman" w:hAnsi="Calibri" w:cs="Times New Roman"/>
          <w:lang w:eastAsia="de-DE"/>
        </w:rPr>
        <w:t xml:space="preserve">.  </w:t>
      </w:r>
    </w:p>
    <w:p w:rsidR="00FA1FE1" w:rsidRPr="008821B0" w:rsidRDefault="00FA1FE1" w:rsidP="00FA1FE1">
      <w:pPr>
        <w:spacing w:before="240"/>
        <w:rPr>
          <w:rFonts w:ascii="Calibri" w:eastAsia="Times New Roman" w:hAnsi="Calibri" w:cs="Times New Roman"/>
          <w:lang w:eastAsia="de-DE"/>
        </w:rPr>
      </w:pPr>
      <w:r>
        <w:rPr>
          <w:rFonts w:ascii="Calibri" w:eastAsia="Times New Roman" w:hAnsi="Calibri" w:cs="Times New Roman"/>
          <w:b/>
          <w:lang w:eastAsia="de-DE"/>
        </w:rPr>
        <w:t>Cumbersome</w:t>
      </w:r>
      <w:r w:rsidRPr="008821B0">
        <w:rPr>
          <w:rFonts w:ascii="Calibri" w:eastAsia="Times New Roman" w:hAnsi="Calibri" w:cs="Times New Roman"/>
          <w:b/>
          <w:lang w:eastAsia="de-DE"/>
        </w:rPr>
        <w:t xml:space="preserve"> export </w:t>
      </w:r>
      <w:r>
        <w:rPr>
          <w:rFonts w:ascii="Calibri" w:eastAsia="Times New Roman" w:hAnsi="Calibri" w:cs="Times New Roman"/>
          <w:b/>
          <w:lang w:eastAsia="de-DE"/>
        </w:rPr>
        <w:t>procedures</w:t>
      </w:r>
      <w:r w:rsidRPr="008821B0">
        <w:rPr>
          <w:rFonts w:ascii="Calibri" w:eastAsia="Times New Roman" w:hAnsi="Calibri" w:cs="Times New Roman"/>
          <w:lang w:eastAsia="de-DE"/>
        </w:rPr>
        <w:t xml:space="preserve">: </w:t>
      </w:r>
      <w:r>
        <w:rPr>
          <w:rFonts w:ascii="Calibri" w:eastAsia="Times New Roman" w:hAnsi="Calibri" w:cs="Times New Roman"/>
          <w:lang w:eastAsia="de-DE"/>
        </w:rPr>
        <w:t>E</w:t>
      </w:r>
      <w:r w:rsidRPr="008821B0">
        <w:rPr>
          <w:rFonts w:ascii="Calibri" w:eastAsia="Times New Roman" w:hAnsi="Calibri" w:cs="Times New Roman"/>
          <w:lang w:eastAsia="de-DE"/>
        </w:rPr>
        <w:t>xport procedures are complicated, expensive and time</w:t>
      </w:r>
      <w:r>
        <w:rPr>
          <w:rFonts w:ascii="Calibri" w:eastAsia="Times New Roman" w:hAnsi="Calibri" w:cs="Times New Roman"/>
          <w:lang w:eastAsia="de-DE"/>
        </w:rPr>
        <w:t xml:space="preserve"> </w:t>
      </w:r>
      <w:r w:rsidRPr="008821B0">
        <w:rPr>
          <w:rFonts w:ascii="Calibri" w:eastAsia="Times New Roman" w:hAnsi="Calibri" w:cs="Times New Roman"/>
          <w:lang w:eastAsia="de-DE"/>
        </w:rPr>
        <w:t xml:space="preserve">consuming. The legal export of finished jewelry requires 12 signatures from </w:t>
      </w:r>
      <w:r>
        <w:rPr>
          <w:rFonts w:ascii="Calibri" w:eastAsia="Times New Roman" w:hAnsi="Calibri" w:cs="Times New Roman"/>
          <w:lang w:eastAsia="de-DE"/>
        </w:rPr>
        <w:t>various</w:t>
      </w:r>
      <w:r w:rsidRPr="008821B0">
        <w:rPr>
          <w:rFonts w:ascii="Calibri" w:eastAsia="Times New Roman" w:hAnsi="Calibri" w:cs="Times New Roman"/>
          <w:lang w:eastAsia="de-DE"/>
        </w:rPr>
        <w:t xml:space="preserve"> departments in the </w:t>
      </w:r>
      <w:r>
        <w:rPr>
          <w:rFonts w:ascii="Calibri" w:eastAsia="Times New Roman" w:hAnsi="Calibri" w:cs="Times New Roman"/>
          <w:lang w:eastAsia="de-DE"/>
        </w:rPr>
        <w:t>m</w:t>
      </w:r>
      <w:r w:rsidRPr="008821B0">
        <w:rPr>
          <w:rFonts w:ascii="Calibri" w:eastAsia="Times New Roman" w:hAnsi="Calibri" w:cs="Times New Roman"/>
          <w:lang w:eastAsia="de-DE"/>
        </w:rPr>
        <w:t>inistr</w:t>
      </w:r>
      <w:r>
        <w:rPr>
          <w:rFonts w:ascii="Calibri" w:eastAsia="Times New Roman" w:hAnsi="Calibri" w:cs="Times New Roman"/>
          <w:lang w:eastAsia="de-DE"/>
        </w:rPr>
        <w:t>ies</w:t>
      </w:r>
      <w:r w:rsidRPr="008821B0">
        <w:rPr>
          <w:rFonts w:ascii="Calibri" w:eastAsia="Times New Roman" w:hAnsi="Calibri" w:cs="Times New Roman"/>
          <w:lang w:eastAsia="de-DE"/>
        </w:rPr>
        <w:t xml:space="preserve"> of </w:t>
      </w:r>
      <w:r>
        <w:rPr>
          <w:rFonts w:ascii="Calibri" w:eastAsia="Times New Roman" w:hAnsi="Calibri" w:cs="Times New Roman"/>
          <w:lang w:eastAsia="de-DE"/>
        </w:rPr>
        <w:t>c</w:t>
      </w:r>
      <w:r w:rsidRPr="008821B0">
        <w:rPr>
          <w:rFonts w:ascii="Calibri" w:eastAsia="Times New Roman" w:hAnsi="Calibri" w:cs="Times New Roman"/>
          <w:lang w:eastAsia="de-DE"/>
        </w:rPr>
        <w:t xml:space="preserve">ommerce, </w:t>
      </w:r>
      <w:r>
        <w:rPr>
          <w:rFonts w:ascii="Calibri" w:eastAsia="Times New Roman" w:hAnsi="Calibri" w:cs="Times New Roman"/>
          <w:lang w:eastAsia="de-DE"/>
        </w:rPr>
        <w:t>f</w:t>
      </w:r>
      <w:r w:rsidRPr="008821B0">
        <w:rPr>
          <w:rFonts w:ascii="Calibri" w:eastAsia="Times New Roman" w:hAnsi="Calibri" w:cs="Times New Roman"/>
          <w:lang w:eastAsia="de-DE"/>
        </w:rPr>
        <w:t xml:space="preserve">inance, </w:t>
      </w:r>
      <w:r>
        <w:rPr>
          <w:rFonts w:ascii="Calibri" w:eastAsia="Times New Roman" w:hAnsi="Calibri" w:cs="Times New Roman"/>
          <w:lang w:eastAsia="de-DE"/>
        </w:rPr>
        <w:t>and m</w:t>
      </w:r>
      <w:r w:rsidRPr="008821B0">
        <w:rPr>
          <w:rFonts w:ascii="Calibri" w:eastAsia="Times New Roman" w:hAnsi="Calibri" w:cs="Times New Roman"/>
          <w:lang w:eastAsia="de-DE"/>
        </w:rPr>
        <w:t>ines</w:t>
      </w:r>
      <w:r>
        <w:rPr>
          <w:rFonts w:ascii="Calibri" w:eastAsia="Times New Roman" w:hAnsi="Calibri" w:cs="Times New Roman"/>
          <w:lang w:eastAsia="de-DE"/>
        </w:rPr>
        <w:t>. E</w:t>
      </w:r>
      <w:r w:rsidRPr="008821B0">
        <w:rPr>
          <w:rFonts w:ascii="Calibri" w:eastAsia="Times New Roman" w:hAnsi="Calibri" w:cs="Times New Roman"/>
          <w:lang w:eastAsia="de-DE"/>
        </w:rPr>
        <w:t>ven the Kabul museum</w:t>
      </w:r>
      <w:r>
        <w:rPr>
          <w:rFonts w:ascii="Calibri" w:eastAsia="Times New Roman" w:hAnsi="Calibri" w:cs="Times New Roman"/>
          <w:lang w:eastAsia="de-DE"/>
        </w:rPr>
        <w:t xml:space="preserve"> is involved</w:t>
      </w:r>
      <w:r w:rsidRPr="008821B0">
        <w:rPr>
          <w:rFonts w:ascii="Calibri" w:eastAsia="Times New Roman" w:hAnsi="Calibri" w:cs="Times New Roman"/>
          <w:lang w:eastAsia="de-DE"/>
        </w:rPr>
        <w:t xml:space="preserve">, </w:t>
      </w:r>
      <w:r>
        <w:rPr>
          <w:rFonts w:ascii="Calibri" w:eastAsia="Times New Roman" w:hAnsi="Calibri" w:cs="Times New Roman"/>
          <w:lang w:eastAsia="de-DE"/>
        </w:rPr>
        <w:t>in certifying that the exported jewelry is</w:t>
      </w:r>
      <w:r w:rsidRPr="008821B0">
        <w:rPr>
          <w:rFonts w:ascii="Calibri" w:eastAsia="Times New Roman" w:hAnsi="Calibri" w:cs="Times New Roman"/>
          <w:lang w:eastAsia="de-DE"/>
        </w:rPr>
        <w:t xml:space="preserve"> not antique.   </w:t>
      </w:r>
    </w:p>
    <w:p w:rsidR="00FA1FE1" w:rsidRPr="008821B0" w:rsidRDefault="00FA1FE1" w:rsidP="00FA1FE1">
      <w:pPr>
        <w:spacing w:before="240"/>
        <w:rPr>
          <w:rFonts w:ascii="Calibri" w:eastAsia="Times New Roman" w:hAnsi="Calibri" w:cs="Times New Roman"/>
          <w:lang w:eastAsia="de-DE"/>
        </w:rPr>
      </w:pPr>
      <w:r w:rsidRPr="008821B0">
        <w:rPr>
          <w:rFonts w:ascii="Calibri" w:eastAsia="Times New Roman" w:hAnsi="Calibri" w:cs="Times New Roman"/>
          <w:b/>
          <w:lang w:eastAsia="de-DE"/>
        </w:rPr>
        <w:t>Corruption</w:t>
      </w:r>
      <w:r w:rsidRPr="008821B0">
        <w:rPr>
          <w:rFonts w:ascii="Calibri" w:eastAsia="Times New Roman" w:hAnsi="Calibri" w:cs="Times New Roman"/>
          <w:lang w:eastAsia="de-DE"/>
        </w:rPr>
        <w:t>: Many of the gemstone resources are under the control of armed groups, powerful warlords and corrupt local officials who extort large sums from miners and traders, benefit from the informal nature of the sector</w:t>
      </w:r>
      <w:r>
        <w:rPr>
          <w:rFonts w:ascii="Calibri" w:eastAsia="Times New Roman" w:hAnsi="Calibri" w:cs="Times New Roman"/>
          <w:lang w:eastAsia="de-DE"/>
        </w:rPr>
        <w:t>,</w:t>
      </w:r>
      <w:r w:rsidRPr="008821B0">
        <w:rPr>
          <w:rFonts w:ascii="Calibri" w:eastAsia="Times New Roman" w:hAnsi="Calibri" w:cs="Times New Roman"/>
          <w:lang w:eastAsia="de-DE"/>
        </w:rPr>
        <w:t xml:space="preserve"> and are likely to resist attempts to formalize it.</w:t>
      </w:r>
    </w:p>
    <w:p w:rsidR="00FA1FE1" w:rsidRPr="008821B0" w:rsidRDefault="00FA1FE1" w:rsidP="00FA1FE1">
      <w:pPr>
        <w:spacing w:before="240"/>
        <w:rPr>
          <w:rFonts w:ascii="Calibri" w:eastAsia="Times New Roman" w:hAnsi="Calibri" w:cs="Times New Roman"/>
          <w:lang w:eastAsia="de-DE"/>
        </w:rPr>
      </w:pPr>
      <w:r w:rsidRPr="008821B0">
        <w:rPr>
          <w:rFonts w:ascii="Calibri" w:eastAsia="Times New Roman" w:hAnsi="Calibri" w:cs="Times New Roman"/>
          <w:b/>
          <w:lang w:eastAsia="de-DE"/>
        </w:rPr>
        <w:t>Lack of reliable infrastructure</w:t>
      </w:r>
      <w:r w:rsidRPr="008821B0">
        <w:rPr>
          <w:rFonts w:ascii="Calibri" w:eastAsia="Times New Roman" w:hAnsi="Calibri" w:cs="Times New Roman"/>
          <w:lang w:eastAsia="de-DE"/>
        </w:rPr>
        <w:t xml:space="preserve">: </w:t>
      </w:r>
      <w:r>
        <w:rPr>
          <w:rFonts w:ascii="Calibri" w:eastAsia="Times New Roman" w:hAnsi="Calibri" w:cs="Times New Roman"/>
          <w:lang w:eastAsia="de-DE"/>
        </w:rPr>
        <w:t xml:space="preserve">The lack of </w:t>
      </w:r>
      <w:r w:rsidRPr="008821B0">
        <w:rPr>
          <w:rFonts w:ascii="Calibri" w:eastAsia="Times New Roman" w:hAnsi="Calibri" w:cs="Times New Roman"/>
          <w:lang w:eastAsia="de-DE"/>
        </w:rPr>
        <w:t xml:space="preserve">road, energy, </w:t>
      </w:r>
      <w:r>
        <w:rPr>
          <w:rFonts w:ascii="Calibri" w:eastAsia="Times New Roman" w:hAnsi="Calibri" w:cs="Times New Roman"/>
          <w:lang w:eastAsia="de-DE"/>
        </w:rPr>
        <w:t xml:space="preserve">and </w:t>
      </w:r>
      <w:r w:rsidRPr="008821B0">
        <w:rPr>
          <w:rFonts w:ascii="Calibri" w:eastAsia="Times New Roman" w:hAnsi="Calibri" w:cs="Times New Roman"/>
          <w:lang w:eastAsia="de-DE"/>
        </w:rPr>
        <w:t>water systems,</w:t>
      </w:r>
      <w:r>
        <w:rPr>
          <w:rFonts w:ascii="Calibri" w:eastAsia="Times New Roman" w:hAnsi="Calibri" w:cs="Times New Roman"/>
          <w:lang w:eastAsia="de-DE"/>
        </w:rPr>
        <w:t xml:space="preserve"> constrain growth of mining operations. For example, the e</w:t>
      </w:r>
      <w:r w:rsidRPr="008821B0">
        <w:rPr>
          <w:rFonts w:ascii="Calibri" w:eastAsia="Times New Roman" w:hAnsi="Calibri" w:cs="Times New Roman"/>
          <w:lang w:eastAsia="de-DE"/>
        </w:rPr>
        <w:t>merald mines in Khenj</w:t>
      </w:r>
      <w:r>
        <w:rPr>
          <w:rFonts w:ascii="Calibri" w:eastAsia="Times New Roman" w:hAnsi="Calibri" w:cs="Times New Roman"/>
          <w:lang w:eastAsia="de-DE"/>
        </w:rPr>
        <w:t xml:space="preserve">, </w:t>
      </w:r>
      <w:r w:rsidRPr="008821B0">
        <w:rPr>
          <w:rFonts w:ascii="Calibri" w:eastAsia="Times New Roman" w:hAnsi="Calibri" w:cs="Times New Roman"/>
          <w:lang w:eastAsia="de-DE"/>
        </w:rPr>
        <w:t>in the Panjshir Valley</w:t>
      </w:r>
      <w:r>
        <w:rPr>
          <w:rFonts w:ascii="Calibri" w:eastAsia="Times New Roman" w:hAnsi="Calibri" w:cs="Times New Roman"/>
          <w:lang w:eastAsia="de-DE"/>
        </w:rPr>
        <w:t>,</w:t>
      </w:r>
      <w:r w:rsidRPr="008821B0">
        <w:rPr>
          <w:rFonts w:ascii="Calibri" w:eastAsia="Times New Roman" w:hAnsi="Calibri" w:cs="Times New Roman"/>
          <w:lang w:eastAsia="de-DE"/>
        </w:rPr>
        <w:t xml:space="preserve"> are accessible </w:t>
      </w:r>
      <w:r>
        <w:rPr>
          <w:rFonts w:ascii="Calibri" w:eastAsia="Times New Roman" w:hAnsi="Calibri" w:cs="Times New Roman"/>
          <w:lang w:eastAsia="de-DE"/>
        </w:rPr>
        <w:t>only by a three-</w:t>
      </w:r>
      <w:r w:rsidRPr="008821B0">
        <w:rPr>
          <w:rFonts w:ascii="Calibri" w:eastAsia="Times New Roman" w:hAnsi="Calibri" w:cs="Times New Roman"/>
          <w:lang w:eastAsia="de-DE"/>
        </w:rPr>
        <w:t xml:space="preserve">hour </w:t>
      </w:r>
      <w:r>
        <w:rPr>
          <w:rFonts w:ascii="Calibri" w:eastAsia="Times New Roman" w:hAnsi="Calibri" w:cs="Times New Roman"/>
          <w:lang w:eastAsia="de-DE"/>
        </w:rPr>
        <w:t xml:space="preserve">uphill walk. </w:t>
      </w:r>
      <w:r w:rsidRPr="008821B0">
        <w:rPr>
          <w:rFonts w:ascii="Calibri" w:eastAsia="Times New Roman" w:hAnsi="Calibri" w:cs="Times New Roman"/>
          <w:lang w:eastAsia="de-DE"/>
        </w:rPr>
        <w:t xml:space="preserve">The miners </w:t>
      </w:r>
      <w:r>
        <w:rPr>
          <w:rFonts w:ascii="Calibri" w:eastAsia="Times New Roman" w:hAnsi="Calibri" w:cs="Times New Roman"/>
          <w:lang w:eastAsia="de-DE"/>
        </w:rPr>
        <w:t xml:space="preserve">have to </w:t>
      </w:r>
      <w:r w:rsidRPr="008821B0">
        <w:rPr>
          <w:rFonts w:ascii="Calibri" w:eastAsia="Times New Roman" w:hAnsi="Calibri" w:cs="Times New Roman"/>
          <w:lang w:eastAsia="de-DE"/>
        </w:rPr>
        <w:t xml:space="preserve">use small </w:t>
      </w:r>
      <w:r>
        <w:rPr>
          <w:rFonts w:ascii="Calibri" w:eastAsia="Times New Roman" w:hAnsi="Calibri" w:cs="Times New Roman"/>
          <w:lang w:eastAsia="de-DE"/>
        </w:rPr>
        <w:t xml:space="preserve">electricity </w:t>
      </w:r>
      <w:r w:rsidRPr="008821B0">
        <w:rPr>
          <w:rFonts w:ascii="Calibri" w:eastAsia="Times New Roman" w:hAnsi="Calibri" w:cs="Times New Roman"/>
          <w:lang w:eastAsia="de-DE"/>
        </w:rPr>
        <w:t xml:space="preserve">generators </w:t>
      </w:r>
      <w:r>
        <w:rPr>
          <w:rFonts w:ascii="Calibri" w:eastAsia="Times New Roman" w:hAnsi="Calibri" w:cs="Times New Roman"/>
          <w:lang w:eastAsia="de-DE"/>
        </w:rPr>
        <w:t>because mainline</w:t>
      </w:r>
      <w:r w:rsidRPr="008821B0">
        <w:rPr>
          <w:rFonts w:ascii="Calibri" w:eastAsia="Times New Roman" w:hAnsi="Calibri" w:cs="Times New Roman"/>
          <w:lang w:eastAsia="de-DE"/>
        </w:rPr>
        <w:t xml:space="preserve"> electricity and water s</w:t>
      </w:r>
      <w:r>
        <w:rPr>
          <w:rFonts w:ascii="Calibri" w:eastAsia="Times New Roman" w:hAnsi="Calibri" w:cs="Times New Roman"/>
          <w:lang w:eastAsia="de-DE"/>
        </w:rPr>
        <w:t>upplies</w:t>
      </w:r>
      <w:r w:rsidRPr="008821B0">
        <w:rPr>
          <w:rFonts w:ascii="Calibri" w:eastAsia="Times New Roman" w:hAnsi="Calibri" w:cs="Times New Roman"/>
          <w:lang w:eastAsia="de-DE"/>
        </w:rPr>
        <w:t xml:space="preserve"> are </w:t>
      </w:r>
      <w:r>
        <w:rPr>
          <w:rFonts w:ascii="Calibri" w:eastAsia="Times New Roman" w:hAnsi="Calibri" w:cs="Times New Roman"/>
          <w:lang w:eastAsia="de-DE"/>
        </w:rPr>
        <w:t xml:space="preserve">located </w:t>
      </w:r>
      <w:r w:rsidRPr="008821B0">
        <w:rPr>
          <w:rFonts w:ascii="Calibri" w:eastAsia="Times New Roman" w:hAnsi="Calibri" w:cs="Times New Roman"/>
          <w:lang w:eastAsia="de-DE"/>
        </w:rPr>
        <w:t xml:space="preserve">down in the valley.    </w:t>
      </w:r>
    </w:p>
    <w:p w:rsidR="00FA1FE1" w:rsidRPr="008821B0" w:rsidRDefault="00FA1FE1" w:rsidP="00FA1FE1">
      <w:pPr>
        <w:spacing w:before="240"/>
        <w:rPr>
          <w:rFonts w:ascii="Calibri" w:eastAsia="Times New Roman" w:hAnsi="Calibri" w:cs="Times New Roman"/>
          <w:lang w:eastAsia="de-DE"/>
        </w:rPr>
      </w:pPr>
      <w:r>
        <w:rPr>
          <w:rFonts w:ascii="Calibri" w:eastAsia="Times New Roman" w:hAnsi="Calibri" w:cs="Times New Roman"/>
          <w:b/>
          <w:lang w:eastAsia="de-DE"/>
        </w:rPr>
        <w:t>Accessibility of adequate</w:t>
      </w:r>
      <w:r w:rsidRPr="008821B0">
        <w:rPr>
          <w:rFonts w:ascii="Calibri" w:eastAsia="Times New Roman" w:hAnsi="Calibri" w:cs="Times New Roman"/>
          <w:b/>
          <w:lang w:eastAsia="de-DE"/>
        </w:rPr>
        <w:t xml:space="preserve"> mining explosives</w:t>
      </w:r>
      <w:r w:rsidRPr="008821B0">
        <w:rPr>
          <w:rFonts w:ascii="Calibri" w:eastAsia="Times New Roman" w:hAnsi="Calibri" w:cs="Times New Roman"/>
          <w:lang w:eastAsia="de-DE"/>
        </w:rPr>
        <w:t>. Since Afghanistan banned the importation of ammonium nitrate fertili</w:t>
      </w:r>
      <w:r>
        <w:rPr>
          <w:rFonts w:ascii="Calibri" w:eastAsia="Times New Roman" w:hAnsi="Calibri" w:cs="Times New Roman"/>
          <w:lang w:eastAsia="de-DE"/>
        </w:rPr>
        <w:t xml:space="preserve">zer in January 2010, </w:t>
      </w:r>
      <w:r w:rsidRPr="008821B0">
        <w:rPr>
          <w:rFonts w:ascii="Calibri" w:eastAsia="Times New Roman" w:hAnsi="Calibri" w:cs="Times New Roman"/>
          <w:lang w:eastAsia="de-DE"/>
        </w:rPr>
        <w:t>which was widely used in artisanal mining, many mines have closed, especially in Kunar and Nuristan. The widespread use of dynamite</w:t>
      </w:r>
      <w:r>
        <w:rPr>
          <w:rFonts w:ascii="Calibri" w:eastAsia="Times New Roman" w:hAnsi="Calibri" w:cs="Times New Roman"/>
          <w:lang w:eastAsia="de-DE"/>
        </w:rPr>
        <w:t xml:space="preserve"> and inadequate explosives pose safety concerns.  </w:t>
      </w:r>
    </w:p>
    <w:p w:rsidR="00FA1FE1" w:rsidRDefault="00FA1FE1" w:rsidP="00FA1FE1">
      <w:pPr>
        <w:spacing w:before="240"/>
        <w:rPr>
          <w:rFonts w:ascii="Calibri" w:eastAsia="Times New Roman" w:hAnsi="Calibri" w:cs="Times New Roman"/>
          <w:lang w:eastAsia="de-DE"/>
        </w:rPr>
      </w:pPr>
      <w:r>
        <w:rPr>
          <w:rFonts w:ascii="Calibri" w:eastAsia="Times New Roman" w:hAnsi="Calibri" w:cs="Times New Roman"/>
          <w:b/>
          <w:lang w:eastAsia="de-DE"/>
        </w:rPr>
        <w:t xml:space="preserve">Safety is comprised by inadequate mining techniques. </w:t>
      </w:r>
      <w:r>
        <w:rPr>
          <w:rFonts w:ascii="Calibri" w:eastAsia="Times New Roman" w:hAnsi="Calibri" w:cs="Times New Roman"/>
          <w:lang w:eastAsia="de-DE"/>
        </w:rPr>
        <w:t>I</w:t>
      </w:r>
      <w:r w:rsidRPr="00CC49AC">
        <w:rPr>
          <w:rFonts w:ascii="Calibri" w:eastAsia="Times New Roman" w:hAnsi="Calibri" w:cs="Times New Roman"/>
          <w:lang w:eastAsia="de-DE"/>
        </w:rPr>
        <w:t>mproper mining techniques</w:t>
      </w:r>
      <w:r>
        <w:rPr>
          <w:rFonts w:ascii="Calibri" w:eastAsia="Times New Roman" w:hAnsi="Calibri" w:cs="Times New Roman"/>
          <w:lang w:eastAsia="de-DE"/>
        </w:rPr>
        <w:t>,</w:t>
      </w:r>
      <w:r w:rsidRPr="00CC49AC">
        <w:rPr>
          <w:rFonts w:ascii="Calibri" w:eastAsia="Times New Roman" w:hAnsi="Calibri" w:cs="Times New Roman"/>
          <w:lang w:eastAsia="de-DE"/>
        </w:rPr>
        <w:t xml:space="preserve"> including </w:t>
      </w:r>
      <w:r>
        <w:rPr>
          <w:rFonts w:ascii="Calibri" w:eastAsia="Times New Roman" w:hAnsi="Calibri" w:cs="Times New Roman"/>
          <w:lang w:eastAsia="de-DE"/>
        </w:rPr>
        <w:t xml:space="preserve">the </w:t>
      </w:r>
      <w:r w:rsidRPr="00CC49AC">
        <w:rPr>
          <w:rFonts w:ascii="Calibri" w:eastAsia="Times New Roman" w:hAnsi="Calibri" w:cs="Times New Roman"/>
          <w:lang w:eastAsia="de-DE"/>
        </w:rPr>
        <w:t>unsafe use of explosives, poor tunneling, lack of ventilation</w:t>
      </w:r>
      <w:r>
        <w:rPr>
          <w:rFonts w:ascii="Calibri" w:eastAsia="Times New Roman" w:hAnsi="Calibri" w:cs="Times New Roman"/>
          <w:lang w:eastAsia="de-DE"/>
        </w:rPr>
        <w:t>,</w:t>
      </w:r>
      <w:r w:rsidRPr="008821B0">
        <w:rPr>
          <w:rFonts w:ascii="Calibri" w:eastAsia="Times New Roman" w:hAnsi="Calibri" w:cs="Times New Roman"/>
          <w:lang w:eastAsia="de-DE"/>
        </w:rPr>
        <w:t xml:space="preserve"> etc. </w:t>
      </w:r>
      <w:r>
        <w:rPr>
          <w:rFonts w:ascii="Calibri" w:eastAsia="Times New Roman" w:hAnsi="Calibri" w:cs="Times New Roman"/>
          <w:lang w:eastAsia="de-DE"/>
        </w:rPr>
        <w:t>are compromising safety in mining extraction, and frequently lead to injury</w:t>
      </w:r>
      <w:r w:rsidRPr="008821B0">
        <w:rPr>
          <w:rFonts w:ascii="Calibri" w:eastAsia="Times New Roman" w:hAnsi="Calibri" w:cs="Times New Roman"/>
          <w:lang w:eastAsia="de-DE"/>
        </w:rPr>
        <w:t xml:space="preserve"> and </w:t>
      </w:r>
      <w:r>
        <w:rPr>
          <w:rFonts w:ascii="Calibri" w:eastAsia="Times New Roman" w:hAnsi="Calibri" w:cs="Times New Roman"/>
          <w:lang w:eastAsia="de-DE"/>
        </w:rPr>
        <w:t xml:space="preserve">sometimes </w:t>
      </w:r>
      <w:r w:rsidRPr="008821B0">
        <w:rPr>
          <w:rFonts w:ascii="Calibri" w:eastAsia="Times New Roman" w:hAnsi="Calibri" w:cs="Times New Roman"/>
          <w:lang w:eastAsia="de-DE"/>
        </w:rPr>
        <w:t xml:space="preserve">death. </w:t>
      </w:r>
      <w:r>
        <w:rPr>
          <w:rFonts w:ascii="Calibri" w:eastAsia="Times New Roman" w:hAnsi="Calibri" w:cs="Times New Roman"/>
          <w:lang w:eastAsia="de-DE"/>
        </w:rPr>
        <w:t xml:space="preserve">These practices </w:t>
      </w:r>
      <w:r w:rsidRPr="008821B0">
        <w:rPr>
          <w:rFonts w:ascii="Calibri" w:eastAsia="Times New Roman" w:hAnsi="Calibri" w:cs="Times New Roman"/>
          <w:lang w:eastAsia="de-DE"/>
        </w:rPr>
        <w:t xml:space="preserve">also </w:t>
      </w:r>
      <w:r>
        <w:rPr>
          <w:rFonts w:ascii="Calibri" w:eastAsia="Times New Roman" w:hAnsi="Calibri" w:cs="Times New Roman"/>
          <w:lang w:eastAsia="de-DE"/>
        </w:rPr>
        <w:t xml:space="preserve">undermine the </w:t>
      </w:r>
      <w:r w:rsidRPr="008821B0">
        <w:rPr>
          <w:rFonts w:ascii="Calibri" w:eastAsia="Times New Roman" w:hAnsi="Calibri" w:cs="Times New Roman"/>
          <w:lang w:eastAsia="de-DE"/>
        </w:rPr>
        <w:t xml:space="preserve">value </w:t>
      </w:r>
      <w:r>
        <w:rPr>
          <w:rFonts w:ascii="Calibri" w:eastAsia="Times New Roman" w:hAnsi="Calibri" w:cs="Times New Roman"/>
          <w:lang w:eastAsia="de-DE"/>
        </w:rPr>
        <w:t xml:space="preserve">of the </w:t>
      </w:r>
      <w:r w:rsidRPr="008821B0">
        <w:rPr>
          <w:rFonts w:ascii="Calibri" w:eastAsia="Times New Roman" w:hAnsi="Calibri" w:cs="Times New Roman"/>
          <w:lang w:eastAsia="de-DE"/>
        </w:rPr>
        <w:t>gemstones</w:t>
      </w:r>
      <w:r>
        <w:rPr>
          <w:rFonts w:ascii="Calibri" w:eastAsia="Times New Roman" w:hAnsi="Calibri" w:cs="Times New Roman"/>
          <w:lang w:eastAsia="de-DE"/>
        </w:rPr>
        <w:t>,</w:t>
      </w:r>
      <w:r w:rsidRPr="008821B0">
        <w:rPr>
          <w:rFonts w:ascii="Calibri" w:eastAsia="Times New Roman" w:hAnsi="Calibri" w:cs="Times New Roman"/>
          <w:lang w:eastAsia="de-DE"/>
        </w:rPr>
        <w:t xml:space="preserve"> which are </w:t>
      </w:r>
      <w:r>
        <w:rPr>
          <w:rFonts w:ascii="Calibri" w:eastAsia="Times New Roman" w:hAnsi="Calibri" w:cs="Times New Roman"/>
          <w:lang w:eastAsia="de-DE"/>
        </w:rPr>
        <w:t xml:space="preserve">often </w:t>
      </w:r>
      <w:r w:rsidRPr="008821B0">
        <w:rPr>
          <w:rFonts w:ascii="Calibri" w:eastAsia="Times New Roman" w:hAnsi="Calibri" w:cs="Times New Roman"/>
          <w:lang w:eastAsia="de-DE"/>
        </w:rPr>
        <w:t xml:space="preserve">damaged </w:t>
      </w:r>
      <w:r>
        <w:rPr>
          <w:rFonts w:ascii="Calibri" w:eastAsia="Times New Roman" w:hAnsi="Calibri" w:cs="Times New Roman"/>
          <w:lang w:eastAsia="de-DE"/>
        </w:rPr>
        <w:t>in</w:t>
      </w:r>
      <w:r w:rsidRPr="008821B0">
        <w:rPr>
          <w:rFonts w:ascii="Calibri" w:eastAsia="Times New Roman" w:hAnsi="Calibri" w:cs="Times New Roman"/>
          <w:lang w:eastAsia="de-DE"/>
        </w:rPr>
        <w:t xml:space="preserve"> extraction.    </w:t>
      </w:r>
    </w:p>
    <w:p w:rsidR="00FA1FE1" w:rsidRPr="008821B0" w:rsidRDefault="00FA1FE1" w:rsidP="00FA1FE1">
      <w:pPr>
        <w:spacing w:before="240"/>
        <w:rPr>
          <w:rFonts w:ascii="Calibri" w:eastAsia="Times New Roman" w:hAnsi="Calibri" w:cs="Times New Roman"/>
          <w:lang w:eastAsia="de-DE"/>
        </w:rPr>
      </w:pPr>
      <w:r w:rsidRPr="00CC49AC">
        <w:rPr>
          <w:rFonts w:ascii="Calibri" w:eastAsia="Times New Roman" w:hAnsi="Calibri" w:cs="Times New Roman"/>
          <w:b/>
          <w:lang w:eastAsia="de-DE"/>
        </w:rPr>
        <w:t>Limited gemology skills</w:t>
      </w:r>
      <w:r>
        <w:rPr>
          <w:rFonts w:ascii="Calibri" w:eastAsia="Times New Roman" w:hAnsi="Calibri" w:cs="Times New Roman"/>
          <w:lang w:eastAsia="de-DE"/>
        </w:rPr>
        <w:t>:</w:t>
      </w:r>
      <w:r w:rsidRPr="008821B0">
        <w:rPr>
          <w:rFonts w:ascii="Calibri" w:eastAsia="Times New Roman" w:hAnsi="Calibri" w:cs="Times New Roman"/>
          <w:lang w:eastAsia="de-DE"/>
        </w:rPr>
        <w:t xml:space="preserve"> Miners, traders and staff from </w:t>
      </w:r>
      <w:r>
        <w:rPr>
          <w:rFonts w:ascii="Calibri" w:eastAsia="Times New Roman" w:hAnsi="Calibri" w:cs="Times New Roman"/>
          <w:lang w:eastAsia="de-DE"/>
        </w:rPr>
        <w:t xml:space="preserve">the </w:t>
      </w:r>
      <w:r w:rsidRPr="008821B0">
        <w:rPr>
          <w:rFonts w:ascii="Calibri" w:eastAsia="Times New Roman" w:hAnsi="Calibri" w:cs="Times New Roman"/>
          <w:lang w:eastAsia="de-DE"/>
        </w:rPr>
        <w:t xml:space="preserve">Ministry of Mines </w:t>
      </w:r>
      <w:r>
        <w:rPr>
          <w:rFonts w:ascii="Calibri" w:eastAsia="Times New Roman" w:hAnsi="Calibri" w:cs="Times New Roman"/>
          <w:lang w:eastAsia="de-DE"/>
        </w:rPr>
        <w:t xml:space="preserve">have limited gemology skills to properly </w:t>
      </w:r>
      <w:r w:rsidRPr="008821B0">
        <w:rPr>
          <w:rFonts w:ascii="Calibri" w:eastAsia="Times New Roman" w:hAnsi="Calibri" w:cs="Times New Roman"/>
          <w:lang w:eastAsia="de-DE"/>
        </w:rPr>
        <w:t>value rough gemstones. Few gem cutters in Afghanistan can cut to international standards</w:t>
      </w:r>
      <w:r>
        <w:rPr>
          <w:rFonts w:ascii="Calibri" w:eastAsia="Times New Roman" w:hAnsi="Calibri" w:cs="Times New Roman"/>
          <w:lang w:eastAsia="de-DE"/>
        </w:rPr>
        <w:t>,</w:t>
      </w:r>
      <w:r w:rsidRPr="008821B0">
        <w:rPr>
          <w:rFonts w:ascii="Calibri" w:eastAsia="Times New Roman" w:hAnsi="Calibri" w:cs="Times New Roman"/>
          <w:lang w:eastAsia="de-DE"/>
        </w:rPr>
        <w:t xml:space="preserve"> and most </w:t>
      </w:r>
      <w:r>
        <w:rPr>
          <w:rFonts w:ascii="Calibri" w:eastAsia="Times New Roman" w:hAnsi="Calibri" w:cs="Times New Roman"/>
          <w:lang w:eastAsia="de-DE"/>
        </w:rPr>
        <w:t xml:space="preserve">local </w:t>
      </w:r>
      <w:r w:rsidRPr="008821B0">
        <w:rPr>
          <w:rFonts w:ascii="Calibri" w:eastAsia="Times New Roman" w:hAnsi="Calibri" w:cs="Times New Roman"/>
          <w:lang w:eastAsia="de-DE"/>
        </w:rPr>
        <w:t xml:space="preserve">jewelers </w:t>
      </w:r>
      <w:r>
        <w:rPr>
          <w:rFonts w:ascii="Calibri" w:eastAsia="Times New Roman" w:hAnsi="Calibri" w:cs="Times New Roman"/>
          <w:lang w:eastAsia="de-DE"/>
        </w:rPr>
        <w:t xml:space="preserve">are unable to </w:t>
      </w:r>
      <w:r w:rsidRPr="008821B0">
        <w:rPr>
          <w:rFonts w:ascii="Calibri" w:eastAsia="Times New Roman" w:hAnsi="Calibri" w:cs="Times New Roman"/>
          <w:lang w:eastAsia="de-DE"/>
        </w:rPr>
        <w:t>produc</w:t>
      </w:r>
      <w:r>
        <w:rPr>
          <w:rFonts w:ascii="Calibri" w:eastAsia="Times New Roman" w:hAnsi="Calibri" w:cs="Times New Roman"/>
          <w:lang w:eastAsia="de-DE"/>
        </w:rPr>
        <w:t>e</w:t>
      </w:r>
      <w:r w:rsidRPr="008821B0">
        <w:rPr>
          <w:rFonts w:ascii="Calibri" w:eastAsia="Times New Roman" w:hAnsi="Calibri" w:cs="Times New Roman"/>
          <w:lang w:eastAsia="de-DE"/>
        </w:rPr>
        <w:t xml:space="preserve"> export-quality product</w:t>
      </w:r>
      <w:r>
        <w:rPr>
          <w:rFonts w:ascii="Calibri" w:eastAsia="Times New Roman" w:hAnsi="Calibri" w:cs="Times New Roman"/>
          <w:lang w:eastAsia="de-DE"/>
        </w:rPr>
        <w:t xml:space="preserve">s. This is the major obstacle in trying to develop a cutting industry and generating greater value-add for the </w:t>
      </w:r>
      <w:r w:rsidRPr="008821B0">
        <w:rPr>
          <w:rFonts w:ascii="Calibri" w:eastAsia="Times New Roman" w:hAnsi="Calibri" w:cs="Times New Roman"/>
          <w:lang w:eastAsia="de-DE"/>
        </w:rPr>
        <w:t>country.</w:t>
      </w:r>
    </w:p>
    <w:p w:rsidR="00FA1FE1" w:rsidRPr="008821B0" w:rsidRDefault="00FA1FE1" w:rsidP="00FA1FE1">
      <w:pPr>
        <w:rPr>
          <w:rFonts w:ascii="Calibri" w:eastAsia="Times New Roman" w:hAnsi="Calibri" w:cs="Times New Roman"/>
          <w:lang w:eastAsia="de-DE"/>
        </w:rPr>
      </w:pPr>
      <w:r>
        <w:rPr>
          <w:rFonts w:ascii="Calibri" w:eastAsia="Times New Roman" w:hAnsi="Calibri" w:cs="Times New Roman"/>
          <w:b/>
          <w:lang w:eastAsia="de-DE"/>
        </w:rPr>
        <w:t>Quality control</w:t>
      </w:r>
      <w:r w:rsidRPr="008821B0">
        <w:rPr>
          <w:rFonts w:ascii="Calibri" w:eastAsia="Times New Roman" w:hAnsi="Calibri" w:cs="Times New Roman"/>
          <w:lang w:eastAsia="de-DE"/>
        </w:rPr>
        <w:t>: The</w:t>
      </w:r>
      <w:r>
        <w:rPr>
          <w:rFonts w:ascii="Calibri" w:eastAsia="Times New Roman" w:hAnsi="Calibri" w:cs="Times New Roman"/>
          <w:lang w:eastAsia="de-DE"/>
        </w:rPr>
        <w:t xml:space="preserve"> public sector needs to enforce quality controls; without them the industry will remain compromised by </w:t>
      </w:r>
      <w:r w:rsidRPr="008821B0">
        <w:rPr>
          <w:rFonts w:ascii="Calibri" w:eastAsia="Times New Roman" w:hAnsi="Calibri" w:cs="Times New Roman"/>
          <w:lang w:eastAsia="de-DE"/>
        </w:rPr>
        <w:t>artificial</w:t>
      </w:r>
      <w:r>
        <w:rPr>
          <w:rFonts w:ascii="Calibri" w:eastAsia="Times New Roman" w:hAnsi="Calibri" w:cs="Times New Roman"/>
          <w:lang w:eastAsia="de-DE"/>
        </w:rPr>
        <w:t xml:space="preserve"> or</w:t>
      </w:r>
      <w:r w:rsidRPr="008821B0">
        <w:rPr>
          <w:rFonts w:ascii="Calibri" w:eastAsia="Times New Roman" w:hAnsi="Calibri" w:cs="Times New Roman"/>
          <w:lang w:eastAsia="de-DE"/>
        </w:rPr>
        <w:t xml:space="preserve"> treated stones and glass </w:t>
      </w:r>
      <w:r>
        <w:rPr>
          <w:rFonts w:ascii="Calibri" w:eastAsia="Times New Roman" w:hAnsi="Calibri" w:cs="Times New Roman"/>
          <w:lang w:eastAsia="de-DE"/>
        </w:rPr>
        <w:t xml:space="preserve">fakes. Quality </w:t>
      </w:r>
      <w:r w:rsidRPr="008821B0">
        <w:rPr>
          <w:rFonts w:ascii="Calibri" w:eastAsia="Times New Roman" w:hAnsi="Calibri" w:cs="Times New Roman"/>
          <w:lang w:eastAsia="de-DE"/>
        </w:rPr>
        <w:t>certification</w:t>
      </w:r>
      <w:r>
        <w:rPr>
          <w:rFonts w:ascii="Calibri" w:eastAsia="Times New Roman" w:hAnsi="Calibri" w:cs="Times New Roman"/>
          <w:lang w:eastAsia="de-DE"/>
        </w:rPr>
        <w:t xml:space="preserve"> is a requirement in international gemstone trade. This requires the establishment of </w:t>
      </w:r>
      <w:r w:rsidRPr="008821B0">
        <w:rPr>
          <w:rFonts w:ascii="Calibri" w:eastAsia="Times New Roman" w:hAnsi="Calibri" w:cs="Times New Roman"/>
          <w:lang w:eastAsia="de-DE"/>
        </w:rPr>
        <w:t>a gemstone laboratory</w:t>
      </w:r>
      <w:r>
        <w:rPr>
          <w:rFonts w:ascii="Calibri" w:eastAsia="Times New Roman" w:hAnsi="Calibri" w:cs="Times New Roman"/>
          <w:lang w:eastAsia="de-DE"/>
        </w:rPr>
        <w:t>,</w:t>
      </w:r>
      <w:r w:rsidRPr="008821B0">
        <w:rPr>
          <w:rFonts w:ascii="Calibri" w:eastAsia="Times New Roman" w:hAnsi="Calibri" w:cs="Times New Roman"/>
          <w:lang w:eastAsia="de-DE"/>
        </w:rPr>
        <w:t xml:space="preserve"> </w:t>
      </w:r>
      <w:r>
        <w:rPr>
          <w:rFonts w:ascii="Calibri" w:eastAsia="Times New Roman" w:hAnsi="Calibri" w:cs="Times New Roman"/>
          <w:lang w:eastAsia="de-DE"/>
        </w:rPr>
        <w:t xml:space="preserve">internationally </w:t>
      </w:r>
      <w:r w:rsidRPr="008821B0">
        <w:rPr>
          <w:rFonts w:ascii="Calibri" w:eastAsia="Times New Roman" w:hAnsi="Calibri" w:cs="Times New Roman"/>
          <w:lang w:eastAsia="de-DE"/>
        </w:rPr>
        <w:t>accredited</w:t>
      </w:r>
      <w:r>
        <w:rPr>
          <w:rFonts w:ascii="Calibri" w:eastAsia="Times New Roman" w:hAnsi="Calibri" w:cs="Times New Roman"/>
          <w:lang w:eastAsia="de-DE"/>
        </w:rPr>
        <w:t>, to certify export stones</w:t>
      </w:r>
      <w:r w:rsidRPr="008821B0">
        <w:rPr>
          <w:rFonts w:ascii="Calibri" w:eastAsia="Times New Roman" w:hAnsi="Calibri" w:cs="Times New Roman"/>
          <w:lang w:eastAsia="de-DE"/>
        </w:rPr>
        <w:t>.</w:t>
      </w:r>
    </w:p>
    <w:p w:rsidR="00FA1FE1" w:rsidRPr="008821B0" w:rsidRDefault="00FA1FE1" w:rsidP="00FA1FE1">
      <w:pPr>
        <w:rPr>
          <w:rFonts w:ascii="Calibri" w:eastAsia="Times New Roman" w:hAnsi="Calibri" w:cs="Times New Roman"/>
          <w:lang w:eastAsia="de-DE"/>
        </w:rPr>
      </w:pPr>
      <w:r w:rsidRPr="008821B0">
        <w:rPr>
          <w:rFonts w:ascii="Calibri" w:eastAsia="Times New Roman" w:hAnsi="Calibri" w:cs="Times New Roman"/>
          <w:b/>
          <w:lang w:eastAsia="de-DE"/>
        </w:rPr>
        <w:t>Lack of access to finance</w:t>
      </w:r>
      <w:r w:rsidRPr="008821B0">
        <w:rPr>
          <w:rFonts w:ascii="Calibri" w:eastAsia="Times New Roman" w:hAnsi="Calibri" w:cs="Times New Roman"/>
          <w:lang w:eastAsia="de-DE"/>
        </w:rPr>
        <w:t xml:space="preserve">: Miners, gem-dealers, jewelers, and trainers say lack of access to capital is hampering their ability to develop their businesses. Some do not wish to take bank loans as they consider paying interest to be against the laws of Islam. Others say that banks charge unreasonable rates of interest or require collateral that they cannot guarantee.  </w:t>
      </w:r>
    </w:p>
    <w:p w:rsidR="00FA1FE1" w:rsidRDefault="00FA1FE1" w:rsidP="00FA1FE1">
      <w:r>
        <w:rPr>
          <w:b/>
        </w:rPr>
        <w:t>Overall, t</w:t>
      </w:r>
      <w:r w:rsidRPr="00EB4082">
        <w:rPr>
          <w:b/>
        </w:rPr>
        <w:t xml:space="preserve">he sector requires a proper governance regime based on laws, rules and regulations that </w:t>
      </w:r>
      <w:r>
        <w:rPr>
          <w:b/>
        </w:rPr>
        <w:t>ensure</w:t>
      </w:r>
      <w:r w:rsidRPr="00EB4082">
        <w:rPr>
          <w:b/>
        </w:rPr>
        <w:t xml:space="preserve"> </w:t>
      </w:r>
      <w:r>
        <w:rPr>
          <w:b/>
        </w:rPr>
        <w:t xml:space="preserve">legal </w:t>
      </w:r>
      <w:r w:rsidRPr="00EB4082">
        <w:rPr>
          <w:b/>
        </w:rPr>
        <w:t xml:space="preserve">mining activities with </w:t>
      </w:r>
      <w:r>
        <w:rPr>
          <w:b/>
        </w:rPr>
        <w:t>reliable</w:t>
      </w:r>
      <w:r w:rsidRPr="00EB4082">
        <w:rPr>
          <w:b/>
        </w:rPr>
        <w:t xml:space="preserve"> security of tenure and </w:t>
      </w:r>
      <w:r>
        <w:rPr>
          <w:b/>
        </w:rPr>
        <w:t>relatively free of</w:t>
      </w:r>
      <w:r w:rsidRPr="00EB4082">
        <w:rPr>
          <w:b/>
        </w:rPr>
        <w:t xml:space="preserve"> corruption</w:t>
      </w:r>
      <w:r>
        <w:t xml:space="preserve">. This should accord with the Minerals Law of 2010 and associated regulations and procedures, and address the negative environmental and health and safety effects associated with gemstone mining.  Furthermore, it must address the issues discussed above in order to grow, generate jobs, leverage long-term investment and enjoy the benefits the sector has to offer.  </w:t>
      </w:r>
    </w:p>
    <w:p w:rsidR="00FA1FE1" w:rsidRPr="00D91769" w:rsidRDefault="00FA1FE1" w:rsidP="00FA1FE1">
      <w:pPr>
        <w:pStyle w:val="Heading3"/>
        <w:spacing w:after="240" w:line="276" w:lineRule="auto"/>
        <w:rPr>
          <w:rFonts w:eastAsia="Times New Roman"/>
          <w:i w:val="0"/>
          <w:lang w:eastAsia="de-DE"/>
        </w:rPr>
      </w:pPr>
      <w:bookmarkStart w:id="251" w:name="_Toc327208483"/>
      <w:bookmarkStart w:id="252" w:name="_Toc348451698"/>
      <w:r w:rsidRPr="00D91769">
        <w:rPr>
          <w:rFonts w:eastAsia="Times New Roman"/>
          <w:lang w:eastAsia="de-DE"/>
        </w:rPr>
        <w:t>Opportunities and Recommendations</w:t>
      </w:r>
      <w:bookmarkEnd w:id="251"/>
      <w:bookmarkEnd w:id="252"/>
    </w:p>
    <w:p w:rsidR="00FA1FE1" w:rsidRDefault="00FA1FE1" w:rsidP="00FA1FE1">
      <w:r>
        <w:rPr>
          <w:b/>
        </w:rPr>
        <w:t>In collaboration with the private sector, d</w:t>
      </w:r>
      <w:r w:rsidRPr="0049374B">
        <w:rPr>
          <w:b/>
        </w:rPr>
        <w:t>evelop capacity</w:t>
      </w:r>
      <w:r>
        <w:rPr>
          <w:b/>
        </w:rPr>
        <w:t>-</w:t>
      </w:r>
      <w:r w:rsidRPr="0049374B">
        <w:rPr>
          <w:b/>
        </w:rPr>
        <w:t>building programs for gemstone valuation and a cutting industry.</w:t>
      </w:r>
      <w:r>
        <w:t xml:space="preserve"> T</w:t>
      </w:r>
      <w:r>
        <w:rPr>
          <w:rFonts w:ascii="Calibri" w:eastAsia="Times New Roman" w:hAnsi="Calibri" w:cs="Times New Roman"/>
          <w:lang w:eastAsia="de-DE"/>
        </w:rPr>
        <w:t>o</w:t>
      </w:r>
      <w:r w:rsidRPr="0049374B">
        <w:rPr>
          <w:rFonts w:ascii="Calibri" w:eastAsia="Times New Roman" w:hAnsi="Calibri" w:cs="Times New Roman"/>
          <w:lang w:eastAsia="de-DE"/>
        </w:rPr>
        <w:t xml:space="preserve"> develop a cutting</w:t>
      </w:r>
      <w:r>
        <w:rPr>
          <w:rFonts w:ascii="Calibri" w:eastAsia="Times New Roman" w:hAnsi="Calibri" w:cs="Times New Roman"/>
          <w:lang w:eastAsia="de-DE"/>
        </w:rPr>
        <w:t xml:space="preserve"> and</w:t>
      </w:r>
      <w:r w:rsidRPr="0049374B">
        <w:rPr>
          <w:rFonts w:ascii="Calibri" w:eastAsia="Times New Roman" w:hAnsi="Calibri" w:cs="Times New Roman"/>
          <w:lang w:eastAsia="de-DE"/>
        </w:rPr>
        <w:t xml:space="preserve"> polishing industry</w:t>
      </w:r>
      <w:r>
        <w:rPr>
          <w:rFonts w:ascii="Calibri" w:eastAsia="Times New Roman" w:hAnsi="Calibri" w:cs="Times New Roman"/>
          <w:lang w:eastAsia="de-DE"/>
        </w:rPr>
        <w:t xml:space="preserve"> it will be necessary to train</w:t>
      </w:r>
      <w:r>
        <w:t xml:space="preserve"> m</w:t>
      </w:r>
      <w:r w:rsidRPr="0049374B">
        <w:rPr>
          <w:rFonts w:ascii="Calibri" w:eastAsia="Times New Roman" w:hAnsi="Calibri" w:cs="Times New Roman"/>
          <w:lang w:eastAsia="de-DE"/>
        </w:rPr>
        <w:t xml:space="preserve">iners, traders and staff from the Ministry of Mines in gemstone valuation and international cutting standards. With a more skilled business environment, the gemstone industry will </w:t>
      </w:r>
      <w:r>
        <w:rPr>
          <w:rFonts w:ascii="Calibri" w:eastAsia="Times New Roman" w:hAnsi="Calibri" w:cs="Times New Roman"/>
          <w:lang w:eastAsia="de-DE"/>
        </w:rPr>
        <w:t>gain added</w:t>
      </w:r>
      <w:r w:rsidRPr="0049374B">
        <w:rPr>
          <w:rFonts w:ascii="Calibri" w:eastAsia="Times New Roman" w:hAnsi="Calibri" w:cs="Times New Roman"/>
          <w:lang w:eastAsia="de-DE"/>
        </w:rPr>
        <w:t xml:space="preserve"> value and </w:t>
      </w:r>
      <w:r>
        <w:rPr>
          <w:rFonts w:ascii="Calibri" w:eastAsia="Times New Roman" w:hAnsi="Calibri" w:cs="Times New Roman"/>
          <w:lang w:eastAsia="de-DE"/>
        </w:rPr>
        <w:t>be able to e</w:t>
      </w:r>
      <w:r w:rsidRPr="0049374B">
        <w:rPr>
          <w:rFonts w:ascii="Calibri" w:eastAsia="Times New Roman" w:hAnsi="Calibri" w:cs="Times New Roman"/>
          <w:lang w:eastAsia="de-DE"/>
        </w:rPr>
        <w:t>xport cut</w:t>
      </w:r>
      <w:r>
        <w:rPr>
          <w:rFonts w:ascii="Calibri" w:eastAsia="Times New Roman" w:hAnsi="Calibri" w:cs="Times New Roman"/>
          <w:lang w:eastAsia="de-DE"/>
        </w:rPr>
        <w:t>,</w:t>
      </w:r>
      <w:r w:rsidRPr="0049374B">
        <w:rPr>
          <w:rFonts w:ascii="Calibri" w:eastAsia="Times New Roman" w:hAnsi="Calibri" w:cs="Times New Roman"/>
          <w:lang w:eastAsia="de-DE"/>
        </w:rPr>
        <w:t xml:space="preserve"> quality products </w:t>
      </w:r>
      <w:r>
        <w:rPr>
          <w:rFonts w:ascii="Calibri" w:eastAsia="Times New Roman" w:hAnsi="Calibri" w:cs="Times New Roman"/>
          <w:lang w:eastAsia="de-DE"/>
        </w:rPr>
        <w:t>for</w:t>
      </w:r>
      <w:r w:rsidRPr="0049374B">
        <w:rPr>
          <w:rFonts w:ascii="Calibri" w:eastAsia="Times New Roman" w:hAnsi="Calibri" w:cs="Times New Roman"/>
          <w:lang w:eastAsia="de-DE"/>
        </w:rPr>
        <w:t xml:space="preserve"> higher prices. </w:t>
      </w:r>
    </w:p>
    <w:p w:rsidR="00FA1FE1" w:rsidRDefault="00FA1FE1" w:rsidP="00FA1FE1">
      <w:r>
        <w:rPr>
          <w:b/>
        </w:rPr>
        <w:t>T</w:t>
      </w:r>
      <w:r w:rsidRPr="0049374B">
        <w:rPr>
          <w:b/>
        </w:rPr>
        <w:t xml:space="preserve">he road map </w:t>
      </w:r>
      <w:r>
        <w:rPr>
          <w:b/>
        </w:rPr>
        <w:t>within</w:t>
      </w:r>
      <w:r w:rsidRPr="0049374B">
        <w:rPr>
          <w:b/>
        </w:rPr>
        <w:t xml:space="preserve"> the National Gemstone framework </w:t>
      </w:r>
      <w:r>
        <w:rPr>
          <w:b/>
        </w:rPr>
        <w:t xml:space="preserve">should be implemented so as </w:t>
      </w:r>
      <w:r w:rsidRPr="0049374B">
        <w:rPr>
          <w:b/>
        </w:rPr>
        <w:t xml:space="preserve">to establish an Afghan Gemstone Hub. </w:t>
      </w:r>
      <w:r>
        <w:t>T</w:t>
      </w:r>
      <w:r w:rsidRPr="009B5B56">
        <w:t xml:space="preserve">he gemstone business community </w:t>
      </w:r>
      <w:r>
        <w:t xml:space="preserve">should work together to implement </w:t>
      </w:r>
      <w:r w:rsidRPr="009B5B56">
        <w:t xml:space="preserve">the gemstone action plan that </w:t>
      </w:r>
      <w:r>
        <w:t>sets out</w:t>
      </w:r>
      <w:r w:rsidRPr="009B5B56">
        <w:t xml:space="preserve"> to formalize </w:t>
      </w:r>
      <w:r>
        <w:t xml:space="preserve">the sector’s </w:t>
      </w:r>
      <w:r w:rsidRPr="009B5B56">
        <w:t>business activit</w:t>
      </w:r>
      <w:r>
        <w:t>ies</w:t>
      </w:r>
      <w:r w:rsidRPr="009B5B56">
        <w:t>. The plan s</w:t>
      </w:r>
      <w:r>
        <w:t>pells out</w:t>
      </w:r>
      <w:r w:rsidRPr="009B5B56">
        <w:t xml:space="preserve"> a direction for the next </w:t>
      </w:r>
      <w:r>
        <w:t>five</w:t>
      </w:r>
      <w:r w:rsidRPr="009B5B56">
        <w:t xml:space="preserve"> years</w:t>
      </w:r>
      <w:r>
        <w:t>,</w:t>
      </w:r>
      <w:r w:rsidRPr="009B5B56">
        <w:t xml:space="preserve"> and </w:t>
      </w:r>
      <w:r>
        <w:t xml:space="preserve">regulates the </w:t>
      </w:r>
      <w:r w:rsidRPr="009B5B56">
        <w:t xml:space="preserve">responsibilities </w:t>
      </w:r>
      <w:r>
        <w:t>of government agencies, including m</w:t>
      </w:r>
      <w:r w:rsidRPr="009B5B56">
        <w:t>inistr</w:t>
      </w:r>
      <w:r>
        <w:t>ies</w:t>
      </w:r>
      <w:r w:rsidRPr="009B5B56">
        <w:t xml:space="preserve"> of </w:t>
      </w:r>
      <w:r>
        <w:t>m</w:t>
      </w:r>
      <w:r w:rsidRPr="009B5B56">
        <w:t xml:space="preserve">ines and </w:t>
      </w:r>
      <w:r>
        <w:t>c</w:t>
      </w:r>
      <w:r w:rsidRPr="009B5B56">
        <w:t xml:space="preserve">ommerce &amp; </w:t>
      </w:r>
      <w:r>
        <w:t>i</w:t>
      </w:r>
      <w:r w:rsidRPr="009B5B56">
        <w:t>ndustr</w:t>
      </w:r>
      <w:r>
        <w:t>ies. Several issues will require more in-depth consultation, such as promoting a PPP business model, incentives, a vocational gemstone training curriculum, and leveraging private sector investment.</w:t>
      </w:r>
    </w:p>
    <w:p w:rsidR="00FA1FE1" w:rsidRDefault="00FA1FE1" w:rsidP="00FA1FE1">
      <w:pPr>
        <w:spacing w:before="240"/>
      </w:pPr>
      <w:r>
        <w:rPr>
          <w:b/>
        </w:rPr>
        <w:t>A</w:t>
      </w:r>
      <w:r w:rsidRPr="0049374B">
        <w:rPr>
          <w:b/>
        </w:rPr>
        <w:t xml:space="preserve"> </w:t>
      </w:r>
      <w:r>
        <w:rPr>
          <w:b/>
        </w:rPr>
        <w:t>g</w:t>
      </w:r>
      <w:r w:rsidRPr="0049374B">
        <w:rPr>
          <w:b/>
        </w:rPr>
        <w:t xml:space="preserve">emstone </w:t>
      </w:r>
      <w:r>
        <w:rPr>
          <w:b/>
        </w:rPr>
        <w:t>q</w:t>
      </w:r>
      <w:r w:rsidRPr="0049374B">
        <w:rPr>
          <w:b/>
        </w:rPr>
        <w:t xml:space="preserve">uality </w:t>
      </w:r>
      <w:r>
        <w:rPr>
          <w:b/>
        </w:rPr>
        <w:t>c</w:t>
      </w:r>
      <w:r w:rsidRPr="0049374B">
        <w:rPr>
          <w:b/>
        </w:rPr>
        <w:t xml:space="preserve">ontrol </w:t>
      </w:r>
      <w:r>
        <w:rPr>
          <w:b/>
        </w:rPr>
        <w:t>a</w:t>
      </w:r>
      <w:r w:rsidRPr="0049374B">
        <w:rPr>
          <w:b/>
        </w:rPr>
        <w:t>gency</w:t>
      </w:r>
      <w:r>
        <w:rPr>
          <w:b/>
        </w:rPr>
        <w:t xml:space="preserve"> should be established</w:t>
      </w:r>
      <w:r>
        <w:t>. The agency, in the form of a public-private partnership, could certify the quality of gemstones.  Also, it could monitor the domestic market through inspections, while registering certified gemstone sellers and exporters and reducing uncertainty in business operations. It should also provide quality gemstone services training.</w:t>
      </w:r>
    </w:p>
    <w:p w:rsidR="00FA1FE1" w:rsidRPr="007F43F6" w:rsidRDefault="00FA1FE1" w:rsidP="00FA1FE1">
      <w:pPr>
        <w:pStyle w:val="Heading3"/>
        <w:rPr>
          <w:rFonts w:eastAsia="Times New Roman"/>
          <w:sz w:val="24"/>
          <w:szCs w:val="24"/>
          <w:lang w:eastAsia="de-DE"/>
        </w:rPr>
      </w:pPr>
      <w:bookmarkStart w:id="253" w:name="_Toc327208484"/>
      <w:bookmarkStart w:id="254" w:name="_Toc348451699"/>
      <w:r w:rsidRPr="007F43F6">
        <w:rPr>
          <w:rFonts w:eastAsia="Times New Roman"/>
          <w:sz w:val="24"/>
          <w:szCs w:val="24"/>
          <w:lang w:eastAsia="de-DE"/>
        </w:rPr>
        <w:t>Carpets</w:t>
      </w:r>
      <w:bookmarkEnd w:id="253"/>
      <w:bookmarkEnd w:id="254"/>
    </w:p>
    <w:p w:rsidR="00FA1FE1" w:rsidRDefault="00FA1FE1" w:rsidP="00FA1FE1">
      <w:pPr>
        <w:spacing w:before="240"/>
        <w:rPr>
          <w:rFonts w:ascii="Calibri" w:eastAsia="Times New Roman" w:hAnsi="Calibri" w:cs="Calibri"/>
          <w:color w:val="000000"/>
          <w:lang w:eastAsia="de-DE"/>
        </w:rPr>
      </w:pPr>
      <w:r w:rsidRPr="008821B0">
        <w:rPr>
          <w:rFonts w:ascii="Calibri" w:eastAsia="Times New Roman" w:hAnsi="Calibri" w:cs="Calibri"/>
          <w:b/>
          <w:color w:val="000000"/>
          <w:lang w:eastAsia="de-DE"/>
        </w:rPr>
        <w:t xml:space="preserve">The </w:t>
      </w:r>
      <w:r>
        <w:rPr>
          <w:rFonts w:ascii="Calibri" w:eastAsia="Times New Roman" w:hAnsi="Calibri" w:cs="Calibri"/>
          <w:b/>
          <w:color w:val="000000"/>
          <w:lang w:eastAsia="de-DE"/>
        </w:rPr>
        <w:t xml:space="preserve">carpet sector in Afghanistan has great potential for </w:t>
      </w:r>
      <w:r w:rsidRPr="008821B0">
        <w:rPr>
          <w:rFonts w:ascii="Calibri" w:eastAsia="Times New Roman" w:hAnsi="Calibri" w:cs="Calibri"/>
          <w:b/>
          <w:color w:val="000000"/>
          <w:lang w:eastAsia="de-DE"/>
        </w:rPr>
        <w:t>export growth</w:t>
      </w:r>
      <w:r w:rsidRPr="008821B0">
        <w:rPr>
          <w:rFonts w:ascii="Calibri" w:eastAsia="Times New Roman" w:hAnsi="Calibri" w:cs="Calibri"/>
          <w:color w:val="000000"/>
          <w:lang w:eastAsia="de-DE"/>
        </w:rPr>
        <w:t>. Afghanistan has a long tradition of handmade carpets</w:t>
      </w:r>
      <w:r>
        <w:rPr>
          <w:rFonts w:ascii="Calibri" w:eastAsia="Times New Roman" w:hAnsi="Calibri" w:cs="Calibri"/>
          <w:color w:val="000000"/>
          <w:lang w:eastAsia="de-DE"/>
        </w:rPr>
        <w:t>,</w:t>
      </w:r>
      <w:r w:rsidRPr="008821B0">
        <w:rPr>
          <w:rFonts w:ascii="Calibri" w:eastAsia="Times New Roman" w:hAnsi="Calibri" w:cs="Calibri"/>
          <w:color w:val="000000"/>
          <w:lang w:eastAsia="de-DE"/>
        </w:rPr>
        <w:t xml:space="preserve"> including </w:t>
      </w:r>
      <w:r>
        <w:rPr>
          <w:rFonts w:ascii="Calibri" w:eastAsia="Times New Roman" w:hAnsi="Calibri" w:cs="Calibri"/>
          <w:color w:val="000000"/>
          <w:lang w:eastAsia="de-DE"/>
        </w:rPr>
        <w:t>c</w:t>
      </w:r>
      <w:r w:rsidRPr="008821B0">
        <w:rPr>
          <w:rFonts w:ascii="Calibri" w:eastAsia="Times New Roman" w:hAnsi="Calibri" w:cs="Calibri"/>
          <w:color w:val="000000"/>
          <w:lang w:eastAsia="de-DE"/>
        </w:rPr>
        <w:t xml:space="preserve">hob </w:t>
      </w:r>
      <w:r>
        <w:rPr>
          <w:rFonts w:ascii="Calibri" w:eastAsia="Times New Roman" w:hAnsi="Calibri" w:cs="Calibri"/>
          <w:color w:val="000000"/>
          <w:lang w:eastAsia="de-DE"/>
        </w:rPr>
        <w:t>r</w:t>
      </w:r>
      <w:r w:rsidRPr="008821B0">
        <w:rPr>
          <w:rFonts w:ascii="Calibri" w:eastAsia="Times New Roman" w:hAnsi="Calibri" w:cs="Calibri"/>
          <w:color w:val="000000"/>
          <w:lang w:eastAsia="de-DE"/>
        </w:rPr>
        <w:t xml:space="preserve">ung (pile and knotted carpets made </w:t>
      </w:r>
      <w:r>
        <w:rPr>
          <w:rFonts w:ascii="Calibri" w:eastAsia="Times New Roman" w:hAnsi="Calibri" w:cs="Calibri"/>
          <w:color w:val="000000"/>
          <w:lang w:eastAsia="de-DE"/>
        </w:rPr>
        <w:t>of</w:t>
      </w:r>
      <w:r w:rsidRPr="008821B0">
        <w:rPr>
          <w:rFonts w:ascii="Calibri" w:eastAsia="Times New Roman" w:hAnsi="Calibri" w:cs="Calibri"/>
          <w:color w:val="000000"/>
          <w:lang w:eastAsia="de-DE"/>
        </w:rPr>
        <w:t xml:space="preserve"> wool, silk and cotton)</w:t>
      </w:r>
      <w:r>
        <w:rPr>
          <w:rFonts w:ascii="Calibri" w:eastAsia="Times New Roman" w:hAnsi="Calibri" w:cs="Calibri"/>
          <w:color w:val="000000"/>
          <w:lang w:eastAsia="de-DE"/>
        </w:rPr>
        <w:t>,</w:t>
      </w:r>
      <w:r w:rsidRPr="008821B0">
        <w:rPr>
          <w:rFonts w:ascii="Calibri" w:eastAsia="Times New Roman" w:hAnsi="Calibri" w:cs="Calibri"/>
          <w:color w:val="000000"/>
          <w:lang w:eastAsia="de-DE"/>
        </w:rPr>
        <w:t xml:space="preserve"> </w:t>
      </w:r>
      <w:r>
        <w:rPr>
          <w:rFonts w:ascii="Calibri" w:eastAsia="Times New Roman" w:hAnsi="Calibri" w:cs="Calibri"/>
          <w:color w:val="000000"/>
          <w:lang w:eastAsia="de-DE"/>
        </w:rPr>
        <w:t>k</w:t>
      </w:r>
      <w:r w:rsidRPr="008821B0">
        <w:rPr>
          <w:rFonts w:ascii="Calibri" w:eastAsia="Times New Roman" w:hAnsi="Calibri" w:cs="Calibri"/>
          <w:color w:val="000000"/>
          <w:lang w:eastAsia="de-DE"/>
        </w:rPr>
        <w:t>ilims (non-pile fabric woven carpets), and felted woolen carpets. Over one million Afghans work in produc</w:t>
      </w:r>
      <w:r>
        <w:rPr>
          <w:rFonts w:ascii="Calibri" w:eastAsia="Times New Roman" w:hAnsi="Calibri" w:cs="Calibri"/>
          <w:color w:val="000000"/>
          <w:lang w:eastAsia="de-DE"/>
        </w:rPr>
        <w:t>ing carpets,</w:t>
      </w:r>
      <w:r w:rsidRPr="008821B0">
        <w:rPr>
          <w:rFonts w:ascii="Calibri" w:eastAsia="Times New Roman" w:hAnsi="Calibri" w:cs="Calibri"/>
          <w:color w:val="000000"/>
          <w:lang w:eastAsia="de-DE"/>
        </w:rPr>
        <w:t xml:space="preserve"> </w:t>
      </w:r>
      <w:r>
        <w:rPr>
          <w:rFonts w:ascii="Calibri" w:eastAsia="Times New Roman" w:hAnsi="Calibri" w:cs="Calibri"/>
          <w:color w:val="000000"/>
          <w:lang w:eastAsia="de-DE"/>
        </w:rPr>
        <w:t>and</w:t>
      </w:r>
      <w:r w:rsidRPr="008821B0">
        <w:rPr>
          <w:rFonts w:ascii="Calibri" w:eastAsia="Times New Roman" w:hAnsi="Calibri" w:cs="Calibri"/>
          <w:color w:val="000000"/>
          <w:lang w:eastAsia="de-DE"/>
        </w:rPr>
        <w:t xml:space="preserve"> hundreds of thousands more in related industries</w:t>
      </w:r>
      <w:r>
        <w:rPr>
          <w:rFonts w:ascii="Calibri" w:eastAsia="Times New Roman" w:hAnsi="Calibri" w:cs="Calibri"/>
          <w:color w:val="000000"/>
          <w:lang w:eastAsia="de-DE"/>
        </w:rPr>
        <w:t>,</w:t>
      </w:r>
      <w:r w:rsidRPr="008821B0">
        <w:rPr>
          <w:rFonts w:ascii="Calibri" w:eastAsia="Times New Roman" w:hAnsi="Calibri" w:cs="Calibri"/>
          <w:color w:val="000000"/>
          <w:lang w:eastAsia="de-DE"/>
        </w:rPr>
        <w:t xml:space="preserve"> such as wool production, cut</w:t>
      </w:r>
      <w:r>
        <w:rPr>
          <w:rFonts w:ascii="Calibri" w:eastAsia="Times New Roman" w:hAnsi="Calibri" w:cs="Calibri"/>
          <w:color w:val="000000"/>
          <w:lang w:eastAsia="de-DE"/>
        </w:rPr>
        <w:t>-</w:t>
      </w:r>
      <w:r w:rsidRPr="008821B0">
        <w:rPr>
          <w:rFonts w:ascii="Calibri" w:eastAsia="Times New Roman" w:hAnsi="Calibri" w:cs="Calibri"/>
          <w:color w:val="000000"/>
          <w:lang w:eastAsia="de-DE"/>
        </w:rPr>
        <w:t>and</w:t>
      </w:r>
      <w:r>
        <w:rPr>
          <w:rFonts w:ascii="Calibri" w:eastAsia="Times New Roman" w:hAnsi="Calibri" w:cs="Calibri"/>
          <w:color w:val="000000"/>
          <w:lang w:eastAsia="de-DE"/>
        </w:rPr>
        <w:t>-</w:t>
      </w:r>
      <w:r w:rsidRPr="008821B0">
        <w:rPr>
          <w:rFonts w:ascii="Calibri" w:eastAsia="Times New Roman" w:hAnsi="Calibri" w:cs="Calibri"/>
          <w:color w:val="000000"/>
          <w:lang w:eastAsia="de-DE"/>
        </w:rPr>
        <w:t>wash, and design. More than 95</w:t>
      </w:r>
      <w:r>
        <w:rPr>
          <w:rFonts w:ascii="Calibri" w:eastAsia="Times New Roman" w:hAnsi="Calibri" w:cs="Calibri"/>
          <w:color w:val="000000"/>
          <w:lang w:eastAsia="de-DE"/>
        </w:rPr>
        <w:t xml:space="preserve"> percent</w:t>
      </w:r>
      <w:r w:rsidRPr="008821B0">
        <w:rPr>
          <w:rFonts w:ascii="Calibri" w:eastAsia="Times New Roman" w:hAnsi="Calibri" w:cs="Calibri"/>
          <w:color w:val="000000"/>
          <w:lang w:eastAsia="de-DE"/>
        </w:rPr>
        <w:t xml:space="preserve"> of Afghan</w:t>
      </w:r>
      <w:r>
        <w:rPr>
          <w:rFonts w:ascii="Calibri" w:eastAsia="Times New Roman" w:hAnsi="Calibri" w:cs="Calibri"/>
          <w:color w:val="000000"/>
          <w:lang w:eastAsia="de-DE"/>
        </w:rPr>
        <w:t xml:space="preserve"> production takes place in homes, on one or two looms</w:t>
      </w:r>
      <w:r w:rsidRPr="008821B0">
        <w:rPr>
          <w:rFonts w:ascii="Calibri" w:eastAsia="Times New Roman" w:hAnsi="Calibri" w:cs="Calibri"/>
          <w:color w:val="000000"/>
          <w:lang w:eastAsia="de-DE"/>
        </w:rPr>
        <w:t xml:space="preserve"> </w:t>
      </w:r>
      <w:r>
        <w:rPr>
          <w:rFonts w:ascii="Calibri" w:eastAsia="Times New Roman" w:hAnsi="Calibri" w:cs="Calibri"/>
          <w:color w:val="000000"/>
          <w:lang w:eastAsia="de-DE"/>
        </w:rPr>
        <w:t>operated by</w:t>
      </w:r>
      <w:r w:rsidRPr="008821B0">
        <w:rPr>
          <w:rFonts w:ascii="Calibri" w:eastAsia="Times New Roman" w:hAnsi="Calibri" w:cs="Calibri"/>
          <w:color w:val="000000"/>
          <w:lang w:eastAsia="de-DE"/>
        </w:rPr>
        <w:t xml:space="preserve"> family members</w:t>
      </w:r>
      <w:r>
        <w:rPr>
          <w:rFonts w:ascii="Calibri" w:eastAsia="Times New Roman" w:hAnsi="Calibri" w:cs="Calibri"/>
          <w:color w:val="000000"/>
          <w:lang w:eastAsia="de-DE"/>
        </w:rPr>
        <w:t>.</w:t>
      </w:r>
      <w:r w:rsidRPr="008821B0">
        <w:rPr>
          <w:rFonts w:ascii="Calibri" w:eastAsia="Times New Roman" w:hAnsi="Calibri" w:cs="Calibri"/>
          <w:color w:val="000000"/>
          <w:vertAlign w:val="superscript"/>
          <w:lang w:val="de-DE" w:eastAsia="de-DE"/>
        </w:rPr>
        <w:footnoteReference w:id="49"/>
      </w:r>
      <w:r>
        <w:rPr>
          <w:rFonts w:ascii="Calibri" w:eastAsia="Times New Roman" w:hAnsi="Calibri" w:cs="Calibri"/>
          <w:color w:val="000000"/>
          <w:lang w:eastAsia="de-DE"/>
        </w:rPr>
        <w:t xml:space="preserve">  Most</w:t>
      </w:r>
      <w:r w:rsidRPr="008821B0">
        <w:rPr>
          <w:rFonts w:ascii="Calibri" w:eastAsia="Times New Roman" w:hAnsi="Calibri" w:cs="Calibri"/>
          <w:color w:val="000000"/>
          <w:lang w:eastAsia="de-DE"/>
        </w:rPr>
        <w:t xml:space="preserve"> Afgha</w:t>
      </w:r>
      <w:r>
        <w:rPr>
          <w:rFonts w:ascii="Calibri" w:eastAsia="Times New Roman" w:hAnsi="Calibri" w:cs="Calibri"/>
          <w:color w:val="000000"/>
          <w:lang w:eastAsia="de-DE"/>
        </w:rPr>
        <w:t>n carpet production is located in the n</w:t>
      </w:r>
      <w:r w:rsidRPr="008821B0">
        <w:rPr>
          <w:rFonts w:ascii="Calibri" w:eastAsia="Times New Roman" w:hAnsi="Calibri" w:cs="Calibri"/>
          <w:color w:val="000000"/>
          <w:lang w:eastAsia="de-DE"/>
        </w:rPr>
        <w:t>orth</w:t>
      </w:r>
      <w:r>
        <w:rPr>
          <w:rFonts w:ascii="Calibri" w:eastAsia="Times New Roman" w:hAnsi="Calibri" w:cs="Calibri"/>
          <w:color w:val="000000"/>
          <w:lang w:eastAsia="de-DE"/>
        </w:rPr>
        <w:t xml:space="preserve"> of the country</w:t>
      </w:r>
      <w:r w:rsidRPr="008821B0">
        <w:rPr>
          <w:rFonts w:ascii="Calibri" w:eastAsia="Times New Roman" w:hAnsi="Calibri" w:cs="Calibri"/>
          <w:color w:val="000000"/>
          <w:lang w:eastAsia="de-DE"/>
        </w:rPr>
        <w:t xml:space="preserve">, </w:t>
      </w:r>
      <w:r>
        <w:rPr>
          <w:rFonts w:ascii="Calibri" w:eastAsia="Times New Roman" w:hAnsi="Calibri" w:cs="Calibri"/>
          <w:color w:val="000000"/>
          <w:lang w:eastAsia="de-DE"/>
        </w:rPr>
        <w:t>which is best-known for its</w:t>
      </w:r>
      <w:r w:rsidRPr="008821B0">
        <w:rPr>
          <w:rFonts w:ascii="Calibri" w:eastAsia="Times New Roman" w:hAnsi="Calibri" w:cs="Calibri"/>
          <w:color w:val="000000"/>
          <w:lang w:eastAsia="de-DE"/>
        </w:rPr>
        <w:t xml:space="preserve"> traditional and newer</w:t>
      </w:r>
      <w:r>
        <w:rPr>
          <w:rFonts w:ascii="Calibri" w:eastAsia="Times New Roman" w:hAnsi="Calibri" w:cs="Calibri"/>
          <w:color w:val="000000"/>
          <w:lang w:eastAsia="de-DE"/>
        </w:rPr>
        <w:t>-style</w:t>
      </w:r>
      <w:r w:rsidRPr="008821B0">
        <w:rPr>
          <w:rFonts w:ascii="Calibri" w:eastAsia="Times New Roman" w:hAnsi="Calibri" w:cs="Calibri"/>
          <w:color w:val="000000"/>
          <w:lang w:eastAsia="de-DE"/>
        </w:rPr>
        <w:t xml:space="preserve"> </w:t>
      </w:r>
      <w:r>
        <w:rPr>
          <w:rFonts w:ascii="Calibri" w:eastAsia="Times New Roman" w:hAnsi="Calibri" w:cs="Calibri"/>
          <w:color w:val="000000"/>
          <w:lang w:eastAsia="de-DE"/>
        </w:rPr>
        <w:t>c</w:t>
      </w:r>
      <w:r w:rsidRPr="008821B0">
        <w:rPr>
          <w:rFonts w:ascii="Calibri" w:eastAsia="Times New Roman" w:hAnsi="Calibri" w:cs="Calibri"/>
          <w:color w:val="000000"/>
          <w:lang w:eastAsia="de-DE"/>
        </w:rPr>
        <w:t xml:space="preserve">hob </w:t>
      </w:r>
      <w:r>
        <w:rPr>
          <w:rFonts w:ascii="Calibri" w:eastAsia="Times New Roman" w:hAnsi="Calibri" w:cs="Calibri"/>
          <w:color w:val="000000"/>
          <w:lang w:eastAsia="de-DE"/>
        </w:rPr>
        <w:t>r</w:t>
      </w:r>
      <w:r w:rsidRPr="008821B0">
        <w:rPr>
          <w:rFonts w:ascii="Calibri" w:eastAsia="Times New Roman" w:hAnsi="Calibri" w:cs="Calibri"/>
          <w:color w:val="000000"/>
          <w:lang w:eastAsia="de-DE"/>
        </w:rPr>
        <w:t xml:space="preserve">ung </w:t>
      </w:r>
      <w:r>
        <w:rPr>
          <w:rFonts w:ascii="Calibri" w:eastAsia="Times New Roman" w:hAnsi="Calibri" w:cs="Calibri"/>
          <w:color w:val="000000"/>
          <w:lang w:eastAsia="de-DE"/>
        </w:rPr>
        <w:t>weaves</w:t>
      </w:r>
      <w:r w:rsidRPr="008821B0">
        <w:rPr>
          <w:rFonts w:ascii="Calibri" w:eastAsia="Times New Roman" w:hAnsi="Calibri" w:cs="Calibri"/>
          <w:color w:val="000000"/>
          <w:lang w:eastAsia="de-DE"/>
        </w:rPr>
        <w:t xml:space="preserve">. Kabul is a relatively new center of production, </w:t>
      </w:r>
      <w:r>
        <w:rPr>
          <w:rFonts w:ascii="Calibri" w:eastAsia="Times New Roman" w:hAnsi="Calibri" w:cs="Calibri"/>
          <w:color w:val="000000"/>
          <w:lang w:eastAsia="de-DE"/>
        </w:rPr>
        <w:t xml:space="preserve">also </w:t>
      </w:r>
      <w:r w:rsidRPr="008821B0">
        <w:rPr>
          <w:rFonts w:ascii="Calibri" w:eastAsia="Times New Roman" w:hAnsi="Calibri" w:cs="Calibri"/>
          <w:color w:val="000000"/>
          <w:lang w:eastAsia="de-DE"/>
        </w:rPr>
        <w:t xml:space="preserve">focusing </w:t>
      </w:r>
      <w:r>
        <w:rPr>
          <w:rFonts w:ascii="Calibri" w:eastAsia="Times New Roman" w:hAnsi="Calibri" w:cs="Calibri"/>
          <w:color w:val="000000"/>
          <w:lang w:eastAsia="de-DE"/>
        </w:rPr>
        <w:t xml:space="preserve">mostly </w:t>
      </w:r>
      <w:r w:rsidRPr="008821B0">
        <w:rPr>
          <w:rFonts w:ascii="Calibri" w:eastAsia="Times New Roman" w:hAnsi="Calibri" w:cs="Calibri"/>
          <w:color w:val="000000"/>
          <w:lang w:eastAsia="de-DE"/>
        </w:rPr>
        <w:t xml:space="preserve">on </w:t>
      </w:r>
      <w:r>
        <w:rPr>
          <w:rFonts w:ascii="Calibri" w:eastAsia="Times New Roman" w:hAnsi="Calibri" w:cs="Calibri"/>
          <w:color w:val="000000"/>
          <w:lang w:eastAsia="de-DE"/>
        </w:rPr>
        <w:t>c</w:t>
      </w:r>
      <w:r w:rsidRPr="008821B0">
        <w:rPr>
          <w:rFonts w:ascii="Calibri" w:eastAsia="Times New Roman" w:hAnsi="Calibri" w:cs="Calibri"/>
          <w:color w:val="000000"/>
          <w:lang w:eastAsia="de-DE"/>
        </w:rPr>
        <w:t xml:space="preserve">hob </w:t>
      </w:r>
      <w:r>
        <w:rPr>
          <w:rFonts w:ascii="Calibri" w:eastAsia="Times New Roman" w:hAnsi="Calibri" w:cs="Calibri"/>
          <w:color w:val="000000"/>
          <w:lang w:eastAsia="de-DE"/>
        </w:rPr>
        <w:t>r</w:t>
      </w:r>
      <w:r w:rsidRPr="008821B0">
        <w:rPr>
          <w:rFonts w:ascii="Calibri" w:eastAsia="Times New Roman" w:hAnsi="Calibri" w:cs="Calibri"/>
          <w:color w:val="000000"/>
          <w:lang w:eastAsia="de-DE"/>
        </w:rPr>
        <w:t xml:space="preserve">ung carpets.  </w:t>
      </w:r>
    </w:p>
    <w:p w:rsidR="00FA1FE1" w:rsidRDefault="00FA1FE1" w:rsidP="00FA1FE1">
      <w:pPr>
        <w:rPr>
          <w:rFonts w:ascii="Calibri" w:eastAsia="Times New Roman" w:hAnsi="Calibri" w:cs="Calibri"/>
          <w:lang w:eastAsia="de-DE"/>
        </w:rPr>
      </w:pPr>
      <w:r w:rsidRPr="00C32712">
        <w:rPr>
          <w:rFonts w:ascii="Calibri" w:eastAsia="Times New Roman" w:hAnsi="Calibri" w:cs="Calibri"/>
          <w:b/>
          <w:color w:val="000000"/>
          <w:lang w:eastAsia="de-DE"/>
        </w:rPr>
        <w:t>The carpet sector represents one of Afghanistan’s largest official exports</w:t>
      </w:r>
      <w:r w:rsidRPr="008821B0">
        <w:rPr>
          <w:rFonts w:ascii="Calibri" w:eastAsia="Times New Roman" w:hAnsi="Calibri" w:cs="Calibri"/>
          <w:color w:val="000000"/>
          <w:lang w:eastAsia="de-DE"/>
        </w:rPr>
        <w:t xml:space="preserve">, generating </w:t>
      </w:r>
      <w:r>
        <w:rPr>
          <w:rFonts w:ascii="Calibri" w:eastAsia="Times New Roman" w:hAnsi="Calibri" w:cs="Calibri"/>
          <w:color w:val="000000"/>
          <w:lang w:eastAsia="de-DE"/>
        </w:rPr>
        <w:t>US</w:t>
      </w:r>
      <w:r w:rsidRPr="008821B0">
        <w:rPr>
          <w:rFonts w:ascii="Calibri" w:eastAsia="Times New Roman" w:hAnsi="Calibri" w:cs="Calibri"/>
          <w:color w:val="000000"/>
          <w:lang w:eastAsia="de-DE"/>
        </w:rPr>
        <w:t>$150 million annually and constituting 15</w:t>
      </w:r>
      <w:r>
        <w:rPr>
          <w:rFonts w:ascii="Calibri" w:eastAsia="Times New Roman" w:hAnsi="Calibri" w:cs="Calibri"/>
          <w:color w:val="000000"/>
          <w:lang w:eastAsia="de-DE"/>
        </w:rPr>
        <w:t xml:space="preserve"> percent</w:t>
      </w:r>
      <w:r w:rsidRPr="008821B0">
        <w:rPr>
          <w:rFonts w:ascii="Calibri" w:eastAsia="Times New Roman" w:hAnsi="Calibri" w:cs="Calibri"/>
          <w:color w:val="000000"/>
          <w:lang w:eastAsia="de-DE"/>
        </w:rPr>
        <w:t xml:space="preserve"> of carpet exports globally. </w:t>
      </w:r>
      <w:r>
        <w:rPr>
          <w:rFonts w:ascii="Calibri" w:eastAsia="Times New Roman" w:hAnsi="Calibri" w:cs="Calibri"/>
          <w:color w:val="000000"/>
          <w:lang w:eastAsia="de-DE"/>
        </w:rPr>
        <w:t>In the period 2000-</w:t>
      </w:r>
      <w:r w:rsidRPr="008821B0">
        <w:rPr>
          <w:rFonts w:ascii="Calibri" w:eastAsia="Times New Roman" w:hAnsi="Calibri" w:cs="Calibri"/>
          <w:color w:val="000000"/>
          <w:lang w:eastAsia="de-DE"/>
        </w:rPr>
        <w:t>05</w:t>
      </w:r>
      <w:r>
        <w:rPr>
          <w:rFonts w:ascii="Calibri" w:eastAsia="Times New Roman" w:hAnsi="Calibri" w:cs="Calibri"/>
          <w:color w:val="000000"/>
          <w:lang w:eastAsia="de-DE"/>
        </w:rPr>
        <w:t xml:space="preserve">, the </w:t>
      </w:r>
      <w:r w:rsidRPr="008821B0">
        <w:rPr>
          <w:rFonts w:ascii="Calibri" w:eastAsia="Times New Roman" w:hAnsi="Calibri" w:cs="Calibri"/>
          <w:color w:val="000000"/>
          <w:lang w:eastAsia="de-DE"/>
        </w:rPr>
        <w:t xml:space="preserve">sector </w:t>
      </w:r>
      <w:r>
        <w:rPr>
          <w:rFonts w:ascii="Calibri" w:eastAsia="Times New Roman" w:hAnsi="Calibri" w:cs="Calibri"/>
          <w:color w:val="000000"/>
          <w:lang w:eastAsia="de-DE"/>
        </w:rPr>
        <w:t xml:space="preserve">reported an average </w:t>
      </w:r>
      <w:r w:rsidRPr="008821B0">
        <w:rPr>
          <w:rFonts w:ascii="Calibri" w:eastAsia="Times New Roman" w:hAnsi="Calibri" w:cs="Calibri"/>
          <w:color w:val="000000"/>
          <w:lang w:eastAsia="de-DE"/>
        </w:rPr>
        <w:t>2</w:t>
      </w:r>
      <w:r>
        <w:rPr>
          <w:rFonts w:ascii="Calibri" w:eastAsia="Times New Roman" w:hAnsi="Calibri" w:cs="Calibri"/>
          <w:color w:val="000000"/>
          <w:lang w:eastAsia="de-DE"/>
        </w:rPr>
        <w:t xml:space="preserve"> percent</w:t>
      </w:r>
      <w:r w:rsidRPr="008821B0">
        <w:rPr>
          <w:rFonts w:ascii="Calibri" w:eastAsia="Times New Roman" w:hAnsi="Calibri" w:cs="Calibri"/>
          <w:color w:val="000000"/>
          <w:lang w:eastAsia="de-DE"/>
        </w:rPr>
        <w:t xml:space="preserve"> </w:t>
      </w:r>
      <w:r>
        <w:rPr>
          <w:rFonts w:ascii="Calibri" w:eastAsia="Times New Roman" w:hAnsi="Calibri" w:cs="Calibri"/>
          <w:color w:val="000000"/>
          <w:lang w:eastAsia="de-DE"/>
        </w:rPr>
        <w:t xml:space="preserve">yearly </w:t>
      </w:r>
      <w:r w:rsidRPr="008821B0">
        <w:rPr>
          <w:rFonts w:ascii="Calibri" w:eastAsia="Times New Roman" w:hAnsi="Calibri" w:cs="Calibri"/>
          <w:color w:val="000000"/>
          <w:lang w:eastAsia="de-DE"/>
        </w:rPr>
        <w:t>growth</w:t>
      </w:r>
      <w:r>
        <w:rPr>
          <w:rFonts w:ascii="Calibri" w:eastAsia="Times New Roman" w:hAnsi="Calibri" w:cs="Calibri"/>
          <w:color w:val="000000"/>
          <w:lang w:eastAsia="de-DE"/>
        </w:rPr>
        <w:t>. However, d</w:t>
      </w:r>
      <w:r>
        <w:t>uring</w:t>
      </w:r>
      <w:r>
        <w:rPr>
          <w:szCs w:val="22"/>
        </w:rPr>
        <w:t xml:space="preserve"> </w:t>
      </w:r>
      <w:r w:rsidRPr="00756691">
        <w:rPr>
          <w:szCs w:val="22"/>
        </w:rPr>
        <w:t>2006</w:t>
      </w:r>
      <w:r>
        <w:rPr>
          <w:szCs w:val="22"/>
        </w:rPr>
        <w:t>-</w:t>
      </w:r>
      <w:r w:rsidRPr="00756691">
        <w:rPr>
          <w:szCs w:val="22"/>
        </w:rPr>
        <w:t>2010</w:t>
      </w:r>
      <w:r>
        <w:t>,</w:t>
      </w:r>
      <w:r w:rsidRPr="00756691">
        <w:rPr>
          <w:szCs w:val="22"/>
        </w:rPr>
        <w:t xml:space="preserve"> </w:t>
      </w:r>
      <w:r>
        <w:t xml:space="preserve">official carpet </w:t>
      </w:r>
      <w:r>
        <w:rPr>
          <w:szCs w:val="22"/>
        </w:rPr>
        <w:t xml:space="preserve">exports </w:t>
      </w:r>
      <w:r w:rsidRPr="00756691">
        <w:rPr>
          <w:szCs w:val="22"/>
        </w:rPr>
        <w:t xml:space="preserve">dropped </w:t>
      </w:r>
      <w:r>
        <w:rPr>
          <w:szCs w:val="22"/>
        </w:rPr>
        <w:t xml:space="preserve">as a share of total exports </w:t>
      </w:r>
      <w:r>
        <w:t xml:space="preserve">from 60 percent to 38 percent, and dry fruits &amp; raisins became the country’s major export. </w:t>
      </w:r>
      <w:r>
        <w:rPr>
          <w:rFonts w:ascii="Calibri" w:eastAsia="Times New Roman" w:hAnsi="Calibri" w:cs="Calibri"/>
          <w:lang w:eastAsia="de-DE"/>
        </w:rPr>
        <w:t xml:space="preserve">The years </w:t>
      </w:r>
      <w:r w:rsidRPr="008821B0">
        <w:rPr>
          <w:rFonts w:ascii="Calibri" w:eastAsia="Times New Roman" w:hAnsi="Calibri" w:cs="Calibri"/>
          <w:lang w:eastAsia="de-DE"/>
        </w:rPr>
        <w:t>2008-10</w:t>
      </w:r>
      <w:r>
        <w:rPr>
          <w:rFonts w:ascii="Calibri" w:eastAsia="Times New Roman" w:hAnsi="Calibri" w:cs="Calibri"/>
          <w:lang w:eastAsia="de-DE"/>
        </w:rPr>
        <w:t xml:space="preserve"> were p</w:t>
      </w:r>
      <w:r>
        <w:rPr>
          <w:rFonts w:ascii="Calibri" w:eastAsia="Times New Roman" w:hAnsi="Calibri" w:cs="Calibri"/>
          <w:color w:val="000000"/>
          <w:lang w:eastAsia="de-DE"/>
        </w:rPr>
        <w:t>articularly</w:t>
      </w:r>
      <w:r w:rsidRPr="008821B0">
        <w:rPr>
          <w:rFonts w:ascii="Calibri" w:eastAsia="Times New Roman" w:hAnsi="Calibri" w:cs="Calibri"/>
          <w:lang w:eastAsia="de-DE"/>
        </w:rPr>
        <w:t xml:space="preserve"> challenging</w:t>
      </w:r>
      <w:r>
        <w:rPr>
          <w:rFonts w:ascii="Calibri" w:eastAsia="Times New Roman" w:hAnsi="Calibri" w:cs="Calibri"/>
          <w:lang w:eastAsia="de-DE"/>
        </w:rPr>
        <w:t xml:space="preserve"> for the sector because of the drop in foreign demand and </w:t>
      </w:r>
      <w:r w:rsidRPr="008821B0">
        <w:rPr>
          <w:rFonts w:ascii="Calibri" w:eastAsia="Times New Roman" w:hAnsi="Calibri" w:cs="Calibri"/>
          <w:lang w:eastAsia="de-DE"/>
        </w:rPr>
        <w:t>low levels of consumer spending</w:t>
      </w:r>
      <w:r>
        <w:rPr>
          <w:rFonts w:ascii="Calibri" w:eastAsia="Times New Roman" w:hAnsi="Calibri" w:cs="Calibri"/>
          <w:lang w:eastAsia="de-DE"/>
        </w:rPr>
        <w:t xml:space="preserve">. </w:t>
      </w:r>
      <w:r>
        <w:t xml:space="preserve">Nevertheless, industry experts predict strong growth in the handmade carpet segment </w:t>
      </w:r>
      <w:r w:rsidRPr="008821B0">
        <w:rPr>
          <w:rFonts w:ascii="Calibri" w:eastAsia="Times New Roman" w:hAnsi="Calibri" w:cs="Calibri"/>
          <w:lang w:eastAsia="de-DE"/>
        </w:rPr>
        <w:t>over the next five years</w:t>
      </w:r>
      <w:r>
        <w:rPr>
          <w:rFonts w:ascii="Calibri" w:eastAsia="Times New Roman" w:hAnsi="Calibri" w:cs="Calibri"/>
          <w:lang w:eastAsia="de-DE"/>
        </w:rPr>
        <w:t>.</w:t>
      </w:r>
      <w:r w:rsidRPr="008821B0">
        <w:rPr>
          <w:rFonts w:ascii="Calibri" w:eastAsia="Times New Roman" w:hAnsi="Calibri" w:cs="Calibri"/>
          <w:vertAlign w:val="superscript"/>
          <w:lang w:eastAsia="de-DE"/>
        </w:rPr>
        <w:footnoteReference w:id="50"/>
      </w:r>
      <w:r>
        <w:rPr>
          <w:rFonts w:ascii="Calibri" w:eastAsia="Times New Roman" w:hAnsi="Calibri" w:cs="Calibri"/>
          <w:lang w:eastAsia="de-DE"/>
        </w:rPr>
        <w:t xml:space="preserve">   </w:t>
      </w:r>
    </w:p>
    <w:p w:rsidR="00FA1FE1" w:rsidRPr="008821B0" w:rsidRDefault="00FA1FE1" w:rsidP="00FA1FE1">
      <w:pPr>
        <w:rPr>
          <w:rFonts w:ascii="Calibri" w:eastAsia="Times New Roman" w:hAnsi="Calibri" w:cs="Times New Roman"/>
          <w:lang w:eastAsia="de-DE"/>
        </w:rPr>
      </w:pPr>
      <w:r w:rsidRPr="00D57245">
        <w:rPr>
          <w:rFonts w:ascii="Calibri" w:eastAsia="Times New Roman" w:hAnsi="Calibri" w:cs="Calibri"/>
          <w:b/>
          <w:color w:val="000000"/>
          <w:lang w:eastAsia="de-DE"/>
        </w:rPr>
        <w:t>Afghanistan competes with five other major carpet</w:t>
      </w:r>
      <w:r>
        <w:rPr>
          <w:rFonts w:ascii="Calibri" w:eastAsia="Times New Roman" w:hAnsi="Calibri" w:cs="Calibri"/>
          <w:b/>
          <w:color w:val="000000"/>
          <w:lang w:eastAsia="de-DE"/>
        </w:rPr>
        <w:t>-making nations</w:t>
      </w:r>
      <w:r w:rsidRPr="008821B0">
        <w:rPr>
          <w:rFonts w:ascii="Calibri" w:eastAsia="Times New Roman" w:hAnsi="Calibri" w:cs="Calibri"/>
          <w:color w:val="000000"/>
          <w:lang w:eastAsia="de-DE"/>
        </w:rPr>
        <w:t>: Iran, I</w:t>
      </w:r>
      <w:r>
        <w:rPr>
          <w:rFonts w:ascii="Calibri" w:eastAsia="Times New Roman" w:hAnsi="Calibri" w:cs="Calibri"/>
          <w:color w:val="000000"/>
          <w:lang w:eastAsia="de-DE"/>
        </w:rPr>
        <w:t xml:space="preserve">ndia, China, Nepal and Pakistan. </w:t>
      </w:r>
      <w:r w:rsidRPr="008821B0">
        <w:rPr>
          <w:rFonts w:ascii="Calibri" w:eastAsia="Times New Roman" w:hAnsi="Calibri" w:cs="Calibri"/>
          <w:color w:val="000000"/>
          <w:lang w:eastAsia="de-DE"/>
        </w:rPr>
        <w:t>It is worth not</w:t>
      </w:r>
      <w:r>
        <w:rPr>
          <w:rFonts w:ascii="Calibri" w:eastAsia="Times New Roman" w:hAnsi="Calibri" w:cs="Calibri"/>
          <w:color w:val="000000"/>
          <w:lang w:eastAsia="de-DE"/>
        </w:rPr>
        <w:t>ing</w:t>
      </w:r>
      <w:r w:rsidRPr="008821B0">
        <w:rPr>
          <w:rFonts w:ascii="Calibri" w:eastAsia="Times New Roman" w:hAnsi="Calibri" w:cs="Calibri"/>
          <w:color w:val="000000"/>
          <w:lang w:eastAsia="de-DE"/>
        </w:rPr>
        <w:t xml:space="preserve"> that </w:t>
      </w:r>
      <w:r w:rsidRPr="008821B0">
        <w:rPr>
          <w:rFonts w:ascii="Calibri" w:eastAsia="Times New Roman" w:hAnsi="Calibri" w:cs="Times New Roman"/>
          <w:lang w:eastAsia="de-DE"/>
        </w:rPr>
        <w:t xml:space="preserve">the </w:t>
      </w:r>
      <w:r>
        <w:rPr>
          <w:rFonts w:ascii="Calibri" w:eastAsia="Times New Roman" w:hAnsi="Calibri" w:cs="Times New Roman"/>
          <w:lang w:eastAsia="de-DE"/>
        </w:rPr>
        <w:t xml:space="preserve">recent </w:t>
      </w:r>
      <w:r w:rsidRPr="008821B0">
        <w:rPr>
          <w:rFonts w:ascii="Calibri" w:eastAsia="Times New Roman" w:hAnsi="Calibri" w:cs="Times New Roman"/>
          <w:lang w:eastAsia="de-DE"/>
        </w:rPr>
        <w:t xml:space="preserve">decline </w:t>
      </w:r>
      <w:r>
        <w:rPr>
          <w:rFonts w:ascii="Calibri" w:eastAsia="Times New Roman" w:hAnsi="Calibri" w:cs="Times New Roman"/>
          <w:lang w:eastAsia="de-DE"/>
        </w:rPr>
        <w:t>in</w:t>
      </w:r>
      <w:r w:rsidRPr="008821B0">
        <w:rPr>
          <w:rFonts w:ascii="Calibri" w:eastAsia="Times New Roman" w:hAnsi="Calibri" w:cs="Times New Roman"/>
          <w:lang w:eastAsia="de-DE"/>
        </w:rPr>
        <w:t xml:space="preserve"> </w:t>
      </w:r>
      <w:r>
        <w:rPr>
          <w:rFonts w:ascii="Calibri" w:eastAsia="Times New Roman" w:hAnsi="Calibri" w:cs="Times New Roman"/>
          <w:lang w:eastAsia="de-DE"/>
        </w:rPr>
        <w:t xml:space="preserve">Afghanistan’s </w:t>
      </w:r>
      <w:r w:rsidRPr="008821B0">
        <w:rPr>
          <w:rFonts w:ascii="Calibri" w:eastAsia="Times New Roman" w:hAnsi="Calibri" w:cs="Times New Roman"/>
          <w:lang w:eastAsia="de-DE"/>
        </w:rPr>
        <w:t xml:space="preserve">carpet production </w:t>
      </w:r>
      <w:r>
        <w:rPr>
          <w:rFonts w:ascii="Calibri" w:eastAsia="Times New Roman" w:hAnsi="Calibri" w:cs="Times New Roman"/>
          <w:lang w:eastAsia="de-DE"/>
        </w:rPr>
        <w:t>may be due to several</w:t>
      </w:r>
      <w:r w:rsidRPr="008821B0">
        <w:rPr>
          <w:rFonts w:ascii="Calibri" w:eastAsia="Times New Roman" w:hAnsi="Calibri" w:cs="Times New Roman"/>
          <w:lang w:eastAsia="de-DE"/>
        </w:rPr>
        <w:t xml:space="preserve"> </w:t>
      </w:r>
      <w:r>
        <w:rPr>
          <w:rFonts w:ascii="Calibri" w:eastAsia="Times New Roman" w:hAnsi="Calibri" w:cs="Times New Roman"/>
          <w:lang w:eastAsia="de-DE"/>
        </w:rPr>
        <w:t>reasons; price-demand imbalance may be one of the most important factors, and the fact that many of the</w:t>
      </w:r>
      <w:r w:rsidRPr="008821B0">
        <w:rPr>
          <w:rFonts w:ascii="Calibri" w:eastAsia="Times New Roman" w:hAnsi="Calibri" w:cs="Times New Roman"/>
          <w:lang w:eastAsia="de-DE"/>
        </w:rPr>
        <w:t xml:space="preserve"> female Hassara weavers </w:t>
      </w:r>
      <w:r>
        <w:rPr>
          <w:rFonts w:ascii="Calibri" w:eastAsia="Times New Roman" w:hAnsi="Calibri" w:cs="Times New Roman"/>
          <w:lang w:eastAsia="de-DE"/>
        </w:rPr>
        <w:t xml:space="preserve">are leaving the sector for better-paying </w:t>
      </w:r>
      <w:r w:rsidRPr="008821B0">
        <w:rPr>
          <w:rFonts w:ascii="Calibri" w:eastAsia="Times New Roman" w:hAnsi="Calibri" w:cs="Times New Roman"/>
          <w:lang w:eastAsia="de-DE"/>
        </w:rPr>
        <w:t>jobs</w:t>
      </w:r>
      <w:r>
        <w:rPr>
          <w:rFonts w:ascii="Calibri" w:eastAsia="Times New Roman" w:hAnsi="Calibri" w:cs="Times New Roman"/>
          <w:lang w:eastAsia="de-DE"/>
        </w:rPr>
        <w:t xml:space="preserve"> elsewhere</w:t>
      </w:r>
      <w:r w:rsidRPr="008821B0">
        <w:rPr>
          <w:rFonts w:ascii="Calibri" w:eastAsia="Times New Roman" w:hAnsi="Calibri" w:cs="Times New Roman"/>
          <w:lang w:eastAsia="de-DE"/>
        </w:rPr>
        <w:t>.</w:t>
      </w:r>
    </w:p>
    <w:p w:rsidR="00FA1FE1" w:rsidRPr="00D91769" w:rsidRDefault="00FA1FE1" w:rsidP="00FA1FE1">
      <w:pPr>
        <w:autoSpaceDE w:val="0"/>
        <w:autoSpaceDN w:val="0"/>
        <w:adjustRightInd w:val="0"/>
        <w:spacing w:after="0"/>
        <w:rPr>
          <w:rFonts w:ascii="Calibri" w:eastAsia="Times New Roman" w:hAnsi="Calibri" w:cs="Calibri"/>
          <w:b/>
          <w:color w:val="410082" w:themeColor="text1"/>
          <w:lang w:eastAsia="de-DE"/>
        </w:rPr>
      </w:pPr>
      <w:r w:rsidRPr="00D91769">
        <w:rPr>
          <w:rFonts w:ascii="Calibri" w:eastAsia="Times New Roman" w:hAnsi="Calibri" w:cs="Calibri"/>
          <w:b/>
          <w:bCs/>
          <w:color w:val="410082" w:themeColor="text1"/>
          <w:lang w:eastAsia="de-DE"/>
        </w:rPr>
        <w:t xml:space="preserve">Figure 5.9: </w:t>
      </w:r>
      <w:r w:rsidRPr="00D91769">
        <w:rPr>
          <w:rFonts w:ascii="Calibri" w:eastAsia="Times New Roman" w:hAnsi="Calibri" w:cs="Calibri"/>
          <w:b/>
          <w:color w:val="410082" w:themeColor="text1"/>
          <w:lang w:eastAsia="de-DE"/>
        </w:rPr>
        <w:t>Key Locations for Afghan Carpet Production</w:t>
      </w:r>
    </w:p>
    <w:p w:rsidR="00FA1FE1" w:rsidRPr="008821B0" w:rsidRDefault="00FA1FE1" w:rsidP="00FA1FE1">
      <w:pPr>
        <w:autoSpaceDE w:val="0"/>
        <w:autoSpaceDN w:val="0"/>
        <w:adjustRightInd w:val="0"/>
        <w:spacing w:after="0"/>
        <w:rPr>
          <w:rFonts w:ascii="Calibri" w:eastAsia="Times New Roman" w:hAnsi="Calibri" w:cs="Calibri"/>
          <w:b/>
          <w:color w:val="000000"/>
          <w:lang w:eastAsia="de-DE"/>
        </w:rPr>
      </w:pPr>
    </w:p>
    <w:p w:rsidR="00FA1FE1" w:rsidRDefault="00FA1FE1" w:rsidP="00FA1FE1">
      <w:pPr>
        <w:spacing w:line="240" w:lineRule="auto"/>
        <w:rPr>
          <w:rFonts w:ascii="Calibri" w:eastAsia="Times New Roman" w:hAnsi="Calibri" w:cs="Times New Roman"/>
          <w:b/>
          <w:i/>
          <w:color w:val="0070C0"/>
          <w:sz w:val="28"/>
          <w:szCs w:val="28"/>
          <w:lang w:eastAsia="de-DE"/>
        </w:rPr>
      </w:pPr>
      <w:r w:rsidRPr="008821B0">
        <w:rPr>
          <w:rFonts w:ascii="Calibri" w:eastAsia="Times New Roman" w:hAnsi="Calibri" w:cs="Times New Roman"/>
          <w:b/>
          <w:i/>
          <w:noProof/>
          <w:color w:val="0070C0"/>
          <w:sz w:val="28"/>
          <w:szCs w:val="28"/>
          <w:lang w:bidi="ar-SA"/>
        </w:rPr>
        <w:drawing>
          <wp:inline distT="0" distB="0" distL="0" distR="0" wp14:anchorId="3958AAB6" wp14:editId="1999DEBD">
            <wp:extent cx="4943475" cy="2495550"/>
            <wp:effectExtent l="0" t="0" r="9525" b="0"/>
            <wp:docPr id="178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51" cstate="print"/>
                    <a:srcRect/>
                    <a:stretch>
                      <a:fillRect/>
                    </a:stretch>
                  </pic:blipFill>
                  <pic:spPr bwMode="auto">
                    <a:xfrm>
                      <a:off x="0" y="0"/>
                      <a:ext cx="4943475" cy="2495550"/>
                    </a:xfrm>
                    <a:prstGeom prst="rect">
                      <a:avLst/>
                    </a:prstGeom>
                    <a:noFill/>
                    <a:ln w="9525">
                      <a:noFill/>
                      <a:miter lim="800000"/>
                      <a:headEnd/>
                      <a:tailEnd/>
                    </a:ln>
                  </pic:spPr>
                </pic:pic>
              </a:graphicData>
            </a:graphic>
          </wp:inline>
        </w:drawing>
      </w:r>
    </w:p>
    <w:p w:rsidR="00FA1FE1" w:rsidRPr="007A5C03" w:rsidRDefault="00FA1FE1" w:rsidP="00FA1FE1">
      <w:pPr>
        <w:spacing w:line="240" w:lineRule="auto"/>
        <w:rPr>
          <w:rFonts w:ascii="Calibri" w:eastAsia="Times New Roman" w:hAnsi="Calibri" w:cs="Times New Roman"/>
          <w:sz w:val="18"/>
          <w:szCs w:val="18"/>
          <w:lang w:eastAsia="de-DE"/>
        </w:rPr>
      </w:pPr>
      <w:r w:rsidRPr="007A5C03">
        <w:rPr>
          <w:rFonts w:ascii="Calibri" w:eastAsia="Times New Roman" w:hAnsi="Calibri" w:cs="Times New Roman"/>
          <w:sz w:val="18"/>
          <w:szCs w:val="18"/>
          <w:lang w:eastAsia="de-DE"/>
        </w:rPr>
        <w:t>Source:</w:t>
      </w:r>
      <w:r>
        <w:rPr>
          <w:rFonts w:ascii="Calibri" w:eastAsia="Times New Roman" w:hAnsi="Calibri" w:cs="Times New Roman"/>
          <w:sz w:val="18"/>
          <w:szCs w:val="18"/>
          <w:lang w:eastAsia="de-DE"/>
        </w:rPr>
        <w:t xml:space="preserve"> </w:t>
      </w:r>
      <w:r w:rsidRPr="007A5C03">
        <w:rPr>
          <w:rFonts w:ascii="Calibri" w:eastAsia="Times New Roman" w:hAnsi="Calibri" w:cs="Times New Roman"/>
          <w:sz w:val="18"/>
          <w:szCs w:val="18"/>
          <w:lang w:eastAsia="de-DE"/>
        </w:rPr>
        <w:t>Implementing SME Strategy: An Action Plan for Developi</w:t>
      </w:r>
      <w:r>
        <w:rPr>
          <w:rFonts w:ascii="Calibri" w:eastAsia="Times New Roman" w:hAnsi="Calibri" w:cs="Times New Roman"/>
          <w:sz w:val="18"/>
          <w:szCs w:val="18"/>
          <w:lang w:eastAsia="de-DE"/>
        </w:rPr>
        <w:t xml:space="preserve">ng Afghanistan’s </w:t>
      </w:r>
      <w:r w:rsidRPr="007A5C03">
        <w:rPr>
          <w:rFonts w:ascii="Calibri" w:eastAsia="Times New Roman" w:hAnsi="Calibri" w:cs="Times New Roman"/>
          <w:sz w:val="18"/>
          <w:szCs w:val="18"/>
          <w:lang w:eastAsia="de-DE"/>
        </w:rPr>
        <w:t>Carpet Sector, May 2011-April 2013</w:t>
      </w:r>
      <w:r>
        <w:rPr>
          <w:rFonts w:ascii="Calibri" w:eastAsia="Times New Roman" w:hAnsi="Calibri" w:cs="Times New Roman"/>
          <w:sz w:val="18"/>
          <w:szCs w:val="18"/>
          <w:lang w:eastAsia="de-DE"/>
        </w:rPr>
        <w:t>, MOCI</w:t>
      </w:r>
    </w:p>
    <w:p w:rsidR="00FA1FE1" w:rsidRDefault="00FA1FE1" w:rsidP="00FA1FE1">
      <w:pPr>
        <w:rPr>
          <w:rFonts w:ascii="Calibri" w:eastAsia="Times New Roman" w:hAnsi="Calibri" w:cs="Calibri"/>
          <w:color w:val="000000"/>
          <w:lang w:eastAsia="en-GB"/>
        </w:rPr>
      </w:pPr>
      <w:r w:rsidRPr="008821B0">
        <w:rPr>
          <w:rFonts w:ascii="Calibri" w:eastAsia="Times New Roman" w:hAnsi="Calibri" w:cs="Calibri"/>
          <w:b/>
          <w:lang w:eastAsia="de-DE"/>
        </w:rPr>
        <w:t>Since 2006</w:t>
      </w:r>
      <w:r>
        <w:rPr>
          <w:rFonts w:ascii="Calibri" w:eastAsia="Times New Roman" w:hAnsi="Calibri" w:cs="Calibri"/>
          <w:b/>
          <w:lang w:eastAsia="de-DE"/>
        </w:rPr>
        <w:t>,</w:t>
      </w:r>
      <w:r w:rsidRPr="008821B0">
        <w:rPr>
          <w:rFonts w:ascii="Calibri" w:eastAsia="Times New Roman" w:hAnsi="Calibri" w:cs="Calibri"/>
          <w:b/>
          <w:lang w:eastAsia="de-DE"/>
        </w:rPr>
        <w:t xml:space="preserve"> the carpet sector</w:t>
      </w:r>
      <w:r>
        <w:rPr>
          <w:rFonts w:ascii="Calibri" w:eastAsia="Times New Roman" w:hAnsi="Calibri" w:cs="Calibri"/>
          <w:b/>
          <w:lang w:eastAsia="de-DE"/>
        </w:rPr>
        <w:t xml:space="preserve"> </w:t>
      </w:r>
      <w:r w:rsidRPr="008821B0">
        <w:rPr>
          <w:rFonts w:ascii="Calibri" w:eastAsia="Times New Roman" w:hAnsi="Calibri" w:cs="Calibri"/>
          <w:b/>
          <w:lang w:eastAsia="de-DE"/>
        </w:rPr>
        <w:t xml:space="preserve">has </w:t>
      </w:r>
      <w:r>
        <w:rPr>
          <w:rFonts w:ascii="Calibri" w:eastAsia="Times New Roman" w:hAnsi="Calibri" w:cs="Calibri"/>
          <w:b/>
          <w:lang w:eastAsia="de-DE"/>
        </w:rPr>
        <w:t>become more competitive,</w:t>
      </w:r>
      <w:r w:rsidRPr="008821B0">
        <w:rPr>
          <w:rFonts w:ascii="Calibri" w:eastAsia="Times New Roman" w:hAnsi="Calibri" w:cs="Calibri"/>
          <w:b/>
          <w:lang w:eastAsia="de-DE"/>
        </w:rPr>
        <w:t xml:space="preserve"> with strong support </w:t>
      </w:r>
      <w:r>
        <w:rPr>
          <w:rFonts w:ascii="Calibri" w:eastAsia="Times New Roman" w:hAnsi="Calibri" w:cs="Calibri"/>
          <w:b/>
          <w:lang w:eastAsia="de-DE"/>
        </w:rPr>
        <w:t>from</w:t>
      </w:r>
      <w:r w:rsidRPr="008821B0">
        <w:rPr>
          <w:rFonts w:ascii="Calibri" w:eastAsia="Times New Roman" w:hAnsi="Calibri" w:cs="Calibri"/>
          <w:b/>
          <w:lang w:eastAsia="de-DE"/>
        </w:rPr>
        <w:t xml:space="preserve"> the Export Promotion Agency of Afghanistan (EPAA)</w:t>
      </w:r>
      <w:r>
        <w:rPr>
          <w:rFonts w:ascii="Calibri" w:eastAsia="Times New Roman" w:hAnsi="Calibri" w:cs="Calibri"/>
          <w:b/>
          <w:lang w:eastAsia="de-DE"/>
        </w:rPr>
        <w:t>,</w:t>
      </w:r>
      <w:r w:rsidRPr="008821B0">
        <w:rPr>
          <w:rFonts w:ascii="Calibri" w:eastAsia="Times New Roman" w:hAnsi="Calibri" w:cs="Calibri"/>
          <w:b/>
          <w:lang w:eastAsia="de-DE"/>
        </w:rPr>
        <w:t xml:space="preserve"> and donor investment</w:t>
      </w:r>
      <w:r>
        <w:rPr>
          <w:rFonts w:ascii="Calibri" w:eastAsia="Times New Roman" w:hAnsi="Calibri" w:cs="Calibri"/>
          <w:b/>
          <w:lang w:eastAsia="de-DE"/>
        </w:rPr>
        <w:t xml:space="preserve">. </w:t>
      </w:r>
      <w:r w:rsidRPr="008821B0">
        <w:rPr>
          <w:rFonts w:ascii="Calibri" w:eastAsia="Times New Roman" w:hAnsi="Calibri" w:cs="Calibri"/>
          <w:lang w:eastAsia="de-DE"/>
        </w:rPr>
        <w:t xml:space="preserve">The Afghan </w:t>
      </w:r>
      <w:r>
        <w:rPr>
          <w:rFonts w:ascii="Calibri" w:eastAsia="Times New Roman" w:hAnsi="Calibri" w:cs="Calibri"/>
          <w:lang w:eastAsia="de-DE"/>
        </w:rPr>
        <w:t>c</w:t>
      </w:r>
      <w:r w:rsidRPr="008821B0">
        <w:rPr>
          <w:rFonts w:ascii="Calibri" w:eastAsia="Times New Roman" w:hAnsi="Calibri" w:cs="Calibri"/>
          <w:lang w:eastAsia="de-DE"/>
        </w:rPr>
        <w:t>arpet sector´s quality of hand-knotted, natural dyed</w:t>
      </w:r>
      <w:r>
        <w:rPr>
          <w:rFonts w:ascii="Calibri" w:eastAsia="Times New Roman" w:hAnsi="Calibri" w:cs="Calibri"/>
          <w:lang w:eastAsia="de-DE"/>
        </w:rPr>
        <w:t>,</w:t>
      </w:r>
      <w:r w:rsidRPr="008821B0">
        <w:rPr>
          <w:rFonts w:ascii="Calibri" w:eastAsia="Times New Roman" w:hAnsi="Calibri" w:cs="Calibri"/>
          <w:lang w:eastAsia="de-DE"/>
        </w:rPr>
        <w:t xml:space="preserve"> and designs</w:t>
      </w:r>
      <w:r>
        <w:rPr>
          <w:rFonts w:ascii="Calibri" w:eastAsia="Times New Roman" w:hAnsi="Calibri" w:cs="Calibri"/>
          <w:lang w:eastAsia="de-DE"/>
        </w:rPr>
        <w:t>,</w:t>
      </w:r>
      <w:r w:rsidRPr="008821B0">
        <w:rPr>
          <w:rFonts w:ascii="Calibri" w:eastAsia="Times New Roman" w:hAnsi="Calibri" w:cs="Calibri"/>
          <w:lang w:eastAsia="de-DE"/>
        </w:rPr>
        <w:t xml:space="preserve"> </w:t>
      </w:r>
      <w:r>
        <w:rPr>
          <w:rFonts w:ascii="Calibri" w:eastAsia="Times New Roman" w:hAnsi="Calibri" w:cs="Calibri"/>
          <w:lang w:eastAsia="de-DE"/>
        </w:rPr>
        <w:t xml:space="preserve">received an award from the </w:t>
      </w:r>
      <w:r w:rsidRPr="008821B0">
        <w:rPr>
          <w:rFonts w:ascii="Calibri" w:eastAsia="Times New Roman" w:hAnsi="Calibri" w:cs="Calibri"/>
          <w:lang w:eastAsia="de-DE"/>
        </w:rPr>
        <w:t>largest trade fair in Europe</w:t>
      </w:r>
      <w:r>
        <w:rPr>
          <w:rFonts w:ascii="Calibri" w:eastAsia="Times New Roman" w:hAnsi="Calibri" w:cs="Calibri"/>
          <w:lang w:eastAsia="de-DE"/>
        </w:rPr>
        <w:t>,</w:t>
      </w:r>
      <w:r w:rsidRPr="008821B0">
        <w:rPr>
          <w:rFonts w:ascii="Calibri" w:eastAsia="Times New Roman" w:hAnsi="Calibri" w:cs="Calibri"/>
          <w:lang w:eastAsia="de-DE"/>
        </w:rPr>
        <w:t xml:space="preserve"> Domotex/Germany</w:t>
      </w:r>
      <w:r>
        <w:rPr>
          <w:rFonts w:ascii="Calibri" w:eastAsia="Times New Roman" w:hAnsi="Calibri" w:cs="Calibri"/>
          <w:lang w:eastAsia="de-DE"/>
        </w:rPr>
        <w:t xml:space="preserve">, in </w:t>
      </w:r>
      <w:r w:rsidRPr="008821B0">
        <w:rPr>
          <w:rFonts w:ascii="Calibri" w:eastAsia="Times New Roman" w:hAnsi="Calibri" w:cs="Calibri"/>
          <w:lang w:eastAsia="de-DE"/>
        </w:rPr>
        <w:t>2008</w:t>
      </w:r>
      <w:r>
        <w:rPr>
          <w:rFonts w:ascii="Calibri" w:eastAsia="Times New Roman" w:hAnsi="Calibri" w:cs="Calibri"/>
          <w:lang w:eastAsia="de-DE"/>
        </w:rPr>
        <w:t>.</w:t>
      </w:r>
      <w:r w:rsidRPr="00AE057E">
        <w:rPr>
          <w:rFonts w:ascii="Calibri" w:eastAsia="Times New Roman" w:hAnsi="Calibri" w:cs="Calibri"/>
          <w:color w:val="000000"/>
          <w:lang w:eastAsia="en-GB"/>
        </w:rPr>
        <w:t xml:space="preserve"> </w:t>
      </w:r>
      <w:r w:rsidRPr="008821B0">
        <w:rPr>
          <w:rFonts w:ascii="Calibri" w:eastAsia="Times New Roman" w:hAnsi="Calibri" w:cs="Calibri"/>
          <w:color w:val="000000"/>
          <w:lang w:eastAsia="en-GB"/>
        </w:rPr>
        <w:t>In 2010, Afghanistan’s carpet sellers re</w:t>
      </w:r>
      <w:r>
        <w:rPr>
          <w:rFonts w:ascii="Calibri" w:eastAsia="Times New Roman" w:hAnsi="Calibri" w:cs="Calibri"/>
          <w:color w:val="000000"/>
          <w:lang w:eastAsia="en-GB"/>
        </w:rPr>
        <w:t>gistered</w:t>
      </w:r>
      <w:r w:rsidRPr="008821B0">
        <w:rPr>
          <w:rFonts w:ascii="Calibri" w:eastAsia="Times New Roman" w:hAnsi="Calibri" w:cs="Calibri"/>
          <w:color w:val="000000"/>
          <w:lang w:eastAsia="en-GB"/>
        </w:rPr>
        <w:t xml:space="preserve"> </w:t>
      </w:r>
      <w:r>
        <w:rPr>
          <w:rFonts w:ascii="Calibri" w:eastAsia="Times New Roman" w:hAnsi="Calibri" w:cs="Calibri"/>
          <w:color w:val="000000"/>
          <w:lang w:eastAsia="en-GB"/>
        </w:rPr>
        <w:t>US</w:t>
      </w:r>
      <w:r w:rsidRPr="008821B0">
        <w:rPr>
          <w:rFonts w:ascii="Calibri" w:eastAsia="Times New Roman" w:hAnsi="Calibri" w:cs="Calibri"/>
          <w:color w:val="000000"/>
          <w:lang w:eastAsia="en-GB"/>
        </w:rPr>
        <w:t>$12</w:t>
      </w:r>
      <w:r>
        <w:rPr>
          <w:rFonts w:ascii="Calibri" w:eastAsia="Times New Roman" w:hAnsi="Calibri" w:cs="Calibri"/>
          <w:color w:val="000000"/>
          <w:lang w:eastAsia="en-GB"/>
        </w:rPr>
        <w:t xml:space="preserve"> million in</w:t>
      </w:r>
      <w:r w:rsidRPr="008821B0">
        <w:rPr>
          <w:rFonts w:ascii="Calibri" w:eastAsia="Times New Roman" w:hAnsi="Calibri" w:cs="Calibri"/>
          <w:color w:val="000000"/>
          <w:lang w:eastAsia="en-GB"/>
        </w:rPr>
        <w:t xml:space="preserve"> sales</w:t>
      </w:r>
      <w:r>
        <w:rPr>
          <w:rFonts w:ascii="Calibri" w:eastAsia="Times New Roman" w:hAnsi="Calibri" w:cs="Calibri"/>
          <w:color w:val="000000"/>
          <w:lang w:eastAsia="en-GB"/>
        </w:rPr>
        <w:t xml:space="preserve">, </w:t>
      </w:r>
      <w:r w:rsidRPr="008821B0">
        <w:rPr>
          <w:rFonts w:ascii="Calibri" w:eastAsia="Times New Roman" w:hAnsi="Calibri" w:cs="Calibri"/>
          <w:color w:val="000000"/>
          <w:lang w:eastAsia="en-GB"/>
        </w:rPr>
        <w:t>a 400</w:t>
      </w:r>
      <w:r>
        <w:rPr>
          <w:rFonts w:ascii="Calibri" w:eastAsia="Times New Roman" w:hAnsi="Calibri" w:cs="Calibri"/>
          <w:color w:val="000000"/>
          <w:lang w:eastAsia="en-GB"/>
        </w:rPr>
        <w:t xml:space="preserve"> percent</w:t>
      </w:r>
      <w:r w:rsidRPr="008821B0">
        <w:rPr>
          <w:rFonts w:ascii="Calibri" w:eastAsia="Times New Roman" w:hAnsi="Calibri" w:cs="Calibri"/>
          <w:color w:val="000000"/>
          <w:lang w:eastAsia="en-GB"/>
        </w:rPr>
        <w:t xml:space="preserve"> increase ove</w:t>
      </w:r>
      <w:r>
        <w:rPr>
          <w:rFonts w:ascii="Calibri" w:eastAsia="Times New Roman" w:hAnsi="Calibri" w:cs="Calibri"/>
          <w:color w:val="000000"/>
          <w:lang w:eastAsia="en-GB"/>
        </w:rPr>
        <w:t xml:space="preserve">r </w:t>
      </w:r>
      <w:r w:rsidRPr="008821B0">
        <w:rPr>
          <w:rFonts w:ascii="Calibri" w:eastAsia="Times New Roman" w:hAnsi="Calibri" w:cs="Calibri"/>
          <w:color w:val="000000"/>
          <w:lang w:eastAsia="en-GB"/>
        </w:rPr>
        <w:t>2009</w:t>
      </w:r>
      <w:r>
        <w:rPr>
          <w:rFonts w:ascii="Calibri" w:eastAsia="Times New Roman" w:hAnsi="Calibri" w:cs="Calibri"/>
          <w:color w:val="000000"/>
          <w:lang w:eastAsia="en-GB"/>
        </w:rPr>
        <w:t>. The sector has become more innovative, initiating d</w:t>
      </w:r>
      <w:r w:rsidRPr="008821B0">
        <w:rPr>
          <w:rFonts w:ascii="Calibri" w:eastAsia="Times New Roman" w:hAnsi="Calibri" w:cs="Calibri"/>
          <w:color w:val="000000"/>
          <w:lang w:eastAsia="en-GB"/>
        </w:rPr>
        <w:t>emonstration visits to the Afghan Craft Cut</w:t>
      </w:r>
      <w:r>
        <w:rPr>
          <w:rFonts w:ascii="Calibri" w:eastAsia="Times New Roman" w:hAnsi="Calibri" w:cs="Calibri"/>
          <w:color w:val="000000"/>
          <w:lang w:eastAsia="en-GB"/>
        </w:rPr>
        <w:t>-</w:t>
      </w:r>
      <w:r w:rsidRPr="008821B0">
        <w:rPr>
          <w:rFonts w:ascii="Calibri" w:eastAsia="Times New Roman" w:hAnsi="Calibri" w:cs="Calibri"/>
          <w:color w:val="000000"/>
          <w:lang w:eastAsia="en-GB"/>
        </w:rPr>
        <w:t>and</w:t>
      </w:r>
      <w:r>
        <w:rPr>
          <w:rFonts w:ascii="Calibri" w:eastAsia="Times New Roman" w:hAnsi="Calibri" w:cs="Calibri"/>
          <w:color w:val="000000"/>
          <w:lang w:eastAsia="en-GB"/>
        </w:rPr>
        <w:t>-</w:t>
      </w:r>
      <w:r w:rsidRPr="008821B0">
        <w:rPr>
          <w:rFonts w:ascii="Calibri" w:eastAsia="Times New Roman" w:hAnsi="Calibri" w:cs="Calibri"/>
          <w:color w:val="000000"/>
          <w:lang w:eastAsia="en-GB"/>
        </w:rPr>
        <w:t>Wash Facility in Jalalabad</w:t>
      </w:r>
      <w:r>
        <w:rPr>
          <w:rFonts w:ascii="Calibri" w:eastAsia="Times New Roman" w:hAnsi="Calibri" w:cs="Calibri"/>
          <w:color w:val="000000"/>
          <w:lang w:eastAsia="en-GB"/>
        </w:rPr>
        <w:t>, and</w:t>
      </w:r>
      <w:r>
        <w:rPr>
          <w:rFonts w:ascii="Calibri" w:eastAsia="Times New Roman" w:hAnsi="Calibri" w:cs="Calibri"/>
          <w:lang w:eastAsia="de-DE"/>
        </w:rPr>
        <w:t xml:space="preserve"> improving its c</w:t>
      </w:r>
      <w:r w:rsidRPr="008821B0">
        <w:rPr>
          <w:rFonts w:ascii="Calibri" w:eastAsia="Times New Roman" w:hAnsi="Calibri" w:cs="Calibri"/>
          <w:color w:val="000000"/>
          <w:lang w:eastAsia="en-GB"/>
        </w:rPr>
        <w:t>ommunication</w:t>
      </w:r>
      <w:r>
        <w:rPr>
          <w:rFonts w:ascii="Calibri" w:eastAsia="Times New Roman" w:hAnsi="Calibri" w:cs="Calibri"/>
          <w:color w:val="000000"/>
          <w:lang w:eastAsia="en-GB"/>
        </w:rPr>
        <w:t xml:space="preserve"> outreach.  A wider use </w:t>
      </w:r>
      <w:r w:rsidRPr="008821B0">
        <w:rPr>
          <w:rFonts w:ascii="Calibri" w:eastAsia="Times New Roman" w:hAnsi="Calibri" w:cs="Calibri"/>
          <w:color w:val="000000"/>
          <w:lang w:eastAsia="en-GB"/>
        </w:rPr>
        <w:t xml:space="preserve">of natural dyes </w:t>
      </w:r>
      <w:r>
        <w:rPr>
          <w:rFonts w:ascii="Calibri" w:eastAsia="Times New Roman" w:hAnsi="Calibri" w:cs="Calibri"/>
          <w:color w:val="000000"/>
          <w:lang w:eastAsia="en-GB"/>
        </w:rPr>
        <w:t xml:space="preserve">would </w:t>
      </w:r>
      <w:r w:rsidRPr="008821B0">
        <w:rPr>
          <w:rFonts w:ascii="Calibri" w:eastAsia="Times New Roman" w:hAnsi="Calibri" w:cs="Calibri"/>
          <w:color w:val="000000"/>
          <w:lang w:eastAsia="en-GB"/>
        </w:rPr>
        <w:t>lesse</w:t>
      </w:r>
      <w:r>
        <w:rPr>
          <w:rFonts w:ascii="Calibri" w:eastAsia="Times New Roman" w:hAnsi="Calibri" w:cs="Calibri"/>
          <w:color w:val="000000"/>
          <w:lang w:eastAsia="en-GB"/>
        </w:rPr>
        <w:t xml:space="preserve">n the </w:t>
      </w:r>
      <w:r w:rsidRPr="008821B0">
        <w:rPr>
          <w:rFonts w:ascii="Calibri" w:eastAsia="Times New Roman" w:hAnsi="Calibri" w:cs="Calibri"/>
          <w:color w:val="000000"/>
          <w:lang w:eastAsia="en-GB"/>
        </w:rPr>
        <w:t>environmental impact</w:t>
      </w:r>
      <w:r>
        <w:rPr>
          <w:rFonts w:ascii="Calibri" w:eastAsia="Times New Roman" w:hAnsi="Calibri" w:cs="Calibri"/>
          <w:color w:val="000000"/>
          <w:lang w:eastAsia="en-GB"/>
        </w:rPr>
        <w:t xml:space="preserve"> and move the sector closer to achieving </w:t>
      </w:r>
      <w:r w:rsidRPr="008821B0">
        <w:rPr>
          <w:rFonts w:ascii="Calibri" w:eastAsia="Times New Roman" w:hAnsi="Calibri" w:cs="Calibri"/>
          <w:color w:val="000000"/>
          <w:lang w:eastAsia="en-GB"/>
        </w:rPr>
        <w:t>green certification</w:t>
      </w:r>
      <w:r>
        <w:rPr>
          <w:rFonts w:ascii="Calibri" w:eastAsia="Times New Roman" w:hAnsi="Calibri" w:cs="Calibri"/>
          <w:color w:val="000000"/>
          <w:lang w:eastAsia="en-GB"/>
        </w:rPr>
        <w:t xml:space="preserve">.  </w:t>
      </w:r>
    </w:p>
    <w:p w:rsidR="00FA1FE1" w:rsidRDefault="00FA1FE1" w:rsidP="00FA1FE1">
      <w:pPr>
        <w:autoSpaceDE w:val="0"/>
        <w:autoSpaceDN w:val="0"/>
        <w:adjustRightInd w:val="0"/>
        <w:spacing w:after="0"/>
        <w:rPr>
          <w:rFonts w:ascii="Calibri" w:eastAsia="Times New Roman" w:hAnsi="Calibri" w:cs="Calibri"/>
          <w:color w:val="000000"/>
          <w:lang w:eastAsia="de-DE"/>
        </w:rPr>
      </w:pPr>
      <w:r w:rsidRPr="002C1CCB">
        <w:rPr>
          <w:rFonts w:ascii="Calibri" w:eastAsia="Times New Roman" w:hAnsi="Calibri" w:cs="Calibri"/>
          <w:b/>
          <w:color w:val="000000"/>
          <w:lang w:eastAsia="de-DE"/>
        </w:rPr>
        <w:t xml:space="preserve">The Kabul Carpet Association </w:t>
      </w:r>
      <w:r>
        <w:rPr>
          <w:rFonts w:ascii="Calibri" w:eastAsia="Times New Roman" w:hAnsi="Calibri" w:cs="Calibri"/>
          <w:b/>
          <w:color w:val="000000"/>
          <w:lang w:eastAsia="de-DE"/>
        </w:rPr>
        <w:t>(KCA) has begun</w:t>
      </w:r>
      <w:r w:rsidRPr="002C1CCB">
        <w:rPr>
          <w:rFonts w:ascii="Calibri" w:eastAsia="Times New Roman" w:hAnsi="Calibri" w:cs="Calibri"/>
          <w:b/>
          <w:color w:val="000000"/>
          <w:lang w:eastAsia="de-DE"/>
        </w:rPr>
        <w:t xml:space="preserve"> exporting to new markets </w:t>
      </w:r>
      <w:r>
        <w:rPr>
          <w:rFonts w:ascii="Calibri" w:eastAsia="Times New Roman" w:hAnsi="Calibri" w:cs="Calibri"/>
          <w:b/>
          <w:color w:val="000000"/>
          <w:lang w:eastAsia="de-DE"/>
        </w:rPr>
        <w:t>such as</w:t>
      </w:r>
      <w:r w:rsidRPr="002C1CCB">
        <w:rPr>
          <w:rFonts w:ascii="Calibri" w:eastAsia="Times New Roman" w:hAnsi="Calibri" w:cs="Calibri"/>
          <w:b/>
          <w:color w:val="000000"/>
          <w:lang w:eastAsia="de-DE"/>
        </w:rPr>
        <w:t xml:space="preserve"> Russia</w:t>
      </w:r>
      <w:r>
        <w:rPr>
          <w:rFonts w:ascii="Calibri" w:eastAsia="Times New Roman" w:hAnsi="Calibri" w:cs="Calibri"/>
          <w:b/>
          <w:color w:val="000000"/>
          <w:lang w:eastAsia="de-DE"/>
        </w:rPr>
        <w:t>,</w:t>
      </w:r>
      <w:r w:rsidRPr="002C1CCB">
        <w:rPr>
          <w:rFonts w:ascii="Calibri" w:eastAsia="Times New Roman" w:hAnsi="Calibri" w:cs="Calibri"/>
          <w:b/>
          <w:color w:val="000000"/>
          <w:lang w:eastAsia="de-DE"/>
        </w:rPr>
        <w:t xml:space="preserve"> and has established a showroom in </w:t>
      </w:r>
      <w:r>
        <w:rPr>
          <w:rFonts w:ascii="Calibri" w:eastAsia="Times New Roman" w:hAnsi="Calibri" w:cs="Calibri"/>
          <w:b/>
          <w:color w:val="000000"/>
          <w:lang w:eastAsia="de-DE"/>
        </w:rPr>
        <w:t>the</w:t>
      </w:r>
      <w:r w:rsidRPr="002C1CCB">
        <w:rPr>
          <w:rFonts w:ascii="Calibri" w:eastAsia="Times New Roman" w:hAnsi="Calibri" w:cs="Calibri"/>
          <w:b/>
          <w:color w:val="000000"/>
          <w:lang w:eastAsia="de-DE"/>
        </w:rPr>
        <w:t xml:space="preserve"> Istanbul Free Zone. </w:t>
      </w:r>
      <w:r w:rsidRPr="008821B0">
        <w:rPr>
          <w:rFonts w:ascii="Calibri" w:eastAsia="Times New Roman" w:hAnsi="Calibri" w:cs="Calibri"/>
          <w:color w:val="000000"/>
          <w:lang w:eastAsia="de-DE"/>
        </w:rPr>
        <w:t>Members of the KCA have establish</w:t>
      </w:r>
      <w:r>
        <w:rPr>
          <w:rFonts w:ascii="Calibri" w:eastAsia="Times New Roman" w:hAnsi="Calibri" w:cs="Calibri"/>
          <w:color w:val="000000"/>
          <w:lang w:eastAsia="de-DE"/>
        </w:rPr>
        <w:t>ed</w:t>
      </w:r>
      <w:r w:rsidRPr="008821B0">
        <w:rPr>
          <w:rFonts w:ascii="Calibri" w:eastAsia="Times New Roman" w:hAnsi="Calibri" w:cs="Calibri"/>
          <w:color w:val="000000"/>
          <w:lang w:eastAsia="de-DE"/>
        </w:rPr>
        <w:t xml:space="preserve"> </w:t>
      </w:r>
      <w:r>
        <w:rPr>
          <w:rFonts w:ascii="Calibri" w:eastAsia="Times New Roman" w:hAnsi="Calibri" w:cs="Calibri"/>
          <w:color w:val="000000"/>
          <w:lang w:eastAsia="de-DE"/>
        </w:rPr>
        <w:t xml:space="preserve">investment </w:t>
      </w:r>
      <w:r w:rsidRPr="008821B0">
        <w:rPr>
          <w:rFonts w:ascii="Calibri" w:eastAsia="Times New Roman" w:hAnsi="Calibri" w:cs="Calibri"/>
          <w:color w:val="000000"/>
          <w:lang w:eastAsia="de-DE"/>
        </w:rPr>
        <w:t xml:space="preserve">groups </w:t>
      </w:r>
      <w:r>
        <w:rPr>
          <w:rFonts w:ascii="Calibri" w:eastAsia="Times New Roman" w:hAnsi="Calibri" w:cs="Calibri"/>
          <w:color w:val="000000"/>
          <w:lang w:eastAsia="de-DE"/>
        </w:rPr>
        <w:t>and</w:t>
      </w:r>
      <w:r w:rsidRPr="008821B0">
        <w:rPr>
          <w:rFonts w:ascii="Calibri" w:eastAsia="Times New Roman" w:hAnsi="Calibri" w:cs="Calibri"/>
          <w:color w:val="000000"/>
          <w:lang w:eastAsia="de-DE"/>
        </w:rPr>
        <w:t xml:space="preserve"> </w:t>
      </w:r>
      <w:r>
        <w:rPr>
          <w:rFonts w:ascii="Calibri" w:eastAsia="Times New Roman" w:hAnsi="Calibri" w:cs="Calibri"/>
          <w:color w:val="000000"/>
          <w:lang w:eastAsia="de-DE"/>
        </w:rPr>
        <w:t>have launched</w:t>
      </w:r>
      <w:r w:rsidRPr="008821B0">
        <w:rPr>
          <w:rFonts w:ascii="Calibri" w:eastAsia="Times New Roman" w:hAnsi="Calibri" w:cs="Calibri"/>
          <w:color w:val="000000"/>
          <w:lang w:eastAsia="de-DE"/>
        </w:rPr>
        <w:t xml:space="preserve"> marketing efforts </w:t>
      </w:r>
      <w:r>
        <w:rPr>
          <w:rFonts w:ascii="Calibri" w:eastAsia="Times New Roman" w:hAnsi="Calibri" w:cs="Calibri"/>
          <w:color w:val="000000"/>
          <w:lang w:eastAsia="de-DE"/>
        </w:rPr>
        <w:t>in</w:t>
      </w:r>
      <w:r w:rsidRPr="008821B0">
        <w:rPr>
          <w:rFonts w:ascii="Calibri" w:eastAsia="Times New Roman" w:hAnsi="Calibri" w:cs="Calibri"/>
          <w:color w:val="000000"/>
          <w:lang w:eastAsia="de-DE"/>
        </w:rPr>
        <w:t xml:space="preserve"> Russia</w:t>
      </w:r>
      <w:r>
        <w:rPr>
          <w:rFonts w:ascii="Calibri" w:eastAsia="Times New Roman" w:hAnsi="Calibri" w:cs="Calibri"/>
          <w:color w:val="000000"/>
          <w:lang w:eastAsia="de-DE"/>
        </w:rPr>
        <w:t xml:space="preserve"> and</w:t>
      </w:r>
      <w:r w:rsidRPr="008821B0">
        <w:rPr>
          <w:rFonts w:ascii="Calibri" w:eastAsia="Times New Roman" w:hAnsi="Calibri" w:cs="Calibri"/>
          <w:color w:val="000000"/>
          <w:lang w:eastAsia="de-DE"/>
        </w:rPr>
        <w:t xml:space="preserve"> </w:t>
      </w:r>
      <w:r>
        <w:rPr>
          <w:rFonts w:ascii="Calibri" w:eastAsia="Times New Roman" w:hAnsi="Calibri" w:cs="Calibri"/>
          <w:color w:val="000000"/>
          <w:lang w:eastAsia="de-DE"/>
        </w:rPr>
        <w:t xml:space="preserve">countries of </w:t>
      </w:r>
      <w:r w:rsidRPr="008821B0">
        <w:rPr>
          <w:rFonts w:ascii="Calibri" w:eastAsia="Times New Roman" w:hAnsi="Calibri" w:cs="Calibri"/>
          <w:color w:val="000000"/>
          <w:lang w:eastAsia="de-DE"/>
        </w:rPr>
        <w:t xml:space="preserve">Africa. </w:t>
      </w:r>
      <w:r>
        <w:rPr>
          <w:rFonts w:ascii="Calibri" w:eastAsia="Times New Roman" w:hAnsi="Calibri" w:cs="Calibri"/>
          <w:color w:val="000000"/>
          <w:lang w:eastAsia="de-DE"/>
        </w:rPr>
        <w:t>The</w:t>
      </w:r>
      <w:r w:rsidRPr="008821B0">
        <w:rPr>
          <w:rFonts w:ascii="Calibri" w:eastAsia="Times New Roman" w:hAnsi="Calibri" w:cs="Calibri"/>
          <w:color w:val="000000"/>
          <w:lang w:eastAsia="de-DE"/>
        </w:rPr>
        <w:t xml:space="preserve"> Turkmen carpet business community </w:t>
      </w:r>
      <w:r>
        <w:rPr>
          <w:rFonts w:ascii="Calibri" w:eastAsia="Times New Roman" w:hAnsi="Calibri" w:cs="Calibri"/>
          <w:color w:val="000000"/>
          <w:lang w:eastAsia="de-DE"/>
        </w:rPr>
        <w:t xml:space="preserve">has established </w:t>
      </w:r>
      <w:r w:rsidRPr="008821B0">
        <w:rPr>
          <w:rFonts w:ascii="Calibri" w:eastAsia="Times New Roman" w:hAnsi="Calibri" w:cs="Calibri"/>
          <w:color w:val="000000"/>
          <w:lang w:eastAsia="de-DE"/>
        </w:rPr>
        <w:t>the Afghan Carpet Federation with the goal of improving the enabling environment for carpet trader</w:t>
      </w:r>
      <w:r>
        <w:rPr>
          <w:rFonts w:ascii="Calibri" w:eastAsia="Times New Roman" w:hAnsi="Calibri" w:cs="Calibri"/>
          <w:color w:val="000000"/>
          <w:lang w:eastAsia="de-DE"/>
        </w:rPr>
        <w:t>s</w:t>
      </w:r>
      <w:r w:rsidRPr="008821B0">
        <w:rPr>
          <w:rFonts w:ascii="Calibri" w:eastAsia="Times New Roman" w:hAnsi="Calibri" w:cs="Calibri"/>
          <w:color w:val="000000"/>
          <w:lang w:eastAsia="de-DE"/>
        </w:rPr>
        <w:t xml:space="preserve"> in Afghanistan</w:t>
      </w:r>
      <w:r>
        <w:rPr>
          <w:rFonts w:ascii="Calibri" w:eastAsia="Times New Roman" w:hAnsi="Calibri" w:cs="Calibri"/>
          <w:color w:val="000000"/>
          <w:lang w:eastAsia="de-DE"/>
        </w:rPr>
        <w:t>,</w:t>
      </w:r>
      <w:r w:rsidRPr="008821B0">
        <w:rPr>
          <w:rFonts w:ascii="Calibri" w:eastAsia="Times New Roman" w:hAnsi="Calibri" w:cs="Calibri"/>
          <w:color w:val="000000"/>
          <w:lang w:eastAsia="de-DE"/>
        </w:rPr>
        <w:t xml:space="preserve"> opened in a Free Zone a show room in Dubai.</w:t>
      </w:r>
    </w:p>
    <w:p w:rsidR="00FA1FE1" w:rsidRPr="008821B0" w:rsidRDefault="00FA1FE1" w:rsidP="00FA1FE1">
      <w:pPr>
        <w:autoSpaceDE w:val="0"/>
        <w:autoSpaceDN w:val="0"/>
        <w:adjustRightInd w:val="0"/>
        <w:spacing w:after="0"/>
        <w:rPr>
          <w:rFonts w:ascii="Calibri" w:eastAsia="Times New Roman" w:hAnsi="Calibri" w:cs="Calibri"/>
          <w:color w:val="000000"/>
          <w:lang w:eastAsia="de-DE"/>
        </w:rPr>
      </w:pPr>
    </w:p>
    <w:p w:rsidR="00FA1FE1" w:rsidRPr="007F43F6" w:rsidRDefault="00FA1FE1" w:rsidP="00FA1FE1">
      <w:pPr>
        <w:rPr>
          <w:rFonts w:eastAsiaTheme="majorEastAsia" w:cstheme="majorBidi"/>
          <w:b/>
          <w:bCs/>
          <w:i/>
          <w:iCs/>
          <w:color w:val="410082" w:themeColor="text1"/>
          <w:sz w:val="20"/>
        </w:rPr>
      </w:pPr>
      <w:r w:rsidRPr="007F43F6">
        <w:rPr>
          <w:rFonts w:eastAsiaTheme="majorEastAsia" w:cstheme="majorBidi"/>
          <w:b/>
          <w:bCs/>
          <w:i/>
          <w:iCs/>
          <w:color w:val="410082" w:themeColor="text1"/>
          <w:sz w:val="20"/>
        </w:rPr>
        <w:t>Sector Challenges</w:t>
      </w:r>
    </w:p>
    <w:p w:rsidR="00FA1FE1" w:rsidRDefault="00FA1FE1" w:rsidP="00FA1FE1">
      <w:pPr>
        <w:autoSpaceDE w:val="0"/>
        <w:autoSpaceDN w:val="0"/>
        <w:adjustRightInd w:val="0"/>
        <w:spacing w:after="240"/>
        <w:rPr>
          <w:rFonts w:ascii="Calibri" w:eastAsia="Times New Roman" w:hAnsi="Calibri" w:cs="Calibri"/>
          <w:lang w:eastAsia="de-DE"/>
        </w:rPr>
      </w:pPr>
      <w:r>
        <w:rPr>
          <w:rFonts w:ascii="Calibri" w:eastAsia="Times New Roman" w:hAnsi="Calibri" w:cs="Calibri"/>
          <w:b/>
          <w:lang w:eastAsia="de-DE"/>
        </w:rPr>
        <w:t xml:space="preserve">Inadequate access to finance is constraining Afghan carpet traders. </w:t>
      </w:r>
      <w:r w:rsidRPr="00F95C28">
        <w:rPr>
          <w:rFonts w:ascii="Calibri" w:eastAsia="Times New Roman" w:hAnsi="Calibri" w:cs="Calibri"/>
          <w:lang w:eastAsia="de-DE"/>
        </w:rPr>
        <w:t>Pakistan</w:t>
      </w:r>
      <w:r>
        <w:rPr>
          <w:rFonts w:ascii="Calibri" w:eastAsia="Times New Roman" w:hAnsi="Calibri" w:cs="Calibri"/>
          <w:lang w:eastAsia="de-DE"/>
        </w:rPr>
        <w:t>i</w:t>
      </w:r>
      <w:r w:rsidRPr="00F95C28">
        <w:rPr>
          <w:rFonts w:ascii="Calibri" w:eastAsia="Times New Roman" w:hAnsi="Calibri" w:cs="Calibri"/>
          <w:lang w:eastAsia="de-DE"/>
        </w:rPr>
        <w:t xml:space="preserve"> </w:t>
      </w:r>
      <w:r>
        <w:rPr>
          <w:rFonts w:ascii="Calibri" w:eastAsia="Times New Roman" w:hAnsi="Calibri" w:cs="Calibri"/>
          <w:lang w:eastAsia="de-DE"/>
        </w:rPr>
        <w:t>carpet traders are more competitive largely because they receive government support in the form of</w:t>
      </w:r>
      <w:r w:rsidRPr="00F95C28">
        <w:rPr>
          <w:rFonts w:ascii="Calibri" w:eastAsia="Times New Roman" w:hAnsi="Calibri" w:cs="Calibri"/>
          <w:lang w:eastAsia="de-DE"/>
        </w:rPr>
        <w:t xml:space="preserve"> initiatives </w:t>
      </w:r>
      <w:r>
        <w:rPr>
          <w:rFonts w:ascii="Calibri" w:eastAsia="Times New Roman" w:hAnsi="Calibri" w:cs="Calibri"/>
          <w:lang w:eastAsia="de-DE"/>
        </w:rPr>
        <w:t>such as</w:t>
      </w:r>
      <w:r w:rsidRPr="00F95C28">
        <w:rPr>
          <w:rFonts w:ascii="Calibri" w:eastAsia="Times New Roman" w:hAnsi="Calibri" w:cs="Calibri"/>
          <w:lang w:eastAsia="de-DE"/>
        </w:rPr>
        <w:t xml:space="preserve"> long</w:t>
      </w:r>
      <w:r>
        <w:rPr>
          <w:rFonts w:ascii="Calibri" w:eastAsia="Times New Roman" w:hAnsi="Calibri" w:cs="Calibri"/>
          <w:lang w:eastAsia="de-DE"/>
        </w:rPr>
        <w:t>-</w:t>
      </w:r>
      <w:r w:rsidRPr="00F95C28">
        <w:rPr>
          <w:rFonts w:ascii="Calibri" w:eastAsia="Times New Roman" w:hAnsi="Calibri" w:cs="Calibri"/>
          <w:lang w:eastAsia="de-DE"/>
        </w:rPr>
        <w:t>term financing of export</w:t>
      </w:r>
      <w:r>
        <w:rPr>
          <w:rFonts w:ascii="Calibri" w:eastAsia="Times New Roman" w:hAnsi="Calibri" w:cs="Calibri"/>
          <w:lang w:eastAsia="de-DE"/>
        </w:rPr>
        <w:t>s</w:t>
      </w:r>
      <w:r w:rsidRPr="00F95C28">
        <w:rPr>
          <w:rFonts w:ascii="Calibri" w:eastAsia="Times New Roman" w:hAnsi="Calibri" w:cs="Calibri"/>
          <w:lang w:eastAsia="de-DE"/>
        </w:rPr>
        <w:t xml:space="preserve">, freight subsidies, </w:t>
      </w:r>
      <w:r w:rsidRPr="001D1F5F">
        <w:rPr>
          <w:rFonts w:ascii="Calibri" w:eastAsia="Times New Roman" w:hAnsi="Calibri" w:cs="Calibri"/>
          <w:lang w:eastAsia="de-DE"/>
        </w:rPr>
        <w:t xml:space="preserve">sales tax facilitation </w:t>
      </w:r>
      <w:r>
        <w:rPr>
          <w:rFonts w:ascii="Calibri" w:eastAsia="Times New Roman" w:hAnsi="Calibri" w:cs="Calibri"/>
          <w:lang w:eastAsia="de-DE"/>
        </w:rPr>
        <w:t xml:space="preserve">and export </w:t>
      </w:r>
      <w:r w:rsidRPr="001D1F5F">
        <w:rPr>
          <w:rFonts w:ascii="Calibri" w:eastAsia="Times New Roman" w:hAnsi="Calibri" w:cs="Calibri"/>
          <w:lang w:eastAsia="de-DE"/>
        </w:rPr>
        <w:t>incentives</w:t>
      </w:r>
      <w:r>
        <w:rPr>
          <w:rFonts w:ascii="Calibri" w:eastAsia="Times New Roman" w:hAnsi="Calibri" w:cs="Calibri"/>
          <w:lang w:eastAsia="de-DE"/>
        </w:rPr>
        <w:t xml:space="preserve">. As a result, Pakistani traders are able to offer international trading partners better long-term finance deals, such as after-sale payment deferrals for up to 12 months.  </w:t>
      </w:r>
    </w:p>
    <w:p w:rsidR="00FA1FE1" w:rsidRDefault="00FA1FE1" w:rsidP="00FA1FE1">
      <w:pPr>
        <w:rPr>
          <w:rFonts w:ascii="Calibri" w:eastAsia="Times New Roman" w:hAnsi="Calibri" w:cs="Calibri"/>
          <w:lang w:eastAsia="de-DE"/>
        </w:rPr>
      </w:pPr>
      <w:r>
        <w:rPr>
          <w:rFonts w:ascii="Calibri" w:eastAsia="Times New Roman" w:hAnsi="Calibri" w:cs="Calibri"/>
          <w:b/>
          <w:lang w:eastAsia="de-DE"/>
        </w:rPr>
        <w:t>S</w:t>
      </w:r>
      <w:r w:rsidRPr="00AE057E">
        <w:rPr>
          <w:rFonts w:ascii="Calibri" w:eastAsia="Times New Roman" w:hAnsi="Calibri" w:cs="Calibri"/>
          <w:b/>
          <w:lang w:eastAsia="de-DE"/>
        </w:rPr>
        <w:t>trengthening the cut</w:t>
      </w:r>
      <w:r>
        <w:rPr>
          <w:rFonts w:ascii="Calibri" w:eastAsia="Times New Roman" w:hAnsi="Calibri" w:cs="Calibri"/>
          <w:b/>
          <w:lang w:eastAsia="de-DE"/>
        </w:rPr>
        <w:t>-</w:t>
      </w:r>
      <w:r w:rsidRPr="00AE057E">
        <w:rPr>
          <w:rFonts w:ascii="Calibri" w:eastAsia="Times New Roman" w:hAnsi="Calibri" w:cs="Calibri"/>
          <w:b/>
          <w:lang w:eastAsia="de-DE"/>
        </w:rPr>
        <w:t>and</w:t>
      </w:r>
      <w:r>
        <w:rPr>
          <w:rFonts w:ascii="Calibri" w:eastAsia="Times New Roman" w:hAnsi="Calibri" w:cs="Calibri"/>
          <w:b/>
          <w:lang w:eastAsia="de-DE"/>
        </w:rPr>
        <w:t>-</w:t>
      </w:r>
      <w:r w:rsidRPr="00AE057E">
        <w:rPr>
          <w:rFonts w:ascii="Calibri" w:eastAsia="Times New Roman" w:hAnsi="Calibri" w:cs="Calibri"/>
          <w:b/>
          <w:lang w:eastAsia="de-DE"/>
        </w:rPr>
        <w:t>wash industry will increase profits and jobs</w:t>
      </w:r>
      <w:r w:rsidRPr="00AE057E">
        <w:rPr>
          <w:rFonts w:ascii="Calibri" w:eastAsia="Times New Roman" w:hAnsi="Calibri" w:cs="Calibri"/>
          <w:lang w:eastAsia="de-DE"/>
        </w:rPr>
        <w:t xml:space="preserve">.  </w:t>
      </w:r>
      <w:r>
        <w:rPr>
          <w:rFonts w:ascii="Calibri" w:eastAsia="Times New Roman" w:hAnsi="Calibri" w:cs="Calibri"/>
          <w:lang w:eastAsia="de-DE"/>
        </w:rPr>
        <w:t>Although, much</w:t>
      </w:r>
      <w:r w:rsidRPr="008821B0">
        <w:rPr>
          <w:rFonts w:ascii="Calibri" w:eastAsia="Times New Roman" w:hAnsi="Calibri" w:cs="Calibri"/>
          <w:color w:val="000000"/>
          <w:lang w:eastAsia="en-GB"/>
        </w:rPr>
        <w:t xml:space="preserve"> work has been done in th</w:t>
      </w:r>
      <w:r>
        <w:rPr>
          <w:rFonts w:ascii="Calibri" w:eastAsia="Times New Roman" w:hAnsi="Calibri" w:cs="Calibri"/>
          <w:color w:val="000000"/>
          <w:lang w:eastAsia="en-GB"/>
        </w:rPr>
        <w:t xml:space="preserve">is segment, such as the </w:t>
      </w:r>
      <w:r w:rsidRPr="008821B0">
        <w:rPr>
          <w:rFonts w:ascii="Calibri" w:eastAsia="Times New Roman" w:hAnsi="Calibri" w:cs="Calibri"/>
          <w:color w:val="000000"/>
          <w:lang w:eastAsia="en-GB"/>
        </w:rPr>
        <w:t>opening of the cut and wash facilities in Kabul, Mazar, Jalalabad and Herat</w:t>
      </w:r>
      <w:r>
        <w:rPr>
          <w:rFonts w:ascii="Calibri" w:eastAsia="Times New Roman" w:hAnsi="Calibri" w:cs="Calibri"/>
          <w:lang w:eastAsia="de-DE"/>
        </w:rPr>
        <w:t>, a</w:t>
      </w:r>
      <w:r w:rsidRPr="00AE057E">
        <w:rPr>
          <w:rFonts w:ascii="Calibri" w:eastAsia="Times New Roman" w:hAnsi="Calibri" w:cs="Calibri"/>
          <w:lang w:eastAsia="de-DE"/>
        </w:rPr>
        <w:t>pproximately 85-90</w:t>
      </w:r>
      <w:r>
        <w:rPr>
          <w:rFonts w:ascii="Calibri" w:eastAsia="Times New Roman" w:hAnsi="Calibri" w:cs="Calibri"/>
          <w:lang w:eastAsia="de-DE"/>
        </w:rPr>
        <w:t xml:space="preserve"> percent</w:t>
      </w:r>
      <w:r w:rsidRPr="00AE057E">
        <w:rPr>
          <w:rFonts w:ascii="Calibri" w:eastAsia="Times New Roman" w:hAnsi="Calibri" w:cs="Calibri"/>
          <w:lang w:eastAsia="de-DE"/>
        </w:rPr>
        <w:t xml:space="preserve"> of Afghan production </w:t>
      </w:r>
      <w:r>
        <w:rPr>
          <w:rFonts w:ascii="Calibri" w:eastAsia="Times New Roman" w:hAnsi="Calibri" w:cs="Calibri"/>
          <w:lang w:eastAsia="de-DE"/>
        </w:rPr>
        <w:t xml:space="preserve">still </w:t>
      </w:r>
      <w:r w:rsidRPr="00AE057E">
        <w:rPr>
          <w:rFonts w:ascii="Calibri" w:eastAsia="Times New Roman" w:hAnsi="Calibri" w:cs="Calibri"/>
          <w:lang w:eastAsia="de-DE"/>
        </w:rPr>
        <w:t xml:space="preserve">is exported to Pakistan where it is finished and re-exported as Pakistani carpets. This is mostly </w:t>
      </w:r>
      <w:r>
        <w:rPr>
          <w:rFonts w:ascii="Calibri" w:eastAsia="Times New Roman" w:hAnsi="Calibri" w:cs="Calibri"/>
          <w:lang w:eastAsia="de-DE"/>
        </w:rPr>
        <w:t>because</w:t>
      </w:r>
      <w:r w:rsidRPr="00AE057E">
        <w:rPr>
          <w:rFonts w:ascii="Calibri" w:eastAsia="Times New Roman" w:hAnsi="Calibri" w:cs="Calibri"/>
          <w:lang w:eastAsia="de-DE"/>
        </w:rPr>
        <w:t xml:space="preserve"> Pakistan</w:t>
      </w:r>
      <w:r>
        <w:rPr>
          <w:rFonts w:ascii="Calibri" w:eastAsia="Times New Roman" w:hAnsi="Calibri" w:cs="Calibri"/>
          <w:lang w:eastAsia="de-DE"/>
        </w:rPr>
        <w:t xml:space="preserve"> is more competitive, having </w:t>
      </w:r>
      <w:r w:rsidRPr="00AE057E">
        <w:rPr>
          <w:rFonts w:ascii="Calibri" w:eastAsia="Times New Roman" w:hAnsi="Calibri" w:cs="Calibri"/>
          <w:lang w:eastAsia="de-DE"/>
        </w:rPr>
        <w:t xml:space="preserve">access to </w:t>
      </w:r>
      <w:r>
        <w:rPr>
          <w:rFonts w:ascii="Calibri" w:eastAsia="Times New Roman" w:hAnsi="Calibri" w:cs="Calibri"/>
          <w:lang w:eastAsia="de-DE"/>
        </w:rPr>
        <w:t xml:space="preserve">cheaper </w:t>
      </w:r>
      <w:r w:rsidRPr="00AE057E">
        <w:rPr>
          <w:rFonts w:ascii="Calibri" w:eastAsia="Times New Roman" w:hAnsi="Calibri" w:cs="Calibri"/>
          <w:lang w:eastAsia="de-DE"/>
        </w:rPr>
        <w:t>chemicals</w:t>
      </w:r>
      <w:r>
        <w:rPr>
          <w:rFonts w:ascii="Calibri" w:eastAsia="Times New Roman" w:hAnsi="Calibri" w:cs="Calibri"/>
          <w:lang w:eastAsia="de-DE"/>
        </w:rPr>
        <w:t xml:space="preserve">, more </w:t>
      </w:r>
      <w:r w:rsidRPr="00AE057E">
        <w:rPr>
          <w:rFonts w:ascii="Calibri" w:eastAsia="Times New Roman" w:hAnsi="Calibri" w:cs="Calibri"/>
          <w:lang w:eastAsia="de-DE"/>
        </w:rPr>
        <w:t>cut</w:t>
      </w:r>
      <w:r>
        <w:rPr>
          <w:rFonts w:ascii="Calibri" w:eastAsia="Times New Roman" w:hAnsi="Calibri" w:cs="Calibri"/>
          <w:lang w:eastAsia="de-DE"/>
        </w:rPr>
        <w:t>-</w:t>
      </w:r>
      <w:r w:rsidRPr="00AE057E">
        <w:rPr>
          <w:rFonts w:ascii="Calibri" w:eastAsia="Times New Roman" w:hAnsi="Calibri" w:cs="Calibri"/>
          <w:lang w:eastAsia="de-DE"/>
        </w:rPr>
        <w:t>and</w:t>
      </w:r>
      <w:r>
        <w:rPr>
          <w:rFonts w:ascii="Calibri" w:eastAsia="Times New Roman" w:hAnsi="Calibri" w:cs="Calibri"/>
          <w:lang w:eastAsia="de-DE"/>
        </w:rPr>
        <w:t>-</w:t>
      </w:r>
      <w:r w:rsidRPr="00AE057E">
        <w:rPr>
          <w:rFonts w:ascii="Calibri" w:eastAsia="Times New Roman" w:hAnsi="Calibri" w:cs="Calibri"/>
          <w:lang w:eastAsia="de-DE"/>
        </w:rPr>
        <w:t xml:space="preserve">wash expertise, and a climate </w:t>
      </w:r>
      <w:r>
        <w:rPr>
          <w:rFonts w:ascii="Calibri" w:eastAsia="Times New Roman" w:hAnsi="Calibri" w:cs="Calibri"/>
          <w:lang w:eastAsia="de-DE"/>
        </w:rPr>
        <w:t xml:space="preserve">that enables </w:t>
      </w:r>
      <w:r w:rsidRPr="00AE057E">
        <w:rPr>
          <w:rFonts w:ascii="Calibri" w:eastAsia="Times New Roman" w:hAnsi="Calibri" w:cs="Calibri"/>
          <w:lang w:eastAsia="de-DE"/>
        </w:rPr>
        <w:t>year</w:t>
      </w:r>
      <w:r>
        <w:rPr>
          <w:rFonts w:ascii="Calibri" w:eastAsia="Times New Roman" w:hAnsi="Calibri" w:cs="Calibri"/>
          <w:lang w:eastAsia="de-DE"/>
        </w:rPr>
        <w:t>-</w:t>
      </w:r>
      <w:r w:rsidRPr="00AE057E">
        <w:rPr>
          <w:rFonts w:ascii="Calibri" w:eastAsia="Times New Roman" w:hAnsi="Calibri" w:cs="Calibri"/>
          <w:lang w:eastAsia="de-DE"/>
        </w:rPr>
        <w:t>round sun</w:t>
      </w:r>
      <w:r>
        <w:rPr>
          <w:rFonts w:ascii="Calibri" w:eastAsia="Times New Roman" w:hAnsi="Calibri" w:cs="Calibri"/>
          <w:lang w:eastAsia="de-DE"/>
        </w:rPr>
        <w:t xml:space="preserve"> </w:t>
      </w:r>
      <w:r w:rsidRPr="00AE057E">
        <w:rPr>
          <w:rFonts w:ascii="Calibri" w:eastAsia="Times New Roman" w:hAnsi="Calibri" w:cs="Calibri"/>
          <w:lang w:eastAsia="de-DE"/>
        </w:rPr>
        <w:t>drying</w:t>
      </w:r>
      <w:r>
        <w:rPr>
          <w:rFonts w:ascii="Calibri" w:eastAsia="Times New Roman" w:hAnsi="Calibri" w:cs="Calibri"/>
          <w:lang w:eastAsia="de-DE"/>
        </w:rPr>
        <w:t xml:space="preserve"> of</w:t>
      </w:r>
      <w:r w:rsidRPr="00AE057E">
        <w:rPr>
          <w:rFonts w:ascii="Calibri" w:eastAsia="Times New Roman" w:hAnsi="Calibri" w:cs="Calibri"/>
          <w:lang w:eastAsia="de-DE"/>
        </w:rPr>
        <w:t xml:space="preserve"> washed carpets. </w:t>
      </w:r>
      <w:r>
        <w:rPr>
          <w:rFonts w:ascii="Calibri" w:eastAsia="Times New Roman" w:hAnsi="Calibri" w:cs="Calibri"/>
          <w:lang w:eastAsia="de-DE"/>
        </w:rPr>
        <w:t>Nevertheless, there is room to expand Afghanistan’s</w:t>
      </w:r>
      <w:r w:rsidRPr="00AE057E">
        <w:rPr>
          <w:rFonts w:ascii="Calibri" w:eastAsia="Times New Roman" w:hAnsi="Calibri" w:cs="Calibri"/>
          <w:lang w:eastAsia="de-DE"/>
        </w:rPr>
        <w:t xml:space="preserve"> cut</w:t>
      </w:r>
      <w:r>
        <w:rPr>
          <w:rFonts w:ascii="Calibri" w:eastAsia="Times New Roman" w:hAnsi="Calibri" w:cs="Calibri"/>
          <w:lang w:eastAsia="de-DE"/>
        </w:rPr>
        <w:t>-</w:t>
      </w:r>
      <w:r w:rsidRPr="00AE057E">
        <w:rPr>
          <w:rFonts w:ascii="Calibri" w:eastAsia="Times New Roman" w:hAnsi="Calibri" w:cs="Calibri"/>
          <w:lang w:eastAsia="de-DE"/>
        </w:rPr>
        <w:t>and</w:t>
      </w:r>
      <w:r>
        <w:rPr>
          <w:rFonts w:ascii="Calibri" w:eastAsia="Times New Roman" w:hAnsi="Calibri" w:cs="Calibri"/>
          <w:lang w:eastAsia="de-DE"/>
        </w:rPr>
        <w:t>-</w:t>
      </w:r>
      <w:r w:rsidRPr="00AE057E">
        <w:rPr>
          <w:rFonts w:ascii="Calibri" w:eastAsia="Times New Roman" w:hAnsi="Calibri" w:cs="Calibri"/>
          <w:lang w:eastAsia="de-DE"/>
        </w:rPr>
        <w:t>wash</w:t>
      </w:r>
      <w:r>
        <w:rPr>
          <w:rFonts w:ascii="Calibri" w:eastAsia="Times New Roman" w:hAnsi="Calibri" w:cs="Calibri"/>
          <w:lang w:eastAsia="de-DE"/>
        </w:rPr>
        <w:t xml:space="preserve"> industry</w:t>
      </w:r>
      <w:r w:rsidRPr="00AE057E">
        <w:rPr>
          <w:rFonts w:ascii="Calibri" w:eastAsia="Times New Roman" w:hAnsi="Calibri" w:cs="Calibri"/>
          <w:lang w:eastAsia="de-DE"/>
        </w:rPr>
        <w:t xml:space="preserve"> </w:t>
      </w:r>
      <w:r>
        <w:rPr>
          <w:rFonts w:ascii="Calibri" w:eastAsia="Times New Roman" w:hAnsi="Calibri" w:cs="Calibri"/>
          <w:lang w:eastAsia="de-DE"/>
        </w:rPr>
        <w:t>in order to add</w:t>
      </w:r>
      <w:r w:rsidRPr="00AE057E">
        <w:rPr>
          <w:rFonts w:ascii="Calibri" w:eastAsia="Times New Roman" w:hAnsi="Calibri" w:cs="Calibri"/>
          <w:lang w:eastAsia="de-DE"/>
        </w:rPr>
        <w:t xml:space="preserve"> value</w:t>
      </w:r>
      <w:r>
        <w:rPr>
          <w:rFonts w:ascii="Calibri" w:eastAsia="Times New Roman" w:hAnsi="Calibri" w:cs="Calibri"/>
          <w:lang w:eastAsia="de-DE"/>
        </w:rPr>
        <w:t>, and thus higher profits, to</w:t>
      </w:r>
      <w:r w:rsidRPr="00AE057E">
        <w:rPr>
          <w:rFonts w:ascii="Calibri" w:eastAsia="Times New Roman" w:hAnsi="Calibri" w:cs="Calibri"/>
          <w:lang w:eastAsia="de-DE"/>
        </w:rPr>
        <w:t xml:space="preserve"> carpet exports. USAID estimates suggest that </w:t>
      </w:r>
      <w:r>
        <w:rPr>
          <w:rFonts w:ascii="Calibri" w:eastAsia="Times New Roman" w:hAnsi="Calibri" w:cs="Calibri"/>
          <w:lang w:eastAsia="de-DE"/>
        </w:rPr>
        <w:t xml:space="preserve">improved carpet </w:t>
      </w:r>
      <w:r w:rsidRPr="00AE057E">
        <w:rPr>
          <w:rFonts w:ascii="Calibri" w:eastAsia="Times New Roman" w:hAnsi="Calibri" w:cs="Calibri"/>
          <w:lang w:eastAsia="de-DE"/>
        </w:rPr>
        <w:t>finishing</w:t>
      </w:r>
      <w:r>
        <w:rPr>
          <w:rFonts w:ascii="Calibri" w:eastAsia="Times New Roman" w:hAnsi="Calibri" w:cs="Calibri"/>
          <w:lang w:eastAsia="de-DE"/>
        </w:rPr>
        <w:t xml:space="preserve"> (cut-and-wash)</w:t>
      </w:r>
      <w:r w:rsidRPr="00AE057E">
        <w:rPr>
          <w:rFonts w:ascii="Calibri" w:eastAsia="Times New Roman" w:hAnsi="Calibri" w:cs="Calibri"/>
          <w:lang w:eastAsia="de-DE"/>
        </w:rPr>
        <w:t xml:space="preserve"> and trading </w:t>
      </w:r>
      <w:r>
        <w:rPr>
          <w:rFonts w:ascii="Calibri" w:eastAsia="Times New Roman" w:hAnsi="Calibri" w:cs="Calibri"/>
          <w:lang w:eastAsia="de-DE"/>
        </w:rPr>
        <w:t>in</w:t>
      </w:r>
      <w:r w:rsidRPr="00AE057E">
        <w:rPr>
          <w:rFonts w:ascii="Calibri" w:eastAsia="Times New Roman" w:hAnsi="Calibri" w:cs="Calibri"/>
          <w:lang w:eastAsia="de-DE"/>
        </w:rPr>
        <w:t xml:space="preserve"> Afghanistan </w:t>
      </w:r>
      <w:r>
        <w:rPr>
          <w:rFonts w:ascii="Calibri" w:eastAsia="Times New Roman" w:hAnsi="Calibri" w:cs="Calibri"/>
          <w:lang w:eastAsia="de-DE"/>
        </w:rPr>
        <w:t>c</w:t>
      </w:r>
      <w:r w:rsidRPr="00AE057E">
        <w:rPr>
          <w:rFonts w:ascii="Calibri" w:eastAsia="Times New Roman" w:hAnsi="Calibri" w:cs="Calibri"/>
          <w:lang w:eastAsia="de-DE"/>
        </w:rPr>
        <w:t xml:space="preserve">ould </w:t>
      </w:r>
      <w:r>
        <w:rPr>
          <w:rFonts w:ascii="Calibri" w:eastAsia="Times New Roman" w:hAnsi="Calibri" w:cs="Calibri"/>
          <w:lang w:eastAsia="de-DE"/>
        </w:rPr>
        <w:t>create about</w:t>
      </w:r>
      <w:r w:rsidRPr="00AE057E">
        <w:rPr>
          <w:rFonts w:ascii="Calibri" w:eastAsia="Times New Roman" w:hAnsi="Calibri" w:cs="Calibri"/>
          <w:lang w:eastAsia="de-DE"/>
        </w:rPr>
        <w:t xml:space="preserve"> 7</w:t>
      </w:r>
      <w:r>
        <w:rPr>
          <w:rFonts w:ascii="Calibri" w:eastAsia="Times New Roman" w:hAnsi="Calibri" w:cs="Calibri"/>
          <w:lang w:eastAsia="de-DE"/>
        </w:rPr>
        <w:t>,</w:t>
      </w:r>
      <w:r w:rsidRPr="00AE057E">
        <w:rPr>
          <w:rFonts w:ascii="Calibri" w:eastAsia="Times New Roman" w:hAnsi="Calibri" w:cs="Calibri"/>
          <w:lang w:eastAsia="de-DE"/>
        </w:rPr>
        <w:t>000 jobs</w:t>
      </w:r>
      <w:r>
        <w:rPr>
          <w:rFonts w:ascii="Calibri" w:eastAsia="Times New Roman" w:hAnsi="Calibri" w:cs="Calibri"/>
          <w:lang w:eastAsia="de-DE"/>
        </w:rPr>
        <w:t>.</w:t>
      </w:r>
      <w:r w:rsidRPr="0045465A">
        <w:rPr>
          <w:rStyle w:val="FootnoteReference"/>
        </w:rPr>
        <w:footnoteReference w:id="51"/>
      </w:r>
    </w:p>
    <w:p w:rsidR="00FA1FE1" w:rsidRPr="00AE057E" w:rsidRDefault="00FA1FE1" w:rsidP="00FA1FE1">
      <w:pPr>
        <w:autoSpaceDE w:val="0"/>
        <w:autoSpaceDN w:val="0"/>
        <w:adjustRightInd w:val="0"/>
        <w:spacing w:after="0"/>
        <w:rPr>
          <w:rFonts w:ascii="Calibri" w:eastAsia="Times New Roman" w:hAnsi="Calibri" w:cs="Calibri"/>
          <w:lang w:eastAsia="de-DE"/>
        </w:rPr>
      </w:pPr>
      <w:r>
        <w:rPr>
          <w:rFonts w:ascii="Calibri" w:eastAsia="Times New Roman" w:hAnsi="Calibri" w:cs="Calibri"/>
          <w:b/>
          <w:lang w:eastAsia="de-DE"/>
        </w:rPr>
        <w:t>Improved t</w:t>
      </w:r>
      <w:r w:rsidRPr="00AE057E">
        <w:rPr>
          <w:rFonts w:ascii="Calibri" w:eastAsia="Times New Roman" w:hAnsi="Calibri" w:cs="Calibri"/>
          <w:b/>
          <w:lang w:eastAsia="de-DE"/>
        </w:rPr>
        <w:t>rad</w:t>
      </w:r>
      <w:r>
        <w:rPr>
          <w:rFonts w:ascii="Calibri" w:eastAsia="Times New Roman" w:hAnsi="Calibri" w:cs="Calibri"/>
          <w:b/>
          <w:lang w:eastAsia="de-DE"/>
        </w:rPr>
        <w:t>e</w:t>
      </w:r>
      <w:r w:rsidRPr="00AE057E">
        <w:rPr>
          <w:rFonts w:ascii="Calibri" w:eastAsia="Times New Roman" w:hAnsi="Calibri" w:cs="Calibri"/>
          <w:b/>
          <w:lang w:eastAsia="de-DE"/>
        </w:rPr>
        <w:t xml:space="preserve"> and marketing will strengthen the “Made in Afghanistan” label and ensure a premium in international markets</w:t>
      </w:r>
      <w:r w:rsidRPr="00AE057E">
        <w:rPr>
          <w:rFonts w:ascii="Calibri" w:eastAsia="Times New Roman" w:hAnsi="Calibri" w:cs="Calibri"/>
          <w:lang w:eastAsia="de-DE"/>
        </w:rPr>
        <w:t xml:space="preserve">. Traders have to invest in marketing in order to </w:t>
      </w:r>
      <w:r>
        <w:rPr>
          <w:rFonts w:ascii="Calibri" w:eastAsia="Times New Roman" w:hAnsi="Calibri" w:cs="Calibri"/>
          <w:lang w:eastAsia="de-DE"/>
        </w:rPr>
        <w:t>enjoy</w:t>
      </w:r>
      <w:r w:rsidRPr="00AE057E">
        <w:rPr>
          <w:rFonts w:ascii="Calibri" w:eastAsia="Times New Roman" w:hAnsi="Calibri" w:cs="Calibri"/>
          <w:lang w:eastAsia="de-DE"/>
        </w:rPr>
        <w:t xml:space="preserve"> the value of direct sales in end</w:t>
      </w:r>
      <w:r>
        <w:rPr>
          <w:rFonts w:ascii="Calibri" w:eastAsia="Times New Roman" w:hAnsi="Calibri" w:cs="Calibri"/>
          <w:lang w:eastAsia="de-DE"/>
        </w:rPr>
        <w:t>-</w:t>
      </w:r>
      <w:r w:rsidRPr="00AE057E">
        <w:rPr>
          <w:rFonts w:ascii="Calibri" w:eastAsia="Times New Roman" w:hAnsi="Calibri" w:cs="Calibri"/>
          <w:lang w:eastAsia="de-DE"/>
        </w:rPr>
        <w:t xml:space="preserve">markets and </w:t>
      </w:r>
      <w:r>
        <w:rPr>
          <w:rFonts w:ascii="Calibri" w:eastAsia="Times New Roman" w:hAnsi="Calibri" w:cs="Calibri"/>
          <w:lang w:eastAsia="de-DE"/>
        </w:rPr>
        <w:t xml:space="preserve">acquire </w:t>
      </w:r>
      <w:r w:rsidRPr="00AE057E">
        <w:rPr>
          <w:rFonts w:ascii="Calibri" w:eastAsia="Times New Roman" w:hAnsi="Calibri" w:cs="Calibri"/>
          <w:lang w:eastAsia="de-DE"/>
        </w:rPr>
        <w:t xml:space="preserve">the </w:t>
      </w:r>
      <w:r>
        <w:rPr>
          <w:rFonts w:ascii="Calibri" w:eastAsia="Times New Roman" w:hAnsi="Calibri" w:cs="Calibri"/>
          <w:lang w:eastAsia="de-DE"/>
        </w:rPr>
        <w:t xml:space="preserve">hands-on </w:t>
      </w:r>
      <w:r w:rsidRPr="00AE057E">
        <w:rPr>
          <w:rFonts w:ascii="Calibri" w:eastAsia="Times New Roman" w:hAnsi="Calibri" w:cs="Calibri"/>
          <w:lang w:eastAsia="de-DE"/>
        </w:rPr>
        <w:t xml:space="preserve">knowledge </w:t>
      </w:r>
      <w:r>
        <w:rPr>
          <w:rFonts w:ascii="Calibri" w:eastAsia="Times New Roman" w:hAnsi="Calibri" w:cs="Calibri"/>
          <w:lang w:eastAsia="de-DE"/>
        </w:rPr>
        <w:t>to be able to</w:t>
      </w:r>
      <w:r w:rsidRPr="00AE057E">
        <w:rPr>
          <w:rFonts w:ascii="Calibri" w:eastAsia="Times New Roman" w:hAnsi="Calibri" w:cs="Calibri"/>
          <w:lang w:eastAsia="de-DE"/>
        </w:rPr>
        <w:t xml:space="preserve"> </w:t>
      </w:r>
      <w:r>
        <w:rPr>
          <w:rFonts w:ascii="Calibri" w:eastAsia="Times New Roman" w:hAnsi="Calibri" w:cs="Calibri"/>
          <w:lang w:eastAsia="de-DE"/>
        </w:rPr>
        <w:t>keep abreast of</w:t>
      </w:r>
      <w:r w:rsidRPr="00AE057E">
        <w:rPr>
          <w:rFonts w:ascii="Calibri" w:eastAsia="Times New Roman" w:hAnsi="Calibri" w:cs="Calibri"/>
          <w:lang w:eastAsia="de-DE"/>
        </w:rPr>
        <w:t xml:space="preserve"> </w:t>
      </w:r>
      <w:r>
        <w:rPr>
          <w:rFonts w:ascii="Calibri" w:eastAsia="Times New Roman" w:hAnsi="Calibri" w:cs="Calibri"/>
          <w:lang w:eastAsia="de-DE"/>
        </w:rPr>
        <w:t>market</w:t>
      </w:r>
      <w:r w:rsidRPr="00AE057E">
        <w:rPr>
          <w:rFonts w:ascii="Calibri" w:eastAsia="Times New Roman" w:hAnsi="Calibri" w:cs="Calibri"/>
          <w:lang w:eastAsia="de-DE"/>
        </w:rPr>
        <w:t xml:space="preserve"> trends.  </w:t>
      </w:r>
    </w:p>
    <w:p w:rsidR="00FA1FE1" w:rsidRPr="00010C9A" w:rsidRDefault="00FA1FE1" w:rsidP="00FA1FE1">
      <w:pPr>
        <w:pStyle w:val="Heading3"/>
        <w:rPr>
          <w:rFonts w:eastAsia="Times New Roman"/>
          <w:lang w:eastAsia="de-DE"/>
        </w:rPr>
      </w:pPr>
      <w:bookmarkStart w:id="255" w:name="_Toc327208485"/>
      <w:bookmarkStart w:id="256" w:name="_Toc348451700"/>
      <w:r w:rsidRPr="00010C9A">
        <w:rPr>
          <w:rFonts w:eastAsia="Times New Roman"/>
          <w:lang w:eastAsia="de-DE"/>
        </w:rPr>
        <w:t>Opportunities and Recommendations</w:t>
      </w:r>
      <w:bookmarkEnd w:id="255"/>
      <w:bookmarkEnd w:id="256"/>
    </w:p>
    <w:p w:rsidR="00FA1FE1" w:rsidRPr="00803627" w:rsidRDefault="00FA1FE1" w:rsidP="00FA1FE1">
      <w:pPr>
        <w:spacing w:after="240"/>
        <w:rPr>
          <w:rFonts w:ascii="Calibri" w:eastAsia="Times New Roman" w:hAnsi="Calibri" w:cs="Calibri"/>
          <w:szCs w:val="22"/>
          <w:lang w:bidi="ar-SA"/>
        </w:rPr>
      </w:pPr>
      <w:r w:rsidRPr="00803627">
        <w:rPr>
          <w:rFonts w:ascii="Calibri" w:eastAsia="Times New Roman" w:hAnsi="Calibri" w:cs="Calibri"/>
          <w:b/>
          <w:szCs w:val="22"/>
          <w:lang w:bidi="ar-SA"/>
        </w:rPr>
        <w:t>Promote a</w:t>
      </w:r>
      <w:r>
        <w:rPr>
          <w:rFonts w:ascii="Calibri" w:eastAsia="Times New Roman" w:hAnsi="Calibri" w:cs="Calibri"/>
          <w:b/>
          <w:szCs w:val="22"/>
          <w:lang w:bidi="ar-SA"/>
        </w:rPr>
        <w:t xml:space="preserve">nd further develop the </w:t>
      </w:r>
      <w:r w:rsidRPr="00803627">
        <w:rPr>
          <w:rFonts w:ascii="Calibri" w:eastAsia="Times New Roman" w:hAnsi="Calibri" w:cs="Calibri"/>
          <w:b/>
          <w:szCs w:val="22"/>
          <w:lang w:bidi="ar-SA"/>
        </w:rPr>
        <w:t>domestic cut</w:t>
      </w:r>
      <w:r>
        <w:rPr>
          <w:rFonts w:ascii="Calibri" w:eastAsia="Times New Roman" w:hAnsi="Calibri" w:cs="Calibri"/>
          <w:b/>
          <w:szCs w:val="22"/>
          <w:lang w:bidi="ar-SA"/>
        </w:rPr>
        <w:t>-</w:t>
      </w:r>
      <w:r w:rsidRPr="00803627">
        <w:rPr>
          <w:rFonts w:ascii="Calibri" w:eastAsia="Times New Roman" w:hAnsi="Calibri" w:cs="Calibri"/>
          <w:b/>
          <w:szCs w:val="22"/>
          <w:lang w:bidi="ar-SA"/>
        </w:rPr>
        <w:t>and</w:t>
      </w:r>
      <w:r>
        <w:rPr>
          <w:rFonts w:ascii="Calibri" w:eastAsia="Times New Roman" w:hAnsi="Calibri" w:cs="Calibri"/>
          <w:b/>
          <w:szCs w:val="22"/>
          <w:lang w:bidi="ar-SA"/>
        </w:rPr>
        <w:t>-</w:t>
      </w:r>
      <w:r w:rsidRPr="00803627">
        <w:rPr>
          <w:rFonts w:ascii="Calibri" w:eastAsia="Times New Roman" w:hAnsi="Calibri" w:cs="Calibri"/>
          <w:b/>
          <w:szCs w:val="22"/>
          <w:lang w:bidi="ar-SA"/>
        </w:rPr>
        <w:t>wash industry</w:t>
      </w:r>
      <w:r w:rsidRPr="00803627">
        <w:rPr>
          <w:rFonts w:ascii="Calibri" w:eastAsia="Times New Roman" w:hAnsi="Calibri" w:cs="Calibri"/>
          <w:szCs w:val="22"/>
          <w:lang w:bidi="ar-SA"/>
        </w:rPr>
        <w:t xml:space="preserve">. </w:t>
      </w:r>
      <w:r>
        <w:rPr>
          <w:rFonts w:ascii="Calibri" w:eastAsia="Times New Roman" w:hAnsi="Calibri" w:cs="Calibri"/>
          <w:szCs w:val="22"/>
          <w:lang w:bidi="ar-SA"/>
        </w:rPr>
        <w:t>M</w:t>
      </w:r>
      <w:r w:rsidRPr="00803627">
        <w:rPr>
          <w:rFonts w:ascii="Calibri" w:eastAsia="Times New Roman" w:hAnsi="Calibri" w:cs="Calibri"/>
          <w:szCs w:val="22"/>
          <w:lang w:bidi="ar-SA"/>
        </w:rPr>
        <w:t xml:space="preserve">uch work has been done in this segment, </w:t>
      </w:r>
      <w:r>
        <w:rPr>
          <w:rFonts w:ascii="Calibri" w:eastAsia="Times New Roman" w:hAnsi="Calibri" w:cs="Calibri"/>
          <w:szCs w:val="22"/>
          <w:lang w:bidi="ar-SA"/>
        </w:rPr>
        <w:t>such as t</w:t>
      </w:r>
      <w:r w:rsidRPr="00803627">
        <w:rPr>
          <w:rFonts w:ascii="Calibri" w:eastAsia="Times New Roman" w:hAnsi="Calibri" w:cs="Calibri"/>
          <w:szCs w:val="22"/>
          <w:lang w:bidi="ar-SA"/>
        </w:rPr>
        <w:t xml:space="preserve">he opening of the facilities in Kabul, Mazar, Jalalabad and Herat, </w:t>
      </w:r>
      <w:r>
        <w:rPr>
          <w:rFonts w:ascii="Calibri" w:eastAsia="Times New Roman" w:hAnsi="Calibri" w:cs="Calibri"/>
          <w:szCs w:val="22"/>
          <w:lang w:bidi="ar-SA"/>
        </w:rPr>
        <w:t xml:space="preserve">but there is </w:t>
      </w:r>
      <w:r w:rsidRPr="00803627">
        <w:rPr>
          <w:rFonts w:ascii="Calibri" w:eastAsia="Times New Roman" w:hAnsi="Calibri" w:cs="Calibri"/>
          <w:szCs w:val="22"/>
          <w:lang w:bidi="ar-SA"/>
        </w:rPr>
        <w:t>much</w:t>
      </w:r>
      <w:r>
        <w:rPr>
          <w:rFonts w:ascii="Calibri" w:eastAsia="Times New Roman" w:hAnsi="Calibri" w:cs="Calibri"/>
          <w:szCs w:val="22"/>
          <w:lang w:bidi="ar-SA"/>
        </w:rPr>
        <w:t xml:space="preserve"> room for further investment that will add</w:t>
      </w:r>
      <w:r w:rsidRPr="00803627">
        <w:rPr>
          <w:rFonts w:ascii="Calibri" w:eastAsia="Times New Roman" w:hAnsi="Calibri" w:cs="Calibri"/>
          <w:szCs w:val="22"/>
          <w:lang w:bidi="ar-SA"/>
        </w:rPr>
        <w:t xml:space="preserve"> higher value </w:t>
      </w:r>
      <w:r>
        <w:rPr>
          <w:rFonts w:ascii="Calibri" w:eastAsia="Times New Roman" w:hAnsi="Calibri" w:cs="Calibri"/>
          <w:szCs w:val="22"/>
          <w:lang w:bidi="ar-SA"/>
        </w:rPr>
        <w:t>t</w:t>
      </w:r>
      <w:r w:rsidRPr="00803627">
        <w:rPr>
          <w:rFonts w:ascii="Calibri" w:eastAsia="Times New Roman" w:hAnsi="Calibri" w:cs="Calibri"/>
          <w:szCs w:val="22"/>
          <w:lang w:bidi="ar-SA"/>
        </w:rPr>
        <w:t xml:space="preserve">o carpet exports and profits. </w:t>
      </w:r>
      <w:r>
        <w:rPr>
          <w:rFonts w:ascii="Calibri" w:eastAsia="Times New Roman" w:hAnsi="Calibri" w:cs="Calibri"/>
          <w:szCs w:val="22"/>
          <w:lang w:bidi="ar-SA"/>
        </w:rPr>
        <w:t>The</w:t>
      </w:r>
      <w:r w:rsidRPr="00803627">
        <w:rPr>
          <w:rFonts w:ascii="Calibri" w:eastAsia="Times New Roman" w:hAnsi="Calibri" w:cs="Calibri"/>
          <w:szCs w:val="22"/>
          <w:lang w:bidi="ar-SA"/>
        </w:rPr>
        <w:t xml:space="preserve"> EPAA should</w:t>
      </w:r>
      <w:r>
        <w:rPr>
          <w:rFonts w:ascii="Calibri" w:eastAsia="Times New Roman" w:hAnsi="Calibri" w:cs="Calibri"/>
          <w:szCs w:val="22"/>
          <w:lang w:bidi="ar-SA"/>
        </w:rPr>
        <w:t xml:space="preserve"> play a leading role to</w:t>
      </w:r>
      <w:r w:rsidRPr="00803627">
        <w:rPr>
          <w:rFonts w:ascii="Calibri" w:eastAsia="Times New Roman" w:hAnsi="Calibri" w:cs="Calibri"/>
          <w:szCs w:val="22"/>
          <w:lang w:bidi="ar-SA"/>
        </w:rPr>
        <w:t xml:space="preserve"> leverage private investment </w:t>
      </w:r>
      <w:r>
        <w:rPr>
          <w:rFonts w:ascii="Calibri" w:eastAsia="Times New Roman" w:hAnsi="Calibri" w:cs="Calibri"/>
          <w:szCs w:val="22"/>
          <w:lang w:bidi="ar-SA"/>
        </w:rPr>
        <w:t>and</w:t>
      </w:r>
      <w:r w:rsidRPr="00803627">
        <w:rPr>
          <w:rFonts w:ascii="Calibri" w:eastAsia="Times New Roman" w:hAnsi="Calibri" w:cs="Calibri"/>
          <w:szCs w:val="22"/>
          <w:lang w:bidi="ar-SA"/>
        </w:rPr>
        <w:t xml:space="preserve"> support</w:t>
      </w:r>
      <w:r>
        <w:rPr>
          <w:rFonts w:ascii="Calibri" w:eastAsia="Times New Roman" w:hAnsi="Calibri" w:cs="Calibri"/>
          <w:szCs w:val="22"/>
          <w:lang w:bidi="ar-SA"/>
        </w:rPr>
        <w:t xml:space="preserve"> growth in this segment.</w:t>
      </w:r>
    </w:p>
    <w:p w:rsidR="00FA1FE1" w:rsidRPr="00803627" w:rsidRDefault="00FA1FE1" w:rsidP="00FA1FE1">
      <w:pPr>
        <w:rPr>
          <w:rFonts w:ascii="Calibri" w:eastAsia="Times New Roman" w:hAnsi="Calibri" w:cs="Calibri"/>
          <w:szCs w:val="22"/>
          <w:lang w:bidi="ar-SA"/>
        </w:rPr>
      </w:pPr>
      <w:r w:rsidRPr="00803627">
        <w:rPr>
          <w:rFonts w:ascii="Calibri" w:eastAsia="Times New Roman" w:hAnsi="Calibri" w:cs="Calibri"/>
          <w:b/>
          <w:szCs w:val="22"/>
          <w:lang w:bidi="ar-SA"/>
        </w:rPr>
        <w:t xml:space="preserve">Strengthen market linkages </w:t>
      </w:r>
      <w:r>
        <w:rPr>
          <w:rFonts w:ascii="Calibri" w:eastAsia="Times New Roman" w:hAnsi="Calibri" w:cs="Calibri"/>
          <w:b/>
          <w:szCs w:val="22"/>
          <w:lang w:bidi="ar-SA"/>
        </w:rPr>
        <w:t>with</w:t>
      </w:r>
      <w:r w:rsidRPr="00803627">
        <w:rPr>
          <w:rFonts w:ascii="Calibri" w:eastAsia="Times New Roman" w:hAnsi="Calibri" w:cs="Calibri"/>
          <w:b/>
          <w:szCs w:val="22"/>
          <w:lang w:bidi="ar-SA"/>
        </w:rPr>
        <w:t xml:space="preserve"> international buyers. </w:t>
      </w:r>
      <w:r w:rsidRPr="00803627">
        <w:rPr>
          <w:rFonts w:ascii="Calibri" w:eastAsia="Times New Roman" w:hAnsi="Calibri" w:cs="Calibri"/>
          <w:szCs w:val="22"/>
          <w:lang w:bidi="ar-SA"/>
        </w:rPr>
        <w:t>It is important to identify and nurture market linkages</w:t>
      </w:r>
      <w:r>
        <w:rPr>
          <w:rFonts w:ascii="Calibri" w:eastAsia="Times New Roman" w:hAnsi="Calibri" w:cs="Calibri"/>
          <w:szCs w:val="22"/>
          <w:lang w:bidi="ar-SA"/>
        </w:rPr>
        <w:t xml:space="preserve"> through (</w:t>
      </w:r>
      <w:r w:rsidRPr="00803627">
        <w:rPr>
          <w:rFonts w:ascii="Calibri" w:eastAsia="Times New Roman" w:hAnsi="Calibri" w:cs="Calibri"/>
          <w:szCs w:val="22"/>
          <w:lang w:bidi="ar-SA"/>
        </w:rPr>
        <w:t xml:space="preserve">i) </w:t>
      </w:r>
      <w:r>
        <w:rPr>
          <w:rFonts w:ascii="Calibri" w:eastAsia="Times New Roman" w:hAnsi="Calibri" w:cs="Calibri"/>
          <w:szCs w:val="22"/>
          <w:lang w:bidi="ar-SA"/>
        </w:rPr>
        <w:t>maintaining participation</w:t>
      </w:r>
      <w:r w:rsidRPr="00803627">
        <w:rPr>
          <w:rFonts w:ascii="Calibri" w:eastAsia="Times New Roman" w:hAnsi="Calibri" w:cs="Calibri"/>
          <w:szCs w:val="22"/>
          <w:lang w:bidi="ar-SA"/>
        </w:rPr>
        <w:t xml:space="preserve"> in key trade fairs, </w:t>
      </w:r>
      <w:r>
        <w:rPr>
          <w:rFonts w:ascii="Calibri" w:eastAsia="Times New Roman" w:hAnsi="Calibri" w:cs="Calibri"/>
          <w:szCs w:val="22"/>
          <w:lang w:bidi="ar-SA"/>
        </w:rPr>
        <w:t>(</w:t>
      </w:r>
      <w:r w:rsidRPr="00803627">
        <w:rPr>
          <w:rFonts w:ascii="Calibri" w:eastAsia="Times New Roman" w:hAnsi="Calibri" w:cs="Calibri"/>
          <w:szCs w:val="22"/>
          <w:lang w:bidi="ar-SA"/>
        </w:rPr>
        <w:t xml:space="preserve">ii) </w:t>
      </w:r>
      <w:r>
        <w:rPr>
          <w:rFonts w:ascii="Calibri" w:eastAsia="Times New Roman" w:hAnsi="Calibri" w:cs="Calibri"/>
          <w:szCs w:val="22"/>
          <w:lang w:bidi="ar-SA"/>
        </w:rPr>
        <w:t>s</w:t>
      </w:r>
      <w:r w:rsidRPr="00803627">
        <w:rPr>
          <w:rFonts w:ascii="Calibri" w:eastAsia="Times New Roman" w:hAnsi="Calibri" w:cs="Calibri"/>
          <w:szCs w:val="22"/>
          <w:lang w:bidi="ar-SA"/>
        </w:rPr>
        <w:t>ponsor</w:t>
      </w:r>
      <w:r>
        <w:rPr>
          <w:rFonts w:ascii="Calibri" w:eastAsia="Times New Roman" w:hAnsi="Calibri" w:cs="Calibri"/>
          <w:szCs w:val="22"/>
          <w:lang w:bidi="ar-SA"/>
        </w:rPr>
        <w:t>ing</w:t>
      </w:r>
      <w:r w:rsidRPr="00803627">
        <w:rPr>
          <w:rFonts w:ascii="Calibri" w:eastAsia="Times New Roman" w:hAnsi="Calibri" w:cs="Calibri"/>
          <w:szCs w:val="22"/>
          <w:lang w:bidi="ar-SA"/>
        </w:rPr>
        <w:t xml:space="preserve"> Afghan </w:t>
      </w:r>
      <w:r>
        <w:rPr>
          <w:rFonts w:ascii="Calibri" w:eastAsia="Times New Roman" w:hAnsi="Calibri" w:cs="Calibri"/>
          <w:szCs w:val="22"/>
          <w:lang w:bidi="ar-SA"/>
        </w:rPr>
        <w:t>companies to attend</w:t>
      </w:r>
      <w:r w:rsidRPr="00803627">
        <w:rPr>
          <w:rFonts w:ascii="Calibri" w:eastAsia="Times New Roman" w:hAnsi="Calibri" w:cs="Calibri"/>
          <w:szCs w:val="22"/>
          <w:lang w:bidi="ar-SA"/>
        </w:rPr>
        <w:t xml:space="preserve"> national and international trade shows, </w:t>
      </w:r>
      <w:r>
        <w:rPr>
          <w:rFonts w:ascii="Calibri" w:eastAsia="Times New Roman" w:hAnsi="Calibri" w:cs="Calibri"/>
          <w:szCs w:val="22"/>
          <w:lang w:bidi="ar-SA"/>
        </w:rPr>
        <w:t>(</w:t>
      </w:r>
      <w:r w:rsidRPr="00803627">
        <w:rPr>
          <w:rFonts w:ascii="Calibri" w:eastAsia="Times New Roman" w:hAnsi="Calibri" w:cs="Calibri"/>
          <w:szCs w:val="22"/>
          <w:lang w:bidi="ar-SA"/>
        </w:rPr>
        <w:t xml:space="preserve">iii) </w:t>
      </w:r>
      <w:r>
        <w:rPr>
          <w:rFonts w:ascii="Calibri" w:eastAsia="Times New Roman" w:hAnsi="Calibri" w:cs="Calibri"/>
          <w:szCs w:val="22"/>
          <w:lang w:bidi="ar-SA"/>
        </w:rPr>
        <w:t>p</w:t>
      </w:r>
      <w:r w:rsidRPr="00803627">
        <w:rPr>
          <w:rFonts w:ascii="Calibri" w:eastAsia="Times New Roman" w:hAnsi="Calibri" w:cs="Calibri"/>
          <w:szCs w:val="22"/>
          <w:lang w:bidi="ar-SA"/>
        </w:rPr>
        <w:t>romoting business trips, tours, and buyer missions</w:t>
      </w:r>
      <w:r>
        <w:rPr>
          <w:rFonts w:ascii="Calibri" w:eastAsia="Times New Roman" w:hAnsi="Calibri" w:cs="Calibri"/>
          <w:szCs w:val="22"/>
          <w:lang w:bidi="ar-SA"/>
        </w:rPr>
        <w:t xml:space="preserve"> both to and from the country in order</w:t>
      </w:r>
      <w:r w:rsidRPr="00803627">
        <w:rPr>
          <w:rFonts w:ascii="Calibri" w:eastAsia="Times New Roman" w:hAnsi="Calibri" w:cs="Calibri"/>
          <w:szCs w:val="22"/>
          <w:lang w:bidi="ar-SA"/>
        </w:rPr>
        <w:t xml:space="preserve"> to foster </w:t>
      </w:r>
      <w:r>
        <w:rPr>
          <w:rFonts w:ascii="Calibri" w:eastAsia="Times New Roman" w:hAnsi="Calibri" w:cs="Calibri"/>
          <w:szCs w:val="22"/>
          <w:lang w:bidi="ar-SA"/>
        </w:rPr>
        <w:t>closer</w:t>
      </w:r>
      <w:r w:rsidRPr="00803627">
        <w:rPr>
          <w:rFonts w:ascii="Calibri" w:eastAsia="Times New Roman" w:hAnsi="Calibri" w:cs="Calibri"/>
          <w:szCs w:val="22"/>
          <w:lang w:bidi="ar-SA"/>
        </w:rPr>
        <w:t xml:space="preserve"> direct links between producers and buyers.</w:t>
      </w:r>
    </w:p>
    <w:p w:rsidR="00FA1FE1" w:rsidRPr="00803627" w:rsidRDefault="00FA1FE1" w:rsidP="00FA1FE1">
      <w:pPr>
        <w:rPr>
          <w:rFonts w:ascii="Calibri" w:eastAsia="Times New Roman" w:hAnsi="Calibri" w:cs="Calibri"/>
          <w:szCs w:val="22"/>
          <w:lang w:bidi="ar-SA"/>
        </w:rPr>
      </w:pPr>
      <w:r w:rsidRPr="00803627">
        <w:rPr>
          <w:rFonts w:ascii="Calibri" w:eastAsia="Times New Roman" w:hAnsi="Calibri" w:cs="Calibri"/>
          <w:b/>
          <w:szCs w:val="22"/>
          <w:lang w:bidi="ar-SA"/>
        </w:rPr>
        <w:t xml:space="preserve">Export promotion activities could explore </w:t>
      </w:r>
      <w:r>
        <w:rPr>
          <w:rFonts w:ascii="Calibri" w:eastAsia="Times New Roman" w:hAnsi="Calibri" w:cs="Calibri"/>
          <w:b/>
          <w:szCs w:val="22"/>
          <w:lang w:bidi="ar-SA"/>
        </w:rPr>
        <w:t>on the possibility of</w:t>
      </w:r>
      <w:r w:rsidRPr="00803627">
        <w:rPr>
          <w:rFonts w:ascii="Calibri" w:eastAsia="Times New Roman" w:hAnsi="Calibri" w:cs="Calibri"/>
          <w:b/>
          <w:szCs w:val="22"/>
          <w:lang w:bidi="ar-SA"/>
        </w:rPr>
        <w:t xml:space="preserve"> </w:t>
      </w:r>
      <w:r>
        <w:rPr>
          <w:rFonts w:ascii="Calibri" w:eastAsia="Times New Roman" w:hAnsi="Calibri" w:cs="Calibri"/>
          <w:b/>
          <w:szCs w:val="22"/>
          <w:lang w:bidi="ar-SA"/>
        </w:rPr>
        <w:t>establishing</w:t>
      </w:r>
      <w:r w:rsidRPr="00803627">
        <w:rPr>
          <w:rFonts w:ascii="Calibri" w:eastAsia="Times New Roman" w:hAnsi="Calibri" w:cs="Calibri"/>
          <w:b/>
          <w:szCs w:val="22"/>
          <w:lang w:bidi="ar-SA"/>
        </w:rPr>
        <w:t xml:space="preserve"> warehouse facilities </w:t>
      </w:r>
      <w:r>
        <w:rPr>
          <w:rFonts w:ascii="Calibri" w:eastAsia="Times New Roman" w:hAnsi="Calibri" w:cs="Calibri"/>
          <w:b/>
          <w:szCs w:val="22"/>
          <w:lang w:bidi="ar-SA"/>
        </w:rPr>
        <w:t>with</w:t>
      </w:r>
      <w:r w:rsidRPr="00803627">
        <w:rPr>
          <w:rFonts w:ascii="Calibri" w:eastAsia="Times New Roman" w:hAnsi="Calibri" w:cs="Calibri"/>
          <w:b/>
          <w:szCs w:val="22"/>
          <w:lang w:bidi="ar-SA"/>
        </w:rPr>
        <w:t xml:space="preserve">in </w:t>
      </w:r>
      <w:r>
        <w:rPr>
          <w:rFonts w:ascii="Calibri" w:eastAsia="Times New Roman" w:hAnsi="Calibri" w:cs="Calibri"/>
          <w:b/>
          <w:szCs w:val="22"/>
          <w:lang w:bidi="ar-SA"/>
        </w:rPr>
        <w:t xml:space="preserve">and close to target </w:t>
      </w:r>
      <w:r w:rsidRPr="00803627">
        <w:rPr>
          <w:rFonts w:ascii="Calibri" w:eastAsia="Times New Roman" w:hAnsi="Calibri" w:cs="Calibri"/>
          <w:b/>
          <w:szCs w:val="22"/>
          <w:lang w:bidi="ar-SA"/>
        </w:rPr>
        <w:t>markets</w:t>
      </w:r>
      <w:r>
        <w:rPr>
          <w:rFonts w:ascii="Calibri" w:eastAsia="Times New Roman" w:hAnsi="Calibri" w:cs="Calibri"/>
          <w:b/>
          <w:szCs w:val="22"/>
          <w:lang w:bidi="ar-SA"/>
        </w:rPr>
        <w:t xml:space="preserve"> broad</w:t>
      </w:r>
      <w:r w:rsidRPr="00803627">
        <w:rPr>
          <w:rFonts w:ascii="Calibri" w:eastAsia="Times New Roman" w:hAnsi="Calibri" w:cs="Calibri"/>
          <w:b/>
          <w:szCs w:val="22"/>
          <w:lang w:bidi="ar-SA"/>
        </w:rPr>
        <w:t xml:space="preserve">.  </w:t>
      </w:r>
      <w:r w:rsidRPr="00803627">
        <w:rPr>
          <w:rFonts w:ascii="Calibri" w:eastAsia="Times New Roman" w:hAnsi="Calibri" w:cs="Calibri"/>
          <w:szCs w:val="22"/>
          <w:lang w:bidi="ar-SA"/>
        </w:rPr>
        <w:t xml:space="preserve">Working with private investors and the </w:t>
      </w:r>
      <w:r>
        <w:rPr>
          <w:rFonts w:ascii="Calibri" w:eastAsia="Times New Roman" w:hAnsi="Calibri" w:cs="Calibri"/>
          <w:szCs w:val="22"/>
          <w:lang w:bidi="ar-SA"/>
        </w:rPr>
        <w:t>Afghan government</w:t>
      </w:r>
      <w:r w:rsidRPr="00803627">
        <w:rPr>
          <w:rFonts w:ascii="Calibri" w:eastAsia="Times New Roman" w:hAnsi="Calibri" w:cs="Calibri"/>
          <w:szCs w:val="22"/>
          <w:lang w:bidi="ar-SA"/>
        </w:rPr>
        <w:t>, carpet export</w:t>
      </w:r>
      <w:r>
        <w:rPr>
          <w:rFonts w:ascii="Calibri" w:eastAsia="Times New Roman" w:hAnsi="Calibri" w:cs="Calibri"/>
          <w:szCs w:val="22"/>
          <w:lang w:bidi="ar-SA"/>
        </w:rPr>
        <w:t>er</w:t>
      </w:r>
      <w:r w:rsidRPr="00803627">
        <w:rPr>
          <w:rFonts w:ascii="Calibri" w:eastAsia="Times New Roman" w:hAnsi="Calibri" w:cs="Calibri"/>
          <w:szCs w:val="22"/>
          <w:lang w:bidi="ar-SA"/>
        </w:rPr>
        <w:t xml:space="preserve">s would </w:t>
      </w:r>
      <w:r>
        <w:rPr>
          <w:rFonts w:ascii="Calibri" w:eastAsia="Times New Roman" w:hAnsi="Calibri" w:cs="Calibri"/>
          <w:szCs w:val="22"/>
          <w:lang w:bidi="ar-SA"/>
        </w:rPr>
        <w:t>do well to</w:t>
      </w:r>
      <w:r w:rsidRPr="00803627">
        <w:rPr>
          <w:rFonts w:ascii="Calibri" w:eastAsia="Times New Roman" w:hAnsi="Calibri" w:cs="Calibri"/>
          <w:szCs w:val="22"/>
          <w:lang w:bidi="ar-SA"/>
        </w:rPr>
        <w:t xml:space="preserve"> </w:t>
      </w:r>
      <w:r>
        <w:rPr>
          <w:rFonts w:ascii="Calibri" w:eastAsia="Times New Roman" w:hAnsi="Calibri" w:cs="Calibri"/>
          <w:szCs w:val="22"/>
          <w:lang w:bidi="ar-SA"/>
        </w:rPr>
        <w:t>set up</w:t>
      </w:r>
      <w:r w:rsidRPr="00803627">
        <w:rPr>
          <w:rFonts w:ascii="Calibri" w:eastAsia="Times New Roman" w:hAnsi="Calibri" w:cs="Calibri"/>
          <w:szCs w:val="22"/>
          <w:lang w:bidi="ar-SA"/>
        </w:rPr>
        <w:t xml:space="preserve"> regional warehousing</w:t>
      </w:r>
      <w:r>
        <w:rPr>
          <w:rFonts w:ascii="Calibri" w:eastAsia="Times New Roman" w:hAnsi="Calibri" w:cs="Calibri"/>
          <w:szCs w:val="22"/>
          <w:lang w:bidi="ar-SA"/>
        </w:rPr>
        <w:t xml:space="preserve"> or </w:t>
      </w:r>
      <w:r w:rsidRPr="00803627">
        <w:rPr>
          <w:rFonts w:ascii="Calibri" w:eastAsia="Times New Roman" w:hAnsi="Calibri" w:cs="Calibri"/>
          <w:szCs w:val="22"/>
          <w:lang w:bidi="ar-SA"/>
        </w:rPr>
        <w:t xml:space="preserve">re-export facilities at important trade hubs such as Dubai, </w:t>
      </w:r>
      <w:r>
        <w:rPr>
          <w:rFonts w:ascii="Calibri" w:eastAsia="Times New Roman" w:hAnsi="Calibri" w:cs="Calibri"/>
          <w:szCs w:val="22"/>
          <w:lang w:bidi="ar-SA"/>
        </w:rPr>
        <w:t xml:space="preserve">and the </w:t>
      </w:r>
      <w:r w:rsidRPr="00803627">
        <w:rPr>
          <w:rFonts w:ascii="Calibri" w:eastAsia="Times New Roman" w:hAnsi="Calibri" w:cs="Calibri"/>
          <w:szCs w:val="22"/>
          <w:lang w:bidi="ar-SA"/>
        </w:rPr>
        <w:t>UAE</w:t>
      </w:r>
      <w:r>
        <w:rPr>
          <w:rFonts w:ascii="Calibri" w:eastAsia="Times New Roman" w:hAnsi="Calibri" w:cs="Calibri"/>
          <w:szCs w:val="22"/>
          <w:lang w:bidi="ar-SA"/>
        </w:rPr>
        <w:t>,</w:t>
      </w:r>
      <w:r w:rsidRPr="00803627">
        <w:rPr>
          <w:rFonts w:ascii="Calibri" w:eastAsia="Times New Roman" w:hAnsi="Calibri" w:cs="Calibri"/>
          <w:szCs w:val="22"/>
          <w:lang w:bidi="ar-SA"/>
        </w:rPr>
        <w:t xml:space="preserve"> and to expand Afghanistan’s </w:t>
      </w:r>
      <w:r>
        <w:rPr>
          <w:rFonts w:ascii="Calibri" w:eastAsia="Times New Roman" w:hAnsi="Calibri" w:cs="Calibri"/>
          <w:szCs w:val="22"/>
          <w:lang w:bidi="ar-SA"/>
        </w:rPr>
        <w:t xml:space="preserve">existing </w:t>
      </w:r>
      <w:r w:rsidRPr="00803627">
        <w:rPr>
          <w:rFonts w:ascii="Calibri" w:eastAsia="Times New Roman" w:hAnsi="Calibri" w:cs="Calibri"/>
          <w:szCs w:val="22"/>
          <w:lang w:bidi="ar-SA"/>
        </w:rPr>
        <w:t>warehouse facilities in Istanbul.</w:t>
      </w:r>
    </w:p>
    <w:p w:rsidR="00FA1FE1" w:rsidRPr="00803627" w:rsidRDefault="00FA1FE1" w:rsidP="00FA1FE1">
      <w:pPr>
        <w:spacing w:after="0"/>
        <w:rPr>
          <w:rFonts w:ascii="Calibri" w:eastAsia="Times New Roman" w:hAnsi="Calibri" w:cs="Calibri"/>
          <w:szCs w:val="22"/>
          <w:lang w:bidi="ar-SA"/>
        </w:rPr>
      </w:pPr>
      <w:r>
        <w:rPr>
          <w:rFonts w:ascii="Calibri" w:eastAsia="Times New Roman" w:hAnsi="Calibri" w:cs="Calibri"/>
          <w:b/>
          <w:szCs w:val="22"/>
          <w:lang w:bidi="ar-SA"/>
        </w:rPr>
        <w:t>Bolster</w:t>
      </w:r>
      <w:r w:rsidRPr="00803627">
        <w:rPr>
          <w:rFonts w:ascii="Calibri" w:eastAsia="Times New Roman" w:hAnsi="Calibri" w:cs="Calibri"/>
          <w:b/>
          <w:szCs w:val="22"/>
          <w:lang w:bidi="ar-SA"/>
        </w:rPr>
        <w:t xml:space="preserve"> security pro</w:t>
      </w:r>
      <w:r>
        <w:rPr>
          <w:rFonts w:ascii="Calibri" w:eastAsia="Times New Roman" w:hAnsi="Calibri" w:cs="Calibri"/>
          <w:b/>
          <w:szCs w:val="22"/>
          <w:lang w:bidi="ar-SA"/>
        </w:rPr>
        <w:t>tection of</w:t>
      </w:r>
      <w:r w:rsidRPr="00803627">
        <w:rPr>
          <w:rFonts w:ascii="Calibri" w:eastAsia="Times New Roman" w:hAnsi="Calibri" w:cs="Calibri"/>
          <w:b/>
          <w:szCs w:val="22"/>
          <w:lang w:bidi="ar-SA"/>
        </w:rPr>
        <w:t xml:space="preserve"> carpet exports at airports and </w:t>
      </w:r>
      <w:r w:rsidRPr="00040684">
        <w:rPr>
          <w:rFonts w:ascii="Calibri" w:eastAsia="Times New Roman" w:hAnsi="Calibri" w:cs="Calibri"/>
          <w:b/>
          <w:szCs w:val="22"/>
          <w:lang w:bidi="ar-SA"/>
        </w:rPr>
        <w:t>borders.</w:t>
      </w:r>
      <w:r w:rsidRPr="00803627">
        <w:rPr>
          <w:rFonts w:ascii="Calibri" w:eastAsia="Times New Roman" w:hAnsi="Calibri" w:cs="Calibri"/>
          <w:szCs w:val="22"/>
          <w:lang w:bidi="ar-SA"/>
        </w:rPr>
        <w:t xml:space="preserve"> Carpet traders </w:t>
      </w:r>
      <w:r>
        <w:rPr>
          <w:rFonts w:ascii="Calibri" w:eastAsia="Times New Roman" w:hAnsi="Calibri" w:cs="Calibri"/>
          <w:szCs w:val="22"/>
          <w:lang w:bidi="ar-SA"/>
        </w:rPr>
        <w:t>have</w:t>
      </w:r>
      <w:r w:rsidRPr="00803627">
        <w:rPr>
          <w:rFonts w:ascii="Calibri" w:eastAsia="Times New Roman" w:hAnsi="Calibri" w:cs="Calibri"/>
          <w:szCs w:val="22"/>
          <w:lang w:bidi="ar-SA"/>
        </w:rPr>
        <w:t xml:space="preserve"> report</w:t>
      </w:r>
      <w:r>
        <w:rPr>
          <w:rFonts w:ascii="Calibri" w:eastAsia="Times New Roman" w:hAnsi="Calibri" w:cs="Calibri"/>
          <w:szCs w:val="22"/>
          <w:lang w:bidi="ar-SA"/>
        </w:rPr>
        <w:t>ed</w:t>
      </w:r>
      <w:r w:rsidRPr="00803627">
        <w:rPr>
          <w:rFonts w:ascii="Calibri" w:eastAsia="Times New Roman" w:hAnsi="Calibri" w:cs="Calibri"/>
          <w:szCs w:val="22"/>
          <w:lang w:bidi="ar-SA"/>
        </w:rPr>
        <w:t xml:space="preserve"> </w:t>
      </w:r>
      <w:r>
        <w:rPr>
          <w:rFonts w:ascii="Calibri" w:eastAsia="Times New Roman" w:hAnsi="Calibri" w:cs="Calibri"/>
          <w:szCs w:val="22"/>
          <w:lang w:bidi="ar-SA"/>
        </w:rPr>
        <w:t xml:space="preserve">costly </w:t>
      </w:r>
      <w:r w:rsidRPr="00803627">
        <w:rPr>
          <w:rFonts w:ascii="Calibri" w:eastAsia="Times New Roman" w:hAnsi="Calibri" w:cs="Calibri"/>
          <w:szCs w:val="22"/>
          <w:lang w:bidi="ar-SA"/>
        </w:rPr>
        <w:t xml:space="preserve">losses and </w:t>
      </w:r>
      <w:r>
        <w:rPr>
          <w:rFonts w:ascii="Calibri" w:eastAsia="Times New Roman" w:hAnsi="Calibri" w:cs="Calibri"/>
          <w:szCs w:val="22"/>
          <w:lang w:bidi="ar-SA"/>
        </w:rPr>
        <w:t>damage to products during</w:t>
      </w:r>
      <w:r w:rsidRPr="00803627">
        <w:rPr>
          <w:rFonts w:ascii="Calibri" w:eastAsia="Times New Roman" w:hAnsi="Calibri" w:cs="Calibri"/>
          <w:szCs w:val="22"/>
          <w:lang w:bidi="ar-SA"/>
        </w:rPr>
        <w:t xml:space="preserve"> inspection</w:t>
      </w:r>
      <w:r>
        <w:rPr>
          <w:rFonts w:ascii="Calibri" w:eastAsia="Times New Roman" w:hAnsi="Calibri" w:cs="Calibri"/>
          <w:szCs w:val="22"/>
          <w:lang w:bidi="ar-SA"/>
        </w:rPr>
        <w:t xml:space="preserve"> procedure</w:t>
      </w:r>
      <w:r w:rsidRPr="00803627">
        <w:rPr>
          <w:rFonts w:ascii="Calibri" w:eastAsia="Times New Roman" w:hAnsi="Calibri" w:cs="Calibri"/>
          <w:szCs w:val="22"/>
          <w:lang w:bidi="ar-SA"/>
        </w:rPr>
        <w:t xml:space="preserve">s.  </w:t>
      </w:r>
    </w:p>
    <w:p w:rsidR="00FA1FE1" w:rsidRPr="00803627" w:rsidRDefault="00FA1FE1" w:rsidP="00FA1FE1">
      <w:pPr>
        <w:spacing w:after="0"/>
        <w:rPr>
          <w:rFonts w:ascii="Calibri" w:eastAsia="Times New Roman" w:hAnsi="Calibri" w:cs="Calibri"/>
          <w:szCs w:val="22"/>
          <w:lang w:eastAsia="de-DE"/>
        </w:rPr>
      </w:pPr>
    </w:p>
    <w:p w:rsidR="00FA1FE1" w:rsidRPr="00803627" w:rsidRDefault="00FA1FE1" w:rsidP="00FA1FE1">
      <w:pPr>
        <w:spacing w:after="0"/>
        <w:rPr>
          <w:rFonts w:ascii="Calibri" w:eastAsia="Times New Roman" w:hAnsi="Calibri" w:cs="Calibri"/>
          <w:szCs w:val="22"/>
          <w:lang w:bidi="ar-SA"/>
        </w:rPr>
      </w:pPr>
      <w:r>
        <w:rPr>
          <w:rFonts w:ascii="Calibri" w:eastAsia="Times New Roman" w:hAnsi="Calibri" w:cs="Calibri"/>
          <w:b/>
          <w:szCs w:val="22"/>
          <w:lang w:bidi="ar-SA"/>
        </w:rPr>
        <w:t xml:space="preserve">Government and </w:t>
      </w:r>
      <w:r w:rsidRPr="00803627">
        <w:rPr>
          <w:rFonts w:ascii="Calibri" w:eastAsia="Times New Roman" w:hAnsi="Calibri" w:cs="Calibri"/>
          <w:b/>
          <w:szCs w:val="22"/>
          <w:lang w:bidi="ar-SA"/>
        </w:rPr>
        <w:t xml:space="preserve">the private sector </w:t>
      </w:r>
      <w:r>
        <w:rPr>
          <w:rFonts w:ascii="Calibri" w:eastAsia="Times New Roman" w:hAnsi="Calibri" w:cs="Calibri"/>
          <w:b/>
          <w:szCs w:val="22"/>
          <w:lang w:bidi="ar-SA"/>
        </w:rPr>
        <w:t xml:space="preserve">should work together </w:t>
      </w:r>
      <w:r w:rsidRPr="00803627">
        <w:rPr>
          <w:rFonts w:ascii="Calibri" w:eastAsia="Times New Roman" w:hAnsi="Calibri" w:cs="Calibri"/>
          <w:b/>
          <w:szCs w:val="22"/>
          <w:lang w:bidi="ar-SA"/>
        </w:rPr>
        <w:t>to promote regional design cent</w:t>
      </w:r>
      <w:r>
        <w:rPr>
          <w:rFonts w:ascii="Calibri" w:eastAsia="Times New Roman" w:hAnsi="Calibri" w:cs="Calibri"/>
          <w:b/>
          <w:szCs w:val="22"/>
          <w:lang w:bidi="ar-SA"/>
        </w:rPr>
        <w:t>er</w:t>
      </w:r>
      <w:r w:rsidRPr="00803627">
        <w:rPr>
          <w:rFonts w:ascii="Calibri" w:eastAsia="Times New Roman" w:hAnsi="Calibri" w:cs="Calibri"/>
          <w:b/>
          <w:szCs w:val="22"/>
          <w:lang w:bidi="ar-SA"/>
        </w:rPr>
        <w:t xml:space="preserve">s </w:t>
      </w:r>
      <w:r>
        <w:rPr>
          <w:rFonts w:ascii="Calibri" w:eastAsia="Times New Roman" w:hAnsi="Calibri" w:cs="Calibri"/>
          <w:b/>
          <w:szCs w:val="22"/>
          <w:lang w:bidi="ar-SA"/>
        </w:rPr>
        <w:t>and develop</w:t>
      </w:r>
      <w:r w:rsidRPr="00803627">
        <w:rPr>
          <w:rFonts w:ascii="Calibri" w:eastAsia="Times New Roman" w:hAnsi="Calibri" w:cs="Calibri"/>
          <w:b/>
          <w:szCs w:val="22"/>
          <w:lang w:bidi="ar-SA"/>
        </w:rPr>
        <w:t xml:space="preserve"> new carpet designs</w:t>
      </w:r>
      <w:r>
        <w:rPr>
          <w:rFonts w:ascii="Calibri" w:eastAsia="Times New Roman" w:hAnsi="Calibri" w:cs="Calibri"/>
          <w:b/>
          <w:szCs w:val="22"/>
          <w:lang w:bidi="ar-SA"/>
        </w:rPr>
        <w:t>.</w:t>
      </w:r>
      <w:r w:rsidRPr="00803627">
        <w:rPr>
          <w:rFonts w:ascii="Calibri" w:eastAsia="Times New Roman" w:hAnsi="Calibri" w:cs="Calibri"/>
          <w:b/>
          <w:szCs w:val="22"/>
          <w:lang w:bidi="ar-SA"/>
        </w:rPr>
        <w:t xml:space="preserve"> </w:t>
      </w:r>
      <w:r>
        <w:rPr>
          <w:rFonts w:ascii="Calibri" w:eastAsia="Times New Roman" w:hAnsi="Calibri" w:cs="Calibri"/>
          <w:szCs w:val="22"/>
          <w:lang w:bidi="ar-SA"/>
        </w:rPr>
        <w:t>C</w:t>
      </w:r>
      <w:r w:rsidRPr="00803627">
        <w:rPr>
          <w:rFonts w:ascii="Calibri" w:eastAsia="Times New Roman" w:hAnsi="Calibri" w:cs="Calibri"/>
          <w:szCs w:val="22"/>
          <w:lang w:bidi="ar-SA"/>
        </w:rPr>
        <w:t>arpet</w:t>
      </w:r>
      <w:r>
        <w:rPr>
          <w:rFonts w:ascii="Calibri" w:eastAsia="Times New Roman" w:hAnsi="Calibri" w:cs="Calibri"/>
          <w:szCs w:val="22"/>
          <w:lang w:bidi="ar-SA"/>
        </w:rPr>
        <w:t xml:space="preserve"> </w:t>
      </w:r>
      <w:r w:rsidRPr="00803627">
        <w:rPr>
          <w:rFonts w:ascii="Calibri" w:eastAsia="Times New Roman" w:hAnsi="Calibri" w:cs="Calibri"/>
          <w:szCs w:val="22"/>
          <w:lang w:bidi="ar-SA"/>
        </w:rPr>
        <w:t xml:space="preserve">weavers </w:t>
      </w:r>
      <w:r>
        <w:rPr>
          <w:rFonts w:ascii="Calibri" w:eastAsia="Times New Roman" w:hAnsi="Calibri" w:cs="Calibri"/>
          <w:szCs w:val="22"/>
          <w:lang w:bidi="ar-SA"/>
        </w:rPr>
        <w:t xml:space="preserve">need constant education in </w:t>
      </w:r>
      <w:r w:rsidRPr="00803627">
        <w:rPr>
          <w:rFonts w:ascii="Calibri" w:eastAsia="Times New Roman" w:hAnsi="Calibri" w:cs="Calibri"/>
          <w:szCs w:val="22"/>
          <w:lang w:bidi="ar-SA"/>
        </w:rPr>
        <w:t xml:space="preserve">international </w:t>
      </w:r>
      <w:r>
        <w:rPr>
          <w:rFonts w:ascii="Calibri" w:eastAsia="Times New Roman" w:hAnsi="Calibri" w:cs="Calibri"/>
          <w:szCs w:val="22"/>
          <w:lang w:bidi="ar-SA"/>
        </w:rPr>
        <w:t xml:space="preserve">fashion </w:t>
      </w:r>
      <w:r w:rsidRPr="00803627">
        <w:rPr>
          <w:rFonts w:ascii="Calibri" w:eastAsia="Times New Roman" w:hAnsi="Calibri" w:cs="Calibri"/>
          <w:szCs w:val="22"/>
          <w:lang w:bidi="ar-SA"/>
        </w:rPr>
        <w:t>trends, s</w:t>
      </w:r>
      <w:r>
        <w:rPr>
          <w:rFonts w:ascii="Calibri" w:eastAsia="Times New Roman" w:hAnsi="Calibri" w:cs="Calibri"/>
          <w:szCs w:val="22"/>
          <w:lang w:bidi="ar-SA"/>
        </w:rPr>
        <w:t>izes and colors. The industry support could focus on</w:t>
      </w:r>
      <w:r w:rsidRPr="00803627">
        <w:rPr>
          <w:rFonts w:ascii="Calibri" w:eastAsia="Times New Roman" w:hAnsi="Calibri" w:cs="Calibri"/>
          <w:szCs w:val="22"/>
          <w:lang w:bidi="ar-SA"/>
        </w:rPr>
        <w:t xml:space="preserve"> </w:t>
      </w:r>
      <w:r>
        <w:rPr>
          <w:rFonts w:ascii="Calibri" w:eastAsia="Times New Roman" w:hAnsi="Calibri" w:cs="Calibri"/>
          <w:szCs w:val="22"/>
          <w:lang w:bidi="ar-SA"/>
        </w:rPr>
        <w:t>(</w:t>
      </w:r>
      <w:r w:rsidRPr="00803627">
        <w:rPr>
          <w:rFonts w:ascii="Calibri" w:eastAsia="Times New Roman" w:hAnsi="Calibri" w:cs="Calibri"/>
          <w:szCs w:val="22"/>
          <w:lang w:bidi="ar-SA"/>
        </w:rPr>
        <w:t xml:space="preserve">i) technical training </w:t>
      </w:r>
      <w:r>
        <w:rPr>
          <w:rFonts w:ascii="Calibri" w:eastAsia="Times New Roman" w:hAnsi="Calibri" w:cs="Calibri"/>
          <w:szCs w:val="22"/>
          <w:lang w:bidi="ar-SA"/>
        </w:rPr>
        <w:t>at</w:t>
      </w:r>
      <w:r w:rsidRPr="00803627">
        <w:rPr>
          <w:rFonts w:ascii="Calibri" w:eastAsia="Times New Roman" w:hAnsi="Calibri" w:cs="Calibri"/>
          <w:szCs w:val="22"/>
          <w:lang w:bidi="ar-SA"/>
        </w:rPr>
        <w:t xml:space="preserve"> design cent</w:t>
      </w:r>
      <w:r>
        <w:rPr>
          <w:rFonts w:ascii="Calibri" w:eastAsia="Times New Roman" w:hAnsi="Calibri" w:cs="Calibri"/>
          <w:szCs w:val="22"/>
          <w:lang w:bidi="ar-SA"/>
        </w:rPr>
        <w:t>er</w:t>
      </w:r>
      <w:r w:rsidRPr="00803627">
        <w:rPr>
          <w:rFonts w:ascii="Calibri" w:eastAsia="Times New Roman" w:hAnsi="Calibri" w:cs="Calibri"/>
          <w:szCs w:val="22"/>
          <w:lang w:bidi="ar-SA"/>
        </w:rPr>
        <w:t xml:space="preserve">s </w:t>
      </w:r>
      <w:r>
        <w:rPr>
          <w:rFonts w:ascii="Calibri" w:eastAsia="Times New Roman" w:hAnsi="Calibri" w:cs="Calibri"/>
          <w:szCs w:val="22"/>
          <w:lang w:bidi="ar-SA"/>
        </w:rPr>
        <w:t>i</w:t>
      </w:r>
      <w:r w:rsidRPr="00803627">
        <w:rPr>
          <w:rFonts w:ascii="Calibri" w:eastAsia="Times New Roman" w:hAnsi="Calibri" w:cs="Calibri"/>
          <w:szCs w:val="22"/>
          <w:lang w:bidi="ar-SA"/>
        </w:rPr>
        <w:t xml:space="preserve">n </w:t>
      </w:r>
      <w:r>
        <w:rPr>
          <w:rFonts w:ascii="Calibri" w:eastAsia="Times New Roman" w:hAnsi="Calibri" w:cs="Calibri"/>
          <w:szCs w:val="22"/>
          <w:lang w:bidi="ar-SA"/>
        </w:rPr>
        <w:t>computer-aided design and</w:t>
      </w:r>
      <w:r w:rsidRPr="00803627">
        <w:rPr>
          <w:rFonts w:ascii="Calibri" w:eastAsia="Times New Roman" w:hAnsi="Calibri" w:cs="Calibri"/>
          <w:szCs w:val="22"/>
          <w:lang w:bidi="ar-SA"/>
        </w:rPr>
        <w:t xml:space="preserve"> software</w:t>
      </w:r>
      <w:r>
        <w:rPr>
          <w:rFonts w:ascii="Calibri" w:eastAsia="Times New Roman" w:hAnsi="Calibri" w:cs="Calibri"/>
          <w:szCs w:val="22"/>
          <w:lang w:bidi="ar-SA"/>
        </w:rPr>
        <w:t xml:space="preserve"> innovations</w:t>
      </w:r>
      <w:r w:rsidRPr="00803627">
        <w:rPr>
          <w:rFonts w:ascii="Calibri" w:eastAsia="Times New Roman" w:hAnsi="Calibri" w:cs="Calibri"/>
          <w:szCs w:val="22"/>
          <w:lang w:bidi="ar-SA"/>
        </w:rPr>
        <w:t xml:space="preserve">, </w:t>
      </w:r>
      <w:r>
        <w:rPr>
          <w:rFonts w:ascii="Calibri" w:eastAsia="Times New Roman" w:hAnsi="Calibri" w:cs="Calibri"/>
          <w:szCs w:val="22"/>
          <w:lang w:bidi="ar-SA"/>
        </w:rPr>
        <w:t>and (</w:t>
      </w:r>
      <w:r w:rsidRPr="00803627">
        <w:rPr>
          <w:rFonts w:ascii="Calibri" w:eastAsia="Times New Roman" w:hAnsi="Calibri" w:cs="Calibri"/>
          <w:szCs w:val="22"/>
          <w:lang w:bidi="ar-SA"/>
        </w:rPr>
        <w:t>ii) scholarships to the Indian Institute of Carpet Technology (IICT). Only through</w:t>
      </w:r>
      <w:r>
        <w:rPr>
          <w:rFonts w:ascii="Calibri" w:eastAsia="Times New Roman" w:hAnsi="Calibri" w:cs="Calibri"/>
          <w:szCs w:val="22"/>
          <w:lang w:bidi="ar-SA"/>
        </w:rPr>
        <w:t xml:space="preserve"> enhanced</w:t>
      </w:r>
      <w:r w:rsidRPr="00803627">
        <w:rPr>
          <w:rFonts w:ascii="Calibri" w:eastAsia="Times New Roman" w:hAnsi="Calibri" w:cs="Calibri"/>
          <w:szCs w:val="22"/>
          <w:lang w:bidi="ar-SA"/>
        </w:rPr>
        <w:t xml:space="preserve"> investment in design will Afghan carpet exports </w:t>
      </w:r>
      <w:r>
        <w:rPr>
          <w:rFonts w:ascii="Calibri" w:eastAsia="Times New Roman" w:hAnsi="Calibri" w:cs="Calibri"/>
          <w:szCs w:val="22"/>
          <w:lang w:bidi="ar-SA"/>
        </w:rPr>
        <w:t xml:space="preserve">regain and </w:t>
      </w:r>
      <w:r w:rsidRPr="00803627">
        <w:rPr>
          <w:rFonts w:ascii="Calibri" w:eastAsia="Times New Roman" w:hAnsi="Calibri" w:cs="Calibri"/>
          <w:szCs w:val="22"/>
          <w:lang w:bidi="ar-SA"/>
        </w:rPr>
        <w:t>retain their share in global markets.</w:t>
      </w:r>
    </w:p>
    <w:p w:rsidR="00FA1FE1" w:rsidRPr="00803627" w:rsidRDefault="00FA1FE1" w:rsidP="00FA1FE1">
      <w:pPr>
        <w:spacing w:after="0"/>
        <w:rPr>
          <w:rFonts w:ascii="Calibri" w:eastAsia="Times New Roman" w:hAnsi="Calibri" w:cs="Calibri"/>
          <w:szCs w:val="22"/>
          <w:lang w:eastAsia="de-DE"/>
        </w:rPr>
      </w:pPr>
    </w:p>
    <w:p w:rsidR="00FA1FE1" w:rsidRPr="00803627" w:rsidRDefault="00FA1FE1" w:rsidP="00FA1FE1">
      <w:pPr>
        <w:spacing w:after="0"/>
        <w:rPr>
          <w:rFonts w:ascii="Calibri" w:eastAsia="Times New Roman" w:hAnsi="Calibri" w:cs="Calibri"/>
          <w:szCs w:val="22"/>
          <w:lang w:bidi="ar-SA"/>
        </w:rPr>
      </w:pPr>
      <w:r w:rsidRPr="00803627">
        <w:rPr>
          <w:rFonts w:ascii="Calibri" w:eastAsia="Times New Roman" w:hAnsi="Calibri" w:cs="Calibri"/>
          <w:b/>
          <w:szCs w:val="22"/>
          <w:lang w:bidi="ar-SA"/>
        </w:rPr>
        <w:t xml:space="preserve">Promote </w:t>
      </w:r>
      <w:r>
        <w:rPr>
          <w:rFonts w:ascii="Calibri" w:eastAsia="Times New Roman" w:hAnsi="Calibri" w:cs="Calibri"/>
          <w:b/>
          <w:szCs w:val="22"/>
          <w:lang w:bidi="ar-SA"/>
        </w:rPr>
        <w:t>the use of domestically-produced wool over imported wool</w:t>
      </w:r>
      <w:r w:rsidRPr="00803627">
        <w:rPr>
          <w:rFonts w:ascii="Calibri" w:eastAsia="Times New Roman" w:hAnsi="Calibri" w:cs="Calibri"/>
          <w:b/>
          <w:szCs w:val="22"/>
          <w:lang w:bidi="ar-SA"/>
        </w:rPr>
        <w:t xml:space="preserve">. </w:t>
      </w:r>
      <w:r w:rsidRPr="00803627">
        <w:rPr>
          <w:rFonts w:cstheme="minorHAnsi"/>
          <w:szCs w:val="22"/>
        </w:rPr>
        <w:t xml:space="preserve">Afghanistan </w:t>
      </w:r>
      <w:r>
        <w:rPr>
          <w:rFonts w:cstheme="minorHAnsi"/>
          <w:szCs w:val="22"/>
        </w:rPr>
        <w:t>could</w:t>
      </w:r>
      <w:r w:rsidRPr="00803627">
        <w:rPr>
          <w:rFonts w:cstheme="minorHAnsi"/>
          <w:szCs w:val="22"/>
        </w:rPr>
        <w:t xml:space="preserve"> triple the value </w:t>
      </w:r>
      <w:r>
        <w:rPr>
          <w:rFonts w:cstheme="minorHAnsi"/>
          <w:szCs w:val="22"/>
        </w:rPr>
        <w:t>of its carpet revenues using</w:t>
      </w:r>
      <w:r w:rsidRPr="00803627">
        <w:rPr>
          <w:rFonts w:cstheme="minorHAnsi"/>
          <w:szCs w:val="22"/>
        </w:rPr>
        <w:t xml:space="preserve"> locally produced wool</w:t>
      </w:r>
      <w:r w:rsidRPr="00803627">
        <w:rPr>
          <w:rFonts w:ascii="Calibri" w:eastAsia="Times New Roman" w:hAnsi="Calibri" w:cs="Calibri"/>
          <w:szCs w:val="22"/>
          <w:lang w:bidi="ar-SA"/>
        </w:rPr>
        <w:t xml:space="preserve">. </w:t>
      </w:r>
      <w:r>
        <w:rPr>
          <w:rFonts w:ascii="Calibri" w:eastAsia="Times New Roman" w:hAnsi="Calibri" w:cs="Calibri"/>
          <w:szCs w:val="22"/>
          <w:lang w:bidi="ar-SA"/>
        </w:rPr>
        <w:t>This would require</w:t>
      </w:r>
      <w:r w:rsidRPr="00803627">
        <w:rPr>
          <w:rFonts w:ascii="Calibri" w:eastAsia="Times New Roman" w:hAnsi="Calibri" w:cs="Calibri"/>
          <w:szCs w:val="22"/>
          <w:lang w:bidi="ar-SA"/>
        </w:rPr>
        <w:t xml:space="preserve"> the private sector establish</w:t>
      </w:r>
      <w:r>
        <w:rPr>
          <w:rFonts w:ascii="Calibri" w:eastAsia="Times New Roman" w:hAnsi="Calibri" w:cs="Calibri"/>
          <w:szCs w:val="22"/>
          <w:lang w:bidi="ar-SA"/>
        </w:rPr>
        <w:t>ing</w:t>
      </w:r>
      <w:r w:rsidRPr="00803627">
        <w:rPr>
          <w:rFonts w:ascii="Calibri" w:eastAsia="Times New Roman" w:hAnsi="Calibri" w:cs="Calibri"/>
          <w:szCs w:val="22"/>
          <w:lang w:bidi="ar-SA"/>
        </w:rPr>
        <w:t xml:space="preserve"> wool association and collection cent</w:t>
      </w:r>
      <w:r>
        <w:rPr>
          <w:rFonts w:ascii="Calibri" w:eastAsia="Times New Roman" w:hAnsi="Calibri" w:cs="Calibri"/>
          <w:szCs w:val="22"/>
          <w:lang w:bidi="ar-SA"/>
        </w:rPr>
        <w:t>er</w:t>
      </w:r>
      <w:r w:rsidRPr="00803627">
        <w:rPr>
          <w:rFonts w:ascii="Calibri" w:eastAsia="Times New Roman" w:hAnsi="Calibri" w:cs="Calibri"/>
          <w:szCs w:val="22"/>
          <w:lang w:bidi="ar-SA"/>
        </w:rPr>
        <w:t xml:space="preserve">s (warehouses) for wool cleaning, washing, and packing in the </w:t>
      </w:r>
      <w:r>
        <w:rPr>
          <w:rFonts w:ascii="Calibri" w:eastAsia="Times New Roman" w:hAnsi="Calibri" w:cs="Calibri"/>
          <w:szCs w:val="22"/>
          <w:lang w:bidi="ar-SA"/>
        </w:rPr>
        <w:t>c</w:t>
      </w:r>
      <w:r w:rsidRPr="00803627">
        <w:rPr>
          <w:rFonts w:ascii="Calibri" w:eastAsia="Times New Roman" w:hAnsi="Calibri" w:cs="Calibri"/>
          <w:szCs w:val="22"/>
          <w:lang w:bidi="ar-SA"/>
        </w:rPr>
        <w:t xml:space="preserve">entral and </w:t>
      </w:r>
      <w:r>
        <w:rPr>
          <w:rFonts w:ascii="Calibri" w:eastAsia="Times New Roman" w:hAnsi="Calibri" w:cs="Calibri"/>
          <w:szCs w:val="22"/>
          <w:lang w:bidi="ar-SA"/>
        </w:rPr>
        <w:t>s</w:t>
      </w:r>
      <w:r w:rsidRPr="00803627">
        <w:rPr>
          <w:rFonts w:ascii="Calibri" w:eastAsia="Times New Roman" w:hAnsi="Calibri" w:cs="Calibri"/>
          <w:szCs w:val="22"/>
          <w:lang w:bidi="ar-SA"/>
        </w:rPr>
        <w:t>outh</w:t>
      </w:r>
      <w:r>
        <w:rPr>
          <w:rFonts w:ascii="Calibri" w:eastAsia="Times New Roman" w:hAnsi="Calibri" w:cs="Calibri"/>
          <w:szCs w:val="22"/>
          <w:lang w:bidi="ar-SA"/>
        </w:rPr>
        <w:t>ern</w:t>
      </w:r>
      <w:r w:rsidRPr="00803627">
        <w:rPr>
          <w:rFonts w:ascii="Calibri" w:eastAsia="Times New Roman" w:hAnsi="Calibri" w:cs="Calibri"/>
          <w:szCs w:val="22"/>
          <w:lang w:bidi="ar-SA"/>
        </w:rPr>
        <w:t xml:space="preserve"> </w:t>
      </w:r>
      <w:r>
        <w:rPr>
          <w:rFonts w:ascii="Calibri" w:eastAsia="Times New Roman" w:hAnsi="Calibri" w:cs="Calibri"/>
          <w:szCs w:val="22"/>
          <w:lang w:bidi="ar-SA"/>
        </w:rPr>
        <w:t>r</w:t>
      </w:r>
      <w:r w:rsidRPr="00803627">
        <w:rPr>
          <w:rFonts w:ascii="Calibri" w:eastAsia="Times New Roman" w:hAnsi="Calibri" w:cs="Calibri"/>
          <w:szCs w:val="22"/>
          <w:lang w:bidi="ar-SA"/>
        </w:rPr>
        <w:t xml:space="preserve">egions. </w:t>
      </w:r>
      <w:r>
        <w:rPr>
          <w:rFonts w:ascii="Calibri" w:eastAsia="Times New Roman" w:hAnsi="Calibri" w:cs="Calibri"/>
          <w:szCs w:val="22"/>
          <w:lang w:bidi="ar-SA"/>
        </w:rPr>
        <w:t>T</w:t>
      </w:r>
      <w:r w:rsidRPr="00803627">
        <w:rPr>
          <w:rFonts w:ascii="Calibri" w:eastAsia="Times New Roman" w:hAnsi="Calibri" w:cs="Calibri"/>
          <w:szCs w:val="22"/>
          <w:lang w:bidi="ar-SA"/>
        </w:rPr>
        <w:t xml:space="preserve">echnical support </w:t>
      </w:r>
      <w:r>
        <w:rPr>
          <w:rFonts w:ascii="Calibri" w:eastAsia="Times New Roman" w:hAnsi="Calibri" w:cs="Calibri"/>
          <w:szCs w:val="22"/>
          <w:lang w:bidi="ar-SA"/>
        </w:rPr>
        <w:t>would also be necessary for</w:t>
      </w:r>
      <w:r w:rsidRPr="00803627">
        <w:rPr>
          <w:rFonts w:ascii="Calibri" w:eastAsia="Times New Roman" w:hAnsi="Calibri" w:cs="Calibri"/>
          <w:szCs w:val="22"/>
          <w:lang w:bidi="ar-SA"/>
        </w:rPr>
        <w:t xml:space="preserve"> existing wool spinning</w:t>
      </w:r>
      <w:r>
        <w:rPr>
          <w:rFonts w:ascii="Calibri" w:eastAsia="Times New Roman" w:hAnsi="Calibri" w:cs="Calibri"/>
          <w:szCs w:val="22"/>
          <w:lang w:bidi="ar-SA"/>
        </w:rPr>
        <w:t xml:space="preserve"> and </w:t>
      </w:r>
      <w:r w:rsidRPr="00803627">
        <w:rPr>
          <w:rFonts w:ascii="Calibri" w:eastAsia="Times New Roman" w:hAnsi="Calibri" w:cs="Calibri"/>
          <w:szCs w:val="22"/>
          <w:lang w:bidi="ar-SA"/>
        </w:rPr>
        <w:t>dy</w:t>
      </w:r>
      <w:r>
        <w:rPr>
          <w:rFonts w:ascii="Calibri" w:eastAsia="Times New Roman" w:hAnsi="Calibri" w:cs="Calibri"/>
          <w:szCs w:val="22"/>
          <w:lang w:bidi="ar-SA"/>
        </w:rPr>
        <w:t>e</w:t>
      </w:r>
      <w:r w:rsidRPr="00803627">
        <w:rPr>
          <w:rFonts w:ascii="Calibri" w:eastAsia="Times New Roman" w:hAnsi="Calibri" w:cs="Calibri"/>
          <w:szCs w:val="22"/>
          <w:lang w:bidi="ar-SA"/>
        </w:rPr>
        <w:t>ing factories</w:t>
      </w:r>
      <w:r>
        <w:rPr>
          <w:rFonts w:ascii="Calibri" w:eastAsia="Times New Roman" w:hAnsi="Calibri" w:cs="Calibri"/>
          <w:szCs w:val="22"/>
          <w:lang w:bidi="ar-SA"/>
        </w:rPr>
        <w:t>,</w:t>
      </w:r>
      <w:r w:rsidRPr="00803627">
        <w:rPr>
          <w:rFonts w:ascii="Calibri" w:eastAsia="Times New Roman" w:hAnsi="Calibri" w:cs="Calibri"/>
          <w:szCs w:val="22"/>
          <w:lang w:bidi="ar-SA"/>
        </w:rPr>
        <w:t xml:space="preserve"> and </w:t>
      </w:r>
      <w:r>
        <w:rPr>
          <w:rFonts w:ascii="Calibri" w:eastAsia="Times New Roman" w:hAnsi="Calibri" w:cs="Calibri"/>
          <w:szCs w:val="22"/>
          <w:lang w:bidi="ar-SA"/>
        </w:rPr>
        <w:t xml:space="preserve">financial </w:t>
      </w:r>
      <w:r w:rsidRPr="00803627">
        <w:rPr>
          <w:rFonts w:ascii="Calibri" w:eastAsia="Times New Roman" w:hAnsi="Calibri" w:cs="Calibri"/>
          <w:szCs w:val="22"/>
          <w:lang w:bidi="ar-SA"/>
        </w:rPr>
        <w:t xml:space="preserve">support </w:t>
      </w:r>
      <w:r>
        <w:rPr>
          <w:rFonts w:ascii="Calibri" w:eastAsia="Times New Roman" w:hAnsi="Calibri" w:cs="Calibri"/>
          <w:szCs w:val="22"/>
          <w:lang w:bidi="ar-SA"/>
        </w:rPr>
        <w:t xml:space="preserve">for </w:t>
      </w:r>
      <w:r w:rsidRPr="00803627">
        <w:rPr>
          <w:rFonts w:ascii="Calibri" w:eastAsia="Times New Roman" w:hAnsi="Calibri" w:cs="Calibri"/>
          <w:szCs w:val="22"/>
          <w:lang w:bidi="ar-SA"/>
        </w:rPr>
        <w:t xml:space="preserve">opening new facilities in the </w:t>
      </w:r>
      <w:r>
        <w:rPr>
          <w:rFonts w:ascii="Calibri" w:eastAsia="Times New Roman" w:hAnsi="Calibri" w:cs="Calibri"/>
          <w:szCs w:val="22"/>
          <w:lang w:bidi="ar-SA"/>
        </w:rPr>
        <w:t>n</w:t>
      </w:r>
      <w:r w:rsidRPr="00803627">
        <w:rPr>
          <w:rFonts w:ascii="Calibri" w:eastAsia="Times New Roman" w:hAnsi="Calibri" w:cs="Calibri"/>
          <w:szCs w:val="22"/>
          <w:lang w:bidi="ar-SA"/>
        </w:rPr>
        <w:t xml:space="preserve">orthern and </w:t>
      </w:r>
      <w:r>
        <w:rPr>
          <w:rFonts w:ascii="Calibri" w:eastAsia="Times New Roman" w:hAnsi="Calibri" w:cs="Calibri"/>
          <w:szCs w:val="22"/>
          <w:lang w:bidi="ar-SA"/>
        </w:rPr>
        <w:t>w</w:t>
      </w:r>
      <w:r w:rsidRPr="00803627">
        <w:rPr>
          <w:rFonts w:ascii="Calibri" w:eastAsia="Times New Roman" w:hAnsi="Calibri" w:cs="Calibri"/>
          <w:szCs w:val="22"/>
          <w:lang w:bidi="ar-SA"/>
        </w:rPr>
        <w:t xml:space="preserve">estern </w:t>
      </w:r>
      <w:r>
        <w:rPr>
          <w:rFonts w:ascii="Calibri" w:eastAsia="Times New Roman" w:hAnsi="Calibri" w:cs="Calibri"/>
          <w:szCs w:val="22"/>
          <w:lang w:bidi="ar-SA"/>
        </w:rPr>
        <w:t>r</w:t>
      </w:r>
      <w:r w:rsidRPr="00803627">
        <w:rPr>
          <w:rFonts w:ascii="Calibri" w:eastAsia="Times New Roman" w:hAnsi="Calibri" w:cs="Calibri"/>
          <w:szCs w:val="22"/>
          <w:lang w:bidi="ar-SA"/>
        </w:rPr>
        <w:t xml:space="preserve">egions.  </w:t>
      </w:r>
    </w:p>
    <w:p w:rsidR="00FA1FE1" w:rsidRPr="00803627" w:rsidRDefault="00FA1FE1" w:rsidP="00FA1FE1">
      <w:pPr>
        <w:spacing w:after="0"/>
        <w:rPr>
          <w:rFonts w:ascii="Calibri" w:eastAsia="Times New Roman" w:hAnsi="Calibri" w:cs="Calibri"/>
          <w:szCs w:val="22"/>
          <w:lang w:eastAsia="de-DE"/>
        </w:rPr>
      </w:pPr>
    </w:p>
    <w:p w:rsidR="00FA1FE1" w:rsidRPr="00803627" w:rsidRDefault="00FA1FE1" w:rsidP="00FA1FE1">
      <w:pPr>
        <w:rPr>
          <w:rFonts w:ascii="Calibri" w:eastAsia="Times New Roman" w:hAnsi="Calibri" w:cs="Calibri"/>
          <w:szCs w:val="22"/>
          <w:lang w:bidi="ar-SA"/>
        </w:rPr>
      </w:pPr>
      <w:r w:rsidRPr="00803627">
        <w:rPr>
          <w:rFonts w:ascii="Calibri" w:eastAsia="Times New Roman" w:hAnsi="Calibri" w:cs="Calibri"/>
          <w:b/>
          <w:szCs w:val="22"/>
          <w:lang w:bidi="ar-SA"/>
        </w:rPr>
        <w:t>Develop an export</w:t>
      </w:r>
      <w:r>
        <w:rPr>
          <w:rFonts w:ascii="Calibri" w:eastAsia="Times New Roman" w:hAnsi="Calibri" w:cs="Calibri"/>
          <w:b/>
          <w:szCs w:val="22"/>
          <w:lang w:bidi="ar-SA"/>
        </w:rPr>
        <w:t>-</w:t>
      </w:r>
      <w:r w:rsidRPr="00803627">
        <w:rPr>
          <w:rFonts w:ascii="Calibri" w:eastAsia="Times New Roman" w:hAnsi="Calibri" w:cs="Calibri"/>
          <w:b/>
          <w:szCs w:val="22"/>
          <w:lang w:bidi="ar-SA"/>
        </w:rPr>
        <w:t xml:space="preserve">finance scheme for experienced carpet exporters. </w:t>
      </w:r>
      <w:r w:rsidRPr="00803627">
        <w:rPr>
          <w:rFonts w:ascii="Calibri" w:eastAsia="Times New Roman" w:hAnsi="Calibri" w:cs="Calibri"/>
          <w:szCs w:val="22"/>
          <w:lang w:bidi="ar-SA"/>
        </w:rPr>
        <w:t>This w</w:t>
      </w:r>
      <w:r>
        <w:rPr>
          <w:rFonts w:ascii="Calibri" w:eastAsia="Times New Roman" w:hAnsi="Calibri" w:cs="Calibri"/>
          <w:szCs w:val="22"/>
          <w:lang w:bidi="ar-SA"/>
        </w:rPr>
        <w:t>ould</w:t>
      </w:r>
      <w:r w:rsidRPr="00803627">
        <w:rPr>
          <w:rFonts w:ascii="Calibri" w:eastAsia="Times New Roman" w:hAnsi="Calibri" w:cs="Calibri"/>
          <w:szCs w:val="22"/>
          <w:lang w:bidi="ar-SA"/>
        </w:rPr>
        <w:t xml:space="preserve"> en</w:t>
      </w:r>
      <w:r>
        <w:rPr>
          <w:rFonts w:ascii="Calibri" w:eastAsia="Times New Roman" w:hAnsi="Calibri" w:cs="Calibri"/>
          <w:szCs w:val="22"/>
          <w:lang w:bidi="ar-SA"/>
        </w:rPr>
        <w:t>able</w:t>
      </w:r>
      <w:r w:rsidRPr="00803627">
        <w:rPr>
          <w:rFonts w:ascii="Calibri" w:eastAsia="Times New Roman" w:hAnsi="Calibri" w:cs="Calibri"/>
          <w:szCs w:val="22"/>
          <w:lang w:bidi="ar-SA"/>
        </w:rPr>
        <w:t xml:space="preserve"> Afghan exporters </w:t>
      </w:r>
      <w:r>
        <w:rPr>
          <w:rFonts w:ascii="Calibri" w:eastAsia="Times New Roman" w:hAnsi="Calibri" w:cs="Calibri"/>
          <w:szCs w:val="22"/>
          <w:lang w:bidi="ar-SA"/>
        </w:rPr>
        <w:t>to</w:t>
      </w:r>
      <w:r w:rsidRPr="00803627">
        <w:rPr>
          <w:rFonts w:ascii="Calibri" w:eastAsia="Times New Roman" w:hAnsi="Calibri" w:cs="Calibri"/>
          <w:szCs w:val="22"/>
          <w:lang w:bidi="ar-SA"/>
        </w:rPr>
        <w:t xml:space="preserve"> compete with </w:t>
      </w:r>
      <w:r>
        <w:rPr>
          <w:rFonts w:ascii="Calibri" w:eastAsia="Times New Roman" w:hAnsi="Calibri" w:cs="Calibri"/>
          <w:szCs w:val="22"/>
          <w:lang w:bidi="ar-SA"/>
        </w:rPr>
        <w:t xml:space="preserve">their </w:t>
      </w:r>
      <w:r w:rsidRPr="00803627">
        <w:rPr>
          <w:rFonts w:ascii="Calibri" w:eastAsia="Times New Roman" w:hAnsi="Calibri" w:cs="Calibri"/>
          <w:szCs w:val="22"/>
          <w:lang w:bidi="ar-SA"/>
        </w:rPr>
        <w:t>Pakistan</w:t>
      </w:r>
      <w:r>
        <w:rPr>
          <w:rFonts w:ascii="Calibri" w:eastAsia="Times New Roman" w:hAnsi="Calibri" w:cs="Calibri"/>
          <w:szCs w:val="22"/>
          <w:lang w:bidi="ar-SA"/>
        </w:rPr>
        <w:t>i competitors</w:t>
      </w:r>
      <w:r w:rsidRPr="00803627">
        <w:rPr>
          <w:rFonts w:ascii="Calibri" w:eastAsia="Times New Roman" w:hAnsi="Calibri" w:cs="Calibri"/>
          <w:szCs w:val="22"/>
          <w:lang w:bidi="ar-SA"/>
        </w:rPr>
        <w:t xml:space="preserve"> in </w:t>
      </w:r>
      <w:r>
        <w:rPr>
          <w:rFonts w:ascii="Calibri" w:eastAsia="Times New Roman" w:hAnsi="Calibri" w:cs="Calibri"/>
          <w:szCs w:val="22"/>
          <w:lang w:bidi="ar-SA"/>
        </w:rPr>
        <w:t>offering buyers favorable</w:t>
      </w:r>
      <w:r w:rsidRPr="00803627">
        <w:rPr>
          <w:rFonts w:ascii="Calibri" w:eastAsia="Times New Roman" w:hAnsi="Calibri" w:cs="Calibri"/>
          <w:szCs w:val="22"/>
          <w:lang w:bidi="ar-SA"/>
        </w:rPr>
        <w:t xml:space="preserve"> financial terms.</w:t>
      </w:r>
    </w:p>
    <w:p w:rsidR="00FA1FE1" w:rsidRDefault="00FA1FE1">
      <w:pPr>
        <w:jc w:val="left"/>
        <w:rPr>
          <w:rFonts w:eastAsiaTheme="majorEastAsia" w:cstheme="minorHAnsi"/>
          <w:b/>
          <w:bCs/>
          <w:sz w:val="32"/>
          <w:szCs w:val="32"/>
        </w:rPr>
      </w:pPr>
      <w:r>
        <w:br w:type="page"/>
      </w:r>
    </w:p>
    <w:p w:rsidR="00BC7E13" w:rsidRPr="000845DD" w:rsidRDefault="00791E47" w:rsidP="00C40E9C">
      <w:pPr>
        <w:pStyle w:val="Heading1"/>
      </w:pPr>
      <w:bookmarkStart w:id="257" w:name="_Toc348451701"/>
      <w:r>
        <w:t>Chapter I</w:t>
      </w:r>
      <w:r w:rsidR="00FA1FE1">
        <w:t>I</w:t>
      </w:r>
      <w:r>
        <w:t>I</w:t>
      </w:r>
      <w:r w:rsidR="0096188B">
        <w:t>:</w:t>
      </w:r>
      <w:r>
        <w:t xml:space="preserve">  Customs </w:t>
      </w:r>
      <w:r w:rsidR="006A71B4">
        <w:t>R</w:t>
      </w:r>
      <w:r w:rsidR="00BC7E13" w:rsidRPr="000845DD">
        <w:t xml:space="preserve">eform </w:t>
      </w:r>
      <w:r w:rsidR="006A71B4">
        <w:t>W</w:t>
      </w:r>
      <w:r w:rsidR="00BC7E13" w:rsidRPr="000845DD">
        <w:t xml:space="preserve">ill </w:t>
      </w:r>
      <w:r w:rsidR="006A71B4">
        <w:t>S</w:t>
      </w:r>
      <w:r w:rsidR="002739A5" w:rsidRPr="000845DD">
        <w:t>trengthen</w:t>
      </w:r>
      <w:r w:rsidR="00BC7E13" w:rsidRPr="000845DD">
        <w:t xml:space="preserve"> </w:t>
      </w:r>
      <w:r w:rsidR="006A71B4">
        <w:t>T</w:t>
      </w:r>
      <w:r w:rsidR="00BC7E13" w:rsidRPr="000845DD">
        <w:t xml:space="preserve">rade </w:t>
      </w:r>
      <w:r w:rsidR="006A71B4">
        <w:t>F</w:t>
      </w:r>
      <w:r w:rsidR="00BC7E13" w:rsidRPr="000845DD">
        <w:t>acilitation</w:t>
      </w:r>
      <w:bookmarkEnd w:id="225"/>
      <w:bookmarkEnd w:id="257"/>
    </w:p>
    <w:p w:rsidR="001377E2" w:rsidRDefault="00492632" w:rsidP="006A71B4">
      <w:pPr>
        <w:spacing w:before="240"/>
        <w:rPr>
          <w:rFonts w:eastAsiaTheme="minorHAnsi" w:cstheme="minorHAnsi"/>
          <w:i/>
          <w:szCs w:val="22"/>
          <w:lang w:bidi="ar-SA"/>
        </w:rPr>
      </w:pPr>
      <w:r w:rsidRPr="006A71B4">
        <w:rPr>
          <w:rFonts w:cstheme="minorHAnsi"/>
          <w:i/>
          <w:szCs w:val="22"/>
        </w:rPr>
        <w:t>Customs and border management modernization will most likely have the greatest impact in terms of</w:t>
      </w:r>
      <w:r w:rsidRPr="006A71B4">
        <w:rPr>
          <w:rFonts w:cstheme="minorHAnsi"/>
          <w:b/>
          <w:i/>
          <w:szCs w:val="22"/>
        </w:rPr>
        <w:t xml:space="preserve"> </w:t>
      </w:r>
      <w:r w:rsidRPr="006A71B4">
        <w:rPr>
          <w:rFonts w:cstheme="minorHAnsi"/>
          <w:i/>
          <w:szCs w:val="22"/>
        </w:rPr>
        <w:t xml:space="preserve">lowering transaction costs on trade in Afghanistan, by </w:t>
      </w:r>
      <w:r w:rsidR="00CC0AA7" w:rsidRPr="006A71B4">
        <w:rPr>
          <w:rFonts w:cstheme="minorHAnsi"/>
          <w:i/>
          <w:szCs w:val="22"/>
        </w:rPr>
        <w:t>easing</w:t>
      </w:r>
      <w:r w:rsidRPr="006A71B4">
        <w:rPr>
          <w:rFonts w:cstheme="minorHAnsi"/>
          <w:i/>
          <w:szCs w:val="22"/>
        </w:rPr>
        <w:t xml:space="preserve"> trade facilitation and strengthening trade integration.  </w:t>
      </w:r>
      <w:r w:rsidR="003359A5">
        <w:rPr>
          <w:rFonts w:cstheme="minorHAnsi"/>
          <w:i/>
          <w:szCs w:val="22"/>
        </w:rPr>
        <w:t>A</w:t>
      </w:r>
      <w:r w:rsidR="00113235" w:rsidRPr="006A71B4">
        <w:rPr>
          <w:rFonts w:cstheme="minorHAnsi"/>
          <w:i/>
          <w:szCs w:val="22"/>
        </w:rPr>
        <w:t xml:space="preserve">  trade  supply  chain  is  only  as  strong  as  its  weakest  link</w:t>
      </w:r>
      <w:r w:rsidR="003359A5">
        <w:rPr>
          <w:rFonts w:cstheme="minorHAnsi"/>
          <w:i/>
          <w:szCs w:val="22"/>
        </w:rPr>
        <w:t xml:space="preserve"> and </w:t>
      </w:r>
      <w:r w:rsidRPr="006A71B4">
        <w:rPr>
          <w:rFonts w:cstheme="minorHAnsi"/>
          <w:i/>
          <w:szCs w:val="22"/>
        </w:rPr>
        <w:t>c</w:t>
      </w:r>
      <w:r w:rsidR="00113235" w:rsidRPr="006A71B4">
        <w:rPr>
          <w:rFonts w:cstheme="minorHAnsi"/>
          <w:i/>
          <w:szCs w:val="22"/>
        </w:rPr>
        <w:t xml:space="preserve">ountries </w:t>
      </w:r>
      <w:r w:rsidR="001B07DD" w:rsidRPr="006A71B4">
        <w:rPr>
          <w:rFonts w:cstheme="minorHAnsi"/>
          <w:i/>
          <w:szCs w:val="22"/>
        </w:rPr>
        <w:t>that aim to improve tr</w:t>
      </w:r>
      <w:r w:rsidR="00113235" w:rsidRPr="006A71B4">
        <w:rPr>
          <w:rFonts w:cstheme="minorHAnsi"/>
          <w:i/>
          <w:szCs w:val="22"/>
        </w:rPr>
        <w:t xml:space="preserve">ade  logistics  </w:t>
      </w:r>
      <w:r w:rsidR="001B07DD" w:rsidRPr="006A71B4">
        <w:rPr>
          <w:rFonts w:cstheme="minorHAnsi"/>
          <w:i/>
          <w:szCs w:val="22"/>
        </w:rPr>
        <w:t xml:space="preserve">are faced with </w:t>
      </w:r>
      <w:r w:rsidR="00113235" w:rsidRPr="006A71B4">
        <w:rPr>
          <w:rFonts w:cstheme="minorHAnsi"/>
          <w:i/>
          <w:szCs w:val="22"/>
        </w:rPr>
        <w:t xml:space="preserve"> </w:t>
      </w:r>
      <w:r w:rsidRPr="006A71B4">
        <w:rPr>
          <w:rFonts w:cstheme="minorHAnsi"/>
          <w:i/>
          <w:szCs w:val="22"/>
        </w:rPr>
        <w:t xml:space="preserve">the </w:t>
      </w:r>
      <w:r w:rsidR="00113235" w:rsidRPr="006A71B4">
        <w:rPr>
          <w:rFonts w:cstheme="minorHAnsi"/>
          <w:i/>
          <w:szCs w:val="22"/>
        </w:rPr>
        <w:t xml:space="preserve">need  to  reform  and  modernize  border  management  institutions, change  transport  regulation  policy,  and  invest  in  trade related </w:t>
      </w:r>
      <w:r w:rsidR="001B07DD" w:rsidRPr="006A71B4">
        <w:rPr>
          <w:rFonts w:cstheme="minorHAnsi"/>
          <w:i/>
          <w:szCs w:val="22"/>
        </w:rPr>
        <w:t>infrastructure.</w:t>
      </w:r>
      <w:r w:rsidR="00113235" w:rsidRPr="006A71B4">
        <w:rPr>
          <w:rFonts w:cstheme="minorHAnsi"/>
          <w:i/>
          <w:szCs w:val="22"/>
        </w:rPr>
        <w:t xml:space="preserve"> </w:t>
      </w:r>
      <w:r w:rsidRPr="006A71B4">
        <w:rPr>
          <w:rFonts w:cstheme="minorHAnsi"/>
          <w:i/>
          <w:szCs w:val="22"/>
        </w:rPr>
        <w:t xml:space="preserve"> </w:t>
      </w:r>
      <w:r w:rsidR="00A14436">
        <w:rPr>
          <w:rFonts w:cstheme="minorHAnsi"/>
          <w:i/>
          <w:szCs w:val="22"/>
        </w:rPr>
        <w:t>O</w:t>
      </w:r>
      <w:r w:rsidRPr="006A71B4">
        <w:rPr>
          <w:rFonts w:cstheme="minorHAnsi"/>
          <w:i/>
          <w:szCs w:val="22"/>
        </w:rPr>
        <w:t xml:space="preserve">ngoing </w:t>
      </w:r>
      <w:r w:rsidR="00895791" w:rsidRPr="006A71B4">
        <w:rPr>
          <w:rFonts w:cstheme="minorHAnsi"/>
          <w:i/>
          <w:szCs w:val="22"/>
        </w:rPr>
        <w:t xml:space="preserve">customs </w:t>
      </w:r>
      <w:r w:rsidRPr="006A71B4">
        <w:rPr>
          <w:rFonts w:cstheme="minorHAnsi"/>
          <w:i/>
          <w:szCs w:val="22"/>
        </w:rPr>
        <w:t>reform</w:t>
      </w:r>
      <w:r w:rsidR="00895791" w:rsidRPr="006A71B4">
        <w:rPr>
          <w:rFonts w:cstheme="minorHAnsi"/>
          <w:i/>
          <w:szCs w:val="22"/>
        </w:rPr>
        <w:t xml:space="preserve"> in Afghanistan</w:t>
      </w:r>
      <w:r w:rsidRPr="006A71B4">
        <w:rPr>
          <w:rFonts w:cstheme="minorHAnsi"/>
          <w:i/>
          <w:szCs w:val="22"/>
        </w:rPr>
        <w:t xml:space="preserve"> </w:t>
      </w:r>
      <w:r w:rsidR="00895791" w:rsidRPr="006A71B4">
        <w:rPr>
          <w:rFonts w:cstheme="minorHAnsi"/>
          <w:i/>
          <w:szCs w:val="22"/>
        </w:rPr>
        <w:t>aims to reorganize</w:t>
      </w:r>
      <w:r w:rsidRPr="006A71B4">
        <w:rPr>
          <w:rFonts w:eastAsiaTheme="minorHAnsi" w:cstheme="minorHAnsi"/>
          <w:i/>
          <w:szCs w:val="22"/>
          <w:lang w:bidi="ar-SA"/>
        </w:rPr>
        <w:t xml:space="preserve"> customs procedures, improv</w:t>
      </w:r>
      <w:r w:rsidR="00895791" w:rsidRPr="006A71B4">
        <w:rPr>
          <w:rFonts w:eastAsiaTheme="minorHAnsi" w:cstheme="minorHAnsi"/>
          <w:i/>
          <w:szCs w:val="22"/>
          <w:lang w:bidi="ar-SA"/>
        </w:rPr>
        <w:t>e</w:t>
      </w:r>
      <w:r w:rsidRPr="006A71B4">
        <w:rPr>
          <w:rFonts w:eastAsiaTheme="minorHAnsi" w:cstheme="minorHAnsi"/>
          <w:i/>
          <w:szCs w:val="22"/>
          <w:lang w:bidi="ar-SA"/>
        </w:rPr>
        <w:t xml:space="preserve"> border facilities, introduc</w:t>
      </w:r>
      <w:r w:rsidR="00895791" w:rsidRPr="006A71B4">
        <w:rPr>
          <w:rFonts w:eastAsiaTheme="minorHAnsi" w:cstheme="minorHAnsi"/>
          <w:i/>
          <w:szCs w:val="22"/>
          <w:lang w:bidi="ar-SA"/>
        </w:rPr>
        <w:t>e</w:t>
      </w:r>
      <w:r w:rsidRPr="006A71B4">
        <w:rPr>
          <w:rFonts w:eastAsiaTheme="minorHAnsi" w:cstheme="minorHAnsi"/>
          <w:i/>
          <w:szCs w:val="22"/>
          <w:lang w:bidi="ar-SA"/>
        </w:rPr>
        <w:t xml:space="preserve"> risk management programs to expedite clearance, and when fully operational</w:t>
      </w:r>
      <w:r w:rsidR="00895791" w:rsidRPr="006A71B4">
        <w:rPr>
          <w:rFonts w:eastAsiaTheme="minorHAnsi" w:cstheme="minorHAnsi"/>
          <w:i/>
          <w:szCs w:val="22"/>
          <w:lang w:bidi="ar-SA"/>
        </w:rPr>
        <w:t>,</w:t>
      </w:r>
      <w:r w:rsidRPr="006A71B4">
        <w:rPr>
          <w:rFonts w:eastAsiaTheme="minorHAnsi" w:cstheme="minorHAnsi"/>
          <w:i/>
          <w:szCs w:val="22"/>
          <w:lang w:bidi="ar-SA"/>
        </w:rPr>
        <w:t xml:space="preserve"> will </w:t>
      </w:r>
      <w:r w:rsidR="00895791" w:rsidRPr="006A71B4">
        <w:rPr>
          <w:rFonts w:eastAsiaTheme="minorHAnsi" w:cstheme="minorHAnsi"/>
          <w:i/>
          <w:szCs w:val="22"/>
          <w:lang w:bidi="ar-SA"/>
        </w:rPr>
        <w:t xml:space="preserve">lower transaction costs and </w:t>
      </w:r>
      <w:r w:rsidRPr="006A71B4">
        <w:rPr>
          <w:rFonts w:eastAsiaTheme="minorHAnsi" w:cstheme="minorHAnsi"/>
          <w:i/>
          <w:szCs w:val="22"/>
          <w:lang w:bidi="ar-SA"/>
        </w:rPr>
        <w:t>improve trade security.</w:t>
      </w:r>
    </w:p>
    <w:p w:rsidR="00A7359C" w:rsidRPr="000F3A63" w:rsidRDefault="00A7359C" w:rsidP="00320963">
      <w:pPr>
        <w:spacing w:before="240"/>
        <w:jc w:val="center"/>
        <w:rPr>
          <w:rFonts w:eastAsiaTheme="minorHAnsi" w:cstheme="minorHAnsi"/>
          <w:b/>
          <w:color w:val="7D4D99" w:themeColor="accent1"/>
          <w:szCs w:val="22"/>
          <w:lang w:val="en-GB" w:bidi="ar-SA"/>
        </w:rPr>
      </w:pPr>
      <w:r w:rsidRPr="000F3A63">
        <w:rPr>
          <w:rFonts w:eastAsiaTheme="minorHAnsi" w:cstheme="minorHAnsi"/>
          <w:b/>
          <w:color w:val="7D4D99" w:themeColor="accent1"/>
          <w:szCs w:val="22"/>
          <w:lang w:val="en-GB" w:bidi="ar-SA"/>
        </w:rPr>
        <w:t xml:space="preserve">Figure </w:t>
      </w:r>
      <w:r w:rsidR="000F3A63" w:rsidRPr="000F3A63">
        <w:rPr>
          <w:rFonts w:eastAsiaTheme="minorHAnsi" w:cstheme="minorHAnsi"/>
          <w:b/>
          <w:color w:val="7D4D99" w:themeColor="accent1"/>
          <w:szCs w:val="22"/>
          <w:lang w:val="en-GB" w:bidi="ar-SA"/>
        </w:rPr>
        <w:t xml:space="preserve">2.1.  </w:t>
      </w:r>
      <w:r w:rsidRPr="000F3A63">
        <w:rPr>
          <w:rFonts w:eastAsiaTheme="minorHAnsi" w:cstheme="minorHAnsi"/>
          <w:b/>
          <w:color w:val="7D4D99" w:themeColor="accent1"/>
          <w:szCs w:val="22"/>
          <w:lang w:val="en-GB" w:bidi="ar-SA"/>
        </w:rPr>
        <w:t xml:space="preserve">Afghanistan’s </w:t>
      </w:r>
      <w:r w:rsidR="000F3A63" w:rsidRPr="000F3A63">
        <w:rPr>
          <w:rFonts w:eastAsiaTheme="minorHAnsi" w:cstheme="minorHAnsi"/>
          <w:b/>
          <w:color w:val="7D4D99" w:themeColor="accent1"/>
          <w:szCs w:val="22"/>
          <w:lang w:val="en-GB" w:bidi="ar-SA"/>
        </w:rPr>
        <w:t>Main Trade Corridors.</w:t>
      </w:r>
    </w:p>
    <w:p w:rsidR="004C6ECE" w:rsidRDefault="004C6ECE" w:rsidP="00A7359C">
      <w:pPr>
        <w:spacing w:before="240"/>
        <w:jc w:val="center"/>
        <w:rPr>
          <w:rFonts w:eastAsiaTheme="minorHAnsi" w:cstheme="minorHAnsi"/>
          <w:i/>
          <w:szCs w:val="22"/>
          <w:lang w:bidi="ar-SA"/>
        </w:rPr>
      </w:pPr>
      <w:r>
        <w:rPr>
          <w:noProof/>
          <w:szCs w:val="24"/>
          <w:lang w:bidi="ar-SA"/>
        </w:rPr>
        <w:drawing>
          <wp:inline distT="0" distB="0" distL="0" distR="0" wp14:anchorId="3F02AB3D" wp14:editId="64700DF0">
            <wp:extent cx="4102850" cy="3792828"/>
            <wp:effectExtent l="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4103144" cy="3793100"/>
                    </a:xfrm>
                    <a:prstGeom prst="rect">
                      <a:avLst/>
                    </a:prstGeom>
                    <a:noFill/>
                    <a:ln w="9525">
                      <a:noFill/>
                      <a:miter lim="800000"/>
                      <a:headEnd/>
                      <a:tailEnd/>
                    </a:ln>
                  </pic:spPr>
                </pic:pic>
              </a:graphicData>
            </a:graphic>
          </wp:inline>
        </w:drawing>
      </w:r>
    </w:p>
    <w:p w:rsidR="000714DC" w:rsidRDefault="000714DC" w:rsidP="000714DC">
      <w:pPr>
        <w:rPr>
          <w:b/>
          <w:sz w:val="24"/>
          <w:szCs w:val="24"/>
        </w:rPr>
      </w:pPr>
    </w:p>
    <w:p w:rsidR="00844161" w:rsidRPr="00844161" w:rsidRDefault="001D638C" w:rsidP="00320963">
      <w:pPr>
        <w:rPr>
          <w:rFonts w:eastAsiaTheme="majorEastAsia" w:cs="Times New Roman"/>
          <w:bCs/>
        </w:rPr>
      </w:pPr>
      <w:r w:rsidRPr="00844161">
        <w:rPr>
          <w:b/>
          <w:sz w:val="24"/>
          <w:szCs w:val="24"/>
        </w:rPr>
        <w:t>A</w:t>
      </w:r>
      <w:r w:rsidRPr="00844161">
        <w:rPr>
          <w:rFonts w:eastAsiaTheme="majorEastAsia" w:cs="Times New Roman"/>
          <w:b/>
          <w:bCs/>
        </w:rPr>
        <w:t>fghan trade transits mainly through Pakistan and Iran through the border link roads</w:t>
      </w:r>
      <w:r w:rsidRPr="00844161">
        <w:rPr>
          <w:rFonts w:eastAsiaTheme="majorEastAsia" w:cs="Times New Roman"/>
          <w:bCs/>
        </w:rPr>
        <w:t xml:space="preserve">.  </w:t>
      </w:r>
      <w:r w:rsidR="00844161">
        <w:rPr>
          <w:rFonts w:eastAsiaTheme="majorEastAsia" w:cs="Times New Roman"/>
          <w:bCs/>
        </w:rPr>
        <w:t>Thus, g</w:t>
      </w:r>
      <w:r w:rsidR="00844161" w:rsidRPr="00844161">
        <w:rPr>
          <w:rFonts w:eastAsiaTheme="majorEastAsia" w:cs="Times New Roman"/>
          <w:bCs/>
        </w:rPr>
        <w:t>oods to Pakistan travel either through the Kabul–Jalalabad</w:t>
      </w:r>
      <w:r w:rsidR="00844161">
        <w:rPr>
          <w:rFonts w:eastAsiaTheme="majorEastAsia" w:cs="Times New Roman"/>
          <w:bCs/>
        </w:rPr>
        <w:t>-</w:t>
      </w:r>
      <w:r w:rsidR="00700544">
        <w:rPr>
          <w:rFonts w:eastAsiaTheme="majorEastAsia" w:cs="Times New Roman"/>
          <w:bCs/>
        </w:rPr>
        <w:t>To</w:t>
      </w:r>
      <w:r w:rsidR="00844161" w:rsidRPr="00844161">
        <w:rPr>
          <w:rFonts w:eastAsiaTheme="majorEastAsia" w:cs="Times New Roman"/>
          <w:bCs/>
        </w:rPr>
        <w:t>rkham–Landi  Kotal– Peshawar–Karachi</w:t>
      </w:r>
      <w:r w:rsidR="00844161">
        <w:rPr>
          <w:rFonts w:eastAsiaTheme="majorEastAsia" w:cs="Times New Roman"/>
          <w:bCs/>
        </w:rPr>
        <w:t xml:space="preserve"> corridor, a </w:t>
      </w:r>
      <w:r w:rsidR="00844161" w:rsidRPr="00844161">
        <w:rPr>
          <w:rFonts w:eastAsiaTheme="majorEastAsia" w:cs="Times New Roman"/>
          <w:bCs/>
        </w:rPr>
        <w:t>distance of 1800 Km</w:t>
      </w:r>
      <w:r w:rsidR="00844161">
        <w:rPr>
          <w:rFonts w:eastAsiaTheme="majorEastAsia" w:cs="Times New Roman"/>
          <w:bCs/>
        </w:rPr>
        <w:t xml:space="preserve">, or through </w:t>
      </w:r>
      <w:r w:rsidR="00700544">
        <w:rPr>
          <w:rFonts w:eastAsiaTheme="majorEastAsia" w:cs="Times New Roman"/>
          <w:bCs/>
        </w:rPr>
        <w:t>Kabul–K</w:t>
      </w:r>
      <w:r w:rsidR="00844161" w:rsidRPr="00844161">
        <w:rPr>
          <w:rFonts w:eastAsiaTheme="majorEastAsia" w:cs="Times New Roman"/>
          <w:bCs/>
        </w:rPr>
        <w:t>andahar–Spin Boldak–Chaman–Quetta–Karachi distance of 1,500 Km.</w:t>
      </w:r>
      <w:r w:rsidR="00844161" w:rsidRPr="00A7359C">
        <w:rPr>
          <w:rFonts w:eastAsiaTheme="majorEastAsia" w:cs="Times New Roman"/>
          <w:bCs/>
        </w:rPr>
        <w:footnoteReference w:id="52"/>
      </w:r>
      <w:r w:rsidR="00844161" w:rsidRPr="00A7359C">
        <w:rPr>
          <w:rFonts w:eastAsiaTheme="majorEastAsia" w:cs="Times New Roman"/>
          <w:bCs/>
        </w:rPr>
        <w:t xml:space="preserve"> </w:t>
      </w:r>
      <w:r w:rsidR="00844161">
        <w:rPr>
          <w:rFonts w:eastAsiaTheme="majorEastAsia" w:cs="Times New Roman"/>
          <w:bCs/>
        </w:rPr>
        <w:t xml:space="preserve"> </w:t>
      </w:r>
      <w:r w:rsidR="00844161" w:rsidRPr="00844161">
        <w:rPr>
          <w:rFonts w:eastAsiaTheme="majorEastAsia" w:cs="Times New Roman"/>
          <w:bCs/>
        </w:rPr>
        <w:t xml:space="preserve"> </w:t>
      </w:r>
      <w:r w:rsidR="00844161">
        <w:rPr>
          <w:rFonts w:eastAsiaTheme="majorEastAsia" w:cs="Times New Roman"/>
          <w:bCs/>
        </w:rPr>
        <w:t xml:space="preserve">(Figure </w:t>
      </w:r>
      <w:r w:rsidR="00320963">
        <w:rPr>
          <w:rFonts w:eastAsiaTheme="majorEastAsia" w:cs="Times New Roman"/>
          <w:bCs/>
        </w:rPr>
        <w:t>2.1</w:t>
      </w:r>
      <w:r w:rsidR="00844161">
        <w:rPr>
          <w:rFonts w:eastAsiaTheme="majorEastAsia" w:cs="Times New Roman"/>
          <w:bCs/>
        </w:rPr>
        <w:t>)  These</w:t>
      </w:r>
      <w:r w:rsidR="00844161" w:rsidRPr="00844161">
        <w:rPr>
          <w:rFonts w:eastAsiaTheme="majorEastAsia" w:cs="Times New Roman"/>
          <w:bCs/>
        </w:rPr>
        <w:t xml:space="preserve"> two roads</w:t>
      </w:r>
      <w:r w:rsidR="00844161">
        <w:rPr>
          <w:rFonts w:eastAsiaTheme="majorEastAsia" w:cs="Times New Roman"/>
          <w:bCs/>
        </w:rPr>
        <w:t xml:space="preserve"> </w:t>
      </w:r>
      <w:r w:rsidR="00844161" w:rsidRPr="00844161">
        <w:rPr>
          <w:rFonts w:eastAsiaTheme="majorEastAsia" w:cs="Times New Roman"/>
          <w:bCs/>
        </w:rPr>
        <w:t>have the potential of becoming important links for transit of goods and vehicles from Pakistan and third countries</w:t>
      </w:r>
      <w:r w:rsidR="00844161">
        <w:rPr>
          <w:rFonts w:eastAsiaTheme="majorEastAsia" w:cs="Times New Roman"/>
          <w:bCs/>
        </w:rPr>
        <w:t xml:space="preserve"> (</w:t>
      </w:r>
      <w:r w:rsidR="00844161" w:rsidRPr="00844161">
        <w:rPr>
          <w:rFonts w:eastAsiaTheme="majorEastAsia" w:cs="Times New Roman"/>
          <w:bCs/>
        </w:rPr>
        <w:t>Turkmenistan, Uzbekistan and Tajikistan</w:t>
      </w:r>
      <w:r w:rsidR="00844161">
        <w:rPr>
          <w:rFonts w:eastAsiaTheme="majorEastAsia" w:cs="Times New Roman"/>
          <w:bCs/>
        </w:rPr>
        <w:t xml:space="preserve">).  A third corridor to Iran connects  </w:t>
      </w:r>
      <w:r w:rsidR="00844161" w:rsidRPr="00844161">
        <w:rPr>
          <w:rFonts w:eastAsiaTheme="majorEastAsia" w:cs="Times New Roman"/>
          <w:bCs/>
        </w:rPr>
        <w:t xml:space="preserve"> </w:t>
      </w:r>
      <w:r w:rsidR="00844161" w:rsidRPr="00A7359C">
        <w:rPr>
          <w:rFonts w:eastAsiaTheme="majorEastAsia" w:cs="Times New Roman"/>
          <w:bCs/>
        </w:rPr>
        <w:t>Kabul–Heart–Islam–Qala Road–Bandar Abbas, a distance of 1,200 K</w:t>
      </w:r>
      <w:r w:rsidR="00A7359C" w:rsidRPr="00A7359C">
        <w:rPr>
          <w:rFonts w:eastAsiaTheme="majorEastAsia" w:cs="Times New Roman"/>
          <w:bCs/>
        </w:rPr>
        <w:t xml:space="preserve">.  This </w:t>
      </w:r>
      <w:r w:rsidR="000714DC">
        <w:rPr>
          <w:rFonts w:eastAsiaTheme="majorEastAsia" w:cs="Times New Roman"/>
          <w:bCs/>
        </w:rPr>
        <w:t xml:space="preserve">is a </w:t>
      </w:r>
      <w:r w:rsidR="00A7359C" w:rsidRPr="00A7359C">
        <w:rPr>
          <w:rFonts w:eastAsiaTheme="majorEastAsia" w:cs="Times New Roman"/>
          <w:bCs/>
        </w:rPr>
        <w:t>viable alternative for transit trade going through Afghanistan to Central Asia.</w:t>
      </w:r>
    </w:p>
    <w:p w:rsidR="001377E2" w:rsidRPr="000845DD" w:rsidRDefault="001377E2" w:rsidP="006A71B4">
      <w:pPr>
        <w:pStyle w:val="Heading2"/>
        <w:spacing w:before="240"/>
      </w:pPr>
      <w:bookmarkStart w:id="258" w:name="_Toc318477721"/>
      <w:bookmarkStart w:id="259" w:name="_Toc327208446"/>
      <w:bookmarkStart w:id="260" w:name="_Toc348451702"/>
      <w:r w:rsidRPr="000845DD">
        <w:t xml:space="preserve">Customs </w:t>
      </w:r>
      <w:r w:rsidR="00CF4CBC" w:rsidRPr="000845DD">
        <w:t xml:space="preserve">Performance </w:t>
      </w:r>
      <w:r w:rsidR="00CF4CBC">
        <w:t>Significantly</w:t>
      </w:r>
      <w:r w:rsidR="00CF4CBC" w:rsidRPr="000845DD">
        <w:t xml:space="preserve"> Improved Since 2003</w:t>
      </w:r>
      <w:bookmarkEnd w:id="258"/>
      <w:bookmarkEnd w:id="259"/>
      <w:bookmarkEnd w:id="260"/>
    </w:p>
    <w:p w:rsidR="001377E2" w:rsidRPr="00C40E9C" w:rsidRDefault="004E438D" w:rsidP="006A71B4">
      <w:pPr>
        <w:spacing w:after="120"/>
        <w:rPr>
          <w:rFonts w:cstheme="majorBidi"/>
        </w:rPr>
      </w:pPr>
      <w:bookmarkStart w:id="261" w:name="_Toc318477722"/>
      <w:r>
        <w:rPr>
          <w:b/>
        </w:rPr>
        <w:t>A</w:t>
      </w:r>
      <w:r w:rsidR="001377E2" w:rsidRPr="00612E34">
        <w:rPr>
          <w:b/>
        </w:rPr>
        <w:t>nalysis of different indicators suggests real progress in trade facilitation and the movement of goods across Afghanistan</w:t>
      </w:r>
      <w:r w:rsidR="001377E2" w:rsidRPr="00612E34">
        <w:t>.  However</w:t>
      </w:r>
      <w:r w:rsidR="001377E2" w:rsidRPr="00C40E9C">
        <w:rPr>
          <w:rFonts w:cs="Times New Roman"/>
        </w:rPr>
        <w:t xml:space="preserve">, many challenges lie ahead.  To some extent, the customs success story in this country is </w:t>
      </w:r>
      <w:r>
        <w:rPr>
          <w:rFonts w:cs="Times New Roman"/>
        </w:rPr>
        <w:t>due to</w:t>
      </w:r>
      <w:r w:rsidR="001377E2" w:rsidRPr="00C40E9C">
        <w:rPr>
          <w:rFonts w:cs="Times New Roman"/>
        </w:rPr>
        <w:t xml:space="preserve"> considerable donor support for infrastructure improvement and operational technical assistance over the past ten years.</w:t>
      </w:r>
      <w:r w:rsidR="001377E2" w:rsidRPr="00C40E9C">
        <w:rPr>
          <w:rStyle w:val="FootnoteReference"/>
        </w:rPr>
        <w:footnoteReference w:id="53"/>
      </w:r>
      <w:bookmarkEnd w:id="261"/>
    </w:p>
    <w:p w:rsidR="001377E2" w:rsidRPr="000845DD" w:rsidRDefault="001377E2" w:rsidP="000845DD">
      <w:pPr>
        <w:rPr>
          <w:rFonts w:cs="Times New Roman"/>
        </w:rPr>
      </w:pPr>
      <w:bookmarkStart w:id="262" w:name="_Toc318477723"/>
      <w:r w:rsidRPr="00612E34">
        <w:rPr>
          <w:b/>
        </w:rPr>
        <w:t>Customs revenue collection has soared</w:t>
      </w:r>
      <w:bookmarkEnd w:id="262"/>
      <w:r w:rsidRPr="000845DD">
        <w:rPr>
          <w:rFonts w:cs="Times New Roman"/>
          <w:b/>
        </w:rPr>
        <w:t xml:space="preserve">.  </w:t>
      </w:r>
      <w:r w:rsidRPr="000845DD">
        <w:rPr>
          <w:rFonts w:eastAsiaTheme="majorEastAsia" w:cs="Times New Roman"/>
          <w:bCs/>
        </w:rPr>
        <w:t>Customs revenue increased from US$</w:t>
      </w:r>
      <w:r w:rsidR="004E438D">
        <w:rPr>
          <w:rFonts w:eastAsiaTheme="majorEastAsia" w:cs="Times New Roman"/>
          <w:bCs/>
        </w:rPr>
        <w:t xml:space="preserve"> </w:t>
      </w:r>
      <w:r w:rsidRPr="000845DD">
        <w:rPr>
          <w:rFonts w:eastAsiaTheme="majorEastAsia" w:cs="Times New Roman"/>
          <w:bCs/>
        </w:rPr>
        <w:t>75</w:t>
      </w:r>
      <w:r w:rsidR="004E438D">
        <w:rPr>
          <w:rFonts w:eastAsiaTheme="majorEastAsia" w:cs="Times New Roman"/>
          <w:bCs/>
        </w:rPr>
        <w:t xml:space="preserve"> million</w:t>
      </w:r>
      <w:r w:rsidRPr="000845DD">
        <w:rPr>
          <w:rFonts w:eastAsiaTheme="majorEastAsia" w:cs="Times New Roman"/>
          <w:bCs/>
        </w:rPr>
        <w:t xml:space="preserve"> to </w:t>
      </w:r>
      <w:r w:rsidR="004E438D">
        <w:rPr>
          <w:rFonts w:eastAsiaTheme="majorEastAsia" w:cs="Times New Roman"/>
          <w:bCs/>
        </w:rPr>
        <w:t xml:space="preserve">US$ </w:t>
      </w:r>
      <w:r w:rsidRPr="000845DD">
        <w:rPr>
          <w:rFonts w:eastAsiaTheme="majorEastAsia" w:cs="Times New Roman"/>
          <w:bCs/>
        </w:rPr>
        <w:t xml:space="preserve">938 million during 2002-09, with a provisional figure </w:t>
      </w:r>
      <w:r w:rsidRPr="006A4A9B">
        <w:rPr>
          <w:rFonts w:eastAsiaTheme="majorEastAsia" w:cs="Times New Roman"/>
          <w:bCs/>
        </w:rPr>
        <w:t xml:space="preserve">of </w:t>
      </w:r>
      <w:r w:rsidR="00A1326D" w:rsidRPr="006A4A9B">
        <w:rPr>
          <w:rFonts w:eastAsiaTheme="majorEastAsia" w:cs="Times New Roman"/>
          <w:bCs/>
        </w:rPr>
        <w:t xml:space="preserve">US$ </w:t>
      </w:r>
      <w:r w:rsidRPr="006A4A9B">
        <w:rPr>
          <w:rFonts w:eastAsiaTheme="majorEastAsia" w:cs="Times New Roman"/>
          <w:bCs/>
        </w:rPr>
        <w:t>1</w:t>
      </w:r>
      <w:r w:rsidR="00A1326D" w:rsidRPr="006A4A9B">
        <w:rPr>
          <w:rFonts w:eastAsiaTheme="majorEastAsia" w:cs="Times New Roman"/>
          <w:bCs/>
        </w:rPr>
        <w:t>.</w:t>
      </w:r>
      <w:r w:rsidRPr="006A4A9B">
        <w:rPr>
          <w:rFonts w:eastAsiaTheme="majorEastAsia" w:cs="Times New Roman"/>
          <w:bCs/>
        </w:rPr>
        <w:t>05</w:t>
      </w:r>
      <w:r w:rsidR="00A1326D" w:rsidRPr="006A4A9B">
        <w:rPr>
          <w:rFonts w:eastAsiaTheme="majorEastAsia" w:cs="Times New Roman"/>
          <w:bCs/>
        </w:rPr>
        <w:t xml:space="preserve"> billion</w:t>
      </w:r>
      <w:r w:rsidRPr="006A4A9B">
        <w:rPr>
          <w:rFonts w:eastAsiaTheme="majorEastAsia" w:cs="Times New Roman"/>
          <w:bCs/>
        </w:rPr>
        <w:t xml:space="preserve"> for the first six months of 2010.  Collections have thus multiplied 16</w:t>
      </w:r>
      <w:r w:rsidR="004E438D" w:rsidRPr="006A4A9B">
        <w:rPr>
          <w:rFonts w:eastAsiaTheme="majorEastAsia" w:cs="Times New Roman"/>
          <w:bCs/>
        </w:rPr>
        <w:t>-fold</w:t>
      </w:r>
      <w:r w:rsidRPr="006A4A9B">
        <w:rPr>
          <w:rFonts w:eastAsiaTheme="majorEastAsia" w:cs="Times New Roman"/>
          <w:bCs/>
        </w:rPr>
        <w:t xml:space="preserve"> in eight years.  Revenue targets </w:t>
      </w:r>
      <w:r w:rsidRPr="000845DD">
        <w:rPr>
          <w:rFonts w:eastAsiaTheme="majorEastAsia" w:cs="Times New Roman"/>
          <w:bCs/>
        </w:rPr>
        <w:t xml:space="preserve">are </w:t>
      </w:r>
      <w:r w:rsidR="004E438D">
        <w:rPr>
          <w:rFonts w:eastAsiaTheme="majorEastAsia" w:cs="Times New Roman"/>
          <w:bCs/>
        </w:rPr>
        <w:t xml:space="preserve">being </w:t>
      </w:r>
      <w:r w:rsidRPr="000845DD">
        <w:rPr>
          <w:rFonts w:eastAsiaTheme="majorEastAsia" w:cs="Times New Roman"/>
          <w:bCs/>
        </w:rPr>
        <w:t xml:space="preserve">met </w:t>
      </w:r>
      <w:r w:rsidR="004E438D">
        <w:rPr>
          <w:rFonts w:eastAsiaTheme="majorEastAsia" w:cs="Times New Roman"/>
          <w:bCs/>
        </w:rPr>
        <w:t>and</w:t>
      </w:r>
      <w:r w:rsidRPr="000845DD">
        <w:rPr>
          <w:rFonts w:eastAsiaTheme="majorEastAsia" w:cs="Times New Roman"/>
          <w:bCs/>
        </w:rPr>
        <w:t xml:space="preserve"> even overshot.  </w:t>
      </w:r>
      <w:r w:rsidRPr="000845DD">
        <w:t xml:space="preserve">Overall, more than half of the resources from </w:t>
      </w:r>
      <w:r w:rsidR="004E438D">
        <w:t>c</w:t>
      </w:r>
      <w:r w:rsidRPr="000845DD">
        <w:t>ustoms are attributed to duties on motor vehicles and parts, and fuel imports (</w:t>
      </w:r>
      <w:r w:rsidR="004E438D">
        <w:t>s</w:t>
      </w:r>
      <w:r w:rsidRPr="000845DD">
        <w:t xml:space="preserve">ee Trade </w:t>
      </w:r>
      <w:r w:rsidR="004E438D">
        <w:t>P</w:t>
      </w:r>
      <w:r w:rsidRPr="000845DD">
        <w:t>erformance</w:t>
      </w:r>
      <w:r w:rsidR="004E438D">
        <w:t>, pg. 8</w:t>
      </w:r>
      <w:r w:rsidRPr="000845DD">
        <w:t xml:space="preserve">).  </w:t>
      </w:r>
      <w:r w:rsidR="00D17072" w:rsidRPr="00D17072">
        <w:rPr>
          <w:rFonts w:cs="Times New Roman"/>
          <w:szCs w:val="24"/>
          <w:lang w:val="en-GB"/>
        </w:rPr>
        <w:t>Collection efficiency also increased</w:t>
      </w:r>
      <w:r w:rsidR="00D17072">
        <w:rPr>
          <w:rFonts w:cs="Times New Roman"/>
          <w:szCs w:val="24"/>
          <w:lang w:val="en-GB"/>
        </w:rPr>
        <w:t>.</w:t>
      </w:r>
      <w:r w:rsidR="00D17072" w:rsidRPr="00D17072">
        <w:rPr>
          <w:rFonts w:eastAsiaTheme="majorEastAsia" w:cs="Times New Roman"/>
          <w:bCs/>
        </w:rPr>
        <w:t xml:space="preserve"> </w:t>
      </w:r>
      <w:r w:rsidRPr="00D17072">
        <w:rPr>
          <w:rFonts w:eastAsiaTheme="majorEastAsia" w:cs="Times New Roman"/>
          <w:bCs/>
        </w:rPr>
        <w:t>The total</w:t>
      </w:r>
      <w:r w:rsidRPr="000845DD">
        <w:rPr>
          <w:rFonts w:eastAsiaTheme="majorEastAsia" w:cs="Times New Roman"/>
          <w:bCs/>
        </w:rPr>
        <w:t xml:space="preserve"> value of imports </w:t>
      </w:r>
      <w:r w:rsidR="004E438D">
        <w:rPr>
          <w:rFonts w:eastAsiaTheme="majorEastAsia" w:cs="Times New Roman"/>
          <w:bCs/>
        </w:rPr>
        <w:t>rose</w:t>
      </w:r>
      <w:r w:rsidRPr="000845DD">
        <w:rPr>
          <w:rFonts w:eastAsiaTheme="majorEastAsia" w:cs="Times New Roman"/>
          <w:bCs/>
        </w:rPr>
        <w:t xml:space="preserve"> 78 percent, denoting improved valuation </w:t>
      </w:r>
      <w:r w:rsidR="00274415" w:rsidRPr="000845DD">
        <w:rPr>
          <w:rFonts w:eastAsiaTheme="majorEastAsia" w:cs="Times New Roman"/>
          <w:bCs/>
        </w:rPr>
        <w:t>procedures</w:t>
      </w:r>
      <w:r w:rsidR="00274415">
        <w:rPr>
          <w:rFonts w:eastAsiaTheme="majorEastAsia" w:cs="Times New Roman"/>
          <w:bCs/>
        </w:rPr>
        <w:t xml:space="preserve"> with</w:t>
      </w:r>
      <w:r w:rsidRPr="000845DD">
        <w:rPr>
          <w:rFonts w:eastAsiaTheme="majorEastAsia" w:cs="Times New Roman"/>
          <w:bCs/>
        </w:rPr>
        <w:t xml:space="preserve"> </w:t>
      </w:r>
      <w:r w:rsidR="004E438D">
        <w:rPr>
          <w:rFonts w:eastAsiaTheme="majorEastAsia" w:cs="Times New Roman"/>
          <w:bCs/>
        </w:rPr>
        <w:t>c</w:t>
      </w:r>
      <w:r w:rsidRPr="000845DD">
        <w:rPr>
          <w:rFonts w:eastAsiaTheme="majorEastAsia" w:cs="Times New Roman"/>
          <w:bCs/>
        </w:rPr>
        <w:t xml:space="preserve">ustoms officers assessing more duty per import declaration, and declared values better controlled.  The consolidated effective collection rate, which was 3.63 percent of the declared values in 2004, is now at 13.83 percent. </w:t>
      </w:r>
      <w:r w:rsidRPr="000845DD">
        <w:rPr>
          <w:rFonts w:cs="Times New Roman"/>
        </w:rPr>
        <w:t>The quality of statistical reporting has significantly improved over the past years, yielding more reliable returns and measurable results.</w:t>
      </w:r>
      <w:r w:rsidRPr="000845DD">
        <w:rPr>
          <w:rStyle w:val="FootnoteReference"/>
        </w:rPr>
        <w:footnoteReference w:id="54"/>
      </w:r>
      <w:r w:rsidRPr="000845DD">
        <w:rPr>
          <w:rFonts w:cs="Times New Roman"/>
        </w:rPr>
        <w:t xml:space="preserve">   </w:t>
      </w:r>
    </w:p>
    <w:p w:rsidR="001377E2" w:rsidRPr="000845DD" w:rsidRDefault="001377E2" w:rsidP="000845DD">
      <w:bookmarkStart w:id="263" w:name="_Toc318477724"/>
      <w:r w:rsidRPr="00612E34">
        <w:rPr>
          <w:b/>
        </w:rPr>
        <w:t>The productivity of customs administration has significantly improved</w:t>
      </w:r>
      <w:r w:rsidRPr="000845DD">
        <w:rPr>
          <w:rStyle w:val="Heading2Char"/>
          <w:i w:val="0"/>
          <w:color w:val="auto"/>
          <w:sz w:val="22"/>
          <w:szCs w:val="22"/>
        </w:rPr>
        <w:t>.</w:t>
      </w:r>
      <w:bookmarkEnd w:id="263"/>
      <w:r w:rsidRPr="000845DD">
        <w:rPr>
          <w:rStyle w:val="Heading2Char"/>
          <w:i w:val="0"/>
          <w:color w:val="auto"/>
          <w:sz w:val="22"/>
          <w:szCs w:val="22"/>
        </w:rPr>
        <w:t xml:space="preserve"> </w:t>
      </w:r>
      <w:r w:rsidRPr="000845DD">
        <w:t xml:space="preserve">An indicator of customs administration efficiency is the </w:t>
      </w:r>
      <w:r w:rsidR="00C3230E">
        <w:t xml:space="preserve">average </w:t>
      </w:r>
      <w:r w:rsidRPr="000845DD">
        <w:t xml:space="preserve">number of declarations processed per </w:t>
      </w:r>
      <w:r w:rsidR="00C3230E">
        <w:t>c</w:t>
      </w:r>
      <w:r w:rsidRPr="000845DD">
        <w:t xml:space="preserve">ustoms officer </w:t>
      </w:r>
      <w:r w:rsidR="00C3230E">
        <w:t xml:space="preserve">in one </w:t>
      </w:r>
      <w:r w:rsidRPr="000845DD">
        <w:t xml:space="preserve">year.  This figure was 300 in 2004, dropped to 164 the following year, but has steadily increased to 500 </w:t>
      </w:r>
      <w:r w:rsidR="00C3230E">
        <w:t>in</w:t>
      </w:r>
      <w:r w:rsidRPr="000845DD">
        <w:t xml:space="preserve"> the first six months of 2010.  During the same period the total staffing of </w:t>
      </w:r>
      <w:r w:rsidR="00C3230E">
        <w:t xml:space="preserve">the </w:t>
      </w:r>
      <w:r w:rsidRPr="000845DD">
        <w:t>A</w:t>
      </w:r>
      <w:r w:rsidR="00C3230E">
        <w:t xml:space="preserve">fghan </w:t>
      </w:r>
      <w:r w:rsidRPr="000845DD">
        <w:t>C</w:t>
      </w:r>
      <w:r w:rsidR="00C3230E">
        <w:t xml:space="preserve">ustoms </w:t>
      </w:r>
      <w:r w:rsidRPr="000845DD">
        <w:t>D</w:t>
      </w:r>
      <w:r w:rsidR="00C3230E">
        <w:t>epartment</w:t>
      </w:r>
      <w:r w:rsidRPr="000845DD">
        <w:t xml:space="preserve"> </w:t>
      </w:r>
      <w:r w:rsidR="00C3230E">
        <w:t>(ACD) was</w:t>
      </w:r>
      <w:r w:rsidR="00C3230E" w:rsidRPr="000845DD">
        <w:t xml:space="preserve"> </w:t>
      </w:r>
      <w:r w:rsidRPr="000845DD">
        <w:t>stable, with a</w:t>
      </w:r>
      <w:r w:rsidR="00C3230E">
        <w:t>n</w:t>
      </w:r>
      <w:r w:rsidRPr="000845DD">
        <w:t xml:space="preserve"> average </w:t>
      </w:r>
      <w:r w:rsidR="00C3230E">
        <w:t xml:space="preserve">monthly </w:t>
      </w:r>
      <w:r w:rsidRPr="000845DD">
        <w:t>salary cost of USD 160</w:t>
      </w:r>
      <w:r w:rsidR="00C3230E">
        <w:t>.</w:t>
      </w:r>
      <w:r w:rsidRPr="000845DD">
        <w:rPr>
          <w:rStyle w:val="FootnoteReference"/>
        </w:rPr>
        <w:footnoteReference w:id="55"/>
      </w:r>
      <w:r w:rsidRPr="000845DD">
        <w:t xml:space="preserve">  As a result, the average economic cost per declaration has constantly decreased, from US</w:t>
      </w:r>
      <w:r w:rsidR="00C3230E">
        <w:t xml:space="preserve">$ </w:t>
      </w:r>
      <w:r w:rsidRPr="000845DD">
        <w:t xml:space="preserve">6.87 in 2005 to </w:t>
      </w:r>
      <w:r w:rsidR="00C3230E">
        <w:t xml:space="preserve">US$ </w:t>
      </w:r>
      <w:r w:rsidRPr="000845DD">
        <w:t>4.98 in 2009</w:t>
      </w:r>
      <w:r w:rsidR="00C3230E">
        <w:t>.</w:t>
      </w:r>
      <w:r w:rsidRPr="000845DD">
        <w:rPr>
          <w:rStyle w:val="FootnoteReference"/>
        </w:rPr>
        <w:footnoteReference w:id="56"/>
      </w:r>
      <w:r w:rsidRPr="000845DD">
        <w:t xml:space="preserve">  Similarly the comparison between total </w:t>
      </w:r>
      <w:r w:rsidR="003234EC">
        <w:t>c</w:t>
      </w:r>
      <w:r w:rsidRPr="000845DD">
        <w:t xml:space="preserve">ustoms cost and total revenue collected has </w:t>
      </w:r>
      <w:r w:rsidR="00C3230E">
        <w:t xml:space="preserve">declined, </w:t>
      </w:r>
      <w:r w:rsidRPr="000845DD">
        <w:t xml:space="preserve">from 0.98 percent in 2005 to 0.42 in 2009.  In both cases, these figures compare </w:t>
      </w:r>
      <w:r w:rsidR="00C3230E">
        <w:t>favorably</w:t>
      </w:r>
      <w:r w:rsidRPr="000845DD">
        <w:t xml:space="preserve"> with the rest of the world (</w:t>
      </w:r>
      <w:r w:rsidR="00C3230E">
        <w:t>internationally, the c</w:t>
      </w:r>
      <w:r w:rsidRPr="000845DD">
        <w:t xml:space="preserve">ustoms cost/revenue ratio </w:t>
      </w:r>
      <w:r w:rsidR="00C3230E">
        <w:t xml:space="preserve">ranges </w:t>
      </w:r>
      <w:r w:rsidRPr="000845DD">
        <w:t>between 0.5</w:t>
      </w:r>
      <w:r w:rsidR="00C3230E">
        <w:t>–</w:t>
      </w:r>
      <w:r w:rsidRPr="000845DD">
        <w:t xml:space="preserve">2 percent, and the average economic cost per declaration often </w:t>
      </w:r>
      <w:r w:rsidR="00C3230E">
        <w:t>far exceeds</w:t>
      </w:r>
      <w:r w:rsidRPr="000845DD">
        <w:t xml:space="preserve"> US</w:t>
      </w:r>
      <w:r w:rsidR="00C3230E">
        <w:t>$</w:t>
      </w:r>
      <w:r w:rsidRPr="000845DD">
        <w:t xml:space="preserve"> 10).  </w:t>
      </w:r>
      <w:r w:rsidR="0073539F">
        <w:t>Regionally</w:t>
      </w:r>
      <w:r w:rsidRPr="000845DD">
        <w:t xml:space="preserve">, according to the latest figures available, </w:t>
      </w:r>
      <w:r w:rsidR="0073539F">
        <w:t>c</w:t>
      </w:r>
      <w:r w:rsidRPr="000845DD">
        <w:t xml:space="preserve">ustoms </w:t>
      </w:r>
      <w:r w:rsidR="0073539F">
        <w:t>cost/revenues are</w:t>
      </w:r>
      <w:r w:rsidRPr="000845DD">
        <w:t xml:space="preserve"> 1.78 in the K</w:t>
      </w:r>
      <w:r w:rsidR="0073539F">
        <w:t>y</w:t>
      </w:r>
      <w:r w:rsidRPr="000845DD">
        <w:t>rg</w:t>
      </w:r>
      <w:r w:rsidR="0073539F">
        <w:t>y</w:t>
      </w:r>
      <w:r w:rsidRPr="000845DD">
        <w:t>z Republic, 3.95 in Kazakhstan, 1.14 in Pakistan, and 1.77 in Iran.</w:t>
      </w:r>
      <w:r w:rsidRPr="000845DD">
        <w:rPr>
          <w:rStyle w:val="FootnoteReference"/>
        </w:rPr>
        <w:footnoteReference w:id="57"/>
      </w:r>
      <w:r w:rsidRPr="000845DD">
        <w:t xml:space="preserve">  The economic cost per declaration in these countries ranges from US</w:t>
      </w:r>
      <w:r w:rsidR="0073539F">
        <w:t>$</w:t>
      </w:r>
      <w:r w:rsidRPr="000845DD">
        <w:t xml:space="preserve"> 163 in Kazakhstan to US</w:t>
      </w:r>
      <w:r w:rsidR="0073539F">
        <w:t>$</w:t>
      </w:r>
      <w:r w:rsidRPr="000845DD">
        <w:t xml:space="preserve"> 18.10 in Pakistan.</w:t>
      </w:r>
      <w:r w:rsidR="00C069D8">
        <w:t xml:space="preserve">  (Table 2.6)</w:t>
      </w:r>
    </w:p>
    <w:p w:rsidR="001377E2" w:rsidRPr="000845DD" w:rsidRDefault="001377E2" w:rsidP="005730DD">
      <w:pPr>
        <w:rPr>
          <w:rFonts w:cs="Times New Roman"/>
        </w:rPr>
      </w:pPr>
      <w:bookmarkStart w:id="264" w:name="_Toc318477725"/>
      <w:r w:rsidRPr="00612E34">
        <w:rPr>
          <w:b/>
        </w:rPr>
        <w:t xml:space="preserve">Trade and logistics indicators for Afghanistan </w:t>
      </w:r>
      <w:r w:rsidR="0073539F">
        <w:rPr>
          <w:b/>
        </w:rPr>
        <w:t>have</w:t>
      </w:r>
      <w:r w:rsidRPr="00612E34">
        <w:rPr>
          <w:b/>
        </w:rPr>
        <w:t xml:space="preserve"> improve</w:t>
      </w:r>
      <w:r w:rsidR="0073539F">
        <w:rPr>
          <w:b/>
        </w:rPr>
        <w:t>d</w:t>
      </w:r>
      <w:r w:rsidRPr="000845DD">
        <w:rPr>
          <w:rStyle w:val="Heading2Char"/>
          <w:i w:val="0"/>
          <w:color w:val="auto"/>
          <w:sz w:val="22"/>
          <w:szCs w:val="22"/>
        </w:rPr>
        <w:t>.</w:t>
      </w:r>
      <w:bookmarkEnd w:id="264"/>
      <w:r w:rsidRPr="000845DD">
        <w:rPr>
          <w:rStyle w:val="Heading2Char"/>
          <w:i w:val="0"/>
          <w:color w:val="auto"/>
          <w:sz w:val="22"/>
          <w:szCs w:val="22"/>
        </w:rPr>
        <w:t xml:space="preserve"> </w:t>
      </w:r>
      <w:r w:rsidRPr="000845DD">
        <w:rPr>
          <w:rFonts w:cs="Times New Roman"/>
        </w:rPr>
        <w:t xml:space="preserve">Customs </w:t>
      </w:r>
      <w:r w:rsidR="00D17072">
        <w:rPr>
          <w:rFonts w:cs="Times New Roman"/>
        </w:rPr>
        <w:t xml:space="preserve">performs better within the components that are assessed in the </w:t>
      </w:r>
      <w:r w:rsidRPr="000845DD">
        <w:rPr>
          <w:rFonts w:cs="Times New Roman"/>
        </w:rPr>
        <w:t>W</w:t>
      </w:r>
      <w:r w:rsidR="0073539F">
        <w:rPr>
          <w:rFonts w:cs="Times New Roman"/>
        </w:rPr>
        <w:t xml:space="preserve">orld </w:t>
      </w:r>
      <w:r w:rsidRPr="000845DD">
        <w:rPr>
          <w:rFonts w:cs="Times New Roman"/>
        </w:rPr>
        <w:t>B</w:t>
      </w:r>
      <w:r w:rsidR="0073539F">
        <w:rPr>
          <w:rFonts w:cs="Times New Roman"/>
        </w:rPr>
        <w:t>ank</w:t>
      </w:r>
      <w:r w:rsidRPr="000845DD">
        <w:rPr>
          <w:rFonts w:cs="Times New Roman"/>
        </w:rPr>
        <w:t xml:space="preserve">’s </w:t>
      </w:r>
      <w:r w:rsidR="0073539F">
        <w:rPr>
          <w:rFonts w:cs="Times New Roman"/>
        </w:rPr>
        <w:t xml:space="preserve">overall </w:t>
      </w:r>
      <w:r w:rsidRPr="000845DD">
        <w:rPr>
          <w:rFonts w:cs="Times New Roman"/>
        </w:rPr>
        <w:t>Logistics Performance Indicator (LPI) ranking</w:t>
      </w:r>
      <w:r w:rsidR="0073539F">
        <w:rPr>
          <w:rFonts w:cs="Times New Roman"/>
        </w:rPr>
        <w:t xml:space="preserve">, which placed </w:t>
      </w:r>
      <w:r w:rsidRPr="000845DD">
        <w:rPr>
          <w:rFonts w:cs="Times New Roman"/>
        </w:rPr>
        <w:t>Afghanistan 143</w:t>
      </w:r>
      <w:r w:rsidR="0073539F">
        <w:rPr>
          <w:rFonts w:cs="Times New Roman"/>
        </w:rPr>
        <w:t>rd</w:t>
      </w:r>
      <w:r w:rsidRPr="000845DD">
        <w:rPr>
          <w:rFonts w:cs="Times New Roman"/>
        </w:rPr>
        <w:t xml:space="preserve"> out of 155</w:t>
      </w:r>
      <w:r w:rsidR="0073539F">
        <w:rPr>
          <w:rFonts w:cs="Times New Roman"/>
        </w:rPr>
        <w:t xml:space="preserve"> (Table 2.</w:t>
      </w:r>
      <w:r w:rsidR="0091106F">
        <w:rPr>
          <w:rFonts w:cs="Times New Roman"/>
        </w:rPr>
        <w:t>1</w:t>
      </w:r>
      <w:r w:rsidR="0073539F">
        <w:rPr>
          <w:rFonts w:cs="Times New Roman"/>
        </w:rPr>
        <w:t xml:space="preserve">), and </w:t>
      </w:r>
      <w:r w:rsidRPr="000845DD">
        <w:rPr>
          <w:rFonts w:cs="Times New Roman"/>
        </w:rPr>
        <w:t>104</w:t>
      </w:r>
      <w:r w:rsidRPr="000845DD">
        <w:rPr>
          <w:rFonts w:cs="Times New Roman"/>
          <w:vertAlign w:val="superscript"/>
        </w:rPr>
        <w:t>th</w:t>
      </w:r>
      <w:r w:rsidRPr="000845DD">
        <w:rPr>
          <w:rFonts w:cs="Times New Roman"/>
        </w:rPr>
        <w:t xml:space="preserve"> </w:t>
      </w:r>
      <w:r w:rsidR="0073539F">
        <w:rPr>
          <w:rFonts w:cs="Times New Roman"/>
        </w:rPr>
        <w:t>in customs performance (Table 2.</w:t>
      </w:r>
      <w:r w:rsidR="0091106F">
        <w:rPr>
          <w:rFonts w:cs="Times New Roman"/>
        </w:rPr>
        <w:t>2</w:t>
      </w:r>
      <w:r w:rsidR="0073539F">
        <w:rPr>
          <w:rFonts w:cs="Times New Roman"/>
        </w:rPr>
        <w:t>), ahead of</w:t>
      </w:r>
      <w:r w:rsidRPr="000845DD">
        <w:rPr>
          <w:rFonts w:cs="Times New Roman"/>
        </w:rPr>
        <w:t xml:space="preserve"> countries such as Uzbekistan</w:t>
      </w:r>
      <w:r w:rsidR="0073539F">
        <w:rPr>
          <w:rFonts w:cs="Times New Roman"/>
        </w:rPr>
        <w:t>,</w:t>
      </w:r>
      <w:r w:rsidRPr="000845DD">
        <w:rPr>
          <w:rFonts w:cs="Times New Roman"/>
        </w:rPr>
        <w:t xml:space="preserve"> Iran, and </w:t>
      </w:r>
      <w:r w:rsidR="0073539F">
        <w:rPr>
          <w:rFonts w:cs="Times New Roman"/>
        </w:rPr>
        <w:t>even</w:t>
      </w:r>
      <w:r w:rsidRPr="000845DD">
        <w:rPr>
          <w:rFonts w:cs="Times New Roman"/>
        </w:rPr>
        <w:t xml:space="preserve"> Egypt</w:t>
      </w:r>
      <w:r w:rsidR="0073539F">
        <w:rPr>
          <w:rFonts w:cs="Times New Roman"/>
        </w:rPr>
        <w:t>.</w:t>
      </w:r>
      <w:r w:rsidRPr="000845DD">
        <w:rPr>
          <w:rStyle w:val="FootnoteReference"/>
        </w:rPr>
        <w:footnoteReference w:id="58"/>
      </w:r>
      <w:r w:rsidRPr="000845DD">
        <w:rPr>
          <w:rFonts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001"/>
      </w:tblGrid>
      <w:tr w:rsidR="001377E2" w:rsidRPr="000845DD" w:rsidTr="00A52E3E">
        <w:tc>
          <w:tcPr>
            <w:tcW w:w="4575" w:type="dxa"/>
          </w:tcPr>
          <w:p w:rsidR="001377E2" w:rsidRPr="0073539F" w:rsidRDefault="001377E2" w:rsidP="005730DD">
            <w:pPr>
              <w:rPr>
                <w:b/>
                <w:color w:val="410082" w:themeColor="text1"/>
              </w:rPr>
            </w:pPr>
            <w:bookmarkStart w:id="265" w:name="_Toc318477726"/>
            <w:r w:rsidRPr="0073539F">
              <w:rPr>
                <w:b/>
                <w:color w:val="410082" w:themeColor="text1"/>
              </w:rPr>
              <w:t>Table 2</w:t>
            </w:r>
            <w:r w:rsidR="0073539F">
              <w:rPr>
                <w:b/>
                <w:color w:val="410082" w:themeColor="text1"/>
              </w:rPr>
              <w:t>.</w:t>
            </w:r>
            <w:r w:rsidR="0091106F">
              <w:rPr>
                <w:b/>
                <w:color w:val="410082" w:themeColor="text1"/>
              </w:rPr>
              <w:t>1</w:t>
            </w:r>
            <w:r w:rsidRPr="0073539F">
              <w:rPr>
                <w:b/>
                <w:color w:val="410082" w:themeColor="text1"/>
              </w:rPr>
              <w:t xml:space="preserve"> Logistic </w:t>
            </w:r>
            <w:r w:rsidR="0073539F">
              <w:rPr>
                <w:b/>
                <w:color w:val="410082" w:themeColor="text1"/>
              </w:rPr>
              <w:t>P</w:t>
            </w:r>
            <w:r w:rsidRPr="0073539F">
              <w:rPr>
                <w:b/>
                <w:color w:val="410082" w:themeColor="text1"/>
              </w:rPr>
              <w:t xml:space="preserve">erformance </w:t>
            </w:r>
            <w:r w:rsidR="0073539F">
              <w:rPr>
                <w:b/>
                <w:color w:val="410082" w:themeColor="text1"/>
              </w:rPr>
              <w:t>I</w:t>
            </w:r>
            <w:r w:rsidRPr="0073539F">
              <w:rPr>
                <w:b/>
                <w:color w:val="410082" w:themeColor="text1"/>
              </w:rPr>
              <w:t xml:space="preserve">ndex </w:t>
            </w:r>
            <w:bookmarkEnd w:id="265"/>
          </w:p>
        </w:tc>
        <w:tc>
          <w:tcPr>
            <w:tcW w:w="5001" w:type="dxa"/>
          </w:tcPr>
          <w:p w:rsidR="001377E2" w:rsidRPr="0073539F" w:rsidRDefault="001377E2" w:rsidP="005730DD">
            <w:pPr>
              <w:rPr>
                <w:b/>
                <w:color w:val="410082" w:themeColor="text1"/>
              </w:rPr>
            </w:pPr>
            <w:bookmarkStart w:id="266" w:name="_Toc318477727"/>
            <w:r w:rsidRPr="0073539F">
              <w:rPr>
                <w:b/>
                <w:color w:val="410082" w:themeColor="text1"/>
              </w:rPr>
              <w:t xml:space="preserve">Table </w:t>
            </w:r>
            <w:r w:rsidR="0073539F">
              <w:rPr>
                <w:b/>
                <w:color w:val="410082" w:themeColor="text1"/>
              </w:rPr>
              <w:t>2.</w:t>
            </w:r>
            <w:r w:rsidR="0091106F">
              <w:rPr>
                <w:b/>
                <w:color w:val="410082" w:themeColor="text1"/>
              </w:rPr>
              <w:t>2</w:t>
            </w:r>
            <w:r w:rsidR="0073539F">
              <w:rPr>
                <w:b/>
                <w:color w:val="410082" w:themeColor="text1"/>
              </w:rPr>
              <w:t>:</w:t>
            </w:r>
            <w:r w:rsidRPr="0073539F">
              <w:rPr>
                <w:b/>
                <w:color w:val="410082" w:themeColor="text1"/>
              </w:rPr>
              <w:t xml:space="preserve"> LPI </w:t>
            </w:r>
            <w:r w:rsidR="0073539F">
              <w:rPr>
                <w:b/>
                <w:color w:val="410082" w:themeColor="text1"/>
              </w:rPr>
              <w:t>R</w:t>
            </w:r>
            <w:r w:rsidRPr="0073539F">
              <w:rPr>
                <w:b/>
                <w:color w:val="410082" w:themeColor="text1"/>
              </w:rPr>
              <w:t>anking for Customs</w:t>
            </w:r>
            <w:bookmarkEnd w:id="266"/>
          </w:p>
          <w:p w:rsidR="001377E2" w:rsidRPr="000845DD" w:rsidRDefault="001377E2" w:rsidP="000845DD"/>
        </w:tc>
      </w:tr>
      <w:tr w:rsidR="001377E2" w:rsidRPr="000845DD" w:rsidTr="00A52E3E">
        <w:tc>
          <w:tcPr>
            <w:tcW w:w="4575" w:type="dxa"/>
          </w:tcPr>
          <w:tbl>
            <w:tblPr>
              <w:tblStyle w:val="LightShading-Accent6"/>
              <w:tblW w:w="5000" w:type="pct"/>
              <w:tblLook w:val="04A0" w:firstRow="1" w:lastRow="0" w:firstColumn="1" w:lastColumn="0" w:noHBand="0" w:noVBand="1"/>
            </w:tblPr>
            <w:tblGrid>
              <w:gridCol w:w="266"/>
              <w:gridCol w:w="2658"/>
              <w:gridCol w:w="774"/>
              <w:gridCol w:w="661"/>
            </w:tblGrid>
            <w:tr w:rsidR="001377E2" w:rsidRPr="000845DD" w:rsidTr="001377E2">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73" w:type="pct"/>
                  <w:hideMark/>
                </w:tcPr>
                <w:p w:rsidR="001377E2" w:rsidRPr="000845DD" w:rsidRDefault="001377E2" w:rsidP="000845DD">
                  <w:pPr>
                    <w:rPr>
                      <w:rFonts w:eastAsia="Times New Roman" w:cs="Arial"/>
                      <w:color w:val="auto"/>
                      <w:lang w:eastAsia="fr-FR"/>
                    </w:rPr>
                  </w:pPr>
                  <w:r w:rsidRPr="000845DD">
                    <w:rPr>
                      <w:rFonts w:eastAsia="Times New Roman" w:cs="Arial"/>
                      <w:color w:val="auto"/>
                      <w:lang w:eastAsia="fr-FR"/>
                    </w:rPr>
                    <w:t> </w:t>
                  </w:r>
                </w:p>
              </w:tc>
              <w:tc>
                <w:tcPr>
                  <w:tcW w:w="3060" w:type="pct"/>
                  <w:hideMark/>
                </w:tcPr>
                <w:p w:rsidR="001377E2" w:rsidRPr="000845DD" w:rsidRDefault="001377E2" w:rsidP="000845DD">
                  <w:pPr>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fr-FR"/>
                    </w:rPr>
                  </w:pPr>
                  <w:r w:rsidRPr="000845DD">
                    <w:rPr>
                      <w:rFonts w:eastAsia="Times New Roman" w:cs="Arial"/>
                      <w:color w:val="auto"/>
                      <w:lang w:eastAsia="fr-FR"/>
                    </w:rPr>
                    <w:t> </w:t>
                  </w:r>
                </w:p>
              </w:tc>
              <w:tc>
                <w:tcPr>
                  <w:tcW w:w="1667" w:type="pct"/>
                  <w:gridSpan w:val="2"/>
                  <w:hideMark/>
                </w:tcPr>
                <w:p w:rsidR="001377E2" w:rsidRPr="000845DD" w:rsidRDefault="001377E2" w:rsidP="000845DD">
                  <w:pPr>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fr-FR"/>
                    </w:rPr>
                  </w:pPr>
                  <w:r w:rsidRPr="000845DD">
                    <w:rPr>
                      <w:rFonts w:eastAsia="Times New Roman" w:cs="Arial"/>
                      <w:color w:val="auto"/>
                      <w:lang w:eastAsia="fr-FR"/>
                    </w:rPr>
                    <w:t>Afghanistan</w:t>
                  </w:r>
                </w:p>
              </w:tc>
            </w:tr>
            <w:tr w:rsidR="001377E2" w:rsidRPr="000845DD" w:rsidTr="001377E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73" w:type="pct"/>
                  <w:vMerge w:val="restart"/>
                  <w:hideMark/>
                </w:tcPr>
                <w:p w:rsidR="001377E2" w:rsidRPr="000845DD" w:rsidRDefault="001377E2" w:rsidP="000845DD">
                  <w:pPr>
                    <w:rPr>
                      <w:rFonts w:eastAsia="Times New Roman" w:cs="Arial"/>
                      <w:color w:val="auto"/>
                      <w:lang w:eastAsia="fr-FR"/>
                    </w:rPr>
                  </w:pPr>
                  <w:r w:rsidRPr="000845DD">
                    <w:rPr>
                      <w:rFonts w:eastAsia="Times New Roman" w:cs="Arial"/>
                      <w:color w:val="auto"/>
                      <w:lang w:eastAsia="fr-FR"/>
                    </w:rPr>
                    <w:t> </w:t>
                  </w:r>
                </w:p>
              </w:tc>
              <w:tc>
                <w:tcPr>
                  <w:tcW w:w="3060" w:type="pct"/>
                  <w:vMerge w:val="restart"/>
                  <w:hideMark/>
                </w:tcPr>
                <w:p w:rsidR="001377E2" w:rsidRPr="000845DD" w:rsidRDefault="001377E2" w:rsidP="000845DD">
                  <w:pPr>
                    <w:cnfStyle w:val="000000100000" w:firstRow="0" w:lastRow="0" w:firstColumn="0" w:lastColumn="0" w:oddVBand="0" w:evenVBand="0" w:oddHBand="1" w:evenHBand="0" w:firstRowFirstColumn="0" w:firstRowLastColumn="0" w:lastRowFirstColumn="0" w:lastRowLastColumn="0"/>
                    <w:rPr>
                      <w:rFonts w:eastAsia="Times New Roman" w:cs="Arial"/>
                      <w:bCs/>
                      <w:color w:val="auto"/>
                      <w:lang w:eastAsia="fr-FR"/>
                    </w:rPr>
                  </w:pPr>
                  <w:r w:rsidRPr="000845DD">
                    <w:rPr>
                      <w:rFonts w:eastAsia="Times New Roman" w:cs="Arial"/>
                      <w:bCs/>
                      <w:color w:val="auto"/>
                      <w:lang w:eastAsia="fr-FR"/>
                    </w:rPr>
                    <w:t>Overall LPI</w:t>
                  </w:r>
                </w:p>
              </w:tc>
              <w:tc>
                <w:tcPr>
                  <w:tcW w:w="899" w:type="pct"/>
                  <w:hideMark/>
                </w:tcPr>
                <w:p w:rsidR="001377E2" w:rsidRPr="000845DD" w:rsidRDefault="001377E2" w:rsidP="000845DD">
                  <w:pPr>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fr-FR"/>
                    </w:rPr>
                  </w:pPr>
                  <w:r w:rsidRPr="000845DD">
                    <w:rPr>
                      <w:rFonts w:eastAsia="Times New Roman" w:cs="Arial"/>
                      <w:color w:val="auto"/>
                      <w:lang w:eastAsia="fr-FR"/>
                    </w:rPr>
                    <w:t>score</w:t>
                  </w:r>
                </w:p>
              </w:tc>
              <w:tc>
                <w:tcPr>
                  <w:tcW w:w="768" w:type="pct"/>
                  <w:hideMark/>
                </w:tcPr>
                <w:p w:rsidR="001377E2" w:rsidRPr="000845DD" w:rsidRDefault="001377E2" w:rsidP="000845DD">
                  <w:pPr>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fr-FR"/>
                    </w:rPr>
                  </w:pPr>
                  <w:r w:rsidRPr="000845DD">
                    <w:rPr>
                      <w:rFonts w:eastAsia="Times New Roman" w:cs="Arial"/>
                      <w:color w:val="auto"/>
                      <w:lang w:eastAsia="fr-FR"/>
                    </w:rPr>
                    <w:t>2.24</w:t>
                  </w:r>
                </w:p>
              </w:tc>
            </w:tr>
            <w:tr w:rsidR="001377E2" w:rsidRPr="000845DD" w:rsidTr="001377E2">
              <w:trPr>
                <w:trHeight w:val="225"/>
              </w:trPr>
              <w:tc>
                <w:tcPr>
                  <w:cnfStyle w:val="001000000000" w:firstRow="0" w:lastRow="0" w:firstColumn="1" w:lastColumn="0" w:oddVBand="0" w:evenVBand="0" w:oddHBand="0" w:evenHBand="0" w:firstRowFirstColumn="0" w:firstRowLastColumn="0" w:lastRowFirstColumn="0" w:lastRowLastColumn="0"/>
                  <w:tcW w:w="273" w:type="pct"/>
                  <w:vMerge/>
                  <w:hideMark/>
                </w:tcPr>
                <w:p w:rsidR="001377E2" w:rsidRPr="000845DD" w:rsidRDefault="001377E2" w:rsidP="000845DD">
                  <w:pPr>
                    <w:rPr>
                      <w:rFonts w:eastAsia="Times New Roman" w:cs="Arial"/>
                      <w:color w:val="auto"/>
                      <w:lang w:eastAsia="fr-FR"/>
                    </w:rPr>
                  </w:pPr>
                </w:p>
              </w:tc>
              <w:tc>
                <w:tcPr>
                  <w:tcW w:w="3060" w:type="pct"/>
                  <w:vMerge/>
                  <w:hideMark/>
                </w:tcPr>
                <w:p w:rsidR="001377E2" w:rsidRPr="000845DD" w:rsidRDefault="001377E2" w:rsidP="000845DD">
                  <w:pPr>
                    <w:cnfStyle w:val="000000000000" w:firstRow="0" w:lastRow="0" w:firstColumn="0" w:lastColumn="0" w:oddVBand="0" w:evenVBand="0" w:oddHBand="0" w:evenHBand="0" w:firstRowFirstColumn="0" w:firstRowLastColumn="0" w:lastRowFirstColumn="0" w:lastRowLastColumn="0"/>
                    <w:rPr>
                      <w:rFonts w:eastAsia="Times New Roman" w:cs="Arial"/>
                      <w:bCs/>
                      <w:color w:val="auto"/>
                      <w:lang w:eastAsia="fr-FR"/>
                    </w:rPr>
                  </w:pPr>
                </w:p>
              </w:tc>
              <w:tc>
                <w:tcPr>
                  <w:tcW w:w="899" w:type="pct"/>
                  <w:hideMark/>
                </w:tcPr>
                <w:p w:rsidR="001377E2" w:rsidRPr="000845DD" w:rsidRDefault="001377E2" w:rsidP="000845DD">
                  <w:pPr>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fr-FR"/>
                    </w:rPr>
                  </w:pPr>
                  <w:r w:rsidRPr="000845DD">
                    <w:rPr>
                      <w:rFonts w:eastAsia="Times New Roman" w:cs="Arial"/>
                      <w:color w:val="auto"/>
                      <w:lang w:eastAsia="fr-FR"/>
                    </w:rPr>
                    <w:t>rank</w:t>
                  </w:r>
                </w:p>
              </w:tc>
              <w:tc>
                <w:tcPr>
                  <w:tcW w:w="768" w:type="pct"/>
                  <w:hideMark/>
                </w:tcPr>
                <w:p w:rsidR="001377E2" w:rsidRPr="000845DD" w:rsidRDefault="001377E2" w:rsidP="000845DD">
                  <w:pPr>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fr-FR"/>
                    </w:rPr>
                  </w:pPr>
                  <w:r w:rsidRPr="000845DD">
                    <w:rPr>
                      <w:rFonts w:eastAsia="Times New Roman" w:cs="Arial"/>
                      <w:color w:val="auto"/>
                      <w:lang w:eastAsia="fr-FR"/>
                    </w:rPr>
                    <w:t>143</w:t>
                  </w:r>
                </w:p>
              </w:tc>
            </w:tr>
            <w:tr w:rsidR="001377E2" w:rsidRPr="000845DD" w:rsidTr="001377E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73" w:type="pct"/>
                  <w:vMerge w:val="restart"/>
                  <w:hideMark/>
                </w:tcPr>
                <w:p w:rsidR="001377E2" w:rsidRPr="000845DD" w:rsidRDefault="001377E2" w:rsidP="000845DD">
                  <w:pPr>
                    <w:rPr>
                      <w:rFonts w:eastAsia="Times New Roman" w:cs="Arial"/>
                      <w:color w:val="auto"/>
                      <w:lang w:eastAsia="fr-FR"/>
                    </w:rPr>
                  </w:pPr>
                  <w:r w:rsidRPr="000845DD">
                    <w:rPr>
                      <w:rFonts w:eastAsia="Times New Roman" w:cs="Arial"/>
                      <w:color w:val="auto"/>
                      <w:lang w:eastAsia="fr-FR"/>
                    </w:rPr>
                    <w:t> </w:t>
                  </w:r>
                </w:p>
              </w:tc>
              <w:tc>
                <w:tcPr>
                  <w:tcW w:w="3060" w:type="pct"/>
                  <w:vMerge w:val="restart"/>
                  <w:hideMark/>
                </w:tcPr>
                <w:p w:rsidR="001377E2" w:rsidRPr="000845DD" w:rsidRDefault="001377E2" w:rsidP="000845DD">
                  <w:pPr>
                    <w:cnfStyle w:val="000000100000" w:firstRow="0" w:lastRow="0" w:firstColumn="0" w:lastColumn="0" w:oddVBand="0" w:evenVBand="0" w:oddHBand="1" w:evenHBand="0" w:firstRowFirstColumn="0" w:firstRowLastColumn="0" w:lastRowFirstColumn="0" w:lastRowLastColumn="0"/>
                    <w:rPr>
                      <w:rFonts w:eastAsia="Times New Roman" w:cs="Arial"/>
                      <w:b/>
                      <w:bCs/>
                      <w:color w:val="auto"/>
                      <w:lang w:eastAsia="fr-FR"/>
                    </w:rPr>
                  </w:pPr>
                  <w:r w:rsidRPr="000845DD">
                    <w:rPr>
                      <w:rFonts w:eastAsia="Times New Roman" w:cs="Arial"/>
                      <w:b/>
                      <w:bCs/>
                      <w:color w:val="auto"/>
                      <w:lang w:eastAsia="fr-FR"/>
                    </w:rPr>
                    <w:t>Customs</w:t>
                  </w:r>
                </w:p>
              </w:tc>
              <w:tc>
                <w:tcPr>
                  <w:tcW w:w="899" w:type="pct"/>
                  <w:hideMark/>
                </w:tcPr>
                <w:p w:rsidR="001377E2" w:rsidRPr="000845DD" w:rsidRDefault="001377E2" w:rsidP="000845DD">
                  <w:pPr>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fr-FR"/>
                    </w:rPr>
                  </w:pPr>
                  <w:r w:rsidRPr="000845DD">
                    <w:rPr>
                      <w:rFonts w:eastAsia="Times New Roman" w:cs="Arial"/>
                      <w:b/>
                      <w:color w:val="auto"/>
                      <w:lang w:eastAsia="fr-FR"/>
                    </w:rPr>
                    <w:t>score</w:t>
                  </w:r>
                </w:p>
              </w:tc>
              <w:tc>
                <w:tcPr>
                  <w:tcW w:w="768" w:type="pct"/>
                  <w:hideMark/>
                </w:tcPr>
                <w:p w:rsidR="001377E2" w:rsidRPr="000845DD" w:rsidRDefault="001377E2" w:rsidP="000845DD">
                  <w:pPr>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fr-FR"/>
                    </w:rPr>
                  </w:pPr>
                  <w:r w:rsidRPr="000845DD">
                    <w:rPr>
                      <w:rFonts w:eastAsia="Times New Roman" w:cs="Arial"/>
                      <w:b/>
                      <w:color w:val="auto"/>
                      <w:lang w:eastAsia="fr-FR"/>
                    </w:rPr>
                    <w:t>2.22</w:t>
                  </w:r>
                </w:p>
              </w:tc>
            </w:tr>
            <w:tr w:rsidR="001377E2" w:rsidRPr="000845DD" w:rsidTr="001377E2">
              <w:trPr>
                <w:trHeight w:val="225"/>
              </w:trPr>
              <w:tc>
                <w:tcPr>
                  <w:cnfStyle w:val="001000000000" w:firstRow="0" w:lastRow="0" w:firstColumn="1" w:lastColumn="0" w:oddVBand="0" w:evenVBand="0" w:oddHBand="0" w:evenHBand="0" w:firstRowFirstColumn="0" w:firstRowLastColumn="0" w:lastRowFirstColumn="0" w:lastRowLastColumn="0"/>
                  <w:tcW w:w="273" w:type="pct"/>
                  <w:vMerge/>
                  <w:hideMark/>
                </w:tcPr>
                <w:p w:rsidR="001377E2" w:rsidRPr="000845DD" w:rsidRDefault="001377E2" w:rsidP="000845DD">
                  <w:pPr>
                    <w:rPr>
                      <w:rFonts w:eastAsia="Times New Roman" w:cs="Arial"/>
                      <w:color w:val="auto"/>
                      <w:lang w:eastAsia="fr-FR"/>
                    </w:rPr>
                  </w:pPr>
                </w:p>
              </w:tc>
              <w:tc>
                <w:tcPr>
                  <w:tcW w:w="3060" w:type="pct"/>
                  <w:vMerge/>
                  <w:hideMark/>
                </w:tcPr>
                <w:p w:rsidR="001377E2" w:rsidRPr="000845DD" w:rsidRDefault="001377E2" w:rsidP="000845DD">
                  <w:pPr>
                    <w:cnfStyle w:val="000000000000" w:firstRow="0" w:lastRow="0" w:firstColumn="0" w:lastColumn="0" w:oddVBand="0" w:evenVBand="0" w:oddHBand="0" w:evenHBand="0" w:firstRowFirstColumn="0" w:firstRowLastColumn="0" w:lastRowFirstColumn="0" w:lastRowLastColumn="0"/>
                    <w:rPr>
                      <w:rFonts w:eastAsia="Times New Roman" w:cs="Arial"/>
                      <w:b/>
                      <w:bCs/>
                      <w:color w:val="auto"/>
                      <w:lang w:eastAsia="fr-FR"/>
                    </w:rPr>
                  </w:pPr>
                </w:p>
              </w:tc>
              <w:tc>
                <w:tcPr>
                  <w:tcW w:w="899" w:type="pct"/>
                  <w:hideMark/>
                </w:tcPr>
                <w:p w:rsidR="001377E2" w:rsidRPr="000845DD" w:rsidRDefault="001377E2" w:rsidP="000845DD">
                  <w:pPr>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fr-FR"/>
                    </w:rPr>
                  </w:pPr>
                  <w:r w:rsidRPr="000845DD">
                    <w:rPr>
                      <w:rFonts w:eastAsia="Times New Roman" w:cs="Arial"/>
                      <w:b/>
                      <w:color w:val="auto"/>
                      <w:lang w:eastAsia="fr-FR"/>
                    </w:rPr>
                    <w:t>rank</w:t>
                  </w:r>
                </w:p>
              </w:tc>
              <w:tc>
                <w:tcPr>
                  <w:tcW w:w="768" w:type="pct"/>
                  <w:hideMark/>
                </w:tcPr>
                <w:p w:rsidR="001377E2" w:rsidRPr="000845DD" w:rsidRDefault="001377E2" w:rsidP="000845DD">
                  <w:pPr>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fr-FR"/>
                    </w:rPr>
                  </w:pPr>
                  <w:r w:rsidRPr="000845DD">
                    <w:rPr>
                      <w:rFonts w:eastAsia="Times New Roman" w:cs="Arial"/>
                      <w:b/>
                      <w:color w:val="auto"/>
                      <w:lang w:eastAsia="fr-FR"/>
                    </w:rPr>
                    <w:t>104</w:t>
                  </w:r>
                </w:p>
              </w:tc>
            </w:tr>
            <w:tr w:rsidR="001377E2" w:rsidRPr="000845DD" w:rsidTr="001377E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73" w:type="pct"/>
                  <w:vMerge w:val="restart"/>
                  <w:hideMark/>
                </w:tcPr>
                <w:p w:rsidR="001377E2" w:rsidRPr="000845DD" w:rsidRDefault="001377E2" w:rsidP="000845DD">
                  <w:pPr>
                    <w:rPr>
                      <w:rFonts w:eastAsia="Times New Roman" w:cs="Arial"/>
                      <w:color w:val="auto"/>
                      <w:lang w:eastAsia="fr-FR"/>
                    </w:rPr>
                  </w:pPr>
                  <w:r w:rsidRPr="000845DD">
                    <w:rPr>
                      <w:rFonts w:eastAsia="Times New Roman" w:cs="Arial"/>
                      <w:color w:val="auto"/>
                      <w:lang w:eastAsia="fr-FR"/>
                    </w:rPr>
                    <w:t> </w:t>
                  </w:r>
                </w:p>
              </w:tc>
              <w:tc>
                <w:tcPr>
                  <w:tcW w:w="3060" w:type="pct"/>
                  <w:vMerge w:val="restart"/>
                  <w:hideMark/>
                </w:tcPr>
                <w:p w:rsidR="001377E2" w:rsidRPr="000845DD" w:rsidRDefault="001377E2" w:rsidP="000845DD">
                  <w:pPr>
                    <w:cnfStyle w:val="000000100000" w:firstRow="0" w:lastRow="0" w:firstColumn="0" w:lastColumn="0" w:oddVBand="0" w:evenVBand="0" w:oddHBand="1" w:evenHBand="0" w:firstRowFirstColumn="0" w:firstRowLastColumn="0" w:lastRowFirstColumn="0" w:lastRowLastColumn="0"/>
                    <w:rPr>
                      <w:rFonts w:eastAsia="Times New Roman" w:cs="Arial"/>
                      <w:bCs/>
                      <w:color w:val="auto"/>
                      <w:lang w:eastAsia="fr-FR"/>
                    </w:rPr>
                  </w:pPr>
                  <w:r w:rsidRPr="000845DD">
                    <w:rPr>
                      <w:rFonts w:eastAsia="Times New Roman" w:cs="Arial"/>
                      <w:bCs/>
                      <w:color w:val="auto"/>
                      <w:lang w:eastAsia="fr-FR"/>
                    </w:rPr>
                    <w:t>Infrastructure</w:t>
                  </w:r>
                </w:p>
              </w:tc>
              <w:tc>
                <w:tcPr>
                  <w:tcW w:w="899" w:type="pct"/>
                  <w:hideMark/>
                </w:tcPr>
                <w:p w:rsidR="001377E2" w:rsidRPr="000845DD" w:rsidRDefault="001377E2" w:rsidP="000845DD">
                  <w:pPr>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fr-FR"/>
                    </w:rPr>
                  </w:pPr>
                  <w:r w:rsidRPr="000845DD">
                    <w:rPr>
                      <w:rFonts w:eastAsia="Times New Roman" w:cs="Arial"/>
                      <w:color w:val="auto"/>
                      <w:lang w:eastAsia="fr-FR"/>
                    </w:rPr>
                    <w:t>score</w:t>
                  </w:r>
                </w:p>
              </w:tc>
              <w:tc>
                <w:tcPr>
                  <w:tcW w:w="768" w:type="pct"/>
                  <w:hideMark/>
                </w:tcPr>
                <w:p w:rsidR="001377E2" w:rsidRPr="000845DD" w:rsidRDefault="001377E2" w:rsidP="000845DD">
                  <w:pPr>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fr-FR"/>
                    </w:rPr>
                  </w:pPr>
                  <w:r w:rsidRPr="000845DD">
                    <w:rPr>
                      <w:rFonts w:eastAsia="Times New Roman" w:cs="Arial"/>
                      <w:color w:val="auto"/>
                      <w:lang w:eastAsia="fr-FR"/>
                    </w:rPr>
                    <w:t>1.87</w:t>
                  </w:r>
                </w:p>
              </w:tc>
            </w:tr>
            <w:tr w:rsidR="001377E2" w:rsidRPr="000845DD" w:rsidTr="001377E2">
              <w:trPr>
                <w:trHeight w:val="225"/>
              </w:trPr>
              <w:tc>
                <w:tcPr>
                  <w:cnfStyle w:val="001000000000" w:firstRow="0" w:lastRow="0" w:firstColumn="1" w:lastColumn="0" w:oddVBand="0" w:evenVBand="0" w:oddHBand="0" w:evenHBand="0" w:firstRowFirstColumn="0" w:firstRowLastColumn="0" w:lastRowFirstColumn="0" w:lastRowLastColumn="0"/>
                  <w:tcW w:w="273" w:type="pct"/>
                  <w:vMerge/>
                  <w:hideMark/>
                </w:tcPr>
                <w:p w:rsidR="001377E2" w:rsidRPr="000845DD" w:rsidRDefault="001377E2" w:rsidP="000845DD">
                  <w:pPr>
                    <w:rPr>
                      <w:rFonts w:eastAsia="Times New Roman" w:cs="Arial"/>
                      <w:color w:val="auto"/>
                      <w:lang w:eastAsia="fr-FR"/>
                    </w:rPr>
                  </w:pPr>
                </w:p>
              </w:tc>
              <w:tc>
                <w:tcPr>
                  <w:tcW w:w="3060" w:type="pct"/>
                  <w:vMerge/>
                  <w:hideMark/>
                </w:tcPr>
                <w:p w:rsidR="001377E2" w:rsidRPr="000845DD" w:rsidRDefault="001377E2" w:rsidP="000845DD">
                  <w:pPr>
                    <w:cnfStyle w:val="000000000000" w:firstRow="0" w:lastRow="0" w:firstColumn="0" w:lastColumn="0" w:oddVBand="0" w:evenVBand="0" w:oddHBand="0" w:evenHBand="0" w:firstRowFirstColumn="0" w:firstRowLastColumn="0" w:lastRowFirstColumn="0" w:lastRowLastColumn="0"/>
                    <w:rPr>
                      <w:rFonts w:eastAsia="Times New Roman" w:cs="Arial"/>
                      <w:bCs/>
                      <w:color w:val="auto"/>
                      <w:lang w:eastAsia="fr-FR"/>
                    </w:rPr>
                  </w:pPr>
                </w:p>
              </w:tc>
              <w:tc>
                <w:tcPr>
                  <w:tcW w:w="899" w:type="pct"/>
                  <w:hideMark/>
                </w:tcPr>
                <w:p w:rsidR="001377E2" w:rsidRPr="000845DD" w:rsidRDefault="001377E2" w:rsidP="000845DD">
                  <w:pPr>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fr-FR"/>
                    </w:rPr>
                  </w:pPr>
                  <w:r w:rsidRPr="000845DD">
                    <w:rPr>
                      <w:rFonts w:eastAsia="Times New Roman" w:cs="Arial"/>
                      <w:color w:val="auto"/>
                      <w:lang w:eastAsia="fr-FR"/>
                    </w:rPr>
                    <w:t>rank</w:t>
                  </w:r>
                </w:p>
              </w:tc>
              <w:tc>
                <w:tcPr>
                  <w:tcW w:w="768" w:type="pct"/>
                  <w:hideMark/>
                </w:tcPr>
                <w:p w:rsidR="001377E2" w:rsidRPr="000845DD" w:rsidRDefault="001377E2" w:rsidP="000845DD">
                  <w:pPr>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fr-FR"/>
                    </w:rPr>
                  </w:pPr>
                  <w:r w:rsidRPr="000845DD">
                    <w:rPr>
                      <w:rFonts w:eastAsia="Times New Roman" w:cs="Arial"/>
                      <w:color w:val="auto"/>
                      <w:lang w:eastAsia="fr-FR"/>
                    </w:rPr>
                    <w:t>139</w:t>
                  </w:r>
                </w:p>
              </w:tc>
            </w:tr>
            <w:tr w:rsidR="001377E2" w:rsidRPr="000845DD" w:rsidTr="001377E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73" w:type="pct"/>
                  <w:vMerge w:val="restart"/>
                  <w:hideMark/>
                </w:tcPr>
                <w:p w:rsidR="001377E2" w:rsidRPr="000845DD" w:rsidRDefault="001377E2" w:rsidP="000845DD">
                  <w:pPr>
                    <w:rPr>
                      <w:rFonts w:eastAsia="Times New Roman" w:cs="Arial"/>
                      <w:color w:val="auto"/>
                      <w:lang w:eastAsia="fr-FR"/>
                    </w:rPr>
                  </w:pPr>
                  <w:r w:rsidRPr="000845DD">
                    <w:rPr>
                      <w:rFonts w:eastAsia="Times New Roman" w:cs="Arial"/>
                      <w:color w:val="auto"/>
                      <w:lang w:eastAsia="fr-FR"/>
                    </w:rPr>
                    <w:t> </w:t>
                  </w:r>
                </w:p>
              </w:tc>
              <w:tc>
                <w:tcPr>
                  <w:tcW w:w="3060" w:type="pct"/>
                  <w:vMerge w:val="restart"/>
                  <w:hideMark/>
                </w:tcPr>
                <w:p w:rsidR="001377E2" w:rsidRPr="000845DD" w:rsidRDefault="001377E2" w:rsidP="000845DD">
                  <w:pPr>
                    <w:cnfStyle w:val="000000100000" w:firstRow="0" w:lastRow="0" w:firstColumn="0" w:lastColumn="0" w:oddVBand="0" w:evenVBand="0" w:oddHBand="1" w:evenHBand="0" w:firstRowFirstColumn="0" w:firstRowLastColumn="0" w:lastRowFirstColumn="0" w:lastRowLastColumn="0"/>
                    <w:rPr>
                      <w:rFonts w:eastAsia="Times New Roman" w:cs="Arial"/>
                      <w:bCs/>
                      <w:color w:val="auto"/>
                      <w:lang w:eastAsia="fr-FR"/>
                    </w:rPr>
                  </w:pPr>
                  <w:r w:rsidRPr="000845DD">
                    <w:rPr>
                      <w:rFonts w:eastAsia="Times New Roman" w:cs="Arial"/>
                      <w:bCs/>
                      <w:color w:val="auto"/>
                      <w:lang w:eastAsia="fr-FR"/>
                    </w:rPr>
                    <w:t>International shipments</w:t>
                  </w:r>
                </w:p>
              </w:tc>
              <w:tc>
                <w:tcPr>
                  <w:tcW w:w="899" w:type="pct"/>
                  <w:hideMark/>
                </w:tcPr>
                <w:p w:rsidR="001377E2" w:rsidRPr="000845DD" w:rsidRDefault="001377E2" w:rsidP="000845DD">
                  <w:pPr>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fr-FR"/>
                    </w:rPr>
                  </w:pPr>
                  <w:r w:rsidRPr="000845DD">
                    <w:rPr>
                      <w:rFonts w:eastAsia="Times New Roman" w:cs="Arial"/>
                      <w:color w:val="auto"/>
                      <w:lang w:eastAsia="fr-FR"/>
                    </w:rPr>
                    <w:t>score</w:t>
                  </w:r>
                </w:p>
              </w:tc>
              <w:tc>
                <w:tcPr>
                  <w:tcW w:w="768" w:type="pct"/>
                  <w:hideMark/>
                </w:tcPr>
                <w:p w:rsidR="001377E2" w:rsidRPr="000845DD" w:rsidRDefault="001377E2" w:rsidP="000845DD">
                  <w:pPr>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fr-FR"/>
                    </w:rPr>
                  </w:pPr>
                  <w:r w:rsidRPr="000845DD">
                    <w:rPr>
                      <w:rFonts w:eastAsia="Times New Roman" w:cs="Arial"/>
                      <w:color w:val="auto"/>
                      <w:lang w:eastAsia="fr-FR"/>
                    </w:rPr>
                    <w:t>2.24</w:t>
                  </w:r>
                </w:p>
              </w:tc>
            </w:tr>
            <w:tr w:rsidR="001377E2" w:rsidRPr="000845DD" w:rsidTr="001377E2">
              <w:trPr>
                <w:trHeight w:val="225"/>
              </w:trPr>
              <w:tc>
                <w:tcPr>
                  <w:cnfStyle w:val="001000000000" w:firstRow="0" w:lastRow="0" w:firstColumn="1" w:lastColumn="0" w:oddVBand="0" w:evenVBand="0" w:oddHBand="0" w:evenHBand="0" w:firstRowFirstColumn="0" w:firstRowLastColumn="0" w:lastRowFirstColumn="0" w:lastRowLastColumn="0"/>
                  <w:tcW w:w="273" w:type="pct"/>
                  <w:vMerge/>
                  <w:hideMark/>
                </w:tcPr>
                <w:p w:rsidR="001377E2" w:rsidRPr="000845DD" w:rsidRDefault="001377E2" w:rsidP="000845DD">
                  <w:pPr>
                    <w:rPr>
                      <w:rFonts w:eastAsia="Times New Roman" w:cs="Arial"/>
                      <w:color w:val="auto"/>
                      <w:lang w:eastAsia="fr-FR"/>
                    </w:rPr>
                  </w:pPr>
                </w:p>
              </w:tc>
              <w:tc>
                <w:tcPr>
                  <w:tcW w:w="3060" w:type="pct"/>
                  <w:vMerge/>
                  <w:hideMark/>
                </w:tcPr>
                <w:p w:rsidR="001377E2" w:rsidRPr="000845DD" w:rsidRDefault="001377E2" w:rsidP="000845DD">
                  <w:pPr>
                    <w:cnfStyle w:val="000000000000" w:firstRow="0" w:lastRow="0" w:firstColumn="0" w:lastColumn="0" w:oddVBand="0" w:evenVBand="0" w:oddHBand="0" w:evenHBand="0" w:firstRowFirstColumn="0" w:firstRowLastColumn="0" w:lastRowFirstColumn="0" w:lastRowLastColumn="0"/>
                    <w:rPr>
                      <w:rFonts w:eastAsia="Times New Roman" w:cs="Arial"/>
                      <w:bCs/>
                      <w:color w:val="auto"/>
                      <w:lang w:eastAsia="fr-FR"/>
                    </w:rPr>
                  </w:pPr>
                </w:p>
              </w:tc>
              <w:tc>
                <w:tcPr>
                  <w:tcW w:w="899" w:type="pct"/>
                  <w:hideMark/>
                </w:tcPr>
                <w:p w:rsidR="001377E2" w:rsidRPr="000845DD" w:rsidRDefault="001377E2" w:rsidP="000845DD">
                  <w:pPr>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fr-FR"/>
                    </w:rPr>
                  </w:pPr>
                  <w:r w:rsidRPr="000845DD">
                    <w:rPr>
                      <w:rFonts w:eastAsia="Times New Roman" w:cs="Arial"/>
                      <w:color w:val="auto"/>
                      <w:lang w:eastAsia="fr-FR"/>
                    </w:rPr>
                    <w:t>rank</w:t>
                  </w:r>
                </w:p>
              </w:tc>
              <w:tc>
                <w:tcPr>
                  <w:tcW w:w="768" w:type="pct"/>
                  <w:hideMark/>
                </w:tcPr>
                <w:p w:rsidR="001377E2" w:rsidRPr="000845DD" w:rsidRDefault="001377E2" w:rsidP="000845DD">
                  <w:pPr>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fr-FR"/>
                    </w:rPr>
                  </w:pPr>
                  <w:r w:rsidRPr="000845DD">
                    <w:rPr>
                      <w:rFonts w:eastAsia="Times New Roman" w:cs="Arial"/>
                      <w:color w:val="auto"/>
                      <w:lang w:eastAsia="fr-FR"/>
                    </w:rPr>
                    <w:t>141</w:t>
                  </w:r>
                </w:p>
              </w:tc>
            </w:tr>
            <w:tr w:rsidR="001377E2" w:rsidRPr="000845DD" w:rsidTr="001377E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73" w:type="pct"/>
                  <w:vMerge w:val="restart"/>
                  <w:hideMark/>
                </w:tcPr>
                <w:p w:rsidR="001377E2" w:rsidRPr="000845DD" w:rsidRDefault="001377E2" w:rsidP="000845DD">
                  <w:pPr>
                    <w:rPr>
                      <w:rFonts w:eastAsia="Times New Roman" w:cs="Arial"/>
                      <w:color w:val="auto"/>
                      <w:lang w:eastAsia="fr-FR"/>
                    </w:rPr>
                  </w:pPr>
                  <w:r w:rsidRPr="000845DD">
                    <w:rPr>
                      <w:rFonts w:eastAsia="Times New Roman" w:cs="Arial"/>
                      <w:color w:val="auto"/>
                      <w:lang w:eastAsia="fr-FR"/>
                    </w:rPr>
                    <w:t> </w:t>
                  </w:r>
                </w:p>
              </w:tc>
              <w:tc>
                <w:tcPr>
                  <w:tcW w:w="3060" w:type="pct"/>
                  <w:vMerge w:val="restart"/>
                  <w:hideMark/>
                </w:tcPr>
                <w:p w:rsidR="001377E2" w:rsidRPr="000845DD" w:rsidRDefault="001377E2" w:rsidP="000845DD">
                  <w:pPr>
                    <w:cnfStyle w:val="000000100000" w:firstRow="0" w:lastRow="0" w:firstColumn="0" w:lastColumn="0" w:oddVBand="0" w:evenVBand="0" w:oddHBand="1" w:evenHBand="0" w:firstRowFirstColumn="0" w:firstRowLastColumn="0" w:lastRowFirstColumn="0" w:lastRowLastColumn="0"/>
                    <w:rPr>
                      <w:rFonts w:eastAsia="Times New Roman" w:cs="Arial"/>
                      <w:bCs/>
                      <w:color w:val="auto"/>
                      <w:lang w:eastAsia="fr-FR"/>
                    </w:rPr>
                  </w:pPr>
                  <w:r w:rsidRPr="000845DD">
                    <w:rPr>
                      <w:rFonts w:eastAsia="Times New Roman" w:cs="Arial"/>
                      <w:bCs/>
                      <w:color w:val="auto"/>
                      <w:lang w:eastAsia="fr-FR"/>
                    </w:rPr>
                    <w:t>Logistics competence</w:t>
                  </w:r>
                </w:p>
              </w:tc>
              <w:tc>
                <w:tcPr>
                  <w:tcW w:w="899" w:type="pct"/>
                  <w:hideMark/>
                </w:tcPr>
                <w:p w:rsidR="001377E2" w:rsidRPr="000845DD" w:rsidRDefault="001377E2" w:rsidP="000845DD">
                  <w:pPr>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fr-FR"/>
                    </w:rPr>
                  </w:pPr>
                  <w:r w:rsidRPr="000845DD">
                    <w:rPr>
                      <w:rFonts w:eastAsia="Times New Roman" w:cs="Arial"/>
                      <w:color w:val="auto"/>
                      <w:lang w:eastAsia="fr-FR"/>
                    </w:rPr>
                    <w:t>score</w:t>
                  </w:r>
                </w:p>
              </w:tc>
              <w:tc>
                <w:tcPr>
                  <w:tcW w:w="768" w:type="pct"/>
                  <w:hideMark/>
                </w:tcPr>
                <w:p w:rsidR="001377E2" w:rsidRPr="000845DD" w:rsidRDefault="001377E2" w:rsidP="000845DD">
                  <w:pPr>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fr-FR"/>
                    </w:rPr>
                  </w:pPr>
                  <w:r w:rsidRPr="000845DD">
                    <w:rPr>
                      <w:rFonts w:eastAsia="Times New Roman" w:cs="Arial"/>
                      <w:color w:val="auto"/>
                      <w:lang w:eastAsia="fr-FR"/>
                    </w:rPr>
                    <w:t>2.09</w:t>
                  </w:r>
                </w:p>
              </w:tc>
            </w:tr>
            <w:tr w:rsidR="001377E2" w:rsidRPr="000845DD" w:rsidTr="001377E2">
              <w:trPr>
                <w:trHeight w:val="225"/>
              </w:trPr>
              <w:tc>
                <w:tcPr>
                  <w:cnfStyle w:val="001000000000" w:firstRow="0" w:lastRow="0" w:firstColumn="1" w:lastColumn="0" w:oddVBand="0" w:evenVBand="0" w:oddHBand="0" w:evenHBand="0" w:firstRowFirstColumn="0" w:firstRowLastColumn="0" w:lastRowFirstColumn="0" w:lastRowLastColumn="0"/>
                  <w:tcW w:w="273" w:type="pct"/>
                  <w:vMerge/>
                  <w:hideMark/>
                </w:tcPr>
                <w:p w:rsidR="001377E2" w:rsidRPr="000845DD" w:rsidRDefault="001377E2" w:rsidP="000845DD">
                  <w:pPr>
                    <w:rPr>
                      <w:rFonts w:eastAsia="Times New Roman" w:cs="Arial"/>
                      <w:color w:val="auto"/>
                      <w:lang w:eastAsia="fr-FR"/>
                    </w:rPr>
                  </w:pPr>
                </w:p>
              </w:tc>
              <w:tc>
                <w:tcPr>
                  <w:tcW w:w="3060" w:type="pct"/>
                  <w:vMerge/>
                  <w:hideMark/>
                </w:tcPr>
                <w:p w:rsidR="001377E2" w:rsidRPr="000845DD" w:rsidRDefault="001377E2" w:rsidP="000845DD">
                  <w:pPr>
                    <w:cnfStyle w:val="000000000000" w:firstRow="0" w:lastRow="0" w:firstColumn="0" w:lastColumn="0" w:oddVBand="0" w:evenVBand="0" w:oddHBand="0" w:evenHBand="0" w:firstRowFirstColumn="0" w:firstRowLastColumn="0" w:lastRowFirstColumn="0" w:lastRowLastColumn="0"/>
                    <w:rPr>
                      <w:rFonts w:eastAsia="Times New Roman" w:cs="Arial"/>
                      <w:bCs/>
                      <w:color w:val="auto"/>
                      <w:lang w:eastAsia="fr-FR"/>
                    </w:rPr>
                  </w:pPr>
                </w:p>
              </w:tc>
              <w:tc>
                <w:tcPr>
                  <w:tcW w:w="899" w:type="pct"/>
                  <w:hideMark/>
                </w:tcPr>
                <w:p w:rsidR="001377E2" w:rsidRPr="000845DD" w:rsidRDefault="001377E2" w:rsidP="000845DD">
                  <w:pPr>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fr-FR"/>
                    </w:rPr>
                  </w:pPr>
                  <w:r w:rsidRPr="000845DD">
                    <w:rPr>
                      <w:rFonts w:eastAsia="Times New Roman" w:cs="Arial"/>
                      <w:color w:val="auto"/>
                      <w:lang w:eastAsia="fr-FR"/>
                    </w:rPr>
                    <w:t>rank</w:t>
                  </w:r>
                </w:p>
              </w:tc>
              <w:tc>
                <w:tcPr>
                  <w:tcW w:w="768" w:type="pct"/>
                  <w:hideMark/>
                </w:tcPr>
                <w:p w:rsidR="001377E2" w:rsidRPr="000845DD" w:rsidRDefault="001377E2" w:rsidP="000845DD">
                  <w:pPr>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fr-FR"/>
                    </w:rPr>
                  </w:pPr>
                  <w:r w:rsidRPr="000845DD">
                    <w:rPr>
                      <w:rFonts w:eastAsia="Times New Roman" w:cs="Arial"/>
                      <w:color w:val="auto"/>
                      <w:lang w:eastAsia="fr-FR"/>
                    </w:rPr>
                    <w:t>141</w:t>
                  </w:r>
                </w:p>
              </w:tc>
            </w:tr>
            <w:tr w:rsidR="001377E2" w:rsidRPr="000845DD" w:rsidTr="001377E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73" w:type="pct"/>
                  <w:vMerge w:val="restart"/>
                  <w:hideMark/>
                </w:tcPr>
                <w:p w:rsidR="001377E2" w:rsidRPr="000845DD" w:rsidRDefault="001377E2" w:rsidP="000845DD">
                  <w:pPr>
                    <w:rPr>
                      <w:rFonts w:eastAsia="Times New Roman" w:cs="Arial"/>
                      <w:color w:val="auto"/>
                      <w:lang w:eastAsia="fr-FR"/>
                    </w:rPr>
                  </w:pPr>
                  <w:r w:rsidRPr="000845DD">
                    <w:rPr>
                      <w:rFonts w:eastAsia="Times New Roman" w:cs="Arial"/>
                      <w:color w:val="auto"/>
                      <w:lang w:eastAsia="fr-FR"/>
                    </w:rPr>
                    <w:t> </w:t>
                  </w:r>
                </w:p>
              </w:tc>
              <w:tc>
                <w:tcPr>
                  <w:tcW w:w="3060" w:type="pct"/>
                  <w:vMerge w:val="restart"/>
                  <w:hideMark/>
                </w:tcPr>
                <w:p w:rsidR="001377E2" w:rsidRPr="000845DD" w:rsidRDefault="001377E2" w:rsidP="000845DD">
                  <w:pPr>
                    <w:cnfStyle w:val="000000100000" w:firstRow="0" w:lastRow="0" w:firstColumn="0" w:lastColumn="0" w:oddVBand="0" w:evenVBand="0" w:oddHBand="1" w:evenHBand="0" w:firstRowFirstColumn="0" w:firstRowLastColumn="0" w:lastRowFirstColumn="0" w:lastRowLastColumn="0"/>
                    <w:rPr>
                      <w:rFonts w:eastAsia="Times New Roman" w:cs="Arial"/>
                      <w:bCs/>
                      <w:color w:val="auto"/>
                      <w:lang w:eastAsia="fr-FR"/>
                    </w:rPr>
                  </w:pPr>
                  <w:r w:rsidRPr="000845DD">
                    <w:rPr>
                      <w:rFonts w:eastAsia="Times New Roman" w:cs="Arial"/>
                      <w:bCs/>
                      <w:color w:val="auto"/>
                      <w:lang w:eastAsia="fr-FR"/>
                    </w:rPr>
                    <w:t>Tracking &amp; tracing</w:t>
                  </w:r>
                </w:p>
              </w:tc>
              <w:tc>
                <w:tcPr>
                  <w:tcW w:w="899" w:type="pct"/>
                  <w:hideMark/>
                </w:tcPr>
                <w:p w:rsidR="001377E2" w:rsidRPr="000845DD" w:rsidRDefault="001377E2" w:rsidP="000845DD">
                  <w:pPr>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fr-FR"/>
                    </w:rPr>
                  </w:pPr>
                  <w:r w:rsidRPr="000845DD">
                    <w:rPr>
                      <w:rFonts w:eastAsia="Times New Roman" w:cs="Arial"/>
                      <w:color w:val="auto"/>
                      <w:lang w:eastAsia="fr-FR"/>
                    </w:rPr>
                    <w:t>score</w:t>
                  </w:r>
                </w:p>
              </w:tc>
              <w:tc>
                <w:tcPr>
                  <w:tcW w:w="768" w:type="pct"/>
                  <w:hideMark/>
                </w:tcPr>
                <w:p w:rsidR="001377E2" w:rsidRPr="000845DD" w:rsidRDefault="001377E2" w:rsidP="000845DD">
                  <w:pPr>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fr-FR"/>
                    </w:rPr>
                  </w:pPr>
                  <w:r w:rsidRPr="000845DD">
                    <w:rPr>
                      <w:rFonts w:eastAsia="Times New Roman" w:cs="Arial"/>
                      <w:color w:val="auto"/>
                      <w:lang w:eastAsia="fr-FR"/>
                    </w:rPr>
                    <w:t>2.37</w:t>
                  </w:r>
                </w:p>
              </w:tc>
            </w:tr>
            <w:tr w:rsidR="001377E2" w:rsidRPr="000845DD" w:rsidTr="001377E2">
              <w:trPr>
                <w:trHeight w:val="225"/>
              </w:trPr>
              <w:tc>
                <w:tcPr>
                  <w:cnfStyle w:val="001000000000" w:firstRow="0" w:lastRow="0" w:firstColumn="1" w:lastColumn="0" w:oddVBand="0" w:evenVBand="0" w:oddHBand="0" w:evenHBand="0" w:firstRowFirstColumn="0" w:firstRowLastColumn="0" w:lastRowFirstColumn="0" w:lastRowLastColumn="0"/>
                  <w:tcW w:w="273" w:type="pct"/>
                  <w:vMerge/>
                  <w:hideMark/>
                </w:tcPr>
                <w:p w:rsidR="001377E2" w:rsidRPr="000845DD" w:rsidRDefault="001377E2" w:rsidP="000845DD">
                  <w:pPr>
                    <w:rPr>
                      <w:rFonts w:eastAsia="Times New Roman" w:cs="Arial"/>
                      <w:color w:val="auto"/>
                      <w:lang w:eastAsia="fr-FR"/>
                    </w:rPr>
                  </w:pPr>
                </w:p>
              </w:tc>
              <w:tc>
                <w:tcPr>
                  <w:tcW w:w="3060" w:type="pct"/>
                  <w:vMerge/>
                  <w:hideMark/>
                </w:tcPr>
                <w:p w:rsidR="001377E2" w:rsidRPr="000845DD" w:rsidRDefault="001377E2" w:rsidP="000845DD">
                  <w:pPr>
                    <w:cnfStyle w:val="000000000000" w:firstRow="0" w:lastRow="0" w:firstColumn="0" w:lastColumn="0" w:oddVBand="0" w:evenVBand="0" w:oddHBand="0" w:evenHBand="0" w:firstRowFirstColumn="0" w:firstRowLastColumn="0" w:lastRowFirstColumn="0" w:lastRowLastColumn="0"/>
                    <w:rPr>
                      <w:rFonts w:eastAsia="Times New Roman" w:cs="Arial"/>
                      <w:bCs/>
                      <w:color w:val="auto"/>
                      <w:lang w:eastAsia="fr-FR"/>
                    </w:rPr>
                  </w:pPr>
                </w:p>
              </w:tc>
              <w:tc>
                <w:tcPr>
                  <w:tcW w:w="899" w:type="pct"/>
                  <w:hideMark/>
                </w:tcPr>
                <w:p w:rsidR="001377E2" w:rsidRPr="000845DD" w:rsidRDefault="001377E2" w:rsidP="000845DD">
                  <w:pPr>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fr-FR"/>
                    </w:rPr>
                  </w:pPr>
                  <w:r w:rsidRPr="000845DD">
                    <w:rPr>
                      <w:rFonts w:eastAsia="Times New Roman" w:cs="Arial"/>
                      <w:color w:val="auto"/>
                      <w:lang w:eastAsia="fr-FR"/>
                    </w:rPr>
                    <w:t>rank</w:t>
                  </w:r>
                </w:p>
              </w:tc>
              <w:tc>
                <w:tcPr>
                  <w:tcW w:w="768" w:type="pct"/>
                  <w:hideMark/>
                </w:tcPr>
                <w:p w:rsidR="001377E2" w:rsidRPr="000845DD" w:rsidRDefault="001377E2" w:rsidP="000845DD">
                  <w:pPr>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fr-FR"/>
                    </w:rPr>
                  </w:pPr>
                  <w:r w:rsidRPr="000845DD">
                    <w:rPr>
                      <w:rFonts w:eastAsia="Times New Roman" w:cs="Arial"/>
                      <w:color w:val="auto"/>
                      <w:lang w:eastAsia="fr-FR"/>
                    </w:rPr>
                    <w:t>128</w:t>
                  </w:r>
                </w:p>
              </w:tc>
            </w:tr>
            <w:tr w:rsidR="001377E2" w:rsidRPr="000845DD" w:rsidTr="001377E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73" w:type="pct"/>
                  <w:vMerge w:val="restart"/>
                  <w:hideMark/>
                </w:tcPr>
                <w:p w:rsidR="001377E2" w:rsidRPr="000845DD" w:rsidRDefault="001377E2" w:rsidP="000845DD">
                  <w:pPr>
                    <w:rPr>
                      <w:rFonts w:eastAsia="Times New Roman" w:cs="Arial"/>
                      <w:color w:val="auto"/>
                      <w:lang w:eastAsia="fr-FR"/>
                    </w:rPr>
                  </w:pPr>
                  <w:r w:rsidRPr="000845DD">
                    <w:rPr>
                      <w:rFonts w:eastAsia="Times New Roman" w:cs="Arial"/>
                      <w:color w:val="auto"/>
                      <w:lang w:eastAsia="fr-FR"/>
                    </w:rPr>
                    <w:t> </w:t>
                  </w:r>
                </w:p>
              </w:tc>
              <w:tc>
                <w:tcPr>
                  <w:tcW w:w="3060" w:type="pct"/>
                  <w:vMerge w:val="restart"/>
                  <w:hideMark/>
                </w:tcPr>
                <w:p w:rsidR="001377E2" w:rsidRPr="000845DD" w:rsidRDefault="001377E2" w:rsidP="000845DD">
                  <w:pPr>
                    <w:cnfStyle w:val="000000100000" w:firstRow="0" w:lastRow="0" w:firstColumn="0" w:lastColumn="0" w:oddVBand="0" w:evenVBand="0" w:oddHBand="1" w:evenHBand="0" w:firstRowFirstColumn="0" w:firstRowLastColumn="0" w:lastRowFirstColumn="0" w:lastRowLastColumn="0"/>
                    <w:rPr>
                      <w:rFonts w:eastAsia="Times New Roman" w:cs="Arial"/>
                      <w:bCs/>
                      <w:color w:val="auto"/>
                      <w:lang w:eastAsia="fr-FR"/>
                    </w:rPr>
                  </w:pPr>
                  <w:r w:rsidRPr="000845DD">
                    <w:rPr>
                      <w:rFonts w:eastAsia="Times New Roman" w:cs="Arial"/>
                      <w:bCs/>
                      <w:color w:val="auto"/>
                      <w:lang w:eastAsia="fr-FR"/>
                    </w:rPr>
                    <w:t>Timeliness</w:t>
                  </w:r>
                </w:p>
              </w:tc>
              <w:tc>
                <w:tcPr>
                  <w:tcW w:w="899" w:type="pct"/>
                  <w:hideMark/>
                </w:tcPr>
                <w:p w:rsidR="001377E2" w:rsidRPr="000845DD" w:rsidRDefault="001377E2" w:rsidP="000845DD">
                  <w:pPr>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fr-FR"/>
                    </w:rPr>
                  </w:pPr>
                  <w:r w:rsidRPr="000845DD">
                    <w:rPr>
                      <w:rFonts w:eastAsia="Times New Roman" w:cs="Arial"/>
                      <w:color w:val="auto"/>
                      <w:lang w:eastAsia="fr-FR"/>
                    </w:rPr>
                    <w:t>score</w:t>
                  </w:r>
                </w:p>
              </w:tc>
              <w:tc>
                <w:tcPr>
                  <w:tcW w:w="768" w:type="pct"/>
                  <w:hideMark/>
                </w:tcPr>
                <w:p w:rsidR="001377E2" w:rsidRPr="000845DD" w:rsidRDefault="001377E2" w:rsidP="000845DD">
                  <w:pPr>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fr-FR"/>
                    </w:rPr>
                  </w:pPr>
                  <w:r w:rsidRPr="000845DD">
                    <w:rPr>
                      <w:rFonts w:eastAsia="Times New Roman" w:cs="Arial"/>
                      <w:color w:val="auto"/>
                      <w:lang w:eastAsia="fr-FR"/>
                    </w:rPr>
                    <w:t>2.61</w:t>
                  </w:r>
                </w:p>
              </w:tc>
            </w:tr>
            <w:tr w:rsidR="001377E2" w:rsidRPr="000845DD" w:rsidTr="001377E2">
              <w:trPr>
                <w:trHeight w:val="225"/>
              </w:trPr>
              <w:tc>
                <w:tcPr>
                  <w:cnfStyle w:val="001000000000" w:firstRow="0" w:lastRow="0" w:firstColumn="1" w:lastColumn="0" w:oddVBand="0" w:evenVBand="0" w:oddHBand="0" w:evenHBand="0" w:firstRowFirstColumn="0" w:firstRowLastColumn="0" w:lastRowFirstColumn="0" w:lastRowLastColumn="0"/>
                  <w:tcW w:w="273" w:type="pct"/>
                  <w:vMerge/>
                  <w:hideMark/>
                </w:tcPr>
                <w:p w:rsidR="001377E2" w:rsidRPr="000845DD" w:rsidRDefault="001377E2" w:rsidP="000845DD">
                  <w:pPr>
                    <w:rPr>
                      <w:rFonts w:eastAsia="Times New Roman" w:cs="Arial"/>
                      <w:color w:val="auto"/>
                      <w:lang w:eastAsia="fr-FR"/>
                    </w:rPr>
                  </w:pPr>
                </w:p>
              </w:tc>
              <w:tc>
                <w:tcPr>
                  <w:tcW w:w="3060" w:type="pct"/>
                  <w:vMerge/>
                  <w:hideMark/>
                </w:tcPr>
                <w:p w:rsidR="001377E2" w:rsidRPr="000845DD" w:rsidRDefault="001377E2" w:rsidP="000845DD">
                  <w:pPr>
                    <w:cnfStyle w:val="000000000000" w:firstRow="0" w:lastRow="0" w:firstColumn="0" w:lastColumn="0" w:oddVBand="0" w:evenVBand="0" w:oddHBand="0" w:evenHBand="0" w:firstRowFirstColumn="0" w:firstRowLastColumn="0" w:lastRowFirstColumn="0" w:lastRowLastColumn="0"/>
                    <w:rPr>
                      <w:rFonts w:eastAsia="Times New Roman" w:cs="Arial"/>
                      <w:b/>
                      <w:bCs/>
                      <w:color w:val="auto"/>
                      <w:lang w:eastAsia="fr-FR"/>
                    </w:rPr>
                  </w:pPr>
                </w:p>
              </w:tc>
              <w:tc>
                <w:tcPr>
                  <w:tcW w:w="899" w:type="pct"/>
                  <w:hideMark/>
                </w:tcPr>
                <w:p w:rsidR="001377E2" w:rsidRPr="000845DD" w:rsidRDefault="001377E2" w:rsidP="000845DD">
                  <w:pPr>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fr-FR"/>
                    </w:rPr>
                  </w:pPr>
                  <w:r w:rsidRPr="000845DD">
                    <w:rPr>
                      <w:rFonts w:eastAsia="Times New Roman" w:cs="Arial"/>
                      <w:color w:val="auto"/>
                      <w:lang w:eastAsia="fr-FR"/>
                    </w:rPr>
                    <w:t>rank</w:t>
                  </w:r>
                </w:p>
              </w:tc>
              <w:tc>
                <w:tcPr>
                  <w:tcW w:w="768" w:type="pct"/>
                  <w:hideMark/>
                </w:tcPr>
                <w:p w:rsidR="001377E2" w:rsidRPr="000845DD" w:rsidRDefault="001377E2" w:rsidP="000845DD">
                  <w:pPr>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fr-FR"/>
                    </w:rPr>
                  </w:pPr>
                  <w:r w:rsidRPr="000845DD">
                    <w:rPr>
                      <w:rFonts w:eastAsia="Times New Roman" w:cs="Arial"/>
                      <w:color w:val="auto"/>
                      <w:lang w:eastAsia="fr-FR"/>
                    </w:rPr>
                    <w:t>146</w:t>
                  </w:r>
                </w:p>
              </w:tc>
            </w:tr>
          </w:tbl>
          <w:p w:rsidR="001377E2" w:rsidRPr="000845DD" w:rsidRDefault="001377E2" w:rsidP="000845DD"/>
        </w:tc>
        <w:tc>
          <w:tcPr>
            <w:tcW w:w="5001" w:type="dxa"/>
          </w:tcPr>
          <w:p w:rsidR="001377E2" w:rsidRPr="000845DD" w:rsidRDefault="001377E2" w:rsidP="000845DD">
            <w:r w:rsidRPr="000845DD">
              <w:rPr>
                <w:noProof/>
                <w:lang w:bidi="ar-SA"/>
              </w:rPr>
              <w:drawing>
                <wp:inline distT="0" distB="0" distL="0" distR="0" wp14:anchorId="39D394AB" wp14:editId="04FB2DDB">
                  <wp:extent cx="3019245" cy="1587261"/>
                  <wp:effectExtent l="19050" t="0" r="0" b="0"/>
                  <wp:docPr id="4" name="Picture 2" descr="C:\Users\Michel Zarnowiecki\Downloads\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 Zarnowiecki\Downloads\char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5642" cy="1590624"/>
                          </a:xfrm>
                          <a:prstGeom prst="rect">
                            <a:avLst/>
                          </a:prstGeom>
                          <a:noFill/>
                          <a:ln>
                            <a:noFill/>
                          </a:ln>
                        </pic:spPr>
                      </pic:pic>
                    </a:graphicData>
                  </a:graphic>
                </wp:inline>
              </w:drawing>
            </w:r>
          </w:p>
        </w:tc>
      </w:tr>
    </w:tbl>
    <w:p w:rsidR="001377E2" w:rsidRPr="000845DD" w:rsidRDefault="001377E2" w:rsidP="000845DD">
      <w:pPr>
        <w:rPr>
          <w:rFonts w:cs="Times New Roman"/>
        </w:rPr>
      </w:pPr>
      <w:r w:rsidRPr="00904B3B">
        <w:rPr>
          <w:rFonts w:cs="Times New Roman"/>
          <w:sz w:val="20"/>
        </w:rPr>
        <w:t>Source: LPI index 2010</w:t>
      </w:r>
      <w:r w:rsidR="0073539F" w:rsidRPr="00904B3B">
        <w:rPr>
          <w:rFonts w:cs="Times New Roman"/>
          <w:sz w:val="20"/>
        </w:rPr>
        <w:t xml:space="preserve"> (World Bank), out </w:t>
      </w:r>
      <w:r w:rsidRPr="00904B3B">
        <w:rPr>
          <w:rFonts w:cs="Times New Roman"/>
          <w:sz w:val="20"/>
        </w:rPr>
        <w:t>of 155 countries assessed</w:t>
      </w:r>
      <w:r w:rsidR="00904B3B">
        <w:rPr>
          <w:rFonts w:cs="Times New Roman"/>
        </w:rPr>
        <w:t>.</w:t>
      </w:r>
    </w:p>
    <w:p w:rsidR="001377E2" w:rsidRPr="000845DD" w:rsidRDefault="00FD08E8" w:rsidP="003A4CCA">
      <w:pPr>
        <w:spacing w:before="240"/>
      </w:pPr>
      <w:bookmarkStart w:id="267" w:name="_Toc318477729"/>
      <w:r w:rsidRPr="00FD08E8">
        <w:rPr>
          <w:b/>
        </w:rPr>
        <w:t>Border procedures and inland clearance take place fairly swiftly and clearance and transit delays are acceptable</w:t>
      </w:r>
      <w:bookmarkEnd w:id="267"/>
      <w:r w:rsidRPr="00FD08E8">
        <w:rPr>
          <w:b/>
        </w:rPr>
        <w:t>.</w:t>
      </w:r>
      <w:r>
        <w:rPr>
          <w:b/>
        </w:rPr>
        <w:t xml:space="preserve">  </w:t>
      </w:r>
      <w:r w:rsidRPr="00612E34">
        <w:rPr>
          <w:b/>
        </w:rPr>
        <w:t xml:space="preserve"> </w:t>
      </w:r>
      <w:r w:rsidR="00C276E4" w:rsidRPr="00FD08E8">
        <w:t>Afghanistan’s customs performance compares favorably with th</w:t>
      </w:r>
      <w:r w:rsidR="003234EC" w:rsidRPr="00FD08E8">
        <w:t>at</w:t>
      </w:r>
      <w:r w:rsidR="00C276E4" w:rsidRPr="00FD08E8">
        <w:t xml:space="preserve"> of</w:t>
      </w:r>
      <w:r w:rsidR="001377E2" w:rsidRPr="00FD08E8">
        <w:t xml:space="preserve"> other countries, </w:t>
      </w:r>
      <w:r w:rsidR="004635DA" w:rsidRPr="00FD08E8">
        <w:t>especially</w:t>
      </w:r>
      <w:r w:rsidR="001377E2" w:rsidRPr="00FD08E8">
        <w:t xml:space="preserve"> those of</w:t>
      </w:r>
      <w:r w:rsidR="00C276E4" w:rsidRPr="00FD08E8">
        <w:t xml:space="preserve"> </w:t>
      </w:r>
      <w:r w:rsidR="001377E2" w:rsidRPr="00FD08E8">
        <w:t>the former Soviet Union</w:t>
      </w:r>
      <w:r w:rsidR="00C276E4" w:rsidRPr="00FD08E8">
        <w:t>.</w:t>
      </w:r>
      <w:r w:rsidR="007E6641">
        <w:t xml:space="preserve">  Such are the finding</w:t>
      </w:r>
      <w:r>
        <w:t>s of the WB</w:t>
      </w:r>
      <w:r w:rsidR="007E6641">
        <w:t>’s</w:t>
      </w:r>
      <w:r>
        <w:t xml:space="preserve"> customs project </w:t>
      </w:r>
      <w:r w:rsidR="001377E2" w:rsidRPr="000845DD">
        <w:t>performance monitoring indicators</w:t>
      </w:r>
      <w:r w:rsidR="007E6641">
        <w:t>.  Thus</w:t>
      </w:r>
      <w:r>
        <w:t>, t</w:t>
      </w:r>
      <w:r>
        <w:rPr>
          <w:rFonts w:cs="Times New Roman"/>
        </w:rPr>
        <w:t xml:space="preserve">he average customs clearance for trucks at Torkham was </w:t>
      </w:r>
      <w:r w:rsidR="007E6641">
        <w:rPr>
          <w:rFonts w:cs="Times New Roman"/>
        </w:rPr>
        <w:t xml:space="preserve">around </w:t>
      </w:r>
      <w:r>
        <w:rPr>
          <w:rFonts w:cs="Times New Roman"/>
        </w:rPr>
        <w:t>50 hours</w:t>
      </w:r>
      <w:r w:rsidR="007E6641">
        <w:rPr>
          <w:rFonts w:cs="Times New Roman"/>
        </w:rPr>
        <w:t>.  Consequently, t</w:t>
      </w:r>
      <w:r>
        <w:rPr>
          <w:rFonts w:cs="Times New Roman"/>
        </w:rPr>
        <w:t xml:space="preserve">ransit times, based on the issuance and/or discharge of transit forms, between Islamqala and Herat (bordering Iran) averaged  3.7 days, between Hayratan (bordering Uzbekistan) and Mazar_i_Sharif 2.1 days (50:5 hours), and 3.7 days for Torkham to Jalalabad (the border with Pakistan).  </w:t>
      </w:r>
      <w:r>
        <w:rPr>
          <w:lang w:val="en-GB"/>
        </w:rPr>
        <w:t xml:space="preserve">These results compared to other countries, in particular those of the former Soviet Union, are generally good, and show that border procedures and inland clearance take place fairly swiftly. </w:t>
      </w:r>
      <w:r>
        <w:rPr>
          <w:rFonts w:cs="Times New Roman"/>
        </w:rPr>
        <w:t xml:space="preserve"> </w:t>
      </w:r>
      <w:r>
        <w:t xml:space="preserve"> </w:t>
      </w:r>
      <w:r w:rsidR="00F010B8">
        <w:rPr>
          <w:rStyle w:val="FootnoteReference"/>
        </w:rPr>
        <w:footnoteReference w:id="59"/>
      </w:r>
      <w:r w:rsidR="001377E2" w:rsidRPr="000845DD">
        <w:t xml:space="preserve">   </w:t>
      </w:r>
      <w:r w:rsidR="006A4A9B">
        <w:t>(Tables 2.</w:t>
      </w:r>
      <w:r w:rsidR="0091106F">
        <w:t>3</w:t>
      </w:r>
      <w:r w:rsidR="006A4A9B">
        <w:t xml:space="preserve"> and 2.</w:t>
      </w:r>
      <w:r w:rsidR="0091106F">
        <w:t>4</w:t>
      </w:r>
      <w:r w:rsidR="006A4A9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4698"/>
      </w:tblGrid>
      <w:tr w:rsidR="00CC0558" w:rsidTr="006A4A9B">
        <w:tc>
          <w:tcPr>
            <w:tcW w:w="4878" w:type="dxa"/>
          </w:tcPr>
          <w:p w:rsidR="00CC0558" w:rsidRPr="006A4A9B" w:rsidRDefault="00CC0558" w:rsidP="0091106F">
            <w:pPr>
              <w:jc w:val="center"/>
            </w:pPr>
            <w:bookmarkStart w:id="268" w:name="_Toc318477733"/>
            <w:r w:rsidRPr="006A4A9B">
              <w:rPr>
                <w:b/>
                <w:color w:val="410082" w:themeColor="text1"/>
              </w:rPr>
              <w:t>Table 2.</w:t>
            </w:r>
            <w:r w:rsidR="0091106F">
              <w:rPr>
                <w:b/>
                <w:color w:val="410082" w:themeColor="text1"/>
              </w:rPr>
              <w:t>3</w:t>
            </w:r>
            <w:r w:rsidRPr="006A4A9B">
              <w:rPr>
                <w:b/>
                <w:color w:val="410082" w:themeColor="text1"/>
              </w:rPr>
              <w:t xml:space="preserve"> – 2007 Values</w:t>
            </w:r>
            <w:bookmarkEnd w:id="268"/>
            <w:r w:rsidR="004F76B1" w:rsidRPr="006A4A9B">
              <w:rPr>
                <w:b/>
                <w:color w:val="410082" w:themeColor="text1"/>
              </w:rPr>
              <w:t xml:space="preserve"> (hh:mm)</w:t>
            </w:r>
          </w:p>
        </w:tc>
        <w:tc>
          <w:tcPr>
            <w:tcW w:w="4698" w:type="dxa"/>
          </w:tcPr>
          <w:p w:rsidR="00CC0558" w:rsidRPr="006A4A9B" w:rsidRDefault="00CC0558" w:rsidP="0091106F">
            <w:pPr>
              <w:jc w:val="left"/>
            </w:pPr>
            <w:bookmarkStart w:id="269" w:name="_Toc318477734"/>
            <w:r w:rsidRPr="006A4A9B">
              <w:rPr>
                <w:b/>
                <w:color w:val="410082" w:themeColor="text1"/>
              </w:rPr>
              <w:t>Table 2.</w:t>
            </w:r>
            <w:r w:rsidR="0091106F">
              <w:rPr>
                <w:b/>
                <w:color w:val="410082" w:themeColor="text1"/>
              </w:rPr>
              <w:t>4</w:t>
            </w:r>
            <w:r w:rsidRPr="006A4A9B">
              <w:rPr>
                <w:b/>
                <w:color w:val="410082" w:themeColor="text1"/>
              </w:rPr>
              <w:t xml:space="preserve"> – Transit Times</w:t>
            </w:r>
            <w:bookmarkEnd w:id="269"/>
            <w:r w:rsidR="004F76B1" w:rsidRPr="006A4A9B">
              <w:rPr>
                <w:b/>
                <w:color w:val="410082" w:themeColor="text1"/>
              </w:rPr>
              <w:t xml:space="preserve"> (days)</w:t>
            </w:r>
          </w:p>
        </w:tc>
      </w:tr>
      <w:tr w:rsidR="00CC0558" w:rsidTr="006A4A9B">
        <w:tc>
          <w:tcPr>
            <w:tcW w:w="4878" w:type="dxa"/>
          </w:tcPr>
          <w:tbl>
            <w:tblPr>
              <w:tblStyle w:val="LightShading-Accent11"/>
              <w:tblW w:w="5000" w:type="pct"/>
              <w:jc w:val="center"/>
              <w:tblLook w:val="04A0" w:firstRow="1" w:lastRow="0" w:firstColumn="1" w:lastColumn="0" w:noHBand="0" w:noVBand="1"/>
            </w:tblPr>
            <w:tblGrid>
              <w:gridCol w:w="2201"/>
              <w:gridCol w:w="881"/>
              <w:gridCol w:w="1580"/>
            </w:tblGrid>
            <w:tr w:rsidR="00CC0558" w:rsidTr="00CC055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0" w:type="pct"/>
                  <w:hideMark/>
                </w:tcPr>
                <w:p w:rsidR="00CC0558" w:rsidRDefault="00CC0558">
                  <w:pPr>
                    <w:rPr>
                      <w:sz w:val="22"/>
                    </w:rPr>
                  </w:pPr>
                  <w:r>
                    <w:t>Types of vehicles</w:t>
                  </w:r>
                </w:p>
              </w:tc>
              <w:tc>
                <w:tcPr>
                  <w:tcW w:w="945" w:type="pct"/>
                  <w:hideMark/>
                </w:tcPr>
                <w:p w:rsidR="00CC0558" w:rsidRDefault="00CC0558">
                  <w:pPr>
                    <w:cnfStyle w:val="100000000000" w:firstRow="1" w:lastRow="0" w:firstColumn="0" w:lastColumn="0" w:oddVBand="0" w:evenVBand="0" w:oddHBand="0" w:evenHBand="0" w:firstRowFirstColumn="0" w:firstRowLastColumn="0" w:lastRowFirstColumn="0" w:lastRowLastColumn="0"/>
                    <w:rPr>
                      <w:sz w:val="22"/>
                    </w:rPr>
                  </w:pPr>
                  <w:r>
                    <w:rPr>
                      <w:rFonts w:eastAsia="Calibri"/>
                    </w:rPr>
                    <w:t>Overall Time</w:t>
                  </w:r>
                </w:p>
                <w:p w:rsidR="00CC0558" w:rsidRDefault="00CC0558">
                  <w:pPr>
                    <w:cnfStyle w:val="100000000000" w:firstRow="1" w:lastRow="0" w:firstColumn="0" w:lastColumn="0" w:oddVBand="0" w:evenVBand="0" w:oddHBand="0" w:evenHBand="0" w:firstRowFirstColumn="0" w:firstRowLastColumn="0" w:lastRowFirstColumn="0" w:lastRowLastColumn="0"/>
                    <w:rPr>
                      <w:rFonts w:eastAsia="Calibri"/>
                      <w:sz w:val="22"/>
                    </w:rPr>
                  </w:pPr>
                </w:p>
              </w:tc>
              <w:tc>
                <w:tcPr>
                  <w:tcW w:w="1695" w:type="pct"/>
                  <w:hideMark/>
                </w:tcPr>
                <w:p w:rsidR="00CC0558" w:rsidRDefault="00CC0558">
                  <w:pPr>
                    <w:cnfStyle w:val="100000000000" w:firstRow="1" w:lastRow="0" w:firstColumn="0" w:lastColumn="0" w:oddVBand="0" w:evenVBand="0" w:oddHBand="0" w:evenHBand="0" w:firstRowFirstColumn="0" w:firstRowLastColumn="0" w:lastRowFirstColumn="0" w:lastRowLastColumn="0"/>
                    <w:rPr>
                      <w:sz w:val="22"/>
                    </w:rPr>
                  </w:pPr>
                  <w:r>
                    <w:t>Customs Processing Times</w:t>
                  </w:r>
                </w:p>
              </w:tc>
            </w:tr>
            <w:tr w:rsidR="00CC0558" w:rsidTr="00CC05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0" w:type="pct"/>
                  <w:tcBorders>
                    <w:top w:val="nil"/>
                    <w:bottom w:val="nil"/>
                  </w:tcBorders>
                  <w:hideMark/>
                </w:tcPr>
                <w:p w:rsidR="00CC0558" w:rsidRDefault="00CC0558">
                  <w:pPr>
                    <w:rPr>
                      <w:sz w:val="22"/>
                    </w:rPr>
                  </w:pPr>
                  <w:r>
                    <w:t>Trucks/trailer, not covered</w:t>
                  </w:r>
                </w:p>
              </w:tc>
              <w:tc>
                <w:tcPr>
                  <w:tcW w:w="945" w:type="pct"/>
                  <w:tcBorders>
                    <w:top w:val="nil"/>
                    <w:bottom w:val="nil"/>
                  </w:tcBorders>
                  <w:hideMark/>
                </w:tcPr>
                <w:p w:rsidR="00CC0558" w:rsidRDefault="00CC0558">
                  <w:pPr>
                    <w:cnfStyle w:val="000000100000" w:firstRow="0" w:lastRow="0" w:firstColumn="0" w:lastColumn="0" w:oddVBand="0" w:evenVBand="0" w:oddHBand="1" w:evenHBand="0" w:firstRowFirstColumn="0" w:firstRowLastColumn="0" w:lastRowFirstColumn="0" w:lastRowLastColumn="0"/>
                    <w:rPr>
                      <w:sz w:val="22"/>
                    </w:rPr>
                  </w:pPr>
                  <w:r>
                    <w:t>69</w:t>
                  </w:r>
                </w:p>
              </w:tc>
              <w:tc>
                <w:tcPr>
                  <w:tcW w:w="1695" w:type="pct"/>
                  <w:tcBorders>
                    <w:top w:val="nil"/>
                    <w:bottom w:val="nil"/>
                  </w:tcBorders>
                  <w:hideMark/>
                </w:tcPr>
                <w:p w:rsidR="00CC0558" w:rsidRDefault="00CC0558">
                  <w:pPr>
                    <w:cnfStyle w:val="000000100000" w:firstRow="0" w:lastRow="0" w:firstColumn="0" w:lastColumn="0" w:oddVBand="0" w:evenVBand="0" w:oddHBand="1" w:evenHBand="0" w:firstRowFirstColumn="0" w:firstRowLastColumn="0" w:lastRowFirstColumn="0" w:lastRowLastColumn="0"/>
                    <w:rPr>
                      <w:sz w:val="22"/>
                    </w:rPr>
                  </w:pPr>
                  <w:r>
                    <w:t>61</w:t>
                  </w:r>
                </w:p>
              </w:tc>
            </w:tr>
            <w:tr w:rsidR="00CC0558" w:rsidTr="00CC0558">
              <w:trPr>
                <w:jc w:val="center"/>
              </w:trPr>
              <w:tc>
                <w:tcPr>
                  <w:cnfStyle w:val="001000000000" w:firstRow="0" w:lastRow="0" w:firstColumn="1" w:lastColumn="0" w:oddVBand="0" w:evenVBand="0" w:oddHBand="0" w:evenHBand="0" w:firstRowFirstColumn="0" w:firstRowLastColumn="0" w:lastRowFirstColumn="0" w:lastRowLastColumn="0"/>
                  <w:tcW w:w="2360" w:type="pct"/>
                  <w:tcBorders>
                    <w:top w:val="nil"/>
                    <w:left w:val="nil"/>
                    <w:bottom w:val="nil"/>
                    <w:right w:val="nil"/>
                  </w:tcBorders>
                  <w:hideMark/>
                </w:tcPr>
                <w:p w:rsidR="00CC0558" w:rsidRDefault="00CC0558">
                  <w:pPr>
                    <w:rPr>
                      <w:sz w:val="22"/>
                    </w:rPr>
                  </w:pPr>
                  <w:r>
                    <w:t>Trucks/trailer, covered with a tarpaulin</w:t>
                  </w:r>
                </w:p>
              </w:tc>
              <w:tc>
                <w:tcPr>
                  <w:tcW w:w="945" w:type="pct"/>
                  <w:tcBorders>
                    <w:top w:val="nil"/>
                    <w:left w:val="nil"/>
                    <w:bottom w:val="nil"/>
                    <w:right w:val="nil"/>
                  </w:tcBorders>
                  <w:hideMark/>
                </w:tcPr>
                <w:p w:rsidR="00CC0558" w:rsidRDefault="00CC0558">
                  <w:pPr>
                    <w:cnfStyle w:val="000000000000" w:firstRow="0" w:lastRow="0" w:firstColumn="0" w:lastColumn="0" w:oddVBand="0" w:evenVBand="0" w:oddHBand="0" w:evenHBand="0" w:firstRowFirstColumn="0" w:firstRowLastColumn="0" w:lastRowFirstColumn="0" w:lastRowLastColumn="0"/>
                    <w:rPr>
                      <w:sz w:val="22"/>
                    </w:rPr>
                  </w:pPr>
                  <w:r>
                    <w:t>56</w:t>
                  </w:r>
                </w:p>
              </w:tc>
              <w:tc>
                <w:tcPr>
                  <w:tcW w:w="1695" w:type="pct"/>
                  <w:tcBorders>
                    <w:top w:val="nil"/>
                    <w:left w:val="nil"/>
                    <w:bottom w:val="nil"/>
                    <w:right w:val="nil"/>
                  </w:tcBorders>
                  <w:hideMark/>
                </w:tcPr>
                <w:p w:rsidR="00CC0558" w:rsidRDefault="00CC0558">
                  <w:pPr>
                    <w:cnfStyle w:val="000000000000" w:firstRow="0" w:lastRow="0" w:firstColumn="0" w:lastColumn="0" w:oddVBand="0" w:evenVBand="0" w:oddHBand="0" w:evenHBand="0" w:firstRowFirstColumn="0" w:firstRowLastColumn="0" w:lastRowFirstColumn="0" w:lastRowLastColumn="0"/>
                    <w:rPr>
                      <w:sz w:val="22"/>
                    </w:rPr>
                  </w:pPr>
                  <w:r>
                    <w:t>44</w:t>
                  </w:r>
                </w:p>
              </w:tc>
            </w:tr>
            <w:tr w:rsidR="00CC0558" w:rsidTr="00CC05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0" w:type="pct"/>
                  <w:tcBorders>
                    <w:top w:val="nil"/>
                    <w:bottom w:val="nil"/>
                  </w:tcBorders>
                  <w:hideMark/>
                </w:tcPr>
                <w:p w:rsidR="00CC0558" w:rsidRDefault="00CC0558">
                  <w:pPr>
                    <w:rPr>
                      <w:sz w:val="22"/>
                    </w:rPr>
                  </w:pPr>
                  <w:r>
                    <w:t>Trucks/trailers carrying containers</w:t>
                  </w:r>
                </w:p>
              </w:tc>
              <w:tc>
                <w:tcPr>
                  <w:tcW w:w="945" w:type="pct"/>
                  <w:tcBorders>
                    <w:top w:val="nil"/>
                    <w:bottom w:val="nil"/>
                  </w:tcBorders>
                  <w:hideMark/>
                </w:tcPr>
                <w:p w:rsidR="00CC0558" w:rsidRDefault="00CC0558">
                  <w:pPr>
                    <w:cnfStyle w:val="000000100000" w:firstRow="0" w:lastRow="0" w:firstColumn="0" w:lastColumn="0" w:oddVBand="0" w:evenVBand="0" w:oddHBand="1" w:evenHBand="0" w:firstRowFirstColumn="0" w:firstRowLastColumn="0" w:lastRowFirstColumn="0" w:lastRowLastColumn="0"/>
                    <w:rPr>
                      <w:sz w:val="22"/>
                    </w:rPr>
                  </w:pPr>
                  <w:r>
                    <w:t>57</w:t>
                  </w:r>
                </w:p>
              </w:tc>
              <w:tc>
                <w:tcPr>
                  <w:tcW w:w="1695" w:type="pct"/>
                  <w:tcBorders>
                    <w:top w:val="nil"/>
                    <w:bottom w:val="nil"/>
                  </w:tcBorders>
                  <w:hideMark/>
                </w:tcPr>
                <w:p w:rsidR="00CC0558" w:rsidRDefault="00CC0558">
                  <w:pPr>
                    <w:cnfStyle w:val="000000100000" w:firstRow="0" w:lastRow="0" w:firstColumn="0" w:lastColumn="0" w:oddVBand="0" w:evenVBand="0" w:oddHBand="1" w:evenHBand="0" w:firstRowFirstColumn="0" w:firstRowLastColumn="0" w:lastRowFirstColumn="0" w:lastRowLastColumn="0"/>
                    <w:rPr>
                      <w:sz w:val="22"/>
                    </w:rPr>
                  </w:pPr>
                  <w:r>
                    <w:t>46</w:t>
                  </w:r>
                </w:p>
              </w:tc>
            </w:tr>
            <w:tr w:rsidR="00CC0558" w:rsidTr="00CC0558">
              <w:trPr>
                <w:jc w:val="center"/>
              </w:trPr>
              <w:tc>
                <w:tcPr>
                  <w:cnfStyle w:val="001000000000" w:firstRow="0" w:lastRow="0" w:firstColumn="1" w:lastColumn="0" w:oddVBand="0" w:evenVBand="0" w:oddHBand="0" w:evenHBand="0" w:firstRowFirstColumn="0" w:firstRowLastColumn="0" w:lastRowFirstColumn="0" w:lastRowLastColumn="0"/>
                  <w:tcW w:w="2360" w:type="pct"/>
                  <w:tcBorders>
                    <w:top w:val="nil"/>
                    <w:left w:val="nil"/>
                    <w:bottom w:val="single" w:sz="8" w:space="0" w:color="7D4D99" w:themeColor="accent1"/>
                    <w:right w:val="nil"/>
                  </w:tcBorders>
                  <w:hideMark/>
                </w:tcPr>
                <w:p w:rsidR="00CC0558" w:rsidRDefault="00CC0558">
                  <w:pPr>
                    <w:rPr>
                      <w:sz w:val="22"/>
                    </w:rPr>
                  </w:pPr>
                  <w:r>
                    <w:t>Average (unweighted)</w:t>
                  </w:r>
                </w:p>
              </w:tc>
              <w:tc>
                <w:tcPr>
                  <w:tcW w:w="945" w:type="pct"/>
                  <w:tcBorders>
                    <w:top w:val="nil"/>
                    <w:left w:val="nil"/>
                    <w:bottom w:val="single" w:sz="8" w:space="0" w:color="7D4D99" w:themeColor="accent1"/>
                    <w:right w:val="nil"/>
                  </w:tcBorders>
                  <w:hideMark/>
                </w:tcPr>
                <w:p w:rsidR="00CC0558" w:rsidRDefault="00CC0558">
                  <w:pPr>
                    <w:cnfStyle w:val="000000000000" w:firstRow="0" w:lastRow="0" w:firstColumn="0" w:lastColumn="0" w:oddVBand="0" w:evenVBand="0" w:oddHBand="0" w:evenHBand="0" w:firstRowFirstColumn="0" w:firstRowLastColumn="0" w:lastRowFirstColumn="0" w:lastRowLastColumn="0"/>
                    <w:rPr>
                      <w:sz w:val="22"/>
                    </w:rPr>
                  </w:pPr>
                  <w:r>
                    <w:t>61</w:t>
                  </w:r>
                </w:p>
              </w:tc>
              <w:tc>
                <w:tcPr>
                  <w:tcW w:w="1695" w:type="pct"/>
                  <w:tcBorders>
                    <w:top w:val="nil"/>
                    <w:left w:val="nil"/>
                    <w:bottom w:val="single" w:sz="8" w:space="0" w:color="7D4D99" w:themeColor="accent1"/>
                    <w:right w:val="nil"/>
                  </w:tcBorders>
                  <w:hideMark/>
                </w:tcPr>
                <w:p w:rsidR="00CC0558" w:rsidRDefault="00CC0558">
                  <w:pPr>
                    <w:cnfStyle w:val="000000000000" w:firstRow="0" w:lastRow="0" w:firstColumn="0" w:lastColumn="0" w:oddVBand="0" w:evenVBand="0" w:oddHBand="0" w:evenHBand="0" w:firstRowFirstColumn="0" w:firstRowLastColumn="0" w:lastRowFirstColumn="0" w:lastRowLastColumn="0"/>
                    <w:rPr>
                      <w:sz w:val="22"/>
                    </w:rPr>
                  </w:pPr>
                  <w:r>
                    <w:t>50</w:t>
                  </w:r>
                </w:p>
              </w:tc>
            </w:tr>
          </w:tbl>
          <w:p w:rsidR="00CC0558" w:rsidRDefault="00CC0558" w:rsidP="009559FB">
            <w:pPr>
              <w:spacing w:before="240"/>
            </w:pPr>
          </w:p>
        </w:tc>
        <w:tc>
          <w:tcPr>
            <w:tcW w:w="4698" w:type="dxa"/>
          </w:tcPr>
          <w:tbl>
            <w:tblPr>
              <w:tblStyle w:val="LightShading-Accent11"/>
              <w:tblW w:w="5000" w:type="pct"/>
              <w:jc w:val="center"/>
              <w:tblLook w:val="04A0" w:firstRow="1" w:lastRow="0" w:firstColumn="1" w:lastColumn="0" w:noHBand="0" w:noVBand="1"/>
            </w:tblPr>
            <w:tblGrid>
              <w:gridCol w:w="2241"/>
              <w:gridCol w:w="2241"/>
            </w:tblGrid>
            <w:tr w:rsidR="00CC0558" w:rsidTr="00CC055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0" w:type="pct"/>
                  <w:hideMark/>
                </w:tcPr>
                <w:p w:rsidR="00CC0558" w:rsidRDefault="00CC0558" w:rsidP="00CC0558">
                  <w:pPr>
                    <w:rPr>
                      <w:sz w:val="22"/>
                    </w:rPr>
                  </w:pPr>
                  <w:r>
                    <w:t>Corridor</w:t>
                  </w:r>
                </w:p>
              </w:tc>
              <w:tc>
                <w:tcPr>
                  <w:tcW w:w="2500" w:type="pct"/>
                  <w:hideMark/>
                </w:tcPr>
                <w:p w:rsidR="00CC0558" w:rsidRDefault="00CC0558" w:rsidP="00CC0558">
                  <w:pPr>
                    <w:cnfStyle w:val="100000000000" w:firstRow="1" w:lastRow="0" w:firstColumn="0" w:lastColumn="0" w:oddVBand="0" w:evenVBand="0" w:oddHBand="0" w:evenHBand="0" w:firstRowFirstColumn="0" w:firstRowLastColumn="0" w:lastRowFirstColumn="0" w:lastRowLastColumn="0"/>
                    <w:rPr>
                      <w:sz w:val="22"/>
                    </w:rPr>
                  </w:pPr>
                  <w:r>
                    <w:t>Average transit time</w:t>
                  </w:r>
                </w:p>
              </w:tc>
            </w:tr>
            <w:tr w:rsidR="00CC0558" w:rsidTr="00CC05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0" w:type="pct"/>
                  <w:tcBorders>
                    <w:top w:val="nil"/>
                    <w:bottom w:val="nil"/>
                  </w:tcBorders>
                  <w:hideMark/>
                </w:tcPr>
                <w:p w:rsidR="00CC0558" w:rsidRDefault="00CC0558" w:rsidP="00CC0558">
                  <w:pPr>
                    <w:rPr>
                      <w:sz w:val="22"/>
                    </w:rPr>
                  </w:pPr>
                  <w:r>
                    <w:t>Islamqala/Herat</w:t>
                  </w:r>
                </w:p>
              </w:tc>
              <w:tc>
                <w:tcPr>
                  <w:tcW w:w="2500" w:type="pct"/>
                  <w:tcBorders>
                    <w:top w:val="nil"/>
                    <w:bottom w:val="nil"/>
                  </w:tcBorders>
                  <w:hideMark/>
                </w:tcPr>
                <w:p w:rsidR="00CC0558" w:rsidRDefault="00CC0558" w:rsidP="004F76B1">
                  <w:pPr>
                    <w:cnfStyle w:val="000000100000" w:firstRow="0" w:lastRow="0" w:firstColumn="0" w:lastColumn="0" w:oddVBand="0" w:evenVBand="0" w:oddHBand="1" w:evenHBand="0" w:firstRowFirstColumn="0" w:firstRowLastColumn="0" w:lastRowFirstColumn="0" w:lastRowLastColumn="0"/>
                    <w:rPr>
                      <w:sz w:val="22"/>
                    </w:rPr>
                  </w:pPr>
                  <w:r>
                    <w:t xml:space="preserve">3.7 </w:t>
                  </w:r>
                </w:p>
              </w:tc>
            </w:tr>
            <w:tr w:rsidR="00CC0558" w:rsidTr="00CC0558">
              <w:trPr>
                <w:jc w:val="center"/>
              </w:trPr>
              <w:tc>
                <w:tcPr>
                  <w:cnfStyle w:val="001000000000" w:firstRow="0" w:lastRow="0" w:firstColumn="1" w:lastColumn="0" w:oddVBand="0" w:evenVBand="0" w:oddHBand="0" w:evenHBand="0" w:firstRowFirstColumn="0" w:firstRowLastColumn="0" w:lastRowFirstColumn="0" w:lastRowLastColumn="0"/>
                  <w:tcW w:w="2500" w:type="pct"/>
                  <w:tcBorders>
                    <w:top w:val="nil"/>
                    <w:left w:val="nil"/>
                    <w:bottom w:val="nil"/>
                    <w:right w:val="nil"/>
                  </w:tcBorders>
                  <w:hideMark/>
                </w:tcPr>
                <w:p w:rsidR="00CC0558" w:rsidRDefault="00CC0558" w:rsidP="00CC0558">
                  <w:pPr>
                    <w:rPr>
                      <w:sz w:val="22"/>
                    </w:rPr>
                  </w:pPr>
                  <w:r>
                    <w:t>Islamqala/Kabul</w:t>
                  </w:r>
                </w:p>
              </w:tc>
              <w:tc>
                <w:tcPr>
                  <w:tcW w:w="2500" w:type="pct"/>
                  <w:tcBorders>
                    <w:top w:val="nil"/>
                    <w:left w:val="nil"/>
                    <w:bottom w:val="nil"/>
                    <w:right w:val="nil"/>
                  </w:tcBorders>
                  <w:hideMark/>
                </w:tcPr>
                <w:p w:rsidR="00CC0558" w:rsidRDefault="00CC0558" w:rsidP="004F76B1">
                  <w:pPr>
                    <w:cnfStyle w:val="000000000000" w:firstRow="0" w:lastRow="0" w:firstColumn="0" w:lastColumn="0" w:oddVBand="0" w:evenVBand="0" w:oddHBand="0" w:evenHBand="0" w:firstRowFirstColumn="0" w:firstRowLastColumn="0" w:lastRowFirstColumn="0" w:lastRowLastColumn="0"/>
                    <w:rPr>
                      <w:sz w:val="22"/>
                    </w:rPr>
                  </w:pPr>
                  <w:r>
                    <w:t xml:space="preserve">99.7 </w:t>
                  </w:r>
                </w:p>
              </w:tc>
            </w:tr>
            <w:tr w:rsidR="00CC0558" w:rsidTr="00CC05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0" w:type="pct"/>
                  <w:tcBorders>
                    <w:top w:val="nil"/>
                    <w:bottom w:val="nil"/>
                  </w:tcBorders>
                  <w:hideMark/>
                </w:tcPr>
                <w:p w:rsidR="00CC0558" w:rsidRDefault="00CC0558" w:rsidP="00CC0558">
                  <w:pPr>
                    <w:rPr>
                      <w:sz w:val="22"/>
                    </w:rPr>
                  </w:pPr>
                  <w:r>
                    <w:t>Hayratan/Mazar</w:t>
                  </w:r>
                </w:p>
              </w:tc>
              <w:tc>
                <w:tcPr>
                  <w:tcW w:w="2500" w:type="pct"/>
                  <w:tcBorders>
                    <w:top w:val="nil"/>
                    <w:bottom w:val="nil"/>
                  </w:tcBorders>
                  <w:hideMark/>
                </w:tcPr>
                <w:p w:rsidR="00CC0558" w:rsidRDefault="004F76B1" w:rsidP="004F76B1">
                  <w:pPr>
                    <w:cnfStyle w:val="000000100000" w:firstRow="0" w:lastRow="0" w:firstColumn="0" w:lastColumn="0" w:oddVBand="0" w:evenVBand="0" w:oddHBand="1" w:evenHBand="0" w:firstRowFirstColumn="0" w:firstRowLastColumn="0" w:lastRowFirstColumn="0" w:lastRowLastColumn="0"/>
                    <w:rPr>
                      <w:sz w:val="22"/>
                    </w:rPr>
                  </w:pPr>
                  <w:r>
                    <w:t>2.1</w:t>
                  </w:r>
                  <w:r w:rsidR="00CC0558">
                    <w:t xml:space="preserve"> </w:t>
                  </w:r>
                </w:p>
              </w:tc>
            </w:tr>
            <w:tr w:rsidR="00CC0558" w:rsidTr="00CC0558">
              <w:trPr>
                <w:jc w:val="center"/>
              </w:trPr>
              <w:tc>
                <w:tcPr>
                  <w:cnfStyle w:val="001000000000" w:firstRow="0" w:lastRow="0" w:firstColumn="1" w:lastColumn="0" w:oddVBand="0" w:evenVBand="0" w:oddHBand="0" w:evenHBand="0" w:firstRowFirstColumn="0" w:firstRowLastColumn="0" w:lastRowFirstColumn="0" w:lastRowLastColumn="0"/>
                  <w:tcW w:w="2500" w:type="pct"/>
                  <w:tcBorders>
                    <w:top w:val="nil"/>
                    <w:left w:val="nil"/>
                    <w:bottom w:val="nil"/>
                    <w:right w:val="nil"/>
                  </w:tcBorders>
                  <w:hideMark/>
                </w:tcPr>
                <w:p w:rsidR="00CC0558" w:rsidRDefault="00CC0558" w:rsidP="00CC0558">
                  <w:pPr>
                    <w:rPr>
                      <w:sz w:val="22"/>
                    </w:rPr>
                  </w:pPr>
                  <w:r>
                    <w:t>Hayratan/Kabul</w:t>
                  </w:r>
                </w:p>
              </w:tc>
              <w:tc>
                <w:tcPr>
                  <w:tcW w:w="2500" w:type="pct"/>
                  <w:tcBorders>
                    <w:top w:val="nil"/>
                    <w:left w:val="nil"/>
                    <w:bottom w:val="nil"/>
                    <w:right w:val="nil"/>
                  </w:tcBorders>
                  <w:hideMark/>
                </w:tcPr>
                <w:p w:rsidR="00CC0558" w:rsidRDefault="00CC0558" w:rsidP="004F76B1">
                  <w:pPr>
                    <w:cnfStyle w:val="000000000000" w:firstRow="0" w:lastRow="0" w:firstColumn="0" w:lastColumn="0" w:oddVBand="0" w:evenVBand="0" w:oddHBand="0" w:evenHBand="0" w:firstRowFirstColumn="0" w:firstRowLastColumn="0" w:lastRowFirstColumn="0" w:lastRowLastColumn="0"/>
                    <w:rPr>
                      <w:sz w:val="22"/>
                    </w:rPr>
                  </w:pPr>
                  <w:r>
                    <w:t xml:space="preserve">19.4 </w:t>
                  </w:r>
                </w:p>
              </w:tc>
            </w:tr>
            <w:tr w:rsidR="00CC0558" w:rsidTr="00CC05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0" w:type="pct"/>
                  <w:tcBorders>
                    <w:top w:val="nil"/>
                    <w:bottom w:val="nil"/>
                  </w:tcBorders>
                  <w:hideMark/>
                </w:tcPr>
                <w:p w:rsidR="00CC0558" w:rsidRDefault="00CC0558" w:rsidP="00CC0558">
                  <w:pPr>
                    <w:rPr>
                      <w:sz w:val="22"/>
                    </w:rPr>
                  </w:pPr>
                  <w:r>
                    <w:t>Torkham/Jalalabad</w:t>
                  </w:r>
                </w:p>
              </w:tc>
              <w:tc>
                <w:tcPr>
                  <w:tcW w:w="2500" w:type="pct"/>
                  <w:tcBorders>
                    <w:top w:val="nil"/>
                    <w:bottom w:val="nil"/>
                  </w:tcBorders>
                  <w:hideMark/>
                </w:tcPr>
                <w:p w:rsidR="00CC0558" w:rsidRDefault="00CC0558" w:rsidP="004F76B1">
                  <w:pPr>
                    <w:cnfStyle w:val="000000100000" w:firstRow="0" w:lastRow="0" w:firstColumn="0" w:lastColumn="0" w:oddVBand="0" w:evenVBand="0" w:oddHBand="1" w:evenHBand="0" w:firstRowFirstColumn="0" w:firstRowLastColumn="0" w:lastRowFirstColumn="0" w:lastRowLastColumn="0"/>
                    <w:rPr>
                      <w:sz w:val="22"/>
                    </w:rPr>
                  </w:pPr>
                  <w:r>
                    <w:t xml:space="preserve">3.6 9 </w:t>
                  </w:r>
                </w:p>
              </w:tc>
            </w:tr>
            <w:tr w:rsidR="00CC0558" w:rsidTr="00CC0558">
              <w:trPr>
                <w:jc w:val="center"/>
              </w:trPr>
              <w:tc>
                <w:tcPr>
                  <w:cnfStyle w:val="001000000000" w:firstRow="0" w:lastRow="0" w:firstColumn="1" w:lastColumn="0" w:oddVBand="0" w:evenVBand="0" w:oddHBand="0" w:evenHBand="0" w:firstRowFirstColumn="0" w:firstRowLastColumn="0" w:lastRowFirstColumn="0" w:lastRowLastColumn="0"/>
                  <w:tcW w:w="2500" w:type="pct"/>
                  <w:tcBorders>
                    <w:top w:val="nil"/>
                    <w:left w:val="nil"/>
                    <w:bottom w:val="single" w:sz="8" w:space="0" w:color="7D4D99" w:themeColor="accent1"/>
                    <w:right w:val="nil"/>
                  </w:tcBorders>
                  <w:hideMark/>
                </w:tcPr>
                <w:p w:rsidR="00CC0558" w:rsidRDefault="00CC0558" w:rsidP="00CC0558">
                  <w:r>
                    <w:t>Torkham/Kabul</w:t>
                  </w:r>
                </w:p>
              </w:tc>
              <w:tc>
                <w:tcPr>
                  <w:tcW w:w="2500" w:type="pct"/>
                  <w:tcBorders>
                    <w:top w:val="nil"/>
                    <w:left w:val="nil"/>
                    <w:bottom w:val="single" w:sz="8" w:space="0" w:color="7D4D99" w:themeColor="accent1"/>
                    <w:right w:val="nil"/>
                  </w:tcBorders>
                  <w:hideMark/>
                </w:tcPr>
                <w:p w:rsidR="00CC0558" w:rsidRDefault="00CC0558" w:rsidP="004F76B1">
                  <w:pPr>
                    <w:cnfStyle w:val="000000000000" w:firstRow="0" w:lastRow="0" w:firstColumn="0" w:lastColumn="0" w:oddVBand="0" w:evenVBand="0" w:oddHBand="0" w:evenHBand="0" w:firstRowFirstColumn="0" w:firstRowLastColumn="0" w:lastRowFirstColumn="0" w:lastRowLastColumn="0"/>
                    <w:rPr>
                      <w:highlight w:val="yellow"/>
                    </w:rPr>
                  </w:pPr>
                  <w:r>
                    <w:t xml:space="preserve">19.4 </w:t>
                  </w:r>
                </w:p>
              </w:tc>
            </w:tr>
          </w:tbl>
          <w:p w:rsidR="00CC0558" w:rsidRDefault="00CC0558" w:rsidP="009559FB">
            <w:pPr>
              <w:spacing w:before="240"/>
            </w:pPr>
          </w:p>
        </w:tc>
      </w:tr>
    </w:tbl>
    <w:p w:rsidR="00161D33" w:rsidRDefault="00CC0558" w:rsidP="00161D33">
      <w:pPr>
        <w:spacing w:before="240"/>
        <w:rPr>
          <w:sz w:val="20"/>
        </w:rPr>
      </w:pPr>
      <w:r w:rsidRPr="006A4A9B">
        <w:rPr>
          <w:sz w:val="20"/>
        </w:rPr>
        <w:t>Source: ADB 2007</w:t>
      </w:r>
      <w:r w:rsidR="00161D33">
        <w:rPr>
          <w:sz w:val="20"/>
        </w:rPr>
        <w:tab/>
      </w:r>
      <w:r w:rsidR="00161D33">
        <w:rPr>
          <w:sz w:val="20"/>
        </w:rPr>
        <w:tab/>
      </w:r>
      <w:r w:rsidR="00161D33">
        <w:rPr>
          <w:sz w:val="20"/>
        </w:rPr>
        <w:tab/>
      </w:r>
      <w:r w:rsidR="00161D33">
        <w:rPr>
          <w:sz w:val="20"/>
        </w:rPr>
        <w:tab/>
      </w:r>
      <w:r w:rsidR="00161D33">
        <w:rPr>
          <w:sz w:val="20"/>
        </w:rPr>
        <w:tab/>
      </w:r>
      <w:r w:rsidRPr="006A4A9B">
        <w:rPr>
          <w:sz w:val="20"/>
        </w:rPr>
        <w:t>Source: Asycuda 2007</w:t>
      </w:r>
      <w:bookmarkStart w:id="270" w:name="_Toc318477741"/>
      <w:bookmarkStart w:id="271" w:name="_Toc318477735"/>
    </w:p>
    <w:p w:rsidR="009559FB" w:rsidRPr="00161D33" w:rsidRDefault="00FB45EF" w:rsidP="00161D33">
      <w:pPr>
        <w:spacing w:before="240"/>
        <w:rPr>
          <w:sz w:val="20"/>
        </w:rPr>
      </w:pPr>
      <w:r w:rsidRPr="00DD34D7">
        <w:rPr>
          <w:b/>
        </w:rPr>
        <w:t>M</w:t>
      </w:r>
      <w:r w:rsidR="009559FB" w:rsidRPr="00612E34">
        <w:rPr>
          <w:b/>
        </w:rPr>
        <w:t>ajor reforms have been initiated and implemented.</w:t>
      </w:r>
      <w:bookmarkEnd w:id="270"/>
      <w:r w:rsidR="009559FB" w:rsidRPr="000845DD">
        <w:rPr>
          <w:rStyle w:val="Heading2Char"/>
          <w:i w:val="0"/>
          <w:color w:val="auto"/>
          <w:sz w:val="22"/>
          <w:szCs w:val="22"/>
        </w:rPr>
        <w:t xml:space="preserve"> </w:t>
      </w:r>
      <w:r w:rsidR="009559FB" w:rsidRPr="000845DD">
        <w:t>A 2007</w:t>
      </w:r>
      <w:r w:rsidR="009559FB">
        <w:t>–</w:t>
      </w:r>
      <w:r w:rsidR="009559FB" w:rsidRPr="000845DD">
        <w:t>2012 Five</w:t>
      </w:r>
      <w:r w:rsidR="009559FB">
        <w:t>-</w:t>
      </w:r>
      <w:r w:rsidR="009559FB" w:rsidRPr="000845DD">
        <w:t>Year Strategic Plan was adopted to provide a framework for comprehensive and phased reforms.  The strategic plan was also intended to channel donor inputs in a coordinated manner.  T</w:t>
      </w:r>
      <w:r w:rsidR="009559FB" w:rsidRPr="000845DD">
        <w:rPr>
          <w:bCs/>
        </w:rPr>
        <w:t>he Afghan Ministry of Commerce and Industry</w:t>
      </w:r>
      <w:r w:rsidR="009559FB">
        <w:rPr>
          <w:bCs/>
        </w:rPr>
        <w:t>’s</w:t>
      </w:r>
      <w:r w:rsidR="009559FB" w:rsidRPr="000845DD">
        <w:rPr>
          <w:bCs/>
        </w:rPr>
        <w:t xml:space="preserve"> Memorandum on the Foreign Trade Regime (March 2009) list</w:t>
      </w:r>
      <w:r w:rsidR="009559FB">
        <w:rPr>
          <w:bCs/>
        </w:rPr>
        <w:t>ed</w:t>
      </w:r>
      <w:r w:rsidR="009559FB" w:rsidRPr="000845DD">
        <w:rPr>
          <w:bCs/>
        </w:rPr>
        <w:t xml:space="preserve"> the major achievements in recent years</w:t>
      </w:r>
      <w:r w:rsidR="009559FB">
        <w:rPr>
          <w:bCs/>
        </w:rPr>
        <w:t xml:space="preserve"> as</w:t>
      </w:r>
      <w:r w:rsidR="009559FB" w:rsidRPr="000845DD">
        <w:rPr>
          <w:bCs/>
        </w:rPr>
        <w:t>:</w:t>
      </w:r>
    </w:p>
    <w:p w:rsidR="009559FB" w:rsidRPr="000845DD" w:rsidRDefault="009559FB" w:rsidP="00F96BFA">
      <w:pPr>
        <w:pStyle w:val="ListParagraph"/>
        <w:numPr>
          <w:ilvl w:val="0"/>
          <w:numId w:val="8"/>
        </w:numPr>
      </w:pPr>
      <w:r w:rsidRPr="000845DD">
        <w:t xml:space="preserve">Introduction of the Afghanistan National Tariff Schedule, which reduced the number of tariff bands from 25 to </w:t>
      </w:r>
      <w:r>
        <w:t>6</w:t>
      </w:r>
      <w:r w:rsidRPr="000845DD">
        <w:t>, subsequently increased to 12. The schedule classifie</w:t>
      </w:r>
      <w:r>
        <w:t>d</w:t>
      </w:r>
      <w:r w:rsidRPr="000845DD">
        <w:t xml:space="preserve"> goods according to international standards and mandate</w:t>
      </w:r>
      <w:r>
        <w:t>d</w:t>
      </w:r>
      <w:r w:rsidRPr="000845DD">
        <w:t xml:space="preserve"> the use of the official exchange rate as </w:t>
      </w:r>
      <w:r>
        <w:t>set</w:t>
      </w:r>
      <w:r w:rsidRPr="000845DD">
        <w:t xml:space="preserve"> by the central bank for valuation purposes;</w:t>
      </w:r>
    </w:p>
    <w:p w:rsidR="009559FB" w:rsidRPr="00C40E9C" w:rsidRDefault="009559FB" w:rsidP="00F96BFA">
      <w:pPr>
        <w:pStyle w:val="ListParagraph"/>
        <w:numPr>
          <w:ilvl w:val="0"/>
          <w:numId w:val="7"/>
        </w:numPr>
      </w:pPr>
      <w:r w:rsidRPr="00C40E9C">
        <w:t>Introduction of new procedures to control and monitor exemptions;</w:t>
      </w:r>
      <w:r w:rsidRPr="000845DD">
        <w:rPr>
          <w:rStyle w:val="FootnoteReference"/>
        </w:rPr>
        <w:footnoteReference w:id="60"/>
      </w:r>
      <w:r w:rsidRPr="00C40E9C">
        <w:t xml:space="preserve">  </w:t>
      </w:r>
    </w:p>
    <w:p w:rsidR="009559FB" w:rsidRPr="00C40E9C" w:rsidRDefault="009559FB" w:rsidP="00F96BFA">
      <w:pPr>
        <w:pStyle w:val="ListParagraph"/>
        <w:numPr>
          <w:ilvl w:val="0"/>
          <w:numId w:val="7"/>
        </w:numPr>
      </w:pPr>
      <w:r w:rsidRPr="00C40E9C">
        <w:t>Implementation of several modules of Asycuda (Automated System for Customs Data);</w:t>
      </w:r>
      <w:r w:rsidRPr="00C40E9C">
        <w:rPr>
          <w:rStyle w:val="FootnoteReference"/>
        </w:rPr>
        <w:t xml:space="preserve"> </w:t>
      </w:r>
      <w:r w:rsidRPr="000845DD">
        <w:rPr>
          <w:rStyle w:val="FootnoteReference"/>
        </w:rPr>
        <w:footnoteReference w:id="61"/>
      </w:r>
      <w:r w:rsidRPr="00C40E9C">
        <w:t xml:space="preserve"> </w:t>
      </w:r>
    </w:p>
    <w:p w:rsidR="009559FB" w:rsidRPr="00C40E9C" w:rsidRDefault="009559FB" w:rsidP="00F96BFA">
      <w:pPr>
        <w:pStyle w:val="ListParagraph"/>
        <w:numPr>
          <w:ilvl w:val="0"/>
          <w:numId w:val="7"/>
        </w:numPr>
      </w:pPr>
      <w:r w:rsidRPr="00C40E9C">
        <w:t xml:space="preserve">Infrastructure development at main </w:t>
      </w:r>
      <w:r>
        <w:t>c</w:t>
      </w:r>
      <w:r w:rsidRPr="00C40E9C">
        <w:t>ustoms stations;</w:t>
      </w:r>
    </w:p>
    <w:p w:rsidR="009559FB" w:rsidRPr="00C40E9C" w:rsidRDefault="009559FB" w:rsidP="00F96BFA">
      <w:pPr>
        <w:pStyle w:val="ListParagraph"/>
        <w:numPr>
          <w:ilvl w:val="0"/>
          <w:numId w:val="7"/>
        </w:numPr>
      </w:pPr>
      <w:r w:rsidRPr="00C40E9C">
        <w:t xml:space="preserve">Capacity building and training of </w:t>
      </w:r>
      <w:r>
        <w:t>c</w:t>
      </w:r>
      <w:r w:rsidRPr="00C40E9C">
        <w:t xml:space="preserve">ustoms officials; </w:t>
      </w:r>
    </w:p>
    <w:p w:rsidR="009559FB" w:rsidRPr="00C40E9C" w:rsidRDefault="009559FB" w:rsidP="00F96BFA">
      <w:pPr>
        <w:pStyle w:val="ListParagraph"/>
        <w:numPr>
          <w:ilvl w:val="0"/>
          <w:numId w:val="7"/>
        </w:numPr>
      </w:pPr>
      <w:r w:rsidRPr="00C40E9C">
        <w:t xml:space="preserve">Enforcement of mobile verification teams operating at important </w:t>
      </w:r>
      <w:r>
        <w:t>c</w:t>
      </w:r>
      <w:r w:rsidRPr="00C40E9C">
        <w:t xml:space="preserve">ustoms </w:t>
      </w:r>
      <w:r>
        <w:t xml:space="preserve">points </w:t>
      </w:r>
      <w:r w:rsidRPr="00C40E9C">
        <w:t>and along transit routes;</w:t>
      </w:r>
      <w:r w:rsidRPr="000845DD">
        <w:rPr>
          <w:rStyle w:val="FootnoteReference"/>
        </w:rPr>
        <w:footnoteReference w:id="62"/>
      </w:r>
      <w:r w:rsidRPr="00C40E9C">
        <w:t xml:space="preserve"> </w:t>
      </w:r>
    </w:p>
    <w:p w:rsidR="009559FB" w:rsidRPr="00C40E9C" w:rsidRDefault="009559FB" w:rsidP="00F96BFA">
      <w:pPr>
        <w:pStyle w:val="ListParagraph"/>
        <w:numPr>
          <w:ilvl w:val="0"/>
          <w:numId w:val="7"/>
        </w:numPr>
      </w:pPr>
      <w:r w:rsidRPr="00C40E9C">
        <w:t>Support to facilitate legitimate trade and transit, including the introduction of the bonded carrier system;</w:t>
      </w:r>
      <w:r w:rsidRPr="000845DD">
        <w:rPr>
          <w:rStyle w:val="FootnoteReference"/>
        </w:rPr>
        <w:footnoteReference w:id="63"/>
      </w:r>
      <w:r w:rsidRPr="00C40E9C">
        <w:t xml:space="preserve"> </w:t>
      </w:r>
    </w:p>
    <w:p w:rsidR="009559FB" w:rsidRPr="00C40E9C" w:rsidRDefault="009559FB" w:rsidP="00F96BFA">
      <w:pPr>
        <w:pStyle w:val="ListParagraph"/>
        <w:numPr>
          <w:ilvl w:val="0"/>
          <w:numId w:val="7"/>
        </w:numPr>
      </w:pPr>
      <w:r w:rsidRPr="00C40E9C">
        <w:t xml:space="preserve">Increase in the number of licensed </w:t>
      </w:r>
      <w:r>
        <w:t>c</w:t>
      </w:r>
      <w:r w:rsidRPr="00C40E9C">
        <w:t xml:space="preserve">ustoms clearing agents; and </w:t>
      </w:r>
    </w:p>
    <w:p w:rsidR="009559FB" w:rsidRPr="00B25B94" w:rsidRDefault="009559FB" w:rsidP="00F96BFA">
      <w:pPr>
        <w:pStyle w:val="ListParagraph"/>
        <w:numPr>
          <w:ilvl w:val="0"/>
          <w:numId w:val="7"/>
        </w:numPr>
        <w:rPr>
          <w:rFonts w:cs="Times New Roman"/>
        </w:rPr>
      </w:pPr>
      <w:r w:rsidRPr="00C40E9C">
        <w:t xml:space="preserve">The establishment of regional </w:t>
      </w:r>
      <w:r>
        <w:t>c</w:t>
      </w:r>
      <w:r w:rsidRPr="00C40E9C">
        <w:t>ustoms valuation and post clearance control units in the major provincial cent</w:t>
      </w:r>
      <w:r>
        <w:t>er</w:t>
      </w:r>
      <w:r w:rsidRPr="00C40E9C">
        <w:t xml:space="preserve">s. </w:t>
      </w:r>
    </w:p>
    <w:p w:rsidR="00B25B94" w:rsidRDefault="00B47E80" w:rsidP="00B25B94">
      <w:pPr>
        <w:rPr>
          <w:rFonts w:cs="Times New Roman"/>
        </w:rPr>
      </w:pPr>
      <w:r w:rsidRPr="00B47E80">
        <w:rPr>
          <w:b/>
        </w:rPr>
        <w:t>In 2011, implementation of Asycuda had expanded to cover 95 percent of customs houses</w:t>
      </w:r>
      <w:r w:rsidRPr="00B47E80">
        <w:rPr>
          <w:rFonts w:cs="Times New Roman"/>
        </w:rPr>
        <w:t xml:space="preserve"> (and 90 percent by value of foreign trade processed). The gradual coverage of the entire country has largely closed the gaps through which importers tried to avoid control, and can partly explain the progress in revenue collection. However, the system also requires further extensions:  Other functions (including valuation control, risk management, and exemptions) should now be introduced.  </w:t>
      </w:r>
      <w:bookmarkStart w:id="272" w:name="_Toc318477745"/>
    </w:p>
    <w:p w:rsidR="00B25B94" w:rsidRDefault="00B25B94" w:rsidP="00B25B94">
      <w:r w:rsidRPr="00B47E80">
        <w:rPr>
          <w:b/>
        </w:rPr>
        <w:t>Computerization was successful</w:t>
      </w:r>
      <w:r w:rsidR="0073438F">
        <w:rPr>
          <w:b/>
        </w:rPr>
        <w:t xml:space="preserve">.  </w:t>
      </w:r>
      <w:bookmarkEnd w:id="272"/>
      <w:r>
        <w:rPr>
          <w:rFonts w:cs="Times New Roman"/>
        </w:rPr>
        <w:t>T</w:t>
      </w:r>
      <w:r w:rsidRPr="00B47E80">
        <w:rPr>
          <w:rFonts w:cs="Times New Roman"/>
        </w:rPr>
        <w:t xml:space="preserve">he Asycuda transit module </w:t>
      </w:r>
      <w:r>
        <w:rPr>
          <w:rFonts w:cs="Times New Roman"/>
        </w:rPr>
        <w:t xml:space="preserve">was </w:t>
      </w:r>
      <w:r w:rsidRPr="00B47E80">
        <w:rPr>
          <w:rFonts w:cs="Times New Roman"/>
        </w:rPr>
        <w:t xml:space="preserve">deployed </w:t>
      </w:r>
      <w:r w:rsidRPr="000845DD">
        <w:t>between Torkham, Jalalabad, and Kabul</w:t>
      </w:r>
      <w:r>
        <w:t xml:space="preserve"> at a very early stage in the reform process, as a way to</w:t>
      </w:r>
      <w:r w:rsidRPr="000845DD">
        <w:t xml:space="preserve"> urgently establish a</w:t>
      </w:r>
      <w:r w:rsidRPr="00B47E80">
        <w:rPr>
          <w:rFonts w:cs="Times New Roman"/>
        </w:rPr>
        <w:t xml:space="preserve"> reliable method for recording entry of goods into the country.</w:t>
      </w:r>
      <w:r w:rsidR="00C304E7">
        <w:rPr>
          <w:rFonts w:cs="Times New Roman"/>
        </w:rPr>
        <w:t xml:space="preserve">  </w:t>
      </w:r>
      <w:r w:rsidR="00B708C8">
        <w:rPr>
          <w:rFonts w:cs="Times New Roman"/>
        </w:rPr>
        <w:t xml:space="preserve">In general, </w:t>
      </w:r>
      <w:r>
        <w:rPr>
          <w:rFonts w:cs="Times New Roman"/>
        </w:rPr>
        <w:t>w</w:t>
      </w:r>
      <w:r w:rsidRPr="00B47E80">
        <w:rPr>
          <w:rFonts w:cs="Times New Roman"/>
        </w:rPr>
        <w:t>hen clearance takes place inland, it is essential to ensure that what is seen at the point of entry is properly reported on arrival</w:t>
      </w:r>
      <w:r w:rsidR="00B708C8">
        <w:rPr>
          <w:rFonts w:cs="Times New Roman"/>
        </w:rPr>
        <w:t xml:space="preserve">.  In the case of Afghanistan </w:t>
      </w:r>
      <w:r>
        <w:rPr>
          <w:rFonts w:cs="Times New Roman"/>
        </w:rPr>
        <w:t xml:space="preserve">it is </w:t>
      </w:r>
      <w:r w:rsidRPr="00B47E80">
        <w:rPr>
          <w:rFonts w:cs="Times New Roman"/>
        </w:rPr>
        <w:t>estimated that about 40 percent of transit – i.e., border to inland movements of uncleared goods – failed to reach the official point of inland clearance</w:t>
      </w:r>
      <w:r>
        <w:rPr>
          <w:rFonts w:cs="Times New Roman"/>
        </w:rPr>
        <w:t>.</w:t>
      </w:r>
      <w:r w:rsidR="00C304E7">
        <w:rPr>
          <w:rFonts w:cs="Times New Roman"/>
        </w:rPr>
        <w:t xml:space="preserve">  The issue going forward is to reduce the share of uncleared goods missing the inland clearance point. </w:t>
      </w:r>
      <w:r>
        <w:rPr>
          <w:rFonts w:cs="Times New Roman"/>
        </w:rPr>
        <w:t xml:space="preserve">  </w:t>
      </w:r>
      <w:r w:rsidR="0033136F">
        <w:rPr>
          <w:rFonts w:cs="Times New Roman"/>
        </w:rPr>
        <w:t>(Box 2.1</w:t>
      </w:r>
      <w:r w:rsidR="00F55942">
        <w:rPr>
          <w:rFonts w:cs="Times New Roman"/>
        </w:rPr>
        <w:t>)</w:t>
      </w:r>
    </w:p>
    <w:tbl>
      <w:tblPr>
        <w:tblStyle w:val="TableGrid"/>
        <w:tblW w:w="0" w:type="auto"/>
        <w:shd w:val="clear" w:color="auto" w:fill="ECE4F1" w:themeFill="accent6" w:themeFillTint="33"/>
        <w:tblLook w:val="04A0" w:firstRow="1" w:lastRow="0" w:firstColumn="1" w:lastColumn="0" w:noHBand="0" w:noVBand="1"/>
      </w:tblPr>
      <w:tblGrid>
        <w:gridCol w:w="9576"/>
      </w:tblGrid>
      <w:tr w:rsidR="00B47E80" w:rsidRPr="000845DD" w:rsidTr="00F55942">
        <w:tc>
          <w:tcPr>
            <w:tcW w:w="9576" w:type="dxa"/>
            <w:shd w:val="clear" w:color="auto" w:fill="ECE4F1" w:themeFill="accent6" w:themeFillTint="33"/>
          </w:tcPr>
          <w:p w:rsidR="00B47E80" w:rsidRPr="00B47E80" w:rsidRDefault="00B47E80" w:rsidP="00B47E80">
            <w:pPr>
              <w:ind w:left="360"/>
              <w:rPr>
                <w:rFonts w:cs="Times New Roman"/>
                <w:b/>
              </w:rPr>
            </w:pPr>
            <w:bookmarkStart w:id="273" w:name="_Toc318477746"/>
            <w:r w:rsidRPr="00B47E80">
              <w:rPr>
                <w:rFonts w:cs="Times New Roman"/>
                <w:b/>
              </w:rPr>
              <w:t>Box 2.</w:t>
            </w:r>
            <w:r w:rsidR="0033136F">
              <w:rPr>
                <w:rFonts w:cs="Times New Roman"/>
                <w:b/>
              </w:rPr>
              <w:t>1</w:t>
            </w:r>
            <w:r w:rsidRPr="00B47E80">
              <w:rPr>
                <w:rFonts w:cs="Times New Roman"/>
                <w:b/>
              </w:rPr>
              <w:t xml:space="preserve">  The Asycuda Transit Module in Afghanistan</w:t>
            </w:r>
            <w:bookmarkEnd w:id="273"/>
          </w:p>
          <w:p w:rsidR="00B47E80" w:rsidRPr="000845DD" w:rsidRDefault="00B47E80" w:rsidP="00B47E80">
            <w:pPr>
              <w:rPr>
                <w:rFonts w:cs="Times New Roman"/>
              </w:rPr>
            </w:pPr>
          </w:p>
          <w:p w:rsidR="0073438F" w:rsidRDefault="0073438F" w:rsidP="0073438F">
            <w:pPr>
              <w:rPr>
                <w:rFonts w:cs="Times New Roman"/>
              </w:rPr>
            </w:pPr>
            <w:r>
              <w:rPr>
                <w:rFonts w:cs="Times New Roman"/>
              </w:rPr>
              <w:t>The transit module was the first application of Asycuda to be introduced in Afghanistan. This is not the usual approach, but was recommended for Afghanistan, as transit leakages were a serious problem, and there was potential for cross-border cooperation. Between May 6, 2006, when a transit corridor between Torkham and Jalalabad and Kabul was launched, and August 2006, about 30,000 T1 transit documents were issued. (This averaged 600 per day, which subsequently went down to 400, indicating attempts by traders to import through other border locations which were not yet computerized, thus strengthening the case for rapid deployment of the Asycuda transit module to all corridors through Afghanistan.)  The next locations where the transit module was introduced were Islam Qalah and Herat. Overall, the success of the scheme has comforted the policy of the ACD to clear goods and collect revenue at inland locations.</w:t>
            </w:r>
          </w:p>
          <w:p w:rsidR="0073438F" w:rsidRDefault="0073438F" w:rsidP="0073438F">
            <w:pPr>
              <w:rPr>
                <w:rFonts w:cs="Times New Roman"/>
              </w:rPr>
            </w:pPr>
          </w:p>
          <w:p w:rsidR="0073438F" w:rsidRDefault="0073438F" w:rsidP="0073438F">
            <w:pPr>
              <w:rPr>
                <w:rFonts w:cs="Times New Roman"/>
              </w:rPr>
            </w:pPr>
            <w:r>
              <w:rPr>
                <w:rFonts w:cs="Times New Roman"/>
              </w:rPr>
              <w:t xml:space="preserve">Importers quickly realized they were being monitored for all shipments entering the country and some noncompliant firms had shipments held by customs pending payment of earlier evaded duty. The ACD also has plans to establish a transit follow-up unit to investigate cases of un-discharged T1.  Based on ACD data about 1,900 of T1 documents were not discharged properly, of which only 200 shipments were purely commercial.  The overwhelming majority of consignments were destined to the International Security Assistance Force (ISAF) or under ISAF </w:t>
            </w:r>
            <w:r w:rsidR="00274415">
              <w:rPr>
                <w:rFonts w:cs="Times New Roman"/>
              </w:rPr>
              <w:t>contracts.</w:t>
            </w:r>
            <w:r>
              <w:rPr>
                <w:rFonts w:cs="Times New Roman"/>
              </w:rPr>
              <w:t xml:space="preserve">  The ACD’s reasons for lack of discharge were: (i) negligence at the receiving end, with officials not stamping T1 forms when the trucks arrived, or not verifying the integrity of the consignment; (ii) abuse of the system by sub-contractors, including duty-free outlets in Kabul; and (iii) smuggling, especially of oil shipments that had been rejected and subsequently disposed of on the domestic market.  </w:t>
            </w:r>
          </w:p>
          <w:p w:rsidR="0073438F" w:rsidRDefault="0073438F" w:rsidP="0073438F">
            <w:pPr>
              <w:rPr>
                <w:rFonts w:cs="Times New Roman"/>
              </w:rPr>
            </w:pPr>
          </w:p>
          <w:p w:rsidR="0073438F" w:rsidRDefault="0073438F" w:rsidP="0073438F">
            <w:pPr>
              <w:rPr>
                <w:rFonts w:cs="Times New Roman"/>
              </w:rPr>
            </w:pPr>
            <w:r>
              <w:rPr>
                <w:rFonts w:cs="Times New Roman"/>
              </w:rPr>
              <w:t>Control over the issuance of forms is performed through reconciliation with bank deposits.  The ACD aims to introduce smartcards to replace paper forms, T1, which has no watermark and can easily be forged.   The added advantages of the smartcard are that the truck driver does not know what information is on the card, cards can be recycled, and can only be read by specialized apparatus, including hand-held devices, thus limiting the current interference by the road police and other agencies on transit traffic.</w:t>
            </w:r>
          </w:p>
          <w:p w:rsidR="0073438F" w:rsidRDefault="0073438F" w:rsidP="0073438F">
            <w:pPr>
              <w:rPr>
                <w:rFonts w:cs="Times New Roman"/>
              </w:rPr>
            </w:pPr>
          </w:p>
          <w:p w:rsidR="00B47E80" w:rsidRPr="00B47E80" w:rsidRDefault="0073438F" w:rsidP="0033136F">
            <w:pPr>
              <w:rPr>
                <w:rFonts w:cs="Times New Roman"/>
                <w:sz w:val="20"/>
              </w:rPr>
            </w:pPr>
            <w:bookmarkStart w:id="274" w:name="_Toc318477747"/>
            <w:r>
              <w:rPr>
                <w:rFonts w:cs="Times New Roman"/>
                <w:sz w:val="20"/>
              </w:rPr>
              <w:t>Source:  World Bank mission report, August 2006.</w:t>
            </w:r>
            <w:bookmarkEnd w:id="274"/>
          </w:p>
        </w:tc>
      </w:tr>
    </w:tbl>
    <w:p w:rsidR="00E46C66" w:rsidRDefault="00E46C66" w:rsidP="0073438F">
      <w:pPr>
        <w:rPr>
          <w:b/>
        </w:rPr>
      </w:pPr>
    </w:p>
    <w:p w:rsidR="0073438F" w:rsidRDefault="0073438F" w:rsidP="0073438F">
      <w:r>
        <w:rPr>
          <w:b/>
        </w:rPr>
        <w:t>While the customs reform has made great progress in establishing a system that facilitates the effective movements of goods across Afghan borders, there are opportunities for improvement</w:t>
      </w:r>
      <w:r>
        <w:t>.  These can be grouped around three themes: i) customs procedures, ii) organization and human resource management, and iii) interagency coordination.</w:t>
      </w:r>
    </w:p>
    <w:p w:rsidR="00D64FD6" w:rsidRDefault="00D64FD6" w:rsidP="00D64FD6">
      <w:pPr>
        <w:pStyle w:val="Heading2"/>
        <w:spacing w:before="0"/>
      </w:pPr>
      <w:bookmarkStart w:id="275" w:name="_Toc318477740"/>
      <w:bookmarkStart w:id="276" w:name="_Toc327208447"/>
      <w:bookmarkStart w:id="277" w:name="_Toc348451703"/>
      <w:bookmarkStart w:id="278" w:name="_Toc318477774"/>
      <w:bookmarkEnd w:id="271"/>
      <w:r>
        <w:t>Reforms in Basic Customs Administration Need to be Consolidated</w:t>
      </w:r>
      <w:bookmarkEnd w:id="275"/>
      <w:bookmarkEnd w:id="276"/>
      <w:bookmarkEnd w:id="277"/>
    </w:p>
    <w:p w:rsidR="00D64FD6" w:rsidRPr="00992FE6" w:rsidRDefault="00D64FD6" w:rsidP="00992FE6">
      <w:pPr>
        <w:pStyle w:val="Heading3"/>
        <w:spacing w:after="240" w:line="276" w:lineRule="auto"/>
        <w:rPr>
          <w:rFonts w:cstheme="minorHAnsi"/>
        </w:rPr>
      </w:pPr>
      <w:bookmarkStart w:id="279" w:name="_Toc327208448"/>
      <w:bookmarkStart w:id="280" w:name="_Toc348451704"/>
      <w:r w:rsidRPr="00992FE6">
        <w:rPr>
          <w:rFonts w:cstheme="minorHAnsi"/>
        </w:rPr>
        <w:t>Improving Customs Procedures</w:t>
      </w:r>
      <w:bookmarkEnd w:id="279"/>
      <w:bookmarkEnd w:id="280"/>
    </w:p>
    <w:p w:rsidR="00D64FD6" w:rsidRDefault="00D64FD6" w:rsidP="00992FE6">
      <w:pPr>
        <w:spacing w:after="240"/>
        <w:rPr>
          <w:lang w:bidi="ar-SA"/>
        </w:rPr>
      </w:pPr>
      <w:bookmarkStart w:id="281" w:name="_Toc318477736"/>
      <w:r>
        <w:rPr>
          <w:b/>
        </w:rPr>
        <w:t xml:space="preserve">While processing times are acceptable there is room for improving the quality of customs </w:t>
      </w:r>
      <w:bookmarkEnd w:id="281"/>
      <w:r>
        <w:rPr>
          <w:b/>
        </w:rPr>
        <w:t xml:space="preserve">services. </w:t>
      </w:r>
      <w:r>
        <w:rPr>
          <w:rFonts w:cs="Times New Roman"/>
        </w:rPr>
        <w:t xml:space="preserve"> A more detailed review of user perception surveys, combined with objective performance indicators, show that user satisfaction has not improved, although border processing and clearance are now better expedited.  Anecdotal evidence suggests that importers have learned to avoid lengthy control procedures by: (i) offering bribes to key customs officials; (ii) limiting the negotiation process when declared values are challenged by customs; and (iii) taking advantage of legislative restrictions to avoid customs control altogether.</w:t>
      </w:r>
    </w:p>
    <w:p w:rsidR="00D64FD6" w:rsidRDefault="00D64FD6" w:rsidP="00526061">
      <w:bookmarkStart w:id="282" w:name="_Toc318477737"/>
      <w:r>
        <w:rPr>
          <w:b/>
        </w:rPr>
        <w:t>Current custom revenue collection is below potential</w:t>
      </w:r>
      <w:bookmarkEnd w:id="282"/>
      <w:r>
        <w:rPr>
          <w:b/>
        </w:rPr>
        <w:t xml:space="preserve">.  </w:t>
      </w:r>
      <w:r>
        <w:t>Analysis of transit data shows that imports for fiscal 2009 could be valuated at US$ 7.87 billion, versus officially declared values of slightly less than US$ 4.9 billion.</w:t>
      </w:r>
      <w:r>
        <w:rPr>
          <w:rStyle w:val="FootnoteReference"/>
        </w:rPr>
        <w:footnoteReference w:id="64"/>
      </w:r>
      <w:r>
        <w:t xml:space="preserve">  By extrapolation, the figures for imports for fiscal 2011 would be in the region of US$ 11 billion, against the officially declared value of US$ 6.9 billion.  Potential exists, therefore, for increased duty collections, especially because over the past two years the growth in customs duties has slowed down, but other taxes, BRT, Red Cross contributions, have stepped in to fill in that gap.  (Table 2.</w:t>
      </w:r>
      <w:r w:rsidR="00C069D8">
        <w:t>5</w:t>
      </w:r>
      <w:r>
        <w:t>)</w:t>
      </w:r>
    </w:p>
    <w:p w:rsidR="0003707B" w:rsidRDefault="0003707B" w:rsidP="00526061">
      <w:bookmarkStart w:id="283" w:name="_Toc318477748"/>
      <w:r>
        <w:rPr>
          <w:b/>
        </w:rPr>
        <w:t xml:space="preserve">Defining the clearance model for Afghanistan will have an impact on the design of its customs administration.  </w:t>
      </w:r>
      <w:bookmarkEnd w:id="283"/>
      <w:r>
        <w:rPr>
          <w:rFonts w:cs="Times New Roman"/>
        </w:rPr>
        <w:t xml:space="preserve"> T</w:t>
      </w:r>
      <w:r>
        <w:t>wo options for the place of clearance can be envisaged, at the border or inland clearance.</w:t>
      </w:r>
      <w:r>
        <w:rPr>
          <w:rStyle w:val="FootnoteReference"/>
        </w:rPr>
        <w:footnoteReference w:id="65"/>
      </w:r>
      <w:r>
        <w:t xml:space="preserve">  In Afghanistan this is yet to be decided, but it’s an important policy decision, as it will affect the design and capacity of its infrastructure going forward. Although, at first sight, border clearance would appear a convenient solution, as it theoretically limits the risk of diversion of goods under an inland transit scheme, it also implies that the duties should be paid at the border.  But, this may pose later problems of transfer of funds to the State budget.</w:t>
      </w:r>
      <w:r>
        <w:rPr>
          <w:rStyle w:val="FootnoteReference"/>
        </w:rPr>
        <w:footnoteReference w:id="66"/>
      </w:r>
      <w:r>
        <w:t xml:space="preserve">  The second option is to establish customs control over the goods at the border, transfer them under an inland transit scheme to the point of final consumption, and clear them on arrival there. This allows the operation of a “fast track” at the border, where vehicles under a pre-approved transit scheme may be released with minimal verification, and avoids the construction of extensive unloading, storage, and control infrastructure.</w:t>
      </w:r>
    </w:p>
    <w:p w:rsidR="00D64FD6" w:rsidRPr="0010220C" w:rsidRDefault="00D64FD6" w:rsidP="00526061">
      <w:pPr>
        <w:jc w:val="center"/>
      </w:pPr>
      <w:bookmarkStart w:id="284" w:name="_Toc318477738"/>
      <w:r>
        <w:rPr>
          <w:b/>
          <w:color w:val="410082" w:themeColor="text1"/>
        </w:rPr>
        <w:t>Table 2.</w:t>
      </w:r>
      <w:r w:rsidR="00C069D8">
        <w:rPr>
          <w:b/>
          <w:color w:val="410082" w:themeColor="text1"/>
        </w:rPr>
        <w:t>5</w:t>
      </w:r>
      <w:r>
        <w:rPr>
          <w:b/>
          <w:color w:val="410082" w:themeColor="text1"/>
        </w:rPr>
        <w:t>: Customs Duty Collection and Other Revenue (BRT, taxes, charges, etc</w:t>
      </w:r>
      <w:r w:rsidRPr="0010220C">
        <w:t>.)</w:t>
      </w:r>
      <w:bookmarkEnd w:id="284"/>
      <w:r w:rsidR="0033136F" w:rsidRPr="0033136F">
        <w:rPr>
          <w:noProof/>
          <w:lang w:bidi="ar-SA"/>
        </w:rPr>
        <w:t xml:space="preserve"> </w:t>
      </w:r>
      <w:r w:rsidR="0033136F">
        <w:rPr>
          <w:noProof/>
          <w:lang w:bidi="ar-SA"/>
        </w:rPr>
        <w:drawing>
          <wp:inline distT="0" distB="0" distL="0" distR="0" wp14:anchorId="331AD3D8" wp14:editId="273DE288">
            <wp:extent cx="3024869" cy="1885950"/>
            <wp:effectExtent l="0" t="0" r="4445" b="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026355" cy="1886877"/>
                    </a:xfrm>
                    <a:prstGeom prst="rect">
                      <a:avLst/>
                    </a:prstGeom>
                  </pic:spPr>
                </pic:pic>
              </a:graphicData>
            </a:graphic>
          </wp:inline>
        </w:drawing>
      </w:r>
    </w:p>
    <w:p w:rsidR="00D64FD6" w:rsidRPr="0033136F" w:rsidRDefault="00D64FD6" w:rsidP="0010220C">
      <w:pPr>
        <w:jc w:val="center"/>
        <w:rPr>
          <w:bCs/>
          <w:sz w:val="20"/>
        </w:rPr>
      </w:pPr>
      <w:r w:rsidRPr="0033136F">
        <w:rPr>
          <w:bCs/>
          <w:sz w:val="20"/>
        </w:rPr>
        <w:t>Source: ACD</w:t>
      </w:r>
    </w:p>
    <w:p w:rsidR="00D64FD6" w:rsidRDefault="00D64FD6" w:rsidP="00D64FD6">
      <w:bookmarkStart w:id="285" w:name="_Toc318477742"/>
      <w:r>
        <w:rPr>
          <w:b/>
        </w:rPr>
        <w:t>Clearance at the point of destination is more economical for importers</w:t>
      </w:r>
      <w:r>
        <w:t>, as they do not need to have an intermediary at the border.  Thus, unloading for customs inspection can take place, in certain cases, at the premises of importers. However, it is essential that there should be a well-functioning transit system, with reliable guarantees and the ability for customs to perform roadside checks on vehicles in transit.</w:t>
      </w:r>
      <w:r>
        <w:rPr>
          <w:rStyle w:val="FootnoteReference"/>
        </w:rPr>
        <w:footnoteReference w:id="67"/>
      </w:r>
      <w:r>
        <w:t xml:space="preserve"> At the same time, it would create the conditions for Afghanistan to gradually develop its position as a major transit country. It was agreed with the authorities several years ago that inland clearance would be the default option (with possible exceptions for perishables, undocumented goods, and consolidated shipments, which, for the time being, would continue to be cleared at the border).  In addition, some border locations (e.g., Hayratan), where there is a change in mode, would still be points of clearance.  Unfortunately, because a clear decision has not been made, the divergence between donor subcontractors has led to alternation between the two options.  </w:t>
      </w:r>
    </w:p>
    <w:p w:rsidR="00D64FD6" w:rsidRDefault="00D64FD6" w:rsidP="00D64FD6">
      <w:pPr>
        <w:rPr>
          <w:rFonts w:cs="Times New Roman"/>
        </w:rPr>
      </w:pPr>
      <w:bookmarkStart w:id="286" w:name="_Toc318477749"/>
      <w:bookmarkEnd w:id="285"/>
      <w:r>
        <w:rPr>
          <w:b/>
        </w:rPr>
        <w:t>Import procedures are still a challenge</w:t>
      </w:r>
      <w:bookmarkEnd w:id="286"/>
      <w:r>
        <w:rPr>
          <w:b/>
        </w:rPr>
        <w:t>.</w:t>
      </w:r>
      <w:r>
        <w:rPr>
          <w:i/>
          <w:szCs w:val="24"/>
          <w:lang w:val="en-GB"/>
        </w:rPr>
        <w:t xml:space="preserve"> </w:t>
      </w:r>
      <w:r>
        <w:rPr>
          <w:rStyle w:val="FootnoteReference"/>
          <w:i/>
          <w:szCs w:val="24"/>
          <w:lang w:val="en-GB"/>
        </w:rPr>
        <w:footnoteReference w:id="68"/>
      </w:r>
      <w:r>
        <w:rPr>
          <w:rFonts w:cs="Times New Roman"/>
        </w:rPr>
        <w:t xml:space="preserve">  Even streamlined with computerization, there are numerous lingering manual features. For example, the introduction of Asycuda should have led to a more-or-less paperless environment, where importers would lodge declarations remotely, and receive, in most cases, a release on their office computers, thus eliminating personal contact with customs officers. In practice, while clearance at many customs houses is computerized, those who submit declarations must report to a guard at the customs house, who directs them from one position to another. Declarations are submitted in hard copy, and the main role of each control officer is to compare the data on the paper entry to the computer record. Each step of the process is isolated, and when the goods are finally cleared, the importers must visit the customs house chief, who re-inspects the declaration. Importers then apply to the archivist, whose signature is indispensable for the release of the goods.  This process is prone to rent-seeking, and does not reap the benefits of streamlined computer clearance. </w:t>
      </w:r>
    </w:p>
    <w:p w:rsidR="00D64FD6" w:rsidRDefault="00D64FD6" w:rsidP="00D64FD6">
      <w:pPr>
        <w:rPr>
          <w:rFonts w:cs="Times New Roman"/>
        </w:rPr>
      </w:pPr>
      <w:r>
        <w:rPr>
          <w:b/>
        </w:rPr>
        <w:t>The declaration forms are not yet compatible</w:t>
      </w:r>
      <w:r>
        <w:rPr>
          <w:rFonts w:cs="Times New Roman"/>
          <w:b/>
        </w:rPr>
        <w:t>.</w:t>
      </w:r>
      <w:r>
        <w:rPr>
          <w:rFonts w:cs="Times New Roman"/>
        </w:rPr>
        <w:t xml:space="preserve">  The uniquely Afghan forms and documents for lodging an import declaration were replaced in an effort to align customs documentation to international standards. In particular, this replaced the customs declaration (“Bar Nama”), which was not a real declaration, with a standardized declaration form, called the “Afghan Customs Clearance Declaration” (ACCD). Unfortunately, this form had few features of the internationally used customs “Single Administrative Document” (SAD), notably codification protocols and description of fields.  As a result, it was not compatible with the international computerized clearance system, and therefore Afghanistan was at one time using three different customs declaration forms (the Bar Nama, the ACCD, and the SAD when computerization came). Furthermore, these forms were not compatible, could not be reconciled, and their data could not be downloaded automatically in to the computerized data base.</w:t>
      </w:r>
      <w:r>
        <w:rPr>
          <w:rStyle w:val="FootnoteReference"/>
        </w:rPr>
        <w:footnoteReference w:id="69"/>
      </w:r>
      <w:r>
        <w:rPr>
          <w:rFonts w:cs="Times New Roman"/>
        </w:rPr>
        <w:t xml:space="preserve"> This is gradually being corrected with the roll-out of the Asycuda software, but the legacy statistics require practically a manual entry, thus preventing the use of a historical data base which would be useful for control purposes.</w:t>
      </w:r>
      <w:bookmarkStart w:id="287" w:name="_Toc318477750"/>
      <w:r w:rsidR="00E46C66">
        <w:rPr>
          <w:rFonts w:cs="Times New Roman"/>
        </w:rPr>
        <w:t xml:space="preserve"> (Box 2.2)</w:t>
      </w:r>
    </w:p>
    <w:tbl>
      <w:tblPr>
        <w:tblStyle w:val="TableGrid"/>
        <w:tblW w:w="0" w:type="auto"/>
        <w:shd w:val="clear" w:color="auto" w:fill="ECE4F1" w:themeFill="accent4" w:themeFillTint="33"/>
        <w:tblLook w:val="04A0" w:firstRow="1" w:lastRow="0" w:firstColumn="1" w:lastColumn="0" w:noHBand="0" w:noVBand="1"/>
      </w:tblPr>
      <w:tblGrid>
        <w:gridCol w:w="9576"/>
      </w:tblGrid>
      <w:tr w:rsidR="00D64FD6" w:rsidTr="00E46C66">
        <w:tc>
          <w:tcPr>
            <w:tcW w:w="9576" w:type="dxa"/>
            <w:shd w:val="clear" w:color="auto" w:fill="ECE4F1" w:themeFill="accent4" w:themeFillTint="33"/>
          </w:tcPr>
          <w:p w:rsidR="00D64FD6" w:rsidRDefault="00D64FD6">
            <w:pPr>
              <w:rPr>
                <w:rFonts w:cs="Times New Roman"/>
                <w:b/>
              </w:rPr>
            </w:pPr>
            <w:r>
              <w:rPr>
                <w:rFonts w:cs="Times New Roman"/>
                <w:b/>
              </w:rPr>
              <w:t>Box 2.</w:t>
            </w:r>
            <w:r w:rsidR="00E46C66">
              <w:rPr>
                <w:rFonts w:cs="Times New Roman"/>
                <w:b/>
              </w:rPr>
              <w:t>2</w:t>
            </w:r>
            <w:r>
              <w:rPr>
                <w:rFonts w:cs="Times New Roman"/>
                <w:b/>
              </w:rPr>
              <w:t xml:space="preserve">  Introducing a Single Administrative Document – the Albanian Experience</w:t>
            </w:r>
          </w:p>
          <w:p w:rsidR="00D64FD6" w:rsidRDefault="00D64FD6">
            <w:pPr>
              <w:rPr>
                <w:rFonts w:eastAsiaTheme="minorHAnsi" w:cs="Times New Roman"/>
                <w:lang w:bidi="ar-SA"/>
              </w:rPr>
            </w:pPr>
          </w:p>
          <w:p w:rsidR="00D64FD6" w:rsidRDefault="00D64FD6">
            <w:pPr>
              <w:rPr>
                <w:rFonts w:cs="Times New Roman"/>
              </w:rPr>
            </w:pPr>
            <w:r>
              <w:rPr>
                <w:rFonts w:cs="Times New Roman"/>
              </w:rPr>
              <w:t>When Albania computerized its customs in 1991, there was no proper customs declaration form in use.  So it was decided to introduce the SAD immediately, to avoid any compatibility issues.</w:t>
            </w:r>
          </w:p>
          <w:p w:rsidR="00D64FD6" w:rsidRDefault="00D64FD6">
            <w:pPr>
              <w:rPr>
                <w:rFonts w:cs="Times New Roman"/>
              </w:rPr>
            </w:pPr>
          </w:p>
          <w:p w:rsidR="00D64FD6" w:rsidRDefault="00D64FD6">
            <w:pPr>
              <w:rPr>
                <w:rFonts w:cs="Times New Roman"/>
              </w:rPr>
            </w:pPr>
            <w:r>
              <w:rPr>
                <w:rFonts w:cs="Times New Roman"/>
              </w:rPr>
              <w:t>As the customs systems in use at the time were extremely basic, many of the fields of the SAD could not be filled.  For example, Albanian customs officers were incapable of classifying goods according to the complex international Harmonized System (HS), which uses six-plus digits to precisely identify goods. As a result, it was decided that certain fields on the SAD would be left blank, pending capacity build up, and the tariff classification would be limited to the first two digits of the HS (i.e., corresponding to the very broad category of goods). As competences grew, customs officials started adding more digits. The same happened with the other fields, and when the basic PC Trade system was replaced by Asycuda, officials and clearing agents were fully accustomed to the SAD declaration.</w:t>
            </w:r>
          </w:p>
          <w:p w:rsidR="00D64FD6" w:rsidRDefault="00D64FD6">
            <w:pPr>
              <w:rPr>
                <w:rFonts w:cs="Times New Roman"/>
              </w:rPr>
            </w:pPr>
          </w:p>
          <w:p w:rsidR="00D64FD6" w:rsidRDefault="00D64FD6">
            <w:pPr>
              <w:rPr>
                <w:rFonts w:cs="Times New Roman"/>
              </w:rPr>
            </w:pPr>
            <w:r>
              <w:rPr>
                <w:rFonts w:cs="Times New Roman"/>
              </w:rPr>
              <w:t xml:space="preserve">The only limitation was the absence of detailed statistical data for the first few years. But, whatever information was available was reliable, and could be integrated in to the Asycuda data base when the system became operational.  </w:t>
            </w:r>
          </w:p>
          <w:p w:rsidR="00D64FD6" w:rsidRDefault="00D64FD6">
            <w:pPr>
              <w:rPr>
                <w:rFonts w:cs="Times New Roman"/>
              </w:rPr>
            </w:pPr>
          </w:p>
          <w:p w:rsidR="00D64FD6" w:rsidRDefault="00D64FD6">
            <w:pPr>
              <w:rPr>
                <w:rFonts w:cs="Times New Roman"/>
                <w:szCs w:val="22"/>
              </w:rPr>
            </w:pPr>
            <w:bookmarkStart w:id="288" w:name="_Toc318477744"/>
            <w:r>
              <w:rPr>
                <w:rFonts w:cs="Times New Roman"/>
                <w:sz w:val="20"/>
              </w:rPr>
              <w:t>Source:  IMF/FAD mission to Albania, June 1992.</w:t>
            </w:r>
            <w:bookmarkEnd w:id="288"/>
            <w:r>
              <w:rPr>
                <w:rFonts w:cs="Times New Roman"/>
                <w:sz w:val="20"/>
              </w:rPr>
              <w:t xml:space="preserve"> </w:t>
            </w:r>
          </w:p>
        </w:tc>
      </w:tr>
    </w:tbl>
    <w:p w:rsidR="00D64FD6" w:rsidRDefault="00D64FD6" w:rsidP="00D64FD6">
      <w:pPr>
        <w:rPr>
          <w:rFonts w:cs="Times New Roman"/>
          <w:szCs w:val="22"/>
        </w:rPr>
      </w:pPr>
    </w:p>
    <w:p w:rsidR="00D64FD6" w:rsidRDefault="00D64FD6" w:rsidP="00D64FD6">
      <w:pPr>
        <w:rPr>
          <w:rFonts w:cs="Times New Roman"/>
        </w:rPr>
      </w:pPr>
      <w:r>
        <w:rPr>
          <w:rFonts w:cs="Times New Roman"/>
          <w:b/>
        </w:rPr>
        <w:t>Compliance by importers on valuation is very low</w:t>
      </w:r>
      <w:r>
        <w:rPr>
          <w:rFonts w:cs="Times New Roman"/>
        </w:rPr>
        <w:t>. It is estimated that 90 percent of all invoices submitted with declarations are forged. When detected, they are routinely discarded by officials, who arbitrarily uplift the values (usually after a non-transparent negotiation process). No action is taken against importers who deliberately submitted forged documents, mainly because the penalties incurred, if any, are minimal.</w:t>
      </w:r>
      <w:r>
        <w:rPr>
          <w:rStyle w:val="FootnoteReference"/>
        </w:rPr>
        <w:footnoteReference w:id="70"/>
      </w:r>
    </w:p>
    <w:p w:rsidR="00D64FD6" w:rsidRDefault="00D64FD6" w:rsidP="00D64FD6">
      <w:pPr>
        <w:rPr>
          <w:rFonts w:cs="Times New Roman"/>
        </w:rPr>
      </w:pPr>
      <w:r>
        <w:rPr>
          <w:b/>
        </w:rPr>
        <w:t xml:space="preserve">Valuation is </w:t>
      </w:r>
      <w:bookmarkEnd w:id="287"/>
      <w:r>
        <w:rPr>
          <w:b/>
        </w:rPr>
        <w:t>undermined by the way</w:t>
      </w:r>
      <w:r>
        <w:rPr>
          <w:rFonts w:cs="Times New Roman"/>
          <w:b/>
        </w:rPr>
        <w:t xml:space="preserve"> in which declared values are controlled or approved</w:t>
      </w:r>
      <w:r>
        <w:rPr>
          <w:b/>
        </w:rPr>
        <w:t>.</w:t>
      </w:r>
      <w:r>
        <w:rPr>
          <w:rFonts w:cs="Times New Roman"/>
        </w:rPr>
        <w:t xml:space="preserve"> The system of customs valuation in Afghanistan is in line with the general principles set out in the Agreement on Implementation of Article VII of GATT (WTO). Valuation is based on the transaction value of the goods subject to adjustments due to the inclusion of cost insurance and freight charges. In case of dispute over accuracy of the transactions value, one or more of standard GATT valuation options are to be used. There is no value-added tax and excise tax applicable at the customs stations. However, the major issue is the way in which declared values are controlled or approved. Initially, the valuation of goods declared for imports was assessed by the Chamber of Commerce. This responsibility was handed back to the ACD. However, in the absence of adequate expertise in the ACD, valuation checks were delegated to officers employed by donor subcontractors. Thus, the transfer of skills to staff in the ACD has not taken place.  In the current process, importers must, before lodging declarations with customs, report to a separate office where declared values are approved or uplifted by a team of contractors.  This does not offer the guarantees of the WTO’s valuation code and the valuation team does not have access to Asycuda’s historical valuation data base, which severely limits the application of some of the WTO’s methods of evaluation (notably those based on the earlier import of similar or identical goods). Customs officers are not allowed to adjust these certified values, and the valuation teams do not receive feedback from customs inspections or controls. While the system serves the objective of maximizing duties, but does not allow a fair clearance process.</w:t>
      </w:r>
    </w:p>
    <w:p w:rsidR="00D64FD6" w:rsidRDefault="00D64FD6" w:rsidP="00D64FD6">
      <w:r>
        <w:rPr>
          <w:b/>
        </w:rPr>
        <w:t>Most shipments are cleared with no inspection.</w:t>
      </w:r>
      <w:r>
        <w:t xml:space="preserve">   </w:t>
      </w:r>
      <w:r w:rsidR="00274415">
        <w:t>In Afghanistan</w:t>
      </w:r>
      <w:r>
        <w:t>, efforts have been made to reduce the rate of physical checks on declared goods, from nearly 100 percent to a more reasonable level (usually between 10 and 30 percent</w:t>
      </w:r>
      <w:r>
        <w:rPr>
          <w:rStyle w:val="FootnoteReference"/>
        </w:rPr>
        <w:footnoteReference w:id="71"/>
      </w:r>
      <w:r>
        <w:t xml:space="preserve">).  This is based on the compliance record of importers and other risk factors.  All declared goods must be inspected, except for those imported under an exemption scheme.  However, inspections in Afghanistan often do not happen mostly because of the high workload of staff. Most shipments are therefore cleared with no inspection.  Not surprisingly, almost all counter-inspections performed by audit teams have found undeclared items of a much higher value than that entered in the declaration.   If examinations were carried out on a targeted basis, customs revenues would most likely increase. </w:t>
      </w:r>
      <w:bookmarkStart w:id="289" w:name="_Toc318477752"/>
    </w:p>
    <w:p w:rsidR="00D64FD6" w:rsidRDefault="00D64FD6" w:rsidP="00D64FD6">
      <w:r>
        <w:rPr>
          <w:b/>
        </w:rPr>
        <w:t>Risk management is absent, but could be immediately available.</w:t>
      </w:r>
      <w:bookmarkEnd w:id="289"/>
      <w:r>
        <w:t xml:space="preserve"> The introduction of the risk management module of Asycuda is considered an important feature of the ACD’s computerization.  Unlike in other countries, where risk management is a tool to reduce inspections, in Afghanistan it is more intended to help the ACD to identify shipments where an inspection should be mandatory, and thus increase the rate of examination.</w:t>
      </w:r>
      <w:r>
        <w:rPr>
          <w:rStyle w:val="FootnoteReference"/>
        </w:rPr>
        <w:footnoteReference w:id="72"/>
      </w:r>
      <w:r>
        <w:t xml:space="preserve">  The module is not active yet, but UNCTAD have confirmed it could be activated now. Even if not all the risk parameters are available or tested, the module itself is fully operational. </w:t>
      </w:r>
    </w:p>
    <w:p w:rsidR="00D64FD6" w:rsidRDefault="00D64FD6" w:rsidP="00D64FD6">
      <w:bookmarkStart w:id="290" w:name="_Toc318477756"/>
      <w:r>
        <w:rPr>
          <w:b/>
        </w:rPr>
        <w:t>Some customs procedures are missing altogether.</w:t>
      </w:r>
      <w:bookmarkEnd w:id="290"/>
      <w:r>
        <w:rPr>
          <w:rFonts w:cs="Times New Roman"/>
        </w:rPr>
        <w:t xml:space="preserve"> </w:t>
      </w:r>
      <w:r>
        <w:t>These procedures include warehousing, free-zones, temporary import and inward processing operations supporting such fledgling home industries as repackaging operations, assembly operations, sewing or knitting of ready-made garments, home manufacture of carpets, etc. The essence of these schemes is that duty is suspended on components and raw materials used to produce finished exported goods. Duty is paid however, if the finished goods are diverted to the home market.  The Asycuda system offers facilities to control warehousing, temporary import, temporary export and inward processing procedures.</w:t>
      </w:r>
    </w:p>
    <w:p w:rsidR="00D64FD6" w:rsidRDefault="00D64FD6" w:rsidP="00D64FD6">
      <w:pPr>
        <w:rPr>
          <w:rFonts w:cs="Times New Roman"/>
        </w:rPr>
      </w:pPr>
      <w:bookmarkStart w:id="291" w:name="_Toc318477753"/>
      <w:r>
        <w:rPr>
          <w:b/>
        </w:rPr>
        <w:t>The green channel at Kabul International Airport (KAIA) could be revived.</w:t>
      </w:r>
      <w:bookmarkEnd w:id="291"/>
      <w:r>
        <w:rPr>
          <w:rFonts w:cs="Times New Roman"/>
        </w:rPr>
        <w:t xml:space="preserve">   As in most countries, Afghanistan tried to introduce a green channel procedure at the airport, through which travelers with nothing to declare could pass customs subject to targeted or random checks. Passengers carrying goods to declare are expected to select the red channel, where all passage is checked.  When the system was introduced at Kabul airport, it was put on hold due to the disagreement across agencies </w:t>
      </w:r>
      <w:r w:rsidR="00274415">
        <w:rPr>
          <w:rFonts w:cs="Times New Roman"/>
        </w:rPr>
        <w:t>favoring</w:t>
      </w:r>
      <w:r>
        <w:rPr>
          <w:rFonts w:cs="Times New Roman"/>
        </w:rPr>
        <w:t xml:space="preserve"> a 100 percent screening of passengers. </w:t>
      </w:r>
    </w:p>
    <w:p w:rsidR="00D64FD6" w:rsidRPr="0003707B" w:rsidRDefault="00992FE6" w:rsidP="0003707B">
      <w:pPr>
        <w:pStyle w:val="Heading3"/>
        <w:spacing w:after="240" w:line="276" w:lineRule="auto"/>
        <w:rPr>
          <w:rFonts w:cstheme="minorHAnsi"/>
        </w:rPr>
      </w:pPr>
      <w:bookmarkStart w:id="292" w:name="_Toc327208449"/>
      <w:bookmarkStart w:id="293" w:name="_Toc348451705"/>
      <w:bookmarkStart w:id="294" w:name="_Toc318477757"/>
      <w:r w:rsidRPr="0003707B">
        <w:rPr>
          <w:rFonts w:cstheme="minorHAnsi"/>
        </w:rPr>
        <w:t>Or</w:t>
      </w:r>
      <w:r w:rsidR="00CA0D0B" w:rsidRPr="0003707B">
        <w:rPr>
          <w:rFonts w:cstheme="minorHAnsi"/>
        </w:rPr>
        <w:t xml:space="preserve">ganizational and </w:t>
      </w:r>
      <w:r w:rsidRPr="0003707B">
        <w:rPr>
          <w:rFonts w:cstheme="minorHAnsi"/>
        </w:rPr>
        <w:t>H</w:t>
      </w:r>
      <w:r w:rsidR="00CA0D0B" w:rsidRPr="0003707B">
        <w:rPr>
          <w:rFonts w:cstheme="minorHAnsi"/>
        </w:rPr>
        <w:t xml:space="preserve">uman </w:t>
      </w:r>
      <w:r w:rsidRPr="0003707B">
        <w:rPr>
          <w:rFonts w:cstheme="minorHAnsi"/>
        </w:rPr>
        <w:t>R</w:t>
      </w:r>
      <w:r w:rsidR="00CA0D0B" w:rsidRPr="0003707B">
        <w:rPr>
          <w:rFonts w:cstheme="minorHAnsi"/>
        </w:rPr>
        <w:t xml:space="preserve">esource </w:t>
      </w:r>
      <w:r w:rsidRPr="0003707B">
        <w:rPr>
          <w:rFonts w:cstheme="minorHAnsi"/>
        </w:rPr>
        <w:t>M</w:t>
      </w:r>
      <w:r w:rsidR="00D64FD6" w:rsidRPr="0003707B">
        <w:rPr>
          <w:rFonts w:cstheme="minorHAnsi"/>
        </w:rPr>
        <w:t>anagement</w:t>
      </w:r>
      <w:r w:rsidR="00CA0D0B" w:rsidRPr="0003707B">
        <w:rPr>
          <w:rFonts w:cstheme="minorHAnsi"/>
        </w:rPr>
        <w:t xml:space="preserve"> </w:t>
      </w:r>
      <w:r w:rsidRPr="0003707B">
        <w:rPr>
          <w:rFonts w:cstheme="minorHAnsi"/>
        </w:rPr>
        <w:t>in the</w:t>
      </w:r>
      <w:r w:rsidR="00CA0D0B" w:rsidRPr="0003707B">
        <w:rPr>
          <w:rFonts w:cstheme="minorHAnsi"/>
        </w:rPr>
        <w:t xml:space="preserve"> Afghan Customs Department</w:t>
      </w:r>
      <w:bookmarkEnd w:id="292"/>
      <w:bookmarkEnd w:id="293"/>
      <w:r w:rsidR="00D64FD6" w:rsidRPr="0003707B">
        <w:rPr>
          <w:rFonts w:cstheme="minorHAnsi"/>
        </w:rPr>
        <w:t xml:space="preserve"> </w:t>
      </w:r>
      <w:bookmarkEnd w:id="294"/>
    </w:p>
    <w:p w:rsidR="00D64FD6" w:rsidRDefault="00D64FD6" w:rsidP="00D64FD6">
      <w:pPr>
        <w:spacing w:after="120"/>
        <w:rPr>
          <w:rFonts w:cs="Times New Roman"/>
        </w:rPr>
      </w:pPr>
      <w:r>
        <w:rPr>
          <w:rFonts w:cs="Times New Roman"/>
        </w:rPr>
        <w:t xml:space="preserve">Improving the management oversight and governance structure of the ACD administration will is important in order to consolidate the customs reform and roll out the new systems.  </w:t>
      </w:r>
    </w:p>
    <w:p w:rsidR="00D64FD6" w:rsidRDefault="00D64FD6" w:rsidP="00D64FD6">
      <w:pPr>
        <w:rPr>
          <w:rFonts w:cs="Times New Roman"/>
        </w:rPr>
      </w:pPr>
      <w:bookmarkStart w:id="295" w:name="_Toc318477759"/>
      <w:bookmarkStart w:id="296" w:name="_Toc318477758"/>
      <w:r>
        <w:rPr>
          <w:b/>
        </w:rPr>
        <w:t>Human resource management is important for effective customs performance.</w:t>
      </w:r>
      <w:bookmarkEnd w:id="295"/>
      <w:r>
        <w:rPr>
          <w:rStyle w:val="Heading2Char"/>
        </w:rPr>
        <w:t xml:space="preserve">  </w:t>
      </w:r>
      <w:r>
        <w:rPr>
          <w:rFonts w:cs="Times New Roman"/>
          <w:bCs/>
        </w:rPr>
        <w:t xml:space="preserve">Because of the nature of their work, customs officers face continuous </w:t>
      </w:r>
      <w:r>
        <w:rPr>
          <w:rFonts w:cs="Times New Roman"/>
        </w:rPr>
        <w:t xml:space="preserve">political pressures and life-threats, which </w:t>
      </w:r>
      <w:r w:rsidR="004C0C20">
        <w:rPr>
          <w:rFonts w:cs="Times New Roman"/>
        </w:rPr>
        <w:t>have</w:t>
      </w:r>
      <w:r>
        <w:rPr>
          <w:rFonts w:cs="Times New Roman"/>
        </w:rPr>
        <w:t xml:space="preserve"> led to poor job satisfaction and low morale within the institution.  Also, remuneration packages and benefits are low for officers, an issue not specific to the ACD, but to the overall public sector that the Goa is trying to address through a pay &amp; grading reform for the civil service.  However, it is a pressing issue for customs because of the rent-seeking opportunities.  </w:t>
      </w:r>
    </w:p>
    <w:p w:rsidR="00D64FD6" w:rsidRDefault="00D64FD6" w:rsidP="00D64FD6">
      <w:bookmarkStart w:id="297" w:name="_Toc318477739"/>
      <w:r>
        <w:rPr>
          <w:b/>
        </w:rPr>
        <w:t>The focus on meeting revenue collection targets distracts attention from wider reform efforts.</w:t>
      </w:r>
      <w:bookmarkEnd w:id="297"/>
      <w:r>
        <w:rPr>
          <w:rStyle w:val="Heading2Char"/>
        </w:rPr>
        <w:t xml:space="preserve">  </w:t>
      </w:r>
      <w:r>
        <w:rPr>
          <w:b/>
          <w:bCs/>
        </w:rPr>
        <w:t xml:space="preserve">The </w:t>
      </w:r>
      <w:r>
        <w:t>ACD is driven largely by a collection-target syndrome.  This dilutes its commitment to structural re</w:t>
      </w:r>
      <w:r>
        <w:rPr>
          <w:rFonts w:cs="Times New Roman"/>
        </w:rPr>
        <w:t xml:space="preserve">forms; the public mandate of the ACD </w:t>
      </w:r>
      <w:r>
        <w:t>becomes one e</w:t>
      </w:r>
      <w:r>
        <w:rPr>
          <w:rFonts w:cs="Times New Roman"/>
        </w:rPr>
        <w:t>xclusively on revenue objectives.  L</w:t>
      </w:r>
      <w:r>
        <w:t>ocal staff performance is evaluated mostly on the ability to achieve targets</w:t>
      </w:r>
      <w:r>
        <w:rPr>
          <w:rFonts w:cs="Times New Roman"/>
        </w:rPr>
        <w:t xml:space="preserve">.  </w:t>
      </w:r>
      <w:r>
        <w:t xml:space="preserve">As a result, when the target is met local officials tend to relax their controls. If the target is not likely to be achieved, customs officials may go to great lengths to persuade importers to pay more or to make advance payments. </w:t>
      </w:r>
    </w:p>
    <w:p w:rsidR="006628B5" w:rsidRDefault="00D64FD6" w:rsidP="00D64FD6">
      <w:pPr>
        <w:rPr>
          <w:rFonts w:cs="Times New Roman"/>
        </w:rPr>
      </w:pPr>
      <w:r w:rsidRPr="006628B5">
        <w:rPr>
          <w:b/>
        </w:rPr>
        <w:t>The organization of customs is in conflict with reality on the ground</w:t>
      </w:r>
      <w:r w:rsidRPr="006628B5">
        <w:rPr>
          <w:rStyle w:val="Heading2Char"/>
          <w:i w:val="0"/>
          <w:color w:val="auto"/>
          <w:szCs w:val="22"/>
        </w:rPr>
        <w:t>.</w:t>
      </w:r>
      <w:r w:rsidRPr="006628B5">
        <w:rPr>
          <w:rFonts w:cs="Times New Roman"/>
        </w:rPr>
        <w:t xml:space="preserve"> </w:t>
      </w:r>
      <w:r w:rsidR="007038BB" w:rsidRPr="006628B5">
        <w:rPr>
          <w:rFonts w:cs="Times New Roman"/>
        </w:rPr>
        <w:t xml:space="preserve"> </w:t>
      </w:r>
      <w:r w:rsidR="006628B5" w:rsidRPr="006628B5">
        <w:rPr>
          <w:rFonts w:cs="Times New Roman"/>
        </w:rPr>
        <w:t xml:space="preserve">Limited communications </w:t>
      </w:r>
      <w:r w:rsidR="00274415" w:rsidRPr="006628B5">
        <w:rPr>
          <w:rFonts w:cs="Times New Roman"/>
        </w:rPr>
        <w:t>with headquarters</w:t>
      </w:r>
      <w:r w:rsidR="006628B5" w:rsidRPr="006628B5">
        <w:rPr>
          <w:rFonts w:cs="Times New Roman"/>
        </w:rPr>
        <w:t xml:space="preserve"> has meant that managers are not receiving immediate reports from</w:t>
      </w:r>
      <w:r w:rsidR="006628B5">
        <w:rPr>
          <w:rFonts w:cs="Times New Roman"/>
        </w:rPr>
        <w:t xml:space="preserve"> their</w:t>
      </w:r>
      <w:r w:rsidR="006628B5" w:rsidRPr="006628B5">
        <w:rPr>
          <w:rFonts w:cs="Times New Roman"/>
        </w:rPr>
        <w:t xml:space="preserve"> field staff.  </w:t>
      </w:r>
      <w:r w:rsidR="006628B5">
        <w:rPr>
          <w:rFonts w:cs="Times New Roman"/>
        </w:rPr>
        <w:t>L</w:t>
      </w:r>
      <w:r w:rsidR="00D96144" w:rsidRPr="006628B5">
        <w:rPr>
          <w:rFonts w:cs="Times New Roman"/>
        </w:rPr>
        <w:t>ocal official</w:t>
      </w:r>
      <w:r w:rsidR="006628B5" w:rsidRPr="006628B5">
        <w:rPr>
          <w:rFonts w:cs="Times New Roman"/>
        </w:rPr>
        <w:t>s</w:t>
      </w:r>
      <w:r w:rsidR="00D96144" w:rsidRPr="006628B5">
        <w:rPr>
          <w:rFonts w:cs="Times New Roman"/>
        </w:rPr>
        <w:t xml:space="preserve"> and some provincial governors in Afghanistan </w:t>
      </w:r>
      <w:r w:rsidR="006628B5" w:rsidRPr="006628B5">
        <w:rPr>
          <w:rFonts w:cs="Times New Roman"/>
        </w:rPr>
        <w:t>are having d</w:t>
      </w:r>
      <w:r w:rsidR="00D96144" w:rsidRPr="006628B5">
        <w:rPr>
          <w:rFonts w:cs="Times New Roman"/>
        </w:rPr>
        <w:t>irect influence</w:t>
      </w:r>
      <w:r w:rsidR="006628B5" w:rsidRPr="006628B5">
        <w:rPr>
          <w:rFonts w:cs="Times New Roman"/>
        </w:rPr>
        <w:t xml:space="preserve"> over</w:t>
      </w:r>
      <w:r w:rsidR="008B5C45" w:rsidRPr="006628B5">
        <w:rPr>
          <w:rFonts w:cs="Times New Roman"/>
        </w:rPr>
        <w:t xml:space="preserve"> </w:t>
      </w:r>
      <w:r w:rsidRPr="006628B5">
        <w:rPr>
          <w:rFonts w:cs="Times New Roman"/>
        </w:rPr>
        <w:t xml:space="preserve">regional customs operations. </w:t>
      </w:r>
      <w:r w:rsidR="006628B5" w:rsidRPr="006628B5">
        <w:rPr>
          <w:rFonts w:cs="Times New Roman"/>
        </w:rPr>
        <w:t>In some instances, l</w:t>
      </w:r>
      <w:r w:rsidRPr="006628B5">
        <w:rPr>
          <w:rFonts w:cs="Times New Roman"/>
        </w:rPr>
        <w:t xml:space="preserve">ocal directors are expected to report to them, and </w:t>
      </w:r>
      <w:r w:rsidR="006628B5" w:rsidRPr="006628B5">
        <w:rPr>
          <w:rFonts w:cs="Times New Roman"/>
        </w:rPr>
        <w:t xml:space="preserve">some </w:t>
      </w:r>
      <w:r w:rsidRPr="006628B5">
        <w:rPr>
          <w:rFonts w:cs="Times New Roman"/>
        </w:rPr>
        <w:t>governors</w:t>
      </w:r>
      <w:r w:rsidR="006628B5" w:rsidRPr="006628B5">
        <w:rPr>
          <w:rFonts w:cs="Times New Roman"/>
        </w:rPr>
        <w:t xml:space="preserve"> tend</w:t>
      </w:r>
      <w:r w:rsidRPr="006628B5">
        <w:rPr>
          <w:rFonts w:cs="Times New Roman"/>
        </w:rPr>
        <w:t xml:space="preserve"> </w:t>
      </w:r>
      <w:r w:rsidR="006628B5" w:rsidRPr="006628B5">
        <w:rPr>
          <w:rFonts w:cs="Times New Roman"/>
        </w:rPr>
        <w:t>interfere in the hiring and dismissal of customs offici</w:t>
      </w:r>
      <w:r w:rsidRPr="006628B5">
        <w:rPr>
          <w:rFonts w:cs="Times New Roman"/>
        </w:rPr>
        <w:t xml:space="preserve">als. </w:t>
      </w:r>
      <w:r w:rsidR="00D96144" w:rsidRPr="006628B5">
        <w:rPr>
          <w:rFonts w:cs="Times New Roman"/>
        </w:rPr>
        <w:t xml:space="preserve">  For example, in some </w:t>
      </w:r>
      <w:r w:rsidRPr="006628B5">
        <w:rPr>
          <w:rFonts w:cs="Times New Roman"/>
        </w:rPr>
        <w:t>instances employees dismissed by customs headquarters on grounds of corruption were reinstated by governors</w:t>
      </w:r>
      <w:r w:rsidR="006628B5">
        <w:rPr>
          <w:rFonts w:cs="Times New Roman"/>
        </w:rPr>
        <w:t xml:space="preserve"> in their original </w:t>
      </w:r>
      <w:r w:rsidRPr="006628B5">
        <w:rPr>
          <w:rFonts w:cs="Times New Roman"/>
        </w:rPr>
        <w:t>position</w:t>
      </w:r>
      <w:r w:rsidR="00D96144" w:rsidRPr="006628B5">
        <w:rPr>
          <w:rFonts w:cs="Times New Roman"/>
        </w:rPr>
        <w:t xml:space="preserve">s.  </w:t>
      </w:r>
      <w:bookmarkStart w:id="298" w:name="_Toc318477760"/>
      <w:bookmarkEnd w:id="296"/>
      <w:r w:rsidR="006628B5" w:rsidRPr="006628B5">
        <w:rPr>
          <w:rFonts w:cs="Times New Roman"/>
        </w:rPr>
        <w:t xml:space="preserve">This ambiguity in the governance structure of the customs administration undermines the performance of </w:t>
      </w:r>
      <w:r w:rsidR="006628B5">
        <w:rPr>
          <w:rFonts w:cs="Times New Roman"/>
        </w:rPr>
        <w:t>customs</w:t>
      </w:r>
      <w:r w:rsidR="006628B5" w:rsidRPr="006628B5">
        <w:rPr>
          <w:rFonts w:cs="Times New Roman"/>
        </w:rPr>
        <w:t xml:space="preserve"> officials </w:t>
      </w:r>
      <w:r w:rsidR="006628B5">
        <w:rPr>
          <w:rFonts w:cs="Times New Roman"/>
        </w:rPr>
        <w:t xml:space="preserve">on the ground.  </w:t>
      </w:r>
    </w:p>
    <w:p w:rsidR="00D64FD6" w:rsidRDefault="00D64FD6" w:rsidP="00D64FD6">
      <w:pPr>
        <w:rPr>
          <w:rFonts w:cs="Times New Roman"/>
        </w:rPr>
      </w:pPr>
      <w:r>
        <w:rPr>
          <w:b/>
        </w:rPr>
        <w:t>Customs management oversight could be strengthened</w:t>
      </w:r>
      <w:bookmarkEnd w:id="298"/>
      <w:r>
        <w:rPr>
          <w:b/>
        </w:rPr>
        <w:t>.</w:t>
      </w:r>
      <w:r>
        <w:rPr>
          <w:rFonts w:cs="Times New Roman"/>
        </w:rPr>
        <w:t xml:space="preserve"> Afghanistan’s geography and current environment (conflict, opium trading and weak governance) makes it difficult for the ACD to provide the required oversight over its operations across the Afghan customs territory. </w:t>
      </w:r>
      <w:r w:rsidR="007038BB">
        <w:rPr>
          <w:rFonts w:cs="Times New Roman"/>
        </w:rPr>
        <w:t xml:space="preserve">Thus, </w:t>
      </w:r>
      <w:r w:rsidR="007038BB" w:rsidRPr="007038BB">
        <w:rPr>
          <w:rFonts w:cs="Times New Roman"/>
        </w:rPr>
        <w:t xml:space="preserve">unannounced site visits and inspections, which are an essential part of the chain of command, are often not possible, due to the security situation.  </w:t>
      </w:r>
      <w:r>
        <w:rPr>
          <w:rFonts w:cs="Times New Roman"/>
        </w:rPr>
        <w:t>Despite this, modern information and communication technologies, often part of the computerization of, or linked to, automated information capturing equipment, can help improve and provide this supervision</w:t>
      </w:r>
      <w:bookmarkStart w:id="299" w:name="_Toc318477761"/>
    </w:p>
    <w:p w:rsidR="00D64FD6" w:rsidRDefault="00D64FD6" w:rsidP="00D64FD6">
      <w:pPr>
        <w:rPr>
          <w:rFonts w:cs="Times New Roman"/>
        </w:rPr>
      </w:pPr>
      <w:r>
        <w:rPr>
          <w:b/>
        </w:rPr>
        <w:t>Customs lacks the powers and credibility to impose compliance by importers</w:t>
      </w:r>
      <w:r>
        <w:rPr>
          <w:rStyle w:val="Heading2Char"/>
        </w:rPr>
        <w:t>.</w:t>
      </w:r>
      <w:bookmarkEnd w:id="299"/>
      <w:r>
        <w:rPr>
          <w:rStyle w:val="Heading2Char"/>
        </w:rPr>
        <w:t xml:space="preserve"> </w:t>
      </w:r>
      <w:r>
        <w:rPr>
          <w:rFonts w:cs="Times New Roman"/>
        </w:rPr>
        <w:t xml:space="preserve">To be more effective, and further improve revenue collection, the ACD would need to increase its border control over goods and people, and the vehicles carrying them.  Customs needs the ability to operate throughout the customs territory to prevent, detect, document, and prosecute violations of the customs law.  A clear example of this is the fact that 90% percent of submitted invoices are forged without any serious consequences for repeating offenders. </w:t>
      </w:r>
    </w:p>
    <w:tbl>
      <w:tblPr>
        <w:tblStyle w:val="TableGrid"/>
        <w:tblW w:w="0" w:type="auto"/>
        <w:shd w:val="clear" w:color="auto" w:fill="E5D9EC" w:themeFill="accent1" w:themeFillTint="33"/>
        <w:tblLook w:val="04A0" w:firstRow="1" w:lastRow="0" w:firstColumn="1" w:lastColumn="0" w:noHBand="0" w:noVBand="1"/>
      </w:tblPr>
      <w:tblGrid>
        <w:gridCol w:w="9576"/>
      </w:tblGrid>
      <w:tr w:rsidR="00D64FD6" w:rsidRPr="00C069D8" w:rsidTr="00CA0D0B">
        <w:tc>
          <w:tcPr>
            <w:tcW w:w="9576" w:type="dxa"/>
            <w:shd w:val="clear" w:color="auto" w:fill="E5D9EC" w:themeFill="accent1" w:themeFillTint="33"/>
          </w:tcPr>
          <w:p w:rsidR="00D64FD6" w:rsidRPr="00C069D8" w:rsidRDefault="00E46C66">
            <w:pPr>
              <w:rPr>
                <w:rFonts w:cs="Times New Roman"/>
                <w:b/>
                <w:szCs w:val="22"/>
                <w:lang w:val="en-GB"/>
              </w:rPr>
            </w:pPr>
            <w:r w:rsidRPr="00C069D8">
              <w:rPr>
                <w:rFonts w:cs="Times New Roman"/>
                <w:b/>
                <w:szCs w:val="22"/>
                <w:lang w:val="en-GB"/>
              </w:rPr>
              <w:t xml:space="preserve">Box 2.3 – </w:t>
            </w:r>
            <w:r w:rsidR="00D64FD6" w:rsidRPr="00C069D8">
              <w:rPr>
                <w:rFonts w:cs="Times New Roman"/>
                <w:b/>
                <w:szCs w:val="22"/>
                <w:lang w:val="en-GB"/>
              </w:rPr>
              <w:t xml:space="preserve">Customs </w:t>
            </w:r>
            <w:r w:rsidRPr="00C069D8">
              <w:rPr>
                <w:rFonts w:cs="Times New Roman"/>
                <w:b/>
                <w:szCs w:val="22"/>
                <w:lang w:val="en-GB"/>
              </w:rPr>
              <w:t>Clearing Agents (Brokers)</w:t>
            </w:r>
          </w:p>
          <w:p w:rsidR="00D64FD6" w:rsidRPr="00C069D8" w:rsidRDefault="00D64FD6">
            <w:pPr>
              <w:rPr>
                <w:rFonts w:cs="Times New Roman"/>
                <w:szCs w:val="22"/>
                <w:lang w:val="en-GB"/>
              </w:rPr>
            </w:pPr>
          </w:p>
          <w:p w:rsidR="00D64FD6" w:rsidRPr="00C069D8" w:rsidRDefault="00D64FD6">
            <w:pPr>
              <w:rPr>
                <w:rFonts w:cs="Times New Roman"/>
                <w:szCs w:val="22"/>
                <w:lang w:val="en-GB"/>
              </w:rPr>
            </w:pPr>
            <w:r w:rsidRPr="00C069D8">
              <w:rPr>
                <w:rFonts w:cs="Times New Roman"/>
                <w:szCs w:val="22"/>
                <w:lang w:val="en-GB"/>
              </w:rPr>
              <w:t xml:space="preserve">Facilitated and expedited customs clearance is usually obtained through a licensed clearing agent.  The agent knows the customs procedures and systems, acts on behalf of clients, and lodges declarations under their own responsibility exercising due diligence.  Thus, clearing agents help save time by playing an important role as auxiliaries in the logistics chain , often combining Customs brokerage with freight forwarding, and are appreciated by both Customs authorities and clients because their work helps save time. </w:t>
            </w:r>
          </w:p>
          <w:p w:rsidR="00D64FD6" w:rsidRPr="00C069D8" w:rsidRDefault="00D64FD6">
            <w:pPr>
              <w:rPr>
                <w:rFonts w:cs="Times New Roman"/>
                <w:szCs w:val="22"/>
                <w:lang w:val="en-GB"/>
              </w:rPr>
            </w:pPr>
          </w:p>
          <w:p w:rsidR="00D64FD6" w:rsidRPr="00C069D8" w:rsidRDefault="00D64FD6">
            <w:pPr>
              <w:rPr>
                <w:rFonts w:cs="Times New Roman"/>
                <w:szCs w:val="22"/>
                <w:lang w:val="en-GB"/>
              </w:rPr>
            </w:pPr>
            <w:r w:rsidRPr="00C069D8">
              <w:rPr>
                <w:rFonts w:cs="Times New Roman"/>
                <w:szCs w:val="22"/>
                <w:lang w:val="en-GB"/>
              </w:rPr>
              <w:t xml:space="preserve">In Afghanistan, the clearing agent’s approach is rather different.  First, agents see themselves as “facilitators” rather than professional experts.  Second, they do not take responsibility for the declarations and documents prepared for the clients, which means they do not provide a risk management service.  Third, the fees charged depend on the complexity of procedures, which has created an incentive for them to lobby against simplifying existing systems.  For example, one of the major delays in the installation of the Asycuda system at the Jalalabad Customs house was related to tensions with organized clearing agents groups protecting an existing monopoly. </w:t>
            </w:r>
          </w:p>
          <w:p w:rsidR="00D64FD6" w:rsidRPr="00C069D8" w:rsidRDefault="00D64FD6">
            <w:pPr>
              <w:rPr>
                <w:rFonts w:cs="Times New Roman"/>
                <w:szCs w:val="22"/>
                <w:lang w:val="en-GB"/>
              </w:rPr>
            </w:pPr>
          </w:p>
          <w:p w:rsidR="00D64FD6" w:rsidRPr="00C069D8" w:rsidRDefault="00D64FD6">
            <w:pPr>
              <w:rPr>
                <w:rFonts w:cs="Times New Roman"/>
                <w:szCs w:val="22"/>
                <w:lang w:val="en-GB"/>
              </w:rPr>
            </w:pPr>
            <w:r w:rsidRPr="00C069D8">
              <w:rPr>
                <w:rFonts w:cs="Times New Roman"/>
                <w:szCs w:val="22"/>
                <w:lang w:val="en-GB"/>
              </w:rPr>
              <w:t>Similar challenges have been overcome in other countries by developing a more professional cadre of clearing agents.  The establishment of a professional association or institute of chartered Customs brokers that continually tests their customs skills is a step in the right direction.  Professionalism can be developed by ensuring the functions of the agents go beyond that of secretaries, typing declarations or advising on ways to avoid paying duties.  They need to lodge a financial security to be allowed to declare on behalf of their clients and should face internal disciplinary proceedings in case of fraud.</w:t>
            </w:r>
          </w:p>
          <w:p w:rsidR="00D64FD6" w:rsidRPr="00C069D8" w:rsidRDefault="00D64FD6">
            <w:pPr>
              <w:rPr>
                <w:rFonts w:cs="Times New Roman"/>
                <w:szCs w:val="22"/>
                <w:lang w:val="en-GB"/>
              </w:rPr>
            </w:pPr>
          </w:p>
          <w:p w:rsidR="00D64FD6" w:rsidRPr="00C069D8" w:rsidRDefault="00D64FD6" w:rsidP="00904E68">
            <w:pPr>
              <w:rPr>
                <w:rFonts w:cs="Times New Roman"/>
                <w:szCs w:val="22"/>
              </w:rPr>
            </w:pPr>
            <w:r w:rsidRPr="00C069D8">
              <w:rPr>
                <w:rFonts w:cs="Times New Roman"/>
                <w:szCs w:val="22"/>
                <w:lang w:val="en-GB"/>
              </w:rPr>
              <w:t xml:space="preserve">Source: Asycuda  </w:t>
            </w:r>
          </w:p>
        </w:tc>
      </w:tr>
    </w:tbl>
    <w:p w:rsidR="00D64FD6" w:rsidRDefault="00D64FD6" w:rsidP="00D64FD6">
      <w:pPr>
        <w:rPr>
          <w:rFonts w:cs="Times New Roman"/>
          <w:szCs w:val="22"/>
        </w:rPr>
      </w:pPr>
    </w:p>
    <w:p w:rsidR="00D64FD6" w:rsidRPr="0003707B" w:rsidRDefault="00D64FD6" w:rsidP="0003707B">
      <w:pPr>
        <w:pStyle w:val="Heading3"/>
        <w:spacing w:after="240" w:line="276" w:lineRule="auto"/>
        <w:rPr>
          <w:rFonts w:cstheme="minorHAnsi"/>
        </w:rPr>
      </w:pPr>
      <w:bookmarkStart w:id="300" w:name="_Toc318477763"/>
      <w:bookmarkStart w:id="301" w:name="_Toc327208450"/>
      <w:bookmarkStart w:id="302" w:name="_Toc348451706"/>
      <w:r w:rsidRPr="00992FE6">
        <w:rPr>
          <w:rFonts w:cstheme="minorHAnsi"/>
        </w:rPr>
        <w:t>Interagency Coordination is Important</w:t>
      </w:r>
      <w:bookmarkEnd w:id="300"/>
      <w:bookmarkEnd w:id="301"/>
      <w:bookmarkEnd w:id="302"/>
    </w:p>
    <w:p w:rsidR="00D64FD6" w:rsidRDefault="00D64FD6" w:rsidP="00D64FD6">
      <w:pPr>
        <w:rPr>
          <w:rFonts w:cs="Times New Roman"/>
        </w:rPr>
      </w:pPr>
      <w:bookmarkStart w:id="303" w:name="_Toc318477768"/>
      <w:r>
        <w:rPr>
          <w:rFonts w:cs="Times New Roman"/>
          <w:b/>
        </w:rPr>
        <w:t>The level of interagency cooperation will determine the quality of the customs service provided</w:t>
      </w:r>
      <w:bookmarkEnd w:id="303"/>
      <w:r>
        <w:rPr>
          <w:rFonts w:cs="Times New Roman"/>
          <w:b/>
        </w:rPr>
        <w:t xml:space="preserve">. </w:t>
      </w:r>
      <w:r>
        <w:rPr>
          <w:rFonts w:cs="Times New Roman"/>
        </w:rPr>
        <w:t xml:space="preserve"> Customs, being at the crossroads of trade, taxation, evasion, and regulation, has to interact with other agencies and.  Basic activities, including arrival procedures for goods and cargo control, post-release verifications and investigations, or the management of transit or other suspense regime, all have a high impact on the efficiency of the customs authority and the level of duties paid. These are among the most difficult to implement in Afghanistan due to institutional overlaps.  </w:t>
      </w:r>
    </w:p>
    <w:p w:rsidR="00D64FD6" w:rsidRDefault="00D64FD6" w:rsidP="00D64FD6">
      <w:pPr>
        <w:rPr>
          <w:rFonts w:cs="Times New Roman"/>
        </w:rPr>
      </w:pPr>
      <w:bookmarkStart w:id="304" w:name="_Toc318477764"/>
      <w:r>
        <w:rPr>
          <w:b/>
        </w:rPr>
        <w:t>Most reforms that would be necessary to upgrade the ACD to a level comparable to other countries are outside the control of customs</w:t>
      </w:r>
      <w:r>
        <w:t xml:space="preserve">.  </w:t>
      </w:r>
      <w:bookmarkEnd w:id="304"/>
      <w:r>
        <w:rPr>
          <w:rFonts w:cs="Times New Roman"/>
        </w:rPr>
        <w:t xml:space="preserve">In Afghanistan, </w:t>
      </w:r>
      <w:r w:rsidR="00274415">
        <w:rPr>
          <w:rFonts w:cs="Times New Roman"/>
        </w:rPr>
        <w:t>several agencies</w:t>
      </w:r>
      <w:r>
        <w:rPr>
          <w:rFonts w:cs="Times New Roman"/>
        </w:rPr>
        <w:t xml:space="preserve"> are involved in areas which in other countries are the traditional domain of customs.  This is partly a legacy of the Soviet system, where borders were closed and foreign trade tightly regulated.   The procedure for examination of goods by government officials is blurred because several agencies and local authorities may conduct inspections and it increases processing times.  For instance, oil imports by rail from Uzbekistan are reported to a Ministry of Commerce official who receives the train manifests, and extracts from them the data which is subsequently provided to customs. There is no mechanism for the ACD to ensure that all oil imports were reported.  Another example, the Ministry of Transport collects revenue through road fees, which are required to obtain a weight certificate.  Until recently, the Ministry of Foreign Affairs issued transit permits – at a cost of US$ 100 per permit – from diplomatic posts abroad</w:t>
      </w:r>
      <w:bookmarkStart w:id="305" w:name="_Toc318477765"/>
      <w:r>
        <w:rPr>
          <w:rFonts w:cs="Times New Roman"/>
        </w:rPr>
        <w:t>.</w:t>
      </w:r>
    </w:p>
    <w:p w:rsidR="00D96439" w:rsidRDefault="00D96439" w:rsidP="00D64FD6">
      <w:pPr>
        <w:rPr>
          <w:rFonts w:cs="Times New Roman"/>
        </w:rPr>
      </w:pPr>
      <w:r>
        <w:rPr>
          <w:rFonts w:cs="Times New Roman"/>
          <w:b/>
        </w:rPr>
        <w:t>C</w:t>
      </w:r>
      <w:r w:rsidRPr="00D96439">
        <w:rPr>
          <w:rFonts w:cs="Times New Roman"/>
          <w:b/>
        </w:rPr>
        <w:t>orruption both in and outside the ACD remains an issue</w:t>
      </w:r>
      <w:r w:rsidRPr="00D96439">
        <w:rPr>
          <w:rFonts w:cs="Times New Roman"/>
        </w:rPr>
        <w:t>. Reducing opportunities for corruption should be a priority for the government. This can only be done by ensuring meaningful and independent oversight of ACD operations and acceleration of ongoing reforms to streamline and automate procedures and reduce the interface between customs officers and clients. A comprehensive anti-corruption strategy, including action plan, should be developed with the support of the Independent Monitoring and Evaluation Committee (I-MEC) to ensure effective implementation and oversight.</w:t>
      </w:r>
    </w:p>
    <w:p w:rsidR="001377E2" w:rsidRDefault="001377E2" w:rsidP="002E3499">
      <w:pPr>
        <w:pStyle w:val="Heading2"/>
        <w:spacing w:line="276" w:lineRule="auto"/>
      </w:pPr>
      <w:bookmarkStart w:id="306" w:name="_Toc327208451"/>
      <w:bookmarkStart w:id="307" w:name="_Toc348451707"/>
      <w:bookmarkEnd w:id="305"/>
      <w:r w:rsidRPr="000845DD">
        <w:t>Opportunities and Recommendations</w:t>
      </w:r>
      <w:bookmarkEnd w:id="278"/>
      <w:bookmarkEnd w:id="306"/>
      <w:bookmarkEnd w:id="307"/>
    </w:p>
    <w:p w:rsidR="001377E2" w:rsidRPr="000845DD" w:rsidRDefault="001377E2" w:rsidP="002E3499">
      <w:pPr>
        <w:spacing w:after="120"/>
        <w:rPr>
          <w:rFonts w:cs="Times New Roman"/>
        </w:rPr>
      </w:pPr>
      <w:r w:rsidRPr="000845DD">
        <w:rPr>
          <w:rFonts w:cs="Times New Roman"/>
          <w:b/>
        </w:rPr>
        <w:t xml:space="preserve">The role of </w:t>
      </w:r>
      <w:r w:rsidR="002E3499">
        <w:rPr>
          <w:rFonts w:cs="Times New Roman"/>
          <w:b/>
        </w:rPr>
        <w:t>the c</w:t>
      </w:r>
      <w:r w:rsidRPr="000845DD">
        <w:rPr>
          <w:rFonts w:cs="Times New Roman"/>
          <w:b/>
        </w:rPr>
        <w:t xml:space="preserve">ustoms </w:t>
      </w:r>
      <w:r w:rsidR="002E3499">
        <w:rPr>
          <w:rFonts w:cs="Times New Roman"/>
          <w:b/>
        </w:rPr>
        <w:t xml:space="preserve">department </w:t>
      </w:r>
      <w:r w:rsidRPr="000845DD">
        <w:rPr>
          <w:rFonts w:cs="Times New Roman"/>
          <w:b/>
        </w:rPr>
        <w:t xml:space="preserve">should be defined in line with (i) the Afghan environment, and (ii) global trends in the evolution of </w:t>
      </w:r>
      <w:r w:rsidR="002E3499">
        <w:rPr>
          <w:rFonts w:cs="Times New Roman"/>
          <w:b/>
        </w:rPr>
        <w:t>c</w:t>
      </w:r>
      <w:r w:rsidRPr="000845DD">
        <w:rPr>
          <w:rFonts w:cs="Times New Roman"/>
          <w:b/>
        </w:rPr>
        <w:t>ustoms administrations.</w:t>
      </w:r>
      <w:r w:rsidRPr="000845DD">
        <w:rPr>
          <w:rFonts w:cs="Times New Roman"/>
        </w:rPr>
        <w:t xml:space="preserve"> The approach should be agreed between the </w:t>
      </w:r>
      <w:r w:rsidR="002E3499">
        <w:rPr>
          <w:rFonts w:cs="Times New Roman"/>
        </w:rPr>
        <w:t>g</w:t>
      </w:r>
      <w:r w:rsidRPr="000845DD">
        <w:rPr>
          <w:rFonts w:cs="Times New Roman"/>
        </w:rPr>
        <w:t xml:space="preserve">overnment and donors, and among donors to rationalize technical assistance and equipment inputs.  </w:t>
      </w:r>
    </w:p>
    <w:p w:rsidR="001377E2" w:rsidRPr="00234846" w:rsidRDefault="001377E2" w:rsidP="000845DD">
      <w:pPr>
        <w:rPr>
          <w:rFonts w:cs="Times New Roman"/>
          <w:szCs w:val="24"/>
          <w:lang w:val="en-GB"/>
        </w:rPr>
      </w:pPr>
      <w:r w:rsidRPr="000845DD">
        <w:rPr>
          <w:rFonts w:cs="Times New Roman"/>
          <w:b/>
        </w:rPr>
        <w:t>Customs procedures should be made less cumbersome, globally aligned and transparent.</w:t>
      </w:r>
      <w:r w:rsidRPr="000845DD">
        <w:rPr>
          <w:rFonts w:cs="Times New Roman"/>
        </w:rPr>
        <w:t xml:space="preserve"> In Afghanistan</w:t>
      </w:r>
      <w:r w:rsidR="002E3499">
        <w:rPr>
          <w:rFonts w:cs="Times New Roman"/>
        </w:rPr>
        <w:t>, various</w:t>
      </w:r>
      <w:r w:rsidRPr="000845DD">
        <w:rPr>
          <w:rFonts w:cs="Times New Roman"/>
        </w:rPr>
        <w:t xml:space="preserve"> clearance procedures exist all over the country, which are neither internally nor regionally or globally aligned. While computerization is slowly resolving this, a coordinated effort to review, revise and audit these clearance procedures should be undertaken. An exercise akin to the GATT assessment should be undertaken at </w:t>
      </w:r>
      <w:r w:rsidR="002E3499">
        <w:rPr>
          <w:rFonts w:cs="Times New Roman"/>
        </w:rPr>
        <w:t>c</w:t>
      </w:r>
      <w:r w:rsidRPr="000845DD">
        <w:rPr>
          <w:rFonts w:cs="Times New Roman"/>
        </w:rPr>
        <w:t>ustoms house level, to identify a “critical path” for reforms.</w:t>
      </w:r>
      <w:r w:rsidR="00234846">
        <w:rPr>
          <w:rFonts w:cs="Times New Roman"/>
        </w:rPr>
        <w:t xml:space="preserve">  </w:t>
      </w:r>
      <w:r w:rsidR="00234846">
        <w:rPr>
          <w:rFonts w:cs="Times New Roman"/>
          <w:szCs w:val="24"/>
          <w:lang w:val="en-GB"/>
        </w:rPr>
        <w:t>The role of clearing agents – and their responsibilities – should be better defined.</w:t>
      </w:r>
    </w:p>
    <w:p w:rsidR="00234846" w:rsidRDefault="001377E2" w:rsidP="000845DD">
      <w:r w:rsidRPr="000845DD">
        <w:rPr>
          <w:rFonts w:cs="Times New Roman"/>
          <w:b/>
        </w:rPr>
        <w:t xml:space="preserve">The concept of “collaborative borders management” (CBM) would help limit interference from other government entities in </w:t>
      </w:r>
      <w:r w:rsidR="002E3499">
        <w:rPr>
          <w:rFonts w:cs="Times New Roman"/>
          <w:b/>
        </w:rPr>
        <w:t>c</w:t>
      </w:r>
      <w:r w:rsidRPr="000845DD">
        <w:rPr>
          <w:rFonts w:cs="Times New Roman"/>
          <w:b/>
        </w:rPr>
        <w:t>ustoms matters.</w:t>
      </w:r>
      <w:r w:rsidRPr="000845DD">
        <w:rPr>
          <w:rFonts w:cs="Times New Roman"/>
        </w:rPr>
        <w:t xml:space="preserve"> </w:t>
      </w:r>
      <w:r w:rsidRPr="000845DD">
        <w:t xml:space="preserve">The term CBM is gradually replacing the notion of “Integrated </w:t>
      </w:r>
      <w:r w:rsidR="002E3499">
        <w:t>b</w:t>
      </w:r>
      <w:r w:rsidRPr="000845DD">
        <w:t xml:space="preserve">order </w:t>
      </w:r>
      <w:r w:rsidR="002E3499">
        <w:t>m</w:t>
      </w:r>
      <w:r w:rsidRPr="000845DD">
        <w:t>anagement</w:t>
      </w:r>
      <w:r w:rsidR="002E3499">
        <w:t>”</w:t>
      </w:r>
      <w:r w:rsidRPr="000845DD">
        <w:t xml:space="preserve"> </w:t>
      </w:r>
      <w:r w:rsidR="002E3499">
        <w:t>(</w:t>
      </w:r>
      <w:r w:rsidRPr="000845DD">
        <w:t>IBM</w:t>
      </w:r>
      <w:r w:rsidR="002E3499">
        <w:t>)</w:t>
      </w:r>
      <w:r w:rsidRPr="000845DD">
        <w:t xml:space="preserve"> as it is seen as going beyond mere coordination of effort between border agencies and  is less threatening than IBM, which brings with it a strong connotation of organizational integration (such as the </w:t>
      </w:r>
      <w:r w:rsidR="002E3499">
        <w:t xml:space="preserve">U.S. </w:t>
      </w:r>
      <w:r w:rsidRPr="000845DD">
        <w:t xml:space="preserve">Homeland Security </w:t>
      </w:r>
      <w:r w:rsidR="002E3499">
        <w:t>d</w:t>
      </w:r>
      <w:r w:rsidRPr="000845DD">
        <w:t>epartment)</w:t>
      </w:r>
      <w:r w:rsidR="002E3499">
        <w:t>.</w:t>
      </w:r>
      <w:r w:rsidRPr="000845DD">
        <w:t xml:space="preserve"> The </w:t>
      </w:r>
      <w:r w:rsidR="002E3499">
        <w:t>c</w:t>
      </w:r>
      <w:r w:rsidRPr="000845DD">
        <w:t xml:space="preserve">ollaborative </w:t>
      </w:r>
      <w:r w:rsidR="002E3499">
        <w:t>b</w:t>
      </w:r>
      <w:r w:rsidRPr="000845DD">
        <w:t xml:space="preserve">order </w:t>
      </w:r>
      <w:r w:rsidR="002E3499">
        <w:t>m</w:t>
      </w:r>
      <w:r w:rsidRPr="000845DD">
        <w:t>anagement concept is based on the premise that agencies and the trading community need to work together to achieve common aims that benefit all parties.  Such a model suggests that border management agencies can increase the level of control, while simultaneously providing a more efficient service to customers and can do so while retaining their own organizational integrity.</w:t>
      </w:r>
      <w:r w:rsidRPr="000845DD">
        <w:rPr>
          <w:rStyle w:val="FootnoteReference"/>
        </w:rPr>
        <w:footnoteReference w:id="73"/>
      </w:r>
    </w:p>
    <w:p w:rsidR="00D7288C" w:rsidRDefault="00D7288C" w:rsidP="00D7288C">
      <w:r>
        <w:rPr>
          <w:b/>
        </w:rPr>
        <w:t xml:space="preserve">Defining the clearance model for Afghanistan will have an impact on the design of its customs administration.  </w:t>
      </w:r>
      <w:r>
        <w:rPr>
          <w:rFonts w:cs="Times New Roman"/>
        </w:rPr>
        <w:t xml:space="preserve"> </w:t>
      </w:r>
    </w:p>
    <w:p w:rsidR="001377E2" w:rsidRPr="00234846" w:rsidRDefault="00234846" w:rsidP="000845DD">
      <w:pPr>
        <w:rPr>
          <w:rFonts w:cs="Times New Roman"/>
          <w:szCs w:val="24"/>
          <w:lang w:val="en-GB"/>
        </w:rPr>
      </w:pPr>
      <w:r w:rsidRPr="006252DF">
        <w:rPr>
          <w:rFonts w:cs="Times New Roman"/>
          <w:b/>
          <w:szCs w:val="24"/>
          <w:lang w:val="en-GB"/>
        </w:rPr>
        <w:t>Every reform or modernisation operation should factor the anti-corruption dimension</w:t>
      </w:r>
      <w:r w:rsidRPr="00DB6521">
        <w:rPr>
          <w:rFonts w:cs="Times New Roman"/>
          <w:i/>
          <w:szCs w:val="24"/>
          <w:lang w:val="en-GB"/>
        </w:rPr>
        <w:t>.</w:t>
      </w:r>
      <w:r>
        <w:rPr>
          <w:rFonts w:cs="Times New Roman"/>
          <w:szCs w:val="24"/>
          <w:lang w:val="en-GB"/>
        </w:rPr>
        <w:t xml:space="preserve">  </w:t>
      </w:r>
      <w:r w:rsidR="00151314">
        <w:rPr>
          <w:rFonts w:cs="Times New Roman"/>
          <w:szCs w:val="24"/>
          <w:lang w:val="en-GB"/>
        </w:rPr>
        <w:t xml:space="preserve">A review of governance issues, including interference of outside bodies and institutions in areas that fall under </w:t>
      </w:r>
      <w:r w:rsidR="006C53C5">
        <w:rPr>
          <w:rFonts w:cs="Times New Roman"/>
          <w:szCs w:val="24"/>
          <w:lang w:val="en-GB"/>
        </w:rPr>
        <w:t xml:space="preserve">the </w:t>
      </w:r>
      <w:r w:rsidR="00151314">
        <w:rPr>
          <w:rFonts w:cs="Times New Roman"/>
          <w:szCs w:val="24"/>
          <w:lang w:val="en-GB"/>
        </w:rPr>
        <w:t xml:space="preserve">customs domain, and a clear organisational and staffing policy, </w:t>
      </w:r>
      <w:r w:rsidR="006C53C5">
        <w:rPr>
          <w:rFonts w:cs="Times New Roman"/>
          <w:szCs w:val="24"/>
          <w:lang w:val="en-GB"/>
        </w:rPr>
        <w:t>w</w:t>
      </w:r>
      <w:r w:rsidR="00151314">
        <w:rPr>
          <w:rFonts w:cs="Times New Roman"/>
          <w:szCs w:val="24"/>
          <w:lang w:val="en-GB"/>
        </w:rPr>
        <w:t xml:space="preserve">ould help strengthen the institutional side, while embracing anticorruption measures. </w:t>
      </w:r>
      <w:r w:rsidR="00287569">
        <w:rPr>
          <w:rFonts w:cs="Times New Roman"/>
          <w:szCs w:val="24"/>
          <w:lang w:val="en-GB"/>
        </w:rPr>
        <w:t>In general ,a</w:t>
      </w:r>
      <w:r w:rsidR="00287569" w:rsidRPr="00287569">
        <w:rPr>
          <w:rFonts w:cs="Times New Roman"/>
          <w:szCs w:val="24"/>
          <w:lang w:val="en-GB"/>
        </w:rPr>
        <w:t xml:space="preserve">nti-corruption </w:t>
      </w:r>
      <w:r w:rsidR="00287569">
        <w:rPr>
          <w:rFonts w:cs="Times New Roman"/>
          <w:szCs w:val="24"/>
          <w:lang w:val="en-GB"/>
        </w:rPr>
        <w:t xml:space="preserve">initiatives under the umbrella of customs reform should rightly focus, </w:t>
      </w:r>
      <w:r w:rsidR="00287569" w:rsidRPr="00287569">
        <w:rPr>
          <w:rFonts w:cs="Times New Roman"/>
          <w:szCs w:val="24"/>
          <w:lang w:val="en-GB"/>
        </w:rPr>
        <w:t>including those in Afghanistan, on four types of measure</w:t>
      </w:r>
      <w:r w:rsidR="00151314">
        <w:rPr>
          <w:rFonts w:cs="Times New Roman"/>
          <w:szCs w:val="24"/>
          <w:lang w:val="en-GB"/>
        </w:rPr>
        <w:t>s</w:t>
      </w:r>
      <w:r w:rsidR="00287569" w:rsidRPr="00287569">
        <w:rPr>
          <w:rFonts w:cs="Times New Roman"/>
          <w:szCs w:val="24"/>
          <w:lang w:val="en-GB"/>
        </w:rPr>
        <w:t>: (i) computerization, to eliminate discreet direct interface between officials and those carrying fungible wealth, and to leave an audit trail; (ii) staff policies, ranging from ethics to salaries and incentives, which also imply an audit capacity; (iii) a multi-tiered investigative capacity that must involve specialized anti-corruption customs units, and external auditors and investigators; and (iv) the involvement of the private sector, with adequate legislation to deter corrupt practices and bribery.</w:t>
      </w:r>
      <w:r w:rsidR="00287569">
        <w:rPr>
          <w:rFonts w:cs="Times New Roman"/>
          <w:szCs w:val="24"/>
          <w:lang w:val="en-GB"/>
        </w:rPr>
        <w:t xml:space="preserve">  T</w:t>
      </w:r>
      <w:r>
        <w:rPr>
          <w:rFonts w:cs="Times New Roman"/>
          <w:szCs w:val="24"/>
          <w:lang w:val="en-GB"/>
        </w:rPr>
        <w:t xml:space="preserve">echnical assistance and policy advice </w:t>
      </w:r>
      <w:r w:rsidR="000349B4">
        <w:rPr>
          <w:rFonts w:cs="Times New Roman"/>
          <w:szCs w:val="24"/>
          <w:lang w:val="en-GB"/>
        </w:rPr>
        <w:t xml:space="preserve">is currently being provided to the GOA </w:t>
      </w:r>
      <w:r>
        <w:rPr>
          <w:rFonts w:cs="Times New Roman"/>
          <w:szCs w:val="24"/>
          <w:lang w:val="en-GB"/>
        </w:rPr>
        <w:t xml:space="preserve">and ACD in these areas. </w:t>
      </w:r>
      <w:r w:rsidR="001377E2" w:rsidRPr="00287569">
        <w:rPr>
          <w:rFonts w:cs="Times New Roman"/>
          <w:szCs w:val="24"/>
          <w:lang w:val="en-GB"/>
        </w:rPr>
        <w:t xml:space="preserve"> </w:t>
      </w:r>
    </w:p>
    <w:p w:rsidR="001377E2" w:rsidRPr="000845DD" w:rsidRDefault="002E3499" w:rsidP="000845DD">
      <w:pPr>
        <w:rPr>
          <w:rFonts w:cs="Times New Roman"/>
        </w:rPr>
      </w:pPr>
      <w:r>
        <w:rPr>
          <w:rFonts w:cs="Times New Roman"/>
          <w:b/>
        </w:rPr>
        <w:t xml:space="preserve">The </w:t>
      </w:r>
      <w:r w:rsidR="001377E2" w:rsidRPr="000845DD">
        <w:rPr>
          <w:rFonts w:cs="Times New Roman"/>
          <w:b/>
        </w:rPr>
        <w:t xml:space="preserve">ACD and neighboring countries’ </w:t>
      </w:r>
      <w:r>
        <w:rPr>
          <w:rFonts w:cs="Times New Roman"/>
          <w:b/>
        </w:rPr>
        <w:t>c</w:t>
      </w:r>
      <w:r w:rsidR="001377E2" w:rsidRPr="000845DD">
        <w:rPr>
          <w:rFonts w:cs="Times New Roman"/>
          <w:b/>
        </w:rPr>
        <w:t xml:space="preserve">ustoms </w:t>
      </w:r>
      <w:r>
        <w:rPr>
          <w:rFonts w:cs="Times New Roman"/>
          <w:b/>
        </w:rPr>
        <w:t>a</w:t>
      </w:r>
      <w:r w:rsidR="001377E2" w:rsidRPr="000845DD">
        <w:rPr>
          <w:rFonts w:cs="Times New Roman"/>
          <w:b/>
        </w:rPr>
        <w:t>gencies need to cooperate better.</w:t>
      </w:r>
      <w:r w:rsidR="001377E2" w:rsidRPr="000845DD">
        <w:rPr>
          <w:rFonts w:cs="Times New Roman"/>
        </w:rPr>
        <w:t xml:space="preserve"> This absence of cross-border information linkages has clear fiscal, social and trade facilitation dimensions. Of the total commercial imports</w:t>
      </w:r>
      <w:r>
        <w:rPr>
          <w:rFonts w:cs="Times New Roman"/>
        </w:rPr>
        <w:t>,</w:t>
      </w:r>
      <w:r w:rsidR="001377E2" w:rsidRPr="000845DD">
        <w:rPr>
          <w:rFonts w:cs="Times New Roman"/>
        </w:rPr>
        <w:t xml:space="preserve"> estimated at US</w:t>
      </w:r>
      <w:r>
        <w:rPr>
          <w:rFonts w:cs="Times New Roman"/>
        </w:rPr>
        <w:t>$</w:t>
      </w:r>
      <w:r w:rsidR="001377E2" w:rsidRPr="000845DD">
        <w:rPr>
          <w:rFonts w:cs="Times New Roman"/>
        </w:rPr>
        <w:t xml:space="preserve"> 7.87 billion in 2008, approximately US</w:t>
      </w:r>
      <w:r>
        <w:rPr>
          <w:rFonts w:cs="Times New Roman"/>
        </w:rPr>
        <w:t>$</w:t>
      </w:r>
      <w:r w:rsidR="001377E2" w:rsidRPr="000845DD">
        <w:rPr>
          <w:rFonts w:cs="Times New Roman"/>
        </w:rPr>
        <w:t xml:space="preserve"> 7.71 billion moved over land routes from surrounding countries. </w:t>
      </w:r>
      <w:r>
        <w:rPr>
          <w:rFonts w:cs="Times New Roman"/>
        </w:rPr>
        <w:t xml:space="preserve">The </w:t>
      </w:r>
      <w:r w:rsidR="001377E2" w:rsidRPr="000845DD">
        <w:rPr>
          <w:rFonts w:cs="Times New Roman"/>
        </w:rPr>
        <w:t>ACD needs to exploit this advantage to improve its governance and control</w:t>
      </w:r>
      <w:r w:rsidR="00294E5A">
        <w:rPr>
          <w:rFonts w:cs="Times New Roman"/>
        </w:rPr>
        <w:t>,</w:t>
      </w:r>
      <w:r w:rsidR="001377E2" w:rsidRPr="000845DD">
        <w:rPr>
          <w:rFonts w:cs="Times New Roman"/>
        </w:rPr>
        <w:t xml:space="preserve"> and needs to further improve cooperation with the </w:t>
      </w:r>
      <w:r w:rsidR="00294E5A">
        <w:rPr>
          <w:rFonts w:cs="Times New Roman"/>
        </w:rPr>
        <w:t>c</w:t>
      </w:r>
      <w:r w:rsidR="001377E2" w:rsidRPr="000845DD">
        <w:rPr>
          <w:rFonts w:cs="Times New Roman"/>
        </w:rPr>
        <w:t>ustoms agencies of neighboring countries.  This should be the result of a CBM strategy.</w:t>
      </w:r>
    </w:p>
    <w:p w:rsidR="001377E2" w:rsidRDefault="001377E2" w:rsidP="000845DD">
      <w:pPr>
        <w:rPr>
          <w:rFonts w:cs="Times New Roman"/>
        </w:rPr>
      </w:pPr>
      <w:r w:rsidRPr="000845DD">
        <w:rPr>
          <w:rFonts w:cs="Times New Roman"/>
          <w:b/>
        </w:rPr>
        <w:t xml:space="preserve">The </w:t>
      </w:r>
      <w:r w:rsidR="00294E5A">
        <w:rPr>
          <w:rFonts w:cs="Times New Roman"/>
          <w:b/>
        </w:rPr>
        <w:t>c</w:t>
      </w:r>
      <w:r w:rsidRPr="000845DD">
        <w:rPr>
          <w:rFonts w:cs="Times New Roman"/>
          <w:b/>
        </w:rPr>
        <w:t>ustoms law (and possibly other laws) would need to be updated.</w:t>
      </w:r>
      <w:r w:rsidRPr="000845DD">
        <w:rPr>
          <w:rFonts w:cs="Times New Roman"/>
        </w:rPr>
        <w:t xml:space="preserve"> The two objectives would be to promote voluntary compliance (with swifter and probably increased penalties), and to provide </w:t>
      </w:r>
      <w:r w:rsidR="00294E5A">
        <w:rPr>
          <w:rFonts w:cs="Times New Roman"/>
        </w:rPr>
        <w:t>the c</w:t>
      </w:r>
      <w:r w:rsidRPr="000845DD">
        <w:rPr>
          <w:rFonts w:cs="Times New Roman"/>
        </w:rPr>
        <w:t xml:space="preserve">ustoms </w:t>
      </w:r>
      <w:r w:rsidR="00294E5A">
        <w:rPr>
          <w:rFonts w:cs="Times New Roman"/>
        </w:rPr>
        <w:t xml:space="preserve">authorities </w:t>
      </w:r>
      <w:r w:rsidRPr="000845DD">
        <w:rPr>
          <w:rFonts w:cs="Times New Roman"/>
        </w:rPr>
        <w:t xml:space="preserve">with an enforcement capacity that is absolutely essential for </w:t>
      </w:r>
      <w:r w:rsidR="00294E5A">
        <w:rPr>
          <w:rFonts w:cs="Times New Roman"/>
        </w:rPr>
        <w:t xml:space="preserve">the </w:t>
      </w:r>
      <w:r w:rsidRPr="000845DD">
        <w:rPr>
          <w:rFonts w:cs="Times New Roman"/>
        </w:rPr>
        <w:t>ACD to perform according to international standards.</w:t>
      </w:r>
    </w:p>
    <w:p w:rsidR="00D7288C" w:rsidRPr="000845DD" w:rsidRDefault="00D7288C" w:rsidP="000845DD">
      <w:pPr>
        <w:rPr>
          <w:rFonts w:cs="Times New Roman"/>
        </w:rPr>
      </w:pPr>
      <w:r>
        <w:rPr>
          <w:rFonts w:cs="Times New Roman"/>
          <w:b/>
        </w:rPr>
        <w:t xml:space="preserve">Greater interagency cooperation will </w:t>
      </w:r>
      <w:r w:rsidR="00274415">
        <w:rPr>
          <w:rFonts w:cs="Times New Roman"/>
          <w:b/>
        </w:rPr>
        <w:t>improve the</w:t>
      </w:r>
      <w:r>
        <w:rPr>
          <w:rFonts w:cs="Times New Roman"/>
          <w:b/>
        </w:rPr>
        <w:t xml:space="preserve"> quality of the customs services provided. </w:t>
      </w:r>
      <w:r>
        <w:rPr>
          <w:rFonts w:cs="Times New Roman"/>
        </w:rPr>
        <w:t xml:space="preserve"> </w:t>
      </w:r>
    </w:p>
    <w:p w:rsidR="001377E2" w:rsidRPr="00366E9A" w:rsidRDefault="00E46C66" w:rsidP="00C40E9C">
      <w:pPr>
        <w:pStyle w:val="Heading2"/>
      </w:pPr>
      <w:bookmarkStart w:id="308" w:name="_Toc318477775"/>
      <w:bookmarkStart w:id="309" w:name="_Toc327208452"/>
      <w:bookmarkStart w:id="310" w:name="_Toc348451708"/>
      <w:r>
        <w:rPr>
          <w:rFonts w:cs="Times New Roman"/>
        </w:rPr>
        <w:t>Table 2.</w:t>
      </w:r>
      <w:r w:rsidR="00C069D8">
        <w:rPr>
          <w:rFonts w:cs="Times New Roman"/>
        </w:rPr>
        <w:t>6.</w:t>
      </w:r>
      <w:r w:rsidR="001377E2" w:rsidRPr="000845DD">
        <w:t xml:space="preserve"> Overall </w:t>
      </w:r>
      <w:r w:rsidR="0096188B">
        <w:t>P</w:t>
      </w:r>
      <w:r w:rsidR="001377E2" w:rsidRPr="000845DD">
        <w:t xml:space="preserve">erformance </w:t>
      </w:r>
      <w:r w:rsidR="0096188B">
        <w:t>I</w:t>
      </w:r>
      <w:r w:rsidR="001377E2" w:rsidRPr="000845DD">
        <w:t xml:space="preserve">ndicators for </w:t>
      </w:r>
      <w:r w:rsidR="00C64BE8">
        <w:t xml:space="preserve">the </w:t>
      </w:r>
      <w:r w:rsidR="001377E2" w:rsidRPr="000845DD">
        <w:t>A</w:t>
      </w:r>
      <w:r w:rsidR="00C40E9C">
        <w:t xml:space="preserve">fghan </w:t>
      </w:r>
      <w:r w:rsidR="001377E2" w:rsidRPr="000845DD">
        <w:t>C</w:t>
      </w:r>
      <w:r w:rsidR="00C40E9C">
        <w:t xml:space="preserve">ustoms </w:t>
      </w:r>
      <w:r w:rsidR="001377E2" w:rsidRPr="000845DD">
        <w:t>D</w:t>
      </w:r>
      <w:r w:rsidR="00C40E9C">
        <w:t>epartment</w:t>
      </w:r>
      <w:r w:rsidR="0096188B">
        <w:t xml:space="preserve"> (ACD)</w:t>
      </w:r>
      <w:r w:rsidR="001377E2" w:rsidRPr="000845DD">
        <w:rPr>
          <w:rStyle w:val="FootnoteReference"/>
          <w:b w:val="0"/>
          <w:sz w:val="22"/>
        </w:rPr>
        <w:footnoteReference w:id="74"/>
      </w:r>
      <w:bookmarkEnd w:id="308"/>
      <w:bookmarkEnd w:id="309"/>
      <w:bookmarkEnd w:id="310"/>
    </w:p>
    <w:p w:rsidR="001377E2" w:rsidRPr="00366E9A" w:rsidRDefault="001377E2" w:rsidP="001377E2">
      <w:r w:rsidRPr="00366E9A">
        <w:rPr>
          <w:noProof/>
          <w:lang w:bidi="ar-SA"/>
        </w:rPr>
        <w:drawing>
          <wp:inline distT="0" distB="0" distL="0" distR="0" wp14:anchorId="0C2845D0" wp14:editId="000AFE34">
            <wp:extent cx="5965966" cy="3968151"/>
            <wp:effectExtent l="19050" t="0" r="0" b="0"/>
            <wp:docPr id="2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srcRect/>
                    <a:stretch>
                      <a:fillRect/>
                    </a:stretch>
                  </pic:blipFill>
                  <pic:spPr bwMode="auto">
                    <a:xfrm>
                      <a:off x="0" y="0"/>
                      <a:ext cx="5965218" cy="3967653"/>
                    </a:xfrm>
                    <a:prstGeom prst="rect">
                      <a:avLst/>
                    </a:prstGeom>
                    <a:noFill/>
                    <a:ln w="9525">
                      <a:noFill/>
                      <a:miter lim="800000"/>
                      <a:headEnd/>
                      <a:tailEnd/>
                    </a:ln>
                  </pic:spPr>
                </pic:pic>
              </a:graphicData>
            </a:graphic>
          </wp:inline>
        </w:drawing>
      </w:r>
    </w:p>
    <w:p w:rsidR="00606FEB" w:rsidRDefault="00492632" w:rsidP="00606FEB">
      <w:pPr>
        <w:spacing w:after="0"/>
        <w:rPr>
          <w:rFonts w:ascii="PalatinoLinotype-Roman" w:eastAsiaTheme="minorHAnsi" w:hAnsi="PalatinoLinotype-Roman" w:cs="PalatinoLinotype-Roman"/>
          <w:color w:val="161616"/>
          <w:sz w:val="19"/>
          <w:szCs w:val="19"/>
          <w:lang w:bidi="ar-SA"/>
        </w:rPr>
      </w:pPr>
      <w:r>
        <w:rPr>
          <w:rFonts w:ascii="PalatinoLinotype-Roman" w:eastAsiaTheme="minorHAnsi" w:hAnsi="PalatinoLinotype-Roman" w:cs="PalatinoLinotype-Roman"/>
          <w:color w:val="161616"/>
          <w:sz w:val="19"/>
          <w:szCs w:val="19"/>
          <w:lang w:bidi="ar-SA"/>
        </w:rPr>
        <w:t xml:space="preserve"> </w:t>
      </w:r>
    </w:p>
    <w:p w:rsidR="00791E47" w:rsidRDefault="00791E47">
      <w:pPr>
        <w:jc w:val="left"/>
        <w:rPr>
          <w:rFonts w:eastAsiaTheme="majorEastAsia" w:cstheme="minorHAnsi"/>
          <w:b/>
          <w:bCs/>
          <w:sz w:val="32"/>
          <w:szCs w:val="32"/>
        </w:rPr>
      </w:pPr>
      <w:r>
        <w:br w:type="page"/>
      </w:r>
    </w:p>
    <w:p w:rsidR="002C070F" w:rsidRDefault="002C070F" w:rsidP="002C070F">
      <w:pPr>
        <w:pStyle w:val="Heading1"/>
        <w:spacing w:before="0" w:after="0" w:line="276" w:lineRule="auto"/>
      </w:pPr>
      <w:bookmarkStart w:id="311" w:name="_Toc327208453"/>
      <w:bookmarkStart w:id="312" w:name="_Toc348451709"/>
      <w:r>
        <w:t xml:space="preserve">Chapter IV: </w:t>
      </w:r>
      <w:r w:rsidRPr="00073AC8">
        <w:t>Infrastructure Services</w:t>
      </w:r>
      <w:bookmarkEnd w:id="311"/>
      <w:bookmarkEnd w:id="312"/>
    </w:p>
    <w:p w:rsidR="002C070F" w:rsidRDefault="002C070F" w:rsidP="002C070F">
      <w:pPr>
        <w:spacing w:before="240" w:line="240" w:lineRule="auto"/>
      </w:pPr>
      <w:r w:rsidRPr="00EB2AC7">
        <w:rPr>
          <w:b/>
          <w:szCs w:val="22"/>
        </w:rPr>
        <w:t>A major constrain</w:t>
      </w:r>
      <w:r>
        <w:rPr>
          <w:b/>
          <w:szCs w:val="22"/>
        </w:rPr>
        <w:t>t</w:t>
      </w:r>
      <w:r w:rsidRPr="00EB2AC7">
        <w:rPr>
          <w:b/>
          <w:szCs w:val="22"/>
        </w:rPr>
        <w:t xml:space="preserve"> to the supply side and for private sector development in Afghanistan is the provision of infrastructure and infrastructural services.</w:t>
      </w:r>
      <w:r>
        <w:rPr>
          <w:szCs w:val="22"/>
        </w:rPr>
        <w:t xml:space="preserve">  These directly affect production costs and delivery times and play a key role in determining the competitiveness of Afghan firms.  While the needs in Afghanistan are pressing and there is a wide infrastructure gap, this diagnostics study identifies three sectors that could have the greatest impact on developing trade services: i) electricity, ii) telecommunications (ICT), and iii) roads (transport).  Thus, the following sections present an overview of the current coverage across them, the current challenges, and the opportunities for development that could greatly impact international trade in Afghanistan.</w:t>
      </w:r>
    </w:p>
    <w:p w:rsidR="002C070F" w:rsidRDefault="002C070F" w:rsidP="002C070F">
      <w:pPr>
        <w:pStyle w:val="Heading2"/>
        <w:spacing w:before="0" w:line="276" w:lineRule="auto"/>
      </w:pPr>
      <w:bookmarkStart w:id="313" w:name="_Toc327208454"/>
      <w:bookmarkStart w:id="314" w:name="_Toc348451710"/>
      <w:r>
        <w:t xml:space="preserve">A: </w:t>
      </w:r>
      <w:r w:rsidRPr="00073AC8">
        <w:t>Electricity</w:t>
      </w:r>
      <w:bookmarkEnd w:id="313"/>
      <w:bookmarkEnd w:id="314"/>
      <w:r w:rsidRPr="00073AC8">
        <w:t xml:space="preserve"> </w:t>
      </w:r>
    </w:p>
    <w:p w:rsidR="002C070F" w:rsidRDefault="002C070F" w:rsidP="002C070F">
      <w:r w:rsidRPr="00AA4E1F">
        <w:rPr>
          <w:b/>
        </w:rPr>
        <w:t xml:space="preserve">While </w:t>
      </w:r>
      <w:r>
        <w:rPr>
          <w:b/>
        </w:rPr>
        <w:t xml:space="preserve">access to reliable </w:t>
      </w:r>
      <w:r w:rsidRPr="00AA4E1F">
        <w:rPr>
          <w:b/>
        </w:rPr>
        <w:t>power ha</w:t>
      </w:r>
      <w:r>
        <w:rPr>
          <w:b/>
        </w:rPr>
        <w:t>s</w:t>
      </w:r>
      <w:r w:rsidRPr="00AA4E1F">
        <w:rPr>
          <w:b/>
        </w:rPr>
        <w:t xml:space="preserve"> a</w:t>
      </w:r>
      <w:r>
        <w:rPr>
          <w:b/>
        </w:rPr>
        <w:t xml:space="preserve"> direct effect o</w:t>
      </w:r>
      <w:r w:rsidRPr="00AA4E1F">
        <w:rPr>
          <w:b/>
        </w:rPr>
        <w:t xml:space="preserve">n firm creation and productivity, </w:t>
      </w:r>
      <w:r w:rsidRPr="00AA4E1F">
        <w:rPr>
          <w:b/>
          <w:szCs w:val="22"/>
        </w:rPr>
        <w:t>perhaps the most significant impact from increasing access to electricity is on poverty reduction.</w:t>
      </w:r>
      <w:r w:rsidRPr="00AA4E1F">
        <w:rPr>
          <w:szCs w:val="22"/>
        </w:rPr>
        <w:t xml:space="preserve">  It does so not only </w:t>
      </w:r>
      <w:r>
        <w:rPr>
          <w:szCs w:val="22"/>
        </w:rPr>
        <w:t xml:space="preserve">through </w:t>
      </w:r>
      <w:r w:rsidRPr="00AA4E1F">
        <w:rPr>
          <w:szCs w:val="22"/>
        </w:rPr>
        <w:t>fostering productivity and production of value-added goods</w:t>
      </w:r>
      <w:r>
        <w:rPr>
          <w:szCs w:val="22"/>
        </w:rPr>
        <w:t xml:space="preserve"> and </w:t>
      </w:r>
      <w:r w:rsidRPr="00AA4E1F">
        <w:rPr>
          <w:szCs w:val="22"/>
        </w:rPr>
        <w:t xml:space="preserve">increasing productive hours beyond daylight, </w:t>
      </w:r>
      <w:r>
        <w:rPr>
          <w:szCs w:val="22"/>
        </w:rPr>
        <w:t xml:space="preserve">but can also give communities access to </w:t>
      </w:r>
      <w:r w:rsidRPr="00AA4E1F">
        <w:rPr>
          <w:szCs w:val="22"/>
        </w:rPr>
        <w:t>communications</w:t>
      </w:r>
      <w:r>
        <w:rPr>
          <w:szCs w:val="22"/>
        </w:rPr>
        <w:t xml:space="preserve">, </w:t>
      </w:r>
      <w:r w:rsidRPr="00AA4E1F">
        <w:rPr>
          <w:szCs w:val="22"/>
        </w:rPr>
        <w:t>improv</w:t>
      </w:r>
      <w:r>
        <w:rPr>
          <w:szCs w:val="22"/>
        </w:rPr>
        <w:t>e</w:t>
      </w:r>
      <w:r w:rsidRPr="00AA4E1F">
        <w:rPr>
          <w:szCs w:val="22"/>
        </w:rPr>
        <w:t xml:space="preserve"> healthcare by enabling refrigeration </w:t>
      </w:r>
      <w:r>
        <w:rPr>
          <w:szCs w:val="22"/>
        </w:rPr>
        <w:t>(</w:t>
      </w:r>
      <w:r w:rsidRPr="00AA4E1F">
        <w:rPr>
          <w:szCs w:val="22"/>
        </w:rPr>
        <w:t>of specialized equipment</w:t>
      </w:r>
      <w:r>
        <w:rPr>
          <w:szCs w:val="22"/>
        </w:rPr>
        <w:t xml:space="preserve">), and promote </w:t>
      </w:r>
      <w:hyperlink r:id="rId55" w:tgtFrame="_self" w:history="1">
        <w:r w:rsidRPr="00AA4E1F">
          <w:rPr>
            <w:szCs w:val="22"/>
          </w:rPr>
          <w:t>gender</w:t>
        </w:r>
      </w:hyperlink>
      <w:r w:rsidRPr="00AA4E1F">
        <w:rPr>
          <w:szCs w:val="22"/>
        </w:rPr>
        <w:t xml:space="preserve"> equality relieving women of </w:t>
      </w:r>
      <w:r>
        <w:rPr>
          <w:szCs w:val="22"/>
        </w:rPr>
        <w:t>the drudgery of water collection</w:t>
      </w:r>
      <w:r w:rsidRPr="00AA4E1F">
        <w:rPr>
          <w:szCs w:val="22"/>
        </w:rPr>
        <w:t>.</w:t>
      </w:r>
      <w:r>
        <w:rPr>
          <w:szCs w:val="22"/>
        </w:rPr>
        <w:t xml:space="preserve">  Providing better quality </w:t>
      </w:r>
      <w:r>
        <w:t xml:space="preserve">electricity services requires a better understanding of the existing challenges and potential for electric power </w:t>
      </w:r>
      <w:r w:rsidRPr="004B6E8C">
        <w:t>infrastructure</w:t>
      </w:r>
      <w:r>
        <w:t xml:space="preserve"> issues in Afghanistan.</w:t>
      </w:r>
    </w:p>
    <w:p w:rsidR="002C070F" w:rsidRPr="000845DD" w:rsidRDefault="002C070F" w:rsidP="002C070F">
      <w:pPr>
        <w:rPr>
          <w:szCs w:val="22"/>
        </w:rPr>
      </w:pPr>
      <w:r w:rsidRPr="005E1C9C">
        <w:rPr>
          <w:b/>
        </w:rPr>
        <w:t>I</w:t>
      </w:r>
      <w:r w:rsidRPr="005E1C9C">
        <w:rPr>
          <w:b/>
          <w:szCs w:val="22"/>
        </w:rPr>
        <w:t>n</w:t>
      </w:r>
      <w:r w:rsidRPr="00984DE0">
        <w:rPr>
          <w:b/>
          <w:szCs w:val="22"/>
        </w:rPr>
        <w:t xml:space="preserve"> Afghanistan, access to electricity is a major constraint to local businesses</w:t>
      </w:r>
      <w:r>
        <w:rPr>
          <w:b/>
          <w:szCs w:val="22"/>
        </w:rPr>
        <w:t>;</w:t>
      </w:r>
      <w:r w:rsidRPr="00984DE0">
        <w:rPr>
          <w:b/>
          <w:szCs w:val="22"/>
        </w:rPr>
        <w:t xml:space="preserve"> households</w:t>
      </w:r>
      <w:r>
        <w:rPr>
          <w:b/>
          <w:szCs w:val="22"/>
        </w:rPr>
        <w:t xml:space="preserve"> also</w:t>
      </w:r>
      <w:r w:rsidRPr="00984DE0">
        <w:rPr>
          <w:b/>
          <w:szCs w:val="22"/>
        </w:rPr>
        <w:t xml:space="preserve"> have limited access</w:t>
      </w:r>
      <w:r w:rsidRPr="00864C17">
        <w:rPr>
          <w:szCs w:val="22"/>
        </w:rPr>
        <w:t xml:space="preserve">.  In </w:t>
      </w:r>
      <w:r>
        <w:rPr>
          <w:szCs w:val="22"/>
        </w:rPr>
        <w:t>2012</w:t>
      </w:r>
      <w:r w:rsidRPr="00864C17">
        <w:rPr>
          <w:szCs w:val="22"/>
        </w:rPr>
        <w:t xml:space="preserve">, the electrification rate in Afghanistan was </w:t>
      </w:r>
      <w:r>
        <w:rPr>
          <w:szCs w:val="22"/>
        </w:rPr>
        <w:t>about 23</w:t>
      </w:r>
      <w:r w:rsidRPr="00864C17">
        <w:rPr>
          <w:szCs w:val="22"/>
        </w:rPr>
        <w:t xml:space="preserve"> percent (Figure 3.1), which is amongst th</w:t>
      </w:r>
      <w:r w:rsidRPr="00073AC8">
        <w:rPr>
          <w:szCs w:val="22"/>
        </w:rPr>
        <w:t xml:space="preserve">e lowest in the world and unfavorably </w:t>
      </w:r>
      <w:r w:rsidRPr="000845DD">
        <w:rPr>
          <w:szCs w:val="22"/>
        </w:rPr>
        <w:t>compared to other developing countries in the region (e.g., 41 percent in Bangladesh, 62 percent in Pakistan and 66 percent in India).</w:t>
      </w:r>
      <w:r>
        <w:rPr>
          <w:rStyle w:val="FootnoteReference"/>
          <w:szCs w:val="22"/>
        </w:rPr>
        <w:footnoteReference w:id="75"/>
      </w:r>
      <w:r w:rsidRPr="000845DD">
        <w:rPr>
          <w:szCs w:val="22"/>
        </w:rPr>
        <w:t xml:space="preserve"> Only one-tenth of the rural residents have access to electricity in Afghanistan.</w:t>
      </w:r>
      <w:r w:rsidRPr="000845DD">
        <w:rPr>
          <w:rStyle w:val="FootnoteReference"/>
          <w:szCs w:val="22"/>
        </w:rPr>
        <w:footnoteReference w:id="76"/>
      </w:r>
      <w:r w:rsidRPr="000845DD">
        <w:rPr>
          <w:szCs w:val="22"/>
        </w:rPr>
        <w:t xml:space="preserve"> </w:t>
      </w:r>
    </w:p>
    <w:p w:rsidR="002C070F" w:rsidRDefault="002C070F" w:rsidP="002C070F">
      <w:pPr>
        <w:tabs>
          <w:tab w:val="left" w:pos="540"/>
        </w:tabs>
        <w:spacing w:before="240"/>
        <w:rPr>
          <w:szCs w:val="22"/>
        </w:rPr>
      </w:pPr>
      <w:r w:rsidRPr="00DD535E">
        <w:rPr>
          <w:b/>
          <w:szCs w:val="22"/>
        </w:rPr>
        <w:t>On the nonresidential side, about 20 percent of firms have no access to electricity</w:t>
      </w:r>
      <w:r w:rsidRPr="00073AC8">
        <w:rPr>
          <w:szCs w:val="22"/>
        </w:rPr>
        <w:t xml:space="preserve"> (Figure </w:t>
      </w:r>
      <w:r>
        <w:rPr>
          <w:szCs w:val="22"/>
        </w:rPr>
        <w:t>3.</w:t>
      </w:r>
      <w:r w:rsidRPr="00073AC8">
        <w:rPr>
          <w:szCs w:val="22"/>
        </w:rPr>
        <w:t xml:space="preserve">2). </w:t>
      </w:r>
      <w:r>
        <w:rPr>
          <w:szCs w:val="22"/>
        </w:rPr>
        <w:t>Obtaining a new electricity connection takes on average two months.</w:t>
      </w:r>
      <w:r w:rsidRPr="00073AC8">
        <w:rPr>
          <w:szCs w:val="22"/>
        </w:rPr>
        <w:t xml:space="preserve"> </w:t>
      </w:r>
      <w:r>
        <w:rPr>
          <w:szCs w:val="22"/>
        </w:rPr>
        <w:t xml:space="preserve"> Because of the limited coverage of the grid, some businesses must wait until the system is extended to their area, or need to acquire a diesel generator.  All these add costs to the business.</w:t>
      </w:r>
    </w:p>
    <w:p w:rsidR="00AC45C9" w:rsidRDefault="00AC45C9" w:rsidP="00AC45C9">
      <w:pPr>
        <w:spacing w:after="0"/>
        <w:rPr>
          <w:szCs w:val="22"/>
        </w:rPr>
      </w:pPr>
      <w:r w:rsidRPr="00073AC8">
        <w:rPr>
          <w:b/>
          <w:szCs w:val="22"/>
        </w:rPr>
        <w:t>Electricity is identified as the most significant business constraint in Afghanistan</w:t>
      </w:r>
      <w:r w:rsidRPr="00073AC8">
        <w:rPr>
          <w:szCs w:val="22"/>
        </w:rPr>
        <w:t xml:space="preserve">, </w:t>
      </w:r>
      <w:r>
        <w:rPr>
          <w:szCs w:val="22"/>
        </w:rPr>
        <w:t>with</w:t>
      </w:r>
      <w:r w:rsidRPr="00073AC8">
        <w:rPr>
          <w:szCs w:val="22"/>
        </w:rPr>
        <w:t xml:space="preserve"> the quality of its supply also an issue. According to the 2009 Business Environment Performance (BEEP),</w:t>
      </w:r>
      <w:r>
        <w:rPr>
          <w:szCs w:val="22"/>
        </w:rPr>
        <w:t xml:space="preserve"> 20 percent of firms surveyed i</w:t>
      </w:r>
      <w:r w:rsidRPr="00073AC8">
        <w:rPr>
          <w:szCs w:val="22"/>
        </w:rPr>
        <w:t xml:space="preserve">dentified electricity as the most serious constraint for their businesses (Figure </w:t>
      </w:r>
      <w:r>
        <w:rPr>
          <w:szCs w:val="22"/>
        </w:rPr>
        <w:t>3.</w:t>
      </w:r>
      <w:r w:rsidRPr="00073AC8">
        <w:rPr>
          <w:szCs w:val="22"/>
        </w:rPr>
        <w:t>4). Power outages are frequent</w:t>
      </w:r>
      <w:r>
        <w:rPr>
          <w:szCs w:val="22"/>
        </w:rPr>
        <w:t>,</w:t>
      </w:r>
      <w:r w:rsidRPr="00073AC8">
        <w:rPr>
          <w:szCs w:val="22"/>
        </w:rPr>
        <w:t xml:space="preserve"> and certain parts of the country may receive on average </w:t>
      </w:r>
      <w:r>
        <w:rPr>
          <w:szCs w:val="22"/>
        </w:rPr>
        <w:t xml:space="preserve">just </w:t>
      </w:r>
      <w:r w:rsidRPr="00073AC8">
        <w:rPr>
          <w:szCs w:val="22"/>
        </w:rPr>
        <w:t>11 hours of electricity per day.</w:t>
      </w:r>
      <w:r w:rsidRPr="00073AC8">
        <w:rPr>
          <w:rStyle w:val="FootnoteReference"/>
          <w:szCs w:val="22"/>
        </w:rPr>
        <w:footnoteReference w:id="77"/>
      </w:r>
      <w:r>
        <w:rPr>
          <w:szCs w:val="22"/>
        </w:rPr>
        <w:t xml:space="preserve"> </w:t>
      </w:r>
      <w:r w:rsidRPr="00073AC8">
        <w:rPr>
          <w:szCs w:val="22"/>
        </w:rPr>
        <w:t xml:space="preserve">On the business side, about 60 percent of enterprises experienced power outages in 2009 (Table </w:t>
      </w:r>
      <w:r>
        <w:rPr>
          <w:szCs w:val="22"/>
        </w:rPr>
        <w:t>3.</w:t>
      </w:r>
      <w:r w:rsidRPr="00073AC8">
        <w:rPr>
          <w:szCs w:val="22"/>
        </w:rPr>
        <w:t>1)</w:t>
      </w:r>
      <w:r>
        <w:rPr>
          <w:szCs w:val="22"/>
        </w:rPr>
        <w:t xml:space="preserve"> – scarcely an im</w:t>
      </w:r>
      <w:r w:rsidRPr="00073AC8">
        <w:rPr>
          <w:szCs w:val="22"/>
        </w:rPr>
        <w:t xml:space="preserve">provement </w:t>
      </w:r>
      <w:r>
        <w:rPr>
          <w:szCs w:val="22"/>
        </w:rPr>
        <w:t>on</w:t>
      </w:r>
      <w:r w:rsidRPr="00073AC8">
        <w:rPr>
          <w:szCs w:val="22"/>
        </w:rPr>
        <w:t xml:space="preserve"> the reported 68 percent of firms reporting service </w:t>
      </w:r>
      <w:r>
        <w:rPr>
          <w:szCs w:val="22"/>
        </w:rPr>
        <w:t>breaks in 2005</w:t>
      </w:r>
      <w:r w:rsidRPr="00073AC8">
        <w:rPr>
          <w:szCs w:val="22"/>
        </w:rPr>
        <w:t>.</w:t>
      </w:r>
      <w:r>
        <w:rPr>
          <w:szCs w:val="22"/>
        </w:rPr>
        <w:t xml:space="preserve"> </w:t>
      </w:r>
      <w:r w:rsidRPr="00073AC8">
        <w:rPr>
          <w:szCs w:val="22"/>
        </w:rPr>
        <w:t xml:space="preserve">Firms </w:t>
      </w:r>
      <w:r>
        <w:rPr>
          <w:szCs w:val="22"/>
        </w:rPr>
        <w:t>say they</w:t>
      </w:r>
      <w:r w:rsidRPr="00073AC8">
        <w:rPr>
          <w:szCs w:val="22"/>
        </w:rPr>
        <w:t xml:space="preserve"> experience outages every other day</w:t>
      </w:r>
      <w:r>
        <w:rPr>
          <w:szCs w:val="22"/>
        </w:rPr>
        <w:t>, and</w:t>
      </w:r>
      <w:r w:rsidRPr="00073AC8">
        <w:rPr>
          <w:szCs w:val="22"/>
        </w:rPr>
        <w:t xml:space="preserve"> it </w:t>
      </w:r>
      <w:r>
        <w:rPr>
          <w:szCs w:val="22"/>
        </w:rPr>
        <w:t xml:space="preserve">can </w:t>
      </w:r>
      <w:r w:rsidRPr="00073AC8">
        <w:rPr>
          <w:szCs w:val="22"/>
        </w:rPr>
        <w:t xml:space="preserve">take over 10 hours before </w:t>
      </w:r>
      <w:r>
        <w:rPr>
          <w:szCs w:val="22"/>
        </w:rPr>
        <w:t>service is</w:t>
      </w:r>
      <w:r w:rsidRPr="00073AC8">
        <w:rPr>
          <w:szCs w:val="22"/>
        </w:rPr>
        <w:t xml:space="preserve"> restored (Figure 3</w:t>
      </w:r>
      <w:r>
        <w:rPr>
          <w:szCs w:val="22"/>
        </w:rPr>
        <w:t>.3</w:t>
      </w:r>
      <w:r w:rsidRPr="00073AC8">
        <w:rPr>
          <w:szCs w:val="22"/>
        </w:rPr>
        <w:t>).</w:t>
      </w:r>
      <w:r w:rsidRPr="00154242">
        <w:rPr>
          <w:szCs w:val="22"/>
        </w:rPr>
        <w:t xml:space="preserve"> </w:t>
      </w:r>
      <w:r>
        <w:rPr>
          <w:szCs w:val="22"/>
        </w:rPr>
        <w:t xml:space="preserve"> Common fluctuations in the voltage and frequency of electricity supply that can damage equipment or impair processes are a concern for consumers.  Voltages frequently decline to as little as 40%</w:t>
      </w:r>
      <w:r w:rsidRPr="00154242">
        <w:rPr>
          <w:szCs w:val="22"/>
        </w:rPr>
        <w:t xml:space="preserve"> </w:t>
      </w:r>
      <w:r>
        <w:rPr>
          <w:szCs w:val="22"/>
        </w:rPr>
        <w:t>of the nominal level and frequency excursions are often well beyond the 50 Hz ±0.5 Hz range in which much equipment is designed to operate.</w:t>
      </w:r>
    </w:p>
    <w:p w:rsidR="00AC45C9" w:rsidRDefault="00AC45C9" w:rsidP="002C070F">
      <w:pPr>
        <w:pStyle w:val="Caption"/>
        <w:tabs>
          <w:tab w:val="center" w:pos="2520"/>
          <w:tab w:val="center" w:pos="6840"/>
        </w:tabs>
        <w:spacing w:after="0"/>
        <w:rPr>
          <w:color w:val="410082" w:themeColor="text1"/>
          <w:sz w:val="22"/>
          <w:szCs w:val="22"/>
        </w:rPr>
      </w:pPr>
    </w:p>
    <w:p w:rsidR="002C070F" w:rsidRPr="001D4B57" w:rsidRDefault="002C070F" w:rsidP="002C070F">
      <w:pPr>
        <w:pStyle w:val="Caption"/>
        <w:tabs>
          <w:tab w:val="center" w:pos="2520"/>
          <w:tab w:val="center" w:pos="6840"/>
        </w:tabs>
        <w:spacing w:after="0"/>
        <w:rPr>
          <w:color w:val="410082" w:themeColor="text1"/>
          <w:sz w:val="22"/>
          <w:szCs w:val="22"/>
        </w:rPr>
      </w:pPr>
      <w:r w:rsidRPr="001D4B57">
        <w:rPr>
          <w:color w:val="410082" w:themeColor="text1"/>
          <w:sz w:val="22"/>
          <w:szCs w:val="22"/>
        </w:rPr>
        <w:t xml:space="preserve">Figure </w:t>
      </w:r>
      <w:r>
        <w:rPr>
          <w:color w:val="410082" w:themeColor="text1"/>
          <w:sz w:val="22"/>
          <w:szCs w:val="22"/>
        </w:rPr>
        <w:t>3.</w:t>
      </w:r>
      <w:r w:rsidRPr="001D4B57">
        <w:rPr>
          <w:color w:val="410082" w:themeColor="text1"/>
          <w:sz w:val="22"/>
          <w:szCs w:val="22"/>
        </w:rPr>
        <w:fldChar w:fldCharType="begin"/>
      </w:r>
      <w:r w:rsidRPr="001D4B57">
        <w:rPr>
          <w:color w:val="410082" w:themeColor="text1"/>
          <w:sz w:val="22"/>
          <w:szCs w:val="22"/>
        </w:rPr>
        <w:instrText xml:space="preserve"> SEQ Figure \* ARABIC </w:instrText>
      </w:r>
      <w:r w:rsidRPr="001D4B57">
        <w:rPr>
          <w:color w:val="410082" w:themeColor="text1"/>
          <w:sz w:val="22"/>
          <w:szCs w:val="22"/>
        </w:rPr>
        <w:fldChar w:fldCharType="separate"/>
      </w:r>
      <w:r w:rsidR="0080181F">
        <w:rPr>
          <w:noProof/>
          <w:color w:val="410082" w:themeColor="text1"/>
          <w:sz w:val="22"/>
          <w:szCs w:val="22"/>
        </w:rPr>
        <w:t>1</w:t>
      </w:r>
      <w:r w:rsidRPr="001D4B57">
        <w:rPr>
          <w:color w:val="410082" w:themeColor="text1"/>
          <w:sz w:val="22"/>
          <w:szCs w:val="22"/>
        </w:rPr>
        <w:fldChar w:fldCharType="end"/>
      </w:r>
      <w:r>
        <w:rPr>
          <w:color w:val="410082" w:themeColor="text1"/>
          <w:sz w:val="22"/>
          <w:szCs w:val="22"/>
        </w:rPr>
        <w:t>:</w:t>
      </w:r>
      <w:r w:rsidRPr="001D4B57">
        <w:rPr>
          <w:color w:val="410082" w:themeColor="text1"/>
          <w:sz w:val="22"/>
          <w:szCs w:val="22"/>
        </w:rPr>
        <w:t xml:space="preserve"> Electricity </w:t>
      </w:r>
      <w:r>
        <w:rPr>
          <w:color w:val="410082" w:themeColor="text1"/>
          <w:sz w:val="22"/>
          <w:szCs w:val="22"/>
        </w:rPr>
        <w:t>A</w:t>
      </w:r>
      <w:r w:rsidRPr="001D4B57">
        <w:rPr>
          <w:color w:val="410082" w:themeColor="text1"/>
          <w:sz w:val="22"/>
          <w:szCs w:val="22"/>
        </w:rPr>
        <w:t>ccess</w:t>
      </w:r>
      <w:r>
        <w:rPr>
          <w:color w:val="410082" w:themeColor="text1"/>
          <w:sz w:val="22"/>
          <w:szCs w:val="22"/>
        </w:rPr>
        <w:t>,</w:t>
      </w:r>
      <w:r w:rsidRPr="001D4B57">
        <w:rPr>
          <w:color w:val="410082" w:themeColor="text1"/>
          <w:sz w:val="22"/>
          <w:szCs w:val="22"/>
        </w:rPr>
        <w:t xml:space="preserve"> South Asia 20</w:t>
      </w:r>
      <w:r>
        <w:rPr>
          <w:color w:val="410082" w:themeColor="text1"/>
          <w:sz w:val="22"/>
          <w:szCs w:val="22"/>
        </w:rPr>
        <w:t>10</w:t>
      </w:r>
      <w:r w:rsidRPr="001D4B57">
        <w:rPr>
          <w:color w:val="410082" w:themeColor="text1"/>
          <w:sz w:val="22"/>
          <w:szCs w:val="22"/>
        </w:rPr>
        <w:tab/>
      </w:r>
      <w:r>
        <w:rPr>
          <w:color w:val="410082" w:themeColor="text1"/>
          <w:sz w:val="22"/>
          <w:szCs w:val="22"/>
        </w:rPr>
        <w:t xml:space="preserve">         </w:t>
      </w:r>
      <w:r w:rsidRPr="001D4B57">
        <w:rPr>
          <w:color w:val="410082" w:themeColor="text1"/>
          <w:sz w:val="22"/>
          <w:szCs w:val="22"/>
        </w:rPr>
        <w:t xml:space="preserve">Figure </w:t>
      </w:r>
      <w:r>
        <w:rPr>
          <w:color w:val="410082" w:themeColor="text1"/>
          <w:sz w:val="22"/>
          <w:szCs w:val="22"/>
        </w:rPr>
        <w:t>3.</w:t>
      </w:r>
      <w:r w:rsidRPr="001D4B57">
        <w:rPr>
          <w:color w:val="410082" w:themeColor="text1"/>
          <w:sz w:val="22"/>
          <w:szCs w:val="22"/>
        </w:rPr>
        <w:fldChar w:fldCharType="begin"/>
      </w:r>
      <w:r w:rsidRPr="001D4B57">
        <w:rPr>
          <w:color w:val="410082" w:themeColor="text1"/>
          <w:sz w:val="22"/>
          <w:szCs w:val="22"/>
        </w:rPr>
        <w:instrText xml:space="preserve"> SEQ Figure \* ARABIC </w:instrText>
      </w:r>
      <w:r w:rsidRPr="001D4B57">
        <w:rPr>
          <w:color w:val="410082" w:themeColor="text1"/>
          <w:sz w:val="22"/>
          <w:szCs w:val="22"/>
        </w:rPr>
        <w:fldChar w:fldCharType="separate"/>
      </w:r>
      <w:r w:rsidR="0080181F">
        <w:rPr>
          <w:noProof/>
          <w:color w:val="410082" w:themeColor="text1"/>
          <w:sz w:val="22"/>
          <w:szCs w:val="22"/>
        </w:rPr>
        <w:t>2</w:t>
      </w:r>
      <w:r w:rsidRPr="001D4B57">
        <w:rPr>
          <w:color w:val="410082" w:themeColor="text1"/>
          <w:sz w:val="22"/>
          <w:szCs w:val="22"/>
        </w:rPr>
        <w:fldChar w:fldCharType="end"/>
      </w:r>
      <w:r>
        <w:rPr>
          <w:color w:val="410082" w:themeColor="text1"/>
          <w:sz w:val="22"/>
          <w:szCs w:val="22"/>
        </w:rPr>
        <w:t xml:space="preserve">: </w:t>
      </w:r>
      <w:r w:rsidRPr="001D4B57">
        <w:rPr>
          <w:color w:val="410082" w:themeColor="text1"/>
          <w:sz w:val="22"/>
          <w:szCs w:val="22"/>
        </w:rPr>
        <w:t>Electricity access</w:t>
      </w:r>
      <w:r>
        <w:rPr>
          <w:color w:val="410082" w:themeColor="text1"/>
          <w:sz w:val="22"/>
          <w:szCs w:val="22"/>
        </w:rPr>
        <w:t>,</w:t>
      </w:r>
      <w:r w:rsidRPr="001D4B57">
        <w:rPr>
          <w:color w:val="410082" w:themeColor="text1"/>
          <w:sz w:val="22"/>
          <w:szCs w:val="22"/>
        </w:rPr>
        <w:t xml:space="preserve"> Afghan businesses</w:t>
      </w:r>
    </w:p>
    <w:p w:rsidR="002C070F" w:rsidRPr="00073AC8" w:rsidRDefault="002C070F" w:rsidP="002C070F">
      <w:pPr>
        <w:tabs>
          <w:tab w:val="center" w:pos="2520"/>
          <w:tab w:val="center" w:pos="6840"/>
        </w:tabs>
        <w:spacing w:after="0"/>
        <w:rPr>
          <w:szCs w:val="22"/>
        </w:rPr>
      </w:pPr>
      <w:r w:rsidRPr="00073AC8">
        <w:rPr>
          <w:szCs w:val="22"/>
        </w:rPr>
        <w:tab/>
      </w:r>
      <w:r w:rsidRPr="00E7659C">
        <w:rPr>
          <w:noProof/>
          <w:szCs w:val="22"/>
          <w:lang w:bidi="ar-SA"/>
        </w:rPr>
        <w:drawing>
          <wp:inline distT="0" distB="0" distL="0" distR="0" wp14:anchorId="40C6C8DD" wp14:editId="25149410">
            <wp:extent cx="2822713" cy="2202511"/>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2943" cy="2202690"/>
                    </a:xfrm>
                    <a:prstGeom prst="rect">
                      <a:avLst/>
                    </a:prstGeom>
                    <a:noFill/>
                  </pic:spPr>
                </pic:pic>
              </a:graphicData>
            </a:graphic>
          </wp:inline>
        </w:drawing>
      </w:r>
      <w:r w:rsidRPr="00073AC8">
        <w:rPr>
          <w:noProof/>
          <w:szCs w:val="22"/>
          <w:lang w:bidi="ar-SA"/>
        </w:rPr>
        <w:drawing>
          <wp:inline distT="0" distB="0" distL="0" distR="0" wp14:anchorId="2180FFC2" wp14:editId="6CE07610">
            <wp:extent cx="2458787" cy="2011680"/>
            <wp:effectExtent l="0" t="0" r="0" b="7620"/>
            <wp:docPr id="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461489" cy="2013890"/>
                    </a:xfrm>
                    <a:prstGeom prst="rect">
                      <a:avLst/>
                    </a:prstGeom>
                    <a:noFill/>
                    <a:ln w="9525">
                      <a:noFill/>
                      <a:miter lim="800000"/>
                      <a:headEnd/>
                      <a:tailEnd/>
                    </a:ln>
                  </pic:spPr>
                </pic:pic>
              </a:graphicData>
            </a:graphic>
          </wp:inline>
        </w:drawing>
      </w:r>
    </w:p>
    <w:p w:rsidR="002C070F" w:rsidRPr="007B16C9" w:rsidRDefault="002C070F" w:rsidP="002C070F">
      <w:pPr>
        <w:tabs>
          <w:tab w:val="center" w:pos="2520"/>
          <w:tab w:val="center" w:pos="6840"/>
        </w:tabs>
        <w:spacing w:after="0"/>
        <w:rPr>
          <w:sz w:val="20"/>
        </w:rPr>
      </w:pPr>
      <w:r w:rsidRPr="007B16C9">
        <w:rPr>
          <w:sz w:val="20"/>
        </w:rPr>
        <w:t>Source: IEA 2010</w:t>
      </w:r>
      <w:r>
        <w:rPr>
          <w:sz w:val="20"/>
        </w:rPr>
        <w:t xml:space="preserve"> and WB staff calculations</w:t>
      </w:r>
      <w:r w:rsidRPr="007B16C9">
        <w:rPr>
          <w:sz w:val="20"/>
        </w:rPr>
        <w:t xml:space="preserve">                     Source: BEEP, Afghanistan 2009. </w:t>
      </w:r>
    </w:p>
    <w:p w:rsidR="002C070F" w:rsidRPr="00073AC8" w:rsidRDefault="002C070F" w:rsidP="002C070F">
      <w:pPr>
        <w:spacing w:after="0"/>
        <w:rPr>
          <w:szCs w:val="22"/>
        </w:rPr>
      </w:pPr>
    </w:p>
    <w:p w:rsidR="002C070F" w:rsidRDefault="002C070F" w:rsidP="002C070F">
      <w:pPr>
        <w:pStyle w:val="ListParagraph"/>
        <w:tabs>
          <w:tab w:val="left" w:pos="540"/>
        </w:tabs>
        <w:spacing w:after="0"/>
        <w:ind w:left="0"/>
        <w:rPr>
          <w:szCs w:val="22"/>
        </w:rPr>
      </w:pPr>
      <w:r w:rsidRPr="00073AC8">
        <w:rPr>
          <w:b/>
          <w:szCs w:val="22"/>
        </w:rPr>
        <w:t>The unreliable and limited electricity supply is taking a toll on competitiveness by increasing costs for Afghan businesses</w:t>
      </w:r>
      <w:r w:rsidRPr="00073AC8">
        <w:rPr>
          <w:szCs w:val="22"/>
        </w:rPr>
        <w:t>. On average, electricity account</w:t>
      </w:r>
      <w:r>
        <w:rPr>
          <w:szCs w:val="22"/>
        </w:rPr>
        <w:t>s</w:t>
      </w:r>
      <w:r w:rsidRPr="00073AC8">
        <w:rPr>
          <w:szCs w:val="22"/>
        </w:rPr>
        <w:t xml:space="preserve"> for 7 percent of total operating costs for Afghan</w:t>
      </w:r>
      <w:r>
        <w:rPr>
          <w:szCs w:val="22"/>
        </w:rPr>
        <w:t xml:space="preserve"> </w:t>
      </w:r>
      <w:r w:rsidRPr="00073AC8">
        <w:rPr>
          <w:szCs w:val="22"/>
        </w:rPr>
        <w:t>firms, and even higher for firms that are more electricity intensive. About 10 percent of manufacturers and retailers are spending more than 20 percent of their costs on electricity. The BEEP 2009 estimates losses caused by power outages accounting for more than 10 percent of the</w:t>
      </w:r>
      <w:r>
        <w:rPr>
          <w:szCs w:val="22"/>
        </w:rPr>
        <w:t xml:space="preserve"> </w:t>
      </w:r>
      <w:r w:rsidRPr="00073AC8">
        <w:rPr>
          <w:szCs w:val="22"/>
        </w:rPr>
        <w:t xml:space="preserve">annual sales of firms. (Table </w:t>
      </w:r>
      <w:r>
        <w:rPr>
          <w:szCs w:val="22"/>
        </w:rPr>
        <w:t>3.</w:t>
      </w:r>
      <w:r w:rsidRPr="00073AC8">
        <w:rPr>
          <w:szCs w:val="22"/>
        </w:rPr>
        <w:t>2). In addition, about 70 percent of Afghan firms own their own private generators to back up the electricity supply, which translates into higher costs considering that small privately owned diesel generators cost about $0.</w:t>
      </w:r>
      <w:r>
        <w:rPr>
          <w:szCs w:val="22"/>
        </w:rPr>
        <w:t>5</w:t>
      </w:r>
      <w:r w:rsidRPr="00073AC8">
        <w:rPr>
          <w:szCs w:val="22"/>
        </w:rPr>
        <w:t xml:space="preserve"> per kWh (based on the light diesel fuel costs).</w:t>
      </w:r>
      <w:r w:rsidRPr="00073AC8">
        <w:rPr>
          <w:rStyle w:val="FootnoteReference"/>
          <w:szCs w:val="22"/>
        </w:rPr>
        <w:footnoteReference w:id="78"/>
      </w:r>
      <w:r w:rsidRPr="00073AC8">
        <w:rPr>
          <w:szCs w:val="22"/>
        </w:rPr>
        <w:t xml:space="preserve"> </w:t>
      </w:r>
      <w:r>
        <w:rPr>
          <w:szCs w:val="22"/>
        </w:rPr>
        <w:t>Firms must also invest in additional equipment, such as voltage stabilizers, to protect their systems against the poor quality of supply.</w:t>
      </w:r>
    </w:p>
    <w:p w:rsidR="002C070F" w:rsidRDefault="002C070F" w:rsidP="002C070F">
      <w:pPr>
        <w:pStyle w:val="ListParagraph"/>
        <w:tabs>
          <w:tab w:val="left" w:pos="540"/>
        </w:tabs>
        <w:spacing w:after="0"/>
        <w:ind w:left="0"/>
        <w:rPr>
          <w:szCs w:val="22"/>
        </w:rPr>
      </w:pPr>
    </w:p>
    <w:p w:rsidR="002C070F" w:rsidRPr="00073AC8" w:rsidRDefault="002C070F" w:rsidP="002C070F">
      <w:pPr>
        <w:pStyle w:val="ListParagraph"/>
        <w:tabs>
          <w:tab w:val="left" w:pos="540"/>
        </w:tabs>
        <w:spacing w:after="0"/>
        <w:ind w:left="0"/>
        <w:rPr>
          <w:szCs w:val="22"/>
        </w:rPr>
      </w:pPr>
    </w:p>
    <w:p w:rsidR="002C070F" w:rsidRPr="001D4B57" w:rsidRDefault="002C070F" w:rsidP="002C070F">
      <w:pPr>
        <w:pStyle w:val="Caption"/>
        <w:tabs>
          <w:tab w:val="center" w:pos="2520"/>
          <w:tab w:val="center" w:pos="6840"/>
        </w:tabs>
        <w:spacing w:after="0"/>
        <w:rPr>
          <w:color w:val="410082" w:themeColor="text1"/>
          <w:sz w:val="22"/>
          <w:szCs w:val="22"/>
        </w:rPr>
      </w:pPr>
      <w:r w:rsidRPr="001D4B57">
        <w:rPr>
          <w:color w:val="410082" w:themeColor="text1"/>
          <w:sz w:val="22"/>
          <w:szCs w:val="22"/>
        </w:rPr>
        <w:t xml:space="preserve">Figure </w:t>
      </w:r>
      <w:r>
        <w:rPr>
          <w:color w:val="410082" w:themeColor="text1"/>
          <w:sz w:val="22"/>
          <w:szCs w:val="22"/>
        </w:rPr>
        <w:t>3.</w:t>
      </w:r>
      <w:r w:rsidRPr="001D4B57">
        <w:rPr>
          <w:color w:val="410082" w:themeColor="text1"/>
          <w:sz w:val="22"/>
          <w:szCs w:val="22"/>
        </w:rPr>
        <w:fldChar w:fldCharType="begin"/>
      </w:r>
      <w:r w:rsidRPr="001D4B57">
        <w:rPr>
          <w:color w:val="410082" w:themeColor="text1"/>
          <w:sz w:val="22"/>
          <w:szCs w:val="22"/>
        </w:rPr>
        <w:instrText xml:space="preserve"> SEQ Figure \* ARABIC </w:instrText>
      </w:r>
      <w:r w:rsidRPr="001D4B57">
        <w:rPr>
          <w:color w:val="410082" w:themeColor="text1"/>
          <w:sz w:val="22"/>
          <w:szCs w:val="22"/>
        </w:rPr>
        <w:fldChar w:fldCharType="separate"/>
      </w:r>
      <w:r w:rsidR="0080181F">
        <w:rPr>
          <w:noProof/>
          <w:color w:val="410082" w:themeColor="text1"/>
          <w:sz w:val="22"/>
          <w:szCs w:val="22"/>
        </w:rPr>
        <w:t>3</w:t>
      </w:r>
      <w:r w:rsidRPr="001D4B57">
        <w:rPr>
          <w:color w:val="410082" w:themeColor="text1"/>
          <w:sz w:val="22"/>
          <w:szCs w:val="22"/>
        </w:rPr>
        <w:fldChar w:fldCharType="end"/>
      </w:r>
      <w:r>
        <w:rPr>
          <w:color w:val="410082" w:themeColor="text1"/>
          <w:sz w:val="22"/>
          <w:szCs w:val="22"/>
        </w:rPr>
        <w:t>:</w:t>
      </w:r>
      <w:r w:rsidRPr="001D4B57">
        <w:rPr>
          <w:color w:val="410082" w:themeColor="text1"/>
          <w:sz w:val="22"/>
          <w:szCs w:val="22"/>
        </w:rPr>
        <w:t xml:space="preserve"> Power </w:t>
      </w:r>
      <w:r>
        <w:rPr>
          <w:color w:val="410082" w:themeColor="text1"/>
          <w:sz w:val="22"/>
          <w:szCs w:val="22"/>
        </w:rPr>
        <w:t>O</w:t>
      </w:r>
      <w:r w:rsidRPr="001D4B57">
        <w:rPr>
          <w:color w:val="410082" w:themeColor="text1"/>
          <w:sz w:val="22"/>
          <w:szCs w:val="22"/>
        </w:rPr>
        <w:t xml:space="preserve">utages by </w:t>
      </w:r>
      <w:r>
        <w:rPr>
          <w:color w:val="410082" w:themeColor="text1"/>
          <w:sz w:val="22"/>
          <w:szCs w:val="22"/>
        </w:rPr>
        <w:t>R</w:t>
      </w:r>
      <w:r w:rsidRPr="001D4B57">
        <w:rPr>
          <w:color w:val="410082" w:themeColor="text1"/>
          <w:sz w:val="22"/>
          <w:szCs w:val="22"/>
        </w:rPr>
        <w:t>egion</w:t>
      </w:r>
      <w:r w:rsidRPr="001D4B57">
        <w:rPr>
          <w:color w:val="410082" w:themeColor="text1"/>
          <w:sz w:val="22"/>
          <w:szCs w:val="22"/>
        </w:rPr>
        <w:tab/>
        <w:t xml:space="preserve">Figure </w:t>
      </w:r>
      <w:r>
        <w:rPr>
          <w:color w:val="410082" w:themeColor="text1"/>
          <w:sz w:val="22"/>
          <w:szCs w:val="22"/>
        </w:rPr>
        <w:t>3.</w:t>
      </w:r>
      <w:r w:rsidRPr="001D4B57">
        <w:rPr>
          <w:color w:val="410082" w:themeColor="text1"/>
          <w:sz w:val="22"/>
          <w:szCs w:val="22"/>
        </w:rPr>
        <w:fldChar w:fldCharType="begin"/>
      </w:r>
      <w:r w:rsidRPr="001D4B57">
        <w:rPr>
          <w:color w:val="410082" w:themeColor="text1"/>
          <w:sz w:val="22"/>
          <w:szCs w:val="22"/>
        </w:rPr>
        <w:instrText xml:space="preserve"> SEQ Figure \* ARABIC </w:instrText>
      </w:r>
      <w:r w:rsidRPr="001D4B57">
        <w:rPr>
          <w:color w:val="410082" w:themeColor="text1"/>
          <w:sz w:val="22"/>
          <w:szCs w:val="22"/>
        </w:rPr>
        <w:fldChar w:fldCharType="separate"/>
      </w:r>
      <w:r w:rsidR="0080181F">
        <w:rPr>
          <w:noProof/>
          <w:color w:val="410082" w:themeColor="text1"/>
          <w:sz w:val="22"/>
          <w:szCs w:val="22"/>
        </w:rPr>
        <w:t>4</w:t>
      </w:r>
      <w:r w:rsidRPr="001D4B57">
        <w:rPr>
          <w:color w:val="410082" w:themeColor="text1"/>
          <w:sz w:val="22"/>
          <w:szCs w:val="22"/>
        </w:rPr>
        <w:fldChar w:fldCharType="end"/>
      </w:r>
      <w:r>
        <w:rPr>
          <w:color w:val="410082" w:themeColor="text1"/>
          <w:sz w:val="22"/>
          <w:szCs w:val="22"/>
        </w:rPr>
        <w:t>:</w:t>
      </w:r>
      <w:r w:rsidRPr="001D4B57">
        <w:rPr>
          <w:color w:val="410082" w:themeColor="text1"/>
          <w:sz w:val="22"/>
          <w:szCs w:val="22"/>
        </w:rPr>
        <w:t xml:space="preserve"> </w:t>
      </w:r>
      <w:r>
        <w:rPr>
          <w:color w:val="410082" w:themeColor="text1"/>
          <w:sz w:val="22"/>
          <w:szCs w:val="22"/>
        </w:rPr>
        <w:t>M</w:t>
      </w:r>
      <w:r w:rsidRPr="001D4B57">
        <w:rPr>
          <w:color w:val="410082" w:themeColor="text1"/>
          <w:sz w:val="22"/>
          <w:szCs w:val="22"/>
        </w:rPr>
        <w:t xml:space="preserve">ost </w:t>
      </w:r>
      <w:r>
        <w:rPr>
          <w:color w:val="410082" w:themeColor="text1"/>
          <w:sz w:val="22"/>
          <w:szCs w:val="22"/>
        </w:rPr>
        <w:t>S</w:t>
      </w:r>
      <w:r w:rsidRPr="001D4B57">
        <w:rPr>
          <w:color w:val="410082" w:themeColor="text1"/>
          <w:sz w:val="22"/>
          <w:szCs w:val="22"/>
        </w:rPr>
        <w:t xml:space="preserve">ignificant </w:t>
      </w:r>
      <w:r>
        <w:rPr>
          <w:color w:val="410082" w:themeColor="text1"/>
          <w:sz w:val="22"/>
          <w:szCs w:val="22"/>
        </w:rPr>
        <w:t>B</w:t>
      </w:r>
      <w:r w:rsidRPr="001D4B57">
        <w:rPr>
          <w:color w:val="410082" w:themeColor="text1"/>
          <w:sz w:val="22"/>
          <w:szCs w:val="22"/>
        </w:rPr>
        <w:t xml:space="preserve">usiness </w:t>
      </w:r>
      <w:r>
        <w:rPr>
          <w:color w:val="410082" w:themeColor="text1"/>
          <w:sz w:val="22"/>
          <w:szCs w:val="22"/>
        </w:rPr>
        <w:t>C</w:t>
      </w:r>
      <w:r w:rsidRPr="001D4B57">
        <w:rPr>
          <w:color w:val="410082" w:themeColor="text1"/>
          <w:sz w:val="22"/>
          <w:szCs w:val="22"/>
        </w:rPr>
        <w:t>onstraint</w:t>
      </w:r>
      <w:r>
        <w:rPr>
          <w:color w:val="410082" w:themeColor="text1"/>
          <w:sz w:val="22"/>
          <w:szCs w:val="22"/>
        </w:rPr>
        <w:t>s</w:t>
      </w:r>
    </w:p>
    <w:p w:rsidR="002C070F" w:rsidRPr="00073AC8" w:rsidRDefault="002C070F" w:rsidP="002C070F">
      <w:pPr>
        <w:tabs>
          <w:tab w:val="center" w:pos="2520"/>
          <w:tab w:val="center" w:pos="6840"/>
        </w:tabs>
        <w:spacing w:after="0"/>
        <w:rPr>
          <w:szCs w:val="22"/>
        </w:rPr>
      </w:pPr>
      <w:r w:rsidRPr="00073AC8">
        <w:rPr>
          <w:noProof/>
          <w:szCs w:val="22"/>
          <w:lang w:bidi="ar-SA"/>
        </w:rPr>
        <w:drawing>
          <wp:inline distT="0" distB="0" distL="0" distR="0" wp14:anchorId="7A1E33AD" wp14:editId="73B17B64">
            <wp:extent cx="2432028" cy="1764360"/>
            <wp:effectExtent l="19050" t="0" r="6372" b="0"/>
            <wp:docPr id="2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2432028" cy="1764360"/>
                    </a:xfrm>
                    <a:prstGeom prst="rect">
                      <a:avLst/>
                    </a:prstGeom>
                    <a:noFill/>
                    <a:ln w="9525">
                      <a:noFill/>
                      <a:miter lim="800000"/>
                      <a:headEnd/>
                      <a:tailEnd/>
                    </a:ln>
                  </pic:spPr>
                </pic:pic>
              </a:graphicData>
            </a:graphic>
          </wp:inline>
        </w:drawing>
      </w:r>
      <w:r w:rsidRPr="00073AC8">
        <w:rPr>
          <w:szCs w:val="22"/>
        </w:rPr>
        <w:tab/>
      </w:r>
      <w:r w:rsidRPr="00073AC8">
        <w:rPr>
          <w:noProof/>
          <w:szCs w:val="22"/>
          <w:lang w:bidi="ar-SA"/>
        </w:rPr>
        <w:drawing>
          <wp:inline distT="0" distB="0" distL="0" distR="0" wp14:anchorId="7AD79BCB" wp14:editId="3C80AD50">
            <wp:extent cx="2547839" cy="1848377"/>
            <wp:effectExtent l="19050" t="0" r="4861" b="0"/>
            <wp:docPr id="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2547839" cy="1848377"/>
                    </a:xfrm>
                    <a:prstGeom prst="rect">
                      <a:avLst/>
                    </a:prstGeom>
                    <a:noFill/>
                    <a:ln w="9525">
                      <a:noFill/>
                      <a:miter lim="800000"/>
                      <a:headEnd/>
                      <a:tailEnd/>
                    </a:ln>
                  </pic:spPr>
                </pic:pic>
              </a:graphicData>
            </a:graphic>
          </wp:inline>
        </w:drawing>
      </w:r>
    </w:p>
    <w:p w:rsidR="002C070F" w:rsidRPr="007B16C9" w:rsidRDefault="002C070F" w:rsidP="002C070F">
      <w:pPr>
        <w:tabs>
          <w:tab w:val="center" w:pos="2520"/>
          <w:tab w:val="center" w:pos="6840"/>
        </w:tabs>
        <w:spacing w:after="0"/>
        <w:rPr>
          <w:sz w:val="20"/>
        </w:rPr>
      </w:pPr>
      <w:r w:rsidRPr="007B16C9">
        <w:rPr>
          <w:sz w:val="20"/>
        </w:rPr>
        <w:t xml:space="preserve">Source: BEEP, Afghanistan 2009. </w:t>
      </w:r>
      <w:r w:rsidRPr="007B16C9">
        <w:rPr>
          <w:sz w:val="20"/>
        </w:rPr>
        <w:tab/>
        <w:t xml:space="preserve">Source: BEEP, Afghanistan 2009. </w:t>
      </w:r>
    </w:p>
    <w:p w:rsidR="002C070F" w:rsidRPr="00073AC8" w:rsidRDefault="002C070F" w:rsidP="002C070F">
      <w:pPr>
        <w:pStyle w:val="ListParagraph"/>
        <w:tabs>
          <w:tab w:val="left" w:pos="540"/>
        </w:tabs>
        <w:spacing w:after="0"/>
        <w:ind w:left="0"/>
        <w:rPr>
          <w:szCs w:val="22"/>
        </w:rPr>
      </w:pPr>
    </w:p>
    <w:p w:rsidR="002C070F" w:rsidRPr="001D4B57" w:rsidRDefault="002C070F" w:rsidP="002C070F">
      <w:pPr>
        <w:pStyle w:val="Caption"/>
        <w:spacing w:after="0"/>
        <w:rPr>
          <w:color w:val="410082" w:themeColor="text1"/>
          <w:sz w:val="22"/>
          <w:szCs w:val="22"/>
        </w:rPr>
      </w:pPr>
      <w:r w:rsidRPr="001D4B57">
        <w:rPr>
          <w:color w:val="410082" w:themeColor="text1"/>
          <w:sz w:val="22"/>
          <w:szCs w:val="22"/>
        </w:rPr>
        <w:t>Table 3.</w:t>
      </w:r>
      <w:r w:rsidRPr="001D4B57">
        <w:rPr>
          <w:color w:val="410082" w:themeColor="text1"/>
          <w:sz w:val="22"/>
          <w:szCs w:val="22"/>
        </w:rPr>
        <w:fldChar w:fldCharType="begin"/>
      </w:r>
      <w:r w:rsidRPr="001D4B57">
        <w:rPr>
          <w:color w:val="410082" w:themeColor="text1"/>
          <w:sz w:val="22"/>
          <w:szCs w:val="22"/>
        </w:rPr>
        <w:instrText xml:space="preserve"> SEQ Table \* ARABIC </w:instrText>
      </w:r>
      <w:r w:rsidRPr="001D4B57">
        <w:rPr>
          <w:color w:val="410082" w:themeColor="text1"/>
          <w:sz w:val="22"/>
          <w:szCs w:val="22"/>
        </w:rPr>
        <w:fldChar w:fldCharType="separate"/>
      </w:r>
      <w:r w:rsidR="0080181F">
        <w:rPr>
          <w:noProof/>
          <w:color w:val="410082" w:themeColor="text1"/>
          <w:sz w:val="22"/>
          <w:szCs w:val="22"/>
        </w:rPr>
        <w:t>1</w:t>
      </w:r>
      <w:r w:rsidRPr="001D4B57">
        <w:rPr>
          <w:color w:val="410082" w:themeColor="text1"/>
          <w:sz w:val="22"/>
          <w:szCs w:val="22"/>
        </w:rPr>
        <w:fldChar w:fldCharType="end"/>
      </w:r>
      <w:r w:rsidRPr="001D4B57">
        <w:rPr>
          <w:color w:val="410082" w:themeColor="text1"/>
          <w:sz w:val="22"/>
          <w:szCs w:val="22"/>
        </w:rPr>
        <w:t xml:space="preserve">: Power Outages for Firms in Afghanistan </w:t>
      </w:r>
    </w:p>
    <w:tbl>
      <w:tblPr>
        <w:tblStyle w:val="LightShading-Accent11"/>
        <w:tblW w:w="0" w:type="auto"/>
        <w:jc w:val="center"/>
        <w:tblLook w:val="04A0" w:firstRow="1" w:lastRow="0" w:firstColumn="1" w:lastColumn="0" w:noHBand="0" w:noVBand="1"/>
      </w:tblPr>
      <w:tblGrid>
        <w:gridCol w:w="4004"/>
        <w:gridCol w:w="622"/>
        <w:gridCol w:w="622"/>
      </w:tblGrid>
      <w:tr w:rsidR="002C070F" w:rsidRPr="00073AC8" w:rsidTr="00C74CF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C070F" w:rsidRPr="00073AC8" w:rsidRDefault="002C070F" w:rsidP="00C74CFF">
            <w:pPr>
              <w:rPr>
                <w:rFonts w:eastAsia="Times New Roman"/>
                <w:color w:val="000000"/>
                <w:szCs w:val="22"/>
              </w:rPr>
            </w:pPr>
          </w:p>
        </w:tc>
        <w:tc>
          <w:tcPr>
            <w:tcW w:w="0" w:type="auto"/>
            <w:noWrap/>
            <w:hideMark/>
          </w:tcPr>
          <w:p w:rsidR="002C070F" w:rsidRPr="00073AC8" w:rsidRDefault="002C070F" w:rsidP="00C74CFF">
            <w:pPr>
              <w:cnfStyle w:val="100000000000" w:firstRow="1" w:lastRow="0" w:firstColumn="0" w:lastColumn="0" w:oddVBand="0" w:evenVBand="0" w:oddHBand="0" w:evenHBand="0" w:firstRowFirstColumn="0" w:firstRowLastColumn="0" w:lastRowFirstColumn="0" w:lastRowLastColumn="0"/>
              <w:rPr>
                <w:rFonts w:eastAsia="Times New Roman"/>
                <w:color w:val="000000"/>
                <w:szCs w:val="22"/>
              </w:rPr>
            </w:pPr>
            <w:r w:rsidRPr="00073AC8">
              <w:rPr>
                <w:rFonts w:eastAsia="Times New Roman"/>
                <w:color w:val="000000"/>
                <w:szCs w:val="22"/>
              </w:rPr>
              <w:t>2005</w:t>
            </w:r>
          </w:p>
        </w:tc>
        <w:tc>
          <w:tcPr>
            <w:tcW w:w="0" w:type="auto"/>
            <w:noWrap/>
            <w:hideMark/>
          </w:tcPr>
          <w:p w:rsidR="002C070F" w:rsidRPr="00073AC8" w:rsidRDefault="002C070F" w:rsidP="00C74CFF">
            <w:pPr>
              <w:cnfStyle w:val="100000000000" w:firstRow="1" w:lastRow="0" w:firstColumn="0" w:lastColumn="0" w:oddVBand="0" w:evenVBand="0" w:oddHBand="0" w:evenHBand="0" w:firstRowFirstColumn="0" w:firstRowLastColumn="0" w:lastRowFirstColumn="0" w:lastRowLastColumn="0"/>
              <w:rPr>
                <w:rFonts w:eastAsia="Times New Roman"/>
                <w:color w:val="000000"/>
                <w:szCs w:val="22"/>
              </w:rPr>
            </w:pPr>
            <w:r w:rsidRPr="00073AC8">
              <w:rPr>
                <w:rFonts w:eastAsia="Times New Roman"/>
                <w:color w:val="000000"/>
                <w:szCs w:val="22"/>
              </w:rPr>
              <w:t>2009</w:t>
            </w:r>
          </w:p>
        </w:tc>
      </w:tr>
      <w:tr w:rsidR="002C070F" w:rsidRPr="00073AC8" w:rsidTr="00C74C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C070F" w:rsidRPr="00073AC8" w:rsidRDefault="002C070F" w:rsidP="00C74CFF">
            <w:pPr>
              <w:rPr>
                <w:rFonts w:eastAsia="Times New Roman"/>
                <w:color w:val="000000"/>
                <w:szCs w:val="22"/>
              </w:rPr>
            </w:pPr>
            <w:r w:rsidRPr="00073AC8">
              <w:rPr>
                <w:rFonts w:eastAsia="Times New Roman"/>
                <w:color w:val="000000"/>
                <w:szCs w:val="22"/>
              </w:rPr>
              <w:t>Experiencing power outages (% of total firms)</w:t>
            </w:r>
          </w:p>
        </w:tc>
        <w:tc>
          <w:tcPr>
            <w:tcW w:w="0" w:type="auto"/>
            <w:noWrap/>
            <w:hideMark/>
          </w:tcPr>
          <w:p w:rsidR="002C070F" w:rsidRPr="00073AC8" w:rsidRDefault="002C070F" w:rsidP="00C74CFF">
            <w:pPr>
              <w:cnfStyle w:val="000000100000" w:firstRow="0" w:lastRow="0" w:firstColumn="0" w:lastColumn="0" w:oddVBand="0" w:evenVBand="0" w:oddHBand="1" w:evenHBand="0" w:firstRowFirstColumn="0" w:firstRowLastColumn="0" w:lastRowFirstColumn="0" w:lastRowLastColumn="0"/>
              <w:rPr>
                <w:rFonts w:eastAsia="Times New Roman"/>
                <w:color w:val="000000"/>
                <w:szCs w:val="22"/>
              </w:rPr>
            </w:pPr>
            <w:r w:rsidRPr="00073AC8">
              <w:rPr>
                <w:rFonts w:eastAsia="Times New Roman"/>
                <w:color w:val="000000"/>
                <w:szCs w:val="22"/>
              </w:rPr>
              <w:t>68.1</w:t>
            </w:r>
          </w:p>
        </w:tc>
        <w:tc>
          <w:tcPr>
            <w:tcW w:w="0" w:type="auto"/>
            <w:noWrap/>
            <w:hideMark/>
          </w:tcPr>
          <w:p w:rsidR="002C070F" w:rsidRPr="00073AC8" w:rsidRDefault="002C070F" w:rsidP="00C74CFF">
            <w:pPr>
              <w:cnfStyle w:val="000000100000" w:firstRow="0" w:lastRow="0" w:firstColumn="0" w:lastColumn="0" w:oddVBand="0" w:evenVBand="0" w:oddHBand="1" w:evenHBand="0" w:firstRowFirstColumn="0" w:firstRowLastColumn="0" w:lastRowFirstColumn="0" w:lastRowLastColumn="0"/>
              <w:rPr>
                <w:rFonts w:eastAsia="Times New Roman"/>
                <w:color w:val="000000"/>
                <w:szCs w:val="22"/>
              </w:rPr>
            </w:pPr>
            <w:r w:rsidRPr="00073AC8">
              <w:rPr>
                <w:rFonts w:eastAsia="Times New Roman"/>
                <w:color w:val="000000"/>
                <w:szCs w:val="22"/>
              </w:rPr>
              <w:t>59.2</w:t>
            </w:r>
          </w:p>
        </w:tc>
      </w:tr>
      <w:tr w:rsidR="002C070F" w:rsidRPr="00073AC8" w:rsidTr="00C74CFF">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C070F" w:rsidRPr="00073AC8" w:rsidRDefault="002C070F" w:rsidP="00C74CFF">
            <w:pPr>
              <w:rPr>
                <w:rFonts w:eastAsia="Times New Roman"/>
                <w:color w:val="000000"/>
                <w:szCs w:val="22"/>
              </w:rPr>
            </w:pPr>
            <w:r w:rsidRPr="00073AC8">
              <w:rPr>
                <w:rFonts w:eastAsia="Times New Roman"/>
                <w:color w:val="000000"/>
                <w:szCs w:val="22"/>
              </w:rPr>
              <w:t>Number of power outages in a typical month</w:t>
            </w:r>
          </w:p>
        </w:tc>
        <w:tc>
          <w:tcPr>
            <w:tcW w:w="0" w:type="auto"/>
            <w:noWrap/>
            <w:hideMark/>
          </w:tcPr>
          <w:p w:rsidR="002C070F" w:rsidRPr="00073AC8" w:rsidRDefault="002C070F" w:rsidP="00C74CFF">
            <w:pPr>
              <w:cnfStyle w:val="000000000000" w:firstRow="0" w:lastRow="0" w:firstColumn="0" w:lastColumn="0" w:oddVBand="0" w:evenVBand="0" w:oddHBand="0" w:evenHBand="0" w:firstRowFirstColumn="0" w:firstRowLastColumn="0" w:lastRowFirstColumn="0" w:lastRowLastColumn="0"/>
              <w:rPr>
                <w:rFonts w:eastAsia="Times New Roman"/>
                <w:color w:val="000000"/>
                <w:szCs w:val="22"/>
              </w:rPr>
            </w:pPr>
            <w:r w:rsidRPr="00073AC8">
              <w:rPr>
                <w:rFonts w:eastAsia="Times New Roman"/>
                <w:color w:val="000000"/>
                <w:szCs w:val="22"/>
              </w:rPr>
              <w:t>…</w:t>
            </w:r>
          </w:p>
        </w:tc>
        <w:tc>
          <w:tcPr>
            <w:tcW w:w="0" w:type="auto"/>
            <w:noWrap/>
            <w:hideMark/>
          </w:tcPr>
          <w:p w:rsidR="002C070F" w:rsidRPr="00073AC8" w:rsidRDefault="002C070F" w:rsidP="00C74CFF">
            <w:pPr>
              <w:cnfStyle w:val="000000000000" w:firstRow="0" w:lastRow="0" w:firstColumn="0" w:lastColumn="0" w:oddVBand="0" w:evenVBand="0" w:oddHBand="0" w:evenHBand="0" w:firstRowFirstColumn="0" w:firstRowLastColumn="0" w:lastRowFirstColumn="0" w:lastRowLastColumn="0"/>
              <w:rPr>
                <w:rFonts w:eastAsia="Times New Roman"/>
                <w:color w:val="000000"/>
                <w:szCs w:val="22"/>
              </w:rPr>
            </w:pPr>
            <w:r w:rsidRPr="00073AC8">
              <w:rPr>
                <w:rFonts w:eastAsia="Times New Roman"/>
                <w:color w:val="000000"/>
                <w:szCs w:val="22"/>
              </w:rPr>
              <w:t>16.6</w:t>
            </w:r>
          </w:p>
        </w:tc>
      </w:tr>
      <w:tr w:rsidR="002C070F" w:rsidRPr="00073AC8" w:rsidTr="00C74C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C070F" w:rsidRPr="00073AC8" w:rsidRDefault="002C070F" w:rsidP="00C74CFF">
            <w:pPr>
              <w:rPr>
                <w:rFonts w:eastAsia="Times New Roman"/>
                <w:color w:val="000000"/>
                <w:szCs w:val="22"/>
              </w:rPr>
            </w:pPr>
            <w:r w:rsidRPr="00073AC8">
              <w:rPr>
                <w:rFonts w:eastAsia="Times New Roman"/>
                <w:color w:val="000000"/>
                <w:szCs w:val="22"/>
              </w:rPr>
              <w:t>Time required to restore electricity (hours)</w:t>
            </w:r>
          </w:p>
        </w:tc>
        <w:tc>
          <w:tcPr>
            <w:tcW w:w="0" w:type="auto"/>
            <w:noWrap/>
            <w:hideMark/>
          </w:tcPr>
          <w:p w:rsidR="002C070F" w:rsidRPr="00073AC8" w:rsidRDefault="002C070F" w:rsidP="00C74CFF">
            <w:pPr>
              <w:cnfStyle w:val="000000100000" w:firstRow="0" w:lastRow="0" w:firstColumn="0" w:lastColumn="0" w:oddVBand="0" w:evenVBand="0" w:oddHBand="1" w:evenHBand="0" w:firstRowFirstColumn="0" w:firstRowLastColumn="0" w:lastRowFirstColumn="0" w:lastRowLastColumn="0"/>
              <w:rPr>
                <w:rFonts w:eastAsia="Times New Roman"/>
                <w:color w:val="000000"/>
                <w:szCs w:val="22"/>
              </w:rPr>
            </w:pPr>
            <w:r w:rsidRPr="00073AC8">
              <w:rPr>
                <w:rFonts w:eastAsia="Times New Roman"/>
                <w:color w:val="000000"/>
                <w:szCs w:val="22"/>
              </w:rPr>
              <w:t>7.3</w:t>
            </w:r>
          </w:p>
        </w:tc>
        <w:tc>
          <w:tcPr>
            <w:tcW w:w="0" w:type="auto"/>
            <w:noWrap/>
            <w:hideMark/>
          </w:tcPr>
          <w:p w:rsidR="002C070F" w:rsidRPr="00073AC8" w:rsidRDefault="002C070F" w:rsidP="00C74CFF">
            <w:pPr>
              <w:cnfStyle w:val="000000100000" w:firstRow="0" w:lastRow="0" w:firstColumn="0" w:lastColumn="0" w:oddVBand="0" w:evenVBand="0" w:oddHBand="1" w:evenHBand="0" w:firstRowFirstColumn="0" w:firstRowLastColumn="0" w:lastRowFirstColumn="0" w:lastRowLastColumn="0"/>
              <w:rPr>
                <w:rFonts w:eastAsia="Times New Roman"/>
                <w:color w:val="000000"/>
                <w:szCs w:val="22"/>
              </w:rPr>
            </w:pPr>
            <w:r w:rsidRPr="00073AC8">
              <w:rPr>
                <w:rFonts w:eastAsia="Times New Roman"/>
                <w:color w:val="000000"/>
                <w:szCs w:val="22"/>
              </w:rPr>
              <w:t>11.2</w:t>
            </w:r>
          </w:p>
        </w:tc>
      </w:tr>
    </w:tbl>
    <w:p w:rsidR="002C070F" w:rsidRPr="00791E47" w:rsidRDefault="002C070F" w:rsidP="002C070F">
      <w:pPr>
        <w:spacing w:after="0"/>
        <w:rPr>
          <w:sz w:val="20"/>
        </w:rPr>
      </w:pPr>
      <w:r>
        <w:rPr>
          <w:sz w:val="20"/>
        </w:rPr>
        <w:tab/>
      </w:r>
      <w:r>
        <w:rPr>
          <w:sz w:val="20"/>
        </w:rPr>
        <w:tab/>
      </w:r>
      <w:r>
        <w:rPr>
          <w:sz w:val="20"/>
        </w:rPr>
        <w:tab/>
      </w:r>
      <w:r w:rsidRPr="00791E47">
        <w:rPr>
          <w:sz w:val="20"/>
        </w:rPr>
        <w:t>Source: BEEP</w:t>
      </w:r>
      <w:r>
        <w:rPr>
          <w:sz w:val="20"/>
        </w:rPr>
        <w:t>,</w:t>
      </w:r>
      <w:r w:rsidRPr="00791E47">
        <w:rPr>
          <w:sz w:val="20"/>
        </w:rPr>
        <w:t xml:space="preserve"> Afghanistan 2009.</w:t>
      </w:r>
    </w:p>
    <w:p w:rsidR="002C070F" w:rsidRPr="00073AC8" w:rsidRDefault="002C070F" w:rsidP="002C070F">
      <w:pPr>
        <w:pStyle w:val="ListParagraph"/>
        <w:tabs>
          <w:tab w:val="left" w:pos="540"/>
        </w:tabs>
        <w:spacing w:after="0"/>
        <w:ind w:left="0"/>
        <w:rPr>
          <w:szCs w:val="22"/>
        </w:rPr>
      </w:pPr>
    </w:p>
    <w:p w:rsidR="002C070F" w:rsidRPr="001D4B57" w:rsidRDefault="002C070F" w:rsidP="002C070F">
      <w:pPr>
        <w:pStyle w:val="Caption"/>
        <w:spacing w:after="0"/>
        <w:rPr>
          <w:color w:val="410082" w:themeColor="text1"/>
          <w:sz w:val="22"/>
          <w:szCs w:val="22"/>
        </w:rPr>
      </w:pPr>
      <w:r w:rsidRPr="001D4B57">
        <w:rPr>
          <w:color w:val="410082" w:themeColor="text1"/>
          <w:sz w:val="22"/>
          <w:szCs w:val="22"/>
        </w:rPr>
        <w:t>Table 3.</w:t>
      </w:r>
      <w:r w:rsidRPr="001D4B57">
        <w:rPr>
          <w:color w:val="410082" w:themeColor="text1"/>
          <w:sz w:val="22"/>
          <w:szCs w:val="22"/>
        </w:rPr>
        <w:fldChar w:fldCharType="begin"/>
      </w:r>
      <w:r w:rsidRPr="001D4B57">
        <w:rPr>
          <w:color w:val="410082" w:themeColor="text1"/>
          <w:sz w:val="22"/>
          <w:szCs w:val="22"/>
        </w:rPr>
        <w:instrText xml:space="preserve"> SEQ Table \* ARABIC </w:instrText>
      </w:r>
      <w:r w:rsidRPr="001D4B57">
        <w:rPr>
          <w:color w:val="410082" w:themeColor="text1"/>
          <w:sz w:val="22"/>
          <w:szCs w:val="22"/>
        </w:rPr>
        <w:fldChar w:fldCharType="separate"/>
      </w:r>
      <w:r w:rsidR="0080181F">
        <w:rPr>
          <w:noProof/>
          <w:color w:val="410082" w:themeColor="text1"/>
          <w:sz w:val="22"/>
          <w:szCs w:val="22"/>
        </w:rPr>
        <w:t>2</w:t>
      </w:r>
      <w:r w:rsidRPr="001D4B57">
        <w:rPr>
          <w:color w:val="410082" w:themeColor="text1"/>
          <w:sz w:val="22"/>
          <w:szCs w:val="22"/>
        </w:rPr>
        <w:fldChar w:fldCharType="end"/>
      </w:r>
      <w:r w:rsidRPr="001D4B57">
        <w:rPr>
          <w:color w:val="410082" w:themeColor="text1"/>
          <w:sz w:val="22"/>
          <w:szCs w:val="22"/>
        </w:rPr>
        <w:t>: Losses from Power Outages</w:t>
      </w:r>
      <w:r>
        <w:rPr>
          <w:color w:val="410082" w:themeColor="text1"/>
          <w:sz w:val="22"/>
          <w:szCs w:val="22"/>
        </w:rPr>
        <w:t xml:space="preserve"> vs.</w:t>
      </w:r>
      <w:r w:rsidRPr="001D4B57">
        <w:rPr>
          <w:color w:val="410082" w:themeColor="text1"/>
          <w:sz w:val="22"/>
          <w:szCs w:val="22"/>
        </w:rPr>
        <w:t xml:space="preserve"> Private Power Generation in Afghanistan </w:t>
      </w:r>
    </w:p>
    <w:tbl>
      <w:tblPr>
        <w:tblStyle w:val="LightShading-Accent11"/>
        <w:tblW w:w="0" w:type="auto"/>
        <w:jc w:val="center"/>
        <w:tblLook w:val="04A0" w:firstRow="1" w:lastRow="0" w:firstColumn="1" w:lastColumn="0" w:noHBand="0" w:noVBand="1"/>
      </w:tblPr>
      <w:tblGrid>
        <w:gridCol w:w="4809"/>
        <w:gridCol w:w="622"/>
        <w:gridCol w:w="622"/>
      </w:tblGrid>
      <w:tr w:rsidR="002C070F" w:rsidRPr="00073AC8" w:rsidTr="00C74CF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C070F" w:rsidRPr="00073AC8" w:rsidRDefault="002C070F" w:rsidP="00C74CFF">
            <w:pPr>
              <w:rPr>
                <w:rFonts w:eastAsia="Times New Roman"/>
                <w:color w:val="000000"/>
                <w:szCs w:val="22"/>
              </w:rPr>
            </w:pPr>
          </w:p>
        </w:tc>
        <w:tc>
          <w:tcPr>
            <w:tcW w:w="0" w:type="auto"/>
            <w:noWrap/>
            <w:hideMark/>
          </w:tcPr>
          <w:p w:rsidR="002C070F" w:rsidRPr="00073AC8" w:rsidRDefault="002C070F" w:rsidP="00C74CFF">
            <w:pPr>
              <w:cnfStyle w:val="100000000000" w:firstRow="1" w:lastRow="0" w:firstColumn="0" w:lastColumn="0" w:oddVBand="0" w:evenVBand="0" w:oddHBand="0" w:evenHBand="0" w:firstRowFirstColumn="0" w:firstRowLastColumn="0" w:lastRowFirstColumn="0" w:lastRowLastColumn="0"/>
              <w:rPr>
                <w:rFonts w:eastAsia="Times New Roman"/>
                <w:color w:val="000000"/>
                <w:szCs w:val="22"/>
              </w:rPr>
            </w:pPr>
            <w:r w:rsidRPr="00073AC8">
              <w:rPr>
                <w:rFonts w:eastAsia="Times New Roman"/>
                <w:color w:val="000000"/>
                <w:szCs w:val="22"/>
              </w:rPr>
              <w:t>2005</w:t>
            </w:r>
          </w:p>
        </w:tc>
        <w:tc>
          <w:tcPr>
            <w:tcW w:w="0" w:type="auto"/>
            <w:noWrap/>
            <w:hideMark/>
          </w:tcPr>
          <w:p w:rsidR="002C070F" w:rsidRPr="00073AC8" w:rsidRDefault="002C070F" w:rsidP="00C74CFF">
            <w:pPr>
              <w:cnfStyle w:val="100000000000" w:firstRow="1" w:lastRow="0" w:firstColumn="0" w:lastColumn="0" w:oddVBand="0" w:evenVBand="0" w:oddHBand="0" w:evenHBand="0" w:firstRowFirstColumn="0" w:firstRowLastColumn="0" w:lastRowFirstColumn="0" w:lastRowLastColumn="0"/>
              <w:rPr>
                <w:rFonts w:eastAsia="Times New Roman"/>
                <w:color w:val="000000"/>
                <w:szCs w:val="22"/>
              </w:rPr>
            </w:pPr>
            <w:r w:rsidRPr="00073AC8">
              <w:rPr>
                <w:rFonts w:eastAsia="Times New Roman"/>
                <w:color w:val="000000"/>
                <w:szCs w:val="22"/>
              </w:rPr>
              <w:t>2009</w:t>
            </w:r>
          </w:p>
        </w:tc>
      </w:tr>
      <w:tr w:rsidR="002C070F" w:rsidRPr="00073AC8" w:rsidTr="00C74C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C070F" w:rsidRPr="00073AC8" w:rsidRDefault="002C070F" w:rsidP="00C74CFF">
            <w:pPr>
              <w:rPr>
                <w:rFonts w:eastAsia="Times New Roman"/>
                <w:color w:val="000000"/>
                <w:szCs w:val="22"/>
              </w:rPr>
            </w:pPr>
            <w:r w:rsidRPr="00073AC8">
              <w:rPr>
                <w:rFonts w:eastAsia="Times New Roman"/>
                <w:color w:val="000000"/>
                <w:szCs w:val="22"/>
              </w:rPr>
              <w:t>Losses caused by power outages (% of annual sales)</w:t>
            </w:r>
          </w:p>
        </w:tc>
        <w:tc>
          <w:tcPr>
            <w:tcW w:w="0" w:type="auto"/>
            <w:noWrap/>
            <w:hideMark/>
          </w:tcPr>
          <w:p w:rsidR="002C070F" w:rsidRPr="00073AC8" w:rsidRDefault="002C070F" w:rsidP="00C74CFF">
            <w:pPr>
              <w:cnfStyle w:val="000000100000" w:firstRow="0" w:lastRow="0" w:firstColumn="0" w:lastColumn="0" w:oddVBand="0" w:evenVBand="0" w:oddHBand="1" w:evenHBand="0" w:firstRowFirstColumn="0" w:firstRowLastColumn="0" w:lastRowFirstColumn="0" w:lastRowLastColumn="0"/>
              <w:rPr>
                <w:rFonts w:eastAsia="Times New Roman"/>
                <w:color w:val="000000"/>
                <w:szCs w:val="22"/>
              </w:rPr>
            </w:pPr>
            <w:r w:rsidRPr="00073AC8">
              <w:rPr>
                <w:rFonts w:eastAsia="Times New Roman"/>
                <w:color w:val="000000"/>
                <w:szCs w:val="22"/>
              </w:rPr>
              <w:t>18.3</w:t>
            </w:r>
          </w:p>
        </w:tc>
        <w:tc>
          <w:tcPr>
            <w:tcW w:w="0" w:type="auto"/>
            <w:noWrap/>
            <w:hideMark/>
          </w:tcPr>
          <w:p w:rsidR="002C070F" w:rsidRPr="00073AC8" w:rsidRDefault="002C070F" w:rsidP="00C74CFF">
            <w:pPr>
              <w:cnfStyle w:val="000000100000" w:firstRow="0" w:lastRow="0" w:firstColumn="0" w:lastColumn="0" w:oddVBand="0" w:evenVBand="0" w:oddHBand="1" w:evenHBand="0" w:firstRowFirstColumn="0" w:firstRowLastColumn="0" w:lastRowFirstColumn="0" w:lastRowLastColumn="0"/>
              <w:rPr>
                <w:rFonts w:eastAsia="Times New Roman"/>
                <w:color w:val="000000"/>
                <w:szCs w:val="22"/>
              </w:rPr>
            </w:pPr>
            <w:r w:rsidRPr="00073AC8">
              <w:rPr>
                <w:rFonts w:eastAsia="Times New Roman"/>
                <w:color w:val="000000"/>
                <w:szCs w:val="22"/>
              </w:rPr>
              <w:t>11.7</w:t>
            </w:r>
          </w:p>
        </w:tc>
      </w:tr>
      <w:tr w:rsidR="002C070F" w:rsidRPr="00073AC8" w:rsidTr="00C74CFF">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C070F" w:rsidRPr="00073AC8" w:rsidRDefault="002C070F" w:rsidP="00C74CFF">
            <w:pPr>
              <w:rPr>
                <w:rFonts w:eastAsia="Times New Roman"/>
                <w:color w:val="000000"/>
                <w:szCs w:val="22"/>
              </w:rPr>
            </w:pPr>
            <w:r w:rsidRPr="00073AC8">
              <w:rPr>
                <w:rFonts w:eastAsia="Times New Roman"/>
                <w:color w:val="000000"/>
                <w:szCs w:val="22"/>
              </w:rPr>
              <w:t>Share of firms that own or share a power generator (%)</w:t>
            </w:r>
          </w:p>
        </w:tc>
        <w:tc>
          <w:tcPr>
            <w:tcW w:w="0" w:type="auto"/>
            <w:noWrap/>
            <w:hideMark/>
          </w:tcPr>
          <w:p w:rsidR="002C070F" w:rsidRPr="00073AC8" w:rsidRDefault="002C070F" w:rsidP="00C74CFF">
            <w:pPr>
              <w:cnfStyle w:val="000000000000" w:firstRow="0" w:lastRow="0" w:firstColumn="0" w:lastColumn="0" w:oddVBand="0" w:evenVBand="0" w:oddHBand="0" w:evenHBand="0" w:firstRowFirstColumn="0" w:firstRowLastColumn="0" w:lastRowFirstColumn="0" w:lastRowLastColumn="0"/>
              <w:rPr>
                <w:rFonts w:eastAsia="Times New Roman"/>
                <w:color w:val="000000"/>
                <w:szCs w:val="22"/>
              </w:rPr>
            </w:pPr>
            <w:r w:rsidRPr="00073AC8">
              <w:rPr>
                <w:rFonts w:eastAsia="Times New Roman"/>
                <w:color w:val="000000"/>
                <w:szCs w:val="22"/>
              </w:rPr>
              <w:t>76.2</w:t>
            </w:r>
          </w:p>
        </w:tc>
        <w:tc>
          <w:tcPr>
            <w:tcW w:w="0" w:type="auto"/>
            <w:noWrap/>
            <w:hideMark/>
          </w:tcPr>
          <w:p w:rsidR="002C070F" w:rsidRPr="00073AC8" w:rsidRDefault="002C070F" w:rsidP="00C74CFF">
            <w:pPr>
              <w:cnfStyle w:val="000000000000" w:firstRow="0" w:lastRow="0" w:firstColumn="0" w:lastColumn="0" w:oddVBand="0" w:evenVBand="0" w:oddHBand="0" w:evenHBand="0" w:firstRowFirstColumn="0" w:firstRowLastColumn="0" w:lastRowFirstColumn="0" w:lastRowLastColumn="0"/>
              <w:rPr>
                <w:rFonts w:eastAsia="Times New Roman"/>
                <w:color w:val="000000"/>
                <w:szCs w:val="22"/>
              </w:rPr>
            </w:pPr>
            <w:r w:rsidRPr="00073AC8">
              <w:rPr>
                <w:rFonts w:eastAsia="Times New Roman"/>
                <w:color w:val="000000"/>
                <w:szCs w:val="22"/>
              </w:rPr>
              <w:t>70.4</w:t>
            </w:r>
          </w:p>
        </w:tc>
      </w:tr>
    </w:tbl>
    <w:p w:rsidR="002C070F" w:rsidRPr="00791E47" w:rsidRDefault="002C070F" w:rsidP="002C070F">
      <w:pPr>
        <w:spacing w:after="0"/>
        <w:rPr>
          <w:sz w:val="20"/>
        </w:rPr>
      </w:pPr>
      <w:r>
        <w:rPr>
          <w:szCs w:val="22"/>
        </w:rPr>
        <w:tab/>
      </w:r>
      <w:r>
        <w:rPr>
          <w:szCs w:val="22"/>
        </w:rPr>
        <w:tab/>
      </w:r>
      <w:r>
        <w:rPr>
          <w:szCs w:val="22"/>
        </w:rPr>
        <w:tab/>
      </w:r>
      <w:r w:rsidRPr="00791E47">
        <w:rPr>
          <w:sz w:val="20"/>
        </w:rPr>
        <w:t>Source: BEEP</w:t>
      </w:r>
      <w:r>
        <w:rPr>
          <w:sz w:val="20"/>
        </w:rPr>
        <w:t>,</w:t>
      </w:r>
      <w:r w:rsidRPr="00791E47">
        <w:rPr>
          <w:sz w:val="20"/>
        </w:rPr>
        <w:t xml:space="preserve"> Afghanistan 2009.</w:t>
      </w:r>
    </w:p>
    <w:p w:rsidR="002C070F" w:rsidRPr="00073AC8" w:rsidRDefault="002C070F" w:rsidP="002C070F">
      <w:pPr>
        <w:pStyle w:val="ListParagraph"/>
        <w:tabs>
          <w:tab w:val="left" w:pos="540"/>
        </w:tabs>
        <w:spacing w:after="0"/>
        <w:ind w:left="0"/>
        <w:rPr>
          <w:szCs w:val="22"/>
        </w:rPr>
      </w:pPr>
    </w:p>
    <w:p w:rsidR="002C070F" w:rsidRDefault="002C070F" w:rsidP="002C070F">
      <w:pPr>
        <w:tabs>
          <w:tab w:val="left" w:pos="540"/>
        </w:tabs>
        <w:spacing w:after="0"/>
        <w:rPr>
          <w:szCs w:val="22"/>
        </w:rPr>
      </w:pPr>
      <w:r w:rsidRPr="00073AC8">
        <w:rPr>
          <w:b/>
          <w:szCs w:val="22"/>
        </w:rPr>
        <w:t>Afghanistan’s domestic generation capacity is below the country’s demand</w:t>
      </w:r>
      <w:r w:rsidRPr="00073AC8">
        <w:rPr>
          <w:szCs w:val="22"/>
        </w:rPr>
        <w:t>.</w:t>
      </w:r>
      <w:r>
        <w:rPr>
          <w:szCs w:val="22"/>
        </w:rPr>
        <w:t xml:space="preserve"> </w:t>
      </w:r>
      <w:r w:rsidRPr="00073AC8">
        <w:rPr>
          <w:szCs w:val="22"/>
        </w:rPr>
        <w:t xml:space="preserve">The </w:t>
      </w:r>
      <w:r>
        <w:rPr>
          <w:szCs w:val="22"/>
        </w:rPr>
        <w:t>government</w:t>
      </w:r>
      <w:r w:rsidRPr="00073AC8">
        <w:rPr>
          <w:szCs w:val="22"/>
        </w:rPr>
        <w:t xml:space="preserve"> has made efforts to reconstruct and expand the nation’s infrastructure</w:t>
      </w:r>
      <w:r>
        <w:rPr>
          <w:szCs w:val="22"/>
        </w:rPr>
        <w:t xml:space="preserve"> to meet rapidly-growing demand, brought about by both economic growth and the program to increase the number of connections.  Although demand forecasts are difficult to come by, the current Power Master Planning exercise being undertaken by MEW and financed by ADB suggests that demand will rise from the 4.4 TWh forecast for 2012 to 7-9 TWh by 2020 and as much as 12-19TWh by 2032</w:t>
      </w:r>
      <w:r w:rsidRPr="00073AC8">
        <w:rPr>
          <w:szCs w:val="22"/>
        </w:rPr>
        <w:t>.</w:t>
      </w:r>
      <w:r w:rsidRPr="00073AC8">
        <w:rPr>
          <w:rStyle w:val="FootnoteReference"/>
          <w:szCs w:val="22"/>
        </w:rPr>
        <w:footnoteReference w:id="79"/>
      </w:r>
      <w:r>
        <w:rPr>
          <w:szCs w:val="22"/>
        </w:rPr>
        <w:t xml:space="preserve">  To meet demand, Afghanistan currently has about 477MW of installed capacity connected to the grid, which it supplements with a further 605MW of power imports from its neighbors.  Domestic generating capacity and imports available, however, stood at 341MW and 558MW respectively</w:t>
      </w:r>
      <w:r>
        <w:rPr>
          <w:rStyle w:val="FootnoteReference"/>
          <w:szCs w:val="22"/>
        </w:rPr>
        <w:footnoteReference w:id="80"/>
      </w:r>
      <w:r>
        <w:rPr>
          <w:szCs w:val="22"/>
        </w:rPr>
        <w:t>.  In 2011, 73% of electricity supplied was imported.</w:t>
      </w:r>
      <w:r w:rsidRPr="00073AC8">
        <w:rPr>
          <w:rStyle w:val="FootnoteReference"/>
          <w:szCs w:val="22"/>
        </w:rPr>
        <w:footnoteReference w:id="81"/>
      </w:r>
    </w:p>
    <w:p w:rsidR="002C070F" w:rsidRPr="00E7659C" w:rsidRDefault="002C070F" w:rsidP="002C070F">
      <w:pPr>
        <w:tabs>
          <w:tab w:val="left" w:pos="540"/>
        </w:tabs>
        <w:spacing w:after="0"/>
        <w:rPr>
          <w:szCs w:val="22"/>
        </w:rPr>
      </w:pPr>
      <w:r w:rsidRPr="00073AC8">
        <w:rPr>
          <w:szCs w:val="22"/>
        </w:rPr>
        <w:t xml:space="preserve"> </w:t>
      </w:r>
    </w:p>
    <w:p w:rsidR="002C070F" w:rsidRPr="00073AC8" w:rsidRDefault="002C070F" w:rsidP="002C070F">
      <w:pPr>
        <w:pStyle w:val="ListParagraph"/>
        <w:tabs>
          <w:tab w:val="left" w:pos="540"/>
        </w:tabs>
        <w:spacing w:after="0"/>
        <w:ind w:left="0"/>
        <w:rPr>
          <w:szCs w:val="22"/>
        </w:rPr>
      </w:pPr>
      <w:r w:rsidRPr="00DD535E">
        <w:rPr>
          <w:b/>
          <w:szCs w:val="22"/>
        </w:rPr>
        <w:t>Such a level of dependence on imports is rare</w:t>
      </w:r>
      <w:r>
        <w:rPr>
          <w:b/>
          <w:szCs w:val="22"/>
        </w:rPr>
        <w:t xml:space="preserve"> and presents risks</w:t>
      </w:r>
      <w:r>
        <w:rPr>
          <w:szCs w:val="22"/>
        </w:rPr>
        <w:t>.  The country’s growing dependence on electricity imports forecasted to reach 77 percent in 2012 is rare.  It creates the risk that changes in the demand patterns in neighboring countries or deteriorating trade could widen the gap between supply and demand.  Afghanistan needs to consider what level of energy autarky is appropriate to its circumstances, trading off independence and the additional capital requirements that would result from investing to increase generation capacity.</w:t>
      </w:r>
    </w:p>
    <w:p w:rsidR="002C070F" w:rsidRDefault="002C070F" w:rsidP="002C070F">
      <w:pPr>
        <w:pStyle w:val="Caption"/>
        <w:tabs>
          <w:tab w:val="center" w:pos="2520"/>
          <w:tab w:val="center" w:pos="6840"/>
        </w:tabs>
        <w:spacing w:after="0"/>
        <w:jc w:val="center"/>
        <w:rPr>
          <w:color w:val="410082" w:themeColor="text1"/>
          <w:sz w:val="22"/>
          <w:szCs w:val="22"/>
        </w:rPr>
      </w:pPr>
    </w:p>
    <w:p w:rsidR="002C070F" w:rsidRDefault="002C070F" w:rsidP="002C070F">
      <w:pPr>
        <w:pStyle w:val="Caption"/>
        <w:tabs>
          <w:tab w:val="center" w:pos="2520"/>
          <w:tab w:val="center" w:pos="6840"/>
        </w:tabs>
        <w:spacing w:after="0"/>
        <w:jc w:val="center"/>
        <w:rPr>
          <w:color w:val="410082" w:themeColor="text1"/>
          <w:sz w:val="22"/>
          <w:szCs w:val="22"/>
        </w:rPr>
      </w:pPr>
    </w:p>
    <w:p w:rsidR="002C070F" w:rsidRPr="003C5AAE" w:rsidRDefault="002C070F" w:rsidP="002C070F">
      <w:pPr>
        <w:pStyle w:val="Caption"/>
        <w:tabs>
          <w:tab w:val="center" w:pos="2520"/>
          <w:tab w:val="center" w:pos="6840"/>
        </w:tabs>
        <w:spacing w:after="0"/>
        <w:jc w:val="center"/>
        <w:rPr>
          <w:color w:val="410082" w:themeColor="text1"/>
          <w:sz w:val="22"/>
          <w:szCs w:val="22"/>
        </w:rPr>
      </w:pPr>
      <w:r w:rsidRPr="003C5AAE">
        <w:rPr>
          <w:color w:val="410082" w:themeColor="text1"/>
          <w:sz w:val="22"/>
          <w:szCs w:val="22"/>
        </w:rPr>
        <w:t>Figure 3.</w:t>
      </w:r>
      <w:r w:rsidRPr="003C5AAE">
        <w:rPr>
          <w:color w:val="410082" w:themeColor="text1"/>
          <w:sz w:val="22"/>
          <w:szCs w:val="22"/>
        </w:rPr>
        <w:fldChar w:fldCharType="begin"/>
      </w:r>
      <w:r w:rsidRPr="003C5AAE">
        <w:rPr>
          <w:color w:val="410082" w:themeColor="text1"/>
          <w:sz w:val="22"/>
          <w:szCs w:val="22"/>
        </w:rPr>
        <w:instrText xml:space="preserve"> SEQ Figure \* ARABIC </w:instrText>
      </w:r>
      <w:r w:rsidRPr="003C5AAE">
        <w:rPr>
          <w:color w:val="410082" w:themeColor="text1"/>
          <w:sz w:val="22"/>
          <w:szCs w:val="22"/>
        </w:rPr>
        <w:fldChar w:fldCharType="separate"/>
      </w:r>
      <w:r w:rsidR="0080181F">
        <w:rPr>
          <w:noProof/>
          <w:color w:val="410082" w:themeColor="text1"/>
          <w:sz w:val="22"/>
          <w:szCs w:val="22"/>
        </w:rPr>
        <w:t>5</w:t>
      </w:r>
      <w:r w:rsidRPr="003C5AAE">
        <w:rPr>
          <w:color w:val="410082" w:themeColor="text1"/>
          <w:sz w:val="22"/>
          <w:szCs w:val="22"/>
        </w:rPr>
        <w:fldChar w:fldCharType="end"/>
      </w:r>
      <w:r w:rsidRPr="003C5AAE">
        <w:rPr>
          <w:color w:val="410082" w:themeColor="text1"/>
          <w:sz w:val="22"/>
          <w:szCs w:val="22"/>
        </w:rPr>
        <w:t>: Energy Production and Imports in Afghanistan</w:t>
      </w:r>
    </w:p>
    <w:p w:rsidR="002C070F" w:rsidRPr="00073AC8" w:rsidRDefault="002C070F" w:rsidP="002C070F">
      <w:pPr>
        <w:tabs>
          <w:tab w:val="left" w:pos="540"/>
        </w:tabs>
        <w:spacing w:after="0"/>
        <w:jc w:val="center"/>
        <w:rPr>
          <w:szCs w:val="22"/>
        </w:rPr>
      </w:pPr>
      <w:r w:rsidRPr="00073AC8">
        <w:rPr>
          <w:noProof/>
          <w:szCs w:val="22"/>
          <w:lang w:bidi="ar-SA"/>
        </w:rPr>
        <w:drawing>
          <wp:inline distT="0" distB="0" distL="0" distR="0" wp14:anchorId="2F85A590" wp14:editId="352D5470">
            <wp:extent cx="2997642" cy="2174454"/>
            <wp:effectExtent l="0" t="0" r="0" b="0"/>
            <wp:docPr id="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2997302" cy="2174207"/>
                    </a:xfrm>
                    <a:prstGeom prst="rect">
                      <a:avLst/>
                    </a:prstGeom>
                    <a:noFill/>
                    <a:ln w="9525">
                      <a:noFill/>
                      <a:miter lim="800000"/>
                      <a:headEnd/>
                      <a:tailEnd/>
                    </a:ln>
                  </pic:spPr>
                </pic:pic>
              </a:graphicData>
            </a:graphic>
          </wp:inline>
        </w:drawing>
      </w:r>
    </w:p>
    <w:p w:rsidR="002C070F" w:rsidRPr="007B16C9" w:rsidRDefault="002C070F" w:rsidP="002C070F">
      <w:pPr>
        <w:spacing w:after="0"/>
        <w:jc w:val="center"/>
        <w:rPr>
          <w:sz w:val="20"/>
        </w:rPr>
      </w:pPr>
      <w:r w:rsidRPr="007B16C9">
        <w:rPr>
          <w:sz w:val="20"/>
        </w:rPr>
        <w:t>Source: Afghanistan Energy Information Center (AEIC).</w:t>
      </w:r>
    </w:p>
    <w:p w:rsidR="002C070F" w:rsidRDefault="002C070F" w:rsidP="002C070F">
      <w:pPr>
        <w:spacing w:before="240"/>
        <w:rPr>
          <w:szCs w:val="22"/>
        </w:rPr>
      </w:pPr>
      <w:r w:rsidRPr="00073AC8">
        <w:rPr>
          <w:b/>
          <w:szCs w:val="22"/>
        </w:rPr>
        <w:t>The transmission and distribution networks present great challenges</w:t>
      </w:r>
      <w:r w:rsidRPr="00073AC8">
        <w:rPr>
          <w:szCs w:val="22"/>
        </w:rPr>
        <w:t>.</w:t>
      </w:r>
      <w:r>
        <w:rPr>
          <w:szCs w:val="22"/>
        </w:rPr>
        <w:t xml:space="preserve">  The country’s heavy dependence on imports means that the domestic power system cannot be operated as a single entity.  Instead, several areas are operated as ‘islands’ because the countries from which Afghanistan imports are not all synchronized with one another or with domestic Afghan generation.  Matching the supply parameters agreed with each exporting country, as these vary daily and seasonally, creates significant operational </w:t>
      </w:r>
      <w:r w:rsidRPr="007F1660">
        <w:rPr>
          <w:szCs w:val="22"/>
        </w:rPr>
        <w:t>challenges</w:t>
      </w:r>
      <w:r w:rsidRPr="00EB017B">
        <w:rPr>
          <w:szCs w:val="22"/>
        </w:rPr>
        <w:t xml:space="preserve"> for </w:t>
      </w:r>
      <w:r w:rsidRPr="00DD535E">
        <w:rPr>
          <w:szCs w:val="22"/>
        </w:rPr>
        <w:t>Da Afghanistan Breshna Sherkat (DABS)</w:t>
      </w:r>
      <w:r w:rsidRPr="007F1660">
        <w:rPr>
          <w:szCs w:val="22"/>
        </w:rPr>
        <w:t xml:space="preserve">. </w:t>
      </w:r>
      <w:r w:rsidRPr="002957EA">
        <w:rPr>
          <w:szCs w:val="22"/>
        </w:rPr>
        <w:t xml:space="preserve"> For</w:t>
      </w:r>
      <w:r>
        <w:rPr>
          <w:szCs w:val="22"/>
        </w:rPr>
        <w:t xml:space="preserve"> example, Herat and North-West Afghanistan, which are served by Iran and Turkmenistan, are effectively an extension of the Iran/Turkmen grids.</w:t>
      </w:r>
    </w:p>
    <w:p w:rsidR="002C070F" w:rsidRDefault="002C070F" w:rsidP="002C070F">
      <w:pPr>
        <w:spacing w:before="240"/>
        <w:rPr>
          <w:szCs w:val="22"/>
        </w:rPr>
      </w:pPr>
      <w:r w:rsidRPr="00DD535E">
        <w:rPr>
          <w:b/>
          <w:szCs w:val="22"/>
        </w:rPr>
        <w:t>Technical and non-technical losses of electricity in the Afghan distribution system are high</w:t>
      </w:r>
      <w:r>
        <w:rPr>
          <w:szCs w:val="22"/>
        </w:rPr>
        <w:t>.</w:t>
      </w:r>
      <w:r>
        <w:rPr>
          <w:rStyle w:val="FootnoteReference"/>
          <w:szCs w:val="22"/>
        </w:rPr>
        <w:footnoteReference w:id="82"/>
      </w:r>
      <w:r>
        <w:rPr>
          <w:szCs w:val="22"/>
        </w:rPr>
        <w:t xml:space="preserve">  </w:t>
      </w:r>
      <w:r>
        <w:t>Some estimates put them as high as 50 percent in certain areas supplied by DABS; typically a figure of 10 percent is easily achievable, and most utilities strive to reduce non-technical losses to zero.</w:t>
      </w:r>
      <w:r w:rsidRPr="00073AC8">
        <w:rPr>
          <w:szCs w:val="22"/>
        </w:rPr>
        <w:t xml:space="preserve"> (Figure </w:t>
      </w:r>
      <w:r>
        <w:rPr>
          <w:szCs w:val="22"/>
        </w:rPr>
        <w:t>3.</w:t>
      </w:r>
      <w:r w:rsidRPr="00073AC8">
        <w:rPr>
          <w:szCs w:val="22"/>
        </w:rPr>
        <w:t>7).</w:t>
      </w:r>
      <w:r>
        <w:rPr>
          <w:szCs w:val="22"/>
        </w:rPr>
        <w:t xml:space="preserve"> </w:t>
      </w:r>
      <w:r w:rsidRPr="00073AC8">
        <w:rPr>
          <w:szCs w:val="22"/>
        </w:rPr>
        <w:t>There are a number of ongoing projects funded by donors to rehabilitate and expand transmission and distribution networks</w:t>
      </w:r>
      <w:r>
        <w:rPr>
          <w:szCs w:val="22"/>
        </w:rPr>
        <w:t xml:space="preserve"> in major and secondary cities.</w:t>
      </w:r>
      <w:r w:rsidRPr="00073AC8">
        <w:rPr>
          <w:rStyle w:val="FootnoteReference"/>
          <w:szCs w:val="22"/>
        </w:rPr>
        <w:footnoteReference w:id="83"/>
      </w:r>
      <w:r w:rsidRPr="00073AC8">
        <w:rPr>
          <w:szCs w:val="22"/>
        </w:rPr>
        <w:t xml:space="preserve"> </w:t>
      </w:r>
    </w:p>
    <w:p w:rsidR="002C070F" w:rsidRPr="00973A59" w:rsidRDefault="002C070F" w:rsidP="002C070F">
      <w:pPr>
        <w:tabs>
          <w:tab w:val="left" w:pos="540"/>
        </w:tabs>
        <w:spacing w:before="240"/>
        <w:rPr>
          <w:szCs w:val="22"/>
        </w:rPr>
      </w:pPr>
      <w:r w:rsidRPr="00DD535E">
        <w:rPr>
          <w:b/>
          <w:szCs w:val="22"/>
        </w:rPr>
        <w:t>The DABS is</w:t>
      </w:r>
      <w:r w:rsidRPr="00973A59">
        <w:rPr>
          <w:b/>
          <w:szCs w:val="22"/>
        </w:rPr>
        <w:t xml:space="preserve"> playing an important role in generating and delivering electricity to Afghan people</w:t>
      </w:r>
      <w:r w:rsidRPr="00DD535E">
        <w:rPr>
          <w:b/>
          <w:szCs w:val="22"/>
        </w:rPr>
        <w:t xml:space="preserve">. </w:t>
      </w:r>
      <w:r w:rsidRPr="00DD535E">
        <w:rPr>
          <w:szCs w:val="22"/>
        </w:rPr>
        <w:t>In May 2008, the DABM was incorporated and replaced with Da Afghanistan Breshna Sherkat (DABS)</w:t>
      </w:r>
      <w:r w:rsidRPr="00973A59">
        <w:rPr>
          <w:szCs w:val="22"/>
        </w:rPr>
        <w:t xml:space="preserve">. </w:t>
      </w:r>
      <w:r>
        <w:rPr>
          <w:szCs w:val="22"/>
        </w:rPr>
        <w:t xml:space="preserve"> It </w:t>
      </w:r>
      <w:r w:rsidRPr="00073AC8">
        <w:rPr>
          <w:szCs w:val="22"/>
        </w:rPr>
        <w:t>remains integrated, state-owned utility</w:t>
      </w:r>
      <w:r>
        <w:rPr>
          <w:szCs w:val="22"/>
        </w:rPr>
        <w:t xml:space="preserve"> providing electricity.  </w:t>
      </w:r>
      <w:r w:rsidRPr="00073AC8">
        <w:rPr>
          <w:szCs w:val="22"/>
        </w:rPr>
        <w:t>With about 6,000 employees, and substantial government support, has seen impressive growth of its customer base nationwide, from about 227,000 to 753,000 between 2003</w:t>
      </w:r>
      <w:r>
        <w:rPr>
          <w:szCs w:val="22"/>
        </w:rPr>
        <w:t xml:space="preserve"> and 20</w:t>
      </w:r>
      <w:r w:rsidRPr="00073AC8">
        <w:rPr>
          <w:szCs w:val="22"/>
        </w:rPr>
        <w:t>10</w:t>
      </w:r>
      <w:r>
        <w:rPr>
          <w:szCs w:val="22"/>
        </w:rPr>
        <w:t>.</w:t>
      </w:r>
      <w:r w:rsidRPr="00073AC8">
        <w:rPr>
          <w:szCs w:val="22"/>
        </w:rPr>
        <w:t xml:space="preserve"> (Figure </w:t>
      </w:r>
      <w:r>
        <w:rPr>
          <w:szCs w:val="22"/>
        </w:rPr>
        <w:t>3.</w:t>
      </w:r>
      <w:r w:rsidRPr="00073AC8">
        <w:rPr>
          <w:szCs w:val="22"/>
        </w:rPr>
        <w:t>8).</w:t>
      </w:r>
      <w:r>
        <w:rPr>
          <w:szCs w:val="22"/>
        </w:rPr>
        <w:t xml:space="preserve">  While t</w:t>
      </w:r>
      <w:r w:rsidRPr="00DD535E">
        <w:rPr>
          <w:szCs w:val="22"/>
        </w:rPr>
        <w:t>he Ministry of Energy &amp; Water (MEW) c</w:t>
      </w:r>
      <w:r w:rsidRPr="00DD535E">
        <w:t xml:space="preserve">ontinues to be responsible for policy and investment planning and implementation, </w:t>
      </w:r>
      <w:r>
        <w:t>the</w:t>
      </w:r>
      <w:r w:rsidRPr="00DD535E">
        <w:t xml:space="preserve"> DABS is responsible for operating the power system including generation, transmission and distribution, billing and collection</w:t>
      </w:r>
      <w:r>
        <w:t xml:space="preserve">.  </w:t>
      </w:r>
      <w:r w:rsidRPr="00973A59">
        <w:rPr>
          <w:szCs w:val="22"/>
        </w:rPr>
        <w:t xml:space="preserve">  </w:t>
      </w:r>
    </w:p>
    <w:p w:rsidR="002C070F" w:rsidRPr="007B16C9" w:rsidRDefault="002C070F" w:rsidP="002C070F">
      <w:pPr>
        <w:pStyle w:val="Caption"/>
        <w:tabs>
          <w:tab w:val="center" w:pos="2520"/>
          <w:tab w:val="center" w:pos="6840"/>
        </w:tabs>
        <w:spacing w:after="0"/>
        <w:jc w:val="center"/>
        <w:rPr>
          <w:color w:val="5D3972" w:themeColor="accent1" w:themeShade="BF"/>
          <w:sz w:val="22"/>
          <w:szCs w:val="22"/>
        </w:rPr>
      </w:pPr>
      <w:r w:rsidRPr="007B16C9">
        <w:rPr>
          <w:color w:val="5D3972" w:themeColor="accent1" w:themeShade="BF"/>
          <w:sz w:val="22"/>
          <w:szCs w:val="22"/>
        </w:rPr>
        <w:t>Figure 3.</w:t>
      </w:r>
      <w:r w:rsidRPr="007B16C9">
        <w:rPr>
          <w:color w:val="5D3972" w:themeColor="accent1" w:themeShade="BF"/>
          <w:sz w:val="22"/>
          <w:szCs w:val="22"/>
        </w:rPr>
        <w:fldChar w:fldCharType="begin"/>
      </w:r>
      <w:r w:rsidRPr="007B16C9">
        <w:rPr>
          <w:color w:val="5D3972" w:themeColor="accent1" w:themeShade="BF"/>
          <w:sz w:val="22"/>
          <w:szCs w:val="22"/>
        </w:rPr>
        <w:instrText xml:space="preserve"> SEQ Figure \* ARABIC </w:instrText>
      </w:r>
      <w:r w:rsidRPr="007B16C9">
        <w:rPr>
          <w:color w:val="5D3972" w:themeColor="accent1" w:themeShade="BF"/>
          <w:sz w:val="22"/>
          <w:szCs w:val="22"/>
        </w:rPr>
        <w:fldChar w:fldCharType="separate"/>
      </w:r>
      <w:r w:rsidR="0080181F">
        <w:rPr>
          <w:noProof/>
          <w:color w:val="5D3972" w:themeColor="accent1" w:themeShade="BF"/>
          <w:sz w:val="22"/>
          <w:szCs w:val="22"/>
        </w:rPr>
        <w:t>6</w:t>
      </w:r>
      <w:r w:rsidRPr="007B16C9">
        <w:rPr>
          <w:color w:val="5D3972" w:themeColor="accent1" w:themeShade="BF"/>
          <w:sz w:val="22"/>
          <w:szCs w:val="22"/>
        </w:rPr>
        <w:fldChar w:fldCharType="end"/>
      </w:r>
      <w:r w:rsidRPr="007B16C9">
        <w:rPr>
          <w:color w:val="5D3972" w:themeColor="accent1" w:themeShade="BF"/>
          <w:sz w:val="22"/>
          <w:szCs w:val="22"/>
        </w:rPr>
        <w:t>: Number of DABS Customers</w:t>
      </w:r>
    </w:p>
    <w:p w:rsidR="002C070F" w:rsidRPr="00073AC8" w:rsidRDefault="002C070F" w:rsidP="002C070F">
      <w:pPr>
        <w:pStyle w:val="Caption"/>
        <w:tabs>
          <w:tab w:val="center" w:pos="2520"/>
          <w:tab w:val="center" w:pos="6840"/>
        </w:tabs>
        <w:spacing w:after="0"/>
        <w:jc w:val="center"/>
        <w:rPr>
          <w:sz w:val="22"/>
          <w:szCs w:val="22"/>
        </w:rPr>
      </w:pPr>
      <w:r w:rsidRPr="00DD535E">
        <w:rPr>
          <w:noProof/>
          <w:sz w:val="22"/>
          <w:szCs w:val="22"/>
          <w:lang w:bidi="ar-SA"/>
        </w:rPr>
        <w:drawing>
          <wp:inline distT="0" distB="0" distL="0" distR="0" wp14:anchorId="270D1F56" wp14:editId="3D77E721">
            <wp:extent cx="2898450" cy="2100196"/>
            <wp:effectExtent l="1905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2898450" cy="2100196"/>
                    </a:xfrm>
                    <a:prstGeom prst="rect">
                      <a:avLst/>
                    </a:prstGeom>
                    <a:noFill/>
                    <a:ln w="9525">
                      <a:noFill/>
                      <a:miter lim="800000"/>
                      <a:headEnd/>
                      <a:tailEnd/>
                    </a:ln>
                  </pic:spPr>
                </pic:pic>
              </a:graphicData>
            </a:graphic>
          </wp:inline>
        </w:drawing>
      </w:r>
    </w:p>
    <w:p w:rsidR="002C070F" w:rsidRDefault="002C070F" w:rsidP="002C070F">
      <w:pPr>
        <w:spacing w:after="0"/>
        <w:rPr>
          <w:sz w:val="20"/>
        </w:rPr>
      </w:pPr>
      <w:r>
        <w:rPr>
          <w:sz w:val="20"/>
        </w:rPr>
        <w:tab/>
      </w:r>
      <w:r>
        <w:rPr>
          <w:sz w:val="20"/>
        </w:rPr>
        <w:tab/>
      </w:r>
      <w:r w:rsidRPr="00791E47">
        <w:rPr>
          <w:sz w:val="20"/>
        </w:rPr>
        <w:t>Source: Afghanistan Energy Information Center (AEIC)</w:t>
      </w:r>
      <w:r>
        <w:rPr>
          <w:sz w:val="20"/>
        </w:rPr>
        <w:t>,</w:t>
      </w:r>
      <w:r w:rsidRPr="00791E47">
        <w:rPr>
          <w:sz w:val="20"/>
        </w:rPr>
        <w:t xml:space="preserve"> DABS customer database.</w:t>
      </w:r>
    </w:p>
    <w:p w:rsidR="002C070F" w:rsidRPr="00791E47" w:rsidRDefault="002C070F" w:rsidP="002C070F">
      <w:pPr>
        <w:spacing w:after="0"/>
        <w:rPr>
          <w:sz w:val="20"/>
        </w:rPr>
      </w:pPr>
    </w:p>
    <w:p w:rsidR="002C070F" w:rsidRDefault="002C070F" w:rsidP="002C070F">
      <w:pPr>
        <w:pStyle w:val="ListParagraph"/>
        <w:tabs>
          <w:tab w:val="left" w:pos="540"/>
        </w:tabs>
        <w:spacing w:after="0"/>
        <w:ind w:left="0"/>
        <w:rPr>
          <w:szCs w:val="22"/>
        </w:rPr>
      </w:pPr>
      <w:r w:rsidRPr="00073AC8">
        <w:rPr>
          <w:b/>
          <w:szCs w:val="22"/>
        </w:rPr>
        <w:t xml:space="preserve">DABS’s is still far from being </w:t>
      </w:r>
      <w:r>
        <w:rPr>
          <w:b/>
          <w:szCs w:val="22"/>
        </w:rPr>
        <w:t xml:space="preserve">fully </w:t>
      </w:r>
      <w:r w:rsidRPr="00073AC8">
        <w:rPr>
          <w:b/>
          <w:szCs w:val="22"/>
        </w:rPr>
        <w:t>commercialized</w:t>
      </w:r>
      <w:r>
        <w:rPr>
          <w:b/>
          <w:szCs w:val="22"/>
        </w:rPr>
        <w:t xml:space="preserve"> and its </w:t>
      </w:r>
      <w:r w:rsidRPr="000221AF">
        <w:rPr>
          <w:b/>
          <w:szCs w:val="22"/>
        </w:rPr>
        <w:t>operational</w:t>
      </w:r>
      <w:r w:rsidRPr="00073AC8">
        <w:rPr>
          <w:b/>
          <w:szCs w:val="22"/>
        </w:rPr>
        <w:t xml:space="preserve"> capacity remains a challenge</w:t>
      </w:r>
      <w:r w:rsidRPr="00073AC8">
        <w:rPr>
          <w:szCs w:val="22"/>
        </w:rPr>
        <w:t>.</w:t>
      </w:r>
      <w:r>
        <w:rPr>
          <w:szCs w:val="22"/>
        </w:rPr>
        <w:t xml:space="preserve"> </w:t>
      </w:r>
      <w:r w:rsidRPr="00073AC8">
        <w:rPr>
          <w:szCs w:val="22"/>
        </w:rPr>
        <w:t xml:space="preserve"> Given its rapidly expanding operations, there is </w:t>
      </w:r>
      <w:r>
        <w:rPr>
          <w:szCs w:val="22"/>
        </w:rPr>
        <w:t xml:space="preserve">a </w:t>
      </w:r>
      <w:r w:rsidRPr="00073AC8">
        <w:rPr>
          <w:szCs w:val="22"/>
        </w:rPr>
        <w:t>shortage of qualified staff with competent technical and managerial skills.</w:t>
      </w:r>
      <w:r>
        <w:rPr>
          <w:szCs w:val="22"/>
        </w:rPr>
        <w:t xml:space="preserve">   </w:t>
      </w:r>
      <w:r w:rsidRPr="00B86C3E">
        <w:rPr>
          <w:szCs w:val="22"/>
        </w:rPr>
        <w:t>In Afghanistan, only 70 percent of energy is billed, and only about 60 percent of bills are collected.</w:t>
      </w:r>
      <w:r w:rsidRPr="00B86C3E">
        <w:rPr>
          <w:szCs w:val="22"/>
          <w:vertAlign w:val="superscript"/>
        </w:rPr>
        <w:footnoteReference w:id="84"/>
      </w:r>
      <w:r w:rsidRPr="00B86C3E">
        <w:rPr>
          <w:szCs w:val="22"/>
        </w:rPr>
        <w:t xml:space="preserve"> </w:t>
      </w:r>
      <w:r>
        <w:rPr>
          <w:szCs w:val="22"/>
        </w:rPr>
        <w:t xml:space="preserve">  Therefore, b</w:t>
      </w:r>
      <w:r w:rsidRPr="007462B0">
        <w:rPr>
          <w:szCs w:val="22"/>
        </w:rPr>
        <w:t>etter and more commercially-oriented</w:t>
      </w:r>
      <w:r>
        <w:rPr>
          <w:szCs w:val="22"/>
        </w:rPr>
        <w:t xml:space="preserve"> management is needed for DABS</w:t>
      </w:r>
      <w:r w:rsidRPr="007462B0">
        <w:rPr>
          <w:szCs w:val="22"/>
        </w:rPr>
        <w:t xml:space="preserve"> </w:t>
      </w:r>
      <w:r>
        <w:rPr>
          <w:szCs w:val="22"/>
        </w:rPr>
        <w:t xml:space="preserve">to address issues in the areas of: </w:t>
      </w:r>
      <w:r w:rsidRPr="007462B0">
        <w:rPr>
          <w:szCs w:val="22"/>
        </w:rPr>
        <w:t xml:space="preserve">daily operations, metering, billing and tariff collection.  </w:t>
      </w:r>
      <w:r w:rsidRPr="00073AC8">
        <w:rPr>
          <w:szCs w:val="22"/>
        </w:rPr>
        <w:t>To increase productivity</w:t>
      </w:r>
      <w:r>
        <w:rPr>
          <w:szCs w:val="22"/>
        </w:rPr>
        <w:t xml:space="preserve">, </w:t>
      </w:r>
      <w:r w:rsidRPr="00073AC8">
        <w:rPr>
          <w:szCs w:val="22"/>
        </w:rPr>
        <w:t xml:space="preserve">it is essential to retain well-qualified employees on both technical and nontechnical sides. </w:t>
      </w:r>
      <w:r>
        <w:rPr>
          <w:szCs w:val="22"/>
        </w:rPr>
        <w:t>However, t</w:t>
      </w:r>
      <w:r w:rsidRPr="00073AC8">
        <w:rPr>
          <w:szCs w:val="22"/>
        </w:rPr>
        <w:t>he average salar</w:t>
      </w:r>
      <w:r>
        <w:rPr>
          <w:szCs w:val="22"/>
        </w:rPr>
        <w:t>y</w:t>
      </w:r>
      <w:r w:rsidRPr="00073AC8">
        <w:rPr>
          <w:szCs w:val="22"/>
        </w:rPr>
        <w:t xml:space="preserve"> of engineers at DABS </w:t>
      </w:r>
      <w:r>
        <w:rPr>
          <w:szCs w:val="22"/>
        </w:rPr>
        <w:t>is</w:t>
      </w:r>
      <w:r w:rsidRPr="00073AC8">
        <w:rPr>
          <w:szCs w:val="22"/>
        </w:rPr>
        <w:t xml:space="preserve"> estimated</w:t>
      </w:r>
      <w:r>
        <w:rPr>
          <w:szCs w:val="22"/>
        </w:rPr>
        <w:t xml:space="preserve"> currently</w:t>
      </w:r>
      <w:r w:rsidRPr="00073AC8">
        <w:rPr>
          <w:szCs w:val="22"/>
        </w:rPr>
        <w:t xml:space="preserve"> to be 10 percent below the market rate in the country.</w:t>
      </w:r>
      <w:r w:rsidRPr="00073AC8">
        <w:rPr>
          <w:rStyle w:val="FootnoteReference"/>
          <w:szCs w:val="22"/>
        </w:rPr>
        <w:footnoteReference w:id="85"/>
      </w:r>
      <w:r>
        <w:rPr>
          <w:szCs w:val="22"/>
        </w:rPr>
        <w:t xml:space="preserve">   </w:t>
      </w:r>
      <w:r w:rsidRPr="00073AC8">
        <w:rPr>
          <w:szCs w:val="22"/>
        </w:rPr>
        <w:t xml:space="preserve">In addition to ongoing efforts toward expanding the supply capacity on the physical side, these institutional issues need to be addressed to ensure financial sustainability in the electricity sector. </w:t>
      </w:r>
    </w:p>
    <w:p w:rsidR="002C070F" w:rsidRDefault="002C070F" w:rsidP="002C070F">
      <w:pPr>
        <w:pStyle w:val="ListParagraph"/>
        <w:tabs>
          <w:tab w:val="left" w:pos="540"/>
        </w:tabs>
        <w:spacing w:after="0"/>
        <w:ind w:left="0"/>
        <w:rPr>
          <w:szCs w:val="22"/>
        </w:rPr>
      </w:pPr>
    </w:p>
    <w:p w:rsidR="002C070F" w:rsidRDefault="002C070F" w:rsidP="002C070F">
      <w:pPr>
        <w:spacing w:after="0"/>
        <w:rPr>
          <w:szCs w:val="22"/>
        </w:rPr>
      </w:pPr>
      <w:r w:rsidRPr="00073AC8">
        <w:rPr>
          <w:b/>
          <w:szCs w:val="22"/>
        </w:rPr>
        <w:t>DABS lacks the financial means to operate and maintain the nation’s electricity infrastructure</w:t>
      </w:r>
      <w:r>
        <w:rPr>
          <w:b/>
          <w:szCs w:val="22"/>
        </w:rPr>
        <w:t xml:space="preserve">.  </w:t>
      </w:r>
      <w:r w:rsidRPr="00073AC8">
        <w:rPr>
          <w:szCs w:val="22"/>
        </w:rPr>
        <w:t>Tariff collection from end users seems to remain below the full cost recovery</w:t>
      </w:r>
      <w:r>
        <w:rPr>
          <w:szCs w:val="22"/>
        </w:rPr>
        <w:t xml:space="preserve"> and w</w:t>
      </w:r>
      <w:r w:rsidRPr="00073AC8">
        <w:rPr>
          <w:szCs w:val="22"/>
        </w:rPr>
        <w:t xml:space="preserve">ithout adequate </w:t>
      </w:r>
      <w:r>
        <w:t xml:space="preserve">tariff levels </w:t>
      </w:r>
      <w:r w:rsidRPr="00073AC8">
        <w:rPr>
          <w:szCs w:val="22"/>
        </w:rPr>
        <w:t xml:space="preserve">and </w:t>
      </w:r>
      <w:r>
        <w:t xml:space="preserve">collection, </w:t>
      </w:r>
      <w:r w:rsidRPr="00073AC8">
        <w:rPr>
          <w:szCs w:val="22"/>
        </w:rPr>
        <w:t>sustain</w:t>
      </w:r>
      <w:r>
        <w:rPr>
          <w:szCs w:val="22"/>
        </w:rPr>
        <w:t xml:space="preserve">ing </w:t>
      </w:r>
      <w:r>
        <w:t xml:space="preserve">current operations or system expansion in the </w:t>
      </w:r>
      <w:r w:rsidRPr="00073AC8">
        <w:rPr>
          <w:szCs w:val="22"/>
        </w:rPr>
        <w:t>long term</w:t>
      </w:r>
      <w:r>
        <w:rPr>
          <w:szCs w:val="22"/>
        </w:rPr>
        <w:t xml:space="preserve"> will be unviable.  In addition, the company </w:t>
      </w:r>
      <w:r w:rsidRPr="00073AC8">
        <w:rPr>
          <w:szCs w:val="22"/>
        </w:rPr>
        <w:t xml:space="preserve">is heavily dependent on international aid for investment to rehabilitate the country’s damaged electricity infrastructure assets. </w:t>
      </w:r>
      <w:r>
        <w:rPr>
          <w:szCs w:val="22"/>
        </w:rPr>
        <w:t xml:space="preserve">  Operation and maintenance costs have increased significantly over the past decade.  The fact that c</w:t>
      </w:r>
      <w:r w:rsidRPr="00073AC8">
        <w:rPr>
          <w:szCs w:val="22"/>
        </w:rPr>
        <w:t>apacity</w:t>
      </w:r>
      <w:r>
        <w:rPr>
          <w:szCs w:val="22"/>
        </w:rPr>
        <w:t xml:space="preserve"> in Afghanistan</w:t>
      </w:r>
      <w:r w:rsidRPr="00073AC8">
        <w:rPr>
          <w:szCs w:val="22"/>
        </w:rPr>
        <w:t xml:space="preserve"> more than </w:t>
      </w:r>
      <w:r>
        <w:rPr>
          <w:szCs w:val="22"/>
        </w:rPr>
        <w:t>tripled</w:t>
      </w:r>
      <w:r w:rsidRPr="00073AC8">
        <w:rPr>
          <w:szCs w:val="22"/>
        </w:rPr>
        <w:t xml:space="preserve"> over the last 10 years</w:t>
      </w:r>
      <w:r>
        <w:rPr>
          <w:szCs w:val="22"/>
        </w:rPr>
        <w:t>,</w:t>
      </w:r>
      <w:r w:rsidRPr="00073AC8">
        <w:rPr>
          <w:szCs w:val="22"/>
        </w:rPr>
        <w:t xml:space="preserve"> from the meager 240MW reported in 2002</w:t>
      </w:r>
      <w:r>
        <w:rPr>
          <w:szCs w:val="22"/>
        </w:rPr>
        <w:t>, is translating into operation and maintenance requirements at around $194 million annually or 1.2 percent of GDP in 2011.</w:t>
      </w:r>
      <w:r>
        <w:rPr>
          <w:rStyle w:val="FootnoteReference"/>
          <w:szCs w:val="22"/>
        </w:rPr>
        <w:footnoteReference w:id="86"/>
      </w:r>
    </w:p>
    <w:p w:rsidR="002C070F" w:rsidRPr="00073AC8" w:rsidRDefault="002C070F" w:rsidP="002C070F">
      <w:pPr>
        <w:tabs>
          <w:tab w:val="left" w:pos="540"/>
        </w:tabs>
        <w:spacing w:after="0"/>
        <w:rPr>
          <w:szCs w:val="22"/>
        </w:rPr>
      </w:pPr>
    </w:p>
    <w:p w:rsidR="002C070F" w:rsidRPr="00E27351" w:rsidRDefault="002C070F" w:rsidP="002C070F">
      <w:pPr>
        <w:tabs>
          <w:tab w:val="left" w:pos="540"/>
        </w:tabs>
        <w:spacing w:after="0"/>
        <w:rPr>
          <w:b/>
          <w:bCs/>
          <w:color w:val="5D3972" w:themeColor="accent1" w:themeShade="BF"/>
          <w:szCs w:val="22"/>
        </w:rPr>
      </w:pPr>
      <w:r w:rsidRPr="00E27351">
        <w:rPr>
          <w:b/>
          <w:bCs/>
          <w:color w:val="5D3972" w:themeColor="accent1" w:themeShade="BF"/>
          <w:szCs w:val="22"/>
        </w:rPr>
        <w:t>Table 3.</w:t>
      </w:r>
      <w:r w:rsidRPr="00E27351">
        <w:rPr>
          <w:b/>
          <w:bCs/>
          <w:color w:val="5D3972" w:themeColor="accent1" w:themeShade="BF"/>
          <w:szCs w:val="22"/>
        </w:rPr>
        <w:fldChar w:fldCharType="begin"/>
      </w:r>
      <w:r w:rsidRPr="00E27351">
        <w:rPr>
          <w:b/>
          <w:bCs/>
          <w:color w:val="5D3972" w:themeColor="accent1" w:themeShade="BF"/>
          <w:szCs w:val="22"/>
        </w:rPr>
        <w:instrText xml:space="preserve"> SEQ Table \* ARABIC </w:instrText>
      </w:r>
      <w:r w:rsidRPr="00E27351">
        <w:rPr>
          <w:b/>
          <w:bCs/>
          <w:color w:val="5D3972" w:themeColor="accent1" w:themeShade="BF"/>
          <w:szCs w:val="22"/>
        </w:rPr>
        <w:fldChar w:fldCharType="separate"/>
      </w:r>
      <w:r w:rsidR="0080181F">
        <w:rPr>
          <w:b/>
          <w:bCs/>
          <w:noProof/>
          <w:color w:val="5D3972" w:themeColor="accent1" w:themeShade="BF"/>
          <w:szCs w:val="22"/>
        </w:rPr>
        <w:t>3</w:t>
      </w:r>
      <w:r w:rsidRPr="00E27351">
        <w:rPr>
          <w:color w:val="5D3972" w:themeColor="accent1" w:themeShade="BF"/>
          <w:szCs w:val="22"/>
        </w:rPr>
        <w:fldChar w:fldCharType="end"/>
      </w:r>
      <w:r w:rsidRPr="00E27351">
        <w:rPr>
          <w:b/>
          <w:bCs/>
          <w:color w:val="5D3972" w:themeColor="accent1" w:themeShade="BF"/>
          <w:szCs w:val="22"/>
        </w:rPr>
        <w:t xml:space="preserve">: Electricity Tariff Structure in Major Provinces (October 2011) </w:t>
      </w:r>
    </w:p>
    <w:tbl>
      <w:tblPr>
        <w:tblW w:w="0" w:type="auto"/>
        <w:tblInd w:w="93" w:type="dxa"/>
        <w:tblLook w:val="04A0" w:firstRow="1" w:lastRow="0" w:firstColumn="1" w:lastColumn="0" w:noHBand="0" w:noVBand="1"/>
      </w:tblPr>
      <w:tblGrid>
        <w:gridCol w:w="1803"/>
        <w:gridCol w:w="1123"/>
        <w:gridCol w:w="984"/>
        <w:gridCol w:w="1036"/>
        <w:gridCol w:w="995"/>
        <w:gridCol w:w="1168"/>
        <w:gridCol w:w="1140"/>
        <w:gridCol w:w="1234"/>
      </w:tblGrid>
      <w:tr w:rsidR="002C070F" w:rsidRPr="00FC6326" w:rsidTr="00C74CFF">
        <w:trPr>
          <w:trHeight w:val="495"/>
        </w:trPr>
        <w:tc>
          <w:tcPr>
            <w:tcW w:w="0" w:type="auto"/>
            <w:tcBorders>
              <w:top w:val="single" w:sz="8" w:space="0" w:color="4F81BD"/>
              <w:left w:val="nil"/>
              <w:bottom w:val="single" w:sz="8" w:space="0" w:color="4F81BD"/>
              <w:right w:val="nil"/>
            </w:tcBorders>
            <w:shd w:val="clear" w:color="auto" w:fill="auto"/>
            <w:noWrap/>
            <w:vAlign w:val="center"/>
            <w:hideMark/>
          </w:tcPr>
          <w:p w:rsidR="002C070F" w:rsidRPr="00FC6326" w:rsidRDefault="002C070F" w:rsidP="00C74CFF">
            <w:pPr>
              <w:spacing w:after="0" w:line="240" w:lineRule="auto"/>
              <w:rPr>
                <w:rFonts w:ascii="Calibri" w:eastAsia="Times New Roman" w:hAnsi="Calibri" w:cs="Calibri"/>
                <w:b/>
                <w:bCs/>
                <w:color w:val="365F91"/>
                <w:sz w:val="18"/>
                <w:szCs w:val="18"/>
                <w:lang w:bidi="ar-SA"/>
              </w:rPr>
            </w:pPr>
            <w:r w:rsidRPr="00FC6326">
              <w:rPr>
                <w:rFonts w:ascii="Calibri" w:eastAsia="Times New Roman" w:hAnsi="Calibri" w:cs="Calibri"/>
                <w:b/>
                <w:bCs/>
                <w:color w:val="365F91"/>
                <w:sz w:val="18"/>
                <w:szCs w:val="18"/>
                <w:lang w:bidi="ar-SA"/>
              </w:rPr>
              <w:t>Customer group</w:t>
            </w:r>
          </w:p>
        </w:tc>
        <w:tc>
          <w:tcPr>
            <w:tcW w:w="0" w:type="auto"/>
            <w:tcBorders>
              <w:top w:val="single" w:sz="8" w:space="0" w:color="4F81BD"/>
              <w:left w:val="nil"/>
              <w:bottom w:val="single" w:sz="8" w:space="0" w:color="4F81BD"/>
              <w:right w:val="nil"/>
            </w:tcBorders>
            <w:shd w:val="clear" w:color="auto" w:fill="auto"/>
            <w:noWrap/>
            <w:vAlign w:val="center"/>
            <w:hideMark/>
          </w:tcPr>
          <w:p w:rsidR="002C070F" w:rsidRPr="00FC6326" w:rsidRDefault="002C070F" w:rsidP="00C74CFF">
            <w:pPr>
              <w:spacing w:after="0" w:line="240" w:lineRule="auto"/>
              <w:jc w:val="left"/>
              <w:rPr>
                <w:rFonts w:ascii="Calibri" w:eastAsia="Times New Roman" w:hAnsi="Calibri" w:cs="Calibri"/>
                <w:b/>
                <w:bCs/>
                <w:color w:val="365F91"/>
                <w:sz w:val="18"/>
                <w:szCs w:val="18"/>
                <w:lang w:bidi="ar-SA"/>
              </w:rPr>
            </w:pPr>
            <w:r w:rsidRPr="00FC6326">
              <w:rPr>
                <w:rFonts w:ascii="Calibri" w:eastAsia="Times New Roman" w:hAnsi="Calibri" w:cs="Calibri"/>
                <w:b/>
                <w:bCs/>
                <w:color w:val="365F91"/>
                <w:sz w:val="18"/>
                <w:szCs w:val="18"/>
                <w:lang w:bidi="ar-SA"/>
              </w:rPr>
              <w:t>Kabul (Central)</w:t>
            </w:r>
          </w:p>
        </w:tc>
        <w:tc>
          <w:tcPr>
            <w:tcW w:w="0" w:type="auto"/>
            <w:tcBorders>
              <w:top w:val="single" w:sz="8" w:space="0" w:color="4F81BD"/>
              <w:left w:val="nil"/>
              <w:bottom w:val="single" w:sz="8" w:space="0" w:color="4F81BD"/>
              <w:right w:val="nil"/>
            </w:tcBorders>
            <w:shd w:val="clear" w:color="auto" w:fill="auto"/>
            <w:noWrap/>
            <w:vAlign w:val="center"/>
            <w:hideMark/>
          </w:tcPr>
          <w:p w:rsidR="002C070F" w:rsidRPr="00FC6326" w:rsidRDefault="002C070F" w:rsidP="00C74CFF">
            <w:pPr>
              <w:spacing w:after="0" w:line="240" w:lineRule="auto"/>
              <w:jc w:val="left"/>
              <w:rPr>
                <w:rFonts w:ascii="Calibri" w:eastAsia="Times New Roman" w:hAnsi="Calibri" w:cs="Calibri"/>
                <w:b/>
                <w:bCs/>
                <w:color w:val="365F91"/>
                <w:sz w:val="18"/>
                <w:szCs w:val="18"/>
                <w:lang w:bidi="ar-SA"/>
              </w:rPr>
            </w:pPr>
            <w:r w:rsidRPr="00FC6326">
              <w:rPr>
                <w:rFonts w:ascii="Calibri" w:eastAsia="Times New Roman" w:hAnsi="Calibri" w:cstheme="minorHAnsi"/>
                <w:b/>
                <w:bCs/>
                <w:color w:val="365F91"/>
                <w:sz w:val="18"/>
                <w:szCs w:val="18"/>
                <w:lang w:bidi="ar-SA"/>
              </w:rPr>
              <w:t>Balkh (N.W.)</w:t>
            </w:r>
          </w:p>
        </w:tc>
        <w:tc>
          <w:tcPr>
            <w:tcW w:w="0" w:type="auto"/>
            <w:tcBorders>
              <w:top w:val="single" w:sz="8" w:space="0" w:color="4F81BD"/>
              <w:left w:val="nil"/>
              <w:bottom w:val="single" w:sz="8" w:space="0" w:color="4F81BD"/>
              <w:right w:val="nil"/>
            </w:tcBorders>
            <w:shd w:val="clear" w:color="auto" w:fill="auto"/>
            <w:noWrap/>
            <w:vAlign w:val="center"/>
            <w:hideMark/>
          </w:tcPr>
          <w:p w:rsidR="002C070F" w:rsidRPr="00FC6326" w:rsidRDefault="002C070F" w:rsidP="00C74CFF">
            <w:pPr>
              <w:spacing w:after="0" w:line="240" w:lineRule="auto"/>
              <w:jc w:val="left"/>
              <w:rPr>
                <w:rFonts w:ascii="Calibri" w:eastAsia="Times New Roman" w:hAnsi="Calibri" w:cs="Calibri"/>
                <w:b/>
                <w:bCs/>
                <w:color w:val="365F91"/>
                <w:sz w:val="18"/>
                <w:szCs w:val="18"/>
                <w:lang w:bidi="ar-SA"/>
              </w:rPr>
            </w:pPr>
            <w:r w:rsidRPr="00FC6326">
              <w:rPr>
                <w:rFonts w:ascii="Calibri" w:eastAsia="Times New Roman" w:hAnsi="Calibri" w:cstheme="minorHAnsi"/>
                <w:b/>
                <w:bCs/>
                <w:color w:val="365F91"/>
                <w:sz w:val="18"/>
                <w:szCs w:val="18"/>
                <w:lang w:bidi="ar-SA"/>
              </w:rPr>
              <w:t>Kunduz (N.E.)</w:t>
            </w:r>
          </w:p>
        </w:tc>
        <w:tc>
          <w:tcPr>
            <w:tcW w:w="0" w:type="auto"/>
            <w:tcBorders>
              <w:top w:val="single" w:sz="8" w:space="0" w:color="4F81BD"/>
              <w:left w:val="nil"/>
              <w:bottom w:val="single" w:sz="8" w:space="0" w:color="4F81BD"/>
              <w:right w:val="nil"/>
            </w:tcBorders>
            <w:shd w:val="clear" w:color="auto" w:fill="auto"/>
            <w:noWrap/>
            <w:vAlign w:val="center"/>
            <w:hideMark/>
          </w:tcPr>
          <w:p w:rsidR="002C070F" w:rsidRPr="00FC6326" w:rsidRDefault="002C070F" w:rsidP="00C74CFF">
            <w:pPr>
              <w:spacing w:after="0" w:line="240" w:lineRule="auto"/>
              <w:jc w:val="left"/>
              <w:rPr>
                <w:rFonts w:ascii="Calibri" w:eastAsia="Times New Roman" w:hAnsi="Calibri" w:cs="Calibri"/>
                <w:b/>
                <w:bCs/>
                <w:color w:val="365F91"/>
                <w:sz w:val="18"/>
                <w:szCs w:val="18"/>
                <w:lang w:bidi="ar-SA"/>
              </w:rPr>
            </w:pPr>
            <w:r w:rsidRPr="00FC6326">
              <w:rPr>
                <w:rFonts w:ascii="Calibri" w:eastAsia="Times New Roman" w:hAnsi="Calibri" w:cstheme="minorHAnsi"/>
                <w:b/>
                <w:bCs/>
                <w:color w:val="365F91"/>
                <w:sz w:val="18"/>
                <w:szCs w:val="18"/>
                <w:lang w:bidi="ar-SA"/>
              </w:rPr>
              <w:t>Heart (West)</w:t>
            </w:r>
          </w:p>
        </w:tc>
        <w:tc>
          <w:tcPr>
            <w:tcW w:w="0" w:type="auto"/>
            <w:tcBorders>
              <w:top w:val="single" w:sz="8" w:space="0" w:color="4F81BD"/>
              <w:left w:val="nil"/>
              <w:bottom w:val="single" w:sz="8" w:space="0" w:color="4F81BD"/>
              <w:right w:val="nil"/>
            </w:tcBorders>
            <w:shd w:val="clear" w:color="auto" w:fill="auto"/>
            <w:noWrap/>
            <w:vAlign w:val="center"/>
            <w:hideMark/>
          </w:tcPr>
          <w:p w:rsidR="002C070F" w:rsidRPr="00FC6326" w:rsidRDefault="002C070F" w:rsidP="00C74CFF">
            <w:pPr>
              <w:spacing w:after="0" w:line="240" w:lineRule="auto"/>
              <w:jc w:val="left"/>
              <w:rPr>
                <w:rFonts w:ascii="Calibri" w:eastAsia="Times New Roman" w:hAnsi="Calibri" w:cs="Calibri"/>
                <w:b/>
                <w:bCs/>
                <w:color w:val="365F91"/>
                <w:sz w:val="18"/>
                <w:szCs w:val="18"/>
                <w:lang w:bidi="ar-SA"/>
              </w:rPr>
            </w:pPr>
            <w:r w:rsidRPr="00FC6326">
              <w:rPr>
                <w:rFonts w:ascii="Calibri" w:eastAsia="Times New Roman" w:hAnsi="Calibri" w:cstheme="minorHAnsi"/>
                <w:b/>
                <w:bCs/>
                <w:color w:val="365F91"/>
                <w:sz w:val="18"/>
                <w:szCs w:val="18"/>
                <w:lang w:bidi="ar-SA"/>
              </w:rPr>
              <w:t>Helmand (S.W.)</w:t>
            </w:r>
          </w:p>
        </w:tc>
        <w:tc>
          <w:tcPr>
            <w:tcW w:w="0" w:type="auto"/>
            <w:tcBorders>
              <w:top w:val="single" w:sz="8" w:space="0" w:color="4F81BD"/>
              <w:left w:val="nil"/>
              <w:bottom w:val="single" w:sz="8" w:space="0" w:color="4F81BD"/>
              <w:right w:val="nil"/>
            </w:tcBorders>
            <w:shd w:val="clear" w:color="auto" w:fill="auto"/>
            <w:noWrap/>
            <w:vAlign w:val="center"/>
            <w:hideMark/>
          </w:tcPr>
          <w:p w:rsidR="002C070F" w:rsidRPr="00FC6326" w:rsidRDefault="002C070F" w:rsidP="00C74CFF">
            <w:pPr>
              <w:spacing w:after="0" w:line="240" w:lineRule="auto"/>
              <w:jc w:val="left"/>
              <w:rPr>
                <w:rFonts w:ascii="Calibri" w:eastAsia="Times New Roman" w:hAnsi="Calibri" w:cs="Calibri"/>
                <w:b/>
                <w:bCs/>
                <w:color w:val="365F91"/>
                <w:sz w:val="18"/>
                <w:szCs w:val="18"/>
                <w:lang w:bidi="ar-SA"/>
              </w:rPr>
            </w:pPr>
            <w:r w:rsidRPr="00FC6326">
              <w:rPr>
                <w:rFonts w:ascii="Calibri" w:eastAsia="Times New Roman" w:hAnsi="Calibri" w:cstheme="minorHAnsi"/>
                <w:b/>
                <w:bCs/>
                <w:color w:val="365F91"/>
                <w:sz w:val="18"/>
                <w:szCs w:val="18"/>
                <w:lang w:bidi="ar-SA"/>
              </w:rPr>
              <w:t>Kandahar (S.E.)</w:t>
            </w:r>
          </w:p>
        </w:tc>
        <w:tc>
          <w:tcPr>
            <w:tcW w:w="0" w:type="auto"/>
            <w:tcBorders>
              <w:top w:val="single" w:sz="8" w:space="0" w:color="4F81BD"/>
              <w:left w:val="nil"/>
              <w:bottom w:val="single" w:sz="8" w:space="0" w:color="4F81BD"/>
              <w:right w:val="nil"/>
            </w:tcBorders>
            <w:shd w:val="clear" w:color="auto" w:fill="auto"/>
            <w:noWrap/>
            <w:vAlign w:val="center"/>
            <w:hideMark/>
          </w:tcPr>
          <w:p w:rsidR="002C070F" w:rsidRPr="00FC6326" w:rsidRDefault="002C070F" w:rsidP="00C74CFF">
            <w:pPr>
              <w:spacing w:after="0" w:line="240" w:lineRule="auto"/>
              <w:jc w:val="left"/>
              <w:rPr>
                <w:rFonts w:ascii="Calibri" w:eastAsia="Times New Roman" w:hAnsi="Calibri" w:cs="Calibri"/>
                <w:b/>
                <w:bCs/>
                <w:color w:val="365F91"/>
                <w:sz w:val="18"/>
                <w:szCs w:val="18"/>
                <w:lang w:bidi="ar-SA"/>
              </w:rPr>
            </w:pPr>
            <w:r w:rsidRPr="00FC6326">
              <w:rPr>
                <w:rFonts w:ascii="Calibri" w:eastAsia="Times New Roman" w:hAnsi="Calibri" w:cstheme="minorHAnsi"/>
                <w:b/>
                <w:bCs/>
                <w:color w:val="365F91"/>
                <w:sz w:val="18"/>
                <w:szCs w:val="18"/>
                <w:lang w:bidi="ar-SA"/>
              </w:rPr>
              <w:t>Nangarhar (East)</w:t>
            </w:r>
          </w:p>
        </w:tc>
      </w:tr>
      <w:tr w:rsidR="002C070F" w:rsidRPr="00FC6326" w:rsidTr="00C74CFF">
        <w:trPr>
          <w:trHeight w:val="300"/>
        </w:trPr>
        <w:tc>
          <w:tcPr>
            <w:tcW w:w="0" w:type="auto"/>
            <w:tcBorders>
              <w:top w:val="nil"/>
              <w:left w:val="nil"/>
              <w:bottom w:val="nil"/>
              <w:right w:val="nil"/>
            </w:tcBorders>
            <w:shd w:val="clear" w:color="000000" w:fill="D3DFEE"/>
            <w:noWrap/>
            <w:hideMark/>
          </w:tcPr>
          <w:p w:rsidR="002C070F" w:rsidRPr="00FC6326" w:rsidRDefault="002C070F" w:rsidP="00C74CFF">
            <w:pPr>
              <w:spacing w:after="0" w:line="240" w:lineRule="auto"/>
              <w:jc w:val="left"/>
              <w:rPr>
                <w:rFonts w:ascii="Calibri" w:eastAsia="Times New Roman" w:hAnsi="Calibri" w:cs="Calibri"/>
                <w:color w:val="365F91"/>
                <w:sz w:val="20"/>
                <w:lang w:bidi="ar-SA"/>
              </w:rPr>
            </w:pPr>
            <w:r w:rsidRPr="00FC6326">
              <w:rPr>
                <w:rFonts w:ascii="Calibri" w:eastAsia="Times New Roman" w:hAnsi="Calibri" w:cs="Calibri"/>
                <w:color w:val="365F91"/>
                <w:sz w:val="20"/>
                <w:lang w:bidi="ar-SA"/>
              </w:rPr>
              <w:t> </w:t>
            </w:r>
          </w:p>
        </w:tc>
        <w:tc>
          <w:tcPr>
            <w:tcW w:w="0" w:type="auto"/>
            <w:tcBorders>
              <w:top w:val="nil"/>
              <w:left w:val="nil"/>
              <w:bottom w:val="nil"/>
              <w:right w:val="nil"/>
            </w:tcBorders>
            <w:shd w:val="clear" w:color="000000" w:fill="D3DFEE"/>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US$</w:t>
            </w:r>
          </w:p>
        </w:tc>
        <w:tc>
          <w:tcPr>
            <w:tcW w:w="0" w:type="auto"/>
            <w:tcBorders>
              <w:top w:val="nil"/>
              <w:left w:val="nil"/>
              <w:bottom w:val="nil"/>
              <w:right w:val="nil"/>
            </w:tcBorders>
            <w:shd w:val="clear" w:color="000000" w:fill="D3DFEE"/>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US$</w:t>
            </w:r>
          </w:p>
        </w:tc>
        <w:tc>
          <w:tcPr>
            <w:tcW w:w="0" w:type="auto"/>
            <w:tcBorders>
              <w:top w:val="nil"/>
              <w:left w:val="nil"/>
              <w:bottom w:val="nil"/>
              <w:right w:val="nil"/>
            </w:tcBorders>
            <w:shd w:val="clear" w:color="000000" w:fill="D3DFEE"/>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US$</w:t>
            </w:r>
          </w:p>
        </w:tc>
        <w:tc>
          <w:tcPr>
            <w:tcW w:w="0" w:type="auto"/>
            <w:tcBorders>
              <w:top w:val="nil"/>
              <w:left w:val="nil"/>
              <w:bottom w:val="nil"/>
              <w:right w:val="nil"/>
            </w:tcBorders>
            <w:shd w:val="clear" w:color="000000" w:fill="D3DFEE"/>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US$</w:t>
            </w:r>
          </w:p>
        </w:tc>
        <w:tc>
          <w:tcPr>
            <w:tcW w:w="0" w:type="auto"/>
            <w:tcBorders>
              <w:top w:val="nil"/>
              <w:left w:val="nil"/>
              <w:bottom w:val="nil"/>
              <w:right w:val="nil"/>
            </w:tcBorders>
            <w:shd w:val="clear" w:color="000000" w:fill="D3DFEE"/>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US$</w:t>
            </w:r>
          </w:p>
        </w:tc>
        <w:tc>
          <w:tcPr>
            <w:tcW w:w="0" w:type="auto"/>
            <w:tcBorders>
              <w:top w:val="nil"/>
              <w:left w:val="nil"/>
              <w:bottom w:val="nil"/>
              <w:right w:val="nil"/>
            </w:tcBorders>
            <w:shd w:val="clear" w:color="000000" w:fill="D3DFEE"/>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US$</w:t>
            </w:r>
          </w:p>
        </w:tc>
        <w:tc>
          <w:tcPr>
            <w:tcW w:w="0" w:type="auto"/>
            <w:tcBorders>
              <w:top w:val="nil"/>
              <w:left w:val="nil"/>
              <w:bottom w:val="nil"/>
              <w:right w:val="nil"/>
            </w:tcBorders>
            <w:shd w:val="clear" w:color="000000" w:fill="D3DFEE"/>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US$</w:t>
            </w:r>
          </w:p>
        </w:tc>
      </w:tr>
      <w:tr w:rsidR="002C070F" w:rsidRPr="00FC6326" w:rsidTr="00C74CFF">
        <w:trPr>
          <w:trHeight w:val="300"/>
        </w:trPr>
        <w:tc>
          <w:tcPr>
            <w:tcW w:w="0" w:type="auto"/>
            <w:tcBorders>
              <w:top w:val="nil"/>
              <w:left w:val="nil"/>
              <w:bottom w:val="nil"/>
              <w:right w:val="nil"/>
            </w:tcBorders>
            <w:shd w:val="clear" w:color="auto" w:fill="auto"/>
            <w:noWrap/>
            <w:vAlign w:val="center"/>
            <w:hideMark/>
          </w:tcPr>
          <w:p w:rsidR="002C070F" w:rsidRPr="00FC6326" w:rsidRDefault="002C070F" w:rsidP="00C74CFF">
            <w:pPr>
              <w:spacing w:after="0" w:line="240" w:lineRule="auto"/>
              <w:rPr>
                <w:rFonts w:ascii="Calibri" w:eastAsia="Times New Roman" w:hAnsi="Calibri" w:cs="Calibri"/>
                <w:b/>
                <w:bCs/>
                <w:color w:val="365F91"/>
                <w:sz w:val="18"/>
                <w:szCs w:val="18"/>
                <w:lang w:bidi="ar-SA"/>
              </w:rPr>
            </w:pPr>
            <w:r w:rsidRPr="00FC6326">
              <w:rPr>
                <w:rFonts w:ascii="Calibri" w:eastAsia="Times New Roman" w:hAnsi="Calibri" w:cstheme="minorHAnsi"/>
                <w:b/>
                <w:bCs/>
                <w:color w:val="365F91"/>
                <w:sz w:val="18"/>
                <w:szCs w:val="18"/>
                <w:lang w:bidi="ar-SA"/>
              </w:rPr>
              <w:t>Residential</w:t>
            </w:r>
          </w:p>
        </w:tc>
        <w:tc>
          <w:tcPr>
            <w:tcW w:w="0" w:type="auto"/>
            <w:tcBorders>
              <w:top w:val="nil"/>
              <w:left w:val="nil"/>
              <w:bottom w:val="nil"/>
              <w:right w:val="nil"/>
            </w:tcBorders>
            <w:shd w:val="clear" w:color="auto" w:fill="auto"/>
            <w:noWrap/>
            <w:hideMark/>
          </w:tcPr>
          <w:p w:rsidR="002C070F" w:rsidRPr="00FC6326" w:rsidRDefault="002C070F" w:rsidP="00C74CFF">
            <w:pPr>
              <w:spacing w:after="0" w:line="240" w:lineRule="auto"/>
              <w:jc w:val="left"/>
              <w:rPr>
                <w:rFonts w:ascii="Calibri" w:eastAsia="Times New Roman" w:hAnsi="Calibri" w:cs="Calibri"/>
                <w:color w:val="365F91"/>
                <w:sz w:val="20"/>
                <w:lang w:bidi="ar-SA"/>
              </w:rPr>
            </w:pPr>
          </w:p>
        </w:tc>
        <w:tc>
          <w:tcPr>
            <w:tcW w:w="0" w:type="auto"/>
            <w:tcBorders>
              <w:top w:val="nil"/>
              <w:left w:val="nil"/>
              <w:bottom w:val="nil"/>
              <w:right w:val="nil"/>
            </w:tcBorders>
            <w:shd w:val="clear" w:color="auto" w:fill="auto"/>
            <w:noWrap/>
            <w:hideMark/>
          </w:tcPr>
          <w:p w:rsidR="002C070F" w:rsidRPr="00FC6326" w:rsidRDefault="002C070F" w:rsidP="00C74CFF">
            <w:pPr>
              <w:spacing w:after="0" w:line="240" w:lineRule="auto"/>
              <w:jc w:val="left"/>
              <w:rPr>
                <w:rFonts w:ascii="Calibri" w:eastAsia="Times New Roman" w:hAnsi="Calibri" w:cs="Calibri"/>
                <w:color w:val="365F91"/>
                <w:sz w:val="20"/>
                <w:lang w:bidi="ar-SA"/>
              </w:rPr>
            </w:pPr>
          </w:p>
        </w:tc>
        <w:tc>
          <w:tcPr>
            <w:tcW w:w="0" w:type="auto"/>
            <w:tcBorders>
              <w:top w:val="nil"/>
              <w:left w:val="nil"/>
              <w:bottom w:val="nil"/>
              <w:right w:val="nil"/>
            </w:tcBorders>
            <w:shd w:val="clear" w:color="auto" w:fill="auto"/>
            <w:noWrap/>
            <w:hideMark/>
          </w:tcPr>
          <w:p w:rsidR="002C070F" w:rsidRPr="00FC6326" w:rsidRDefault="002C070F" w:rsidP="00C74CFF">
            <w:pPr>
              <w:spacing w:after="0" w:line="240" w:lineRule="auto"/>
              <w:jc w:val="left"/>
              <w:rPr>
                <w:rFonts w:ascii="Calibri" w:eastAsia="Times New Roman" w:hAnsi="Calibri" w:cs="Calibri"/>
                <w:color w:val="365F91"/>
                <w:sz w:val="20"/>
                <w:lang w:bidi="ar-SA"/>
              </w:rPr>
            </w:pPr>
          </w:p>
        </w:tc>
        <w:tc>
          <w:tcPr>
            <w:tcW w:w="0" w:type="auto"/>
            <w:tcBorders>
              <w:top w:val="nil"/>
              <w:left w:val="nil"/>
              <w:bottom w:val="nil"/>
              <w:right w:val="nil"/>
            </w:tcBorders>
            <w:shd w:val="clear" w:color="auto" w:fill="auto"/>
            <w:noWrap/>
            <w:hideMark/>
          </w:tcPr>
          <w:p w:rsidR="002C070F" w:rsidRPr="00FC6326" w:rsidRDefault="002C070F" w:rsidP="00C74CFF">
            <w:pPr>
              <w:spacing w:after="0" w:line="240" w:lineRule="auto"/>
              <w:jc w:val="left"/>
              <w:rPr>
                <w:rFonts w:ascii="Calibri" w:eastAsia="Times New Roman" w:hAnsi="Calibri" w:cs="Calibri"/>
                <w:color w:val="365F91"/>
                <w:sz w:val="20"/>
                <w:lang w:bidi="ar-SA"/>
              </w:rPr>
            </w:pPr>
          </w:p>
        </w:tc>
        <w:tc>
          <w:tcPr>
            <w:tcW w:w="0" w:type="auto"/>
            <w:tcBorders>
              <w:top w:val="nil"/>
              <w:left w:val="nil"/>
              <w:bottom w:val="nil"/>
              <w:right w:val="nil"/>
            </w:tcBorders>
            <w:shd w:val="clear" w:color="auto" w:fill="auto"/>
            <w:noWrap/>
            <w:hideMark/>
          </w:tcPr>
          <w:p w:rsidR="002C070F" w:rsidRPr="00FC6326" w:rsidRDefault="002C070F" w:rsidP="00C74CFF">
            <w:pPr>
              <w:spacing w:after="0" w:line="240" w:lineRule="auto"/>
              <w:jc w:val="left"/>
              <w:rPr>
                <w:rFonts w:ascii="Calibri" w:eastAsia="Times New Roman" w:hAnsi="Calibri" w:cs="Calibri"/>
                <w:color w:val="365F91"/>
                <w:sz w:val="20"/>
                <w:lang w:bidi="ar-SA"/>
              </w:rPr>
            </w:pPr>
          </w:p>
        </w:tc>
        <w:tc>
          <w:tcPr>
            <w:tcW w:w="0" w:type="auto"/>
            <w:tcBorders>
              <w:top w:val="nil"/>
              <w:left w:val="nil"/>
              <w:bottom w:val="nil"/>
              <w:right w:val="nil"/>
            </w:tcBorders>
            <w:shd w:val="clear" w:color="auto" w:fill="auto"/>
            <w:noWrap/>
            <w:hideMark/>
          </w:tcPr>
          <w:p w:rsidR="002C070F" w:rsidRPr="00FC6326" w:rsidRDefault="002C070F" w:rsidP="00C74CFF">
            <w:pPr>
              <w:spacing w:after="0" w:line="240" w:lineRule="auto"/>
              <w:jc w:val="left"/>
              <w:rPr>
                <w:rFonts w:ascii="Calibri" w:eastAsia="Times New Roman" w:hAnsi="Calibri" w:cs="Calibri"/>
                <w:color w:val="365F91"/>
                <w:sz w:val="20"/>
                <w:lang w:bidi="ar-SA"/>
              </w:rPr>
            </w:pPr>
          </w:p>
        </w:tc>
        <w:tc>
          <w:tcPr>
            <w:tcW w:w="0" w:type="auto"/>
            <w:tcBorders>
              <w:top w:val="nil"/>
              <w:left w:val="nil"/>
              <w:bottom w:val="nil"/>
              <w:right w:val="nil"/>
            </w:tcBorders>
            <w:shd w:val="clear" w:color="auto" w:fill="auto"/>
            <w:noWrap/>
            <w:hideMark/>
          </w:tcPr>
          <w:p w:rsidR="002C070F" w:rsidRPr="00FC6326" w:rsidRDefault="002C070F" w:rsidP="00C74CFF">
            <w:pPr>
              <w:spacing w:after="0" w:line="240" w:lineRule="auto"/>
              <w:jc w:val="left"/>
              <w:rPr>
                <w:rFonts w:ascii="Calibri" w:eastAsia="Times New Roman" w:hAnsi="Calibri" w:cs="Calibri"/>
                <w:color w:val="365F91"/>
                <w:sz w:val="20"/>
                <w:lang w:bidi="ar-SA"/>
              </w:rPr>
            </w:pPr>
          </w:p>
        </w:tc>
      </w:tr>
      <w:tr w:rsidR="002C070F" w:rsidRPr="00FC6326" w:rsidTr="00C74CFF">
        <w:trPr>
          <w:trHeight w:val="480"/>
        </w:trPr>
        <w:tc>
          <w:tcPr>
            <w:tcW w:w="0" w:type="auto"/>
            <w:tcBorders>
              <w:top w:val="nil"/>
              <w:left w:val="nil"/>
              <w:bottom w:val="nil"/>
              <w:right w:val="nil"/>
            </w:tcBorders>
            <w:shd w:val="clear" w:color="000000" w:fill="D3DFEE"/>
            <w:noWrap/>
            <w:vAlign w:val="center"/>
            <w:hideMark/>
          </w:tcPr>
          <w:p w:rsidR="002C070F" w:rsidRPr="00FC6326" w:rsidRDefault="002C070F" w:rsidP="00C74CFF">
            <w:pPr>
              <w:spacing w:after="0" w:line="240" w:lineRule="auto"/>
              <w:rPr>
                <w:rFonts w:ascii="Calibri" w:eastAsia="Times New Roman" w:hAnsi="Calibri" w:cs="Calibri"/>
                <w:b/>
                <w:bCs/>
                <w:color w:val="365F91"/>
                <w:sz w:val="18"/>
                <w:szCs w:val="18"/>
                <w:lang w:bidi="ar-SA"/>
              </w:rPr>
            </w:pPr>
            <w:r w:rsidRPr="00FC6326">
              <w:rPr>
                <w:rFonts w:ascii="Calibri" w:eastAsia="Times New Roman" w:hAnsi="Calibri" w:cstheme="minorHAnsi"/>
                <w:b/>
                <w:bCs/>
                <w:color w:val="365F91"/>
                <w:sz w:val="18"/>
                <w:szCs w:val="18"/>
                <w:lang w:bidi="ar-SA"/>
              </w:rPr>
              <w:t>Up to 300 kWh</w:t>
            </w:r>
          </w:p>
        </w:tc>
        <w:tc>
          <w:tcPr>
            <w:tcW w:w="0" w:type="auto"/>
            <w:tcBorders>
              <w:top w:val="nil"/>
              <w:left w:val="nil"/>
              <w:bottom w:val="nil"/>
              <w:right w:val="nil"/>
            </w:tcBorders>
            <w:shd w:val="clear" w:color="000000" w:fill="D3DFEE"/>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0.031</w:t>
            </w:r>
          </w:p>
        </w:tc>
        <w:tc>
          <w:tcPr>
            <w:tcW w:w="0" w:type="auto"/>
            <w:tcBorders>
              <w:top w:val="nil"/>
              <w:left w:val="nil"/>
              <w:bottom w:val="nil"/>
              <w:right w:val="nil"/>
            </w:tcBorders>
            <w:shd w:val="clear" w:color="000000" w:fill="D3DFEE"/>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0.092</w:t>
            </w:r>
          </w:p>
        </w:tc>
        <w:tc>
          <w:tcPr>
            <w:tcW w:w="0" w:type="auto"/>
            <w:tcBorders>
              <w:top w:val="nil"/>
              <w:left w:val="nil"/>
              <w:bottom w:val="nil"/>
              <w:right w:val="nil"/>
            </w:tcBorders>
            <w:shd w:val="clear" w:color="000000" w:fill="D3DFEE"/>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0.051</w:t>
            </w:r>
          </w:p>
        </w:tc>
        <w:tc>
          <w:tcPr>
            <w:tcW w:w="0" w:type="auto"/>
            <w:tcBorders>
              <w:top w:val="nil"/>
              <w:left w:val="nil"/>
              <w:bottom w:val="nil"/>
              <w:right w:val="nil"/>
            </w:tcBorders>
            <w:shd w:val="clear" w:color="000000" w:fill="D3DFEE"/>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0.041</w:t>
            </w:r>
          </w:p>
        </w:tc>
        <w:tc>
          <w:tcPr>
            <w:tcW w:w="0" w:type="auto"/>
            <w:tcBorders>
              <w:top w:val="nil"/>
              <w:left w:val="nil"/>
              <w:bottom w:val="nil"/>
              <w:right w:val="nil"/>
            </w:tcBorders>
            <w:shd w:val="clear" w:color="000000" w:fill="D3DFEE"/>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0.031</w:t>
            </w:r>
          </w:p>
        </w:tc>
        <w:tc>
          <w:tcPr>
            <w:tcW w:w="0" w:type="auto"/>
            <w:tcBorders>
              <w:top w:val="nil"/>
              <w:left w:val="nil"/>
              <w:bottom w:val="nil"/>
              <w:right w:val="nil"/>
            </w:tcBorders>
            <w:shd w:val="clear" w:color="000000" w:fill="D3DFEE"/>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0.031</w:t>
            </w:r>
          </w:p>
        </w:tc>
        <w:tc>
          <w:tcPr>
            <w:tcW w:w="0" w:type="auto"/>
            <w:tcBorders>
              <w:top w:val="nil"/>
              <w:left w:val="nil"/>
              <w:bottom w:val="nil"/>
              <w:right w:val="nil"/>
            </w:tcBorders>
            <w:shd w:val="clear" w:color="000000" w:fill="D3DFEE"/>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0.031</w:t>
            </w:r>
          </w:p>
        </w:tc>
      </w:tr>
      <w:tr w:rsidR="002C070F" w:rsidRPr="00FC6326" w:rsidTr="00C74CFF">
        <w:trPr>
          <w:trHeight w:val="480"/>
        </w:trPr>
        <w:tc>
          <w:tcPr>
            <w:tcW w:w="0" w:type="auto"/>
            <w:tcBorders>
              <w:top w:val="nil"/>
              <w:left w:val="nil"/>
              <w:bottom w:val="nil"/>
              <w:right w:val="nil"/>
            </w:tcBorders>
            <w:shd w:val="clear" w:color="auto" w:fill="auto"/>
            <w:noWrap/>
            <w:vAlign w:val="center"/>
            <w:hideMark/>
          </w:tcPr>
          <w:p w:rsidR="002C070F" w:rsidRPr="00FC6326" w:rsidRDefault="002C070F" w:rsidP="00C74CFF">
            <w:pPr>
              <w:spacing w:after="0" w:line="240" w:lineRule="auto"/>
              <w:rPr>
                <w:rFonts w:ascii="Calibri" w:eastAsia="Times New Roman" w:hAnsi="Calibri" w:cs="Calibri"/>
                <w:b/>
                <w:bCs/>
                <w:color w:val="365F91"/>
                <w:sz w:val="18"/>
                <w:szCs w:val="18"/>
                <w:lang w:bidi="ar-SA"/>
              </w:rPr>
            </w:pPr>
            <w:r w:rsidRPr="00FC6326">
              <w:rPr>
                <w:rFonts w:ascii="Calibri" w:eastAsia="Times New Roman" w:hAnsi="Calibri" w:cstheme="minorHAnsi"/>
                <w:b/>
                <w:bCs/>
                <w:color w:val="365F91"/>
                <w:sz w:val="18"/>
                <w:szCs w:val="18"/>
                <w:lang w:bidi="ar-SA"/>
              </w:rPr>
              <w:t>301 - 700 kWh</w:t>
            </w:r>
          </w:p>
        </w:tc>
        <w:tc>
          <w:tcPr>
            <w:tcW w:w="0" w:type="auto"/>
            <w:tcBorders>
              <w:top w:val="nil"/>
              <w:left w:val="nil"/>
              <w:bottom w:val="nil"/>
              <w:right w:val="nil"/>
            </w:tcBorders>
            <w:shd w:val="clear" w:color="auto" w:fill="auto"/>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0.082</w:t>
            </w:r>
          </w:p>
        </w:tc>
        <w:tc>
          <w:tcPr>
            <w:tcW w:w="0" w:type="auto"/>
            <w:tcBorders>
              <w:top w:val="nil"/>
              <w:left w:val="nil"/>
              <w:bottom w:val="nil"/>
              <w:right w:val="nil"/>
            </w:tcBorders>
            <w:shd w:val="clear" w:color="auto" w:fill="auto"/>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w:t>
            </w:r>
          </w:p>
        </w:tc>
        <w:tc>
          <w:tcPr>
            <w:tcW w:w="0" w:type="auto"/>
            <w:tcBorders>
              <w:top w:val="nil"/>
              <w:left w:val="nil"/>
              <w:bottom w:val="nil"/>
              <w:right w:val="nil"/>
            </w:tcBorders>
            <w:shd w:val="clear" w:color="auto" w:fill="auto"/>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0.051</w:t>
            </w:r>
          </w:p>
        </w:tc>
        <w:tc>
          <w:tcPr>
            <w:tcW w:w="0" w:type="auto"/>
            <w:tcBorders>
              <w:top w:val="nil"/>
              <w:left w:val="nil"/>
              <w:bottom w:val="nil"/>
              <w:right w:val="nil"/>
            </w:tcBorders>
            <w:shd w:val="clear" w:color="auto" w:fill="auto"/>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0.041</w:t>
            </w:r>
          </w:p>
        </w:tc>
        <w:tc>
          <w:tcPr>
            <w:tcW w:w="0" w:type="auto"/>
            <w:tcBorders>
              <w:top w:val="nil"/>
              <w:left w:val="nil"/>
              <w:bottom w:val="nil"/>
              <w:right w:val="nil"/>
            </w:tcBorders>
            <w:shd w:val="clear" w:color="auto" w:fill="auto"/>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0.082</w:t>
            </w:r>
          </w:p>
        </w:tc>
        <w:tc>
          <w:tcPr>
            <w:tcW w:w="0" w:type="auto"/>
            <w:tcBorders>
              <w:top w:val="nil"/>
              <w:left w:val="nil"/>
              <w:bottom w:val="nil"/>
              <w:right w:val="nil"/>
            </w:tcBorders>
            <w:shd w:val="clear" w:color="auto" w:fill="auto"/>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0.082</w:t>
            </w:r>
          </w:p>
        </w:tc>
        <w:tc>
          <w:tcPr>
            <w:tcW w:w="0" w:type="auto"/>
            <w:tcBorders>
              <w:top w:val="nil"/>
              <w:left w:val="nil"/>
              <w:bottom w:val="nil"/>
              <w:right w:val="nil"/>
            </w:tcBorders>
            <w:shd w:val="clear" w:color="auto" w:fill="auto"/>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0.082</w:t>
            </w:r>
          </w:p>
        </w:tc>
      </w:tr>
      <w:tr w:rsidR="002C070F" w:rsidRPr="00FC6326" w:rsidTr="00C74CFF">
        <w:trPr>
          <w:trHeight w:val="480"/>
        </w:trPr>
        <w:tc>
          <w:tcPr>
            <w:tcW w:w="0" w:type="auto"/>
            <w:tcBorders>
              <w:top w:val="nil"/>
              <w:left w:val="nil"/>
              <w:bottom w:val="nil"/>
              <w:right w:val="nil"/>
            </w:tcBorders>
            <w:shd w:val="clear" w:color="000000" w:fill="D3DFEE"/>
            <w:noWrap/>
            <w:vAlign w:val="center"/>
            <w:hideMark/>
          </w:tcPr>
          <w:p w:rsidR="002C070F" w:rsidRPr="00FC6326" w:rsidRDefault="002C070F" w:rsidP="00C74CFF">
            <w:pPr>
              <w:spacing w:after="0" w:line="240" w:lineRule="auto"/>
              <w:rPr>
                <w:rFonts w:ascii="Calibri" w:eastAsia="Times New Roman" w:hAnsi="Calibri" w:cs="Calibri"/>
                <w:b/>
                <w:bCs/>
                <w:color w:val="365F91"/>
                <w:sz w:val="18"/>
                <w:szCs w:val="18"/>
                <w:lang w:bidi="ar-SA"/>
              </w:rPr>
            </w:pPr>
            <w:r w:rsidRPr="00FC6326">
              <w:rPr>
                <w:rFonts w:ascii="Calibri" w:eastAsia="Times New Roman" w:hAnsi="Calibri" w:cstheme="minorHAnsi"/>
                <w:b/>
                <w:bCs/>
                <w:color w:val="365F91"/>
                <w:sz w:val="18"/>
                <w:szCs w:val="18"/>
                <w:lang w:bidi="ar-SA"/>
              </w:rPr>
              <w:t>Above 701 kWh</w:t>
            </w:r>
          </w:p>
        </w:tc>
        <w:tc>
          <w:tcPr>
            <w:tcW w:w="0" w:type="auto"/>
            <w:tcBorders>
              <w:top w:val="nil"/>
              <w:left w:val="nil"/>
              <w:bottom w:val="nil"/>
              <w:right w:val="nil"/>
            </w:tcBorders>
            <w:shd w:val="clear" w:color="000000" w:fill="D3DFEE"/>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0.123</w:t>
            </w:r>
          </w:p>
        </w:tc>
        <w:tc>
          <w:tcPr>
            <w:tcW w:w="0" w:type="auto"/>
            <w:tcBorders>
              <w:top w:val="nil"/>
              <w:left w:val="nil"/>
              <w:bottom w:val="nil"/>
              <w:right w:val="nil"/>
            </w:tcBorders>
            <w:shd w:val="clear" w:color="000000" w:fill="D3DFEE"/>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w:t>
            </w:r>
          </w:p>
        </w:tc>
        <w:tc>
          <w:tcPr>
            <w:tcW w:w="0" w:type="auto"/>
            <w:tcBorders>
              <w:top w:val="nil"/>
              <w:left w:val="nil"/>
              <w:bottom w:val="nil"/>
              <w:right w:val="nil"/>
            </w:tcBorders>
            <w:shd w:val="clear" w:color="000000" w:fill="D3DFEE"/>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0.051</w:t>
            </w:r>
          </w:p>
        </w:tc>
        <w:tc>
          <w:tcPr>
            <w:tcW w:w="0" w:type="auto"/>
            <w:tcBorders>
              <w:top w:val="nil"/>
              <w:left w:val="nil"/>
              <w:bottom w:val="nil"/>
              <w:right w:val="nil"/>
            </w:tcBorders>
            <w:shd w:val="clear" w:color="000000" w:fill="D3DFEE"/>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0.041</w:t>
            </w:r>
          </w:p>
        </w:tc>
        <w:tc>
          <w:tcPr>
            <w:tcW w:w="0" w:type="auto"/>
            <w:tcBorders>
              <w:top w:val="nil"/>
              <w:left w:val="nil"/>
              <w:bottom w:val="nil"/>
              <w:right w:val="nil"/>
            </w:tcBorders>
            <w:shd w:val="clear" w:color="000000" w:fill="D3DFEE"/>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0.123</w:t>
            </w:r>
          </w:p>
        </w:tc>
        <w:tc>
          <w:tcPr>
            <w:tcW w:w="0" w:type="auto"/>
            <w:tcBorders>
              <w:top w:val="nil"/>
              <w:left w:val="nil"/>
              <w:bottom w:val="nil"/>
              <w:right w:val="nil"/>
            </w:tcBorders>
            <w:shd w:val="clear" w:color="000000" w:fill="D3DFEE"/>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0.123</w:t>
            </w:r>
          </w:p>
        </w:tc>
        <w:tc>
          <w:tcPr>
            <w:tcW w:w="0" w:type="auto"/>
            <w:tcBorders>
              <w:top w:val="nil"/>
              <w:left w:val="nil"/>
              <w:bottom w:val="nil"/>
              <w:right w:val="nil"/>
            </w:tcBorders>
            <w:shd w:val="clear" w:color="000000" w:fill="D3DFEE"/>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0.123</w:t>
            </w:r>
          </w:p>
        </w:tc>
      </w:tr>
      <w:tr w:rsidR="002C070F" w:rsidRPr="00FC6326" w:rsidTr="00C74CFF">
        <w:trPr>
          <w:trHeight w:val="960"/>
        </w:trPr>
        <w:tc>
          <w:tcPr>
            <w:tcW w:w="0" w:type="auto"/>
            <w:tcBorders>
              <w:top w:val="nil"/>
              <w:left w:val="nil"/>
              <w:bottom w:val="nil"/>
              <w:right w:val="nil"/>
            </w:tcBorders>
            <w:shd w:val="clear" w:color="auto" w:fill="auto"/>
            <w:noWrap/>
            <w:vAlign w:val="center"/>
            <w:hideMark/>
          </w:tcPr>
          <w:p w:rsidR="002C070F" w:rsidRPr="00FC6326" w:rsidRDefault="002C070F" w:rsidP="00C74CFF">
            <w:pPr>
              <w:spacing w:after="0" w:line="240" w:lineRule="auto"/>
              <w:rPr>
                <w:rFonts w:ascii="Calibri" w:eastAsia="Times New Roman" w:hAnsi="Calibri" w:cs="Calibri"/>
                <w:b/>
                <w:bCs/>
                <w:color w:val="365F91"/>
                <w:sz w:val="18"/>
                <w:szCs w:val="18"/>
                <w:lang w:bidi="ar-SA"/>
              </w:rPr>
            </w:pPr>
            <w:r w:rsidRPr="00FC6326">
              <w:rPr>
                <w:rFonts w:ascii="Calibri" w:eastAsia="Times New Roman" w:hAnsi="Calibri" w:cstheme="minorHAnsi"/>
                <w:b/>
                <w:bCs/>
                <w:color w:val="365F91"/>
                <w:sz w:val="18"/>
                <w:szCs w:val="18"/>
                <w:lang w:bidi="ar-SA"/>
              </w:rPr>
              <w:t>Manufactures (registered)</w:t>
            </w:r>
          </w:p>
        </w:tc>
        <w:tc>
          <w:tcPr>
            <w:tcW w:w="0" w:type="auto"/>
            <w:tcBorders>
              <w:top w:val="nil"/>
              <w:left w:val="nil"/>
              <w:bottom w:val="nil"/>
              <w:right w:val="nil"/>
            </w:tcBorders>
            <w:shd w:val="clear" w:color="auto" w:fill="auto"/>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0.123</w:t>
            </w:r>
          </w:p>
        </w:tc>
        <w:tc>
          <w:tcPr>
            <w:tcW w:w="0" w:type="auto"/>
            <w:tcBorders>
              <w:top w:val="nil"/>
              <w:left w:val="nil"/>
              <w:bottom w:val="nil"/>
              <w:right w:val="nil"/>
            </w:tcBorders>
            <w:shd w:val="clear" w:color="auto" w:fill="auto"/>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0.184</w:t>
            </w:r>
          </w:p>
        </w:tc>
        <w:tc>
          <w:tcPr>
            <w:tcW w:w="0" w:type="auto"/>
            <w:tcBorders>
              <w:top w:val="nil"/>
              <w:left w:val="nil"/>
              <w:bottom w:val="nil"/>
              <w:right w:val="nil"/>
            </w:tcBorders>
            <w:shd w:val="clear" w:color="auto" w:fill="auto"/>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0.143</w:t>
            </w:r>
          </w:p>
        </w:tc>
        <w:tc>
          <w:tcPr>
            <w:tcW w:w="0" w:type="auto"/>
            <w:tcBorders>
              <w:top w:val="nil"/>
              <w:left w:val="nil"/>
              <w:bottom w:val="nil"/>
              <w:right w:val="nil"/>
            </w:tcBorders>
            <w:shd w:val="clear" w:color="auto" w:fill="auto"/>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0.123</w:t>
            </w:r>
          </w:p>
        </w:tc>
        <w:tc>
          <w:tcPr>
            <w:tcW w:w="0" w:type="auto"/>
            <w:tcBorders>
              <w:top w:val="nil"/>
              <w:left w:val="nil"/>
              <w:bottom w:val="nil"/>
              <w:right w:val="nil"/>
            </w:tcBorders>
            <w:shd w:val="clear" w:color="auto" w:fill="auto"/>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0.123</w:t>
            </w:r>
          </w:p>
        </w:tc>
        <w:tc>
          <w:tcPr>
            <w:tcW w:w="0" w:type="auto"/>
            <w:tcBorders>
              <w:top w:val="nil"/>
              <w:left w:val="nil"/>
              <w:bottom w:val="nil"/>
              <w:right w:val="nil"/>
            </w:tcBorders>
            <w:shd w:val="clear" w:color="auto" w:fill="auto"/>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0.123</w:t>
            </w:r>
          </w:p>
        </w:tc>
        <w:tc>
          <w:tcPr>
            <w:tcW w:w="0" w:type="auto"/>
            <w:tcBorders>
              <w:top w:val="nil"/>
              <w:left w:val="nil"/>
              <w:bottom w:val="nil"/>
              <w:right w:val="nil"/>
            </w:tcBorders>
            <w:shd w:val="clear" w:color="auto" w:fill="auto"/>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0.205</w:t>
            </w:r>
          </w:p>
        </w:tc>
      </w:tr>
      <w:tr w:rsidR="002C070F" w:rsidRPr="00FC6326" w:rsidTr="00C74CFF">
        <w:trPr>
          <w:trHeight w:val="480"/>
        </w:trPr>
        <w:tc>
          <w:tcPr>
            <w:tcW w:w="0" w:type="auto"/>
            <w:tcBorders>
              <w:top w:val="nil"/>
              <w:left w:val="nil"/>
              <w:bottom w:val="nil"/>
              <w:right w:val="nil"/>
            </w:tcBorders>
            <w:shd w:val="clear" w:color="000000" w:fill="D3DFEE"/>
            <w:noWrap/>
            <w:vAlign w:val="center"/>
            <w:hideMark/>
          </w:tcPr>
          <w:p w:rsidR="002C070F" w:rsidRPr="00FC6326" w:rsidRDefault="002C070F" w:rsidP="00C74CFF">
            <w:pPr>
              <w:spacing w:after="0" w:line="240" w:lineRule="auto"/>
              <w:rPr>
                <w:rFonts w:ascii="Calibri" w:eastAsia="Times New Roman" w:hAnsi="Calibri" w:cs="Calibri"/>
                <w:b/>
                <w:bCs/>
                <w:color w:val="365F91"/>
                <w:sz w:val="18"/>
                <w:szCs w:val="18"/>
                <w:lang w:bidi="ar-SA"/>
              </w:rPr>
            </w:pPr>
            <w:r w:rsidRPr="00FC6326">
              <w:rPr>
                <w:rFonts w:ascii="Calibri" w:eastAsia="Times New Roman" w:hAnsi="Calibri" w:cstheme="minorHAnsi"/>
                <w:b/>
                <w:bCs/>
                <w:color w:val="365F91"/>
                <w:sz w:val="18"/>
                <w:szCs w:val="18"/>
                <w:lang w:bidi="ar-SA"/>
              </w:rPr>
              <w:t>Commercial</w:t>
            </w:r>
          </w:p>
        </w:tc>
        <w:tc>
          <w:tcPr>
            <w:tcW w:w="0" w:type="auto"/>
            <w:tcBorders>
              <w:top w:val="nil"/>
              <w:left w:val="nil"/>
              <w:bottom w:val="nil"/>
              <w:right w:val="nil"/>
            </w:tcBorders>
            <w:shd w:val="clear" w:color="000000" w:fill="D3DFEE"/>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0.205</w:t>
            </w:r>
          </w:p>
        </w:tc>
        <w:tc>
          <w:tcPr>
            <w:tcW w:w="0" w:type="auto"/>
            <w:tcBorders>
              <w:top w:val="nil"/>
              <w:left w:val="nil"/>
              <w:bottom w:val="nil"/>
              <w:right w:val="nil"/>
            </w:tcBorders>
            <w:shd w:val="clear" w:color="000000" w:fill="D3DFEE"/>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0.246</w:t>
            </w:r>
          </w:p>
        </w:tc>
        <w:tc>
          <w:tcPr>
            <w:tcW w:w="0" w:type="auto"/>
            <w:tcBorders>
              <w:top w:val="nil"/>
              <w:left w:val="nil"/>
              <w:bottom w:val="nil"/>
              <w:right w:val="nil"/>
            </w:tcBorders>
            <w:shd w:val="clear" w:color="000000" w:fill="D3DFEE"/>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0.143</w:t>
            </w:r>
          </w:p>
        </w:tc>
        <w:tc>
          <w:tcPr>
            <w:tcW w:w="0" w:type="auto"/>
            <w:tcBorders>
              <w:top w:val="nil"/>
              <w:left w:val="nil"/>
              <w:bottom w:val="nil"/>
              <w:right w:val="nil"/>
            </w:tcBorders>
            <w:shd w:val="clear" w:color="000000" w:fill="D3DFEE"/>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0.143</w:t>
            </w:r>
          </w:p>
        </w:tc>
        <w:tc>
          <w:tcPr>
            <w:tcW w:w="0" w:type="auto"/>
            <w:tcBorders>
              <w:top w:val="nil"/>
              <w:left w:val="nil"/>
              <w:bottom w:val="nil"/>
              <w:right w:val="nil"/>
            </w:tcBorders>
            <w:shd w:val="clear" w:color="000000" w:fill="D3DFEE"/>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0.205</w:t>
            </w:r>
          </w:p>
        </w:tc>
        <w:tc>
          <w:tcPr>
            <w:tcW w:w="0" w:type="auto"/>
            <w:tcBorders>
              <w:top w:val="nil"/>
              <w:left w:val="nil"/>
              <w:bottom w:val="nil"/>
              <w:right w:val="nil"/>
            </w:tcBorders>
            <w:shd w:val="clear" w:color="000000" w:fill="D3DFEE"/>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0.205</w:t>
            </w:r>
          </w:p>
        </w:tc>
        <w:tc>
          <w:tcPr>
            <w:tcW w:w="0" w:type="auto"/>
            <w:tcBorders>
              <w:top w:val="nil"/>
              <w:left w:val="nil"/>
              <w:bottom w:val="nil"/>
              <w:right w:val="nil"/>
            </w:tcBorders>
            <w:shd w:val="clear" w:color="000000" w:fill="D3DFEE"/>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0.205</w:t>
            </w:r>
          </w:p>
        </w:tc>
      </w:tr>
      <w:tr w:rsidR="002C070F" w:rsidRPr="00FC6326" w:rsidTr="00C74CFF">
        <w:trPr>
          <w:trHeight w:val="735"/>
        </w:trPr>
        <w:tc>
          <w:tcPr>
            <w:tcW w:w="0" w:type="auto"/>
            <w:tcBorders>
              <w:top w:val="nil"/>
              <w:left w:val="nil"/>
              <w:bottom w:val="single" w:sz="8" w:space="0" w:color="4F81BD"/>
              <w:right w:val="nil"/>
            </w:tcBorders>
            <w:shd w:val="clear" w:color="auto" w:fill="auto"/>
            <w:noWrap/>
            <w:vAlign w:val="center"/>
            <w:hideMark/>
          </w:tcPr>
          <w:p w:rsidR="002C070F" w:rsidRPr="00FC6326" w:rsidRDefault="002C070F" w:rsidP="00C74CFF">
            <w:pPr>
              <w:spacing w:after="0" w:line="240" w:lineRule="auto"/>
              <w:rPr>
                <w:rFonts w:ascii="Calibri" w:eastAsia="Times New Roman" w:hAnsi="Calibri" w:cs="Calibri"/>
                <w:b/>
                <w:bCs/>
                <w:color w:val="365F91"/>
                <w:sz w:val="18"/>
                <w:szCs w:val="18"/>
                <w:lang w:bidi="ar-SA"/>
              </w:rPr>
            </w:pPr>
            <w:r w:rsidRPr="00FC6326">
              <w:rPr>
                <w:rFonts w:ascii="Calibri" w:eastAsia="Times New Roman" w:hAnsi="Calibri" w:cstheme="minorHAnsi"/>
                <w:b/>
                <w:bCs/>
                <w:color w:val="365F91"/>
                <w:sz w:val="18"/>
                <w:szCs w:val="18"/>
                <w:lang w:bidi="ar-SA"/>
              </w:rPr>
              <w:t>Governments and others</w:t>
            </w:r>
          </w:p>
        </w:tc>
        <w:tc>
          <w:tcPr>
            <w:tcW w:w="0" w:type="auto"/>
            <w:tcBorders>
              <w:top w:val="nil"/>
              <w:left w:val="nil"/>
              <w:bottom w:val="single" w:sz="8" w:space="0" w:color="4F81BD"/>
              <w:right w:val="nil"/>
            </w:tcBorders>
            <w:shd w:val="clear" w:color="auto" w:fill="auto"/>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0.205</w:t>
            </w:r>
          </w:p>
        </w:tc>
        <w:tc>
          <w:tcPr>
            <w:tcW w:w="0" w:type="auto"/>
            <w:tcBorders>
              <w:top w:val="nil"/>
              <w:left w:val="nil"/>
              <w:bottom w:val="single" w:sz="8" w:space="0" w:color="4F81BD"/>
              <w:right w:val="nil"/>
            </w:tcBorders>
            <w:shd w:val="clear" w:color="auto" w:fill="auto"/>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0.246</w:t>
            </w:r>
          </w:p>
        </w:tc>
        <w:tc>
          <w:tcPr>
            <w:tcW w:w="0" w:type="auto"/>
            <w:tcBorders>
              <w:top w:val="nil"/>
              <w:left w:val="nil"/>
              <w:bottom w:val="single" w:sz="8" w:space="0" w:color="4F81BD"/>
              <w:right w:val="nil"/>
            </w:tcBorders>
            <w:shd w:val="clear" w:color="auto" w:fill="auto"/>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0.143</w:t>
            </w:r>
          </w:p>
        </w:tc>
        <w:tc>
          <w:tcPr>
            <w:tcW w:w="0" w:type="auto"/>
            <w:tcBorders>
              <w:top w:val="nil"/>
              <w:left w:val="nil"/>
              <w:bottom w:val="single" w:sz="8" w:space="0" w:color="4F81BD"/>
              <w:right w:val="nil"/>
            </w:tcBorders>
            <w:shd w:val="clear" w:color="auto" w:fill="auto"/>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0.143</w:t>
            </w:r>
          </w:p>
        </w:tc>
        <w:tc>
          <w:tcPr>
            <w:tcW w:w="0" w:type="auto"/>
            <w:tcBorders>
              <w:top w:val="nil"/>
              <w:left w:val="nil"/>
              <w:bottom w:val="single" w:sz="8" w:space="0" w:color="4F81BD"/>
              <w:right w:val="nil"/>
            </w:tcBorders>
            <w:shd w:val="clear" w:color="auto" w:fill="auto"/>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0.205</w:t>
            </w:r>
          </w:p>
        </w:tc>
        <w:tc>
          <w:tcPr>
            <w:tcW w:w="0" w:type="auto"/>
            <w:tcBorders>
              <w:top w:val="nil"/>
              <w:left w:val="nil"/>
              <w:bottom w:val="single" w:sz="8" w:space="0" w:color="4F81BD"/>
              <w:right w:val="nil"/>
            </w:tcBorders>
            <w:shd w:val="clear" w:color="auto" w:fill="auto"/>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0.205</w:t>
            </w:r>
          </w:p>
        </w:tc>
        <w:tc>
          <w:tcPr>
            <w:tcW w:w="0" w:type="auto"/>
            <w:tcBorders>
              <w:top w:val="nil"/>
              <w:left w:val="nil"/>
              <w:bottom w:val="single" w:sz="8" w:space="0" w:color="4F81BD"/>
              <w:right w:val="nil"/>
            </w:tcBorders>
            <w:shd w:val="clear" w:color="auto" w:fill="auto"/>
            <w:noWrap/>
            <w:vAlign w:val="center"/>
            <w:hideMark/>
          </w:tcPr>
          <w:p w:rsidR="002C070F" w:rsidRPr="00FC6326" w:rsidRDefault="002C070F" w:rsidP="00C74CFF">
            <w:pPr>
              <w:spacing w:after="0" w:line="240" w:lineRule="auto"/>
              <w:rPr>
                <w:rFonts w:ascii="Calibri" w:eastAsia="Times New Roman" w:hAnsi="Calibri" w:cs="Calibri"/>
                <w:color w:val="365F91"/>
                <w:sz w:val="18"/>
                <w:szCs w:val="18"/>
                <w:lang w:bidi="ar-SA"/>
              </w:rPr>
            </w:pPr>
            <w:r w:rsidRPr="00FC6326">
              <w:rPr>
                <w:rFonts w:ascii="Calibri" w:eastAsia="Times New Roman" w:hAnsi="Calibri" w:cstheme="minorHAnsi"/>
                <w:color w:val="365F91"/>
                <w:sz w:val="18"/>
                <w:szCs w:val="18"/>
                <w:lang w:bidi="ar-SA"/>
              </w:rPr>
              <w:t>0.205</w:t>
            </w:r>
          </w:p>
        </w:tc>
      </w:tr>
    </w:tbl>
    <w:p w:rsidR="002C070F" w:rsidRPr="00DA490D" w:rsidRDefault="002C070F" w:rsidP="002C070F">
      <w:pPr>
        <w:tabs>
          <w:tab w:val="left" w:pos="540"/>
        </w:tabs>
        <w:spacing w:after="0"/>
        <w:rPr>
          <w:szCs w:val="22"/>
        </w:rPr>
      </w:pPr>
      <w:r>
        <w:rPr>
          <w:szCs w:val="22"/>
        </w:rPr>
        <w:t>Source: DABS</w:t>
      </w:r>
    </w:p>
    <w:p w:rsidR="002C070F" w:rsidRDefault="002C070F" w:rsidP="002C070F">
      <w:pPr>
        <w:pStyle w:val="ListParagraph"/>
        <w:tabs>
          <w:tab w:val="left" w:pos="540"/>
        </w:tabs>
        <w:spacing w:after="0"/>
        <w:ind w:left="0"/>
        <w:rPr>
          <w:b/>
          <w:szCs w:val="22"/>
        </w:rPr>
      </w:pPr>
    </w:p>
    <w:p w:rsidR="002C070F" w:rsidRDefault="002C070F" w:rsidP="002C070F">
      <w:pPr>
        <w:pStyle w:val="ListParagraph"/>
        <w:tabs>
          <w:tab w:val="left" w:pos="540"/>
        </w:tabs>
        <w:spacing w:after="0"/>
        <w:ind w:left="0"/>
        <w:rPr>
          <w:szCs w:val="22"/>
        </w:rPr>
      </w:pPr>
      <w:r w:rsidRPr="00DD535E">
        <w:rPr>
          <w:b/>
          <w:szCs w:val="22"/>
        </w:rPr>
        <w:t>Over the medium term, establishing the financial viability of DABS will be an important step to ensure an adequate supply of electricity across important urban centers</w:t>
      </w:r>
      <w:r w:rsidRPr="00DA490D">
        <w:rPr>
          <w:szCs w:val="22"/>
        </w:rPr>
        <w:t xml:space="preserve">.  </w:t>
      </w:r>
      <w:r>
        <w:rPr>
          <w:szCs w:val="22"/>
        </w:rPr>
        <w:t>Afghanistan’s e</w:t>
      </w:r>
      <w:r w:rsidRPr="009E6CC2">
        <w:rPr>
          <w:szCs w:val="22"/>
        </w:rPr>
        <w:t xml:space="preserve">nergy sector will </w:t>
      </w:r>
      <w:r>
        <w:rPr>
          <w:szCs w:val="22"/>
        </w:rPr>
        <w:t xml:space="preserve">need to focus on reducing </w:t>
      </w:r>
      <w:r w:rsidRPr="009E6CC2">
        <w:rPr>
          <w:szCs w:val="22"/>
        </w:rPr>
        <w:t xml:space="preserve">revenue losses. </w:t>
      </w:r>
      <w:r>
        <w:rPr>
          <w:szCs w:val="22"/>
        </w:rPr>
        <w:t xml:space="preserve">This means improving the administrative capacity at DABS to improve its billing and collection losses.  </w:t>
      </w:r>
      <w:r w:rsidRPr="009E6CC2">
        <w:rPr>
          <w:szCs w:val="22"/>
        </w:rPr>
        <w:t>Currently, electricity is sold domestically at around $0.08 per kWh,</w:t>
      </w:r>
      <w:r w:rsidRPr="00DD535E">
        <w:rPr>
          <w:rStyle w:val="FootnoteReference"/>
          <w:rFonts w:asciiTheme="majorBidi" w:hAnsiTheme="majorBidi" w:cstheme="majorBidi"/>
        </w:rPr>
        <w:footnoteReference w:id="87"/>
      </w:r>
      <w:r w:rsidRPr="009E6CC2">
        <w:rPr>
          <w:szCs w:val="22"/>
        </w:rPr>
        <w:t xml:space="preserve"> but the cost of fueling and operating domestic diesel plants, range between $0.20 and $0.46 per kWh.</w:t>
      </w:r>
      <w:r w:rsidRPr="00DD535E">
        <w:rPr>
          <w:rStyle w:val="FootnoteReference"/>
          <w:rFonts w:asciiTheme="majorBidi" w:hAnsiTheme="majorBidi" w:cstheme="majorBidi"/>
        </w:rPr>
        <w:footnoteReference w:id="88"/>
      </w:r>
      <w:r>
        <w:rPr>
          <w:szCs w:val="22"/>
        </w:rPr>
        <w:t xml:space="preserve">  </w:t>
      </w:r>
      <w:r w:rsidRPr="009E6CC2">
        <w:rPr>
          <w:szCs w:val="22"/>
        </w:rPr>
        <w:t>Given that electricity imported from neighboring countries can be purchased at between $0.03 and $0.06 per kWh,</w:t>
      </w:r>
      <w:r w:rsidRPr="00DD535E">
        <w:rPr>
          <w:rStyle w:val="FootnoteReference"/>
          <w:rFonts w:asciiTheme="majorBidi" w:hAnsiTheme="majorBidi" w:cstheme="majorBidi"/>
        </w:rPr>
        <w:footnoteReference w:id="89"/>
      </w:r>
      <w:r w:rsidRPr="009E6CC2">
        <w:rPr>
          <w:szCs w:val="22"/>
        </w:rPr>
        <w:t xml:space="preserve"> efforts to build domestic revenue capacity, particularly through large-scale diesel generators, may be fiscally unsustainable</w:t>
      </w:r>
      <w:r w:rsidRPr="00895E7A">
        <w:rPr>
          <w:szCs w:val="22"/>
        </w:rPr>
        <w:t>.</w:t>
      </w:r>
      <w:r w:rsidRPr="00895E7A">
        <w:rPr>
          <w:rStyle w:val="FootnoteReference"/>
          <w:rFonts w:asciiTheme="majorBidi" w:hAnsiTheme="majorBidi" w:cstheme="majorBidi"/>
        </w:rPr>
        <w:footnoteReference w:id="90"/>
      </w:r>
      <w:r w:rsidRPr="00895E7A">
        <w:rPr>
          <w:rStyle w:val="FootnoteReference"/>
          <w:rFonts w:asciiTheme="majorBidi" w:hAnsiTheme="majorBidi" w:cstheme="majorBidi"/>
        </w:rPr>
        <w:t xml:space="preserve"> </w:t>
      </w:r>
      <w:r w:rsidRPr="00895E7A">
        <w:rPr>
          <w:szCs w:val="22"/>
        </w:rPr>
        <w:t xml:space="preserve"> (Table 3.</w:t>
      </w:r>
      <w:r>
        <w:rPr>
          <w:szCs w:val="22"/>
        </w:rPr>
        <w:t>4</w:t>
      </w:r>
      <w:r w:rsidRPr="00895E7A">
        <w:rPr>
          <w:szCs w:val="22"/>
        </w:rPr>
        <w:t>)</w:t>
      </w:r>
    </w:p>
    <w:p w:rsidR="002C070F" w:rsidRDefault="002C070F" w:rsidP="002C070F">
      <w:pPr>
        <w:pStyle w:val="ListParagraph"/>
        <w:tabs>
          <w:tab w:val="left" w:pos="540"/>
        </w:tabs>
        <w:spacing w:after="0"/>
        <w:ind w:left="0"/>
        <w:rPr>
          <w:b/>
          <w:szCs w:val="22"/>
        </w:rPr>
      </w:pPr>
    </w:p>
    <w:p w:rsidR="002C070F" w:rsidRDefault="002C070F" w:rsidP="002C070F">
      <w:pPr>
        <w:pStyle w:val="ListParagraph"/>
        <w:tabs>
          <w:tab w:val="left" w:pos="540"/>
        </w:tabs>
        <w:spacing w:after="0"/>
        <w:ind w:left="0"/>
        <w:rPr>
          <w:szCs w:val="22"/>
        </w:rPr>
      </w:pPr>
      <w:r w:rsidRPr="00895E7A">
        <w:rPr>
          <w:b/>
          <w:szCs w:val="22"/>
        </w:rPr>
        <w:t>L</w:t>
      </w:r>
      <w:r w:rsidRPr="00895E7A" w:rsidDel="00CA6785">
        <w:rPr>
          <w:b/>
          <w:szCs w:val="22"/>
        </w:rPr>
        <w:t>ow</w:t>
      </w:r>
      <w:r w:rsidRPr="00895E7A">
        <w:rPr>
          <w:b/>
          <w:szCs w:val="22"/>
        </w:rPr>
        <w:t xml:space="preserve"> </w:t>
      </w:r>
      <w:r w:rsidRPr="00895E7A" w:rsidDel="00CA6785">
        <w:rPr>
          <w:b/>
          <w:szCs w:val="22"/>
        </w:rPr>
        <w:t xml:space="preserve">electricity tariffs </w:t>
      </w:r>
      <w:r w:rsidRPr="00895E7A">
        <w:rPr>
          <w:b/>
          <w:szCs w:val="22"/>
        </w:rPr>
        <w:t>also send a wrong signal to customers, encouraging them to overuse limited energy.</w:t>
      </w:r>
      <w:r w:rsidRPr="00073AC8">
        <w:rPr>
          <w:szCs w:val="22"/>
        </w:rPr>
        <w:t xml:space="preserve"> </w:t>
      </w:r>
      <w:r>
        <w:rPr>
          <w:szCs w:val="22"/>
        </w:rPr>
        <w:t xml:space="preserve"> </w:t>
      </w:r>
      <w:r w:rsidRPr="00DD535E">
        <w:rPr>
          <w:szCs w:val="22"/>
        </w:rPr>
        <w:t>Th</w:t>
      </w:r>
      <w:r>
        <w:rPr>
          <w:szCs w:val="22"/>
        </w:rPr>
        <w:t>us, th</w:t>
      </w:r>
      <w:r w:rsidRPr="00DD535E">
        <w:rPr>
          <w:szCs w:val="22"/>
        </w:rPr>
        <w:t xml:space="preserve">e tariff structure can be designed </w:t>
      </w:r>
      <w:r>
        <w:rPr>
          <w:szCs w:val="22"/>
        </w:rPr>
        <w:t xml:space="preserve">in ways to </w:t>
      </w:r>
      <w:r w:rsidRPr="00DD535E">
        <w:rPr>
          <w:szCs w:val="22"/>
        </w:rPr>
        <w:t>motivate consumers to use electricity wisely</w:t>
      </w:r>
      <w:r>
        <w:rPr>
          <w:szCs w:val="22"/>
        </w:rPr>
        <w:t xml:space="preserve"> and to contain, to some extent, a growing demand while also providing revenue for further investment.</w:t>
      </w:r>
    </w:p>
    <w:p w:rsidR="002C070F" w:rsidRDefault="002C070F" w:rsidP="002C070F">
      <w:pPr>
        <w:pStyle w:val="ListParagraph"/>
        <w:tabs>
          <w:tab w:val="left" w:pos="540"/>
        </w:tabs>
        <w:spacing w:after="0"/>
        <w:ind w:left="0"/>
        <w:rPr>
          <w:szCs w:val="22"/>
        </w:rPr>
      </w:pPr>
      <w:r w:rsidRPr="00B86C3E">
        <w:rPr>
          <w:szCs w:val="22"/>
        </w:rPr>
        <w:t xml:space="preserve">   </w:t>
      </w:r>
    </w:p>
    <w:p w:rsidR="002C070F" w:rsidRPr="002957EA" w:rsidRDefault="002C070F" w:rsidP="002C070F">
      <w:r w:rsidRPr="007A7486">
        <w:rPr>
          <w:b/>
          <w:szCs w:val="22"/>
        </w:rPr>
        <w:t xml:space="preserve">There are a variety of tariff practices in </w:t>
      </w:r>
      <w:r w:rsidRPr="00032378">
        <w:rPr>
          <w:b/>
          <w:szCs w:val="22"/>
        </w:rPr>
        <w:t>the region</w:t>
      </w:r>
      <w:r w:rsidRPr="00073AC8">
        <w:rPr>
          <w:szCs w:val="22"/>
        </w:rPr>
        <w:t xml:space="preserve">. </w:t>
      </w:r>
      <w:r>
        <w:rPr>
          <w:szCs w:val="22"/>
        </w:rPr>
        <w:t>U</w:t>
      </w:r>
      <w:r w:rsidRPr="00DA490D">
        <w:rPr>
          <w:szCs w:val="22"/>
        </w:rPr>
        <w:t>niversal metering is a first fundamental step toward</w:t>
      </w:r>
      <w:r>
        <w:rPr>
          <w:szCs w:val="22"/>
        </w:rPr>
        <w:t>s</w:t>
      </w:r>
      <w:r w:rsidRPr="00DA490D">
        <w:rPr>
          <w:szCs w:val="22"/>
        </w:rPr>
        <w:t xml:space="preserve"> better demand management. To reduce illegal connections and nonpayment, strong measures need to be taken, such as disconnection and </w:t>
      </w:r>
      <w:r>
        <w:rPr>
          <w:szCs w:val="22"/>
        </w:rPr>
        <w:t>prosecution to recover the cost of theft</w:t>
      </w:r>
      <w:r w:rsidRPr="00DA490D">
        <w:rPr>
          <w:szCs w:val="22"/>
        </w:rPr>
        <w:t>. Prepaid metering is anot</w:t>
      </w:r>
      <w:r>
        <w:rPr>
          <w:szCs w:val="22"/>
        </w:rPr>
        <w:t>her instrument, as utilized by the Bangladeshi utility</w:t>
      </w:r>
      <w:r w:rsidRPr="00DA490D">
        <w:rPr>
          <w:szCs w:val="22"/>
        </w:rPr>
        <w:t xml:space="preserve"> DESCO. Regular (normally monthly) billing and tariff collection are also important to avoid nonpayment and late payment, particularly by poor households, because they often cannot afford a one-time payment for several months.</w:t>
      </w:r>
    </w:p>
    <w:p w:rsidR="002C070F" w:rsidRPr="00C66D2B" w:rsidRDefault="002C070F" w:rsidP="00C66D2B">
      <w:pPr>
        <w:rPr>
          <w:b/>
          <w:i/>
          <w:color w:val="410082" w:themeColor="text1"/>
          <w:szCs w:val="22"/>
        </w:rPr>
      </w:pPr>
      <w:bookmarkStart w:id="315" w:name="_Toc327208456"/>
      <w:r w:rsidRPr="00C66D2B">
        <w:rPr>
          <w:b/>
          <w:i/>
          <w:color w:val="410082" w:themeColor="text1"/>
          <w:szCs w:val="22"/>
        </w:rPr>
        <w:t>Alternate ways of increasing the power supply</w:t>
      </w:r>
      <w:bookmarkEnd w:id="315"/>
    </w:p>
    <w:p w:rsidR="002C070F" w:rsidRDefault="002C070F" w:rsidP="002C070F">
      <w:pPr>
        <w:tabs>
          <w:tab w:val="left" w:pos="540"/>
        </w:tabs>
        <w:rPr>
          <w:szCs w:val="22"/>
        </w:rPr>
      </w:pPr>
      <w:r w:rsidRPr="00073AC8">
        <w:rPr>
          <w:b/>
          <w:szCs w:val="22"/>
        </w:rPr>
        <w:t>Local communities are playing an important role in rural electrification</w:t>
      </w:r>
      <w:r>
        <w:rPr>
          <w:b/>
          <w:szCs w:val="22"/>
        </w:rPr>
        <w:t>,</w:t>
      </w:r>
      <w:r w:rsidRPr="00073AC8">
        <w:rPr>
          <w:b/>
          <w:szCs w:val="22"/>
        </w:rPr>
        <w:t xml:space="preserve"> based on micro-hydro plants </w:t>
      </w:r>
      <w:r w:rsidRPr="00073AC8">
        <w:rPr>
          <w:szCs w:val="22"/>
        </w:rPr>
        <w:t>(MHPs). In rural Afghanistan, most poor households and communities typically rely on firewood, bush, animal dung, kerosene and private diesel generators. To modernize such energy sources, the government has been promoting micro-hydro development in rural areas. Under the National Solidarity Program, more than 500 MHPs have been developed since 2003.</w:t>
      </w:r>
      <w:r w:rsidRPr="00073AC8">
        <w:rPr>
          <w:rStyle w:val="FootnoteReference"/>
          <w:szCs w:val="22"/>
        </w:rPr>
        <w:footnoteReference w:id="91"/>
      </w:r>
      <w:r w:rsidRPr="00073AC8">
        <w:rPr>
          <w:szCs w:val="22"/>
        </w:rPr>
        <w:t xml:space="preserve"> The generation capacities of these MHPs are normally small</w:t>
      </w:r>
      <w:r>
        <w:rPr>
          <w:szCs w:val="22"/>
        </w:rPr>
        <w:t>, but the</w:t>
      </w:r>
      <w:r w:rsidRPr="00073AC8">
        <w:rPr>
          <w:szCs w:val="22"/>
        </w:rPr>
        <w:t xml:space="preserve"> </w:t>
      </w:r>
      <w:r>
        <w:rPr>
          <w:szCs w:val="22"/>
        </w:rPr>
        <w:t>c</w:t>
      </w:r>
      <w:r w:rsidRPr="00073AC8">
        <w:rPr>
          <w:szCs w:val="22"/>
        </w:rPr>
        <w:t>ommunities are responsible for constructing and maintaining</w:t>
      </w:r>
      <w:r>
        <w:rPr>
          <w:szCs w:val="22"/>
        </w:rPr>
        <w:t xml:space="preserve"> them.</w:t>
      </w:r>
      <w:r w:rsidRPr="00073AC8">
        <w:rPr>
          <w:szCs w:val="22"/>
        </w:rPr>
        <w:t xml:space="preserve"> In the Takhar Province, </w:t>
      </w:r>
      <w:r>
        <w:rPr>
          <w:szCs w:val="22"/>
        </w:rPr>
        <w:t xml:space="preserve">for example, </w:t>
      </w:r>
      <w:r w:rsidRPr="00073AC8">
        <w:rPr>
          <w:szCs w:val="22"/>
        </w:rPr>
        <w:t xml:space="preserve">85 percent of MHPs have a capacity of 10-50kW. </w:t>
      </w:r>
      <w:r>
        <w:rPr>
          <w:szCs w:val="22"/>
        </w:rPr>
        <w:t xml:space="preserve">Overall, these have proven to be a viable alternate solution to supply electricity to some remote rural areas deprived of electrification. </w:t>
      </w:r>
      <w:r w:rsidRPr="00073AC8">
        <w:rPr>
          <w:rStyle w:val="FootnoteReference"/>
          <w:szCs w:val="22"/>
        </w:rPr>
        <w:footnoteReference w:id="92"/>
      </w:r>
      <w:r>
        <w:rPr>
          <w:szCs w:val="22"/>
        </w:rPr>
        <w:t xml:space="preserve"> </w:t>
      </w:r>
    </w:p>
    <w:p w:rsidR="002C070F" w:rsidRDefault="002C070F" w:rsidP="002C070F">
      <w:pPr>
        <w:tabs>
          <w:tab w:val="left" w:pos="540"/>
        </w:tabs>
        <w:rPr>
          <w:szCs w:val="22"/>
        </w:rPr>
      </w:pPr>
      <w:r w:rsidRPr="00CA108A">
        <w:rPr>
          <w:b/>
          <w:szCs w:val="22"/>
        </w:rPr>
        <w:t xml:space="preserve">Regional power trading can improve </w:t>
      </w:r>
      <w:r>
        <w:rPr>
          <w:b/>
          <w:szCs w:val="22"/>
        </w:rPr>
        <w:t xml:space="preserve">economic </w:t>
      </w:r>
      <w:r w:rsidRPr="00CA108A">
        <w:rPr>
          <w:b/>
          <w:szCs w:val="22"/>
        </w:rPr>
        <w:t>efficiency for Afghanistan and its neighbors</w:t>
      </w:r>
      <w:r w:rsidRPr="00DD535E">
        <w:rPr>
          <w:b/>
          <w:szCs w:val="22"/>
        </w:rPr>
        <w:t>.</w:t>
      </w:r>
      <w:r w:rsidRPr="009B1264">
        <w:rPr>
          <w:szCs w:val="22"/>
        </w:rPr>
        <w:t xml:space="preserve"> It would benefit not only Afghanistan,</w:t>
      </w:r>
      <w:r>
        <w:rPr>
          <w:szCs w:val="22"/>
        </w:rPr>
        <w:t xml:space="preserve"> but also Pakistan since both countries are </w:t>
      </w:r>
      <w:r w:rsidRPr="009B1264">
        <w:rPr>
          <w:szCs w:val="22"/>
        </w:rPr>
        <w:t>highly dependent on energy imports</w:t>
      </w:r>
      <w:r>
        <w:rPr>
          <w:szCs w:val="22"/>
        </w:rPr>
        <w:t xml:space="preserve">.  Of several regional energy schemes in discussion, </w:t>
      </w:r>
      <w:r w:rsidRPr="009B1264">
        <w:rPr>
          <w:szCs w:val="22"/>
        </w:rPr>
        <w:t>the Central Asia-South Asia (CASA) 1,000 MW scheme</w:t>
      </w:r>
      <w:r>
        <w:rPr>
          <w:szCs w:val="22"/>
        </w:rPr>
        <w:t xml:space="preserve"> is the most advanced and could m</w:t>
      </w:r>
      <w:r w:rsidRPr="009B1264">
        <w:rPr>
          <w:szCs w:val="22"/>
        </w:rPr>
        <w:t>ake such exchanges possible (see Box 3.1, below).</w:t>
      </w:r>
      <w:r>
        <w:rPr>
          <w:rStyle w:val="FootnoteReference"/>
          <w:szCs w:val="22"/>
        </w:rPr>
        <w:footnoteReference w:id="93"/>
      </w:r>
      <w:r>
        <w:rPr>
          <w:szCs w:val="22"/>
        </w:rPr>
        <w:t xml:space="preserve">  </w:t>
      </w:r>
      <w:r w:rsidRPr="00FC1017">
        <w:rPr>
          <w:szCs w:val="22"/>
        </w:rPr>
        <w:t>However, any regional power scheme will face challenges.  The curr</w:t>
      </w:r>
      <w:r w:rsidRPr="00CA108A">
        <w:rPr>
          <w:szCs w:val="22"/>
        </w:rPr>
        <w:t xml:space="preserve">ent electricity surplus in the </w:t>
      </w:r>
      <w:r>
        <w:rPr>
          <w:szCs w:val="22"/>
        </w:rPr>
        <w:t>C</w:t>
      </w:r>
      <w:r w:rsidRPr="00CA108A">
        <w:rPr>
          <w:szCs w:val="22"/>
        </w:rPr>
        <w:t xml:space="preserve">entral </w:t>
      </w:r>
      <w:r>
        <w:rPr>
          <w:szCs w:val="22"/>
        </w:rPr>
        <w:t>A</w:t>
      </w:r>
      <w:r w:rsidRPr="00FC1017">
        <w:rPr>
          <w:szCs w:val="22"/>
        </w:rPr>
        <w:t>sian countries will decline over</w:t>
      </w:r>
      <w:r>
        <w:rPr>
          <w:szCs w:val="22"/>
        </w:rPr>
        <w:t xml:space="preserve"> </w:t>
      </w:r>
      <w:r w:rsidRPr="00FC1017">
        <w:rPr>
          <w:szCs w:val="22"/>
        </w:rPr>
        <w:t>time, which would require investment in building additional capacity.  More</w:t>
      </w:r>
      <w:r>
        <w:rPr>
          <w:szCs w:val="22"/>
        </w:rPr>
        <w:t>over</w:t>
      </w:r>
      <w:r w:rsidRPr="00FC1017">
        <w:rPr>
          <w:szCs w:val="22"/>
        </w:rPr>
        <w:t>, ensuring the physical security of assets</w:t>
      </w:r>
      <w:r>
        <w:rPr>
          <w:szCs w:val="22"/>
        </w:rPr>
        <w:t xml:space="preserve"> in Afghanistan</w:t>
      </w:r>
      <w:r w:rsidRPr="00FC1017">
        <w:rPr>
          <w:szCs w:val="22"/>
        </w:rPr>
        <w:t>, whether for electricity or gas, will be crucial</w:t>
      </w:r>
      <w:r w:rsidRPr="00CA108A">
        <w:rPr>
          <w:szCs w:val="22"/>
        </w:rPr>
        <w:t xml:space="preserve"> </w:t>
      </w:r>
      <w:r w:rsidRPr="00AC337C">
        <w:rPr>
          <w:szCs w:val="22"/>
        </w:rPr>
        <w:t>to enable such exchanges</w:t>
      </w:r>
      <w:r>
        <w:rPr>
          <w:szCs w:val="22"/>
        </w:rPr>
        <w:t xml:space="preserve"> and</w:t>
      </w:r>
      <w:r w:rsidRPr="00CA108A">
        <w:rPr>
          <w:szCs w:val="22"/>
        </w:rPr>
        <w:t xml:space="preserve"> </w:t>
      </w:r>
      <w:r>
        <w:rPr>
          <w:szCs w:val="22"/>
        </w:rPr>
        <w:t xml:space="preserve">to </w:t>
      </w:r>
      <w:r w:rsidRPr="00CA108A">
        <w:rPr>
          <w:szCs w:val="22"/>
        </w:rPr>
        <w:t>attract fore</w:t>
      </w:r>
      <w:r>
        <w:rPr>
          <w:szCs w:val="22"/>
        </w:rPr>
        <w:t>ign</w:t>
      </w:r>
      <w:r w:rsidRPr="00CA108A">
        <w:rPr>
          <w:szCs w:val="22"/>
        </w:rPr>
        <w:t xml:space="preserve"> inves</w:t>
      </w:r>
      <w:r w:rsidRPr="00FC1017">
        <w:rPr>
          <w:szCs w:val="22"/>
        </w:rPr>
        <w:t>t</w:t>
      </w:r>
      <w:r>
        <w:rPr>
          <w:szCs w:val="22"/>
        </w:rPr>
        <w:t xml:space="preserve">ment.  In addition, </w:t>
      </w:r>
      <w:r w:rsidRPr="00FC1017">
        <w:rPr>
          <w:szCs w:val="22"/>
        </w:rPr>
        <w:t xml:space="preserve">policy predictability overtime </w:t>
      </w:r>
      <w:r>
        <w:rPr>
          <w:szCs w:val="22"/>
        </w:rPr>
        <w:t xml:space="preserve">and </w:t>
      </w:r>
      <w:r w:rsidRPr="00FC1017">
        <w:rPr>
          <w:szCs w:val="22"/>
        </w:rPr>
        <w:t>the</w:t>
      </w:r>
      <w:r>
        <w:rPr>
          <w:szCs w:val="22"/>
        </w:rPr>
        <w:t xml:space="preserve"> ability to</w:t>
      </w:r>
      <w:r w:rsidRPr="00FC1017">
        <w:rPr>
          <w:szCs w:val="22"/>
        </w:rPr>
        <w:t xml:space="preserve"> enforce</w:t>
      </w:r>
      <w:r>
        <w:rPr>
          <w:szCs w:val="22"/>
        </w:rPr>
        <w:t xml:space="preserve"> </w:t>
      </w:r>
      <w:r w:rsidRPr="00FC1017">
        <w:rPr>
          <w:szCs w:val="22"/>
        </w:rPr>
        <w:t>of contracts</w:t>
      </w:r>
      <w:r>
        <w:rPr>
          <w:szCs w:val="22"/>
        </w:rPr>
        <w:t xml:space="preserve"> will be key determinant factors for leveraging greater  </w:t>
      </w:r>
      <w:r w:rsidRPr="00FC1017">
        <w:rPr>
          <w:szCs w:val="22"/>
        </w:rPr>
        <w:t>private sector investment</w:t>
      </w:r>
      <w:r>
        <w:rPr>
          <w:szCs w:val="22"/>
        </w:rPr>
        <w:t>.</w:t>
      </w:r>
      <w:r w:rsidRPr="00FC1017">
        <w:rPr>
          <w:szCs w:val="22"/>
        </w:rPr>
        <w:t xml:space="preserve">  </w:t>
      </w:r>
    </w:p>
    <w:p w:rsidR="002C070F" w:rsidRPr="002E750D" w:rsidRDefault="002C070F" w:rsidP="002C070F">
      <w:pPr>
        <w:pStyle w:val="Heading2"/>
      </w:pPr>
      <w:bookmarkStart w:id="316" w:name="_Toc348451711"/>
      <w:r w:rsidRPr="002E750D">
        <w:t>Opportunities and recommendations</w:t>
      </w:r>
      <w:bookmarkEnd w:id="316"/>
      <w:r w:rsidRPr="002E750D">
        <w:t xml:space="preserve"> </w:t>
      </w:r>
    </w:p>
    <w:p w:rsidR="002C070F" w:rsidRDefault="002C070F" w:rsidP="002C070F">
      <w:pPr>
        <w:tabs>
          <w:tab w:val="left" w:pos="540"/>
        </w:tabs>
        <w:rPr>
          <w:b/>
          <w:szCs w:val="22"/>
        </w:rPr>
      </w:pPr>
      <w:r w:rsidRPr="0021191A">
        <w:rPr>
          <w:szCs w:val="22"/>
        </w:rPr>
        <w:t>Afghanistan has opportunities and challenges in trying to ensure a reliable and affordable electricity supply.</w:t>
      </w:r>
      <w:r>
        <w:rPr>
          <w:b/>
          <w:szCs w:val="22"/>
        </w:rPr>
        <w:t xml:space="preserve"> </w:t>
      </w:r>
      <w:r w:rsidRPr="0021191A">
        <w:rPr>
          <w:szCs w:val="22"/>
        </w:rPr>
        <w:t xml:space="preserve">It </w:t>
      </w:r>
      <w:r>
        <w:rPr>
          <w:szCs w:val="22"/>
        </w:rPr>
        <w:t>could do so by (i) exploring ways to expand domestic capacity, and (ii) deepening regional power trading.</w:t>
      </w:r>
    </w:p>
    <w:p w:rsidR="002C070F" w:rsidRPr="00DB54C9" w:rsidRDefault="002C070F" w:rsidP="002C070F">
      <w:pPr>
        <w:tabs>
          <w:tab w:val="left" w:pos="540"/>
        </w:tabs>
        <w:rPr>
          <w:szCs w:val="22"/>
        </w:rPr>
      </w:pPr>
      <w:r>
        <w:rPr>
          <w:b/>
          <w:szCs w:val="22"/>
        </w:rPr>
        <w:t xml:space="preserve">Deepen investment in </w:t>
      </w:r>
      <w:r w:rsidRPr="00DB54C9">
        <w:rPr>
          <w:b/>
          <w:szCs w:val="22"/>
        </w:rPr>
        <w:t>domestic power generation capacity</w:t>
      </w:r>
      <w:r>
        <w:rPr>
          <w:b/>
          <w:szCs w:val="22"/>
        </w:rPr>
        <w:t xml:space="preserve">.  </w:t>
      </w:r>
      <w:r w:rsidRPr="00DB54C9">
        <w:rPr>
          <w:szCs w:val="22"/>
        </w:rPr>
        <w:t xml:space="preserve">On the technical side, this will require technical assistance and support for the implementation of this newly generated capacity. </w:t>
      </w:r>
    </w:p>
    <w:p w:rsidR="002C070F" w:rsidRPr="00DB54C9" w:rsidRDefault="002C070F" w:rsidP="002C070F">
      <w:pPr>
        <w:tabs>
          <w:tab w:val="left" w:pos="540"/>
        </w:tabs>
        <w:spacing w:after="0"/>
        <w:rPr>
          <w:szCs w:val="22"/>
        </w:rPr>
      </w:pPr>
      <w:r w:rsidRPr="00DB54C9">
        <w:rPr>
          <w:b/>
          <w:szCs w:val="22"/>
        </w:rPr>
        <w:t>Enhance regional power trading.</w:t>
      </w:r>
      <w:r w:rsidRPr="00DB54C9">
        <w:rPr>
          <w:b/>
          <w:i/>
          <w:szCs w:val="22"/>
        </w:rPr>
        <w:t xml:space="preserve"> </w:t>
      </w:r>
      <w:r w:rsidRPr="00DB54C9">
        <w:rPr>
          <w:szCs w:val="22"/>
        </w:rPr>
        <w:t xml:space="preserve">Regional power trading can provide significant opportunities for Afghanistan to purchase electricity at cheaper prices. The country may also gain transit fees if regional power trade takes place between its neighboring countries. This will require physical interconnections to be completed and upgraded. Institutionally, the government should establish sound partnerships with neighboring countries to manage the risks of energy security, price volatility and uncertainty in international power trading. It will necessarily require regional dialogue, cooperation and strong political leadership from the countries involved. </w:t>
      </w:r>
    </w:p>
    <w:p w:rsidR="002C070F" w:rsidRPr="00DD535E" w:rsidRDefault="002C070F" w:rsidP="002C070F">
      <w:pPr>
        <w:tabs>
          <w:tab w:val="left" w:pos="540"/>
        </w:tabs>
        <w:rPr>
          <w:szCs w:val="22"/>
        </w:rPr>
      </w:pPr>
    </w:p>
    <w:tbl>
      <w:tblPr>
        <w:tblStyle w:val="TableGrid"/>
        <w:tblW w:w="0" w:type="auto"/>
        <w:shd w:val="clear" w:color="auto" w:fill="ECE4F1" w:themeFill="accent6" w:themeFillTint="33"/>
        <w:tblLook w:val="04A0" w:firstRow="1" w:lastRow="0" w:firstColumn="1" w:lastColumn="0" w:noHBand="0" w:noVBand="1"/>
      </w:tblPr>
      <w:tblGrid>
        <w:gridCol w:w="9576"/>
      </w:tblGrid>
      <w:tr w:rsidR="002C070F" w:rsidRPr="009B1264" w:rsidTr="00C74CFF">
        <w:trPr>
          <w:trHeight w:val="5300"/>
        </w:trPr>
        <w:tc>
          <w:tcPr>
            <w:tcW w:w="9576" w:type="dxa"/>
            <w:shd w:val="clear" w:color="auto" w:fill="ECE4F1" w:themeFill="accent6" w:themeFillTint="33"/>
          </w:tcPr>
          <w:p w:rsidR="002C070F" w:rsidRPr="00DD535E" w:rsidRDefault="002C070F" w:rsidP="00C74CFF">
            <w:pPr>
              <w:tabs>
                <w:tab w:val="left" w:pos="540"/>
              </w:tabs>
              <w:spacing w:after="200" w:line="276" w:lineRule="auto"/>
              <w:rPr>
                <w:szCs w:val="22"/>
              </w:rPr>
            </w:pPr>
            <w:r w:rsidRPr="00DD535E">
              <w:rPr>
                <w:szCs w:val="22"/>
              </w:rPr>
              <w:t xml:space="preserve">Box 3.1:  An Integrated Regional Electricity Market –  The CASA 1000 Project </w:t>
            </w:r>
          </w:p>
          <w:p w:rsidR="002C070F" w:rsidRPr="009B1264" w:rsidRDefault="002C070F" w:rsidP="00C74CFF">
            <w:pPr>
              <w:tabs>
                <w:tab w:val="left" w:pos="540"/>
              </w:tabs>
              <w:spacing w:after="200" w:line="276" w:lineRule="auto"/>
              <w:rPr>
                <w:szCs w:val="22"/>
              </w:rPr>
            </w:pPr>
            <w:r w:rsidRPr="009B1264">
              <w:rPr>
                <w:szCs w:val="22"/>
              </w:rPr>
              <w:t xml:space="preserve">The CASA 1000 project is an effort to develop trans-regional electricity trade across South Asia and aims to increase electricity flows by 1,300 MW. It is the first phase of what is planned to be the Central Asia South Asia Regional Electricity Market (CASAREM). Electricity would flow from the Kyrgyz Republic and Tajikistan to Afghanistan, which would import about 300 MW, and on to Pakistan, which would absorb most of the rest. This ambitious project would ultimately link energy supplies between the Urals and South Asia, ensuring a revenue stream to Tajikistan and the Kyrgyz Republic, while helping to alleviate electricity shortages in the southern countries. Currently, both Afghanistan and Pakistan are heavily dependent on costly oil-based generation to meet their electricity needs in Winter.    </w:t>
            </w:r>
          </w:p>
          <w:p w:rsidR="002C070F" w:rsidRDefault="002C070F" w:rsidP="00C74CFF">
            <w:pPr>
              <w:autoSpaceDE w:val="0"/>
              <w:autoSpaceDN w:val="0"/>
              <w:adjustRightInd w:val="0"/>
              <w:jc w:val="left"/>
              <w:rPr>
                <w:szCs w:val="22"/>
              </w:rPr>
            </w:pPr>
            <w:r w:rsidRPr="009B1264">
              <w:rPr>
                <w:szCs w:val="22"/>
              </w:rPr>
              <w:t xml:space="preserve">The project’s feasibility study was updated and endorsed in 2011. It shows that the CASA 1000 would be technically feasible, providing a rationale to invest in the transmission interconnection. This is based on the expectation that sufficient surplus power would be available from the countries in the north to trade with the countries in the south, at a cost below the long-run marginal cost in the receiving countries. </w:t>
            </w:r>
            <w:r>
              <w:rPr>
                <w:szCs w:val="22"/>
              </w:rPr>
              <w:t xml:space="preserve"> However, </w:t>
            </w:r>
            <w:r w:rsidRPr="0038117D">
              <w:rPr>
                <w:szCs w:val="22"/>
              </w:rPr>
              <w:t>more information is needed from the feasibility study to understand the costs and economic benefits for Afghanistan, like a distributional analysis, and realistic forecast</w:t>
            </w:r>
            <w:r>
              <w:rPr>
                <w:szCs w:val="22"/>
              </w:rPr>
              <w:t>s</w:t>
            </w:r>
            <w:r w:rsidRPr="0038117D">
              <w:rPr>
                <w:szCs w:val="22"/>
              </w:rPr>
              <w:t xml:space="preserve"> of tariff proposals.  </w:t>
            </w:r>
            <w:r w:rsidRPr="00DD535E">
              <w:rPr>
                <w:szCs w:val="22"/>
              </w:rPr>
              <w:t xml:space="preserve"> A</w:t>
            </w:r>
            <w:r w:rsidRPr="009B1264">
              <w:rPr>
                <w:szCs w:val="22"/>
              </w:rPr>
              <w:t xml:space="preserve">ll member countries signed a MOU to fast-track its preparation in September 2011.  </w:t>
            </w:r>
          </w:p>
          <w:p w:rsidR="002C070F" w:rsidRPr="009B1264" w:rsidRDefault="002C070F" w:rsidP="00C74CFF">
            <w:pPr>
              <w:autoSpaceDE w:val="0"/>
              <w:autoSpaceDN w:val="0"/>
              <w:adjustRightInd w:val="0"/>
              <w:jc w:val="left"/>
              <w:rPr>
                <w:szCs w:val="22"/>
              </w:rPr>
            </w:pPr>
          </w:p>
          <w:p w:rsidR="002C070F" w:rsidRDefault="002C070F" w:rsidP="00C74CFF">
            <w:pPr>
              <w:tabs>
                <w:tab w:val="left" w:pos="540"/>
              </w:tabs>
              <w:spacing w:after="200" w:line="276" w:lineRule="auto"/>
              <w:rPr>
                <w:szCs w:val="22"/>
              </w:rPr>
            </w:pPr>
            <w:r w:rsidRPr="009B1264">
              <w:rPr>
                <w:szCs w:val="22"/>
              </w:rPr>
              <w:t xml:space="preserve">The commercial negotiations are scheduled to </w:t>
            </w:r>
            <w:r>
              <w:rPr>
                <w:szCs w:val="22"/>
              </w:rPr>
              <w:t>conclude</w:t>
            </w:r>
            <w:r w:rsidRPr="009B1264">
              <w:rPr>
                <w:szCs w:val="22"/>
              </w:rPr>
              <w:t xml:space="preserve"> by October 2012, with contract award in the second half of 2013. </w:t>
            </w:r>
            <w:r>
              <w:rPr>
                <w:szCs w:val="22"/>
              </w:rPr>
              <w:t>Unfortunately, there is uncertainty as to the implementation of the CASA-100 project.  However, t</w:t>
            </w:r>
            <w:r w:rsidRPr="009B1264">
              <w:rPr>
                <w:szCs w:val="22"/>
              </w:rPr>
              <w:t>hough a long-term endeavor, development of a regional electricity market would bring economic growth to all parties and strengthen economic ties across the region.</w:t>
            </w:r>
          </w:p>
          <w:p w:rsidR="002C070F" w:rsidRPr="00DD535E" w:rsidRDefault="002C070F" w:rsidP="00C74CFF">
            <w:pPr>
              <w:tabs>
                <w:tab w:val="left" w:pos="540"/>
              </w:tabs>
              <w:spacing w:after="200" w:line="276" w:lineRule="auto"/>
              <w:jc w:val="center"/>
              <w:rPr>
                <w:szCs w:val="22"/>
              </w:rPr>
            </w:pPr>
            <w:r w:rsidRPr="00DD535E">
              <w:rPr>
                <w:szCs w:val="22"/>
              </w:rPr>
              <w:t xml:space="preserve"> </w:t>
            </w:r>
            <w:r w:rsidRPr="000A4374">
              <w:rPr>
                <w:noProof/>
                <w:szCs w:val="22"/>
                <w:lang w:bidi="ar-SA"/>
              </w:rPr>
              <w:drawing>
                <wp:inline distT="0" distB="0" distL="0" distR="0" wp14:anchorId="3BEAC25E" wp14:editId="382F60C6">
                  <wp:extent cx="3522428" cy="3221421"/>
                  <wp:effectExtent l="0" t="0" r="190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3521648" cy="3220708"/>
                          </a:xfrm>
                          <a:prstGeom prst="rect">
                            <a:avLst/>
                          </a:prstGeom>
                        </pic:spPr>
                      </pic:pic>
                    </a:graphicData>
                  </a:graphic>
                </wp:inline>
              </w:drawing>
            </w:r>
          </w:p>
        </w:tc>
      </w:tr>
    </w:tbl>
    <w:p w:rsidR="002C070F" w:rsidRDefault="002C070F" w:rsidP="002C070F">
      <w:pPr>
        <w:pStyle w:val="Heading2"/>
      </w:pPr>
      <w:r>
        <w:rPr>
          <w:szCs w:val="22"/>
        </w:rPr>
        <w:t xml:space="preserve"> </w:t>
      </w:r>
      <w:bookmarkStart w:id="317" w:name="_Toc327208458"/>
      <w:bookmarkStart w:id="318" w:name="_Toc348451712"/>
      <w:r>
        <w:t xml:space="preserve">B: </w:t>
      </w:r>
      <w:r w:rsidRPr="00073AC8">
        <w:t xml:space="preserve">Information and </w:t>
      </w:r>
      <w:r>
        <w:t>C</w:t>
      </w:r>
      <w:r w:rsidRPr="00073AC8">
        <w:t xml:space="preserve">ommunication </w:t>
      </w:r>
      <w:r>
        <w:t>T</w:t>
      </w:r>
      <w:r w:rsidRPr="00073AC8">
        <w:t>echnology</w:t>
      </w:r>
      <w:bookmarkEnd w:id="317"/>
      <w:bookmarkEnd w:id="318"/>
      <w:r w:rsidRPr="00073AC8">
        <w:t xml:space="preserve"> </w:t>
      </w:r>
    </w:p>
    <w:p w:rsidR="002C070F" w:rsidRPr="009A5EFF" w:rsidRDefault="002C070F" w:rsidP="002C070F">
      <w:pPr>
        <w:rPr>
          <w:szCs w:val="22"/>
        </w:rPr>
      </w:pPr>
      <w:r w:rsidRPr="002E7BA3">
        <w:rPr>
          <w:b/>
        </w:rPr>
        <w:t>Cross-border trade in services largely depends on telecommunications as the channel for transactions</w:t>
      </w:r>
      <w:r>
        <w:t xml:space="preserve">.  Access to telecom reduces the cost of engaging in international trade and increases a country’s openness towards the rest of the world, a finding that is widely supported by the empirical literature.  </w:t>
      </w:r>
      <w:r>
        <w:rPr>
          <w:szCs w:val="22"/>
        </w:rPr>
        <w:t xml:space="preserve">Jansen and Nordas </w:t>
      </w:r>
      <w:r w:rsidRPr="009A5EFF">
        <w:rPr>
          <w:szCs w:val="22"/>
        </w:rPr>
        <w:t>2004</w:t>
      </w:r>
      <w:r>
        <w:rPr>
          <w:szCs w:val="22"/>
        </w:rPr>
        <w:t xml:space="preserve"> found </w:t>
      </w:r>
      <w:r w:rsidRPr="009A5EFF">
        <w:rPr>
          <w:szCs w:val="22"/>
        </w:rPr>
        <w:t xml:space="preserve">a strong and positive correlation between the density of fixed and mobile telephone lines and trade relative to GDP, </w:t>
      </w:r>
      <w:r>
        <w:rPr>
          <w:szCs w:val="22"/>
        </w:rPr>
        <w:t xml:space="preserve">where </w:t>
      </w:r>
      <w:r w:rsidRPr="009A5EFF">
        <w:rPr>
          <w:szCs w:val="22"/>
        </w:rPr>
        <w:t>the supply response to a reduction in tariffs is larger the higher the penetration rate of telecommunications.</w:t>
      </w:r>
      <w:r w:rsidRPr="00F520C5">
        <w:rPr>
          <w:rStyle w:val="FootnoteReference"/>
          <w:szCs w:val="22"/>
        </w:rPr>
        <w:t xml:space="preserve"> </w:t>
      </w:r>
      <w:r>
        <w:rPr>
          <w:rStyle w:val="FootnoteReference"/>
          <w:szCs w:val="22"/>
        </w:rPr>
        <w:footnoteReference w:id="94"/>
      </w:r>
      <w:r>
        <w:rPr>
          <w:szCs w:val="22"/>
        </w:rPr>
        <w:t xml:space="preserve">  Along these lines, a</w:t>
      </w:r>
      <w:r w:rsidRPr="009A5EFF">
        <w:rPr>
          <w:szCs w:val="22"/>
        </w:rPr>
        <w:t xml:space="preserve"> study of the impact of the Internet on US trade in services found that trading partners’ Internet penetration had a significant impact on US imports of business, professional and technical services.</w:t>
      </w:r>
      <w:r w:rsidRPr="00A00DF8">
        <w:rPr>
          <w:rStyle w:val="FootnoteReference"/>
        </w:rPr>
        <w:footnoteReference w:id="95"/>
      </w:r>
      <w:r w:rsidRPr="00A00DF8">
        <w:rPr>
          <w:rStyle w:val="FootnoteReference"/>
        </w:rPr>
        <w:t xml:space="preserve"> </w:t>
      </w:r>
      <w:r w:rsidRPr="009A5EFF">
        <w:rPr>
          <w:szCs w:val="22"/>
        </w:rPr>
        <w:t xml:space="preserve"> In the US and most OECD countries</w:t>
      </w:r>
      <w:r>
        <w:rPr>
          <w:szCs w:val="22"/>
        </w:rPr>
        <w:t>,</w:t>
      </w:r>
      <w:r w:rsidRPr="009A5EFF">
        <w:rPr>
          <w:szCs w:val="22"/>
        </w:rPr>
        <w:t xml:space="preserve"> the internet is the cheaper and most widely used channel of exchange of information and services.  T</w:t>
      </w:r>
      <w:r>
        <w:rPr>
          <w:szCs w:val="22"/>
        </w:rPr>
        <w:t xml:space="preserve">herefore, </w:t>
      </w:r>
      <w:r w:rsidRPr="009A5EFF">
        <w:rPr>
          <w:szCs w:val="22"/>
        </w:rPr>
        <w:t>higher internet penetration and access to telecom directly aff</w:t>
      </w:r>
      <w:r>
        <w:rPr>
          <w:szCs w:val="22"/>
        </w:rPr>
        <w:t>ects the development of trade.  This is why this section highlights the development of ICT services as a driver of trade in Afghanistan; it discusses an overview of the sector, the challenges, and opportunities to capitalize on its potential.</w:t>
      </w:r>
    </w:p>
    <w:p w:rsidR="002C070F" w:rsidRPr="00073AC8" w:rsidRDefault="002C070F" w:rsidP="002C070F">
      <w:pPr>
        <w:tabs>
          <w:tab w:val="left" w:pos="540"/>
        </w:tabs>
        <w:spacing w:after="120"/>
        <w:rPr>
          <w:szCs w:val="22"/>
        </w:rPr>
      </w:pPr>
      <w:r>
        <w:rPr>
          <w:b/>
          <w:szCs w:val="22"/>
        </w:rPr>
        <w:t>T</w:t>
      </w:r>
      <w:r w:rsidRPr="00073AC8">
        <w:rPr>
          <w:b/>
          <w:szCs w:val="22"/>
        </w:rPr>
        <w:t xml:space="preserve">he </w:t>
      </w:r>
      <w:r>
        <w:rPr>
          <w:b/>
          <w:szCs w:val="22"/>
        </w:rPr>
        <w:t xml:space="preserve">Afghan </w:t>
      </w:r>
      <w:r w:rsidRPr="00073AC8">
        <w:rPr>
          <w:b/>
          <w:szCs w:val="22"/>
        </w:rPr>
        <w:t>mobile telecommunications market has seen vigorous growth in recent years</w:t>
      </w:r>
      <w:r w:rsidRPr="00073AC8">
        <w:rPr>
          <w:szCs w:val="22"/>
        </w:rPr>
        <w:t>.</w:t>
      </w:r>
      <w:r>
        <w:rPr>
          <w:szCs w:val="22"/>
        </w:rPr>
        <w:t xml:space="preserve"> </w:t>
      </w:r>
      <w:r w:rsidRPr="00073AC8">
        <w:rPr>
          <w:szCs w:val="22"/>
        </w:rPr>
        <w:t>Since 2001, Afghanistan has made significant progress in adopting mobile technolog</w:t>
      </w:r>
      <w:r>
        <w:rPr>
          <w:szCs w:val="22"/>
        </w:rPr>
        <w:t>ies, including since 2012, advanced broadband wireless technologies</w:t>
      </w:r>
      <w:r w:rsidRPr="00073AC8">
        <w:rPr>
          <w:szCs w:val="22"/>
        </w:rPr>
        <w:t xml:space="preserve">. </w:t>
      </w:r>
      <w:r>
        <w:rPr>
          <w:szCs w:val="22"/>
        </w:rPr>
        <w:t>This gives</w:t>
      </w:r>
      <w:r w:rsidRPr="00073AC8">
        <w:rPr>
          <w:szCs w:val="22"/>
        </w:rPr>
        <w:t xml:space="preserve"> Afghanistan </w:t>
      </w:r>
      <w:r>
        <w:rPr>
          <w:szCs w:val="22"/>
        </w:rPr>
        <w:t xml:space="preserve">an </w:t>
      </w:r>
      <w:r w:rsidRPr="00073AC8">
        <w:rPr>
          <w:szCs w:val="22"/>
        </w:rPr>
        <w:t>opportunit</w:t>
      </w:r>
      <w:r>
        <w:rPr>
          <w:szCs w:val="22"/>
        </w:rPr>
        <w:t>y to</w:t>
      </w:r>
      <w:r w:rsidRPr="00073AC8">
        <w:rPr>
          <w:szCs w:val="22"/>
        </w:rPr>
        <w:t xml:space="preserve"> leapfrog </w:t>
      </w:r>
      <w:r>
        <w:rPr>
          <w:szCs w:val="22"/>
        </w:rPr>
        <w:t xml:space="preserve">to </w:t>
      </w:r>
      <w:r w:rsidRPr="00073AC8">
        <w:rPr>
          <w:szCs w:val="22"/>
        </w:rPr>
        <w:t>the most advanced technology in th</w:t>
      </w:r>
      <w:r>
        <w:rPr>
          <w:szCs w:val="22"/>
        </w:rPr>
        <w:t>e</w:t>
      </w:r>
      <w:r w:rsidRPr="00073AC8">
        <w:rPr>
          <w:szCs w:val="22"/>
        </w:rPr>
        <w:t xml:space="preserve"> sector. While fixed</w:t>
      </w:r>
      <w:r>
        <w:rPr>
          <w:szCs w:val="22"/>
        </w:rPr>
        <w:t>-</w:t>
      </w:r>
      <w:r w:rsidRPr="00073AC8">
        <w:rPr>
          <w:szCs w:val="22"/>
        </w:rPr>
        <w:t>line telecommunications remain minimal in Afghanistan, mobile teledensity has increased dramatically</w:t>
      </w:r>
      <w:r>
        <w:rPr>
          <w:szCs w:val="22"/>
        </w:rPr>
        <w:t>,</w:t>
      </w:r>
      <w:r w:rsidRPr="00073AC8">
        <w:rPr>
          <w:szCs w:val="22"/>
        </w:rPr>
        <w:t xml:space="preserve"> from virtually zero in 2002 to about 40 percent in 2009 (Figures </w:t>
      </w:r>
      <w:r>
        <w:rPr>
          <w:szCs w:val="22"/>
        </w:rPr>
        <w:t>3.</w:t>
      </w:r>
      <w:r w:rsidRPr="00073AC8">
        <w:rPr>
          <w:szCs w:val="22"/>
        </w:rPr>
        <w:t xml:space="preserve">9 and </w:t>
      </w:r>
      <w:r>
        <w:rPr>
          <w:szCs w:val="22"/>
        </w:rPr>
        <w:t>3.</w:t>
      </w:r>
      <w:r w:rsidRPr="00073AC8">
        <w:rPr>
          <w:szCs w:val="22"/>
        </w:rPr>
        <w:t xml:space="preserve">10). </w:t>
      </w:r>
      <w:r>
        <w:rPr>
          <w:szCs w:val="22"/>
        </w:rPr>
        <w:t>As of 2011</w:t>
      </w:r>
      <w:r w:rsidRPr="00073AC8">
        <w:rPr>
          <w:szCs w:val="22"/>
        </w:rPr>
        <w:t xml:space="preserve">, </w:t>
      </w:r>
      <w:r>
        <w:rPr>
          <w:szCs w:val="22"/>
        </w:rPr>
        <w:t>two-thirds</w:t>
      </w:r>
      <w:r w:rsidRPr="00073AC8">
        <w:rPr>
          <w:szCs w:val="22"/>
        </w:rPr>
        <w:t xml:space="preserve"> of the Afghan population </w:t>
      </w:r>
      <w:r>
        <w:rPr>
          <w:szCs w:val="22"/>
        </w:rPr>
        <w:t xml:space="preserve">subscribes to </w:t>
      </w:r>
      <w:r w:rsidRPr="00073AC8">
        <w:rPr>
          <w:szCs w:val="22"/>
        </w:rPr>
        <w:t xml:space="preserve">mobile </w:t>
      </w:r>
      <w:r>
        <w:rPr>
          <w:szCs w:val="22"/>
        </w:rPr>
        <w:t>tele</w:t>
      </w:r>
      <w:r w:rsidRPr="00073AC8">
        <w:rPr>
          <w:szCs w:val="22"/>
        </w:rPr>
        <w:t>phone</w:t>
      </w:r>
      <w:r>
        <w:rPr>
          <w:szCs w:val="22"/>
        </w:rPr>
        <w:t xml:space="preserve"> services,</w:t>
      </w:r>
      <w:r>
        <w:rPr>
          <w:rStyle w:val="FootnoteReference"/>
          <w:szCs w:val="22"/>
        </w:rPr>
        <w:footnoteReference w:id="96"/>
      </w:r>
      <w:r w:rsidRPr="00073AC8">
        <w:rPr>
          <w:szCs w:val="22"/>
        </w:rPr>
        <w:t xml:space="preserve"> and two-thirds of households surveyed by the Asia Foundation report owning at least one mobile phone.</w:t>
      </w:r>
      <w:r>
        <w:rPr>
          <w:rStyle w:val="FootnoteReference"/>
          <w:szCs w:val="22"/>
        </w:rPr>
        <w:footnoteReference w:id="97"/>
      </w:r>
      <w:r w:rsidRPr="00073AC8">
        <w:rPr>
          <w:szCs w:val="22"/>
        </w:rPr>
        <w:t xml:space="preserve"> This compares well with other low-income countries. </w:t>
      </w:r>
    </w:p>
    <w:p w:rsidR="002C070F" w:rsidRPr="00073AC8" w:rsidRDefault="002C070F" w:rsidP="002C070F">
      <w:pPr>
        <w:tabs>
          <w:tab w:val="left" w:pos="540"/>
        </w:tabs>
        <w:spacing w:after="0"/>
        <w:rPr>
          <w:szCs w:val="22"/>
        </w:rPr>
      </w:pPr>
      <w:r w:rsidRPr="00073AC8">
        <w:rPr>
          <w:b/>
          <w:szCs w:val="22"/>
        </w:rPr>
        <w:t xml:space="preserve">Advanced ICT </w:t>
      </w:r>
      <w:r>
        <w:rPr>
          <w:b/>
          <w:szCs w:val="22"/>
        </w:rPr>
        <w:t>needs</w:t>
      </w:r>
      <w:r w:rsidRPr="00073AC8">
        <w:rPr>
          <w:b/>
          <w:szCs w:val="22"/>
        </w:rPr>
        <w:t xml:space="preserve"> to be developed </w:t>
      </w:r>
      <w:r>
        <w:rPr>
          <w:b/>
          <w:szCs w:val="22"/>
        </w:rPr>
        <w:t>and expanded</w:t>
      </w:r>
      <w:r w:rsidRPr="00073AC8">
        <w:rPr>
          <w:szCs w:val="22"/>
        </w:rPr>
        <w:t xml:space="preserve">. </w:t>
      </w:r>
      <w:r>
        <w:rPr>
          <w:szCs w:val="22"/>
        </w:rPr>
        <w:t xml:space="preserve">The Government and private sector have made significant investments in networks; over US$1.7 billion between 2001 and 2011. For example, the Government has invested over US$100 million to create a national fiber optic backbone network that connects most provinces and links with four of its neighbors. Yet more needs to be done to spur Internet use. Only three people per 100 in Afghanistan use the </w:t>
      </w:r>
      <w:r w:rsidRPr="00073AC8">
        <w:rPr>
          <w:szCs w:val="22"/>
        </w:rPr>
        <w:t xml:space="preserve">Internet (Figure </w:t>
      </w:r>
      <w:r>
        <w:rPr>
          <w:szCs w:val="22"/>
        </w:rPr>
        <w:t>3.</w:t>
      </w:r>
      <w:r w:rsidRPr="00073AC8">
        <w:rPr>
          <w:szCs w:val="22"/>
        </w:rPr>
        <w:t xml:space="preserve">11). </w:t>
      </w:r>
      <w:r>
        <w:rPr>
          <w:szCs w:val="22"/>
        </w:rPr>
        <w:t>B</w:t>
      </w:r>
      <w:r w:rsidRPr="00073AC8">
        <w:rPr>
          <w:szCs w:val="22"/>
        </w:rPr>
        <w:t xml:space="preserve">roadband Internet subscription is virtually zero in areas </w:t>
      </w:r>
      <w:r>
        <w:rPr>
          <w:szCs w:val="22"/>
        </w:rPr>
        <w:t xml:space="preserve">other </w:t>
      </w:r>
      <w:r w:rsidRPr="00073AC8">
        <w:rPr>
          <w:szCs w:val="22"/>
        </w:rPr>
        <w:t xml:space="preserve">than large cities (Figure </w:t>
      </w:r>
      <w:r>
        <w:rPr>
          <w:szCs w:val="22"/>
        </w:rPr>
        <w:t>3.</w:t>
      </w:r>
      <w:r w:rsidRPr="00073AC8">
        <w:rPr>
          <w:szCs w:val="22"/>
        </w:rPr>
        <w:t xml:space="preserve">12). The </w:t>
      </w:r>
      <w:r>
        <w:rPr>
          <w:szCs w:val="22"/>
        </w:rPr>
        <w:t xml:space="preserve">limited availability and use </w:t>
      </w:r>
      <w:r w:rsidRPr="00073AC8">
        <w:rPr>
          <w:szCs w:val="22"/>
        </w:rPr>
        <w:t xml:space="preserve">of advanced ICT is restraining business opportunities for Afghan firms. While mobile telecommunications are widely used for business, only 40 percent of the surveyed firms use e-mail, and only 20 percent have a websites (Figure </w:t>
      </w:r>
      <w:r>
        <w:rPr>
          <w:szCs w:val="22"/>
        </w:rPr>
        <w:t>3.</w:t>
      </w:r>
      <w:r w:rsidRPr="00073AC8">
        <w:rPr>
          <w:szCs w:val="22"/>
        </w:rPr>
        <w:t xml:space="preserve">13). </w:t>
      </w:r>
      <w:r>
        <w:rPr>
          <w:szCs w:val="22"/>
        </w:rPr>
        <w:t>B</w:t>
      </w:r>
      <w:r w:rsidRPr="00073AC8">
        <w:rPr>
          <w:szCs w:val="22"/>
        </w:rPr>
        <w:t>roadband</w:t>
      </w:r>
      <w:r>
        <w:rPr>
          <w:szCs w:val="22"/>
        </w:rPr>
        <w:t>-</w:t>
      </w:r>
      <w:r w:rsidRPr="00073AC8">
        <w:rPr>
          <w:szCs w:val="22"/>
        </w:rPr>
        <w:t xml:space="preserve">based ICT markets can reduce transaction costs of businesses and open unexploited business opportunities. </w:t>
      </w:r>
      <w:r>
        <w:rPr>
          <w:szCs w:val="22"/>
        </w:rPr>
        <w:t>The introduction in 2012 of high-speed wireless broadband networks could help drive growth, at least initially in urban areas.</w:t>
      </w:r>
    </w:p>
    <w:p w:rsidR="002C070F" w:rsidRPr="00073AC8" w:rsidRDefault="002C070F" w:rsidP="002C070F">
      <w:pPr>
        <w:pStyle w:val="ListParagraph"/>
        <w:tabs>
          <w:tab w:val="left" w:pos="540"/>
        </w:tabs>
        <w:spacing w:after="0"/>
        <w:ind w:left="0"/>
        <w:rPr>
          <w:szCs w:val="22"/>
        </w:rPr>
      </w:pPr>
    </w:p>
    <w:p w:rsidR="002C070F" w:rsidRPr="00073AC8" w:rsidRDefault="002C070F" w:rsidP="002C070F">
      <w:pPr>
        <w:pStyle w:val="Caption"/>
        <w:tabs>
          <w:tab w:val="center" w:pos="2520"/>
          <w:tab w:val="center" w:pos="6840"/>
        </w:tabs>
        <w:spacing w:after="0"/>
        <w:rPr>
          <w:sz w:val="22"/>
          <w:szCs w:val="22"/>
        </w:rPr>
      </w:pPr>
      <w:r w:rsidRPr="0080663C">
        <w:rPr>
          <w:color w:val="410082" w:themeColor="text1"/>
          <w:sz w:val="22"/>
          <w:szCs w:val="22"/>
        </w:rPr>
        <w:t xml:space="preserve">Figure </w:t>
      </w:r>
      <w:r>
        <w:rPr>
          <w:color w:val="410082" w:themeColor="text1"/>
          <w:sz w:val="22"/>
          <w:szCs w:val="22"/>
        </w:rPr>
        <w:t>3.</w:t>
      </w:r>
      <w:r w:rsidRPr="0080663C">
        <w:rPr>
          <w:color w:val="410082" w:themeColor="text1"/>
          <w:sz w:val="22"/>
          <w:szCs w:val="22"/>
        </w:rPr>
        <w:fldChar w:fldCharType="begin"/>
      </w:r>
      <w:r w:rsidRPr="0080663C">
        <w:rPr>
          <w:color w:val="410082" w:themeColor="text1"/>
          <w:sz w:val="22"/>
          <w:szCs w:val="22"/>
        </w:rPr>
        <w:instrText xml:space="preserve"> SEQ Figure \* ARABIC </w:instrText>
      </w:r>
      <w:r w:rsidRPr="0080663C">
        <w:rPr>
          <w:color w:val="410082" w:themeColor="text1"/>
          <w:sz w:val="22"/>
          <w:szCs w:val="22"/>
        </w:rPr>
        <w:fldChar w:fldCharType="separate"/>
      </w:r>
      <w:r w:rsidR="0080181F">
        <w:rPr>
          <w:noProof/>
          <w:color w:val="410082" w:themeColor="text1"/>
          <w:sz w:val="22"/>
          <w:szCs w:val="22"/>
        </w:rPr>
        <w:t>7</w:t>
      </w:r>
      <w:r w:rsidRPr="0080663C">
        <w:rPr>
          <w:color w:val="410082" w:themeColor="text1"/>
          <w:sz w:val="22"/>
          <w:szCs w:val="22"/>
        </w:rPr>
        <w:fldChar w:fldCharType="end"/>
      </w:r>
      <w:r>
        <w:rPr>
          <w:color w:val="410082" w:themeColor="text1"/>
          <w:sz w:val="22"/>
          <w:szCs w:val="22"/>
        </w:rPr>
        <w:t>:</w:t>
      </w:r>
      <w:r w:rsidRPr="0080663C">
        <w:rPr>
          <w:color w:val="410082" w:themeColor="text1"/>
          <w:sz w:val="22"/>
          <w:szCs w:val="22"/>
        </w:rPr>
        <w:t xml:space="preserve"> Fixed </w:t>
      </w:r>
      <w:r>
        <w:rPr>
          <w:color w:val="410082" w:themeColor="text1"/>
          <w:sz w:val="22"/>
          <w:szCs w:val="22"/>
        </w:rPr>
        <w:t>L</w:t>
      </w:r>
      <w:r w:rsidRPr="0080663C">
        <w:rPr>
          <w:color w:val="410082" w:themeColor="text1"/>
          <w:sz w:val="22"/>
          <w:szCs w:val="22"/>
        </w:rPr>
        <w:t xml:space="preserve">ine </w:t>
      </w:r>
      <w:r>
        <w:rPr>
          <w:color w:val="410082" w:themeColor="text1"/>
          <w:sz w:val="22"/>
          <w:szCs w:val="22"/>
        </w:rPr>
        <w:t>T</w:t>
      </w:r>
      <w:r w:rsidRPr="0080663C">
        <w:rPr>
          <w:color w:val="410082" w:themeColor="text1"/>
          <w:sz w:val="22"/>
          <w:szCs w:val="22"/>
        </w:rPr>
        <w:t xml:space="preserve">eledensity </w:t>
      </w:r>
      <w:r w:rsidRPr="00073AC8">
        <w:rPr>
          <w:sz w:val="22"/>
          <w:szCs w:val="22"/>
        </w:rPr>
        <w:tab/>
        <w:t xml:space="preserve"> </w:t>
      </w:r>
      <w:r w:rsidRPr="0080663C">
        <w:rPr>
          <w:color w:val="410082" w:themeColor="text1"/>
          <w:sz w:val="22"/>
          <w:szCs w:val="22"/>
        </w:rPr>
        <w:t>Figure 3.</w:t>
      </w:r>
      <w:r w:rsidRPr="0080663C">
        <w:rPr>
          <w:color w:val="410082" w:themeColor="text1"/>
          <w:sz w:val="22"/>
          <w:szCs w:val="22"/>
        </w:rPr>
        <w:fldChar w:fldCharType="begin"/>
      </w:r>
      <w:r w:rsidRPr="0080663C">
        <w:rPr>
          <w:color w:val="410082" w:themeColor="text1"/>
          <w:sz w:val="22"/>
          <w:szCs w:val="22"/>
        </w:rPr>
        <w:instrText xml:space="preserve"> SEQ Figure \* ARABIC </w:instrText>
      </w:r>
      <w:r w:rsidRPr="0080663C">
        <w:rPr>
          <w:color w:val="410082" w:themeColor="text1"/>
          <w:sz w:val="22"/>
          <w:szCs w:val="22"/>
        </w:rPr>
        <w:fldChar w:fldCharType="separate"/>
      </w:r>
      <w:r w:rsidR="0080181F">
        <w:rPr>
          <w:noProof/>
          <w:color w:val="410082" w:themeColor="text1"/>
          <w:sz w:val="22"/>
          <w:szCs w:val="22"/>
        </w:rPr>
        <w:t>8</w:t>
      </w:r>
      <w:r w:rsidRPr="0080663C">
        <w:rPr>
          <w:color w:val="410082" w:themeColor="text1"/>
          <w:sz w:val="22"/>
          <w:szCs w:val="22"/>
        </w:rPr>
        <w:fldChar w:fldCharType="end"/>
      </w:r>
      <w:r w:rsidRPr="0080663C">
        <w:rPr>
          <w:color w:val="410082" w:themeColor="text1"/>
          <w:sz w:val="22"/>
          <w:szCs w:val="22"/>
        </w:rPr>
        <w:t>: Mobile Teledensity</w:t>
      </w:r>
      <w:r w:rsidRPr="00073AC8">
        <w:rPr>
          <w:sz w:val="22"/>
          <w:szCs w:val="22"/>
        </w:rPr>
        <w:t xml:space="preserve"> </w:t>
      </w:r>
    </w:p>
    <w:p w:rsidR="002C070F" w:rsidRPr="00073AC8" w:rsidRDefault="002C070F" w:rsidP="002C070F">
      <w:pPr>
        <w:tabs>
          <w:tab w:val="center" w:pos="2520"/>
          <w:tab w:val="center" w:pos="6840"/>
        </w:tabs>
        <w:spacing w:after="0"/>
        <w:rPr>
          <w:szCs w:val="22"/>
        </w:rPr>
      </w:pPr>
      <w:r w:rsidRPr="00F169BF">
        <w:rPr>
          <w:noProof/>
          <w:szCs w:val="22"/>
          <w:lang w:bidi="ar-SA"/>
        </w:rPr>
        <w:drawing>
          <wp:inline distT="0" distB="0" distL="0" distR="0" wp14:anchorId="0CA0507E" wp14:editId="7D3CACF7">
            <wp:extent cx="2550636" cy="1845380"/>
            <wp:effectExtent l="19050" t="0" r="2064"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2550636" cy="1845380"/>
                    </a:xfrm>
                    <a:prstGeom prst="rect">
                      <a:avLst/>
                    </a:prstGeom>
                    <a:noFill/>
                    <a:ln w="9525">
                      <a:noFill/>
                      <a:miter lim="800000"/>
                      <a:headEnd/>
                      <a:tailEnd/>
                    </a:ln>
                  </pic:spPr>
                </pic:pic>
              </a:graphicData>
            </a:graphic>
          </wp:inline>
        </w:drawing>
      </w:r>
      <w:r w:rsidRPr="00073AC8">
        <w:rPr>
          <w:szCs w:val="22"/>
        </w:rPr>
        <w:tab/>
      </w:r>
      <w:r w:rsidRPr="00F169BF">
        <w:rPr>
          <w:noProof/>
          <w:szCs w:val="22"/>
          <w:lang w:bidi="ar-SA"/>
        </w:rPr>
        <w:drawing>
          <wp:inline distT="0" distB="0" distL="0" distR="0" wp14:anchorId="1BC46C9B" wp14:editId="598726F0">
            <wp:extent cx="2550636" cy="1845380"/>
            <wp:effectExtent l="19050" t="0" r="2064"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2550636" cy="1845380"/>
                    </a:xfrm>
                    <a:prstGeom prst="rect">
                      <a:avLst/>
                    </a:prstGeom>
                    <a:noFill/>
                    <a:ln w="9525">
                      <a:noFill/>
                      <a:miter lim="800000"/>
                      <a:headEnd/>
                      <a:tailEnd/>
                    </a:ln>
                  </pic:spPr>
                </pic:pic>
              </a:graphicData>
            </a:graphic>
          </wp:inline>
        </w:drawing>
      </w:r>
    </w:p>
    <w:p w:rsidR="002C070F" w:rsidRDefault="002C070F" w:rsidP="002C070F">
      <w:pPr>
        <w:pStyle w:val="ListParagraph"/>
        <w:tabs>
          <w:tab w:val="center" w:pos="2520"/>
          <w:tab w:val="center" w:pos="6840"/>
        </w:tabs>
        <w:spacing w:after="0"/>
        <w:ind w:left="0"/>
        <w:rPr>
          <w:szCs w:val="22"/>
        </w:rPr>
      </w:pPr>
    </w:p>
    <w:p w:rsidR="002C070F" w:rsidRPr="00073AC8" w:rsidRDefault="002C070F" w:rsidP="002C070F">
      <w:pPr>
        <w:pStyle w:val="Caption"/>
        <w:tabs>
          <w:tab w:val="center" w:pos="2520"/>
          <w:tab w:val="center" w:pos="6840"/>
        </w:tabs>
        <w:spacing w:after="0"/>
        <w:rPr>
          <w:sz w:val="22"/>
          <w:szCs w:val="22"/>
        </w:rPr>
      </w:pPr>
      <w:r w:rsidRPr="0080663C">
        <w:rPr>
          <w:color w:val="410082" w:themeColor="text1"/>
          <w:sz w:val="22"/>
          <w:szCs w:val="22"/>
        </w:rPr>
        <w:t>Figure 3.</w:t>
      </w:r>
      <w:r w:rsidRPr="0080663C">
        <w:rPr>
          <w:color w:val="410082" w:themeColor="text1"/>
          <w:sz w:val="22"/>
          <w:szCs w:val="22"/>
        </w:rPr>
        <w:fldChar w:fldCharType="begin"/>
      </w:r>
      <w:r w:rsidRPr="0080663C">
        <w:rPr>
          <w:color w:val="410082" w:themeColor="text1"/>
          <w:sz w:val="22"/>
          <w:szCs w:val="22"/>
        </w:rPr>
        <w:instrText xml:space="preserve"> SEQ Figure \* ARABIC </w:instrText>
      </w:r>
      <w:r w:rsidRPr="0080663C">
        <w:rPr>
          <w:color w:val="410082" w:themeColor="text1"/>
          <w:sz w:val="22"/>
          <w:szCs w:val="22"/>
        </w:rPr>
        <w:fldChar w:fldCharType="separate"/>
      </w:r>
      <w:r w:rsidR="0080181F">
        <w:rPr>
          <w:noProof/>
          <w:color w:val="410082" w:themeColor="text1"/>
          <w:sz w:val="22"/>
          <w:szCs w:val="22"/>
        </w:rPr>
        <w:t>9</w:t>
      </w:r>
      <w:r w:rsidRPr="0080663C">
        <w:rPr>
          <w:color w:val="410082" w:themeColor="text1"/>
          <w:sz w:val="22"/>
          <w:szCs w:val="22"/>
        </w:rPr>
        <w:fldChar w:fldCharType="end"/>
      </w:r>
      <w:r w:rsidRPr="0080663C">
        <w:rPr>
          <w:color w:val="410082" w:themeColor="text1"/>
          <w:sz w:val="22"/>
          <w:szCs w:val="22"/>
        </w:rPr>
        <w:t>: Internet Use</w:t>
      </w:r>
      <w:r>
        <w:rPr>
          <w:sz w:val="22"/>
          <w:szCs w:val="22"/>
        </w:rPr>
        <w:t xml:space="preserve">               </w:t>
      </w:r>
      <w:r w:rsidRPr="00073AC8">
        <w:rPr>
          <w:sz w:val="22"/>
          <w:szCs w:val="22"/>
        </w:rPr>
        <w:t xml:space="preserve"> </w:t>
      </w:r>
      <w:r w:rsidRPr="00073AC8">
        <w:rPr>
          <w:sz w:val="22"/>
          <w:szCs w:val="22"/>
        </w:rPr>
        <w:tab/>
        <w:t xml:space="preserve"> </w:t>
      </w:r>
      <w:r w:rsidRPr="0080663C">
        <w:rPr>
          <w:color w:val="410082" w:themeColor="text1"/>
          <w:sz w:val="22"/>
          <w:szCs w:val="22"/>
        </w:rPr>
        <w:t>Figure 3.</w:t>
      </w:r>
      <w:r w:rsidRPr="0080663C">
        <w:rPr>
          <w:color w:val="410082" w:themeColor="text1"/>
          <w:sz w:val="22"/>
          <w:szCs w:val="22"/>
        </w:rPr>
        <w:fldChar w:fldCharType="begin"/>
      </w:r>
      <w:r w:rsidRPr="0080663C">
        <w:rPr>
          <w:color w:val="410082" w:themeColor="text1"/>
          <w:sz w:val="22"/>
          <w:szCs w:val="22"/>
        </w:rPr>
        <w:instrText xml:space="preserve"> SEQ Figure \* ARABIC </w:instrText>
      </w:r>
      <w:r w:rsidRPr="0080663C">
        <w:rPr>
          <w:color w:val="410082" w:themeColor="text1"/>
          <w:sz w:val="22"/>
          <w:szCs w:val="22"/>
        </w:rPr>
        <w:fldChar w:fldCharType="separate"/>
      </w:r>
      <w:r w:rsidR="0080181F">
        <w:rPr>
          <w:noProof/>
          <w:color w:val="410082" w:themeColor="text1"/>
          <w:sz w:val="22"/>
          <w:szCs w:val="22"/>
        </w:rPr>
        <w:t>10</w:t>
      </w:r>
      <w:r w:rsidRPr="0080663C">
        <w:rPr>
          <w:color w:val="410082" w:themeColor="text1"/>
          <w:sz w:val="22"/>
          <w:szCs w:val="22"/>
        </w:rPr>
        <w:fldChar w:fldCharType="end"/>
      </w:r>
      <w:r w:rsidRPr="0080663C">
        <w:rPr>
          <w:color w:val="410082" w:themeColor="text1"/>
          <w:sz w:val="22"/>
          <w:szCs w:val="22"/>
        </w:rPr>
        <w:t xml:space="preserve"> Broadband Internet Use</w:t>
      </w:r>
      <w:r w:rsidRPr="00073AC8">
        <w:rPr>
          <w:sz w:val="22"/>
          <w:szCs w:val="22"/>
        </w:rPr>
        <w:t xml:space="preserve"> </w:t>
      </w:r>
    </w:p>
    <w:p w:rsidR="002C070F" w:rsidRPr="00073AC8" w:rsidRDefault="002C070F" w:rsidP="002C070F">
      <w:pPr>
        <w:tabs>
          <w:tab w:val="center" w:pos="2520"/>
          <w:tab w:val="center" w:pos="6840"/>
        </w:tabs>
        <w:spacing w:after="0"/>
        <w:rPr>
          <w:szCs w:val="22"/>
        </w:rPr>
      </w:pPr>
      <w:r w:rsidRPr="00F169BF">
        <w:rPr>
          <w:noProof/>
          <w:szCs w:val="22"/>
          <w:lang w:bidi="ar-SA"/>
        </w:rPr>
        <w:drawing>
          <wp:inline distT="0" distB="0" distL="0" distR="0" wp14:anchorId="30ED9A9B" wp14:editId="265108D9">
            <wp:extent cx="2550636" cy="1845380"/>
            <wp:effectExtent l="19050" t="0" r="2064" b="0"/>
            <wp:docPr id="2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2550636" cy="1845380"/>
                    </a:xfrm>
                    <a:prstGeom prst="rect">
                      <a:avLst/>
                    </a:prstGeom>
                    <a:noFill/>
                    <a:ln w="9525">
                      <a:noFill/>
                      <a:miter lim="800000"/>
                      <a:headEnd/>
                      <a:tailEnd/>
                    </a:ln>
                  </pic:spPr>
                </pic:pic>
              </a:graphicData>
            </a:graphic>
          </wp:inline>
        </w:drawing>
      </w:r>
      <w:r w:rsidRPr="00073AC8">
        <w:rPr>
          <w:szCs w:val="22"/>
        </w:rPr>
        <w:tab/>
      </w:r>
      <w:r w:rsidRPr="00F169BF">
        <w:rPr>
          <w:noProof/>
          <w:szCs w:val="22"/>
          <w:lang w:bidi="ar-SA"/>
        </w:rPr>
        <w:drawing>
          <wp:inline distT="0" distB="0" distL="0" distR="0" wp14:anchorId="0DCD2CD3" wp14:editId="133D52C7">
            <wp:extent cx="2550636" cy="1845380"/>
            <wp:effectExtent l="19050" t="0" r="2064" b="0"/>
            <wp:docPr id="2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srcRect/>
                    <a:stretch>
                      <a:fillRect/>
                    </a:stretch>
                  </pic:blipFill>
                  <pic:spPr bwMode="auto">
                    <a:xfrm>
                      <a:off x="0" y="0"/>
                      <a:ext cx="2550636" cy="1845380"/>
                    </a:xfrm>
                    <a:prstGeom prst="rect">
                      <a:avLst/>
                    </a:prstGeom>
                    <a:noFill/>
                    <a:ln w="9525">
                      <a:noFill/>
                      <a:miter lim="800000"/>
                      <a:headEnd/>
                      <a:tailEnd/>
                    </a:ln>
                  </pic:spPr>
                </pic:pic>
              </a:graphicData>
            </a:graphic>
          </wp:inline>
        </w:drawing>
      </w:r>
      <w:r w:rsidRPr="00073AC8">
        <w:rPr>
          <w:szCs w:val="22"/>
        </w:rPr>
        <w:tab/>
      </w:r>
      <w:r w:rsidRPr="00E27351">
        <w:rPr>
          <w:sz w:val="20"/>
        </w:rPr>
        <w:t>Source: World Development Indicators.</w:t>
      </w:r>
      <w:r w:rsidRPr="00073AC8">
        <w:rPr>
          <w:szCs w:val="22"/>
        </w:rPr>
        <w:t xml:space="preserve"> </w:t>
      </w:r>
      <w:r w:rsidRPr="00073AC8">
        <w:rPr>
          <w:szCs w:val="22"/>
        </w:rPr>
        <w:tab/>
      </w:r>
      <w:r>
        <w:rPr>
          <w:szCs w:val="22"/>
        </w:rPr>
        <w:t xml:space="preserve"> </w:t>
      </w:r>
    </w:p>
    <w:p w:rsidR="002C070F" w:rsidRDefault="002C070F" w:rsidP="002C070F">
      <w:pPr>
        <w:pStyle w:val="Caption"/>
        <w:tabs>
          <w:tab w:val="center" w:pos="2520"/>
          <w:tab w:val="center" w:pos="6840"/>
        </w:tabs>
        <w:spacing w:after="0"/>
        <w:jc w:val="center"/>
        <w:rPr>
          <w:color w:val="410082" w:themeColor="text1"/>
          <w:sz w:val="22"/>
          <w:szCs w:val="22"/>
        </w:rPr>
      </w:pPr>
    </w:p>
    <w:p w:rsidR="002C070F" w:rsidRPr="0080663C" w:rsidRDefault="002C070F" w:rsidP="002C070F">
      <w:pPr>
        <w:pStyle w:val="Caption"/>
        <w:tabs>
          <w:tab w:val="center" w:pos="2520"/>
          <w:tab w:val="center" w:pos="6840"/>
        </w:tabs>
        <w:spacing w:after="0"/>
        <w:jc w:val="center"/>
        <w:rPr>
          <w:color w:val="410082" w:themeColor="text1"/>
          <w:sz w:val="22"/>
          <w:szCs w:val="22"/>
        </w:rPr>
      </w:pPr>
      <w:r w:rsidRPr="0080663C">
        <w:rPr>
          <w:color w:val="410082" w:themeColor="text1"/>
          <w:sz w:val="22"/>
          <w:szCs w:val="22"/>
        </w:rPr>
        <w:t>Figure 3.</w:t>
      </w:r>
      <w:r w:rsidRPr="0080663C">
        <w:rPr>
          <w:color w:val="410082" w:themeColor="text1"/>
          <w:sz w:val="22"/>
          <w:szCs w:val="22"/>
        </w:rPr>
        <w:fldChar w:fldCharType="begin"/>
      </w:r>
      <w:r w:rsidRPr="0080663C">
        <w:rPr>
          <w:color w:val="410082" w:themeColor="text1"/>
          <w:sz w:val="22"/>
          <w:szCs w:val="22"/>
        </w:rPr>
        <w:instrText xml:space="preserve"> SEQ Figure \* ARABIC </w:instrText>
      </w:r>
      <w:r w:rsidRPr="0080663C">
        <w:rPr>
          <w:color w:val="410082" w:themeColor="text1"/>
          <w:sz w:val="22"/>
          <w:szCs w:val="22"/>
        </w:rPr>
        <w:fldChar w:fldCharType="separate"/>
      </w:r>
      <w:r w:rsidR="0080181F">
        <w:rPr>
          <w:noProof/>
          <w:color w:val="410082" w:themeColor="text1"/>
          <w:sz w:val="22"/>
          <w:szCs w:val="22"/>
        </w:rPr>
        <w:t>11</w:t>
      </w:r>
      <w:r w:rsidRPr="0080663C">
        <w:rPr>
          <w:color w:val="410082" w:themeColor="text1"/>
          <w:sz w:val="22"/>
          <w:szCs w:val="22"/>
        </w:rPr>
        <w:fldChar w:fldCharType="end"/>
      </w:r>
      <w:r w:rsidRPr="0080663C">
        <w:rPr>
          <w:color w:val="410082" w:themeColor="text1"/>
          <w:sz w:val="22"/>
          <w:szCs w:val="22"/>
        </w:rPr>
        <w:t>: ICT Use by Afghan Firms</w:t>
      </w:r>
    </w:p>
    <w:p w:rsidR="002C070F" w:rsidRDefault="002C070F" w:rsidP="002C070F">
      <w:pPr>
        <w:tabs>
          <w:tab w:val="center" w:pos="2520"/>
          <w:tab w:val="center" w:pos="6840"/>
        </w:tabs>
        <w:spacing w:after="0"/>
        <w:jc w:val="center"/>
        <w:rPr>
          <w:szCs w:val="22"/>
        </w:rPr>
      </w:pPr>
    </w:p>
    <w:p w:rsidR="002C070F" w:rsidRDefault="002C070F" w:rsidP="002C070F">
      <w:pPr>
        <w:tabs>
          <w:tab w:val="center" w:pos="2520"/>
          <w:tab w:val="center" w:pos="6840"/>
        </w:tabs>
        <w:spacing w:after="0"/>
        <w:jc w:val="center"/>
        <w:rPr>
          <w:sz w:val="20"/>
        </w:rPr>
      </w:pPr>
      <w:r w:rsidRPr="00F169BF">
        <w:rPr>
          <w:noProof/>
          <w:szCs w:val="22"/>
          <w:lang w:bidi="ar-SA"/>
        </w:rPr>
        <w:drawing>
          <wp:inline distT="0" distB="0" distL="0" distR="0" wp14:anchorId="329D51A5" wp14:editId="5851E701">
            <wp:extent cx="2550636" cy="1848172"/>
            <wp:effectExtent l="19050" t="0" r="2064" b="0"/>
            <wp:docPr id="2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srcRect/>
                    <a:stretch>
                      <a:fillRect/>
                    </a:stretch>
                  </pic:blipFill>
                  <pic:spPr bwMode="auto">
                    <a:xfrm>
                      <a:off x="0" y="0"/>
                      <a:ext cx="2550636" cy="1848172"/>
                    </a:xfrm>
                    <a:prstGeom prst="rect">
                      <a:avLst/>
                    </a:prstGeom>
                    <a:noFill/>
                    <a:ln w="9525">
                      <a:noFill/>
                      <a:miter lim="800000"/>
                      <a:headEnd/>
                      <a:tailEnd/>
                    </a:ln>
                  </pic:spPr>
                </pic:pic>
              </a:graphicData>
            </a:graphic>
          </wp:inline>
        </w:drawing>
      </w:r>
    </w:p>
    <w:p w:rsidR="002C070F" w:rsidRPr="00E27351" w:rsidRDefault="002C070F" w:rsidP="002C070F">
      <w:pPr>
        <w:tabs>
          <w:tab w:val="center" w:pos="2520"/>
          <w:tab w:val="center" w:pos="6840"/>
        </w:tabs>
        <w:spacing w:after="0"/>
        <w:jc w:val="center"/>
        <w:rPr>
          <w:szCs w:val="22"/>
        </w:rPr>
      </w:pPr>
      <w:r w:rsidRPr="00131431">
        <w:rPr>
          <w:sz w:val="20"/>
        </w:rPr>
        <w:t>Source: BEEP</w:t>
      </w:r>
      <w:r>
        <w:rPr>
          <w:sz w:val="20"/>
        </w:rPr>
        <w:t>,</w:t>
      </w:r>
      <w:r w:rsidRPr="00131431">
        <w:rPr>
          <w:sz w:val="20"/>
        </w:rPr>
        <w:t xml:space="preserve"> Afghanistan 2009.</w:t>
      </w:r>
    </w:p>
    <w:p w:rsidR="002C070F" w:rsidRPr="00073AC8" w:rsidRDefault="002C070F" w:rsidP="002C070F">
      <w:pPr>
        <w:tabs>
          <w:tab w:val="left" w:pos="540"/>
        </w:tabs>
        <w:spacing w:before="240"/>
        <w:rPr>
          <w:szCs w:val="22"/>
        </w:rPr>
      </w:pPr>
      <w:r w:rsidRPr="00073AC8">
        <w:rPr>
          <w:b/>
          <w:szCs w:val="22"/>
        </w:rPr>
        <w:t>Five privately</w:t>
      </w:r>
      <w:r>
        <w:rPr>
          <w:b/>
          <w:szCs w:val="22"/>
        </w:rPr>
        <w:t>-</w:t>
      </w:r>
      <w:r w:rsidRPr="00073AC8">
        <w:rPr>
          <w:b/>
          <w:szCs w:val="22"/>
        </w:rPr>
        <w:t xml:space="preserve">owned </w:t>
      </w:r>
      <w:r>
        <w:rPr>
          <w:b/>
          <w:szCs w:val="22"/>
        </w:rPr>
        <w:t>firms,</w:t>
      </w:r>
      <w:r w:rsidRPr="00073AC8">
        <w:rPr>
          <w:b/>
          <w:szCs w:val="22"/>
        </w:rPr>
        <w:t xml:space="preserve"> </w:t>
      </w:r>
      <w:r>
        <w:rPr>
          <w:b/>
          <w:szCs w:val="22"/>
        </w:rPr>
        <w:t>with</w:t>
      </w:r>
      <w:r w:rsidRPr="00073AC8">
        <w:rPr>
          <w:b/>
          <w:szCs w:val="22"/>
        </w:rPr>
        <w:t xml:space="preserve"> foreign partners</w:t>
      </w:r>
      <w:r>
        <w:rPr>
          <w:b/>
          <w:szCs w:val="22"/>
        </w:rPr>
        <w:t>,</w:t>
      </w:r>
      <w:r w:rsidRPr="00073AC8">
        <w:rPr>
          <w:b/>
          <w:szCs w:val="22"/>
        </w:rPr>
        <w:t xml:space="preserve"> </w:t>
      </w:r>
      <w:r>
        <w:rPr>
          <w:b/>
          <w:szCs w:val="22"/>
        </w:rPr>
        <w:t xml:space="preserve">and one state-owned corporation </w:t>
      </w:r>
      <w:r w:rsidRPr="00073AC8">
        <w:rPr>
          <w:b/>
          <w:szCs w:val="22"/>
        </w:rPr>
        <w:t xml:space="preserve">are competing in the </w:t>
      </w:r>
      <w:r>
        <w:rPr>
          <w:b/>
          <w:szCs w:val="22"/>
        </w:rPr>
        <w:t xml:space="preserve">mobile telephony </w:t>
      </w:r>
      <w:r w:rsidRPr="00073AC8">
        <w:rPr>
          <w:b/>
          <w:szCs w:val="22"/>
        </w:rPr>
        <w:t>market</w:t>
      </w:r>
      <w:r>
        <w:rPr>
          <w:szCs w:val="22"/>
        </w:rPr>
        <w:t xml:space="preserve"> </w:t>
      </w:r>
      <w:r w:rsidRPr="00073AC8">
        <w:rPr>
          <w:szCs w:val="22"/>
        </w:rPr>
        <w:t xml:space="preserve">(Table </w:t>
      </w:r>
      <w:r>
        <w:rPr>
          <w:szCs w:val="22"/>
        </w:rPr>
        <w:t>3.8</w:t>
      </w:r>
      <w:r w:rsidRPr="00073AC8">
        <w:rPr>
          <w:szCs w:val="22"/>
        </w:rPr>
        <w:t xml:space="preserve">). The first </w:t>
      </w:r>
      <w:r>
        <w:rPr>
          <w:szCs w:val="22"/>
        </w:rPr>
        <w:t>private firm</w:t>
      </w:r>
      <w:r w:rsidRPr="00073AC8">
        <w:rPr>
          <w:szCs w:val="22"/>
        </w:rPr>
        <w:t>, Afghan Wireless Communications Company (AWCC), launched its services in 2002</w:t>
      </w:r>
      <w:r>
        <w:rPr>
          <w:szCs w:val="22"/>
        </w:rPr>
        <w:t>,</w:t>
      </w:r>
      <w:r w:rsidRPr="00073AC8">
        <w:rPr>
          <w:szCs w:val="22"/>
        </w:rPr>
        <w:t xml:space="preserve"> followed by Roshan a year </w:t>
      </w:r>
      <w:r>
        <w:rPr>
          <w:szCs w:val="22"/>
        </w:rPr>
        <w:t>later</w:t>
      </w:r>
      <w:r w:rsidRPr="00073AC8">
        <w:rPr>
          <w:szCs w:val="22"/>
        </w:rPr>
        <w:t>. In 2006 and 2007, two more mobile operators entered the market, MTN and Etisalat. The</w:t>
      </w:r>
      <w:r>
        <w:rPr>
          <w:szCs w:val="22"/>
        </w:rPr>
        <w:t xml:space="preserve"> fifth</w:t>
      </w:r>
      <w:r w:rsidRPr="00073AC8">
        <w:rPr>
          <w:szCs w:val="22"/>
        </w:rPr>
        <w:t xml:space="preserve"> company, Wasel Telecom, w</w:t>
      </w:r>
      <w:r>
        <w:rPr>
          <w:szCs w:val="22"/>
        </w:rPr>
        <w:t>as</w:t>
      </w:r>
      <w:r w:rsidRPr="00073AC8">
        <w:rPr>
          <w:szCs w:val="22"/>
        </w:rPr>
        <w:t xml:space="preserve"> given a local license for unified telecommunications services. There is no capital restriction by nationality in Afghanistan</w:t>
      </w:r>
      <w:r>
        <w:rPr>
          <w:szCs w:val="22"/>
        </w:rPr>
        <w:t xml:space="preserve">, and they have </w:t>
      </w:r>
      <w:r w:rsidRPr="00073AC8">
        <w:rPr>
          <w:szCs w:val="22"/>
        </w:rPr>
        <w:t xml:space="preserve">invested about </w:t>
      </w:r>
      <w:r>
        <w:rPr>
          <w:szCs w:val="22"/>
        </w:rPr>
        <w:t>US</w:t>
      </w:r>
      <w:r w:rsidRPr="00073AC8">
        <w:rPr>
          <w:szCs w:val="22"/>
        </w:rPr>
        <w:t>$1.7 billion in the country</w:t>
      </w:r>
      <w:r>
        <w:rPr>
          <w:szCs w:val="22"/>
        </w:rPr>
        <w:t xml:space="preserve"> in the past 10 years</w:t>
      </w:r>
      <w:r w:rsidRPr="00073AC8">
        <w:rPr>
          <w:szCs w:val="22"/>
        </w:rPr>
        <w:t xml:space="preserve">. </w:t>
      </w:r>
    </w:p>
    <w:p w:rsidR="002C070F" w:rsidRPr="0080663C" w:rsidRDefault="002C070F" w:rsidP="002C070F">
      <w:pPr>
        <w:pStyle w:val="Caption"/>
        <w:spacing w:before="240" w:after="0"/>
        <w:rPr>
          <w:color w:val="410082" w:themeColor="text1"/>
          <w:sz w:val="22"/>
          <w:szCs w:val="22"/>
        </w:rPr>
      </w:pPr>
      <w:r w:rsidRPr="0080663C">
        <w:rPr>
          <w:color w:val="410082" w:themeColor="text1"/>
          <w:sz w:val="22"/>
          <w:szCs w:val="22"/>
        </w:rPr>
        <w:t>Table 3.</w:t>
      </w:r>
      <w:r w:rsidRPr="0080663C">
        <w:rPr>
          <w:color w:val="410082" w:themeColor="text1"/>
          <w:sz w:val="22"/>
          <w:szCs w:val="22"/>
        </w:rPr>
        <w:fldChar w:fldCharType="begin"/>
      </w:r>
      <w:r w:rsidRPr="0080663C">
        <w:rPr>
          <w:color w:val="410082" w:themeColor="text1"/>
          <w:sz w:val="22"/>
          <w:szCs w:val="22"/>
        </w:rPr>
        <w:instrText xml:space="preserve"> SEQ Table \* ARABIC </w:instrText>
      </w:r>
      <w:r w:rsidRPr="0080663C">
        <w:rPr>
          <w:color w:val="410082" w:themeColor="text1"/>
          <w:sz w:val="22"/>
          <w:szCs w:val="22"/>
        </w:rPr>
        <w:fldChar w:fldCharType="separate"/>
      </w:r>
      <w:r w:rsidR="0080181F">
        <w:rPr>
          <w:noProof/>
          <w:color w:val="410082" w:themeColor="text1"/>
          <w:sz w:val="22"/>
          <w:szCs w:val="22"/>
        </w:rPr>
        <w:t>4</w:t>
      </w:r>
      <w:r w:rsidRPr="0080663C">
        <w:rPr>
          <w:color w:val="410082" w:themeColor="text1"/>
          <w:sz w:val="22"/>
          <w:szCs w:val="22"/>
        </w:rPr>
        <w:fldChar w:fldCharType="end"/>
      </w:r>
      <w:r w:rsidRPr="0080663C">
        <w:rPr>
          <w:color w:val="410082" w:themeColor="text1"/>
          <w:sz w:val="22"/>
          <w:szCs w:val="22"/>
        </w:rPr>
        <w:t xml:space="preserve">: </w:t>
      </w:r>
      <w:r>
        <w:rPr>
          <w:color w:val="410082" w:themeColor="text1"/>
          <w:sz w:val="22"/>
          <w:szCs w:val="22"/>
        </w:rPr>
        <w:t xml:space="preserve">Private </w:t>
      </w:r>
      <w:r w:rsidRPr="0080663C">
        <w:rPr>
          <w:color w:val="410082" w:themeColor="text1"/>
          <w:sz w:val="22"/>
          <w:szCs w:val="22"/>
        </w:rPr>
        <w:t xml:space="preserve">Mobile Carriers Operating in Afghanistan </w:t>
      </w:r>
    </w:p>
    <w:tbl>
      <w:tblPr>
        <w:tblStyle w:val="LightShading-Accent11"/>
        <w:tblW w:w="5000" w:type="pct"/>
        <w:tblLook w:val="04A0" w:firstRow="1" w:lastRow="0" w:firstColumn="1" w:lastColumn="0" w:noHBand="0" w:noVBand="1"/>
      </w:tblPr>
      <w:tblGrid>
        <w:gridCol w:w="4227"/>
        <w:gridCol w:w="1089"/>
        <w:gridCol w:w="898"/>
        <w:gridCol w:w="1828"/>
        <w:gridCol w:w="1534"/>
      </w:tblGrid>
      <w:tr w:rsidR="002C070F" w:rsidRPr="00131431" w:rsidTr="00C74CFF">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212" w:type="pct"/>
            <w:hideMark/>
          </w:tcPr>
          <w:p w:rsidR="002C070F" w:rsidRPr="00131431" w:rsidRDefault="002C070F" w:rsidP="00C74CFF">
            <w:pPr>
              <w:jc w:val="left"/>
              <w:rPr>
                <w:rFonts w:eastAsia="Times New Roman"/>
                <w:b w:val="0"/>
                <w:bCs w:val="0"/>
                <w:color w:val="000000"/>
                <w:sz w:val="22"/>
              </w:rPr>
            </w:pPr>
            <w:r w:rsidRPr="00131431">
              <w:rPr>
                <w:rFonts w:eastAsia="Times New Roman"/>
                <w:color w:val="000000"/>
              </w:rPr>
              <w:t>Operator</w:t>
            </w:r>
          </w:p>
        </w:tc>
        <w:tc>
          <w:tcPr>
            <w:tcW w:w="1020" w:type="pct"/>
            <w:gridSpan w:val="2"/>
            <w:hideMark/>
          </w:tcPr>
          <w:p w:rsidR="002C070F" w:rsidRPr="00131431" w:rsidRDefault="002C070F" w:rsidP="00C74CFF">
            <w:pPr>
              <w:jc w:val="left"/>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2"/>
              </w:rPr>
            </w:pPr>
            <w:r w:rsidRPr="00131431">
              <w:rPr>
                <w:rFonts w:eastAsia="Times New Roman"/>
                <w:color w:val="000000"/>
              </w:rPr>
              <w:t>Contract period</w:t>
            </w:r>
          </w:p>
        </w:tc>
        <w:tc>
          <w:tcPr>
            <w:tcW w:w="963" w:type="pct"/>
            <w:hideMark/>
          </w:tcPr>
          <w:p w:rsidR="002C070F" w:rsidRDefault="002C070F" w:rsidP="00C74CFF">
            <w:pPr>
              <w:jc w:val="left"/>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2"/>
              </w:rPr>
            </w:pPr>
            <w:r w:rsidRPr="00131431">
              <w:rPr>
                <w:rFonts w:eastAsia="Times New Roman"/>
                <w:color w:val="000000"/>
              </w:rPr>
              <w:t xml:space="preserve">Cumulative investment  </w:t>
            </w:r>
          </w:p>
          <w:p w:rsidR="002C070F" w:rsidRPr="00131431" w:rsidRDefault="002C070F" w:rsidP="00C74CFF">
            <w:pPr>
              <w:jc w:val="left"/>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2"/>
              </w:rPr>
            </w:pPr>
            <w:r w:rsidRPr="00131431">
              <w:rPr>
                <w:rFonts w:eastAsia="Times New Roman"/>
                <w:color w:val="000000"/>
              </w:rPr>
              <w:t>($ million) 1/</w:t>
            </w:r>
          </w:p>
        </w:tc>
        <w:tc>
          <w:tcPr>
            <w:tcW w:w="806" w:type="pct"/>
            <w:hideMark/>
          </w:tcPr>
          <w:p w:rsidR="002C070F" w:rsidRPr="00131431" w:rsidRDefault="002C070F" w:rsidP="00C74CFF">
            <w:pPr>
              <w:jc w:val="left"/>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2"/>
              </w:rPr>
            </w:pPr>
            <w:r w:rsidRPr="00131431">
              <w:rPr>
                <w:rFonts w:eastAsia="Times New Roman"/>
                <w:color w:val="000000"/>
              </w:rPr>
              <w:t>No. of customers (million) 2/</w:t>
            </w:r>
          </w:p>
        </w:tc>
      </w:tr>
      <w:tr w:rsidR="002C070F" w:rsidRPr="00131431" w:rsidTr="00C74CF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2" w:type="pct"/>
            <w:noWrap/>
            <w:hideMark/>
          </w:tcPr>
          <w:p w:rsidR="002C070F" w:rsidRPr="00131431" w:rsidRDefault="002C070F" w:rsidP="00C74CFF">
            <w:pPr>
              <w:jc w:val="left"/>
              <w:rPr>
                <w:rFonts w:eastAsia="Times New Roman"/>
                <w:b w:val="0"/>
                <w:bCs w:val="0"/>
                <w:color w:val="000000"/>
                <w:sz w:val="22"/>
              </w:rPr>
            </w:pPr>
            <w:r w:rsidRPr="00131431">
              <w:rPr>
                <w:rFonts w:eastAsia="Times New Roman"/>
                <w:color w:val="000000"/>
              </w:rPr>
              <w:t xml:space="preserve">Afghan Wireless Communications Company </w:t>
            </w:r>
          </w:p>
        </w:tc>
        <w:tc>
          <w:tcPr>
            <w:tcW w:w="569" w:type="pct"/>
            <w:noWrap/>
            <w:hideMark/>
          </w:tcPr>
          <w:p w:rsidR="002C070F" w:rsidRPr="00131431" w:rsidRDefault="002C070F" w:rsidP="00C74CFF">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32"/>
              </w:rPr>
            </w:pPr>
            <w:r w:rsidRPr="00131431">
              <w:rPr>
                <w:rFonts w:eastAsia="Times New Roman"/>
                <w:color w:val="000000"/>
              </w:rPr>
              <w:t>2002-2017</w:t>
            </w:r>
          </w:p>
        </w:tc>
        <w:tc>
          <w:tcPr>
            <w:tcW w:w="451" w:type="pct"/>
            <w:noWrap/>
            <w:hideMark/>
          </w:tcPr>
          <w:p w:rsidR="002C070F" w:rsidRPr="00131431" w:rsidRDefault="002C070F" w:rsidP="00C74CFF">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32"/>
              </w:rPr>
            </w:pPr>
            <w:r w:rsidRPr="00131431">
              <w:rPr>
                <w:rFonts w:eastAsia="Times New Roman"/>
                <w:color w:val="000000"/>
              </w:rPr>
              <w:t>15 years</w:t>
            </w:r>
          </w:p>
        </w:tc>
        <w:tc>
          <w:tcPr>
            <w:tcW w:w="963" w:type="pct"/>
            <w:noWrap/>
            <w:hideMark/>
          </w:tcPr>
          <w:p w:rsidR="002C070F" w:rsidRPr="00131431" w:rsidRDefault="002C070F" w:rsidP="00C74CFF">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32"/>
              </w:rPr>
            </w:pPr>
            <w:r w:rsidRPr="00131431">
              <w:rPr>
                <w:rFonts w:eastAsia="Times New Roman"/>
                <w:color w:val="000000"/>
              </w:rPr>
              <w:t>450</w:t>
            </w:r>
          </w:p>
        </w:tc>
        <w:tc>
          <w:tcPr>
            <w:tcW w:w="806" w:type="pct"/>
            <w:noWrap/>
            <w:hideMark/>
          </w:tcPr>
          <w:p w:rsidR="002C070F" w:rsidRPr="00131431" w:rsidRDefault="002C070F" w:rsidP="00C74CFF">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32"/>
              </w:rPr>
            </w:pPr>
            <w:r w:rsidRPr="00131431">
              <w:rPr>
                <w:rFonts w:eastAsia="Times New Roman"/>
                <w:color w:val="000000"/>
              </w:rPr>
              <w:t>4.2</w:t>
            </w:r>
          </w:p>
        </w:tc>
      </w:tr>
      <w:tr w:rsidR="002C070F" w:rsidRPr="00131431" w:rsidTr="00C74CFF">
        <w:trPr>
          <w:trHeight w:val="255"/>
        </w:trPr>
        <w:tc>
          <w:tcPr>
            <w:cnfStyle w:val="001000000000" w:firstRow="0" w:lastRow="0" w:firstColumn="1" w:lastColumn="0" w:oddVBand="0" w:evenVBand="0" w:oddHBand="0" w:evenHBand="0" w:firstRowFirstColumn="0" w:firstRowLastColumn="0" w:lastRowFirstColumn="0" w:lastRowLastColumn="0"/>
            <w:tcW w:w="2212" w:type="pct"/>
            <w:noWrap/>
            <w:hideMark/>
          </w:tcPr>
          <w:p w:rsidR="002C070F" w:rsidRPr="00131431" w:rsidRDefault="002C070F" w:rsidP="00C74CFF">
            <w:pPr>
              <w:jc w:val="left"/>
              <w:rPr>
                <w:rFonts w:eastAsia="Times New Roman"/>
                <w:b w:val="0"/>
                <w:bCs w:val="0"/>
                <w:color w:val="000000"/>
                <w:sz w:val="22"/>
              </w:rPr>
            </w:pPr>
            <w:r w:rsidRPr="00131431">
              <w:rPr>
                <w:rFonts w:eastAsia="Times New Roman"/>
                <w:color w:val="000000"/>
              </w:rPr>
              <w:t xml:space="preserve">Roshan Telecom </w:t>
            </w:r>
          </w:p>
        </w:tc>
        <w:tc>
          <w:tcPr>
            <w:tcW w:w="569" w:type="pct"/>
            <w:noWrap/>
            <w:hideMark/>
          </w:tcPr>
          <w:p w:rsidR="002C070F" w:rsidRPr="00131431" w:rsidRDefault="002C070F" w:rsidP="00C74CFF">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32"/>
              </w:rPr>
            </w:pPr>
            <w:r w:rsidRPr="00131431">
              <w:rPr>
                <w:rFonts w:eastAsia="Times New Roman"/>
                <w:color w:val="000000"/>
              </w:rPr>
              <w:t>2003-2018</w:t>
            </w:r>
          </w:p>
        </w:tc>
        <w:tc>
          <w:tcPr>
            <w:tcW w:w="451" w:type="pct"/>
            <w:noWrap/>
            <w:hideMark/>
          </w:tcPr>
          <w:p w:rsidR="002C070F" w:rsidRPr="00131431" w:rsidRDefault="002C070F" w:rsidP="00C74CFF">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32"/>
              </w:rPr>
            </w:pPr>
            <w:r w:rsidRPr="00131431">
              <w:rPr>
                <w:rFonts w:eastAsia="Times New Roman"/>
                <w:color w:val="000000"/>
              </w:rPr>
              <w:t>15 years</w:t>
            </w:r>
          </w:p>
        </w:tc>
        <w:tc>
          <w:tcPr>
            <w:tcW w:w="963" w:type="pct"/>
            <w:noWrap/>
            <w:hideMark/>
          </w:tcPr>
          <w:p w:rsidR="002C070F" w:rsidRPr="00131431" w:rsidRDefault="002C070F" w:rsidP="00C74CFF">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32"/>
              </w:rPr>
            </w:pPr>
            <w:r w:rsidRPr="00131431">
              <w:rPr>
                <w:rFonts w:eastAsia="Times New Roman"/>
                <w:color w:val="000000"/>
              </w:rPr>
              <w:t>450</w:t>
            </w:r>
          </w:p>
        </w:tc>
        <w:tc>
          <w:tcPr>
            <w:tcW w:w="806" w:type="pct"/>
            <w:noWrap/>
            <w:hideMark/>
          </w:tcPr>
          <w:p w:rsidR="002C070F" w:rsidRPr="00131431" w:rsidRDefault="002C070F" w:rsidP="00C74CFF">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32"/>
              </w:rPr>
            </w:pPr>
            <w:r w:rsidRPr="00131431">
              <w:rPr>
                <w:rFonts w:eastAsia="Times New Roman"/>
                <w:color w:val="000000"/>
              </w:rPr>
              <w:t>5.2</w:t>
            </w:r>
          </w:p>
        </w:tc>
      </w:tr>
      <w:tr w:rsidR="002C070F" w:rsidRPr="00131431" w:rsidTr="00C74CF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2" w:type="pct"/>
            <w:noWrap/>
            <w:hideMark/>
          </w:tcPr>
          <w:p w:rsidR="002C070F" w:rsidRPr="00131431" w:rsidRDefault="002C070F" w:rsidP="00C74CFF">
            <w:pPr>
              <w:jc w:val="left"/>
              <w:rPr>
                <w:rFonts w:eastAsia="Times New Roman" w:cstheme="minorHAnsi"/>
                <w:color w:val="000000"/>
                <w:sz w:val="32"/>
              </w:rPr>
            </w:pPr>
            <w:r w:rsidRPr="00131431">
              <w:rPr>
                <w:rFonts w:eastAsia="Times New Roman"/>
                <w:color w:val="000000"/>
              </w:rPr>
              <w:t xml:space="preserve">Areeba Afghanistan (MTN) </w:t>
            </w:r>
          </w:p>
        </w:tc>
        <w:tc>
          <w:tcPr>
            <w:tcW w:w="569" w:type="pct"/>
            <w:noWrap/>
            <w:hideMark/>
          </w:tcPr>
          <w:p w:rsidR="002C070F" w:rsidRPr="00131431" w:rsidRDefault="002C070F" w:rsidP="00C74CFF">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32"/>
              </w:rPr>
            </w:pPr>
            <w:r w:rsidRPr="00131431">
              <w:rPr>
                <w:rFonts w:eastAsia="Times New Roman"/>
                <w:color w:val="000000"/>
              </w:rPr>
              <w:t>2006-2021</w:t>
            </w:r>
          </w:p>
        </w:tc>
        <w:tc>
          <w:tcPr>
            <w:tcW w:w="451" w:type="pct"/>
            <w:noWrap/>
            <w:hideMark/>
          </w:tcPr>
          <w:p w:rsidR="002C070F" w:rsidRPr="00131431" w:rsidRDefault="002C070F" w:rsidP="00C74CFF">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32"/>
              </w:rPr>
            </w:pPr>
            <w:r w:rsidRPr="00131431">
              <w:rPr>
                <w:rFonts w:eastAsia="Times New Roman"/>
                <w:color w:val="000000"/>
              </w:rPr>
              <w:t>15 years</w:t>
            </w:r>
          </w:p>
        </w:tc>
        <w:tc>
          <w:tcPr>
            <w:tcW w:w="963" w:type="pct"/>
            <w:noWrap/>
            <w:hideMark/>
          </w:tcPr>
          <w:p w:rsidR="002C070F" w:rsidRPr="00131431" w:rsidRDefault="002C070F" w:rsidP="00C74CFF">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32"/>
              </w:rPr>
            </w:pPr>
            <w:r w:rsidRPr="00131431">
              <w:rPr>
                <w:rFonts w:eastAsia="Times New Roman"/>
                <w:color w:val="000000"/>
              </w:rPr>
              <w:t>218</w:t>
            </w:r>
          </w:p>
        </w:tc>
        <w:tc>
          <w:tcPr>
            <w:tcW w:w="806" w:type="pct"/>
            <w:noWrap/>
            <w:hideMark/>
          </w:tcPr>
          <w:p w:rsidR="002C070F" w:rsidRPr="00131431" w:rsidRDefault="002C070F" w:rsidP="00C74CFF">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32"/>
              </w:rPr>
            </w:pPr>
            <w:r w:rsidRPr="00131431">
              <w:rPr>
                <w:rFonts w:eastAsia="Times New Roman"/>
                <w:color w:val="000000"/>
              </w:rPr>
              <w:t>4.4</w:t>
            </w:r>
          </w:p>
        </w:tc>
      </w:tr>
      <w:tr w:rsidR="002C070F" w:rsidRPr="00131431" w:rsidTr="00C74CFF">
        <w:trPr>
          <w:trHeight w:val="255"/>
        </w:trPr>
        <w:tc>
          <w:tcPr>
            <w:cnfStyle w:val="001000000000" w:firstRow="0" w:lastRow="0" w:firstColumn="1" w:lastColumn="0" w:oddVBand="0" w:evenVBand="0" w:oddHBand="0" w:evenHBand="0" w:firstRowFirstColumn="0" w:firstRowLastColumn="0" w:lastRowFirstColumn="0" w:lastRowLastColumn="0"/>
            <w:tcW w:w="2212" w:type="pct"/>
            <w:noWrap/>
            <w:hideMark/>
          </w:tcPr>
          <w:p w:rsidR="002C070F" w:rsidRPr="00131431" w:rsidRDefault="002C070F" w:rsidP="00C74CFF">
            <w:pPr>
              <w:jc w:val="left"/>
              <w:rPr>
                <w:rFonts w:eastAsia="Times New Roman" w:cstheme="minorHAnsi"/>
                <w:color w:val="000000"/>
                <w:sz w:val="32"/>
              </w:rPr>
            </w:pPr>
            <w:r w:rsidRPr="00131431">
              <w:rPr>
                <w:rFonts w:eastAsia="Times New Roman"/>
                <w:color w:val="000000"/>
              </w:rPr>
              <w:t xml:space="preserve">Etisalat Afghanistan </w:t>
            </w:r>
          </w:p>
        </w:tc>
        <w:tc>
          <w:tcPr>
            <w:tcW w:w="569" w:type="pct"/>
            <w:noWrap/>
            <w:hideMark/>
          </w:tcPr>
          <w:p w:rsidR="002C070F" w:rsidRPr="00131431" w:rsidRDefault="002C070F" w:rsidP="00C74CFF">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32"/>
              </w:rPr>
            </w:pPr>
            <w:r w:rsidRPr="00131431">
              <w:rPr>
                <w:rFonts w:eastAsia="Times New Roman"/>
                <w:color w:val="000000"/>
              </w:rPr>
              <w:t>2007-2022</w:t>
            </w:r>
          </w:p>
        </w:tc>
        <w:tc>
          <w:tcPr>
            <w:tcW w:w="451" w:type="pct"/>
            <w:noWrap/>
            <w:hideMark/>
          </w:tcPr>
          <w:p w:rsidR="002C070F" w:rsidRPr="00131431" w:rsidRDefault="002C070F" w:rsidP="00C74CFF">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32"/>
              </w:rPr>
            </w:pPr>
            <w:r w:rsidRPr="00131431">
              <w:rPr>
                <w:rFonts w:eastAsia="Times New Roman"/>
                <w:color w:val="000000"/>
              </w:rPr>
              <w:t>15 years</w:t>
            </w:r>
          </w:p>
        </w:tc>
        <w:tc>
          <w:tcPr>
            <w:tcW w:w="963" w:type="pct"/>
            <w:noWrap/>
            <w:hideMark/>
          </w:tcPr>
          <w:p w:rsidR="002C070F" w:rsidRPr="00131431" w:rsidRDefault="002C070F" w:rsidP="00C74CFF">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32"/>
              </w:rPr>
            </w:pPr>
            <w:r w:rsidRPr="00131431">
              <w:rPr>
                <w:rFonts w:eastAsia="Times New Roman"/>
                <w:color w:val="000000"/>
              </w:rPr>
              <w:t>300</w:t>
            </w:r>
          </w:p>
        </w:tc>
        <w:tc>
          <w:tcPr>
            <w:tcW w:w="806" w:type="pct"/>
            <w:noWrap/>
            <w:hideMark/>
          </w:tcPr>
          <w:p w:rsidR="002C070F" w:rsidRPr="00131431" w:rsidRDefault="002C070F" w:rsidP="00C74CFF">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32"/>
              </w:rPr>
            </w:pPr>
            <w:r w:rsidRPr="00131431">
              <w:rPr>
                <w:rFonts w:eastAsia="Times New Roman"/>
                <w:color w:val="000000"/>
              </w:rPr>
              <w:t>5.1</w:t>
            </w:r>
          </w:p>
        </w:tc>
      </w:tr>
      <w:tr w:rsidR="002C070F" w:rsidRPr="00131431" w:rsidTr="00C74CF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2" w:type="pct"/>
            <w:noWrap/>
            <w:hideMark/>
          </w:tcPr>
          <w:p w:rsidR="002C070F" w:rsidRPr="00131431" w:rsidRDefault="002C070F" w:rsidP="00C74CFF">
            <w:pPr>
              <w:jc w:val="left"/>
              <w:rPr>
                <w:rFonts w:eastAsia="Times New Roman" w:cstheme="minorHAnsi"/>
                <w:color w:val="000000"/>
                <w:sz w:val="32"/>
              </w:rPr>
            </w:pPr>
            <w:r w:rsidRPr="00131431">
              <w:rPr>
                <w:rFonts w:eastAsia="Times New Roman"/>
                <w:color w:val="000000"/>
              </w:rPr>
              <w:t xml:space="preserve">Wasel Telecom 3/ </w:t>
            </w:r>
          </w:p>
        </w:tc>
        <w:tc>
          <w:tcPr>
            <w:tcW w:w="569" w:type="pct"/>
            <w:noWrap/>
            <w:hideMark/>
          </w:tcPr>
          <w:p w:rsidR="002C070F" w:rsidRPr="00131431" w:rsidRDefault="002C070F" w:rsidP="00C74CFF">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p>
        </w:tc>
        <w:tc>
          <w:tcPr>
            <w:tcW w:w="451" w:type="pct"/>
            <w:noWrap/>
            <w:hideMark/>
          </w:tcPr>
          <w:p w:rsidR="002C070F" w:rsidRPr="00131431" w:rsidRDefault="002C070F" w:rsidP="00C74CFF">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p>
        </w:tc>
        <w:tc>
          <w:tcPr>
            <w:tcW w:w="963" w:type="pct"/>
            <w:noWrap/>
            <w:hideMark/>
          </w:tcPr>
          <w:p w:rsidR="002C070F" w:rsidRPr="00131431" w:rsidRDefault="002C070F" w:rsidP="00C74CFF">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32"/>
              </w:rPr>
            </w:pPr>
            <w:r w:rsidRPr="00131431">
              <w:rPr>
                <w:rFonts w:eastAsia="Times New Roman"/>
                <w:color w:val="000000"/>
              </w:rPr>
              <w:t>8.3</w:t>
            </w:r>
          </w:p>
        </w:tc>
        <w:tc>
          <w:tcPr>
            <w:tcW w:w="806" w:type="pct"/>
            <w:noWrap/>
            <w:hideMark/>
          </w:tcPr>
          <w:p w:rsidR="002C070F" w:rsidRPr="00131431" w:rsidRDefault="002C070F" w:rsidP="00C74CFF">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32"/>
              </w:rPr>
            </w:pPr>
            <w:r w:rsidRPr="00131431">
              <w:rPr>
                <w:rFonts w:eastAsia="Times New Roman"/>
                <w:color w:val="000000"/>
              </w:rPr>
              <w:t>0.4</w:t>
            </w:r>
          </w:p>
        </w:tc>
      </w:tr>
      <w:tr w:rsidR="002C070F" w:rsidRPr="00131431" w:rsidTr="00C74CFF">
        <w:trPr>
          <w:trHeight w:val="255"/>
        </w:trPr>
        <w:tc>
          <w:tcPr>
            <w:cnfStyle w:val="001000000000" w:firstRow="0" w:lastRow="0" w:firstColumn="1" w:lastColumn="0" w:oddVBand="0" w:evenVBand="0" w:oddHBand="0" w:evenHBand="0" w:firstRowFirstColumn="0" w:firstRowLastColumn="0" w:lastRowFirstColumn="0" w:lastRowLastColumn="0"/>
            <w:tcW w:w="2212" w:type="pct"/>
            <w:noWrap/>
            <w:hideMark/>
          </w:tcPr>
          <w:p w:rsidR="002C070F" w:rsidRPr="00131431" w:rsidRDefault="002C070F" w:rsidP="00C74CFF">
            <w:pPr>
              <w:jc w:val="left"/>
              <w:rPr>
                <w:rFonts w:eastAsia="Times New Roman" w:cstheme="minorHAnsi"/>
                <w:color w:val="000000"/>
                <w:sz w:val="32"/>
              </w:rPr>
            </w:pPr>
            <w:r w:rsidRPr="00131431">
              <w:rPr>
                <w:rFonts w:eastAsia="Times New Roman"/>
                <w:color w:val="000000"/>
              </w:rPr>
              <w:t>Total</w:t>
            </w:r>
          </w:p>
        </w:tc>
        <w:tc>
          <w:tcPr>
            <w:tcW w:w="569" w:type="pct"/>
            <w:noWrap/>
            <w:hideMark/>
          </w:tcPr>
          <w:p w:rsidR="002C070F" w:rsidRPr="00131431" w:rsidRDefault="002C070F" w:rsidP="00C74CFF">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p>
        </w:tc>
        <w:tc>
          <w:tcPr>
            <w:tcW w:w="451" w:type="pct"/>
            <w:noWrap/>
            <w:hideMark/>
          </w:tcPr>
          <w:p w:rsidR="002C070F" w:rsidRPr="00131431" w:rsidRDefault="002C070F" w:rsidP="00C74CFF">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p>
        </w:tc>
        <w:tc>
          <w:tcPr>
            <w:tcW w:w="963" w:type="pct"/>
            <w:noWrap/>
            <w:hideMark/>
          </w:tcPr>
          <w:p w:rsidR="002C070F" w:rsidRPr="00131431" w:rsidRDefault="002C070F" w:rsidP="00C74CFF">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32"/>
              </w:rPr>
            </w:pPr>
            <w:r w:rsidRPr="00131431">
              <w:rPr>
                <w:rFonts w:eastAsia="Times New Roman"/>
                <w:color w:val="000000"/>
              </w:rPr>
              <w:t>1,426.3</w:t>
            </w:r>
          </w:p>
        </w:tc>
        <w:tc>
          <w:tcPr>
            <w:tcW w:w="806" w:type="pct"/>
            <w:noWrap/>
            <w:hideMark/>
          </w:tcPr>
          <w:p w:rsidR="002C070F" w:rsidRPr="00131431" w:rsidRDefault="002C070F" w:rsidP="00C74CFF">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32"/>
              </w:rPr>
            </w:pPr>
            <w:r w:rsidRPr="00131431">
              <w:rPr>
                <w:rFonts w:eastAsia="Times New Roman"/>
                <w:color w:val="000000"/>
              </w:rPr>
              <w:t>19.3</w:t>
            </w:r>
          </w:p>
        </w:tc>
      </w:tr>
    </w:tbl>
    <w:p w:rsidR="002C070F" w:rsidRPr="00131431" w:rsidRDefault="002C070F" w:rsidP="002C070F">
      <w:pPr>
        <w:tabs>
          <w:tab w:val="center" w:pos="2520"/>
          <w:tab w:val="center" w:pos="6840"/>
        </w:tabs>
        <w:spacing w:after="0"/>
        <w:rPr>
          <w:sz w:val="20"/>
        </w:rPr>
      </w:pPr>
      <w:r w:rsidRPr="00131431">
        <w:rPr>
          <w:sz w:val="20"/>
        </w:rPr>
        <w:t>1/ Based on Private Participation in Infrastructure database.</w:t>
      </w:r>
    </w:p>
    <w:p w:rsidR="002C070F" w:rsidRPr="00131431" w:rsidRDefault="002C070F" w:rsidP="002C070F">
      <w:pPr>
        <w:tabs>
          <w:tab w:val="center" w:pos="2520"/>
          <w:tab w:val="center" w:pos="6840"/>
        </w:tabs>
        <w:spacing w:after="0"/>
        <w:rPr>
          <w:sz w:val="20"/>
        </w:rPr>
      </w:pPr>
      <w:r w:rsidRPr="00131431">
        <w:rPr>
          <w:sz w:val="20"/>
        </w:rPr>
        <w:t>2/ Based on Wireless Intelligence database</w:t>
      </w:r>
      <w:r>
        <w:rPr>
          <w:sz w:val="20"/>
        </w:rPr>
        <w:t xml:space="preserve"> (</w:t>
      </w:r>
      <w:r w:rsidRPr="00131431">
        <w:rPr>
          <w:sz w:val="20"/>
        </w:rPr>
        <w:t>June 2011</w:t>
      </w:r>
      <w:r>
        <w:rPr>
          <w:sz w:val="20"/>
        </w:rPr>
        <w:t>)</w:t>
      </w:r>
      <w:r w:rsidRPr="00131431">
        <w:rPr>
          <w:sz w:val="20"/>
        </w:rPr>
        <w:t xml:space="preserve">. </w:t>
      </w:r>
    </w:p>
    <w:p w:rsidR="002C070F" w:rsidRPr="00131431" w:rsidRDefault="002C070F" w:rsidP="002C070F">
      <w:pPr>
        <w:tabs>
          <w:tab w:val="center" w:pos="2520"/>
          <w:tab w:val="center" w:pos="6840"/>
        </w:tabs>
        <w:spacing w:after="0"/>
        <w:rPr>
          <w:sz w:val="20"/>
        </w:rPr>
      </w:pPr>
      <w:r w:rsidRPr="00131431">
        <w:rPr>
          <w:sz w:val="20"/>
        </w:rPr>
        <w:t xml:space="preserve">3/ Wasel Telecom has a non-national unified license to provide fixed-line, wireless and data telecom services. </w:t>
      </w:r>
    </w:p>
    <w:p w:rsidR="002C070F" w:rsidRDefault="002C070F" w:rsidP="002C070F">
      <w:pPr>
        <w:tabs>
          <w:tab w:val="center" w:pos="2520"/>
          <w:tab w:val="center" w:pos="6840"/>
        </w:tabs>
        <w:spacing w:after="0"/>
        <w:rPr>
          <w:szCs w:val="22"/>
        </w:rPr>
      </w:pPr>
    </w:p>
    <w:p w:rsidR="002C070F" w:rsidRDefault="002C070F" w:rsidP="002C070F">
      <w:pPr>
        <w:tabs>
          <w:tab w:val="center" w:pos="2520"/>
          <w:tab w:val="center" w:pos="6840"/>
        </w:tabs>
        <w:spacing w:after="0"/>
        <w:rPr>
          <w:szCs w:val="22"/>
        </w:rPr>
      </w:pPr>
      <w:r w:rsidRPr="00507B80">
        <w:rPr>
          <w:b/>
          <w:szCs w:val="22"/>
        </w:rPr>
        <w:t>Affordability of services remains a challenge in Afghanistan</w:t>
      </w:r>
      <w:r w:rsidRPr="00507B80">
        <w:rPr>
          <w:szCs w:val="22"/>
        </w:rPr>
        <w:t>. Market growth in access and services, and intensified competition has significantly lowered telecommunication prices in absolute terms. However, the average mobile tariffs remain relatively unaffordable for many citizens (Figure 3.16). Both peak and off-peak rates are much higher than those in neighboring countries, aggravated by the fact that the Afghan GDP per capita is just US$490 – about half that of Pakistan, one-third that of India and one-fourth that of Sri Lanka. If an Afghan mobile subscriber were to call 100 minutes per month, it would account for 2.2 percent of national income per capita</w:t>
      </w:r>
      <w:r w:rsidRPr="00507B80">
        <w:rPr>
          <w:szCs w:val="22"/>
          <w:vertAlign w:val="superscript"/>
        </w:rPr>
        <w:footnoteReference w:id="98"/>
      </w:r>
      <w:r w:rsidRPr="00507B80">
        <w:rPr>
          <w:szCs w:val="22"/>
        </w:rPr>
        <w:t xml:space="preserve"> – much higher the 0.2-0.8 percent in the other countries. Similarly, while the prices of Internet services have reduced over time, they remain high due to constraints ISPs face in accessing international capacity markets. This is due to both the landlocked position of Afghanistan as well as the limited competition in domestic wholesale connectivity</w:t>
      </w:r>
      <w:r>
        <w:rPr>
          <w:szCs w:val="22"/>
        </w:rPr>
        <w:t xml:space="preserve"> (Table 3.9).</w:t>
      </w:r>
    </w:p>
    <w:p w:rsidR="002C070F" w:rsidRDefault="002C070F" w:rsidP="002C070F">
      <w:pPr>
        <w:tabs>
          <w:tab w:val="center" w:pos="2520"/>
          <w:tab w:val="center" w:pos="6840"/>
        </w:tabs>
        <w:spacing w:after="0"/>
        <w:rPr>
          <w:b/>
          <w:bCs/>
          <w:color w:val="410082" w:themeColor="text1"/>
          <w:szCs w:val="22"/>
        </w:rPr>
      </w:pPr>
    </w:p>
    <w:p w:rsidR="002C070F" w:rsidRPr="00507B80" w:rsidRDefault="002C070F" w:rsidP="002C070F">
      <w:pPr>
        <w:tabs>
          <w:tab w:val="center" w:pos="2520"/>
          <w:tab w:val="center" w:pos="6840"/>
        </w:tabs>
        <w:spacing w:after="0"/>
        <w:jc w:val="center"/>
        <w:rPr>
          <w:b/>
          <w:bCs/>
          <w:szCs w:val="22"/>
        </w:rPr>
      </w:pPr>
      <w:r w:rsidRPr="00992FE6">
        <w:rPr>
          <w:b/>
          <w:bCs/>
          <w:color w:val="410082" w:themeColor="text1"/>
          <w:szCs w:val="22"/>
        </w:rPr>
        <w:t>Figure 3.</w:t>
      </w:r>
      <w:r w:rsidRPr="00992FE6">
        <w:rPr>
          <w:b/>
          <w:bCs/>
          <w:color w:val="410082" w:themeColor="text1"/>
          <w:szCs w:val="22"/>
        </w:rPr>
        <w:fldChar w:fldCharType="begin"/>
      </w:r>
      <w:r w:rsidRPr="00992FE6">
        <w:rPr>
          <w:b/>
          <w:bCs/>
          <w:color w:val="410082" w:themeColor="text1"/>
          <w:szCs w:val="22"/>
        </w:rPr>
        <w:instrText xml:space="preserve"> SEQ Figure \* ARABIC </w:instrText>
      </w:r>
      <w:r w:rsidRPr="00992FE6">
        <w:rPr>
          <w:b/>
          <w:bCs/>
          <w:color w:val="410082" w:themeColor="text1"/>
          <w:szCs w:val="22"/>
        </w:rPr>
        <w:fldChar w:fldCharType="separate"/>
      </w:r>
      <w:r w:rsidR="0080181F">
        <w:rPr>
          <w:b/>
          <w:bCs/>
          <w:noProof/>
          <w:color w:val="410082" w:themeColor="text1"/>
          <w:szCs w:val="22"/>
        </w:rPr>
        <w:t>12</w:t>
      </w:r>
      <w:r w:rsidRPr="00992FE6">
        <w:rPr>
          <w:color w:val="410082" w:themeColor="text1"/>
          <w:szCs w:val="22"/>
        </w:rPr>
        <w:fldChar w:fldCharType="end"/>
      </w:r>
      <w:r w:rsidRPr="00992FE6">
        <w:rPr>
          <w:b/>
          <w:bCs/>
          <w:color w:val="410082" w:themeColor="text1"/>
          <w:szCs w:val="22"/>
        </w:rPr>
        <w:t xml:space="preserve">: Average Telecommunication Tariffs  </w:t>
      </w:r>
      <w:r>
        <w:rPr>
          <w:b/>
          <w:bCs/>
          <w:color w:val="410082" w:themeColor="text1"/>
          <w:szCs w:val="22"/>
        </w:rPr>
        <w:tab/>
      </w:r>
      <w:r w:rsidRPr="00DE6480">
        <w:rPr>
          <w:b/>
          <w:bCs/>
          <w:color w:val="410082" w:themeColor="text1"/>
          <w:szCs w:val="22"/>
        </w:rPr>
        <w:t>Table 3.</w:t>
      </w:r>
      <w:r w:rsidRPr="00DE6480">
        <w:rPr>
          <w:b/>
          <w:bCs/>
          <w:color w:val="410082" w:themeColor="text1"/>
          <w:szCs w:val="22"/>
        </w:rPr>
        <w:fldChar w:fldCharType="begin"/>
      </w:r>
      <w:r w:rsidRPr="00DE6480">
        <w:rPr>
          <w:b/>
          <w:bCs/>
          <w:color w:val="410082" w:themeColor="text1"/>
          <w:szCs w:val="22"/>
        </w:rPr>
        <w:instrText xml:space="preserve"> SEQ Table \* ARABIC </w:instrText>
      </w:r>
      <w:r w:rsidRPr="00DE6480">
        <w:rPr>
          <w:b/>
          <w:bCs/>
          <w:color w:val="410082" w:themeColor="text1"/>
          <w:szCs w:val="22"/>
        </w:rPr>
        <w:fldChar w:fldCharType="separate"/>
      </w:r>
      <w:r w:rsidR="0080181F">
        <w:rPr>
          <w:b/>
          <w:bCs/>
          <w:noProof/>
          <w:color w:val="410082" w:themeColor="text1"/>
          <w:szCs w:val="22"/>
        </w:rPr>
        <w:t>5</w:t>
      </w:r>
      <w:r w:rsidRPr="00DE6480">
        <w:rPr>
          <w:color w:val="410082" w:themeColor="text1"/>
          <w:szCs w:val="22"/>
        </w:rPr>
        <w:fldChar w:fldCharType="end"/>
      </w:r>
      <w:r w:rsidRPr="00DE6480">
        <w:rPr>
          <w:b/>
          <w:bCs/>
          <w:color w:val="410082" w:themeColor="text1"/>
          <w:szCs w:val="22"/>
        </w:rPr>
        <w:t>: Prepaid Mobile Tariffs (Afs/minute)</w:t>
      </w:r>
    </w:p>
    <w:tbl>
      <w:tblPr>
        <w:tblStyle w:val="LightShading-Accent11"/>
        <w:tblpPr w:leftFromText="180" w:rightFromText="180" w:vertAnchor="text" w:horzAnchor="margin" w:tblpXSpec="right" w:tblpY="188"/>
        <w:tblW w:w="3181" w:type="dxa"/>
        <w:tblLook w:val="04A0" w:firstRow="1" w:lastRow="0" w:firstColumn="1" w:lastColumn="0" w:noHBand="0" w:noVBand="1"/>
      </w:tblPr>
      <w:tblGrid>
        <w:gridCol w:w="928"/>
        <w:gridCol w:w="606"/>
        <w:gridCol w:w="611"/>
        <w:gridCol w:w="606"/>
        <w:gridCol w:w="618"/>
      </w:tblGrid>
      <w:tr w:rsidR="002C070F" w:rsidRPr="00DE6480" w:rsidTr="00C74CFF">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840" w:type="dxa"/>
            <w:noWrap/>
            <w:hideMark/>
          </w:tcPr>
          <w:p w:rsidR="002C070F" w:rsidRPr="00DE6480" w:rsidRDefault="002C070F" w:rsidP="00C74CFF">
            <w:pPr>
              <w:tabs>
                <w:tab w:val="center" w:pos="2520"/>
                <w:tab w:val="center" w:pos="6840"/>
              </w:tabs>
              <w:spacing w:line="276" w:lineRule="auto"/>
              <w:rPr>
                <w:color w:val="auto"/>
              </w:rPr>
            </w:pPr>
          </w:p>
        </w:tc>
        <w:tc>
          <w:tcPr>
            <w:tcW w:w="1179" w:type="dxa"/>
            <w:gridSpan w:val="2"/>
            <w:noWrap/>
            <w:hideMark/>
          </w:tcPr>
          <w:p w:rsidR="002C070F" w:rsidRPr="00DE6480" w:rsidRDefault="002C070F" w:rsidP="00C74CFF">
            <w:pPr>
              <w:tabs>
                <w:tab w:val="center" w:pos="2520"/>
                <w:tab w:val="center" w:pos="6840"/>
              </w:tabs>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DE6480">
              <w:rPr>
                <w:color w:val="auto"/>
              </w:rPr>
              <w:t>On-net</w:t>
            </w:r>
          </w:p>
        </w:tc>
        <w:tc>
          <w:tcPr>
            <w:tcW w:w="1161" w:type="dxa"/>
            <w:gridSpan w:val="2"/>
            <w:noWrap/>
            <w:hideMark/>
          </w:tcPr>
          <w:p w:rsidR="002C070F" w:rsidRPr="00DE6480" w:rsidRDefault="002C070F" w:rsidP="00C74CFF">
            <w:pPr>
              <w:tabs>
                <w:tab w:val="center" w:pos="2520"/>
                <w:tab w:val="center" w:pos="6840"/>
              </w:tabs>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DE6480">
              <w:rPr>
                <w:color w:val="auto"/>
              </w:rPr>
              <w:t>Off-net </w:t>
            </w:r>
          </w:p>
        </w:tc>
      </w:tr>
      <w:tr w:rsidR="002C070F" w:rsidRPr="00DE6480" w:rsidTr="00C74CFF">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840" w:type="dxa"/>
            <w:noWrap/>
            <w:hideMark/>
          </w:tcPr>
          <w:p w:rsidR="002C070F" w:rsidRPr="00DE6480" w:rsidRDefault="002C070F" w:rsidP="00C74CFF">
            <w:pPr>
              <w:tabs>
                <w:tab w:val="center" w:pos="2520"/>
                <w:tab w:val="center" w:pos="6840"/>
              </w:tabs>
              <w:spacing w:line="276" w:lineRule="auto"/>
              <w:rPr>
                <w:color w:val="auto"/>
              </w:rPr>
            </w:pPr>
          </w:p>
        </w:tc>
        <w:tc>
          <w:tcPr>
            <w:tcW w:w="569" w:type="dxa"/>
            <w:noWrap/>
            <w:hideMark/>
          </w:tcPr>
          <w:p w:rsidR="002C070F" w:rsidRPr="00DE6480" w:rsidRDefault="002C070F" w:rsidP="00C74CFF">
            <w:pPr>
              <w:tabs>
                <w:tab w:val="center" w:pos="2520"/>
                <w:tab w:val="center" w:pos="6840"/>
              </w:tabs>
              <w:spacing w:line="276" w:lineRule="auto"/>
              <w:cnfStyle w:val="000000100000" w:firstRow="0" w:lastRow="0" w:firstColumn="0" w:lastColumn="0" w:oddVBand="0" w:evenVBand="0" w:oddHBand="1" w:evenHBand="0" w:firstRowFirstColumn="0" w:firstRowLastColumn="0" w:lastRowFirstColumn="0" w:lastRowLastColumn="0"/>
              <w:rPr>
                <w:color w:val="auto"/>
              </w:rPr>
            </w:pPr>
            <w:r w:rsidRPr="00DE6480">
              <w:rPr>
                <w:color w:val="auto"/>
              </w:rPr>
              <w:t>Peak</w:t>
            </w:r>
          </w:p>
        </w:tc>
        <w:tc>
          <w:tcPr>
            <w:tcW w:w="611" w:type="dxa"/>
            <w:noWrap/>
            <w:hideMark/>
          </w:tcPr>
          <w:p w:rsidR="002C070F" w:rsidRPr="00DE6480" w:rsidRDefault="002C070F" w:rsidP="00C74CFF">
            <w:pPr>
              <w:tabs>
                <w:tab w:val="center" w:pos="2520"/>
                <w:tab w:val="center" w:pos="6840"/>
              </w:tabs>
              <w:spacing w:line="276" w:lineRule="auto"/>
              <w:cnfStyle w:val="000000100000" w:firstRow="0" w:lastRow="0" w:firstColumn="0" w:lastColumn="0" w:oddVBand="0" w:evenVBand="0" w:oddHBand="1" w:evenHBand="0" w:firstRowFirstColumn="0" w:firstRowLastColumn="0" w:lastRowFirstColumn="0" w:lastRowLastColumn="0"/>
              <w:rPr>
                <w:color w:val="auto"/>
              </w:rPr>
            </w:pPr>
            <w:r w:rsidRPr="00DE6480">
              <w:rPr>
                <w:color w:val="auto"/>
              </w:rPr>
              <w:t>Off-peak</w:t>
            </w:r>
          </w:p>
        </w:tc>
        <w:tc>
          <w:tcPr>
            <w:tcW w:w="543" w:type="dxa"/>
            <w:noWrap/>
            <w:hideMark/>
          </w:tcPr>
          <w:p w:rsidR="002C070F" w:rsidRPr="00DE6480" w:rsidRDefault="002C070F" w:rsidP="00C74CFF">
            <w:pPr>
              <w:tabs>
                <w:tab w:val="center" w:pos="2520"/>
                <w:tab w:val="center" w:pos="6840"/>
              </w:tabs>
              <w:spacing w:line="276" w:lineRule="auto"/>
              <w:cnfStyle w:val="000000100000" w:firstRow="0" w:lastRow="0" w:firstColumn="0" w:lastColumn="0" w:oddVBand="0" w:evenVBand="0" w:oddHBand="1" w:evenHBand="0" w:firstRowFirstColumn="0" w:firstRowLastColumn="0" w:lastRowFirstColumn="0" w:lastRowLastColumn="0"/>
              <w:rPr>
                <w:color w:val="auto"/>
              </w:rPr>
            </w:pPr>
            <w:r w:rsidRPr="00DE6480">
              <w:rPr>
                <w:color w:val="auto"/>
              </w:rPr>
              <w:t>Peak</w:t>
            </w:r>
          </w:p>
        </w:tc>
        <w:tc>
          <w:tcPr>
            <w:tcW w:w="618" w:type="dxa"/>
            <w:noWrap/>
            <w:hideMark/>
          </w:tcPr>
          <w:p w:rsidR="002C070F" w:rsidRPr="00DE6480" w:rsidRDefault="002C070F" w:rsidP="00C74CFF">
            <w:pPr>
              <w:tabs>
                <w:tab w:val="center" w:pos="2520"/>
                <w:tab w:val="center" w:pos="6840"/>
              </w:tabs>
              <w:spacing w:line="276" w:lineRule="auto"/>
              <w:cnfStyle w:val="000000100000" w:firstRow="0" w:lastRow="0" w:firstColumn="0" w:lastColumn="0" w:oddVBand="0" w:evenVBand="0" w:oddHBand="1" w:evenHBand="0" w:firstRowFirstColumn="0" w:firstRowLastColumn="0" w:lastRowFirstColumn="0" w:lastRowLastColumn="0"/>
              <w:rPr>
                <w:color w:val="auto"/>
              </w:rPr>
            </w:pPr>
            <w:r w:rsidRPr="00DE6480">
              <w:rPr>
                <w:color w:val="auto"/>
              </w:rPr>
              <w:t>Off-peak</w:t>
            </w:r>
          </w:p>
        </w:tc>
      </w:tr>
      <w:tr w:rsidR="002C070F" w:rsidRPr="00DE6480" w:rsidTr="00C74CFF">
        <w:trPr>
          <w:trHeight w:val="180"/>
        </w:trPr>
        <w:tc>
          <w:tcPr>
            <w:cnfStyle w:val="001000000000" w:firstRow="0" w:lastRow="0" w:firstColumn="1" w:lastColumn="0" w:oddVBand="0" w:evenVBand="0" w:oddHBand="0" w:evenHBand="0" w:firstRowFirstColumn="0" w:firstRowLastColumn="0" w:lastRowFirstColumn="0" w:lastRowLastColumn="0"/>
            <w:tcW w:w="840" w:type="dxa"/>
            <w:noWrap/>
            <w:hideMark/>
          </w:tcPr>
          <w:p w:rsidR="002C070F" w:rsidRPr="00DE6480" w:rsidRDefault="002C070F" w:rsidP="00C74CFF">
            <w:pPr>
              <w:tabs>
                <w:tab w:val="center" w:pos="2520"/>
                <w:tab w:val="center" w:pos="6840"/>
              </w:tabs>
              <w:spacing w:line="276" w:lineRule="auto"/>
              <w:rPr>
                <w:color w:val="auto"/>
              </w:rPr>
            </w:pPr>
            <w:r w:rsidRPr="00DE6480">
              <w:rPr>
                <w:color w:val="auto"/>
              </w:rPr>
              <w:t>Afghan Wireless</w:t>
            </w:r>
          </w:p>
        </w:tc>
        <w:tc>
          <w:tcPr>
            <w:tcW w:w="569" w:type="dxa"/>
            <w:noWrap/>
            <w:hideMark/>
          </w:tcPr>
          <w:p w:rsidR="002C070F" w:rsidRPr="00DE6480" w:rsidRDefault="002C070F" w:rsidP="00C74CFF">
            <w:pPr>
              <w:tabs>
                <w:tab w:val="center" w:pos="2520"/>
                <w:tab w:val="center" w:pos="6840"/>
              </w:tabs>
              <w:spacing w:line="276" w:lineRule="auto"/>
              <w:cnfStyle w:val="000000000000" w:firstRow="0" w:lastRow="0" w:firstColumn="0" w:lastColumn="0" w:oddVBand="0" w:evenVBand="0" w:oddHBand="0" w:evenHBand="0" w:firstRowFirstColumn="0" w:firstRowLastColumn="0" w:lastRowFirstColumn="0" w:lastRowLastColumn="0"/>
              <w:rPr>
                <w:color w:val="auto"/>
              </w:rPr>
            </w:pPr>
            <w:r w:rsidRPr="00DE6480">
              <w:rPr>
                <w:color w:val="auto"/>
              </w:rPr>
              <w:t>6.0</w:t>
            </w:r>
          </w:p>
        </w:tc>
        <w:tc>
          <w:tcPr>
            <w:tcW w:w="611" w:type="dxa"/>
            <w:noWrap/>
            <w:hideMark/>
          </w:tcPr>
          <w:p w:rsidR="002C070F" w:rsidRPr="00DE6480" w:rsidRDefault="002C070F" w:rsidP="00C74CFF">
            <w:pPr>
              <w:tabs>
                <w:tab w:val="center" w:pos="2520"/>
                <w:tab w:val="center" w:pos="6840"/>
              </w:tabs>
              <w:spacing w:line="276" w:lineRule="auto"/>
              <w:cnfStyle w:val="000000000000" w:firstRow="0" w:lastRow="0" w:firstColumn="0" w:lastColumn="0" w:oddVBand="0" w:evenVBand="0" w:oddHBand="0" w:evenHBand="0" w:firstRowFirstColumn="0" w:firstRowLastColumn="0" w:lastRowFirstColumn="0" w:lastRowLastColumn="0"/>
              <w:rPr>
                <w:color w:val="auto"/>
              </w:rPr>
            </w:pPr>
            <w:r w:rsidRPr="00DE6480">
              <w:rPr>
                <w:color w:val="auto"/>
              </w:rPr>
              <w:t>6.0</w:t>
            </w:r>
          </w:p>
        </w:tc>
        <w:tc>
          <w:tcPr>
            <w:tcW w:w="543" w:type="dxa"/>
            <w:noWrap/>
            <w:hideMark/>
          </w:tcPr>
          <w:p w:rsidR="002C070F" w:rsidRPr="00DE6480" w:rsidRDefault="002C070F" w:rsidP="00C74CFF">
            <w:pPr>
              <w:tabs>
                <w:tab w:val="center" w:pos="2520"/>
                <w:tab w:val="center" w:pos="6840"/>
              </w:tabs>
              <w:spacing w:line="276" w:lineRule="auto"/>
              <w:cnfStyle w:val="000000000000" w:firstRow="0" w:lastRow="0" w:firstColumn="0" w:lastColumn="0" w:oddVBand="0" w:evenVBand="0" w:oddHBand="0" w:evenHBand="0" w:firstRowFirstColumn="0" w:firstRowLastColumn="0" w:lastRowFirstColumn="0" w:lastRowLastColumn="0"/>
              <w:rPr>
                <w:color w:val="auto"/>
              </w:rPr>
            </w:pPr>
            <w:r w:rsidRPr="00DE6480">
              <w:rPr>
                <w:color w:val="auto"/>
              </w:rPr>
              <w:t>6.0</w:t>
            </w:r>
          </w:p>
        </w:tc>
        <w:tc>
          <w:tcPr>
            <w:tcW w:w="618" w:type="dxa"/>
            <w:noWrap/>
            <w:hideMark/>
          </w:tcPr>
          <w:p w:rsidR="002C070F" w:rsidRPr="00DE6480" w:rsidRDefault="002C070F" w:rsidP="00C74CFF">
            <w:pPr>
              <w:tabs>
                <w:tab w:val="center" w:pos="2520"/>
                <w:tab w:val="center" w:pos="6840"/>
              </w:tabs>
              <w:spacing w:line="276" w:lineRule="auto"/>
              <w:cnfStyle w:val="000000000000" w:firstRow="0" w:lastRow="0" w:firstColumn="0" w:lastColumn="0" w:oddVBand="0" w:evenVBand="0" w:oddHBand="0" w:evenHBand="0" w:firstRowFirstColumn="0" w:firstRowLastColumn="0" w:lastRowFirstColumn="0" w:lastRowLastColumn="0"/>
              <w:rPr>
                <w:color w:val="auto"/>
              </w:rPr>
            </w:pPr>
            <w:r w:rsidRPr="00DE6480">
              <w:rPr>
                <w:color w:val="auto"/>
              </w:rPr>
              <w:t>1.0</w:t>
            </w:r>
          </w:p>
        </w:tc>
      </w:tr>
      <w:tr w:rsidR="002C070F" w:rsidRPr="00DE6480" w:rsidTr="00C74CFF">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840" w:type="dxa"/>
            <w:noWrap/>
            <w:hideMark/>
          </w:tcPr>
          <w:p w:rsidR="002C070F" w:rsidRPr="00DE6480" w:rsidRDefault="002C070F" w:rsidP="00C74CFF">
            <w:pPr>
              <w:tabs>
                <w:tab w:val="center" w:pos="2520"/>
                <w:tab w:val="center" w:pos="6840"/>
              </w:tabs>
              <w:spacing w:line="276" w:lineRule="auto"/>
              <w:rPr>
                <w:color w:val="auto"/>
              </w:rPr>
            </w:pPr>
            <w:r w:rsidRPr="00DE6480">
              <w:rPr>
                <w:color w:val="auto"/>
              </w:rPr>
              <w:t>Roshan</w:t>
            </w:r>
          </w:p>
        </w:tc>
        <w:tc>
          <w:tcPr>
            <w:tcW w:w="569" w:type="dxa"/>
            <w:noWrap/>
            <w:hideMark/>
          </w:tcPr>
          <w:p w:rsidR="002C070F" w:rsidRPr="00DE6480" w:rsidRDefault="002C070F" w:rsidP="00C74CFF">
            <w:pPr>
              <w:tabs>
                <w:tab w:val="center" w:pos="2520"/>
                <w:tab w:val="center" w:pos="6840"/>
              </w:tabs>
              <w:spacing w:line="276" w:lineRule="auto"/>
              <w:cnfStyle w:val="000000100000" w:firstRow="0" w:lastRow="0" w:firstColumn="0" w:lastColumn="0" w:oddVBand="0" w:evenVBand="0" w:oddHBand="1" w:evenHBand="0" w:firstRowFirstColumn="0" w:firstRowLastColumn="0" w:lastRowFirstColumn="0" w:lastRowLastColumn="0"/>
              <w:rPr>
                <w:color w:val="auto"/>
              </w:rPr>
            </w:pPr>
            <w:r w:rsidRPr="00DE6480">
              <w:rPr>
                <w:color w:val="auto"/>
              </w:rPr>
              <w:t>5.5</w:t>
            </w:r>
          </w:p>
        </w:tc>
        <w:tc>
          <w:tcPr>
            <w:tcW w:w="611" w:type="dxa"/>
            <w:noWrap/>
            <w:hideMark/>
          </w:tcPr>
          <w:p w:rsidR="002C070F" w:rsidRPr="00DE6480" w:rsidRDefault="002C070F" w:rsidP="00C74CFF">
            <w:pPr>
              <w:tabs>
                <w:tab w:val="center" w:pos="2520"/>
                <w:tab w:val="center" w:pos="6840"/>
              </w:tabs>
              <w:spacing w:line="276" w:lineRule="auto"/>
              <w:cnfStyle w:val="000000100000" w:firstRow="0" w:lastRow="0" w:firstColumn="0" w:lastColumn="0" w:oddVBand="0" w:evenVBand="0" w:oddHBand="1" w:evenHBand="0" w:firstRowFirstColumn="0" w:firstRowLastColumn="0" w:lastRowFirstColumn="0" w:lastRowLastColumn="0"/>
              <w:rPr>
                <w:color w:val="auto"/>
              </w:rPr>
            </w:pPr>
            <w:r w:rsidRPr="00DE6480">
              <w:rPr>
                <w:color w:val="auto"/>
              </w:rPr>
              <w:t>5.5</w:t>
            </w:r>
          </w:p>
        </w:tc>
        <w:tc>
          <w:tcPr>
            <w:tcW w:w="543" w:type="dxa"/>
            <w:noWrap/>
            <w:hideMark/>
          </w:tcPr>
          <w:p w:rsidR="002C070F" w:rsidRPr="00DE6480" w:rsidRDefault="002C070F" w:rsidP="00C74CFF">
            <w:pPr>
              <w:tabs>
                <w:tab w:val="center" w:pos="2520"/>
                <w:tab w:val="center" w:pos="6840"/>
              </w:tabs>
              <w:spacing w:line="276" w:lineRule="auto"/>
              <w:cnfStyle w:val="000000100000" w:firstRow="0" w:lastRow="0" w:firstColumn="0" w:lastColumn="0" w:oddVBand="0" w:evenVBand="0" w:oddHBand="1" w:evenHBand="0" w:firstRowFirstColumn="0" w:firstRowLastColumn="0" w:lastRowFirstColumn="0" w:lastRowLastColumn="0"/>
              <w:rPr>
                <w:color w:val="auto"/>
              </w:rPr>
            </w:pPr>
            <w:r w:rsidRPr="00DE6480">
              <w:rPr>
                <w:color w:val="auto"/>
              </w:rPr>
              <w:t>5.5</w:t>
            </w:r>
          </w:p>
        </w:tc>
        <w:tc>
          <w:tcPr>
            <w:tcW w:w="618" w:type="dxa"/>
            <w:noWrap/>
            <w:hideMark/>
          </w:tcPr>
          <w:p w:rsidR="002C070F" w:rsidRPr="00DE6480" w:rsidRDefault="002C070F" w:rsidP="00C74CFF">
            <w:pPr>
              <w:tabs>
                <w:tab w:val="center" w:pos="2520"/>
                <w:tab w:val="center" w:pos="6840"/>
              </w:tabs>
              <w:spacing w:line="276" w:lineRule="auto"/>
              <w:cnfStyle w:val="000000100000" w:firstRow="0" w:lastRow="0" w:firstColumn="0" w:lastColumn="0" w:oddVBand="0" w:evenVBand="0" w:oddHBand="1" w:evenHBand="0" w:firstRowFirstColumn="0" w:firstRowLastColumn="0" w:lastRowFirstColumn="0" w:lastRowLastColumn="0"/>
              <w:rPr>
                <w:color w:val="auto"/>
              </w:rPr>
            </w:pPr>
            <w:r w:rsidRPr="00DE6480">
              <w:rPr>
                <w:color w:val="auto"/>
              </w:rPr>
              <w:t>5.5</w:t>
            </w:r>
          </w:p>
        </w:tc>
      </w:tr>
      <w:tr w:rsidR="002C070F" w:rsidRPr="00DE6480" w:rsidTr="00C74CFF">
        <w:trPr>
          <w:trHeight w:val="180"/>
        </w:trPr>
        <w:tc>
          <w:tcPr>
            <w:cnfStyle w:val="001000000000" w:firstRow="0" w:lastRow="0" w:firstColumn="1" w:lastColumn="0" w:oddVBand="0" w:evenVBand="0" w:oddHBand="0" w:evenHBand="0" w:firstRowFirstColumn="0" w:firstRowLastColumn="0" w:lastRowFirstColumn="0" w:lastRowLastColumn="0"/>
            <w:tcW w:w="840" w:type="dxa"/>
            <w:noWrap/>
            <w:hideMark/>
          </w:tcPr>
          <w:p w:rsidR="002C070F" w:rsidRPr="00DE6480" w:rsidRDefault="002C070F" w:rsidP="00C74CFF">
            <w:pPr>
              <w:tabs>
                <w:tab w:val="center" w:pos="2520"/>
                <w:tab w:val="center" w:pos="6840"/>
              </w:tabs>
              <w:spacing w:line="276" w:lineRule="auto"/>
              <w:rPr>
                <w:color w:val="auto"/>
              </w:rPr>
            </w:pPr>
            <w:r w:rsidRPr="00DE6480">
              <w:rPr>
                <w:color w:val="auto"/>
              </w:rPr>
              <w:t>MTN</w:t>
            </w:r>
          </w:p>
        </w:tc>
        <w:tc>
          <w:tcPr>
            <w:tcW w:w="569" w:type="dxa"/>
            <w:noWrap/>
            <w:hideMark/>
          </w:tcPr>
          <w:p w:rsidR="002C070F" w:rsidRPr="00DE6480" w:rsidRDefault="002C070F" w:rsidP="00C74CFF">
            <w:pPr>
              <w:tabs>
                <w:tab w:val="center" w:pos="2520"/>
                <w:tab w:val="center" w:pos="6840"/>
              </w:tabs>
              <w:spacing w:line="276" w:lineRule="auto"/>
              <w:cnfStyle w:val="000000000000" w:firstRow="0" w:lastRow="0" w:firstColumn="0" w:lastColumn="0" w:oddVBand="0" w:evenVBand="0" w:oddHBand="0" w:evenHBand="0" w:firstRowFirstColumn="0" w:firstRowLastColumn="0" w:lastRowFirstColumn="0" w:lastRowLastColumn="0"/>
              <w:rPr>
                <w:color w:val="auto"/>
              </w:rPr>
            </w:pPr>
            <w:r w:rsidRPr="00DE6480">
              <w:rPr>
                <w:color w:val="auto"/>
              </w:rPr>
              <w:t>5.5</w:t>
            </w:r>
          </w:p>
        </w:tc>
        <w:tc>
          <w:tcPr>
            <w:tcW w:w="611" w:type="dxa"/>
            <w:noWrap/>
            <w:hideMark/>
          </w:tcPr>
          <w:p w:rsidR="002C070F" w:rsidRPr="00DE6480" w:rsidRDefault="002C070F" w:rsidP="00C74CFF">
            <w:pPr>
              <w:tabs>
                <w:tab w:val="center" w:pos="2520"/>
                <w:tab w:val="center" w:pos="6840"/>
              </w:tabs>
              <w:spacing w:line="276" w:lineRule="auto"/>
              <w:cnfStyle w:val="000000000000" w:firstRow="0" w:lastRow="0" w:firstColumn="0" w:lastColumn="0" w:oddVBand="0" w:evenVBand="0" w:oddHBand="0" w:evenHBand="0" w:firstRowFirstColumn="0" w:firstRowLastColumn="0" w:lastRowFirstColumn="0" w:lastRowLastColumn="0"/>
              <w:rPr>
                <w:color w:val="auto"/>
              </w:rPr>
            </w:pPr>
            <w:r w:rsidRPr="00DE6480">
              <w:rPr>
                <w:color w:val="auto"/>
              </w:rPr>
              <w:t>3.0</w:t>
            </w:r>
          </w:p>
        </w:tc>
        <w:tc>
          <w:tcPr>
            <w:tcW w:w="543" w:type="dxa"/>
            <w:noWrap/>
            <w:hideMark/>
          </w:tcPr>
          <w:p w:rsidR="002C070F" w:rsidRPr="00DE6480" w:rsidRDefault="002C070F" w:rsidP="00C74CFF">
            <w:pPr>
              <w:tabs>
                <w:tab w:val="center" w:pos="2520"/>
                <w:tab w:val="center" w:pos="6840"/>
              </w:tabs>
              <w:spacing w:line="276" w:lineRule="auto"/>
              <w:cnfStyle w:val="000000000000" w:firstRow="0" w:lastRow="0" w:firstColumn="0" w:lastColumn="0" w:oddVBand="0" w:evenVBand="0" w:oddHBand="0" w:evenHBand="0" w:firstRowFirstColumn="0" w:firstRowLastColumn="0" w:lastRowFirstColumn="0" w:lastRowLastColumn="0"/>
              <w:rPr>
                <w:color w:val="auto"/>
              </w:rPr>
            </w:pPr>
            <w:r w:rsidRPr="00DE6480">
              <w:rPr>
                <w:color w:val="auto"/>
              </w:rPr>
              <w:t>5.5</w:t>
            </w:r>
          </w:p>
        </w:tc>
        <w:tc>
          <w:tcPr>
            <w:tcW w:w="618" w:type="dxa"/>
            <w:noWrap/>
            <w:hideMark/>
          </w:tcPr>
          <w:p w:rsidR="002C070F" w:rsidRPr="00DE6480" w:rsidRDefault="002C070F" w:rsidP="00C74CFF">
            <w:pPr>
              <w:tabs>
                <w:tab w:val="center" w:pos="2520"/>
                <w:tab w:val="center" w:pos="6840"/>
              </w:tabs>
              <w:spacing w:line="276" w:lineRule="auto"/>
              <w:cnfStyle w:val="000000000000" w:firstRow="0" w:lastRow="0" w:firstColumn="0" w:lastColumn="0" w:oddVBand="0" w:evenVBand="0" w:oddHBand="0" w:evenHBand="0" w:firstRowFirstColumn="0" w:firstRowLastColumn="0" w:lastRowFirstColumn="0" w:lastRowLastColumn="0"/>
              <w:rPr>
                <w:color w:val="auto"/>
              </w:rPr>
            </w:pPr>
            <w:r w:rsidRPr="00DE6480">
              <w:rPr>
                <w:color w:val="auto"/>
              </w:rPr>
              <w:t>5.5</w:t>
            </w:r>
          </w:p>
        </w:tc>
      </w:tr>
      <w:tr w:rsidR="002C070F" w:rsidRPr="00DE6480" w:rsidTr="00C74CFF">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840" w:type="dxa"/>
            <w:noWrap/>
            <w:hideMark/>
          </w:tcPr>
          <w:p w:rsidR="002C070F" w:rsidRPr="00DE6480" w:rsidRDefault="002C070F" w:rsidP="00C74CFF">
            <w:pPr>
              <w:tabs>
                <w:tab w:val="center" w:pos="2520"/>
                <w:tab w:val="center" w:pos="6840"/>
              </w:tabs>
              <w:spacing w:line="276" w:lineRule="auto"/>
              <w:rPr>
                <w:color w:val="auto"/>
              </w:rPr>
            </w:pPr>
            <w:r w:rsidRPr="00DE6480">
              <w:rPr>
                <w:color w:val="auto"/>
              </w:rPr>
              <w:t>Etisalat</w:t>
            </w:r>
          </w:p>
        </w:tc>
        <w:tc>
          <w:tcPr>
            <w:tcW w:w="569" w:type="dxa"/>
            <w:noWrap/>
            <w:hideMark/>
          </w:tcPr>
          <w:p w:rsidR="002C070F" w:rsidRPr="00DE6480" w:rsidRDefault="002C070F" w:rsidP="00C74CFF">
            <w:pPr>
              <w:tabs>
                <w:tab w:val="center" w:pos="2520"/>
                <w:tab w:val="center" w:pos="6840"/>
              </w:tabs>
              <w:spacing w:line="276" w:lineRule="auto"/>
              <w:cnfStyle w:val="000000100000" w:firstRow="0" w:lastRow="0" w:firstColumn="0" w:lastColumn="0" w:oddVBand="0" w:evenVBand="0" w:oddHBand="1" w:evenHBand="0" w:firstRowFirstColumn="0" w:firstRowLastColumn="0" w:lastRowFirstColumn="0" w:lastRowLastColumn="0"/>
              <w:rPr>
                <w:color w:val="auto"/>
              </w:rPr>
            </w:pPr>
            <w:r w:rsidRPr="00DE6480">
              <w:rPr>
                <w:color w:val="auto"/>
              </w:rPr>
              <w:t>3.5</w:t>
            </w:r>
          </w:p>
        </w:tc>
        <w:tc>
          <w:tcPr>
            <w:tcW w:w="611" w:type="dxa"/>
            <w:noWrap/>
            <w:hideMark/>
          </w:tcPr>
          <w:p w:rsidR="002C070F" w:rsidRPr="00DE6480" w:rsidRDefault="002C070F" w:rsidP="00C74CFF">
            <w:pPr>
              <w:tabs>
                <w:tab w:val="center" w:pos="2520"/>
                <w:tab w:val="center" w:pos="6840"/>
              </w:tabs>
              <w:spacing w:line="276" w:lineRule="auto"/>
              <w:cnfStyle w:val="000000100000" w:firstRow="0" w:lastRow="0" w:firstColumn="0" w:lastColumn="0" w:oddVBand="0" w:evenVBand="0" w:oddHBand="1" w:evenHBand="0" w:firstRowFirstColumn="0" w:firstRowLastColumn="0" w:lastRowFirstColumn="0" w:lastRowLastColumn="0"/>
              <w:rPr>
                <w:color w:val="auto"/>
              </w:rPr>
            </w:pPr>
            <w:r w:rsidRPr="00DE6480">
              <w:rPr>
                <w:color w:val="auto"/>
              </w:rPr>
              <w:t>3.5</w:t>
            </w:r>
          </w:p>
        </w:tc>
        <w:tc>
          <w:tcPr>
            <w:tcW w:w="543" w:type="dxa"/>
            <w:noWrap/>
            <w:hideMark/>
          </w:tcPr>
          <w:p w:rsidR="002C070F" w:rsidRPr="00DE6480" w:rsidRDefault="002C070F" w:rsidP="00C74CFF">
            <w:pPr>
              <w:tabs>
                <w:tab w:val="center" w:pos="2520"/>
                <w:tab w:val="center" w:pos="6840"/>
              </w:tabs>
              <w:spacing w:line="276" w:lineRule="auto"/>
              <w:cnfStyle w:val="000000100000" w:firstRow="0" w:lastRow="0" w:firstColumn="0" w:lastColumn="0" w:oddVBand="0" w:evenVBand="0" w:oddHBand="1" w:evenHBand="0" w:firstRowFirstColumn="0" w:firstRowLastColumn="0" w:lastRowFirstColumn="0" w:lastRowLastColumn="0"/>
              <w:rPr>
                <w:color w:val="auto"/>
              </w:rPr>
            </w:pPr>
            <w:r w:rsidRPr="00DE6480">
              <w:rPr>
                <w:color w:val="auto"/>
              </w:rPr>
              <w:t>3.5</w:t>
            </w:r>
          </w:p>
        </w:tc>
        <w:tc>
          <w:tcPr>
            <w:tcW w:w="618" w:type="dxa"/>
            <w:noWrap/>
            <w:hideMark/>
          </w:tcPr>
          <w:p w:rsidR="002C070F" w:rsidRPr="00DE6480" w:rsidRDefault="002C070F" w:rsidP="00C74CFF">
            <w:pPr>
              <w:tabs>
                <w:tab w:val="center" w:pos="2520"/>
                <w:tab w:val="center" w:pos="6840"/>
              </w:tabs>
              <w:spacing w:line="276" w:lineRule="auto"/>
              <w:cnfStyle w:val="000000100000" w:firstRow="0" w:lastRow="0" w:firstColumn="0" w:lastColumn="0" w:oddVBand="0" w:evenVBand="0" w:oddHBand="1" w:evenHBand="0" w:firstRowFirstColumn="0" w:firstRowLastColumn="0" w:lastRowFirstColumn="0" w:lastRowLastColumn="0"/>
              <w:rPr>
                <w:color w:val="auto"/>
              </w:rPr>
            </w:pPr>
            <w:r w:rsidRPr="00DE6480">
              <w:rPr>
                <w:color w:val="auto"/>
              </w:rPr>
              <w:t>3.5</w:t>
            </w:r>
          </w:p>
        </w:tc>
      </w:tr>
      <w:tr w:rsidR="002C070F" w:rsidRPr="00DE6480" w:rsidTr="00C74CFF">
        <w:trPr>
          <w:trHeight w:val="180"/>
        </w:trPr>
        <w:tc>
          <w:tcPr>
            <w:cnfStyle w:val="001000000000" w:firstRow="0" w:lastRow="0" w:firstColumn="1" w:lastColumn="0" w:oddVBand="0" w:evenVBand="0" w:oddHBand="0" w:evenHBand="0" w:firstRowFirstColumn="0" w:firstRowLastColumn="0" w:lastRowFirstColumn="0" w:lastRowLastColumn="0"/>
            <w:tcW w:w="2020" w:type="dxa"/>
            <w:gridSpan w:val="3"/>
            <w:noWrap/>
            <w:hideMark/>
          </w:tcPr>
          <w:p w:rsidR="002C070F" w:rsidRPr="00DE6480" w:rsidRDefault="002C070F" w:rsidP="00C74CFF">
            <w:pPr>
              <w:tabs>
                <w:tab w:val="center" w:pos="2520"/>
                <w:tab w:val="center" w:pos="6840"/>
              </w:tabs>
              <w:spacing w:line="276" w:lineRule="auto"/>
              <w:rPr>
                <w:b w:val="0"/>
                <w:color w:val="auto"/>
                <w:sz w:val="18"/>
                <w:szCs w:val="18"/>
              </w:rPr>
            </w:pPr>
            <w:r w:rsidRPr="00DE6480">
              <w:rPr>
                <w:b w:val="0"/>
                <w:color w:val="auto"/>
                <w:sz w:val="18"/>
                <w:szCs w:val="18"/>
              </w:rPr>
              <w:t>Source: Mobile operators' websites.</w:t>
            </w:r>
          </w:p>
        </w:tc>
        <w:tc>
          <w:tcPr>
            <w:tcW w:w="543" w:type="dxa"/>
            <w:noWrap/>
            <w:hideMark/>
          </w:tcPr>
          <w:p w:rsidR="002C070F" w:rsidRPr="00DE6480" w:rsidRDefault="002C070F" w:rsidP="00C74CFF">
            <w:pPr>
              <w:tabs>
                <w:tab w:val="center" w:pos="2520"/>
                <w:tab w:val="center" w:pos="6840"/>
              </w:tabs>
              <w:spacing w:line="276" w:lineRule="auto"/>
              <w:cnfStyle w:val="000000000000" w:firstRow="0" w:lastRow="0" w:firstColumn="0" w:lastColumn="0" w:oddVBand="0" w:evenVBand="0" w:oddHBand="0" w:evenHBand="0" w:firstRowFirstColumn="0" w:firstRowLastColumn="0" w:lastRowFirstColumn="0" w:lastRowLastColumn="0"/>
              <w:rPr>
                <w:color w:val="auto"/>
              </w:rPr>
            </w:pPr>
          </w:p>
        </w:tc>
        <w:tc>
          <w:tcPr>
            <w:tcW w:w="618" w:type="dxa"/>
            <w:noWrap/>
            <w:hideMark/>
          </w:tcPr>
          <w:p w:rsidR="002C070F" w:rsidRPr="00DE6480" w:rsidRDefault="002C070F" w:rsidP="00C74CFF">
            <w:pPr>
              <w:tabs>
                <w:tab w:val="center" w:pos="2520"/>
                <w:tab w:val="center" w:pos="6840"/>
              </w:tabs>
              <w:spacing w:line="276" w:lineRule="auto"/>
              <w:cnfStyle w:val="000000000000" w:firstRow="0" w:lastRow="0" w:firstColumn="0" w:lastColumn="0" w:oddVBand="0" w:evenVBand="0" w:oddHBand="0" w:evenHBand="0" w:firstRowFirstColumn="0" w:firstRowLastColumn="0" w:lastRowFirstColumn="0" w:lastRowLastColumn="0"/>
              <w:rPr>
                <w:color w:val="auto"/>
              </w:rPr>
            </w:pPr>
          </w:p>
        </w:tc>
      </w:tr>
    </w:tbl>
    <w:p w:rsidR="002C070F" w:rsidRPr="00507B80" w:rsidRDefault="002C070F" w:rsidP="002C070F">
      <w:pPr>
        <w:tabs>
          <w:tab w:val="center" w:pos="2520"/>
          <w:tab w:val="center" w:pos="6840"/>
        </w:tabs>
        <w:spacing w:after="0"/>
        <w:rPr>
          <w:b/>
          <w:bCs/>
          <w:szCs w:val="22"/>
        </w:rPr>
      </w:pPr>
      <w:r w:rsidRPr="009D123D">
        <w:rPr>
          <w:b/>
          <w:bCs/>
          <w:noProof/>
          <w:szCs w:val="22"/>
          <w:lang w:bidi="ar-SA"/>
        </w:rPr>
        <w:drawing>
          <wp:inline distT="0" distB="0" distL="0" distR="0" wp14:anchorId="5917F6D1" wp14:editId="07648785">
            <wp:extent cx="2908793" cy="1768415"/>
            <wp:effectExtent l="0" t="0" r="6350" b="381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921687" cy="1776254"/>
                    </a:xfrm>
                    <a:prstGeom prst="rect">
                      <a:avLst/>
                    </a:prstGeom>
                    <a:noFill/>
                    <a:ln w="9525">
                      <a:noFill/>
                      <a:miter lim="800000"/>
                      <a:headEnd/>
                      <a:tailEnd/>
                    </a:ln>
                  </pic:spPr>
                </pic:pic>
              </a:graphicData>
            </a:graphic>
          </wp:inline>
        </w:drawing>
      </w:r>
    </w:p>
    <w:p w:rsidR="002C070F" w:rsidRPr="00E27351" w:rsidRDefault="002C070F" w:rsidP="002C070F">
      <w:pPr>
        <w:tabs>
          <w:tab w:val="center" w:pos="2520"/>
          <w:tab w:val="center" w:pos="6840"/>
        </w:tabs>
        <w:spacing w:after="0"/>
        <w:rPr>
          <w:sz w:val="20"/>
        </w:rPr>
      </w:pPr>
      <w:r w:rsidRPr="00E27351">
        <w:rPr>
          <w:sz w:val="20"/>
        </w:rPr>
        <w:t>Sources: Average tariff based on the operators’ websites</w:t>
      </w:r>
    </w:p>
    <w:p w:rsidR="002C070F" w:rsidRPr="00E27351" w:rsidRDefault="002C070F" w:rsidP="002C070F">
      <w:pPr>
        <w:tabs>
          <w:tab w:val="center" w:pos="2520"/>
          <w:tab w:val="center" w:pos="6840"/>
        </w:tabs>
        <w:spacing w:after="0"/>
        <w:rPr>
          <w:sz w:val="20"/>
        </w:rPr>
      </w:pPr>
      <w:r w:rsidRPr="00E27351">
        <w:rPr>
          <w:sz w:val="20"/>
        </w:rPr>
        <w:t xml:space="preserve">for Afghanistan; ITU database for other countries. </w:t>
      </w:r>
    </w:p>
    <w:p w:rsidR="002C070F" w:rsidRPr="00507B80" w:rsidRDefault="002C070F" w:rsidP="002C070F">
      <w:pPr>
        <w:tabs>
          <w:tab w:val="center" w:pos="2520"/>
          <w:tab w:val="center" w:pos="6840"/>
        </w:tabs>
        <w:spacing w:after="0"/>
        <w:rPr>
          <w:szCs w:val="22"/>
        </w:rPr>
      </w:pPr>
    </w:p>
    <w:p w:rsidR="002C070F" w:rsidRPr="00507B80" w:rsidRDefault="002C070F" w:rsidP="002C070F">
      <w:pPr>
        <w:tabs>
          <w:tab w:val="center" w:pos="2520"/>
          <w:tab w:val="center" w:pos="6840"/>
        </w:tabs>
        <w:spacing w:after="0"/>
        <w:rPr>
          <w:szCs w:val="22"/>
        </w:rPr>
      </w:pPr>
      <w:r w:rsidRPr="00507B80">
        <w:rPr>
          <w:b/>
          <w:szCs w:val="22"/>
        </w:rPr>
        <w:t>The advanced ICT market remains thin in Afghanistan</w:t>
      </w:r>
      <w:r w:rsidRPr="00507B80">
        <w:rPr>
          <w:szCs w:val="22"/>
        </w:rPr>
        <w:t xml:space="preserve">. With higher-speed, third generation (3G) networks that have been introduced in 2012, it is possible that the use of Internet services over mobile networks may grow. In India and Sri Lanka about 15 percent of mobile connections are already based on 3G technologies. </w:t>
      </w:r>
    </w:p>
    <w:p w:rsidR="002C070F" w:rsidRDefault="002C070F" w:rsidP="002C070F">
      <w:pPr>
        <w:tabs>
          <w:tab w:val="center" w:pos="2520"/>
          <w:tab w:val="center" w:pos="6840"/>
        </w:tabs>
        <w:spacing w:after="0"/>
        <w:rPr>
          <w:szCs w:val="22"/>
        </w:rPr>
      </w:pPr>
    </w:p>
    <w:p w:rsidR="002C070F" w:rsidRDefault="002C070F" w:rsidP="002C070F">
      <w:pPr>
        <w:pStyle w:val="ListParagraph"/>
        <w:tabs>
          <w:tab w:val="left" w:pos="540"/>
        </w:tabs>
        <w:spacing w:after="0"/>
        <w:ind w:left="0"/>
        <w:rPr>
          <w:szCs w:val="22"/>
        </w:rPr>
      </w:pPr>
      <w:r w:rsidRPr="00073AC8">
        <w:rPr>
          <w:b/>
          <w:szCs w:val="22"/>
        </w:rPr>
        <w:t xml:space="preserve">The </w:t>
      </w:r>
      <w:r>
        <w:rPr>
          <w:b/>
          <w:szCs w:val="22"/>
        </w:rPr>
        <w:t xml:space="preserve">policy and </w:t>
      </w:r>
      <w:r w:rsidRPr="00073AC8">
        <w:rPr>
          <w:b/>
          <w:szCs w:val="22"/>
        </w:rPr>
        <w:t xml:space="preserve">regulatory </w:t>
      </w:r>
      <w:r>
        <w:rPr>
          <w:b/>
          <w:szCs w:val="22"/>
        </w:rPr>
        <w:t xml:space="preserve">framework aims </w:t>
      </w:r>
      <w:r w:rsidRPr="00073AC8">
        <w:rPr>
          <w:b/>
          <w:szCs w:val="22"/>
        </w:rPr>
        <w:t>to develop a competitive ICT marketplace</w:t>
      </w:r>
      <w:r w:rsidRPr="00073AC8">
        <w:rPr>
          <w:szCs w:val="22"/>
        </w:rPr>
        <w:t xml:space="preserve">. Afghanistan’s National Telecommunications Policy aims </w:t>
      </w:r>
      <w:r>
        <w:rPr>
          <w:szCs w:val="22"/>
        </w:rPr>
        <w:t>to</w:t>
      </w:r>
      <w:r w:rsidRPr="00073AC8">
        <w:rPr>
          <w:szCs w:val="22"/>
        </w:rPr>
        <w:t xml:space="preserve"> establish a level playing field for fair, transparent and market-based competition. It </w:t>
      </w:r>
      <w:r>
        <w:rPr>
          <w:szCs w:val="22"/>
        </w:rPr>
        <w:t>states</w:t>
      </w:r>
      <w:r w:rsidRPr="00073AC8">
        <w:rPr>
          <w:szCs w:val="22"/>
        </w:rPr>
        <w:t xml:space="preserve"> that new entrants are invited to the market through open and transparent international competitive bidding.</w:t>
      </w:r>
      <w:r>
        <w:rPr>
          <w:szCs w:val="22"/>
        </w:rPr>
        <w:t xml:space="preserve"> T</w:t>
      </w:r>
      <w:r w:rsidRPr="00073AC8">
        <w:rPr>
          <w:szCs w:val="22"/>
        </w:rPr>
        <w:t>he new entr</w:t>
      </w:r>
      <w:r>
        <w:rPr>
          <w:szCs w:val="22"/>
        </w:rPr>
        <w:t>ants</w:t>
      </w:r>
      <w:r w:rsidRPr="00073AC8">
        <w:rPr>
          <w:szCs w:val="22"/>
        </w:rPr>
        <w:t xml:space="preserve"> in 2006-2007 injected competition into a previously duopolistic mobile market, contributing to an expansion of mobile access in Afghanistan (Figure </w:t>
      </w:r>
      <w:r>
        <w:rPr>
          <w:szCs w:val="22"/>
        </w:rPr>
        <w:t>3.</w:t>
      </w:r>
      <w:r w:rsidRPr="00073AC8">
        <w:rPr>
          <w:szCs w:val="22"/>
        </w:rPr>
        <w:t>14). The new carriers have in</w:t>
      </w:r>
      <w:r>
        <w:rPr>
          <w:szCs w:val="22"/>
        </w:rPr>
        <w:t>stalled</w:t>
      </w:r>
      <w:r w:rsidRPr="00073AC8">
        <w:rPr>
          <w:szCs w:val="22"/>
        </w:rPr>
        <w:t xml:space="preserve"> networks in both urban and rural areas.</w:t>
      </w:r>
      <w:r>
        <w:rPr>
          <w:szCs w:val="22"/>
        </w:rPr>
        <w:t xml:space="preserve"> </w:t>
      </w:r>
      <w:r w:rsidRPr="00073AC8">
        <w:rPr>
          <w:szCs w:val="22"/>
        </w:rPr>
        <w:t xml:space="preserve">By June 2010, about 80 percent of the total population </w:t>
      </w:r>
      <w:r>
        <w:rPr>
          <w:szCs w:val="22"/>
        </w:rPr>
        <w:t>wa</w:t>
      </w:r>
      <w:r w:rsidRPr="00073AC8">
        <w:rPr>
          <w:szCs w:val="22"/>
        </w:rPr>
        <w:t xml:space="preserve">s estimated to be covered by at least one mobile network (Figure </w:t>
      </w:r>
      <w:r>
        <w:rPr>
          <w:szCs w:val="22"/>
        </w:rPr>
        <w:t>3.</w:t>
      </w:r>
      <w:r w:rsidRPr="00073AC8">
        <w:rPr>
          <w:szCs w:val="22"/>
        </w:rPr>
        <w:t>15).</w:t>
      </w:r>
      <w:r w:rsidRPr="00073AC8">
        <w:rPr>
          <w:rStyle w:val="FootnoteReference"/>
          <w:szCs w:val="22"/>
        </w:rPr>
        <w:footnoteReference w:id="99"/>
      </w:r>
      <w:r w:rsidRPr="00073AC8">
        <w:rPr>
          <w:szCs w:val="22"/>
        </w:rPr>
        <w:t xml:space="preserve"> New carriers </w:t>
      </w:r>
      <w:r>
        <w:rPr>
          <w:szCs w:val="22"/>
        </w:rPr>
        <w:t xml:space="preserve">have tended </w:t>
      </w:r>
      <w:r w:rsidRPr="00073AC8">
        <w:rPr>
          <w:szCs w:val="22"/>
        </w:rPr>
        <w:t xml:space="preserve">also </w:t>
      </w:r>
      <w:r>
        <w:rPr>
          <w:szCs w:val="22"/>
        </w:rPr>
        <w:t>provide</w:t>
      </w:r>
      <w:r w:rsidRPr="00073AC8">
        <w:rPr>
          <w:szCs w:val="22"/>
        </w:rPr>
        <w:t xml:space="preserve"> advanced </w:t>
      </w:r>
      <w:r>
        <w:rPr>
          <w:szCs w:val="22"/>
        </w:rPr>
        <w:t>s</w:t>
      </w:r>
      <w:r w:rsidRPr="00073AC8">
        <w:rPr>
          <w:szCs w:val="22"/>
        </w:rPr>
        <w:t xml:space="preserve">ervices, such as per-second billing, international roaming and caller identification. </w:t>
      </w:r>
      <w:r>
        <w:rPr>
          <w:szCs w:val="22"/>
        </w:rPr>
        <w:t>While the mobile telephony and Internet services markets are competitive, the fixed line and wholesale markets remains dominated by state-owned corporation Afghan Telecom, which has the sole national unified license.</w:t>
      </w:r>
    </w:p>
    <w:p w:rsidR="002C070F" w:rsidRPr="00073AC8" w:rsidRDefault="002C070F" w:rsidP="002C070F">
      <w:pPr>
        <w:pStyle w:val="ListParagraph"/>
        <w:tabs>
          <w:tab w:val="left" w:pos="540"/>
        </w:tabs>
        <w:spacing w:after="0"/>
        <w:ind w:left="0"/>
        <w:rPr>
          <w:szCs w:val="22"/>
        </w:rPr>
      </w:pPr>
    </w:p>
    <w:p w:rsidR="002C070F" w:rsidRPr="00073AC8" w:rsidRDefault="002C070F" w:rsidP="002C070F">
      <w:pPr>
        <w:pStyle w:val="Caption"/>
        <w:tabs>
          <w:tab w:val="center" w:pos="2520"/>
          <w:tab w:val="center" w:pos="6840"/>
        </w:tabs>
        <w:spacing w:after="0"/>
        <w:rPr>
          <w:sz w:val="22"/>
          <w:szCs w:val="22"/>
        </w:rPr>
      </w:pPr>
      <w:r w:rsidRPr="002E750D">
        <w:rPr>
          <w:color w:val="410082" w:themeColor="text1"/>
          <w:sz w:val="22"/>
          <w:szCs w:val="22"/>
        </w:rPr>
        <w:t>Figure 3.</w:t>
      </w:r>
      <w:r w:rsidRPr="002E750D">
        <w:rPr>
          <w:color w:val="410082" w:themeColor="text1"/>
          <w:sz w:val="22"/>
          <w:szCs w:val="22"/>
        </w:rPr>
        <w:fldChar w:fldCharType="begin"/>
      </w:r>
      <w:r w:rsidRPr="002E750D">
        <w:rPr>
          <w:color w:val="410082" w:themeColor="text1"/>
          <w:sz w:val="22"/>
          <w:szCs w:val="22"/>
        </w:rPr>
        <w:instrText xml:space="preserve"> SEQ Figure \* ARABIC </w:instrText>
      </w:r>
      <w:r w:rsidRPr="002E750D">
        <w:rPr>
          <w:color w:val="410082" w:themeColor="text1"/>
          <w:sz w:val="22"/>
          <w:szCs w:val="22"/>
        </w:rPr>
        <w:fldChar w:fldCharType="separate"/>
      </w:r>
      <w:r w:rsidR="0080181F">
        <w:rPr>
          <w:noProof/>
          <w:color w:val="410082" w:themeColor="text1"/>
          <w:sz w:val="22"/>
          <w:szCs w:val="22"/>
        </w:rPr>
        <w:t>13</w:t>
      </w:r>
      <w:r w:rsidRPr="002E750D">
        <w:rPr>
          <w:color w:val="410082" w:themeColor="text1"/>
          <w:sz w:val="22"/>
          <w:szCs w:val="22"/>
        </w:rPr>
        <w:fldChar w:fldCharType="end"/>
      </w:r>
      <w:r w:rsidRPr="002E750D">
        <w:rPr>
          <w:color w:val="410082" w:themeColor="text1"/>
          <w:sz w:val="22"/>
          <w:szCs w:val="22"/>
        </w:rPr>
        <w:t>: Mobile Subscribers per Operator</w:t>
      </w:r>
      <w:r w:rsidRPr="00073AC8">
        <w:rPr>
          <w:sz w:val="22"/>
          <w:szCs w:val="22"/>
        </w:rPr>
        <w:tab/>
      </w:r>
      <w:r w:rsidRPr="002E750D">
        <w:rPr>
          <w:color w:val="410082" w:themeColor="text1"/>
          <w:sz w:val="22"/>
          <w:szCs w:val="22"/>
        </w:rPr>
        <w:t>Figure 3.</w:t>
      </w:r>
      <w:r w:rsidRPr="002E750D">
        <w:rPr>
          <w:color w:val="410082" w:themeColor="text1"/>
          <w:sz w:val="22"/>
          <w:szCs w:val="22"/>
        </w:rPr>
        <w:fldChar w:fldCharType="begin"/>
      </w:r>
      <w:r w:rsidRPr="002E750D">
        <w:rPr>
          <w:color w:val="410082" w:themeColor="text1"/>
          <w:sz w:val="22"/>
          <w:szCs w:val="22"/>
        </w:rPr>
        <w:instrText xml:space="preserve"> SEQ Figure \* ARABIC </w:instrText>
      </w:r>
      <w:r w:rsidRPr="002E750D">
        <w:rPr>
          <w:color w:val="410082" w:themeColor="text1"/>
          <w:sz w:val="22"/>
          <w:szCs w:val="22"/>
        </w:rPr>
        <w:fldChar w:fldCharType="separate"/>
      </w:r>
      <w:r w:rsidR="0080181F">
        <w:rPr>
          <w:noProof/>
          <w:color w:val="410082" w:themeColor="text1"/>
          <w:sz w:val="22"/>
          <w:szCs w:val="22"/>
        </w:rPr>
        <w:t>14</w:t>
      </w:r>
      <w:r w:rsidRPr="002E750D">
        <w:rPr>
          <w:color w:val="410082" w:themeColor="text1"/>
          <w:sz w:val="22"/>
          <w:szCs w:val="22"/>
        </w:rPr>
        <w:fldChar w:fldCharType="end"/>
      </w:r>
      <w:r w:rsidRPr="002E750D">
        <w:rPr>
          <w:color w:val="410082" w:themeColor="text1"/>
          <w:sz w:val="22"/>
          <w:szCs w:val="22"/>
        </w:rPr>
        <w:t>: AWCC Mobile Coverage</w:t>
      </w:r>
      <w:r>
        <w:rPr>
          <w:sz w:val="22"/>
          <w:szCs w:val="22"/>
        </w:rPr>
        <w:t xml:space="preserve"> </w:t>
      </w:r>
    </w:p>
    <w:p w:rsidR="002C070F" w:rsidRPr="00073AC8" w:rsidRDefault="002C070F" w:rsidP="002C070F">
      <w:pPr>
        <w:tabs>
          <w:tab w:val="center" w:pos="2520"/>
          <w:tab w:val="center" w:pos="6840"/>
        </w:tabs>
        <w:spacing w:after="0"/>
        <w:rPr>
          <w:szCs w:val="22"/>
        </w:rPr>
      </w:pPr>
      <w:r w:rsidRPr="00F169BF">
        <w:rPr>
          <w:noProof/>
          <w:szCs w:val="22"/>
          <w:lang w:bidi="ar-SA"/>
        </w:rPr>
        <w:drawing>
          <wp:inline distT="0" distB="0" distL="0" distR="0" wp14:anchorId="36AFB9C1" wp14:editId="0E76030C">
            <wp:extent cx="3011083" cy="2184445"/>
            <wp:effectExtent l="19050" t="0" r="0" b="0"/>
            <wp:docPr id="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3011083" cy="2184445"/>
                    </a:xfrm>
                    <a:prstGeom prst="rect">
                      <a:avLst/>
                    </a:prstGeom>
                    <a:noFill/>
                    <a:ln w="9525">
                      <a:noFill/>
                      <a:miter lim="800000"/>
                      <a:headEnd/>
                      <a:tailEnd/>
                    </a:ln>
                  </pic:spPr>
                </pic:pic>
              </a:graphicData>
            </a:graphic>
          </wp:inline>
        </w:drawing>
      </w:r>
      <w:r w:rsidRPr="00073AC8">
        <w:rPr>
          <w:szCs w:val="22"/>
        </w:rPr>
        <w:tab/>
      </w:r>
      <w:r w:rsidRPr="00F169BF">
        <w:rPr>
          <w:noProof/>
          <w:szCs w:val="22"/>
          <w:lang w:bidi="ar-SA"/>
        </w:rPr>
        <w:drawing>
          <wp:inline distT="0" distB="0" distL="0" distR="0" wp14:anchorId="605FA658" wp14:editId="507D66A5">
            <wp:extent cx="2286857" cy="2241423"/>
            <wp:effectExtent l="19050" t="0" r="0" b="0"/>
            <wp:docPr id="2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2286857" cy="2241423"/>
                    </a:xfrm>
                    <a:prstGeom prst="rect">
                      <a:avLst/>
                    </a:prstGeom>
                    <a:noFill/>
                    <a:ln w="9525">
                      <a:noFill/>
                      <a:miter lim="800000"/>
                      <a:headEnd/>
                      <a:tailEnd/>
                    </a:ln>
                  </pic:spPr>
                </pic:pic>
              </a:graphicData>
            </a:graphic>
          </wp:inline>
        </w:drawing>
      </w:r>
    </w:p>
    <w:p w:rsidR="002C070F" w:rsidRPr="00073AC8" w:rsidRDefault="002C070F" w:rsidP="002C070F">
      <w:pPr>
        <w:tabs>
          <w:tab w:val="center" w:pos="2520"/>
          <w:tab w:val="center" w:pos="6840"/>
        </w:tabs>
        <w:spacing w:after="0"/>
        <w:rPr>
          <w:szCs w:val="22"/>
        </w:rPr>
      </w:pPr>
      <w:r w:rsidRPr="00334601">
        <w:rPr>
          <w:sz w:val="20"/>
        </w:rPr>
        <w:t xml:space="preserve">Source: Wireless Intelligence. </w:t>
      </w:r>
      <w:r w:rsidRPr="00334601">
        <w:rPr>
          <w:sz w:val="20"/>
        </w:rPr>
        <w:tab/>
        <w:t xml:space="preserve">                                                             Source: Mobile World Live</w:t>
      </w:r>
      <w:r w:rsidRPr="00073AC8">
        <w:rPr>
          <w:szCs w:val="22"/>
        </w:rPr>
        <w:t xml:space="preserve">. </w:t>
      </w:r>
    </w:p>
    <w:p w:rsidR="002C070F" w:rsidRPr="00073AC8" w:rsidRDefault="002C070F" w:rsidP="002C070F">
      <w:pPr>
        <w:pStyle w:val="ListParagraph"/>
        <w:tabs>
          <w:tab w:val="left" w:pos="540"/>
        </w:tabs>
        <w:spacing w:after="0"/>
        <w:ind w:left="0"/>
        <w:rPr>
          <w:szCs w:val="22"/>
        </w:rPr>
      </w:pPr>
    </w:p>
    <w:p w:rsidR="002C070F" w:rsidRDefault="002C070F" w:rsidP="002C070F">
      <w:pPr>
        <w:tabs>
          <w:tab w:val="left" w:pos="540"/>
        </w:tabs>
        <w:spacing w:after="0"/>
        <w:rPr>
          <w:szCs w:val="22"/>
        </w:rPr>
      </w:pPr>
      <w:r w:rsidRPr="00B062E8">
        <w:rPr>
          <w:b/>
          <w:szCs w:val="22"/>
        </w:rPr>
        <w:t>Reforming the licensing regime</w:t>
      </w:r>
      <w:r>
        <w:rPr>
          <w:b/>
          <w:szCs w:val="22"/>
        </w:rPr>
        <w:t xml:space="preserve"> by</w:t>
      </w:r>
      <w:r w:rsidRPr="00B062E8">
        <w:rPr>
          <w:b/>
          <w:szCs w:val="22"/>
        </w:rPr>
        <w:t xml:space="preserve"> </w:t>
      </w:r>
      <w:r>
        <w:rPr>
          <w:b/>
          <w:szCs w:val="22"/>
        </w:rPr>
        <w:t>unifying licenses</w:t>
      </w:r>
      <w:r w:rsidRPr="00B062E8">
        <w:rPr>
          <w:b/>
          <w:szCs w:val="22"/>
        </w:rPr>
        <w:t xml:space="preserve"> would enable greater competition</w:t>
      </w:r>
      <w:r w:rsidRPr="00B062E8">
        <w:rPr>
          <w:szCs w:val="22"/>
        </w:rPr>
        <w:t xml:space="preserve">. </w:t>
      </w:r>
      <w:r>
        <w:rPr>
          <w:szCs w:val="22"/>
        </w:rPr>
        <w:t>The Government has recently offered</w:t>
      </w:r>
      <w:r w:rsidRPr="00B062E8">
        <w:rPr>
          <w:szCs w:val="22"/>
        </w:rPr>
        <w:t xml:space="preserve"> new licenses that address earlier differences among GSM license terms and authorize</w:t>
      </w:r>
      <w:r>
        <w:rPr>
          <w:szCs w:val="22"/>
        </w:rPr>
        <w:t>d</w:t>
      </w:r>
      <w:r w:rsidRPr="00B062E8">
        <w:rPr>
          <w:szCs w:val="22"/>
        </w:rPr>
        <w:t xml:space="preserve"> the introduction of broadband wireless services</w:t>
      </w:r>
      <w:r>
        <w:rPr>
          <w:szCs w:val="22"/>
        </w:rPr>
        <w:t xml:space="preserve">. </w:t>
      </w:r>
      <w:r w:rsidRPr="00B062E8">
        <w:rPr>
          <w:szCs w:val="22"/>
        </w:rPr>
        <w:t>There is now an important opportunity to unify the licensing regime</w:t>
      </w:r>
      <w:r>
        <w:rPr>
          <w:szCs w:val="22"/>
        </w:rPr>
        <w:t xml:space="preserve"> and liberalize the market fully, allowing any unified provider to offer the widest range of services without restrictions on technology choices or market segments</w:t>
      </w:r>
      <w:r w:rsidRPr="00B062E8">
        <w:rPr>
          <w:szCs w:val="22"/>
        </w:rPr>
        <w:t>. Currently, while local fixed-service providers are granted unified licenses for all telecommunications services (including fixed, data and wireless), the mobile network operators and ISPs are not allowed to construct wireline facilities and offer some services. Currently, ISP licenses do not allow investment in the operation of international gateways.</w:t>
      </w:r>
      <w:r w:rsidRPr="00B062E8">
        <w:rPr>
          <w:szCs w:val="22"/>
          <w:vertAlign w:val="superscript"/>
        </w:rPr>
        <w:footnoteReference w:id="100"/>
      </w:r>
      <w:r w:rsidRPr="00B062E8">
        <w:rPr>
          <w:szCs w:val="22"/>
        </w:rPr>
        <w:t xml:space="preserve"> This imposes a serious supply-side bottleneck for ISPs, deterring them from investing in </w:t>
      </w:r>
      <w:r>
        <w:rPr>
          <w:szCs w:val="22"/>
        </w:rPr>
        <w:t>a wider range of</w:t>
      </w:r>
      <w:r w:rsidRPr="00B062E8">
        <w:rPr>
          <w:szCs w:val="22"/>
        </w:rPr>
        <w:t xml:space="preserve"> attractive services with lower cost. Advanced technologies cut across traditional and often outdated market segmentation, like the separation of internet service provision from mobile telephone services. </w:t>
      </w:r>
      <w:r>
        <w:rPr>
          <w:szCs w:val="22"/>
        </w:rPr>
        <w:t xml:space="preserve">Limits on the types of services hold back market development and </w:t>
      </w:r>
      <w:r w:rsidRPr="00B062E8">
        <w:rPr>
          <w:szCs w:val="22"/>
        </w:rPr>
        <w:t>restrict</w:t>
      </w:r>
      <w:r>
        <w:rPr>
          <w:szCs w:val="22"/>
        </w:rPr>
        <w:t>s</w:t>
      </w:r>
      <w:r w:rsidRPr="00B062E8">
        <w:rPr>
          <w:szCs w:val="22"/>
        </w:rPr>
        <w:t xml:space="preserve"> the level of competition in some markets, </w:t>
      </w:r>
      <w:r>
        <w:rPr>
          <w:szCs w:val="22"/>
        </w:rPr>
        <w:t xml:space="preserve">and could limit </w:t>
      </w:r>
      <w:r w:rsidRPr="00B062E8">
        <w:rPr>
          <w:szCs w:val="22"/>
        </w:rPr>
        <w:t>potential private investment.</w:t>
      </w:r>
    </w:p>
    <w:p w:rsidR="002C070F" w:rsidRDefault="002C070F" w:rsidP="002C070F">
      <w:pPr>
        <w:tabs>
          <w:tab w:val="left" w:pos="540"/>
        </w:tabs>
        <w:spacing w:after="0"/>
        <w:rPr>
          <w:szCs w:val="22"/>
        </w:rPr>
      </w:pPr>
    </w:p>
    <w:p w:rsidR="002C070F" w:rsidRDefault="002C070F" w:rsidP="002C070F">
      <w:pPr>
        <w:tabs>
          <w:tab w:val="left" w:pos="540"/>
        </w:tabs>
        <w:spacing w:after="0"/>
        <w:rPr>
          <w:b/>
          <w:szCs w:val="22"/>
        </w:rPr>
      </w:pPr>
      <w:r w:rsidRPr="000B7C61">
        <w:rPr>
          <w:b/>
          <w:szCs w:val="22"/>
        </w:rPr>
        <w:t xml:space="preserve">Establish a competitive and transparent cost-based interconnection regime.  </w:t>
      </w:r>
      <w:r w:rsidRPr="000B7C61">
        <w:rPr>
          <w:szCs w:val="22"/>
        </w:rPr>
        <w:t xml:space="preserve">Interconnection is important to ensure efficient connectivity, fair competition and tariff reductions in the ICT markets.  </w:t>
      </w:r>
      <w:r>
        <w:rPr>
          <w:szCs w:val="22"/>
        </w:rPr>
        <w:t>High</w:t>
      </w:r>
      <w:r w:rsidRPr="000B7C61">
        <w:rPr>
          <w:szCs w:val="22"/>
        </w:rPr>
        <w:t xml:space="preserve"> interconnection charges are usually a barrier to entry the market because, given asymmetric call traffic, </w:t>
      </w:r>
      <w:r>
        <w:rPr>
          <w:szCs w:val="22"/>
        </w:rPr>
        <w:t xml:space="preserve">smaller </w:t>
      </w:r>
      <w:r w:rsidRPr="000B7C61">
        <w:rPr>
          <w:szCs w:val="22"/>
        </w:rPr>
        <w:t xml:space="preserve">firms often have to pay </w:t>
      </w:r>
      <w:r>
        <w:rPr>
          <w:szCs w:val="22"/>
        </w:rPr>
        <w:t xml:space="preserve">a significant part </w:t>
      </w:r>
      <w:r w:rsidRPr="000B7C61">
        <w:rPr>
          <w:szCs w:val="22"/>
        </w:rPr>
        <w:t>of their expenditure to incumbent operators as connection charges. The A</w:t>
      </w:r>
      <w:r>
        <w:rPr>
          <w:szCs w:val="22"/>
        </w:rPr>
        <w:t xml:space="preserve">fghanistan </w:t>
      </w:r>
      <w:r w:rsidRPr="000B7C61">
        <w:rPr>
          <w:szCs w:val="22"/>
        </w:rPr>
        <w:t>T</w:t>
      </w:r>
      <w:r>
        <w:rPr>
          <w:szCs w:val="22"/>
        </w:rPr>
        <w:t xml:space="preserve">elecom </w:t>
      </w:r>
      <w:r w:rsidRPr="000B7C61">
        <w:rPr>
          <w:szCs w:val="22"/>
        </w:rPr>
        <w:t>R</w:t>
      </w:r>
      <w:r>
        <w:rPr>
          <w:szCs w:val="22"/>
        </w:rPr>
        <w:t xml:space="preserve">egulatory </w:t>
      </w:r>
      <w:r w:rsidRPr="000B7C61">
        <w:rPr>
          <w:szCs w:val="22"/>
        </w:rPr>
        <w:t>A</w:t>
      </w:r>
      <w:r>
        <w:rPr>
          <w:szCs w:val="22"/>
        </w:rPr>
        <w:t>uthority (ATRA)</w:t>
      </w:r>
      <w:r w:rsidRPr="000B7C61">
        <w:rPr>
          <w:szCs w:val="22"/>
        </w:rPr>
        <w:t xml:space="preserve"> set an interconnection charge of US$0.029 per minute in 2007, and decreased it to US$0.026 per minute in 2009.</w:t>
      </w:r>
      <w:r w:rsidRPr="000B7C61">
        <w:rPr>
          <w:szCs w:val="22"/>
          <w:vertAlign w:val="superscript"/>
        </w:rPr>
        <w:footnoteReference w:id="101"/>
      </w:r>
      <w:r w:rsidRPr="000B7C61">
        <w:rPr>
          <w:szCs w:val="22"/>
        </w:rPr>
        <w:t xml:space="preserve"> This level may compare favorably to the international norm for now, but </w:t>
      </w:r>
      <w:r>
        <w:rPr>
          <w:szCs w:val="22"/>
        </w:rPr>
        <w:t>yet</w:t>
      </w:r>
      <w:r w:rsidRPr="000B7C61">
        <w:rPr>
          <w:szCs w:val="22"/>
        </w:rPr>
        <w:t>, the norm of interconnection charges in Europe, for call termination on mobile networks, is about 0.05-0.08 euros per minute.</w:t>
      </w:r>
      <w:r w:rsidRPr="000B7C61">
        <w:rPr>
          <w:szCs w:val="22"/>
          <w:vertAlign w:val="superscript"/>
        </w:rPr>
        <w:footnoteReference w:id="102"/>
      </w:r>
      <w:r w:rsidRPr="000B7C61">
        <w:rPr>
          <w:szCs w:val="22"/>
        </w:rPr>
        <w:t xml:space="preserve">   </w:t>
      </w:r>
      <w:r>
        <w:rPr>
          <w:szCs w:val="22"/>
        </w:rPr>
        <w:t xml:space="preserve">ATRA </w:t>
      </w:r>
      <w:r w:rsidRPr="000B7C61">
        <w:rPr>
          <w:szCs w:val="22"/>
        </w:rPr>
        <w:t>should aim to</w:t>
      </w:r>
      <w:r>
        <w:rPr>
          <w:szCs w:val="22"/>
        </w:rPr>
        <w:t xml:space="preserve"> evaluate and if possible</w:t>
      </w:r>
      <w:r w:rsidRPr="000B7C61">
        <w:rPr>
          <w:szCs w:val="22"/>
        </w:rPr>
        <w:t xml:space="preserve"> decrease </w:t>
      </w:r>
      <w:r>
        <w:rPr>
          <w:szCs w:val="22"/>
        </w:rPr>
        <w:t xml:space="preserve">this to reflect appropriate costs; it is possible the charge could reduce to </w:t>
      </w:r>
      <w:r w:rsidRPr="000B7C61">
        <w:rPr>
          <w:szCs w:val="22"/>
        </w:rPr>
        <w:t>less than US$0.015</w:t>
      </w:r>
      <w:r w:rsidRPr="00D737E8">
        <w:rPr>
          <w:szCs w:val="22"/>
        </w:rPr>
        <w:t xml:space="preserve"> </w:t>
      </w:r>
      <w:r w:rsidRPr="000B7C61">
        <w:rPr>
          <w:szCs w:val="22"/>
        </w:rPr>
        <w:t>in the medium term.</w:t>
      </w:r>
      <w:r w:rsidRPr="000B7C61">
        <w:rPr>
          <w:szCs w:val="22"/>
          <w:vertAlign w:val="superscript"/>
        </w:rPr>
        <w:footnoteReference w:id="103"/>
      </w:r>
      <w:r w:rsidRPr="000B7C61">
        <w:rPr>
          <w:szCs w:val="22"/>
        </w:rPr>
        <w:t xml:space="preserve"> Interconnection charges should reflect long-run incremental costs of essential facilities and other costs that can ensure forward looking investment to provide the services.  These charges should be open, transparent and nondiscriminatory, </w:t>
      </w:r>
      <w:r>
        <w:rPr>
          <w:szCs w:val="22"/>
        </w:rPr>
        <w:t>for there is the ris</w:t>
      </w:r>
      <w:r w:rsidRPr="000B7C61">
        <w:rPr>
          <w:szCs w:val="22"/>
        </w:rPr>
        <w:t xml:space="preserve">k that incumbent operators would dispute some technical problems and methodological errors to court in order to prevent new entrants from expanding operations. In Afghanistan, the first two incumbents, Afghan Wireless and Roshan, complained to the ATRA that the regulated rates were too low. The dispute resolution process is still far from transparent. </w:t>
      </w:r>
    </w:p>
    <w:p w:rsidR="002C070F" w:rsidRDefault="002C070F" w:rsidP="002C070F">
      <w:pPr>
        <w:tabs>
          <w:tab w:val="left" w:pos="540"/>
        </w:tabs>
        <w:spacing w:before="240"/>
        <w:rPr>
          <w:szCs w:val="22"/>
        </w:rPr>
      </w:pPr>
      <w:r w:rsidRPr="00073AC8">
        <w:rPr>
          <w:b/>
          <w:szCs w:val="22"/>
        </w:rPr>
        <w:t>The Internet-related industry is underdeveloped</w:t>
      </w:r>
      <w:r w:rsidRPr="00073AC8">
        <w:rPr>
          <w:szCs w:val="22"/>
        </w:rPr>
        <w:t>.</w:t>
      </w:r>
      <w:r>
        <w:rPr>
          <w:szCs w:val="22"/>
        </w:rPr>
        <w:t xml:space="preserve"> T</w:t>
      </w:r>
      <w:r w:rsidRPr="00073AC8">
        <w:rPr>
          <w:szCs w:val="22"/>
        </w:rPr>
        <w:t xml:space="preserve">here are </w:t>
      </w:r>
      <w:r>
        <w:rPr>
          <w:szCs w:val="22"/>
        </w:rPr>
        <w:t>seven</w:t>
      </w:r>
      <w:r w:rsidRPr="00073AC8">
        <w:rPr>
          <w:szCs w:val="22"/>
        </w:rPr>
        <w:t xml:space="preserve"> Internet service providers (ISPs) operating in Kabul and 20 ISPs </w:t>
      </w:r>
      <w:r>
        <w:rPr>
          <w:szCs w:val="22"/>
        </w:rPr>
        <w:t>across</w:t>
      </w:r>
      <w:r w:rsidRPr="00073AC8">
        <w:rPr>
          <w:szCs w:val="22"/>
        </w:rPr>
        <w:t xml:space="preserve"> the country</w:t>
      </w:r>
      <w:r>
        <w:rPr>
          <w:szCs w:val="22"/>
        </w:rPr>
        <w:t xml:space="preserve"> currently</w:t>
      </w:r>
      <w:r w:rsidRPr="00073AC8">
        <w:rPr>
          <w:szCs w:val="22"/>
        </w:rPr>
        <w:t>.</w:t>
      </w:r>
      <w:r w:rsidRPr="00073AC8">
        <w:rPr>
          <w:rStyle w:val="FootnoteReference"/>
          <w:szCs w:val="22"/>
        </w:rPr>
        <w:footnoteReference w:id="104"/>
      </w:r>
      <w:r>
        <w:rPr>
          <w:szCs w:val="22"/>
        </w:rPr>
        <w:t xml:space="preserve"> </w:t>
      </w:r>
      <w:r w:rsidRPr="00073AC8">
        <w:rPr>
          <w:szCs w:val="22"/>
        </w:rPr>
        <w:t xml:space="preserve">The </w:t>
      </w:r>
      <w:r>
        <w:rPr>
          <w:szCs w:val="22"/>
        </w:rPr>
        <w:t>g</w:t>
      </w:r>
      <w:r w:rsidRPr="00073AC8">
        <w:rPr>
          <w:szCs w:val="22"/>
        </w:rPr>
        <w:t xml:space="preserve">overnment aims to increase </w:t>
      </w:r>
      <w:r>
        <w:rPr>
          <w:szCs w:val="22"/>
        </w:rPr>
        <w:t xml:space="preserve">household </w:t>
      </w:r>
      <w:r w:rsidRPr="00073AC8">
        <w:rPr>
          <w:szCs w:val="22"/>
        </w:rPr>
        <w:t>broadband access to 50 percent by 2014.</w:t>
      </w:r>
      <w:r>
        <w:rPr>
          <w:szCs w:val="22"/>
        </w:rPr>
        <w:t xml:space="preserve"> </w:t>
      </w:r>
      <w:r w:rsidRPr="00073AC8">
        <w:rPr>
          <w:szCs w:val="22"/>
        </w:rPr>
        <w:t xml:space="preserve">However, </w:t>
      </w:r>
      <w:r>
        <w:rPr>
          <w:szCs w:val="22"/>
        </w:rPr>
        <w:t xml:space="preserve">all of </w:t>
      </w:r>
      <w:r w:rsidRPr="00073AC8">
        <w:rPr>
          <w:szCs w:val="22"/>
        </w:rPr>
        <w:t>the networks are still fragmented</w:t>
      </w:r>
      <w:r>
        <w:rPr>
          <w:szCs w:val="22"/>
        </w:rPr>
        <w:t>, and</w:t>
      </w:r>
      <w:r w:rsidRPr="00073AC8">
        <w:rPr>
          <w:szCs w:val="22"/>
        </w:rPr>
        <w:t xml:space="preserve"> are not licensed to construct wireline retail or backbone networks</w:t>
      </w:r>
      <w:r>
        <w:rPr>
          <w:szCs w:val="22"/>
        </w:rPr>
        <w:t>. This</w:t>
      </w:r>
      <w:r w:rsidRPr="00073AC8">
        <w:rPr>
          <w:szCs w:val="22"/>
        </w:rPr>
        <w:t xml:space="preserve"> limits the speed and quality of service provision to what is attainable over wireless systems.</w:t>
      </w:r>
      <w:r>
        <w:rPr>
          <w:szCs w:val="22"/>
        </w:rPr>
        <w:t xml:space="preserve"> </w:t>
      </w:r>
      <w:r w:rsidRPr="00073AC8">
        <w:rPr>
          <w:szCs w:val="22"/>
        </w:rPr>
        <w:t xml:space="preserve">Internet tariffs </w:t>
      </w:r>
      <w:r>
        <w:rPr>
          <w:szCs w:val="22"/>
        </w:rPr>
        <w:t xml:space="preserve">still </w:t>
      </w:r>
      <w:r w:rsidRPr="00073AC8">
        <w:rPr>
          <w:szCs w:val="22"/>
        </w:rPr>
        <w:t xml:space="preserve">remain high. For instance, </w:t>
      </w:r>
      <w:r>
        <w:rPr>
          <w:szCs w:val="22"/>
        </w:rPr>
        <w:t xml:space="preserve">as of 2011, </w:t>
      </w:r>
      <w:r w:rsidRPr="00073AC8">
        <w:rPr>
          <w:szCs w:val="22"/>
        </w:rPr>
        <w:t xml:space="preserve">Afghan Telecom </w:t>
      </w:r>
      <w:r>
        <w:rPr>
          <w:szCs w:val="22"/>
        </w:rPr>
        <w:t xml:space="preserve">was </w:t>
      </w:r>
      <w:r w:rsidRPr="00073AC8">
        <w:rPr>
          <w:szCs w:val="22"/>
        </w:rPr>
        <w:t xml:space="preserve">offering an ADSL service with a downstream speed of 256kbps at </w:t>
      </w:r>
      <w:r>
        <w:rPr>
          <w:szCs w:val="22"/>
        </w:rPr>
        <w:t>US</w:t>
      </w:r>
      <w:r w:rsidRPr="00073AC8">
        <w:rPr>
          <w:szCs w:val="22"/>
        </w:rPr>
        <w:t>$65 per month</w:t>
      </w:r>
      <w:r>
        <w:rPr>
          <w:szCs w:val="22"/>
        </w:rPr>
        <w:t xml:space="preserve"> – far higher than the regional standard </w:t>
      </w:r>
      <w:r w:rsidRPr="00073AC8">
        <w:rPr>
          <w:szCs w:val="22"/>
        </w:rPr>
        <w:t xml:space="preserve">(Figure </w:t>
      </w:r>
      <w:r>
        <w:rPr>
          <w:szCs w:val="22"/>
        </w:rPr>
        <w:t>3.</w:t>
      </w:r>
      <w:r w:rsidRPr="00073AC8">
        <w:rPr>
          <w:szCs w:val="22"/>
        </w:rPr>
        <w:t>17). As a result, Internet use remains minimal in Afghanistan</w:t>
      </w:r>
      <w:r>
        <w:rPr>
          <w:szCs w:val="22"/>
        </w:rPr>
        <w:t>; the</w:t>
      </w:r>
      <w:r w:rsidRPr="00073AC8">
        <w:rPr>
          <w:szCs w:val="22"/>
        </w:rPr>
        <w:t xml:space="preserve"> TeleGeography database</w:t>
      </w:r>
      <w:r>
        <w:rPr>
          <w:szCs w:val="22"/>
        </w:rPr>
        <w:t xml:space="preserve"> lists</w:t>
      </w:r>
      <w:r w:rsidRPr="00073AC8">
        <w:rPr>
          <w:szCs w:val="22"/>
        </w:rPr>
        <w:t xml:space="preserve"> only </w:t>
      </w:r>
      <w:r>
        <w:rPr>
          <w:szCs w:val="22"/>
        </w:rPr>
        <w:t>4,500</w:t>
      </w:r>
      <w:r w:rsidRPr="00073AC8">
        <w:rPr>
          <w:szCs w:val="22"/>
        </w:rPr>
        <w:t xml:space="preserve"> broadband subscribers in Afghanistan</w:t>
      </w:r>
      <w:r>
        <w:rPr>
          <w:szCs w:val="22"/>
        </w:rPr>
        <w:t xml:space="preserve"> as of March 2012</w:t>
      </w:r>
      <w:r w:rsidRPr="00073AC8">
        <w:rPr>
          <w:szCs w:val="22"/>
        </w:rPr>
        <w:t>.</w:t>
      </w:r>
      <w:r>
        <w:rPr>
          <w:szCs w:val="22"/>
        </w:rPr>
        <w:t xml:space="preserve"> </w:t>
      </w:r>
      <w:r w:rsidRPr="00215069">
        <w:rPr>
          <w:szCs w:val="22"/>
        </w:rPr>
        <w:t xml:space="preserve">Afghan Telecom, which manages the national backbone network, has consistently reduced prices for wholesale connectivity. </w:t>
      </w:r>
      <w:r>
        <w:rPr>
          <w:szCs w:val="22"/>
        </w:rPr>
        <w:t>However, the lack of competition in that market and the disadvantages of being a landlocked country—forcing Afghanistan to source capacity from other operators as opposed to directly from international carriers—have still kept prices relatively high.</w:t>
      </w:r>
    </w:p>
    <w:p w:rsidR="002C070F" w:rsidRPr="00817EDB" w:rsidRDefault="002C070F" w:rsidP="002C070F">
      <w:pPr>
        <w:pStyle w:val="Caption"/>
        <w:tabs>
          <w:tab w:val="center" w:pos="2520"/>
          <w:tab w:val="center" w:pos="6840"/>
        </w:tabs>
        <w:spacing w:after="0"/>
        <w:jc w:val="center"/>
        <w:rPr>
          <w:color w:val="410082" w:themeColor="text1"/>
          <w:sz w:val="22"/>
          <w:szCs w:val="22"/>
        </w:rPr>
      </w:pPr>
      <w:r w:rsidRPr="00817EDB">
        <w:rPr>
          <w:color w:val="410082" w:themeColor="text1"/>
          <w:sz w:val="22"/>
          <w:szCs w:val="22"/>
        </w:rPr>
        <w:t>Figure 3.</w:t>
      </w:r>
      <w:r w:rsidRPr="00817EDB">
        <w:rPr>
          <w:color w:val="410082" w:themeColor="text1"/>
          <w:sz w:val="22"/>
          <w:szCs w:val="22"/>
        </w:rPr>
        <w:fldChar w:fldCharType="begin"/>
      </w:r>
      <w:r w:rsidRPr="00817EDB">
        <w:rPr>
          <w:color w:val="410082" w:themeColor="text1"/>
          <w:sz w:val="22"/>
          <w:szCs w:val="22"/>
        </w:rPr>
        <w:instrText xml:space="preserve"> SEQ Figure \* ARABIC </w:instrText>
      </w:r>
      <w:r w:rsidRPr="00817EDB">
        <w:rPr>
          <w:color w:val="410082" w:themeColor="text1"/>
          <w:sz w:val="22"/>
          <w:szCs w:val="22"/>
        </w:rPr>
        <w:fldChar w:fldCharType="separate"/>
      </w:r>
      <w:r w:rsidR="0080181F">
        <w:rPr>
          <w:noProof/>
          <w:color w:val="410082" w:themeColor="text1"/>
          <w:sz w:val="22"/>
          <w:szCs w:val="22"/>
        </w:rPr>
        <w:t>15</w:t>
      </w:r>
      <w:r w:rsidRPr="00817EDB">
        <w:rPr>
          <w:color w:val="410082" w:themeColor="text1"/>
          <w:sz w:val="22"/>
          <w:szCs w:val="22"/>
        </w:rPr>
        <w:fldChar w:fldCharType="end"/>
      </w:r>
      <w:r w:rsidRPr="00817EDB">
        <w:rPr>
          <w:color w:val="410082" w:themeColor="text1"/>
          <w:sz w:val="22"/>
          <w:szCs w:val="22"/>
        </w:rPr>
        <w:t>: Monthly Fixed Broadband Tariffs</w:t>
      </w:r>
    </w:p>
    <w:p w:rsidR="002C070F" w:rsidRPr="00073AC8" w:rsidRDefault="002C070F" w:rsidP="002C070F">
      <w:pPr>
        <w:pStyle w:val="Caption"/>
        <w:tabs>
          <w:tab w:val="center" w:pos="2520"/>
          <w:tab w:val="center" w:pos="6840"/>
        </w:tabs>
        <w:spacing w:after="0"/>
        <w:jc w:val="center"/>
        <w:rPr>
          <w:sz w:val="22"/>
          <w:szCs w:val="22"/>
        </w:rPr>
      </w:pPr>
      <w:r w:rsidRPr="00F169BF">
        <w:rPr>
          <w:noProof/>
          <w:sz w:val="22"/>
          <w:szCs w:val="22"/>
          <w:lang w:bidi="ar-SA"/>
        </w:rPr>
        <w:drawing>
          <wp:inline distT="0" distB="0" distL="0" distR="0" wp14:anchorId="75D79843" wp14:editId="6AF937C0">
            <wp:extent cx="2796363" cy="2026448"/>
            <wp:effectExtent l="0" t="0" r="4445"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2802545" cy="2030928"/>
                    </a:xfrm>
                    <a:prstGeom prst="rect">
                      <a:avLst/>
                    </a:prstGeom>
                    <a:noFill/>
                    <a:ln w="9525">
                      <a:noFill/>
                      <a:miter lim="800000"/>
                      <a:headEnd/>
                      <a:tailEnd/>
                    </a:ln>
                  </pic:spPr>
                </pic:pic>
              </a:graphicData>
            </a:graphic>
          </wp:inline>
        </w:drawing>
      </w:r>
    </w:p>
    <w:p w:rsidR="002C070F" w:rsidRDefault="002C070F" w:rsidP="002C070F">
      <w:pPr>
        <w:tabs>
          <w:tab w:val="center" w:pos="2520"/>
          <w:tab w:val="center" w:pos="6840"/>
        </w:tabs>
        <w:spacing w:after="0"/>
        <w:jc w:val="center"/>
        <w:rPr>
          <w:sz w:val="20"/>
        </w:rPr>
      </w:pPr>
      <w:r w:rsidRPr="008600B8">
        <w:rPr>
          <w:sz w:val="20"/>
        </w:rPr>
        <w:t>Sources: ITU Yearbook of Statistics</w:t>
      </w:r>
      <w:r>
        <w:rPr>
          <w:sz w:val="20"/>
        </w:rPr>
        <w:t>,</w:t>
      </w:r>
      <w:r w:rsidRPr="008600B8">
        <w:rPr>
          <w:sz w:val="20"/>
        </w:rPr>
        <w:t xml:space="preserve"> 2009; TeleGeography</w:t>
      </w:r>
      <w:r>
        <w:rPr>
          <w:sz w:val="20"/>
        </w:rPr>
        <w:t xml:space="preserve">, </w:t>
      </w:r>
      <w:r w:rsidRPr="008600B8">
        <w:rPr>
          <w:sz w:val="20"/>
        </w:rPr>
        <w:t>2011.</w:t>
      </w:r>
    </w:p>
    <w:p w:rsidR="002C070F" w:rsidRDefault="002C070F" w:rsidP="002C070F">
      <w:pPr>
        <w:tabs>
          <w:tab w:val="center" w:pos="2520"/>
          <w:tab w:val="center" w:pos="6840"/>
        </w:tabs>
        <w:spacing w:after="0"/>
        <w:jc w:val="center"/>
        <w:rPr>
          <w:sz w:val="20"/>
        </w:rPr>
      </w:pPr>
    </w:p>
    <w:p w:rsidR="002C070F" w:rsidRPr="007A0838" w:rsidRDefault="002C070F" w:rsidP="002C070F">
      <w:pPr>
        <w:spacing w:line="240" w:lineRule="auto"/>
        <w:rPr>
          <w:szCs w:val="22"/>
        </w:rPr>
      </w:pPr>
      <w:r w:rsidRPr="00DA04FB">
        <w:rPr>
          <w:b/>
          <w:szCs w:val="22"/>
        </w:rPr>
        <w:t>Telecom services are taxed at a higher rate than other industries</w:t>
      </w:r>
      <w:r>
        <w:rPr>
          <w:szCs w:val="22"/>
        </w:rPr>
        <w:t xml:space="preserve">, which is contributing to higher prices for services.  </w:t>
      </w:r>
      <w:r w:rsidRPr="007A0838">
        <w:rPr>
          <w:szCs w:val="22"/>
        </w:rPr>
        <w:t xml:space="preserve">At present, in addition to paying 20 percent of general corporate income tax, ICT service providers pay a </w:t>
      </w:r>
      <w:r>
        <w:rPr>
          <w:szCs w:val="22"/>
        </w:rPr>
        <w:t xml:space="preserve">10 percent </w:t>
      </w:r>
      <w:r w:rsidRPr="007A0838">
        <w:rPr>
          <w:szCs w:val="22"/>
        </w:rPr>
        <w:t>Business Receipts Tax (BR</w:t>
      </w:r>
      <w:r>
        <w:rPr>
          <w:szCs w:val="22"/>
        </w:rPr>
        <w:t>T), while other “</w:t>
      </w:r>
      <w:r w:rsidRPr="007A0838">
        <w:rPr>
          <w:szCs w:val="22"/>
        </w:rPr>
        <w:t>general</w:t>
      </w:r>
      <w:r>
        <w:rPr>
          <w:szCs w:val="22"/>
        </w:rPr>
        <w:t>”</w:t>
      </w:r>
      <w:r w:rsidRPr="007A0838">
        <w:rPr>
          <w:szCs w:val="22"/>
        </w:rPr>
        <w:t xml:space="preserve"> businesses</w:t>
      </w:r>
      <w:r>
        <w:rPr>
          <w:szCs w:val="22"/>
        </w:rPr>
        <w:t xml:space="preserve"> are subject to </w:t>
      </w:r>
      <w:r w:rsidRPr="007A0838">
        <w:rPr>
          <w:szCs w:val="22"/>
        </w:rPr>
        <w:t xml:space="preserve"> 2 percent</w:t>
      </w:r>
      <w:r>
        <w:rPr>
          <w:szCs w:val="22"/>
        </w:rPr>
        <w:t xml:space="preserve">.  Thus, </w:t>
      </w:r>
      <w:r w:rsidRPr="007A0838">
        <w:rPr>
          <w:szCs w:val="22"/>
        </w:rPr>
        <w:t xml:space="preserve">a tax reduction could </w:t>
      </w:r>
      <w:r>
        <w:rPr>
          <w:szCs w:val="22"/>
        </w:rPr>
        <w:t xml:space="preserve">be a way to </w:t>
      </w:r>
      <w:r w:rsidRPr="007A0838">
        <w:rPr>
          <w:szCs w:val="22"/>
        </w:rPr>
        <w:t>foster competitiveness within the sector</w:t>
      </w:r>
      <w:r>
        <w:rPr>
          <w:szCs w:val="22"/>
        </w:rPr>
        <w:t xml:space="preserve"> and reduce prices.  There is an opportunity to simplify and even reduce some of the charges and fees levied on various telecommunications providers including ISPs.  </w:t>
      </w:r>
      <w:r w:rsidRPr="007A0838">
        <w:rPr>
          <w:szCs w:val="22"/>
        </w:rPr>
        <w:t xml:space="preserve">While the government may forego revenues </w:t>
      </w:r>
      <w:r>
        <w:rPr>
          <w:szCs w:val="22"/>
        </w:rPr>
        <w:t xml:space="preserve">by </w:t>
      </w:r>
      <w:r w:rsidRPr="007A0838">
        <w:rPr>
          <w:szCs w:val="22"/>
        </w:rPr>
        <w:t>reducing the BRT and</w:t>
      </w:r>
      <w:r>
        <w:rPr>
          <w:szCs w:val="22"/>
        </w:rPr>
        <w:t>/or</w:t>
      </w:r>
      <w:r w:rsidRPr="007A0838">
        <w:rPr>
          <w:szCs w:val="22"/>
        </w:rPr>
        <w:t xml:space="preserve"> customs duties</w:t>
      </w:r>
      <w:r>
        <w:rPr>
          <w:szCs w:val="22"/>
        </w:rPr>
        <w:t>,</w:t>
      </w:r>
      <w:r w:rsidRPr="007A0838">
        <w:rPr>
          <w:szCs w:val="22"/>
        </w:rPr>
        <w:t xml:space="preserve"> in the</w:t>
      </w:r>
      <w:r>
        <w:rPr>
          <w:szCs w:val="22"/>
        </w:rPr>
        <w:t xml:space="preserve"> long run,</w:t>
      </w:r>
      <w:r w:rsidRPr="007A0838">
        <w:rPr>
          <w:szCs w:val="22"/>
        </w:rPr>
        <w:t xml:space="preserve"> th</w:t>
      </w:r>
      <w:r>
        <w:rPr>
          <w:szCs w:val="22"/>
        </w:rPr>
        <w:t xml:space="preserve">e </w:t>
      </w:r>
      <w:r w:rsidRPr="007A0838">
        <w:rPr>
          <w:szCs w:val="22"/>
        </w:rPr>
        <w:t xml:space="preserve">incentive </w:t>
      </w:r>
      <w:r>
        <w:rPr>
          <w:szCs w:val="22"/>
        </w:rPr>
        <w:t xml:space="preserve">could </w:t>
      </w:r>
      <w:r w:rsidRPr="007A0838">
        <w:rPr>
          <w:szCs w:val="22"/>
        </w:rPr>
        <w:t xml:space="preserve">facilitate further development of the industry </w:t>
      </w:r>
      <w:r>
        <w:rPr>
          <w:szCs w:val="22"/>
        </w:rPr>
        <w:t xml:space="preserve">and </w:t>
      </w:r>
      <w:r w:rsidRPr="007A0838">
        <w:rPr>
          <w:szCs w:val="22"/>
        </w:rPr>
        <w:t xml:space="preserve">the government could collect more </w:t>
      </w:r>
      <w:r>
        <w:rPr>
          <w:szCs w:val="22"/>
        </w:rPr>
        <w:t xml:space="preserve">from broadening the tax base. </w:t>
      </w:r>
    </w:p>
    <w:p w:rsidR="002C070F" w:rsidRDefault="002C070F" w:rsidP="002C070F">
      <w:pPr>
        <w:rPr>
          <w:rFonts w:eastAsiaTheme="majorEastAsia"/>
        </w:rPr>
      </w:pPr>
      <w:r w:rsidRPr="001C1B15">
        <w:rPr>
          <w:rFonts w:eastAsiaTheme="majorEastAsia"/>
          <w:b/>
        </w:rPr>
        <w:t xml:space="preserve">ATRA will need to consider </w:t>
      </w:r>
      <w:r>
        <w:rPr>
          <w:rFonts w:eastAsiaTheme="majorEastAsia"/>
          <w:b/>
        </w:rPr>
        <w:t xml:space="preserve">competition and coverage boosting measures such as </w:t>
      </w:r>
      <w:r w:rsidRPr="001C1B15">
        <w:rPr>
          <w:rFonts w:eastAsiaTheme="majorEastAsia"/>
          <w:b/>
        </w:rPr>
        <w:t xml:space="preserve">mobile number portability (MNP) </w:t>
      </w:r>
      <w:r>
        <w:rPr>
          <w:rFonts w:eastAsiaTheme="majorEastAsia"/>
          <w:b/>
        </w:rPr>
        <w:t>and domestic roaming</w:t>
      </w:r>
      <w:r w:rsidRPr="001C1B15">
        <w:rPr>
          <w:rFonts w:eastAsiaTheme="majorEastAsia"/>
        </w:rPr>
        <w:t xml:space="preserve">.  Many countries delay its implementation mostly because incumbent operators complain about the costs of additional facilities or technical incompatibility. It is essential to curb the costs and duration required for porting numbers, which should be less than US$10, and take </w:t>
      </w:r>
      <w:r>
        <w:rPr>
          <w:rFonts w:eastAsiaTheme="majorEastAsia"/>
        </w:rPr>
        <w:t>less</w:t>
      </w:r>
      <w:r w:rsidRPr="001C1B15">
        <w:rPr>
          <w:rFonts w:eastAsiaTheme="majorEastAsia"/>
        </w:rPr>
        <w:t xml:space="preserve"> than five days</w:t>
      </w:r>
      <w:r>
        <w:rPr>
          <w:rFonts w:eastAsiaTheme="majorEastAsia"/>
        </w:rPr>
        <w:t xml:space="preserve"> to make effective</w:t>
      </w:r>
      <w:r w:rsidRPr="001C1B15">
        <w:rPr>
          <w:rFonts w:eastAsiaTheme="majorEastAsia"/>
        </w:rPr>
        <w:t xml:space="preserve">. </w:t>
      </w:r>
      <w:r>
        <w:rPr>
          <w:rFonts w:eastAsiaTheme="majorEastAsia"/>
        </w:rPr>
        <w:t>D</w:t>
      </w:r>
      <w:r w:rsidRPr="00CD2B2C">
        <w:rPr>
          <w:rFonts w:eastAsiaTheme="majorEastAsia"/>
        </w:rPr>
        <w:t>omestic roaming</w:t>
      </w:r>
      <w:r>
        <w:rPr>
          <w:rFonts w:eastAsiaTheme="majorEastAsia"/>
        </w:rPr>
        <w:t xml:space="preserve"> could help boost coverage in areas where only one mobile network is present. Supporting discussions among mobile networks, the regulator can encourage operators to share their network and, hence, </w:t>
      </w:r>
      <w:r w:rsidRPr="00CD2B2C">
        <w:rPr>
          <w:rFonts w:eastAsiaTheme="majorEastAsia"/>
        </w:rPr>
        <w:t xml:space="preserve">extend coverage into </w:t>
      </w:r>
      <w:r>
        <w:rPr>
          <w:rFonts w:eastAsiaTheme="majorEastAsia"/>
        </w:rPr>
        <w:t xml:space="preserve">poorly covered </w:t>
      </w:r>
      <w:r w:rsidRPr="00CD2B2C">
        <w:rPr>
          <w:rFonts w:eastAsiaTheme="majorEastAsia"/>
        </w:rPr>
        <w:t xml:space="preserve">areas. </w:t>
      </w:r>
      <w:r>
        <w:rPr>
          <w:rFonts w:eastAsiaTheme="majorEastAsia"/>
        </w:rPr>
        <w:t xml:space="preserve"> Setting up such an arrangement will need to be transparent and consultative, ensuring that it does not favor operators that can “free ride” on others’ networks without sharing their own.</w:t>
      </w:r>
    </w:p>
    <w:p w:rsidR="002C070F" w:rsidRPr="00073AC8" w:rsidRDefault="002C070F" w:rsidP="002C070F">
      <w:pPr>
        <w:tabs>
          <w:tab w:val="left" w:pos="540"/>
        </w:tabs>
        <w:spacing w:before="200" w:after="0"/>
        <w:rPr>
          <w:szCs w:val="22"/>
        </w:rPr>
      </w:pPr>
      <w:r w:rsidRPr="00073AC8">
        <w:rPr>
          <w:b/>
          <w:szCs w:val="22"/>
        </w:rPr>
        <w:t>The Ministry of Communication</w:t>
      </w:r>
      <w:r>
        <w:rPr>
          <w:b/>
          <w:szCs w:val="22"/>
        </w:rPr>
        <w:t>s</w:t>
      </w:r>
      <w:r w:rsidRPr="00073AC8">
        <w:rPr>
          <w:b/>
          <w:szCs w:val="22"/>
        </w:rPr>
        <w:t xml:space="preserve"> </w:t>
      </w:r>
      <w:r>
        <w:rPr>
          <w:b/>
          <w:szCs w:val="22"/>
        </w:rPr>
        <w:t>&amp;</w:t>
      </w:r>
      <w:r w:rsidRPr="00073AC8">
        <w:rPr>
          <w:b/>
          <w:szCs w:val="22"/>
        </w:rPr>
        <w:t xml:space="preserve"> IT (MCIT) supervises the overall ICT sector and develops the national sector development strategy</w:t>
      </w:r>
      <w:r w:rsidRPr="00073AC8">
        <w:rPr>
          <w:szCs w:val="22"/>
        </w:rPr>
        <w:t xml:space="preserve">. In </w:t>
      </w:r>
      <w:r>
        <w:rPr>
          <w:szCs w:val="22"/>
        </w:rPr>
        <w:t xml:space="preserve">the </w:t>
      </w:r>
      <w:r w:rsidRPr="00073AC8">
        <w:rPr>
          <w:szCs w:val="22"/>
        </w:rPr>
        <w:t xml:space="preserve">2008 Afghanistan National Development Strategy (ANDS), </w:t>
      </w:r>
      <w:r>
        <w:rPr>
          <w:szCs w:val="22"/>
        </w:rPr>
        <w:t xml:space="preserve">the </w:t>
      </w:r>
      <w:r w:rsidRPr="00073AC8">
        <w:rPr>
          <w:szCs w:val="22"/>
        </w:rPr>
        <w:t>MCIT identified ICT as an important strategic</w:t>
      </w:r>
      <w:r>
        <w:rPr>
          <w:b/>
          <w:szCs w:val="22"/>
        </w:rPr>
        <w:t xml:space="preserve"> </w:t>
      </w:r>
      <w:r w:rsidRPr="002E750D">
        <w:rPr>
          <w:szCs w:val="22"/>
        </w:rPr>
        <w:t>sector</w:t>
      </w:r>
      <w:r w:rsidRPr="00073AC8">
        <w:rPr>
          <w:szCs w:val="22"/>
        </w:rPr>
        <w:t xml:space="preserve"> </w:t>
      </w:r>
      <w:r>
        <w:rPr>
          <w:szCs w:val="22"/>
        </w:rPr>
        <w:t xml:space="preserve">through which </w:t>
      </w:r>
      <w:r w:rsidRPr="00073AC8">
        <w:rPr>
          <w:szCs w:val="22"/>
        </w:rPr>
        <w:t xml:space="preserve">to make affordable information and communication services available to everyone. The </w:t>
      </w:r>
      <w:r>
        <w:rPr>
          <w:szCs w:val="22"/>
        </w:rPr>
        <w:t>g</w:t>
      </w:r>
      <w:r w:rsidRPr="00073AC8">
        <w:rPr>
          <w:szCs w:val="22"/>
        </w:rPr>
        <w:t xml:space="preserve">overnment aims </w:t>
      </w:r>
      <w:r>
        <w:rPr>
          <w:szCs w:val="22"/>
        </w:rPr>
        <w:t>to</w:t>
      </w:r>
      <w:r w:rsidRPr="00073AC8">
        <w:rPr>
          <w:szCs w:val="22"/>
        </w:rPr>
        <w:t xml:space="preserve"> increas</w:t>
      </w:r>
      <w:r>
        <w:rPr>
          <w:szCs w:val="22"/>
        </w:rPr>
        <w:t>e</w:t>
      </w:r>
      <w:r w:rsidRPr="00073AC8">
        <w:rPr>
          <w:szCs w:val="22"/>
        </w:rPr>
        <w:t xml:space="preserve"> digital litera</w:t>
      </w:r>
      <w:r>
        <w:rPr>
          <w:szCs w:val="22"/>
        </w:rPr>
        <w:t>c</w:t>
      </w:r>
      <w:r w:rsidRPr="00073AC8">
        <w:rPr>
          <w:szCs w:val="22"/>
        </w:rPr>
        <w:t>y and connection</w:t>
      </w:r>
      <w:r>
        <w:rPr>
          <w:szCs w:val="22"/>
        </w:rPr>
        <w:t>s</w:t>
      </w:r>
      <w:r w:rsidRPr="00073AC8">
        <w:rPr>
          <w:szCs w:val="22"/>
        </w:rPr>
        <w:t xml:space="preserve"> in every village</w:t>
      </w:r>
      <w:r>
        <w:rPr>
          <w:szCs w:val="22"/>
        </w:rPr>
        <w:t>,</w:t>
      </w:r>
      <w:r w:rsidRPr="00073AC8">
        <w:rPr>
          <w:szCs w:val="22"/>
        </w:rPr>
        <w:t xml:space="preserve"> and </w:t>
      </w:r>
      <w:r>
        <w:rPr>
          <w:szCs w:val="22"/>
        </w:rPr>
        <w:t xml:space="preserve">to </w:t>
      </w:r>
      <w:r w:rsidRPr="00073AC8">
        <w:rPr>
          <w:szCs w:val="22"/>
        </w:rPr>
        <w:t xml:space="preserve">foster ICT-enabled businesses and services, </w:t>
      </w:r>
      <w:r>
        <w:rPr>
          <w:szCs w:val="22"/>
        </w:rPr>
        <w:t>and</w:t>
      </w:r>
      <w:r w:rsidRPr="00073AC8">
        <w:rPr>
          <w:szCs w:val="22"/>
        </w:rPr>
        <w:t xml:space="preserve"> the public sector. </w:t>
      </w:r>
    </w:p>
    <w:p w:rsidR="002C070F" w:rsidRPr="00073AC8" w:rsidRDefault="002C070F" w:rsidP="002C070F">
      <w:pPr>
        <w:pStyle w:val="ListParagraph"/>
        <w:tabs>
          <w:tab w:val="left" w:pos="540"/>
        </w:tabs>
        <w:spacing w:after="0"/>
        <w:ind w:left="0"/>
        <w:rPr>
          <w:szCs w:val="22"/>
        </w:rPr>
      </w:pPr>
    </w:p>
    <w:p w:rsidR="002C070F" w:rsidRPr="00073AC8" w:rsidRDefault="002C070F" w:rsidP="002C070F">
      <w:pPr>
        <w:tabs>
          <w:tab w:val="left" w:pos="540"/>
        </w:tabs>
        <w:spacing w:after="0"/>
        <w:rPr>
          <w:szCs w:val="22"/>
        </w:rPr>
      </w:pPr>
      <w:r w:rsidRPr="00073AC8">
        <w:rPr>
          <w:b/>
          <w:szCs w:val="22"/>
        </w:rPr>
        <w:t xml:space="preserve">The </w:t>
      </w:r>
      <w:r>
        <w:rPr>
          <w:b/>
          <w:szCs w:val="22"/>
        </w:rPr>
        <w:t>g</w:t>
      </w:r>
      <w:r w:rsidRPr="00073AC8">
        <w:rPr>
          <w:b/>
          <w:szCs w:val="22"/>
        </w:rPr>
        <w:t>overnment’s “e</w:t>
      </w:r>
      <w:r>
        <w:rPr>
          <w:b/>
          <w:szCs w:val="22"/>
        </w:rPr>
        <w:t>-</w:t>
      </w:r>
      <w:r w:rsidRPr="00073AC8">
        <w:rPr>
          <w:b/>
          <w:szCs w:val="22"/>
        </w:rPr>
        <w:t>Afg</w:t>
      </w:r>
      <w:r>
        <w:rPr>
          <w:b/>
          <w:szCs w:val="22"/>
        </w:rPr>
        <w:t>h</w:t>
      </w:r>
      <w:r w:rsidRPr="00073AC8">
        <w:rPr>
          <w:b/>
          <w:szCs w:val="22"/>
        </w:rPr>
        <w:t xml:space="preserve">anistan” initiative </w:t>
      </w:r>
      <w:r>
        <w:rPr>
          <w:b/>
          <w:szCs w:val="22"/>
        </w:rPr>
        <w:t>was</w:t>
      </w:r>
      <w:r w:rsidRPr="00073AC8">
        <w:rPr>
          <w:b/>
          <w:szCs w:val="22"/>
        </w:rPr>
        <w:t xml:space="preserve"> identified as a </w:t>
      </w:r>
      <w:r>
        <w:rPr>
          <w:b/>
          <w:szCs w:val="22"/>
        </w:rPr>
        <w:t xml:space="preserve">national </w:t>
      </w:r>
      <w:r w:rsidRPr="00073AC8">
        <w:rPr>
          <w:b/>
          <w:szCs w:val="22"/>
        </w:rPr>
        <w:t>priority program in 2010</w:t>
      </w:r>
      <w:r w:rsidRPr="00073AC8">
        <w:rPr>
          <w:szCs w:val="22"/>
        </w:rPr>
        <w:t xml:space="preserve">. The initiative aims </w:t>
      </w:r>
      <w:r>
        <w:rPr>
          <w:szCs w:val="22"/>
        </w:rPr>
        <w:t>to</w:t>
      </w:r>
      <w:r w:rsidRPr="00073AC8">
        <w:rPr>
          <w:szCs w:val="22"/>
        </w:rPr>
        <w:t xml:space="preserve"> creat</w:t>
      </w:r>
      <w:r>
        <w:rPr>
          <w:szCs w:val="22"/>
        </w:rPr>
        <w:t>e</w:t>
      </w:r>
      <w:r w:rsidRPr="00073AC8">
        <w:rPr>
          <w:szCs w:val="22"/>
        </w:rPr>
        <w:t xml:space="preserve"> </w:t>
      </w:r>
      <w:r>
        <w:rPr>
          <w:szCs w:val="22"/>
        </w:rPr>
        <w:t xml:space="preserve">ICT </w:t>
      </w:r>
      <w:r w:rsidRPr="00073AC8">
        <w:rPr>
          <w:szCs w:val="22"/>
        </w:rPr>
        <w:t>jobs, connect 75 percent of the population to the telephony network, and deliver</w:t>
      </w:r>
      <w:r>
        <w:rPr>
          <w:szCs w:val="22"/>
        </w:rPr>
        <w:t xml:space="preserve"> Internet access to</w:t>
      </w:r>
      <w:r w:rsidRPr="00073AC8">
        <w:rPr>
          <w:szCs w:val="22"/>
        </w:rPr>
        <w:t xml:space="preserve"> 25 percent of the population by 2013. To this end, </w:t>
      </w:r>
      <w:r>
        <w:rPr>
          <w:szCs w:val="22"/>
        </w:rPr>
        <w:t>the Government has continued to invest to build the 5</w:t>
      </w:r>
      <w:r w:rsidRPr="00073AC8">
        <w:rPr>
          <w:szCs w:val="22"/>
        </w:rPr>
        <w:t xml:space="preserve">,000 km national </w:t>
      </w:r>
      <w:r>
        <w:rPr>
          <w:szCs w:val="22"/>
        </w:rPr>
        <w:t xml:space="preserve">fiber optic </w:t>
      </w:r>
      <w:r w:rsidRPr="00073AC8">
        <w:rPr>
          <w:szCs w:val="22"/>
        </w:rPr>
        <w:t>backbone network</w:t>
      </w:r>
      <w:r>
        <w:rPr>
          <w:szCs w:val="22"/>
        </w:rPr>
        <w:t>; 2500 km of this network has now been constructed</w:t>
      </w:r>
      <w:r w:rsidRPr="00073AC8">
        <w:rPr>
          <w:szCs w:val="22"/>
        </w:rPr>
        <w:t xml:space="preserve">. </w:t>
      </w:r>
    </w:p>
    <w:p w:rsidR="002C070F" w:rsidRDefault="002C070F" w:rsidP="002C070F">
      <w:pPr>
        <w:tabs>
          <w:tab w:val="left" w:pos="540"/>
        </w:tabs>
        <w:spacing w:before="240"/>
        <w:rPr>
          <w:szCs w:val="22"/>
        </w:rPr>
      </w:pPr>
      <w:r w:rsidRPr="00073AC8">
        <w:rPr>
          <w:b/>
          <w:szCs w:val="22"/>
        </w:rPr>
        <w:t>The regulatory framework</w:t>
      </w:r>
      <w:r>
        <w:rPr>
          <w:b/>
          <w:szCs w:val="22"/>
        </w:rPr>
        <w:t xml:space="preserve"> </w:t>
      </w:r>
      <w:r w:rsidRPr="00073AC8">
        <w:rPr>
          <w:b/>
          <w:szCs w:val="22"/>
        </w:rPr>
        <w:t>supports competition and has enabled significant private investment in telecommunications</w:t>
      </w:r>
      <w:r>
        <w:rPr>
          <w:b/>
          <w:szCs w:val="22"/>
        </w:rPr>
        <w:t xml:space="preserve">. </w:t>
      </w:r>
      <w:r w:rsidRPr="00FB47FD">
        <w:rPr>
          <w:szCs w:val="22"/>
        </w:rPr>
        <w:t>This investment had reached</w:t>
      </w:r>
      <w:r w:rsidRPr="00073AC8">
        <w:rPr>
          <w:szCs w:val="22"/>
        </w:rPr>
        <w:t xml:space="preserve"> </w:t>
      </w:r>
      <w:r>
        <w:rPr>
          <w:szCs w:val="22"/>
        </w:rPr>
        <w:t>US</w:t>
      </w:r>
      <w:r w:rsidRPr="00073AC8">
        <w:rPr>
          <w:szCs w:val="22"/>
        </w:rPr>
        <w:t xml:space="preserve">$1.7 billion </w:t>
      </w:r>
      <w:r>
        <w:rPr>
          <w:szCs w:val="22"/>
        </w:rPr>
        <w:t>by</w:t>
      </w:r>
      <w:r w:rsidRPr="00073AC8">
        <w:rPr>
          <w:szCs w:val="22"/>
        </w:rPr>
        <w:t xml:space="preserve"> mid</w:t>
      </w:r>
      <w:r>
        <w:rPr>
          <w:szCs w:val="22"/>
        </w:rPr>
        <w:t>-</w:t>
      </w:r>
      <w:r w:rsidRPr="00073AC8">
        <w:rPr>
          <w:szCs w:val="22"/>
        </w:rPr>
        <w:t xml:space="preserve">2011. In 2003, an independent regulatory body, </w:t>
      </w:r>
      <w:r>
        <w:rPr>
          <w:szCs w:val="22"/>
        </w:rPr>
        <w:t xml:space="preserve">the </w:t>
      </w:r>
      <w:r w:rsidRPr="00073AC8">
        <w:rPr>
          <w:szCs w:val="22"/>
        </w:rPr>
        <w:t xml:space="preserve">Afghanistan Telecom Regulatory Authority (ATRA), was established </w:t>
      </w:r>
      <w:r>
        <w:rPr>
          <w:szCs w:val="22"/>
        </w:rPr>
        <w:t>by</w:t>
      </w:r>
      <w:r w:rsidRPr="00073AC8">
        <w:rPr>
          <w:szCs w:val="22"/>
        </w:rPr>
        <w:t xml:space="preserve"> </w:t>
      </w:r>
      <w:r>
        <w:rPr>
          <w:szCs w:val="22"/>
        </w:rPr>
        <w:t>P</w:t>
      </w:r>
      <w:r w:rsidRPr="00073AC8">
        <w:rPr>
          <w:szCs w:val="22"/>
        </w:rPr>
        <w:t xml:space="preserve">residential decree. </w:t>
      </w:r>
      <w:r>
        <w:rPr>
          <w:szCs w:val="22"/>
        </w:rPr>
        <w:t xml:space="preserve">While </w:t>
      </w:r>
      <w:r w:rsidRPr="00073AC8">
        <w:rPr>
          <w:szCs w:val="22"/>
        </w:rPr>
        <w:t xml:space="preserve">it functions autonomously, the </w:t>
      </w:r>
      <w:r>
        <w:rPr>
          <w:szCs w:val="22"/>
        </w:rPr>
        <w:t>ATRA b</w:t>
      </w:r>
      <w:r w:rsidRPr="00073AC8">
        <w:rPr>
          <w:szCs w:val="22"/>
        </w:rPr>
        <w:t xml:space="preserve">oard is appointed by the </w:t>
      </w:r>
      <w:r>
        <w:rPr>
          <w:szCs w:val="22"/>
        </w:rPr>
        <w:t>M</w:t>
      </w:r>
      <w:r w:rsidRPr="00073AC8">
        <w:rPr>
          <w:szCs w:val="22"/>
        </w:rPr>
        <w:t xml:space="preserve">inister of Communications &amp; IT. The ATRA is funded </w:t>
      </w:r>
      <w:r>
        <w:rPr>
          <w:szCs w:val="22"/>
        </w:rPr>
        <w:t>through</w:t>
      </w:r>
      <w:r w:rsidRPr="00073AC8">
        <w:rPr>
          <w:szCs w:val="22"/>
        </w:rPr>
        <w:t xml:space="preserve"> regulatory fees </w:t>
      </w:r>
      <w:r>
        <w:rPr>
          <w:szCs w:val="22"/>
        </w:rPr>
        <w:t xml:space="preserve">collected </w:t>
      </w:r>
      <w:r w:rsidRPr="00073AC8">
        <w:rPr>
          <w:szCs w:val="22"/>
        </w:rPr>
        <w:t xml:space="preserve">and its main responsibilities are to (i) issue licenses for the provision of mobile, fixed and other network services and Internet </w:t>
      </w:r>
      <w:r>
        <w:rPr>
          <w:szCs w:val="22"/>
        </w:rPr>
        <w:t>s</w:t>
      </w:r>
      <w:r w:rsidRPr="00073AC8">
        <w:rPr>
          <w:szCs w:val="22"/>
        </w:rPr>
        <w:t xml:space="preserve">ervice </w:t>
      </w:r>
      <w:r>
        <w:rPr>
          <w:szCs w:val="22"/>
        </w:rPr>
        <w:t>p</w:t>
      </w:r>
      <w:r w:rsidRPr="00073AC8">
        <w:rPr>
          <w:szCs w:val="22"/>
        </w:rPr>
        <w:t>roviders</w:t>
      </w:r>
      <w:r>
        <w:rPr>
          <w:szCs w:val="22"/>
        </w:rPr>
        <w:t xml:space="preserve">, </w:t>
      </w:r>
      <w:r w:rsidRPr="00073AC8">
        <w:rPr>
          <w:szCs w:val="22"/>
        </w:rPr>
        <w:t xml:space="preserve">(ii) set rules regarding interconnection between </w:t>
      </w:r>
      <w:r>
        <w:rPr>
          <w:szCs w:val="22"/>
        </w:rPr>
        <w:t>l</w:t>
      </w:r>
      <w:r w:rsidRPr="00073AC8">
        <w:rPr>
          <w:szCs w:val="22"/>
        </w:rPr>
        <w:t xml:space="preserve">icensed </w:t>
      </w:r>
      <w:r>
        <w:rPr>
          <w:szCs w:val="22"/>
        </w:rPr>
        <w:t>o</w:t>
      </w:r>
      <w:r w:rsidRPr="00073AC8">
        <w:rPr>
          <w:szCs w:val="22"/>
        </w:rPr>
        <w:t>perators to ensure that interconnection is available on a fair and non-discriminatory basis</w:t>
      </w:r>
      <w:r>
        <w:rPr>
          <w:szCs w:val="22"/>
        </w:rPr>
        <w:t xml:space="preserve">, </w:t>
      </w:r>
      <w:r w:rsidRPr="00073AC8">
        <w:rPr>
          <w:szCs w:val="22"/>
        </w:rPr>
        <w:t>(iii) regulate tariffs</w:t>
      </w:r>
      <w:r>
        <w:rPr>
          <w:szCs w:val="22"/>
        </w:rPr>
        <w:t>,</w:t>
      </w:r>
      <w:r w:rsidRPr="00073AC8">
        <w:rPr>
          <w:szCs w:val="22"/>
        </w:rPr>
        <w:t xml:space="preserve"> (iv) resolve dispute</w:t>
      </w:r>
      <w:r>
        <w:rPr>
          <w:szCs w:val="22"/>
        </w:rPr>
        <w:t>s</w:t>
      </w:r>
      <w:r w:rsidRPr="00073AC8">
        <w:rPr>
          <w:szCs w:val="22"/>
        </w:rPr>
        <w:t xml:space="preserve"> between service providers</w:t>
      </w:r>
      <w:r>
        <w:rPr>
          <w:szCs w:val="22"/>
        </w:rPr>
        <w:t>,</w:t>
      </w:r>
      <w:r w:rsidRPr="00073AC8">
        <w:rPr>
          <w:szCs w:val="22"/>
        </w:rPr>
        <w:t xml:space="preserve"> and (v) set consumer protection rules and technical standards. </w:t>
      </w:r>
    </w:p>
    <w:p w:rsidR="002C070F" w:rsidRDefault="002C070F" w:rsidP="002C070F">
      <w:pPr>
        <w:spacing w:before="240"/>
        <w:rPr>
          <w:szCs w:val="22"/>
        </w:rPr>
      </w:pPr>
      <w:r w:rsidRPr="0068521A">
        <w:rPr>
          <w:b/>
          <w:szCs w:val="22"/>
        </w:rPr>
        <w:t xml:space="preserve">To ensure continued open access to the national backbone network irrespective of ownership, the Government </w:t>
      </w:r>
      <w:r>
        <w:rPr>
          <w:b/>
          <w:szCs w:val="22"/>
        </w:rPr>
        <w:t>has defined</w:t>
      </w:r>
      <w:r w:rsidRPr="0068521A">
        <w:rPr>
          <w:b/>
          <w:szCs w:val="22"/>
        </w:rPr>
        <w:t xml:space="preserve"> </w:t>
      </w:r>
      <w:r>
        <w:rPr>
          <w:b/>
          <w:szCs w:val="22"/>
        </w:rPr>
        <w:t xml:space="preserve">a </w:t>
      </w:r>
      <w:r w:rsidRPr="0068521A">
        <w:rPr>
          <w:b/>
          <w:szCs w:val="22"/>
        </w:rPr>
        <w:t>polic</w:t>
      </w:r>
      <w:r>
        <w:rPr>
          <w:b/>
          <w:szCs w:val="22"/>
        </w:rPr>
        <w:t>y and now needs to have</w:t>
      </w:r>
      <w:r w:rsidRPr="0068521A">
        <w:rPr>
          <w:b/>
          <w:szCs w:val="22"/>
        </w:rPr>
        <w:t xml:space="preserve"> regulations that guarantee competitive access at reasonable prices</w:t>
      </w:r>
      <w:r w:rsidRPr="0068521A">
        <w:rPr>
          <w:szCs w:val="22"/>
        </w:rPr>
        <w:t>. “Open access” refers to a policy that allows multiple downstream competitors to share an upstream bottleneck facility</w:t>
      </w:r>
      <w:r>
        <w:rPr>
          <w:szCs w:val="22"/>
        </w:rPr>
        <w:t>, which</w:t>
      </w:r>
      <w:r w:rsidRPr="0068521A">
        <w:rPr>
          <w:szCs w:val="22"/>
        </w:rPr>
        <w:t xml:space="preserve"> is a</w:t>
      </w:r>
      <w:r>
        <w:rPr>
          <w:szCs w:val="22"/>
        </w:rPr>
        <w:t>n</w:t>
      </w:r>
      <w:r w:rsidRPr="0068521A">
        <w:rPr>
          <w:szCs w:val="22"/>
        </w:rPr>
        <w:t xml:space="preserve"> input for services provided by downstream competitors. The NBN is a strategic national resource, critical to provide affordable and high quality access for all telecommunications providers in the country. The future development of the Internet market in Afghanistan will need continued affordability in the wholesale market for competition and growth in the retail market. Moreover, the NBN is being constructed using public funds and will likely remain the largest optical fiber network in Afghanistan for some years.</w:t>
      </w:r>
      <w:r>
        <w:rPr>
          <w:szCs w:val="22"/>
        </w:rPr>
        <w:t xml:space="preserve"> </w:t>
      </w:r>
      <w:r w:rsidRPr="0068521A">
        <w:rPr>
          <w:szCs w:val="22"/>
        </w:rPr>
        <w:t xml:space="preserve"> It has the majority of market share in subscriptions, capacity, and revenues in the wholesale market and a dominant position in the international market. </w:t>
      </w:r>
      <w:r>
        <w:rPr>
          <w:szCs w:val="22"/>
        </w:rPr>
        <w:t xml:space="preserve">Therefore, </w:t>
      </w:r>
      <w:r w:rsidRPr="0068521A">
        <w:rPr>
          <w:szCs w:val="22"/>
        </w:rPr>
        <w:t xml:space="preserve">access to </w:t>
      </w:r>
      <w:r>
        <w:rPr>
          <w:szCs w:val="22"/>
        </w:rPr>
        <w:t xml:space="preserve">the network </w:t>
      </w:r>
      <w:r w:rsidRPr="0068521A">
        <w:rPr>
          <w:szCs w:val="22"/>
        </w:rPr>
        <w:t xml:space="preserve">should be open to both private and public actors. </w:t>
      </w:r>
      <w:r>
        <w:rPr>
          <w:szCs w:val="22"/>
        </w:rPr>
        <w:t xml:space="preserve"> </w:t>
      </w:r>
      <w:r w:rsidRPr="0068521A">
        <w:rPr>
          <w:szCs w:val="22"/>
        </w:rPr>
        <w:t>This will ensure capacity will be available to competitive service providers on a non-discriminatory basis at transparent and cost-based tariffs and serves national development objectives.</w:t>
      </w:r>
      <w:r>
        <w:rPr>
          <w:szCs w:val="22"/>
        </w:rPr>
        <w:t xml:space="preserve"> The MCIT issued an open access policy in July 2012 and now ATRA will need to develop transparent and robust regulations to implement that policy.</w:t>
      </w:r>
    </w:p>
    <w:p w:rsidR="002C070F" w:rsidRPr="00AC190F" w:rsidRDefault="002C070F" w:rsidP="002C070F">
      <w:pPr>
        <w:spacing w:before="240"/>
        <w:rPr>
          <w:szCs w:val="22"/>
        </w:rPr>
      </w:pPr>
      <w:r w:rsidRPr="007977CF">
        <w:rPr>
          <w:b/>
          <w:szCs w:val="22"/>
        </w:rPr>
        <w:t>The</w:t>
      </w:r>
      <w:r>
        <w:rPr>
          <w:b/>
          <w:szCs w:val="22"/>
        </w:rPr>
        <w:t xml:space="preserve"> </w:t>
      </w:r>
      <w:r w:rsidRPr="007977CF">
        <w:rPr>
          <w:b/>
          <w:szCs w:val="22"/>
        </w:rPr>
        <w:t>e</w:t>
      </w:r>
      <w:r w:rsidRPr="00AC190F">
        <w:rPr>
          <w:b/>
          <w:szCs w:val="22"/>
        </w:rPr>
        <w:t xml:space="preserve">-Government initiatives and demand-side measures should be expanded. </w:t>
      </w:r>
      <w:r w:rsidRPr="00AC190F">
        <w:rPr>
          <w:szCs w:val="22"/>
        </w:rPr>
        <w:t>Realizing the government’s ambitious broadband strategy will require a boost in the demand for broadband-based ICT services. In order to increase broadband penetration to 50 percent by 2014, users need Internet literacy and greater awareness of the usefulness of ICT.  The e-government initiative and e-bidding or e-procurement could generate new demand for ICT services. This has great potential in Afghanistan because its public procurement market is estimated to be about 10-15 percent of GDP.</w:t>
      </w:r>
      <w:r w:rsidRPr="00AC190F">
        <w:rPr>
          <w:szCs w:val="22"/>
          <w:vertAlign w:val="superscript"/>
        </w:rPr>
        <w:footnoteReference w:id="105"/>
      </w:r>
      <w:r w:rsidRPr="00AC190F">
        <w:rPr>
          <w:szCs w:val="22"/>
        </w:rPr>
        <w:t xml:space="preserve"> E-procurement would also increase transparency, reduce public procurement costs, and prevent collusive bidding and corruption. Broadband technologies can be used to support e-education and e-training in the education sector and for other public services, such as tax payment and registration services. The creation of an overall broadband ecosystem of affordable and high quality network services, the availability of locally relevant applications, and local content and services will all serve to foster greater demand.</w:t>
      </w:r>
    </w:p>
    <w:p w:rsidR="002C070F" w:rsidRPr="00FB47FD" w:rsidRDefault="002C070F" w:rsidP="002C070F">
      <w:pPr>
        <w:pStyle w:val="Heading2"/>
      </w:pPr>
      <w:bookmarkStart w:id="319" w:name="_Toc327208460"/>
      <w:bookmarkStart w:id="320" w:name="_Toc348451713"/>
      <w:r w:rsidRPr="00FB47FD">
        <w:t>Opportunities and recommendations</w:t>
      </w:r>
      <w:bookmarkEnd w:id="319"/>
      <w:bookmarkEnd w:id="320"/>
      <w:r w:rsidRPr="00FB47FD">
        <w:t xml:space="preserve"> </w:t>
      </w:r>
    </w:p>
    <w:p w:rsidR="002C070F" w:rsidRPr="00073AC8" w:rsidRDefault="002C070F" w:rsidP="002C070F">
      <w:pPr>
        <w:tabs>
          <w:tab w:val="left" w:pos="540"/>
        </w:tabs>
        <w:spacing w:after="240"/>
        <w:rPr>
          <w:szCs w:val="22"/>
        </w:rPr>
      </w:pPr>
      <w:r w:rsidRPr="00073AC8">
        <w:rPr>
          <w:szCs w:val="22"/>
        </w:rPr>
        <w:t xml:space="preserve">Afghanistan </w:t>
      </w:r>
      <w:r>
        <w:rPr>
          <w:szCs w:val="22"/>
        </w:rPr>
        <w:t xml:space="preserve">has the opportunity </w:t>
      </w:r>
      <w:r w:rsidRPr="00073AC8">
        <w:rPr>
          <w:szCs w:val="22"/>
        </w:rPr>
        <w:t xml:space="preserve">to capitalize on </w:t>
      </w:r>
      <w:r>
        <w:rPr>
          <w:szCs w:val="22"/>
        </w:rPr>
        <w:t>its</w:t>
      </w:r>
      <w:r w:rsidRPr="00073AC8">
        <w:rPr>
          <w:szCs w:val="22"/>
        </w:rPr>
        <w:t xml:space="preserve"> progress and leapfrog to new </w:t>
      </w:r>
      <w:r>
        <w:rPr>
          <w:szCs w:val="22"/>
        </w:rPr>
        <w:t xml:space="preserve">technologies that help build </w:t>
      </w:r>
      <w:r w:rsidRPr="00073AC8">
        <w:rPr>
          <w:szCs w:val="22"/>
        </w:rPr>
        <w:t>knowledge</w:t>
      </w:r>
      <w:r>
        <w:rPr>
          <w:szCs w:val="22"/>
        </w:rPr>
        <w:t>-</w:t>
      </w:r>
      <w:r w:rsidRPr="00073AC8">
        <w:rPr>
          <w:szCs w:val="22"/>
        </w:rPr>
        <w:t xml:space="preserve"> and service</w:t>
      </w:r>
      <w:r>
        <w:rPr>
          <w:szCs w:val="22"/>
        </w:rPr>
        <w:t>-</w:t>
      </w:r>
      <w:r w:rsidRPr="00073AC8">
        <w:rPr>
          <w:szCs w:val="22"/>
        </w:rPr>
        <w:t>oriented econom</w:t>
      </w:r>
      <w:r>
        <w:rPr>
          <w:szCs w:val="22"/>
        </w:rPr>
        <w:t>ic activities</w:t>
      </w:r>
      <w:r w:rsidRPr="00073AC8">
        <w:rPr>
          <w:szCs w:val="22"/>
        </w:rPr>
        <w:t xml:space="preserve">. Cheaper and </w:t>
      </w:r>
      <w:r>
        <w:rPr>
          <w:szCs w:val="22"/>
        </w:rPr>
        <w:t xml:space="preserve">more </w:t>
      </w:r>
      <w:r w:rsidRPr="00073AC8">
        <w:rPr>
          <w:szCs w:val="22"/>
        </w:rPr>
        <w:t xml:space="preserve">advanced ICT services will help to improve competitiveness of the </w:t>
      </w:r>
      <w:r>
        <w:rPr>
          <w:szCs w:val="22"/>
        </w:rPr>
        <w:t>overall</w:t>
      </w:r>
      <w:r w:rsidRPr="00073AC8">
        <w:rPr>
          <w:szCs w:val="22"/>
        </w:rPr>
        <w:t xml:space="preserve"> economy. </w:t>
      </w:r>
      <w:r>
        <w:rPr>
          <w:szCs w:val="22"/>
        </w:rPr>
        <w:t>T</w:t>
      </w:r>
      <w:r w:rsidRPr="00073AC8">
        <w:rPr>
          <w:szCs w:val="22"/>
        </w:rPr>
        <w:t>his</w:t>
      </w:r>
      <w:r>
        <w:rPr>
          <w:szCs w:val="22"/>
        </w:rPr>
        <w:t xml:space="preserve"> will require lowering </w:t>
      </w:r>
      <w:r w:rsidRPr="00073AC8">
        <w:rPr>
          <w:szCs w:val="22"/>
        </w:rPr>
        <w:t>ICT tariffs</w:t>
      </w:r>
      <w:r>
        <w:rPr>
          <w:szCs w:val="22"/>
        </w:rPr>
        <w:t xml:space="preserve"> and</w:t>
      </w:r>
      <w:r w:rsidRPr="00073AC8">
        <w:rPr>
          <w:szCs w:val="22"/>
        </w:rPr>
        <w:t xml:space="preserve"> </w:t>
      </w:r>
      <w:r>
        <w:rPr>
          <w:szCs w:val="22"/>
        </w:rPr>
        <w:t xml:space="preserve">creating the conditions for greater competition and </w:t>
      </w:r>
      <w:r w:rsidRPr="00E24DDE">
        <w:rPr>
          <w:szCs w:val="22"/>
        </w:rPr>
        <w:t>innovatio</w:t>
      </w:r>
      <w:r>
        <w:rPr>
          <w:szCs w:val="22"/>
        </w:rPr>
        <w:t>n in products and services</w:t>
      </w:r>
      <w:r w:rsidRPr="00073AC8">
        <w:rPr>
          <w:szCs w:val="22"/>
        </w:rPr>
        <w:t xml:space="preserve">. </w:t>
      </w:r>
      <w:r>
        <w:rPr>
          <w:szCs w:val="22"/>
        </w:rPr>
        <w:t>Specifically:</w:t>
      </w:r>
    </w:p>
    <w:p w:rsidR="002C070F" w:rsidRDefault="002C070F" w:rsidP="002C070F">
      <w:pPr>
        <w:tabs>
          <w:tab w:val="left" w:pos="540"/>
        </w:tabs>
        <w:spacing w:after="0"/>
        <w:rPr>
          <w:szCs w:val="22"/>
        </w:rPr>
      </w:pPr>
      <w:r w:rsidRPr="00CA0E41">
        <w:rPr>
          <w:b/>
          <w:szCs w:val="22"/>
        </w:rPr>
        <w:t>Lower ICT tariffs</w:t>
      </w:r>
      <w:r w:rsidRPr="00CA0E41">
        <w:rPr>
          <w:szCs w:val="22"/>
        </w:rPr>
        <w:t xml:space="preserve">. To facilitate tariff reduction in ICT, it is essential to keep competitive pressure in the market. To this end, the government should focus on </w:t>
      </w:r>
      <w:r>
        <w:rPr>
          <w:szCs w:val="22"/>
        </w:rPr>
        <w:t>two</w:t>
      </w:r>
      <w:r w:rsidRPr="00CA0E41">
        <w:rPr>
          <w:szCs w:val="22"/>
        </w:rPr>
        <w:t xml:space="preserve"> issues: (i) </w:t>
      </w:r>
      <w:r>
        <w:rPr>
          <w:szCs w:val="22"/>
        </w:rPr>
        <w:t xml:space="preserve">enabling greater competition by </w:t>
      </w:r>
      <w:r w:rsidRPr="00CA0E41">
        <w:rPr>
          <w:szCs w:val="22"/>
        </w:rPr>
        <w:t xml:space="preserve">unifying the licensing regime, </w:t>
      </w:r>
      <w:r>
        <w:rPr>
          <w:szCs w:val="22"/>
        </w:rPr>
        <w:t>and (ii) implementing the “open access” policy.</w:t>
      </w:r>
      <w:r w:rsidRPr="00CA0E41">
        <w:rPr>
          <w:szCs w:val="22"/>
        </w:rPr>
        <w:t xml:space="preserve"> </w:t>
      </w:r>
    </w:p>
    <w:p w:rsidR="002C070F" w:rsidRPr="00CA0E41" w:rsidRDefault="002C070F" w:rsidP="002C070F">
      <w:pPr>
        <w:tabs>
          <w:tab w:val="left" w:pos="540"/>
        </w:tabs>
        <w:spacing w:after="0"/>
        <w:rPr>
          <w:szCs w:val="22"/>
        </w:rPr>
      </w:pPr>
    </w:p>
    <w:p w:rsidR="002C070F" w:rsidRDefault="002C070F" w:rsidP="002C070F">
      <w:r w:rsidRPr="00740390">
        <w:rPr>
          <w:b/>
          <w:szCs w:val="22"/>
        </w:rPr>
        <w:t xml:space="preserve">Reform licensing to enable greater competition. </w:t>
      </w:r>
      <w:r w:rsidRPr="00740390">
        <w:rPr>
          <w:szCs w:val="22"/>
        </w:rPr>
        <w:t xml:space="preserve">The </w:t>
      </w:r>
      <w:r>
        <w:rPr>
          <w:szCs w:val="22"/>
        </w:rPr>
        <w:t xml:space="preserve">recent </w:t>
      </w:r>
      <w:r w:rsidRPr="00740390">
        <w:rPr>
          <w:szCs w:val="22"/>
        </w:rPr>
        <w:t>issuance of new licenses that address earlier differences among GSM license terms and also authorize the introduction of broadband wireless services can boost the level of competition.  T</w:t>
      </w:r>
      <w:r>
        <w:t xml:space="preserve">he Government could now consider unifying </w:t>
      </w:r>
      <w:r w:rsidRPr="005968C7">
        <w:t xml:space="preserve">licenses </w:t>
      </w:r>
      <w:r>
        <w:t>to make them technology and service neutral</w:t>
      </w:r>
      <w:r w:rsidRPr="00073AC8">
        <w:t>.</w:t>
      </w:r>
      <w:r>
        <w:t xml:space="preserve"> This will also encourage service providers to develop innovative services and products that leverage advanced technologies.  The license award process should be transparent, competitive, and seek to balance the objectives of revenue-generation with improving access to affordable and high-quality ICT services for all Afghans. Promoting competition and coverage boosting measures such as number portability and domestic roaming will be important for continued growth.</w:t>
      </w:r>
    </w:p>
    <w:p w:rsidR="002C070F" w:rsidRPr="00740390" w:rsidRDefault="002C070F" w:rsidP="002C070F">
      <w:pPr>
        <w:tabs>
          <w:tab w:val="left" w:pos="540"/>
        </w:tabs>
        <w:spacing w:after="0"/>
        <w:rPr>
          <w:szCs w:val="22"/>
        </w:rPr>
      </w:pPr>
      <w:r w:rsidRPr="00740390">
        <w:rPr>
          <w:b/>
          <w:szCs w:val="22"/>
        </w:rPr>
        <w:t xml:space="preserve">To ensure continued open access to the national backbone network irrespective of ownership, </w:t>
      </w:r>
      <w:r>
        <w:rPr>
          <w:b/>
          <w:szCs w:val="22"/>
        </w:rPr>
        <w:t xml:space="preserve">ATRA should focus on implementing </w:t>
      </w:r>
      <w:r w:rsidRPr="00740390">
        <w:rPr>
          <w:b/>
          <w:szCs w:val="22"/>
        </w:rPr>
        <w:t xml:space="preserve">the </w:t>
      </w:r>
      <w:r>
        <w:rPr>
          <w:b/>
          <w:szCs w:val="22"/>
        </w:rPr>
        <w:t>Ministry’s</w:t>
      </w:r>
      <w:r w:rsidRPr="00740390">
        <w:rPr>
          <w:b/>
          <w:szCs w:val="22"/>
        </w:rPr>
        <w:t xml:space="preserve"> “open </w:t>
      </w:r>
      <w:r>
        <w:rPr>
          <w:b/>
          <w:szCs w:val="22"/>
        </w:rPr>
        <w:t>a</w:t>
      </w:r>
      <w:r w:rsidRPr="00740390">
        <w:rPr>
          <w:b/>
          <w:szCs w:val="22"/>
        </w:rPr>
        <w:t>ccess” policy</w:t>
      </w:r>
      <w:r w:rsidRPr="00740390">
        <w:rPr>
          <w:szCs w:val="22"/>
        </w:rPr>
        <w:t xml:space="preserve">.  </w:t>
      </w:r>
      <w:r>
        <w:rPr>
          <w:szCs w:val="22"/>
        </w:rPr>
        <w:t>O</w:t>
      </w:r>
      <w:r w:rsidRPr="00740390">
        <w:rPr>
          <w:szCs w:val="22"/>
        </w:rPr>
        <w:t xml:space="preserve">pen access to the backbone network at transparent and fair prices is essential for the sector’s future development. This will ensure capacity will be available to competitive service providers on a non-discriminatory basis at transparent and cost-based tariffs and serves national development objectives.  </w:t>
      </w:r>
      <w:r>
        <w:rPr>
          <w:szCs w:val="22"/>
        </w:rPr>
        <w:t>ATRA regulations will implement the policy and will ensure access to the backbone remains non-discriminatory, transparent, and cost-based.</w:t>
      </w:r>
    </w:p>
    <w:p w:rsidR="002C070F" w:rsidRPr="00073AC8" w:rsidRDefault="002C070F" w:rsidP="002C070F">
      <w:pPr>
        <w:pStyle w:val="Heading2"/>
        <w:spacing w:after="0" w:line="276" w:lineRule="auto"/>
      </w:pPr>
      <w:bookmarkStart w:id="321" w:name="_Toc327208461"/>
      <w:bookmarkStart w:id="322" w:name="_Toc348451714"/>
      <w:r>
        <w:t xml:space="preserve">C: </w:t>
      </w:r>
      <w:r w:rsidRPr="00073AC8">
        <w:t>Road</w:t>
      </w:r>
      <w:r>
        <w:t>s</w:t>
      </w:r>
      <w:bookmarkEnd w:id="321"/>
      <w:bookmarkEnd w:id="322"/>
      <w:r w:rsidRPr="00073AC8">
        <w:t xml:space="preserve"> </w:t>
      </w:r>
    </w:p>
    <w:p w:rsidR="002C070F" w:rsidRPr="00073AC8" w:rsidRDefault="002C070F" w:rsidP="002C070F">
      <w:pPr>
        <w:pStyle w:val="ListParagraph"/>
        <w:tabs>
          <w:tab w:val="left" w:pos="540"/>
        </w:tabs>
        <w:spacing w:after="0"/>
        <w:ind w:left="0"/>
        <w:rPr>
          <w:szCs w:val="22"/>
        </w:rPr>
      </w:pPr>
    </w:p>
    <w:p w:rsidR="002C070F" w:rsidRDefault="002C070F" w:rsidP="002C070F">
      <w:pPr>
        <w:tabs>
          <w:tab w:val="left" w:pos="540"/>
        </w:tabs>
        <w:spacing w:after="0"/>
      </w:pPr>
      <w:r w:rsidRPr="009E4748">
        <w:rPr>
          <w:b/>
          <w:szCs w:val="22"/>
        </w:rPr>
        <w:t xml:space="preserve">As a landlocked country, Afghanistan’s trade depends on its </w:t>
      </w:r>
      <w:r w:rsidRPr="009E4748">
        <w:rPr>
          <w:b/>
        </w:rPr>
        <w:t>road infrastructure network.</w:t>
      </w:r>
      <w:r>
        <w:t xml:space="preserve">  Investment in better Afghan roads will pay off in terms of lower inland transport costs and time for traders, but these need to be made in a sustainable way ensuring their O&amp;M liabilities can be adequately funded overtime.  While there is a lot of interest on exploring alternate transport solutions, the proposed railways that will connect the new mining projects of Aynak and Hajigak and other airport projects for intermediate cities, the truth is roads will remain the main and cheapest mean of transport for Afghan trade over the medium term.  This is why this diagnostics work places a particular focus on the potential and challenges for roads as the backbone of the transport sector.  </w:t>
      </w:r>
    </w:p>
    <w:p w:rsidR="002C070F" w:rsidRDefault="002C070F" w:rsidP="002C070F">
      <w:pPr>
        <w:tabs>
          <w:tab w:val="left" w:pos="540"/>
        </w:tabs>
        <w:spacing w:after="0"/>
      </w:pPr>
    </w:p>
    <w:p w:rsidR="002C070F" w:rsidRDefault="002C070F" w:rsidP="002C070F">
      <w:pPr>
        <w:tabs>
          <w:tab w:val="left" w:pos="540"/>
        </w:tabs>
        <w:spacing w:after="0"/>
        <w:rPr>
          <w:szCs w:val="22"/>
        </w:rPr>
      </w:pPr>
      <w:r w:rsidRPr="008900D8">
        <w:rPr>
          <w:b/>
          <w:szCs w:val="22"/>
        </w:rPr>
        <w:t>Better access to quality roads stimulates economic growth in various ways</w:t>
      </w:r>
      <w:r w:rsidRPr="008900D8">
        <w:rPr>
          <w:szCs w:val="22"/>
        </w:rPr>
        <w:t>. Good roads typically help firms to reduce transportation and transaction costs and to minimize their inventory and distribution costs.</w:t>
      </w:r>
      <w:r>
        <w:rPr>
          <w:szCs w:val="22"/>
        </w:rPr>
        <w:t xml:space="preserve">  Thus, a g</w:t>
      </w:r>
      <w:r w:rsidRPr="008900D8">
        <w:rPr>
          <w:szCs w:val="22"/>
        </w:rPr>
        <w:t xml:space="preserve">ood road infrastructure </w:t>
      </w:r>
      <w:r>
        <w:rPr>
          <w:szCs w:val="22"/>
        </w:rPr>
        <w:t xml:space="preserve">serves to attract </w:t>
      </w:r>
      <w:r w:rsidRPr="008900D8">
        <w:rPr>
          <w:szCs w:val="22"/>
        </w:rPr>
        <w:t xml:space="preserve">foreign direct investment and </w:t>
      </w:r>
      <w:r>
        <w:rPr>
          <w:szCs w:val="22"/>
        </w:rPr>
        <w:t xml:space="preserve">will most likely lead to </w:t>
      </w:r>
      <w:r w:rsidRPr="008900D8">
        <w:rPr>
          <w:szCs w:val="22"/>
        </w:rPr>
        <w:t>increas</w:t>
      </w:r>
      <w:r>
        <w:rPr>
          <w:szCs w:val="22"/>
        </w:rPr>
        <w:t>ing</w:t>
      </w:r>
      <w:r w:rsidRPr="008900D8">
        <w:rPr>
          <w:szCs w:val="22"/>
        </w:rPr>
        <w:t xml:space="preserve"> exports</w:t>
      </w:r>
      <w:r w:rsidR="00296005">
        <w:rPr>
          <w:szCs w:val="22"/>
        </w:rPr>
        <w:t>.</w:t>
      </w:r>
      <w:r w:rsidRPr="008900D8">
        <w:rPr>
          <w:szCs w:val="22"/>
        </w:rPr>
        <w:t xml:space="preserve">  Exporting firms generally prefer close access to motorways and accessibility to interregional demand</w:t>
      </w:r>
      <w:r w:rsidR="00296005">
        <w:rPr>
          <w:szCs w:val="22"/>
        </w:rPr>
        <w:t>.</w:t>
      </w:r>
      <w:r w:rsidRPr="008900D8">
        <w:rPr>
          <w:szCs w:val="22"/>
        </w:rPr>
        <w:t xml:space="preserve"> </w:t>
      </w:r>
      <w:r w:rsidR="00296005">
        <w:rPr>
          <w:szCs w:val="22"/>
        </w:rPr>
        <w:t xml:space="preserve"> (</w:t>
      </w:r>
      <w:r w:rsidR="00296005" w:rsidRPr="008900D8">
        <w:rPr>
          <w:szCs w:val="22"/>
        </w:rPr>
        <w:t>World Bank, 2009).</w:t>
      </w:r>
    </w:p>
    <w:p w:rsidR="002C070F" w:rsidRDefault="002C070F" w:rsidP="002C070F">
      <w:pPr>
        <w:tabs>
          <w:tab w:val="left" w:pos="540"/>
        </w:tabs>
        <w:spacing w:after="0"/>
        <w:rPr>
          <w:szCs w:val="22"/>
        </w:rPr>
      </w:pPr>
    </w:p>
    <w:p w:rsidR="002C070F" w:rsidRPr="008900D8" w:rsidRDefault="002C070F" w:rsidP="002C070F">
      <w:pPr>
        <w:tabs>
          <w:tab w:val="left" w:pos="540"/>
        </w:tabs>
        <w:spacing w:after="0"/>
        <w:rPr>
          <w:szCs w:val="22"/>
        </w:rPr>
      </w:pPr>
      <w:r w:rsidRPr="008900D8">
        <w:rPr>
          <w:b/>
          <w:szCs w:val="22"/>
        </w:rPr>
        <w:t>Investments at around US$4 billion have greatly improved the road network</w:t>
      </w:r>
      <w:r w:rsidRPr="008900D8">
        <w:rPr>
          <w:szCs w:val="22"/>
        </w:rPr>
        <w:t>.</w:t>
      </w:r>
      <w:r w:rsidRPr="008900D8">
        <w:rPr>
          <w:szCs w:val="22"/>
        </w:rPr>
        <w:footnoteReference w:id="106"/>
      </w:r>
      <w:r w:rsidRPr="008900D8">
        <w:rPr>
          <w:szCs w:val="22"/>
        </w:rPr>
        <w:t xml:space="preserve"> The most prominent work has been on the national ring road, which connects Kabul, Kandahar, Herat, and Mazar-e Sharif.   Thus, the travel times between Kabul and Kandahar have fallen significantly from 19 hours to 5 and between Kabul and Herat from 44 hours to 12. In addition, a substantial number of road features, including culverts (3,229), retaining walls (716), and bridges (255) have been built over the last ten years, and are expected to grow another 22 percent by 2014.  Not surprisingly, </w:t>
      </w:r>
      <w:r>
        <w:rPr>
          <w:szCs w:val="22"/>
        </w:rPr>
        <w:t>during</w:t>
      </w:r>
      <w:r w:rsidRPr="008900D8">
        <w:rPr>
          <w:szCs w:val="22"/>
        </w:rPr>
        <w:t xml:space="preserve"> 2003–2009 the fastest growing subsector contributing to Afghanistan’s GDP has been services, led by transportation, communication and storage, and followed by construction, government services and manufacturing.  </w:t>
      </w:r>
    </w:p>
    <w:p w:rsidR="002C070F" w:rsidRPr="008900D8" w:rsidRDefault="002C070F" w:rsidP="002C070F">
      <w:pPr>
        <w:tabs>
          <w:tab w:val="left" w:pos="540"/>
        </w:tabs>
        <w:spacing w:after="0"/>
        <w:rPr>
          <w:szCs w:val="22"/>
        </w:rPr>
      </w:pPr>
    </w:p>
    <w:p w:rsidR="002C070F" w:rsidRPr="003F3C4F" w:rsidRDefault="002C070F" w:rsidP="002C070F">
      <w:pPr>
        <w:tabs>
          <w:tab w:val="left" w:pos="540"/>
        </w:tabs>
        <w:spacing w:after="0"/>
      </w:pPr>
      <w:r w:rsidRPr="008900D8">
        <w:rPr>
          <w:b/>
          <w:szCs w:val="22"/>
        </w:rPr>
        <w:t>However, only 30 percent of all roads are paved</w:t>
      </w:r>
      <w:r w:rsidRPr="008900D8">
        <w:rPr>
          <w:szCs w:val="22"/>
        </w:rPr>
        <w:t>. Afghanistan’s 42,150 km of road network is in serious need of rehabilitation, and by 2014 it is scheduled to grow by an additional 7,000 km.</w:t>
      </w:r>
      <w:r w:rsidRPr="008900D8">
        <w:rPr>
          <w:rStyle w:val="FootnoteReference"/>
          <w:szCs w:val="22"/>
        </w:rPr>
        <w:footnoteReference w:id="107"/>
      </w:r>
      <w:r w:rsidRPr="008900D8">
        <w:rPr>
          <w:szCs w:val="22"/>
        </w:rPr>
        <w:t xml:space="preserve">  Still, with a road density of 6 km per 100 square km of land area, Afghanistan’s is among the  lowest in the region (Figure </w:t>
      </w:r>
      <w:r>
        <w:rPr>
          <w:szCs w:val="22"/>
        </w:rPr>
        <w:t>3.11 and 3.12</w:t>
      </w:r>
      <w:r w:rsidRPr="008900D8">
        <w:rPr>
          <w:szCs w:val="22"/>
        </w:rPr>
        <w:t xml:space="preserve">). The </w:t>
      </w:r>
      <w:r>
        <w:rPr>
          <w:szCs w:val="22"/>
        </w:rPr>
        <w:t xml:space="preserve">2008 </w:t>
      </w:r>
      <w:r w:rsidRPr="008900D8">
        <w:rPr>
          <w:szCs w:val="22"/>
        </w:rPr>
        <w:t>National Risk and Vulnerability Assessment (</w:t>
      </w:r>
      <w:r>
        <w:rPr>
          <w:szCs w:val="22"/>
        </w:rPr>
        <w:t>NRVA</w:t>
      </w:r>
      <w:r w:rsidRPr="008900D8">
        <w:rPr>
          <w:szCs w:val="22"/>
        </w:rPr>
        <w:t>) has found that nearly 60 percent of Afghan villages do not have all-season road access.</w:t>
      </w:r>
      <w:r w:rsidRPr="00410B7B">
        <w:rPr>
          <w:rStyle w:val="FootnoteReference"/>
        </w:rPr>
        <w:footnoteReference w:id="108"/>
      </w:r>
      <w:r w:rsidRPr="008900D8">
        <w:rPr>
          <w:szCs w:val="22"/>
        </w:rPr>
        <w:t xml:space="preserve">  Despite the rehabilitation of 18,000 km of road in the last three years, currently 54 percent of roads in Afghanistan require full rehabilitation.</w:t>
      </w:r>
      <w:r w:rsidRPr="008900D8">
        <w:rPr>
          <w:rStyle w:val="FootnoteReference"/>
          <w:szCs w:val="22"/>
        </w:rPr>
        <w:footnoteReference w:id="109"/>
      </w:r>
      <w:r w:rsidRPr="008900D8">
        <w:rPr>
          <w:szCs w:val="22"/>
        </w:rPr>
        <w:t xml:space="preserve"> </w:t>
      </w:r>
    </w:p>
    <w:p w:rsidR="002C070F" w:rsidRDefault="002C070F" w:rsidP="002C070F">
      <w:pPr>
        <w:pStyle w:val="Caption"/>
        <w:tabs>
          <w:tab w:val="center" w:pos="2520"/>
          <w:tab w:val="center" w:pos="6840"/>
        </w:tabs>
        <w:spacing w:after="0"/>
        <w:rPr>
          <w:color w:val="410082" w:themeColor="text1"/>
          <w:sz w:val="22"/>
          <w:szCs w:val="22"/>
        </w:rPr>
      </w:pPr>
    </w:p>
    <w:p w:rsidR="002C070F" w:rsidRPr="007D2AA3" w:rsidRDefault="002C070F" w:rsidP="002C070F">
      <w:pPr>
        <w:pStyle w:val="Caption"/>
        <w:tabs>
          <w:tab w:val="center" w:pos="2520"/>
          <w:tab w:val="center" w:pos="6840"/>
        </w:tabs>
        <w:spacing w:after="0"/>
        <w:rPr>
          <w:color w:val="410082" w:themeColor="text1"/>
          <w:sz w:val="22"/>
          <w:szCs w:val="22"/>
        </w:rPr>
      </w:pPr>
      <w:r w:rsidRPr="007D2AA3">
        <w:rPr>
          <w:color w:val="410082" w:themeColor="text1"/>
          <w:sz w:val="22"/>
          <w:szCs w:val="22"/>
        </w:rPr>
        <w:t xml:space="preserve">Figure </w:t>
      </w:r>
      <w:r>
        <w:rPr>
          <w:color w:val="410082" w:themeColor="text1"/>
          <w:sz w:val="22"/>
          <w:szCs w:val="22"/>
        </w:rPr>
        <w:t>3.</w:t>
      </w:r>
      <w:r w:rsidRPr="007D2AA3">
        <w:rPr>
          <w:color w:val="410082" w:themeColor="text1"/>
          <w:sz w:val="22"/>
          <w:szCs w:val="22"/>
        </w:rPr>
        <w:fldChar w:fldCharType="begin"/>
      </w:r>
      <w:r w:rsidRPr="007D2AA3">
        <w:rPr>
          <w:color w:val="410082" w:themeColor="text1"/>
          <w:sz w:val="22"/>
          <w:szCs w:val="22"/>
        </w:rPr>
        <w:instrText xml:space="preserve"> SEQ Figure \* ARABIC </w:instrText>
      </w:r>
      <w:r w:rsidRPr="007D2AA3">
        <w:rPr>
          <w:color w:val="410082" w:themeColor="text1"/>
          <w:sz w:val="22"/>
          <w:szCs w:val="22"/>
        </w:rPr>
        <w:fldChar w:fldCharType="separate"/>
      </w:r>
      <w:r w:rsidR="0080181F">
        <w:rPr>
          <w:noProof/>
          <w:color w:val="410082" w:themeColor="text1"/>
          <w:sz w:val="22"/>
          <w:szCs w:val="22"/>
        </w:rPr>
        <w:t>16</w:t>
      </w:r>
      <w:r w:rsidRPr="007D2AA3">
        <w:rPr>
          <w:color w:val="410082" w:themeColor="text1"/>
          <w:sz w:val="22"/>
          <w:szCs w:val="22"/>
        </w:rPr>
        <w:fldChar w:fldCharType="end"/>
      </w:r>
      <w:r w:rsidRPr="007D2AA3">
        <w:rPr>
          <w:color w:val="410082" w:themeColor="text1"/>
          <w:sz w:val="22"/>
          <w:szCs w:val="22"/>
        </w:rPr>
        <w:t xml:space="preserve">. Road </w:t>
      </w:r>
      <w:r>
        <w:rPr>
          <w:color w:val="410082" w:themeColor="text1"/>
          <w:sz w:val="22"/>
          <w:szCs w:val="22"/>
        </w:rPr>
        <w:t>D</w:t>
      </w:r>
      <w:r w:rsidRPr="007D2AA3">
        <w:rPr>
          <w:color w:val="410082" w:themeColor="text1"/>
          <w:sz w:val="22"/>
          <w:szCs w:val="22"/>
        </w:rPr>
        <w:t xml:space="preserve">ensity and </w:t>
      </w:r>
      <w:r>
        <w:rPr>
          <w:color w:val="410082" w:themeColor="text1"/>
          <w:sz w:val="22"/>
          <w:szCs w:val="22"/>
        </w:rPr>
        <w:t>S</w:t>
      </w:r>
      <w:r w:rsidRPr="007D2AA3">
        <w:rPr>
          <w:color w:val="410082" w:themeColor="text1"/>
          <w:sz w:val="22"/>
          <w:szCs w:val="22"/>
        </w:rPr>
        <w:t xml:space="preserve">hare of </w:t>
      </w:r>
      <w:r>
        <w:rPr>
          <w:color w:val="410082" w:themeColor="text1"/>
          <w:sz w:val="22"/>
          <w:szCs w:val="22"/>
        </w:rPr>
        <w:t>P</w:t>
      </w:r>
      <w:r w:rsidRPr="007D2AA3">
        <w:rPr>
          <w:color w:val="410082" w:themeColor="text1"/>
          <w:sz w:val="22"/>
          <w:szCs w:val="22"/>
        </w:rPr>
        <w:t xml:space="preserve">aved </w:t>
      </w:r>
      <w:r>
        <w:rPr>
          <w:color w:val="410082" w:themeColor="text1"/>
          <w:sz w:val="22"/>
          <w:szCs w:val="22"/>
        </w:rPr>
        <w:t>R</w:t>
      </w:r>
      <w:r w:rsidRPr="007D2AA3">
        <w:rPr>
          <w:color w:val="410082" w:themeColor="text1"/>
          <w:sz w:val="22"/>
          <w:szCs w:val="22"/>
        </w:rPr>
        <w:t xml:space="preserve">oads </w:t>
      </w:r>
      <w:r w:rsidRPr="007D2AA3">
        <w:rPr>
          <w:color w:val="410082" w:themeColor="text1"/>
          <w:sz w:val="22"/>
          <w:szCs w:val="22"/>
        </w:rPr>
        <w:tab/>
        <w:t xml:space="preserve">Figure </w:t>
      </w:r>
      <w:r>
        <w:rPr>
          <w:color w:val="410082" w:themeColor="text1"/>
          <w:sz w:val="22"/>
          <w:szCs w:val="22"/>
        </w:rPr>
        <w:t>3.12</w:t>
      </w:r>
      <w:r w:rsidRPr="007D2AA3">
        <w:rPr>
          <w:color w:val="410082" w:themeColor="text1"/>
          <w:sz w:val="22"/>
          <w:szCs w:val="22"/>
        </w:rPr>
        <w:t xml:space="preserve"> Rural Road Index </w:t>
      </w:r>
    </w:p>
    <w:p w:rsidR="002C070F" w:rsidRPr="00584C63" w:rsidRDefault="002C070F" w:rsidP="002C070F">
      <w:pPr>
        <w:tabs>
          <w:tab w:val="left" w:pos="540"/>
        </w:tabs>
        <w:spacing w:after="0"/>
        <w:rPr>
          <w:szCs w:val="22"/>
        </w:rPr>
      </w:pPr>
      <w:r w:rsidRPr="00F169BF">
        <w:rPr>
          <w:noProof/>
          <w:szCs w:val="22"/>
          <w:lang w:bidi="ar-SA"/>
        </w:rPr>
        <w:drawing>
          <wp:inline distT="0" distB="0" distL="0" distR="0" wp14:anchorId="75DCB2DD" wp14:editId="2EC6BAB4">
            <wp:extent cx="2895272" cy="2100428"/>
            <wp:effectExtent l="19050" t="0" r="328" b="0"/>
            <wp:docPr id="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2895272" cy="2100428"/>
                    </a:xfrm>
                    <a:prstGeom prst="rect">
                      <a:avLst/>
                    </a:prstGeom>
                    <a:noFill/>
                    <a:ln w="9525">
                      <a:noFill/>
                      <a:miter lim="800000"/>
                      <a:headEnd/>
                      <a:tailEnd/>
                    </a:ln>
                  </pic:spPr>
                </pic:pic>
              </a:graphicData>
            </a:graphic>
          </wp:inline>
        </w:drawing>
      </w:r>
      <w:r w:rsidRPr="00F169BF">
        <w:rPr>
          <w:noProof/>
          <w:szCs w:val="22"/>
          <w:lang w:bidi="ar-SA"/>
        </w:rPr>
        <w:drawing>
          <wp:inline distT="0" distB="0" distL="0" distR="0" wp14:anchorId="18F54CF5" wp14:editId="15960403">
            <wp:extent cx="2779461" cy="2016411"/>
            <wp:effectExtent l="19050" t="0" r="1839" b="0"/>
            <wp:docPr id="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2779461" cy="2016411"/>
                    </a:xfrm>
                    <a:prstGeom prst="rect">
                      <a:avLst/>
                    </a:prstGeom>
                    <a:noFill/>
                    <a:ln w="9525">
                      <a:noFill/>
                      <a:miter lim="800000"/>
                      <a:headEnd/>
                      <a:tailEnd/>
                    </a:ln>
                  </pic:spPr>
                </pic:pic>
              </a:graphicData>
            </a:graphic>
          </wp:inline>
        </w:drawing>
      </w:r>
    </w:p>
    <w:p w:rsidR="002C070F" w:rsidRPr="008E7D2A" w:rsidRDefault="002C070F" w:rsidP="002C070F">
      <w:pPr>
        <w:pStyle w:val="Caption"/>
        <w:tabs>
          <w:tab w:val="center" w:pos="2520"/>
          <w:tab w:val="center" w:pos="6840"/>
        </w:tabs>
        <w:spacing w:after="0"/>
        <w:rPr>
          <w:b w:val="0"/>
          <w:sz w:val="20"/>
          <w:szCs w:val="20"/>
        </w:rPr>
      </w:pPr>
      <w:r w:rsidRPr="008E7D2A">
        <w:rPr>
          <w:b w:val="0"/>
          <w:color w:val="auto"/>
          <w:sz w:val="20"/>
          <w:szCs w:val="20"/>
        </w:rPr>
        <w:t>Source: World Development Indicators.</w:t>
      </w:r>
      <w:r w:rsidRPr="008E7D2A">
        <w:rPr>
          <w:b w:val="0"/>
          <w:sz w:val="20"/>
          <w:szCs w:val="20"/>
        </w:rPr>
        <w:tab/>
      </w:r>
      <w:r w:rsidRPr="008E7D2A">
        <w:rPr>
          <w:b w:val="0"/>
          <w:color w:val="auto"/>
          <w:sz w:val="20"/>
          <w:szCs w:val="20"/>
        </w:rPr>
        <w:t>Source: Roberts, Shyam and Rastogi, 2006.</w:t>
      </w:r>
      <w:r w:rsidRPr="008E7D2A">
        <w:rPr>
          <w:b w:val="0"/>
          <w:sz w:val="20"/>
          <w:szCs w:val="20"/>
        </w:rPr>
        <w:t xml:space="preserve"> </w:t>
      </w:r>
    </w:p>
    <w:p w:rsidR="002C070F" w:rsidRDefault="002C070F" w:rsidP="002C070F">
      <w:pPr>
        <w:pStyle w:val="Bodytext"/>
        <w:spacing w:line="276" w:lineRule="auto"/>
        <w:rPr>
          <w:b/>
          <w:szCs w:val="22"/>
        </w:rPr>
      </w:pPr>
    </w:p>
    <w:p w:rsidR="002C070F" w:rsidRPr="00073AC8" w:rsidRDefault="002C070F" w:rsidP="002C070F">
      <w:pPr>
        <w:pStyle w:val="Bodytext"/>
        <w:spacing w:line="276" w:lineRule="auto"/>
        <w:rPr>
          <w:szCs w:val="22"/>
        </w:rPr>
      </w:pPr>
      <w:r w:rsidRPr="00EE7DF7">
        <w:rPr>
          <w:b/>
          <w:szCs w:val="22"/>
        </w:rPr>
        <w:t>A significant amount of resources would be needed to rehabilitate road networks in Afghanistan</w:t>
      </w:r>
      <w:r w:rsidRPr="00073AC8">
        <w:rPr>
          <w:szCs w:val="22"/>
        </w:rPr>
        <w:t xml:space="preserve">. Given the resources available and the weak implementation capacity at the local level, rural road development remains challenging. </w:t>
      </w:r>
      <w:r>
        <w:rPr>
          <w:szCs w:val="22"/>
        </w:rPr>
        <w:t>R</w:t>
      </w:r>
      <w:r w:rsidRPr="00073AC8">
        <w:rPr>
          <w:szCs w:val="22"/>
        </w:rPr>
        <w:t xml:space="preserve">econstruction or rehabilitation </w:t>
      </w:r>
      <w:r>
        <w:rPr>
          <w:szCs w:val="22"/>
        </w:rPr>
        <w:t>of just</w:t>
      </w:r>
      <w:r w:rsidRPr="00073AC8">
        <w:rPr>
          <w:szCs w:val="22"/>
        </w:rPr>
        <w:t xml:space="preserve"> 10 percent of the existing road networks w</w:t>
      </w:r>
      <w:r>
        <w:rPr>
          <w:szCs w:val="22"/>
        </w:rPr>
        <w:t>ould</w:t>
      </w:r>
      <w:r w:rsidRPr="00073AC8">
        <w:rPr>
          <w:szCs w:val="22"/>
        </w:rPr>
        <w:t xml:space="preserve"> cost more than </w:t>
      </w:r>
      <w:r>
        <w:rPr>
          <w:szCs w:val="22"/>
        </w:rPr>
        <w:t>US</w:t>
      </w:r>
      <w:r w:rsidRPr="00073AC8">
        <w:rPr>
          <w:szCs w:val="22"/>
        </w:rPr>
        <w:t>$</w:t>
      </w:r>
      <w:r>
        <w:rPr>
          <w:szCs w:val="22"/>
        </w:rPr>
        <w:t>394</w:t>
      </w:r>
      <w:r w:rsidRPr="00073AC8">
        <w:rPr>
          <w:szCs w:val="22"/>
        </w:rPr>
        <w:t xml:space="preserve"> million</w:t>
      </w:r>
      <w:r>
        <w:rPr>
          <w:szCs w:val="22"/>
        </w:rPr>
        <w:t>,</w:t>
      </w:r>
      <w:r w:rsidRPr="00073AC8">
        <w:rPr>
          <w:szCs w:val="22"/>
        </w:rPr>
        <w:t xml:space="preserve"> based on the past project experience.</w:t>
      </w:r>
      <w:r w:rsidRPr="00410B7B">
        <w:rPr>
          <w:rStyle w:val="FootnoteReference"/>
          <w:rFonts w:cstheme="minorBidi"/>
        </w:rPr>
        <w:footnoteReference w:id="110"/>
      </w:r>
      <w:r>
        <w:rPr>
          <w:szCs w:val="22"/>
        </w:rPr>
        <w:t xml:space="preserve">  </w:t>
      </w:r>
      <w:r w:rsidRPr="002E5E48">
        <w:rPr>
          <w:szCs w:val="22"/>
        </w:rPr>
        <w:t xml:space="preserve">These figures include routine, periodic, and emergency maintenance activities but not the enormous rehabilitation requirements noted above. </w:t>
      </w:r>
      <w:r w:rsidRPr="00073AC8">
        <w:rPr>
          <w:szCs w:val="22"/>
        </w:rPr>
        <w:t xml:space="preserve">In Africa, for instance, it is estimated that about </w:t>
      </w:r>
      <w:r>
        <w:rPr>
          <w:szCs w:val="22"/>
        </w:rPr>
        <w:t>US</w:t>
      </w:r>
      <w:r w:rsidRPr="00073AC8">
        <w:rPr>
          <w:szCs w:val="22"/>
        </w:rPr>
        <w:t>$40</w:t>
      </w:r>
      <w:r>
        <w:rPr>
          <w:szCs w:val="22"/>
        </w:rPr>
        <w:t>–</w:t>
      </w:r>
      <w:r w:rsidRPr="00073AC8">
        <w:rPr>
          <w:szCs w:val="22"/>
        </w:rPr>
        <w:t xml:space="preserve">45 billion was lost in road assets because of inadequate maintenance, which would have cost </w:t>
      </w:r>
      <w:r>
        <w:rPr>
          <w:szCs w:val="22"/>
        </w:rPr>
        <w:t>just US</w:t>
      </w:r>
      <w:r w:rsidRPr="00073AC8">
        <w:rPr>
          <w:szCs w:val="22"/>
        </w:rPr>
        <w:t xml:space="preserve">$12 billion </w:t>
      </w:r>
      <w:r>
        <w:rPr>
          <w:szCs w:val="22"/>
        </w:rPr>
        <w:t>in</w:t>
      </w:r>
      <w:r w:rsidRPr="00073AC8">
        <w:rPr>
          <w:szCs w:val="22"/>
        </w:rPr>
        <w:t xml:space="preserve"> the 1970s and 1980s (Harral and Faiz 1988). </w:t>
      </w:r>
      <w:r>
        <w:rPr>
          <w:szCs w:val="22"/>
        </w:rPr>
        <w:t>(Table 3.12)</w:t>
      </w:r>
    </w:p>
    <w:p w:rsidR="002C070F" w:rsidRPr="00073AC8" w:rsidRDefault="002C070F" w:rsidP="002C070F">
      <w:pPr>
        <w:pStyle w:val="ListParagraph"/>
        <w:tabs>
          <w:tab w:val="left" w:pos="540"/>
        </w:tabs>
        <w:spacing w:after="0"/>
        <w:ind w:left="0"/>
        <w:rPr>
          <w:szCs w:val="22"/>
        </w:rPr>
      </w:pPr>
    </w:p>
    <w:tbl>
      <w:tblPr>
        <w:tblStyle w:val="LightShading-Accent1"/>
        <w:tblW w:w="0" w:type="auto"/>
        <w:tblLayout w:type="fixed"/>
        <w:tblLook w:val="04A0" w:firstRow="1" w:lastRow="0" w:firstColumn="1" w:lastColumn="0" w:noHBand="0" w:noVBand="1"/>
      </w:tblPr>
      <w:tblGrid>
        <w:gridCol w:w="4608"/>
        <w:gridCol w:w="4968"/>
      </w:tblGrid>
      <w:tr w:rsidR="002C070F" w:rsidTr="00C74CFF">
        <w:trPr>
          <w:cnfStyle w:val="100000000000" w:firstRow="1" w:lastRow="0" w:firstColumn="0" w:lastColumn="0" w:oddVBand="0" w:evenVBand="0" w:oddHBand="0"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4608" w:type="dxa"/>
          </w:tcPr>
          <w:p w:rsidR="002C070F" w:rsidRPr="008E7D2A" w:rsidRDefault="002C070F" w:rsidP="00C74CFF">
            <w:pPr>
              <w:pStyle w:val="Caption"/>
              <w:tabs>
                <w:tab w:val="center" w:pos="2520"/>
                <w:tab w:val="center" w:pos="6840"/>
              </w:tabs>
              <w:spacing w:after="200"/>
              <w:rPr>
                <w:rFonts w:cstheme="minorHAnsi"/>
                <w:color w:val="5D3972" w:themeColor="accent1" w:themeShade="BF"/>
              </w:rPr>
            </w:pPr>
            <w:bookmarkStart w:id="323" w:name="_Ref305079085"/>
            <w:bookmarkStart w:id="324" w:name="_Toc315445996"/>
            <w:bookmarkStart w:id="325" w:name="_Toc317863231"/>
            <w:r w:rsidRPr="008E7D2A">
              <w:rPr>
                <w:color w:val="410082" w:themeColor="text1"/>
                <w:sz w:val="22"/>
                <w:szCs w:val="22"/>
              </w:rPr>
              <w:t>Table 3.1</w:t>
            </w:r>
            <w:r>
              <w:rPr>
                <w:color w:val="410082" w:themeColor="text1"/>
                <w:sz w:val="22"/>
                <w:szCs w:val="22"/>
              </w:rPr>
              <w:t>1</w:t>
            </w:r>
            <w:r w:rsidRPr="008E7D2A">
              <w:rPr>
                <w:color w:val="410082" w:themeColor="text1"/>
                <w:sz w:val="22"/>
                <w:szCs w:val="22"/>
              </w:rPr>
              <w:t>: O&amp;M Needed for Road Infrastructure (US$ million)</w:t>
            </w:r>
          </w:p>
        </w:tc>
        <w:tc>
          <w:tcPr>
            <w:tcW w:w="4968" w:type="dxa"/>
          </w:tcPr>
          <w:p w:rsidR="002C070F" w:rsidRPr="008E7D2A" w:rsidRDefault="002C070F" w:rsidP="00C74CFF">
            <w:pPr>
              <w:pStyle w:val="Caption"/>
              <w:tabs>
                <w:tab w:val="center" w:pos="2520"/>
                <w:tab w:val="center" w:pos="6840"/>
              </w:tabs>
              <w:cnfStyle w:val="100000000000" w:firstRow="1" w:lastRow="0" w:firstColumn="0" w:lastColumn="0" w:oddVBand="0" w:evenVBand="0" w:oddHBand="0" w:evenHBand="0" w:firstRowFirstColumn="0" w:firstRowLastColumn="0" w:lastRowFirstColumn="0" w:lastRowLastColumn="0"/>
              <w:rPr>
                <w:color w:val="5D3972" w:themeColor="accent1" w:themeShade="BF"/>
                <w:sz w:val="22"/>
                <w:szCs w:val="22"/>
              </w:rPr>
            </w:pPr>
            <w:r w:rsidRPr="008E7D2A">
              <w:rPr>
                <w:color w:val="410082" w:themeColor="text1"/>
                <w:sz w:val="22"/>
                <w:szCs w:val="22"/>
              </w:rPr>
              <w:t>Table 3.</w:t>
            </w:r>
            <w:r>
              <w:rPr>
                <w:color w:val="410082" w:themeColor="text1"/>
                <w:sz w:val="22"/>
                <w:szCs w:val="22"/>
              </w:rPr>
              <w:t>12</w:t>
            </w:r>
            <w:r w:rsidRPr="008E7D2A">
              <w:rPr>
                <w:color w:val="410082" w:themeColor="text1"/>
                <w:sz w:val="22"/>
                <w:szCs w:val="22"/>
              </w:rPr>
              <w:t>: Road Investment and Maintenance, unit costs in South Asia</w:t>
            </w:r>
            <w:r w:rsidRPr="008E7D2A">
              <w:rPr>
                <w:color w:val="5D3972" w:themeColor="accent1" w:themeShade="BF"/>
                <w:sz w:val="22"/>
                <w:szCs w:val="22"/>
              </w:rPr>
              <w:t xml:space="preserve"> </w:t>
            </w:r>
          </w:p>
        </w:tc>
      </w:tr>
      <w:tr w:rsidR="002C070F" w:rsidTr="00C74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tbl>
            <w:tblPr>
              <w:tblStyle w:val="LightShading-Accent1"/>
              <w:tblW w:w="4653" w:type="dxa"/>
              <w:tblLayout w:type="fixed"/>
              <w:tblLook w:val="04A0" w:firstRow="1" w:lastRow="0" w:firstColumn="1" w:lastColumn="0" w:noHBand="0" w:noVBand="1"/>
            </w:tblPr>
            <w:tblGrid>
              <w:gridCol w:w="669"/>
              <w:gridCol w:w="765"/>
              <w:gridCol w:w="923"/>
              <w:gridCol w:w="766"/>
              <w:gridCol w:w="735"/>
              <w:gridCol w:w="795"/>
            </w:tblGrid>
            <w:tr w:rsidR="002C070F" w:rsidRPr="009D61FA" w:rsidTr="00C74CFF">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669" w:type="dxa"/>
                  <w:noWrap/>
                  <w:hideMark/>
                </w:tcPr>
                <w:p w:rsidR="002C070F" w:rsidRPr="009D61FA" w:rsidRDefault="002C070F" w:rsidP="00C74CFF">
                  <w:pPr>
                    <w:jc w:val="left"/>
                    <w:rPr>
                      <w:rFonts w:ascii="Calibri" w:eastAsia="Times New Roman" w:hAnsi="Calibri" w:cs="Calibri"/>
                      <w:color w:val="000000"/>
                      <w:sz w:val="16"/>
                      <w:szCs w:val="16"/>
                      <w:lang w:bidi="ar-SA"/>
                    </w:rPr>
                  </w:pPr>
                  <w:r w:rsidRPr="009D61FA">
                    <w:rPr>
                      <w:rFonts w:ascii="Calibri" w:eastAsia="Times New Roman" w:hAnsi="Calibri" w:cs="Calibri"/>
                      <w:color w:val="000000"/>
                      <w:sz w:val="16"/>
                      <w:szCs w:val="16"/>
                      <w:lang w:bidi="ar-SA"/>
                    </w:rPr>
                    <w:t>Year</w:t>
                  </w:r>
                </w:p>
              </w:tc>
              <w:tc>
                <w:tcPr>
                  <w:tcW w:w="765" w:type="dxa"/>
                  <w:noWrap/>
                  <w:hideMark/>
                </w:tcPr>
                <w:p w:rsidR="002C070F" w:rsidRPr="009D61FA" w:rsidRDefault="002C070F" w:rsidP="00C74CF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bidi="ar-SA"/>
                    </w:rPr>
                  </w:pPr>
                  <w:r w:rsidRPr="009D61FA">
                    <w:rPr>
                      <w:rFonts w:ascii="Calibri" w:eastAsia="Times New Roman" w:hAnsi="Calibri" w:cs="Calibri"/>
                      <w:color w:val="000000"/>
                      <w:sz w:val="16"/>
                      <w:szCs w:val="16"/>
                      <w:lang w:bidi="ar-SA"/>
                    </w:rPr>
                    <w:t>Primary</w:t>
                  </w:r>
                </w:p>
              </w:tc>
              <w:tc>
                <w:tcPr>
                  <w:tcW w:w="923" w:type="dxa"/>
                  <w:noWrap/>
                  <w:hideMark/>
                </w:tcPr>
                <w:p w:rsidR="002C070F" w:rsidRPr="009D61FA" w:rsidRDefault="002C070F" w:rsidP="00C74CF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bidi="ar-SA"/>
                    </w:rPr>
                  </w:pPr>
                  <w:r w:rsidRPr="009D61FA">
                    <w:rPr>
                      <w:rFonts w:ascii="Calibri" w:eastAsia="Times New Roman" w:hAnsi="Calibri" w:cs="Calibri"/>
                      <w:color w:val="000000"/>
                      <w:sz w:val="16"/>
                      <w:szCs w:val="16"/>
                      <w:lang w:bidi="ar-SA"/>
                    </w:rPr>
                    <w:t>Secondary</w:t>
                  </w:r>
                </w:p>
              </w:tc>
              <w:tc>
                <w:tcPr>
                  <w:tcW w:w="766" w:type="dxa"/>
                  <w:noWrap/>
                  <w:hideMark/>
                </w:tcPr>
                <w:p w:rsidR="002C070F" w:rsidRPr="009D61FA" w:rsidRDefault="002C070F" w:rsidP="00C74CF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bidi="ar-SA"/>
                    </w:rPr>
                  </w:pPr>
                  <w:r w:rsidRPr="009D61FA">
                    <w:rPr>
                      <w:rFonts w:ascii="Calibri" w:eastAsia="Times New Roman" w:hAnsi="Calibri" w:cs="Calibri"/>
                      <w:color w:val="000000"/>
                      <w:sz w:val="16"/>
                      <w:szCs w:val="16"/>
                      <w:lang w:bidi="ar-SA"/>
                    </w:rPr>
                    <w:t>Tertiary</w:t>
                  </w:r>
                </w:p>
              </w:tc>
              <w:tc>
                <w:tcPr>
                  <w:tcW w:w="735" w:type="dxa"/>
                  <w:noWrap/>
                  <w:hideMark/>
                </w:tcPr>
                <w:p w:rsidR="002C070F" w:rsidRPr="009D61FA" w:rsidRDefault="002C070F" w:rsidP="00C74CF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bidi="ar-SA"/>
                    </w:rPr>
                  </w:pPr>
                  <w:r w:rsidRPr="009D61FA">
                    <w:rPr>
                      <w:rFonts w:ascii="Calibri" w:eastAsia="Times New Roman" w:hAnsi="Calibri" w:cs="Calibri"/>
                      <w:color w:val="000000"/>
                      <w:sz w:val="16"/>
                      <w:szCs w:val="16"/>
                      <w:lang w:bidi="ar-SA"/>
                    </w:rPr>
                    <w:t>Bridges</w:t>
                  </w:r>
                </w:p>
              </w:tc>
              <w:tc>
                <w:tcPr>
                  <w:tcW w:w="795" w:type="dxa"/>
                  <w:noWrap/>
                  <w:hideMark/>
                </w:tcPr>
                <w:p w:rsidR="002C070F" w:rsidRPr="009D61FA" w:rsidRDefault="002C070F" w:rsidP="00C74CF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bidi="ar-SA"/>
                    </w:rPr>
                  </w:pPr>
                  <w:r w:rsidRPr="009D61FA">
                    <w:rPr>
                      <w:rFonts w:ascii="Calibri" w:eastAsia="Times New Roman" w:hAnsi="Calibri" w:cs="Calibri"/>
                      <w:color w:val="000000"/>
                      <w:sz w:val="16"/>
                      <w:szCs w:val="16"/>
                      <w:lang w:bidi="ar-SA"/>
                    </w:rPr>
                    <w:t>Total</w:t>
                  </w:r>
                </w:p>
              </w:tc>
            </w:tr>
            <w:tr w:rsidR="002C070F" w:rsidRPr="009D61FA" w:rsidTr="00C74CFF">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669" w:type="dxa"/>
                  <w:noWrap/>
                  <w:hideMark/>
                </w:tcPr>
                <w:p w:rsidR="002C070F" w:rsidRPr="009D61FA" w:rsidRDefault="002C070F" w:rsidP="00C74CFF">
                  <w:pPr>
                    <w:jc w:val="right"/>
                    <w:rPr>
                      <w:rFonts w:ascii="Calibri" w:eastAsia="Times New Roman" w:hAnsi="Calibri" w:cs="Calibri"/>
                      <w:color w:val="000000"/>
                      <w:sz w:val="18"/>
                      <w:szCs w:val="18"/>
                      <w:lang w:bidi="ar-SA"/>
                    </w:rPr>
                  </w:pPr>
                  <w:r w:rsidRPr="009D61FA">
                    <w:rPr>
                      <w:rFonts w:ascii="Calibri" w:eastAsia="Times New Roman" w:hAnsi="Calibri" w:cs="Calibri"/>
                      <w:color w:val="000000"/>
                      <w:sz w:val="18"/>
                      <w:szCs w:val="18"/>
                      <w:lang w:bidi="ar-SA"/>
                    </w:rPr>
                    <w:t>2011</w:t>
                  </w:r>
                </w:p>
              </w:tc>
              <w:tc>
                <w:tcPr>
                  <w:tcW w:w="765" w:type="dxa"/>
                  <w:noWrap/>
                  <w:hideMark/>
                </w:tcPr>
                <w:p w:rsidR="002C070F" w:rsidRPr="009D61FA" w:rsidRDefault="002C070F" w:rsidP="00C74CF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bidi="ar-SA"/>
                    </w:rPr>
                  </w:pPr>
                  <w:r w:rsidRPr="009D61FA">
                    <w:rPr>
                      <w:rFonts w:ascii="Calibri" w:eastAsia="Times New Roman" w:hAnsi="Calibri" w:cs="Calibri"/>
                      <w:color w:val="000000"/>
                      <w:sz w:val="18"/>
                      <w:szCs w:val="18"/>
                      <w:lang w:bidi="ar-SA"/>
                    </w:rPr>
                    <w:t>169</w:t>
                  </w:r>
                </w:p>
              </w:tc>
              <w:tc>
                <w:tcPr>
                  <w:tcW w:w="923" w:type="dxa"/>
                  <w:noWrap/>
                  <w:hideMark/>
                </w:tcPr>
                <w:p w:rsidR="002C070F" w:rsidRPr="009D61FA" w:rsidRDefault="002C070F" w:rsidP="00C74CF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bidi="ar-SA"/>
                    </w:rPr>
                  </w:pPr>
                  <w:r w:rsidRPr="009D61FA">
                    <w:rPr>
                      <w:rFonts w:ascii="Calibri" w:eastAsia="Times New Roman" w:hAnsi="Calibri" w:cs="Calibri"/>
                      <w:color w:val="000000"/>
                      <w:sz w:val="18"/>
                      <w:szCs w:val="18"/>
                      <w:lang w:bidi="ar-SA"/>
                    </w:rPr>
                    <w:t>29.9</w:t>
                  </w:r>
                </w:p>
              </w:tc>
              <w:tc>
                <w:tcPr>
                  <w:tcW w:w="766" w:type="dxa"/>
                  <w:noWrap/>
                  <w:hideMark/>
                </w:tcPr>
                <w:p w:rsidR="002C070F" w:rsidRPr="009D61FA" w:rsidRDefault="002C070F" w:rsidP="00C74CF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bidi="ar-SA"/>
                    </w:rPr>
                  </w:pPr>
                  <w:r w:rsidRPr="009D61FA">
                    <w:rPr>
                      <w:rFonts w:ascii="Calibri" w:eastAsia="Times New Roman" w:hAnsi="Calibri" w:cs="Calibri"/>
                      <w:color w:val="000000"/>
                      <w:sz w:val="18"/>
                      <w:szCs w:val="18"/>
                      <w:lang w:bidi="ar-SA"/>
                    </w:rPr>
                    <w:t>52.7</w:t>
                  </w:r>
                </w:p>
              </w:tc>
              <w:tc>
                <w:tcPr>
                  <w:tcW w:w="735" w:type="dxa"/>
                  <w:noWrap/>
                  <w:hideMark/>
                </w:tcPr>
                <w:p w:rsidR="002C070F" w:rsidRPr="009D61FA" w:rsidRDefault="002C070F" w:rsidP="00C74CF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bidi="ar-SA"/>
                    </w:rPr>
                  </w:pPr>
                  <w:r w:rsidRPr="009D61FA">
                    <w:rPr>
                      <w:rFonts w:ascii="Calibri" w:eastAsia="Times New Roman" w:hAnsi="Calibri" w:cs="Calibri"/>
                      <w:color w:val="000000"/>
                      <w:sz w:val="18"/>
                      <w:szCs w:val="18"/>
                      <w:lang w:bidi="ar-SA"/>
                    </w:rPr>
                    <w:t>38.3</w:t>
                  </w:r>
                </w:p>
              </w:tc>
              <w:tc>
                <w:tcPr>
                  <w:tcW w:w="795" w:type="dxa"/>
                  <w:noWrap/>
                  <w:hideMark/>
                </w:tcPr>
                <w:p w:rsidR="002C070F" w:rsidRPr="009D61FA" w:rsidRDefault="002C070F" w:rsidP="00C74CFF">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bidi="ar-SA"/>
                    </w:rPr>
                  </w:pPr>
                  <w:r w:rsidRPr="009D61FA">
                    <w:rPr>
                      <w:rFonts w:ascii="Calibri" w:eastAsia="Times New Roman" w:hAnsi="Calibri" w:cs="Calibri"/>
                      <w:color w:val="000000"/>
                      <w:sz w:val="18"/>
                      <w:szCs w:val="18"/>
                      <w:lang w:bidi="ar-SA"/>
                    </w:rPr>
                    <w:t>289.9</w:t>
                  </w:r>
                </w:p>
              </w:tc>
            </w:tr>
            <w:tr w:rsidR="002C070F" w:rsidRPr="009D61FA" w:rsidTr="00C74CFF">
              <w:trPr>
                <w:trHeight w:val="334"/>
              </w:trPr>
              <w:tc>
                <w:tcPr>
                  <w:cnfStyle w:val="001000000000" w:firstRow="0" w:lastRow="0" w:firstColumn="1" w:lastColumn="0" w:oddVBand="0" w:evenVBand="0" w:oddHBand="0" w:evenHBand="0" w:firstRowFirstColumn="0" w:firstRowLastColumn="0" w:lastRowFirstColumn="0" w:lastRowLastColumn="0"/>
                  <w:tcW w:w="669" w:type="dxa"/>
                  <w:noWrap/>
                  <w:hideMark/>
                </w:tcPr>
                <w:p w:rsidR="002C070F" w:rsidRPr="009D61FA" w:rsidRDefault="002C070F" w:rsidP="00C74CFF">
                  <w:pPr>
                    <w:jc w:val="right"/>
                    <w:rPr>
                      <w:rFonts w:ascii="Calibri" w:eastAsia="Times New Roman" w:hAnsi="Calibri" w:cs="Calibri"/>
                      <w:color w:val="000000"/>
                      <w:sz w:val="18"/>
                      <w:szCs w:val="18"/>
                      <w:lang w:bidi="ar-SA"/>
                    </w:rPr>
                  </w:pPr>
                  <w:r w:rsidRPr="009D61FA">
                    <w:rPr>
                      <w:rFonts w:ascii="Calibri" w:eastAsia="Times New Roman" w:hAnsi="Calibri" w:cs="Calibri"/>
                      <w:color w:val="000000"/>
                      <w:sz w:val="18"/>
                      <w:szCs w:val="18"/>
                      <w:lang w:bidi="ar-SA"/>
                    </w:rPr>
                    <w:t>2014</w:t>
                  </w:r>
                </w:p>
              </w:tc>
              <w:tc>
                <w:tcPr>
                  <w:tcW w:w="765" w:type="dxa"/>
                  <w:noWrap/>
                  <w:hideMark/>
                </w:tcPr>
                <w:p w:rsidR="002C070F" w:rsidRPr="009D61FA" w:rsidRDefault="002C070F" w:rsidP="00C74C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bidi="ar-SA"/>
                    </w:rPr>
                  </w:pPr>
                  <w:r w:rsidRPr="009D61FA">
                    <w:rPr>
                      <w:rFonts w:ascii="Calibri" w:eastAsia="Times New Roman" w:hAnsi="Calibri" w:cs="Calibri"/>
                      <w:color w:val="000000"/>
                      <w:sz w:val="18"/>
                      <w:szCs w:val="18"/>
                      <w:lang w:bidi="ar-SA"/>
                    </w:rPr>
                    <w:t>180</w:t>
                  </w:r>
                </w:p>
              </w:tc>
              <w:tc>
                <w:tcPr>
                  <w:tcW w:w="923" w:type="dxa"/>
                  <w:noWrap/>
                  <w:hideMark/>
                </w:tcPr>
                <w:p w:rsidR="002C070F" w:rsidRPr="009D61FA" w:rsidRDefault="002C070F" w:rsidP="00C74C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bidi="ar-SA"/>
                    </w:rPr>
                  </w:pPr>
                  <w:r w:rsidRPr="009D61FA">
                    <w:rPr>
                      <w:rFonts w:ascii="Calibri" w:eastAsia="Times New Roman" w:hAnsi="Calibri" w:cs="Calibri"/>
                      <w:color w:val="000000"/>
                      <w:sz w:val="18"/>
                      <w:szCs w:val="18"/>
                      <w:lang w:bidi="ar-SA"/>
                    </w:rPr>
                    <w:t>155.7</w:t>
                  </w:r>
                </w:p>
              </w:tc>
              <w:tc>
                <w:tcPr>
                  <w:tcW w:w="766" w:type="dxa"/>
                  <w:noWrap/>
                  <w:hideMark/>
                </w:tcPr>
                <w:p w:rsidR="002C070F" w:rsidRPr="009D61FA" w:rsidRDefault="002C070F" w:rsidP="00C74C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bidi="ar-SA"/>
                    </w:rPr>
                  </w:pPr>
                  <w:r w:rsidRPr="009D61FA">
                    <w:rPr>
                      <w:rFonts w:ascii="Calibri" w:eastAsia="Times New Roman" w:hAnsi="Calibri" w:cs="Calibri"/>
                      <w:color w:val="000000"/>
                      <w:sz w:val="18"/>
                      <w:szCs w:val="18"/>
                      <w:lang w:bidi="ar-SA"/>
                    </w:rPr>
                    <w:t>58.7</w:t>
                  </w:r>
                </w:p>
              </w:tc>
              <w:tc>
                <w:tcPr>
                  <w:tcW w:w="735" w:type="dxa"/>
                  <w:noWrap/>
                  <w:hideMark/>
                </w:tcPr>
                <w:p w:rsidR="002C070F" w:rsidRPr="009D61FA" w:rsidRDefault="002C070F" w:rsidP="00C74C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bidi="ar-SA"/>
                    </w:rPr>
                  </w:pPr>
                  <w:r w:rsidRPr="009D61FA">
                    <w:rPr>
                      <w:rFonts w:ascii="Calibri" w:eastAsia="Times New Roman" w:hAnsi="Calibri" w:cs="Calibri"/>
                      <w:color w:val="000000"/>
                      <w:sz w:val="18"/>
                      <w:szCs w:val="18"/>
                      <w:lang w:bidi="ar-SA"/>
                    </w:rPr>
                    <w:t>47.4</w:t>
                  </w:r>
                </w:p>
              </w:tc>
              <w:tc>
                <w:tcPr>
                  <w:tcW w:w="795" w:type="dxa"/>
                  <w:noWrap/>
                  <w:hideMark/>
                </w:tcPr>
                <w:p w:rsidR="002C070F" w:rsidRPr="009D61FA" w:rsidRDefault="002C070F" w:rsidP="00C74CFF">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bidi="ar-SA"/>
                    </w:rPr>
                  </w:pPr>
                  <w:r w:rsidRPr="009D61FA">
                    <w:rPr>
                      <w:rFonts w:ascii="Calibri" w:eastAsia="Times New Roman" w:hAnsi="Calibri" w:cs="Calibri"/>
                      <w:color w:val="000000"/>
                      <w:sz w:val="18"/>
                      <w:szCs w:val="18"/>
                      <w:lang w:bidi="ar-SA"/>
                    </w:rPr>
                    <w:t>441.8</w:t>
                  </w:r>
                </w:p>
              </w:tc>
            </w:tr>
          </w:tbl>
          <w:p w:rsidR="002C070F" w:rsidRDefault="002C070F" w:rsidP="00C74CFF">
            <w:pPr>
              <w:pStyle w:val="Tabletitle"/>
              <w:rPr>
                <w:rFonts w:cstheme="minorHAnsi"/>
              </w:rPr>
            </w:pPr>
          </w:p>
        </w:tc>
        <w:tc>
          <w:tcPr>
            <w:tcW w:w="4968" w:type="dxa"/>
          </w:tcPr>
          <w:tbl>
            <w:tblPr>
              <w:tblStyle w:val="LightShading-Accent1"/>
              <w:tblpPr w:leftFromText="180" w:rightFromText="180" w:vertAnchor="text" w:horzAnchor="margin" w:tblpY="202"/>
              <w:tblW w:w="4777" w:type="dxa"/>
              <w:tblLayout w:type="fixed"/>
              <w:tblLook w:val="04A0" w:firstRow="1" w:lastRow="0" w:firstColumn="1" w:lastColumn="0" w:noHBand="0" w:noVBand="1"/>
            </w:tblPr>
            <w:tblGrid>
              <w:gridCol w:w="1065"/>
              <w:gridCol w:w="1460"/>
              <w:gridCol w:w="1154"/>
              <w:gridCol w:w="1098"/>
            </w:tblGrid>
            <w:tr w:rsidR="002C070F" w:rsidRPr="009D61FA" w:rsidTr="00C74CFF">
              <w:trPr>
                <w:cnfStyle w:val="100000000000" w:firstRow="1" w:lastRow="0" w:firstColumn="0" w:lastColumn="0" w:oddVBand="0" w:evenVBand="0" w:oddHBand="0"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065" w:type="dxa"/>
                  <w:noWrap/>
                  <w:hideMark/>
                </w:tcPr>
                <w:p w:rsidR="002C070F" w:rsidRPr="009D61FA" w:rsidRDefault="002C070F" w:rsidP="00C74CFF">
                  <w:pPr>
                    <w:rPr>
                      <w:rFonts w:eastAsia="Times New Roman"/>
                      <w:color w:val="000000"/>
                      <w:sz w:val="18"/>
                      <w:szCs w:val="18"/>
                    </w:rPr>
                  </w:pPr>
                </w:p>
              </w:tc>
              <w:tc>
                <w:tcPr>
                  <w:tcW w:w="3712" w:type="dxa"/>
                  <w:gridSpan w:val="3"/>
                  <w:noWrap/>
                  <w:hideMark/>
                </w:tcPr>
                <w:p w:rsidR="002C070F" w:rsidRPr="009D61FA" w:rsidRDefault="002C070F" w:rsidP="00C74CFF">
                  <w:pP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r w:rsidRPr="009D61FA">
                    <w:rPr>
                      <w:rFonts w:eastAsia="Times New Roman"/>
                      <w:color w:val="000000"/>
                      <w:sz w:val="18"/>
                      <w:szCs w:val="18"/>
                    </w:rPr>
                    <w:t>Road procurement cost (2000 US$ per km)</w:t>
                  </w:r>
                </w:p>
              </w:tc>
            </w:tr>
            <w:tr w:rsidR="002C070F" w:rsidRPr="009D61FA" w:rsidTr="00C74CFF">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065" w:type="dxa"/>
                  <w:noWrap/>
                  <w:hideMark/>
                </w:tcPr>
                <w:p w:rsidR="002C070F" w:rsidRPr="009D61FA" w:rsidRDefault="002C070F" w:rsidP="00C74CFF">
                  <w:pPr>
                    <w:rPr>
                      <w:rFonts w:eastAsia="Times New Roman"/>
                      <w:color w:val="000000"/>
                      <w:sz w:val="18"/>
                      <w:szCs w:val="18"/>
                    </w:rPr>
                  </w:pPr>
                </w:p>
              </w:tc>
              <w:tc>
                <w:tcPr>
                  <w:tcW w:w="1460" w:type="dxa"/>
                  <w:hideMark/>
                </w:tcPr>
                <w:p w:rsidR="002C070F" w:rsidRPr="009D61FA" w:rsidRDefault="002C070F" w:rsidP="00C74CFF">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D61FA">
                    <w:rPr>
                      <w:rFonts w:eastAsia="Times New Roman"/>
                      <w:color w:val="000000"/>
                      <w:sz w:val="18"/>
                      <w:szCs w:val="18"/>
                    </w:rPr>
                    <w:t>Reconstruction/ Rehabilitation</w:t>
                  </w:r>
                </w:p>
              </w:tc>
              <w:tc>
                <w:tcPr>
                  <w:tcW w:w="1154" w:type="dxa"/>
                  <w:hideMark/>
                </w:tcPr>
                <w:p w:rsidR="002C070F" w:rsidRPr="009D61FA" w:rsidRDefault="002C070F" w:rsidP="00C74CFF">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D61FA">
                    <w:rPr>
                      <w:rFonts w:eastAsia="Times New Roman"/>
                      <w:color w:val="000000"/>
                      <w:sz w:val="18"/>
                      <w:szCs w:val="18"/>
                    </w:rPr>
                    <w:t>Upgrading</w:t>
                  </w:r>
                </w:p>
              </w:tc>
              <w:tc>
                <w:tcPr>
                  <w:tcW w:w="1098" w:type="dxa"/>
                  <w:hideMark/>
                </w:tcPr>
                <w:p w:rsidR="002C070F" w:rsidRPr="009D61FA" w:rsidRDefault="002C070F" w:rsidP="00C74CFF">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D61FA">
                    <w:rPr>
                      <w:rFonts w:eastAsia="Times New Roman"/>
                      <w:color w:val="000000"/>
                      <w:sz w:val="18"/>
                      <w:szCs w:val="18"/>
                    </w:rPr>
                    <w:t xml:space="preserve">Periodic </w:t>
                  </w:r>
                  <w:r>
                    <w:rPr>
                      <w:rFonts w:eastAsia="Times New Roman"/>
                      <w:color w:val="000000"/>
                      <w:sz w:val="18"/>
                      <w:szCs w:val="18"/>
                    </w:rPr>
                    <w:t>O&amp;M</w:t>
                  </w:r>
                </w:p>
              </w:tc>
            </w:tr>
            <w:tr w:rsidR="002C070F" w:rsidRPr="009D61FA" w:rsidTr="00C74CFF">
              <w:trPr>
                <w:trHeight w:val="157"/>
              </w:trPr>
              <w:tc>
                <w:tcPr>
                  <w:cnfStyle w:val="001000000000" w:firstRow="0" w:lastRow="0" w:firstColumn="1" w:lastColumn="0" w:oddVBand="0" w:evenVBand="0" w:oddHBand="0" w:evenHBand="0" w:firstRowFirstColumn="0" w:firstRowLastColumn="0" w:lastRowFirstColumn="0" w:lastRowLastColumn="0"/>
                  <w:tcW w:w="1065" w:type="dxa"/>
                  <w:noWrap/>
                  <w:hideMark/>
                </w:tcPr>
                <w:p w:rsidR="002C070F" w:rsidRPr="009D61FA" w:rsidRDefault="002C070F" w:rsidP="00C74CFF">
                  <w:pPr>
                    <w:rPr>
                      <w:rFonts w:eastAsia="Times New Roman"/>
                      <w:color w:val="000000"/>
                      <w:sz w:val="16"/>
                      <w:szCs w:val="16"/>
                    </w:rPr>
                  </w:pPr>
                  <w:r w:rsidRPr="009D61FA">
                    <w:rPr>
                      <w:rFonts w:eastAsia="Times New Roman"/>
                      <w:color w:val="000000"/>
                      <w:sz w:val="16"/>
                      <w:szCs w:val="16"/>
                    </w:rPr>
                    <w:t>Afghanistan</w:t>
                  </w:r>
                </w:p>
              </w:tc>
              <w:tc>
                <w:tcPr>
                  <w:tcW w:w="1460" w:type="dxa"/>
                  <w:noWrap/>
                  <w:hideMark/>
                </w:tcPr>
                <w:p w:rsidR="002C070F" w:rsidRPr="009D61FA" w:rsidRDefault="002C070F" w:rsidP="00C74CFF">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D61FA">
                    <w:rPr>
                      <w:rFonts w:eastAsia="Times New Roman"/>
                      <w:color w:val="000000"/>
                      <w:sz w:val="18"/>
                      <w:szCs w:val="18"/>
                    </w:rPr>
                    <w:t>150,427</w:t>
                  </w:r>
                </w:p>
              </w:tc>
              <w:tc>
                <w:tcPr>
                  <w:tcW w:w="1154" w:type="dxa"/>
                  <w:noWrap/>
                  <w:hideMark/>
                </w:tcPr>
                <w:p w:rsidR="002C070F" w:rsidRPr="009D61FA" w:rsidRDefault="002C070F" w:rsidP="00C74CFF">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1098" w:type="dxa"/>
                  <w:noWrap/>
                  <w:hideMark/>
                </w:tcPr>
                <w:p w:rsidR="002C070F" w:rsidRPr="009D61FA" w:rsidRDefault="002C070F" w:rsidP="00C74CFF">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p>
              </w:tc>
            </w:tr>
            <w:tr w:rsidR="002C070F" w:rsidRPr="009D61FA" w:rsidTr="00C74CFF">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065" w:type="dxa"/>
                  <w:noWrap/>
                  <w:hideMark/>
                </w:tcPr>
                <w:p w:rsidR="002C070F" w:rsidRPr="009D61FA" w:rsidRDefault="002C070F" w:rsidP="00C74CFF">
                  <w:pPr>
                    <w:rPr>
                      <w:rFonts w:eastAsia="Times New Roman"/>
                      <w:color w:val="000000"/>
                      <w:sz w:val="16"/>
                      <w:szCs w:val="16"/>
                    </w:rPr>
                  </w:pPr>
                  <w:r w:rsidRPr="009D61FA">
                    <w:rPr>
                      <w:rFonts w:eastAsia="Times New Roman"/>
                      <w:color w:val="000000"/>
                      <w:sz w:val="16"/>
                      <w:szCs w:val="16"/>
                    </w:rPr>
                    <w:t>Bangladesh</w:t>
                  </w:r>
                </w:p>
              </w:tc>
              <w:tc>
                <w:tcPr>
                  <w:tcW w:w="1460" w:type="dxa"/>
                  <w:noWrap/>
                  <w:hideMark/>
                </w:tcPr>
                <w:p w:rsidR="002C070F" w:rsidRPr="009D61FA" w:rsidRDefault="002C070F" w:rsidP="00C74CFF">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D61FA">
                    <w:rPr>
                      <w:rFonts w:eastAsia="Times New Roman"/>
                      <w:color w:val="000000"/>
                      <w:sz w:val="18"/>
                      <w:szCs w:val="18"/>
                    </w:rPr>
                    <w:t>370,147</w:t>
                  </w:r>
                </w:p>
              </w:tc>
              <w:tc>
                <w:tcPr>
                  <w:tcW w:w="1154" w:type="dxa"/>
                  <w:noWrap/>
                  <w:hideMark/>
                </w:tcPr>
                <w:p w:rsidR="002C070F" w:rsidRPr="009D61FA" w:rsidRDefault="002C070F" w:rsidP="00C74CFF">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D61FA">
                    <w:rPr>
                      <w:rFonts w:eastAsia="Times New Roman"/>
                      <w:color w:val="000000"/>
                      <w:sz w:val="18"/>
                      <w:szCs w:val="18"/>
                    </w:rPr>
                    <w:t>230,652</w:t>
                  </w:r>
                </w:p>
              </w:tc>
              <w:tc>
                <w:tcPr>
                  <w:tcW w:w="1098" w:type="dxa"/>
                  <w:noWrap/>
                  <w:hideMark/>
                </w:tcPr>
                <w:p w:rsidR="002C070F" w:rsidRPr="009D61FA" w:rsidRDefault="002C070F" w:rsidP="00C74CFF">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D61FA">
                    <w:rPr>
                      <w:rFonts w:eastAsia="Times New Roman"/>
                      <w:color w:val="000000"/>
                      <w:sz w:val="18"/>
                      <w:szCs w:val="18"/>
                    </w:rPr>
                    <w:t>80,853</w:t>
                  </w:r>
                </w:p>
              </w:tc>
            </w:tr>
            <w:tr w:rsidR="002C070F" w:rsidRPr="009D61FA" w:rsidTr="00C74CFF">
              <w:trPr>
                <w:trHeight w:val="157"/>
              </w:trPr>
              <w:tc>
                <w:tcPr>
                  <w:cnfStyle w:val="001000000000" w:firstRow="0" w:lastRow="0" w:firstColumn="1" w:lastColumn="0" w:oddVBand="0" w:evenVBand="0" w:oddHBand="0" w:evenHBand="0" w:firstRowFirstColumn="0" w:firstRowLastColumn="0" w:lastRowFirstColumn="0" w:lastRowLastColumn="0"/>
                  <w:tcW w:w="1065" w:type="dxa"/>
                  <w:noWrap/>
                  <w:hideMark/>
                </w:tcPr>
                <w:p w:rsidR="002C070F" w:rsidRPr="009D61FA" w:rsidRDefault="002C070F" w:rsidP="00C74CFF">
                  <w:pPr>
                    <w:rPr>
                      <w:rFonts w:eastAsia="Times New Roman"/>
                      <w:color w:val="000000"/>
                      <w:sz w:val="16"/>
                      <w:szCs w:val="16"/>
                    </w:rPr>
                  </w:pPr>
                  <w:r w:rsidRPr="009D61FA">
                    <w:rPr>
                      <w:rFonts w:eastAsia="Times New Roman"/>
                      <w:color w:val="000000"/>
                      <w:sz w:val="16"/>
                      <w:szCs w:val="16"/>
                    </w:rPr>
                    <w:t>Nepal</w:t>
                  </w:r>
                </w:p>
              </w:tc>
              <w:tc>
                <w:tcPr>
                  <w:tcW w:w="1460" w:type="dxa"/>
                  <w:noWrap/>
                  <w:hideMark/>
                </w:tcPr>
                <w:p w:rsidR="002C070F" w:rsidRPr="009D61FA" w:rsidRDefault="002C070F" w:rsidP="00C74CFF">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1154" w:type="dxa"/>
                  <w:noWrap/>
                  <w:hideMark/>
                </w:tcPr>
                <w:p w:rsidR="002C070F" w:rsidRPr="009D61FA" w:rsidRDefault="002C070F" w:rsidP="00C74CFF">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1098" w:type="dxa"/>
                  <w:noWrap/>
                  <w:hideMark/>
                </w:tcPr>
                <w:p w:rsidR="002C070F" w:rsidRPr="009D61FA" w:rsidRDefault="002C070F" w:rsidP="00C74CFF">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D61FA">
                    <w:rPr>
                      <w:rFonts w:eastAsia="Times New Roman"/>
                      <w:color w:val="000000"/>
                      <w:sz w:val="18"/>
                      <w:szCs w:val="18"/>
                    </w:rPr>
                    <w:t>71,597</w:t>
                  </w:r>
                </w:p>
              </w:tc>
            </w:tr>
            <w:tr w:rsidR="002C070F" w:rsidRPr="009D61FA" w:rsidTr="00C74CFF">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065" w:type="dxa"/>
                  <w:noWrap/>
                  <w:hideMark/>
                </w:tcPr>
                <w:p w:rsidR="002C070F" w:rsidRPr="009D61FA" w:rsidRDefault="002C070F" w:rsidP="00C74CFF">
                  <w:pPr>
                    <w:rPr>
                      <w:rFonts w:eastAsia="Times New Roman"/>
                      <w:color w:val="000000"/>
                      <w:sz w:val="16"/>
                      <w:szCs w:val="16"/>
                    </w:rPr>
                  </w:pPr>
                  <w:r w:rsidRPr="009D61FA">
                    <w:rPr>
                      <w:rFonts w:eastAsia="Times New Roman"/>
                      <w:color w:val="000000"/>
                      <w:sz w:val="16"/>
                      <w:szCs w:val="16"/>
                    </w:rPr>
                    <w:t>Pakistan</w:t>
                  </w:r>
                </w:p>
              </w:tc>
              <w:tc>
                <w:tcPr>
                  <w:tcW w:w="1460" w:type="dxa"/>
                  <w:noWrap/>
                  <w:hideMark/>
                </w:tcPr>
                <w:p w:rsidR="002C070F" w:rsidRPr="009D61FA" w:rsidRDefault="002C070F" w:rsidP="00C74CFF">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D61FA">
                    <w:rPr>
                      <w:rFonts w:eastAsia="Times New Roman"/>
                      <w:color w:val="000000"/>
                      <w:sz w:val="18"/>
                      <w:szCs w:val="18"/>
                    </w:rPr>
                    <w:t>234,677</w:t>
                  </w:r>
                </w:p>
              </w:tc>
              <w:tc>
                <w:tcPr>
                  <w:tcW w:w="1154" w:type="dxa"/>
                  <w:noWrap/>
                  <w:hideMark/>
                </w:tcPr>
                <w:p w:rsidR="002C070F" w:rsidRPr="009D61FA" w:rsidRDefault="002C070F" w:rsidP="00C74CFF">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D61FA">
                    <w:rPr>
                      <w:rFonts w:eastAsia="Times New Roman"/>
                      <w:color w:val="000000"/>
                      <w:sz w:val="18"/>
                      <w:szCs w:val="18"/>
                    </w:rPr>
                    <w:t>206,460</w:t>
                  </w:r>
                </w:p>
              </w:tc>
              <w:tc>
                <w:tcPr>
                  <w:tcW w:w="1098" w:type="dxa"/>
                  <w:noWrap/>
                  <w:hideMark/>
                </w:tcPr>
                <w:p w:rsidR="002C070F" w:rsidRPr="009D61FA" w:rsidRDefault="002C070F" w:rsidP="00C74CFF">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r>
            <w:tr w:rsidR="002C070F" w:rsidRPr="009D61FA" w:rsidTr="00C74CFF">
              <w:trPr>
                <w:trHeight w:val="157"/>
              </w:trPr>
              <w:tc>
                <w:tcPr>
                  <w:cnfStyle w:val="001000000000" w:firstRow="0" w:lastRow="0" w:firstColumn="1" w:lastColumn="0" w:oddVBand="0" w:evenVBand="0" w:oddHBand="0" w:evenHBand="0" w:firstRowFirstColumn="0" w:firstRowLastColumn="0" w:lastRowFirstColumn="0" w:lastRowLastColumn="0"/>
                  <w:tcW w:w="1065" w:type="dxa"/>
                  <w:noWrap/>
                  <w:hideMark/>
                </w:tcPr>
                <w:p w:rsidR="002C070F" w:rsidRPr="009D61FA" w:rsidRDefault="002C070F" w:rsidP="00C74CFF">
                  <w:pPr>
                    <w:rPr>
                      <w:rFonts w:eastAsia="Times New Roman"/>
                      <w:color w:val="000000"/>
                      <w:sz w:val="16"/>
                      <w:szCs w:val="16"/>
                    </w:rPr>
                  </w:pPr>
                  <w:r w:rsidRPr="009D61FA">
                    <w:rPr>
                      <w:rFonts w:eastAsia="Times New Roman"/>
                      <w:color w:val="000000"/>
                      <w:sz w:val="16"/>
                      <w:szCs w:val="16"/>
                    </w:rPr>
                    <w:t>Sri Lanka</w:t>
                  </w:r>
                </w:p>
              </w:tc>
              <w:tc>
                <w:tcPr>
                  <w:tcW w:w="1460" w:type="dxa"/>
                  <w:noWrap/>
                  <w:hideMark/>
                </w:tcPr>
                <w:p w:rsidR="002C070F" w:rsidRPr="009D61FA" w:rsidRDefault="002C070F" w:rsidP="00C74CFF">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D61FA">
                    <w:rPr>
                      <w:rFonts w:eastAsia="Times New Roman"/>
                      <w:color w:val="000000"/>
                      <w:sz w:val="18"/>
                      <w:szCs w:val="18"/>
                    </w:rPr>
                    <w:t>105,025</w:t>
                  </w:r>
                </w:p>
              </w:tc>
              <w:tc>
                <w:tcPr>
                  <w:tcW w:w="1154" w:type="dxa"/>
                  <w:noWrap/>
                  <w:hideMark/>
                </w:tcPr>
                <w:p w:rsidR="002C070F" w:rsidRPr="009D61FA" w:rsidRDefault="002C070F" w:rsidP="00C74CFF">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1098" w:type="dxa"/>
                  <w:noWrap/>
                  <w:hideMark/>
                </w:tcPr>
                <w:p w:rsidR="002C070F" w:rsidRPr="009D61FA" w:rsidRDefault="002C070F" w:rsidP="00C74CFF">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p>
              </w:tc>
            </w:tr>
          </w:tbl>
          <w:p w:rsidR="002C070F" w:rsidRPr="008600B8" w:rsidRDefault="002C070F" w:rsidP="00C74CFF">
            <w:pPr>
              <w:pStyle w:val="Tabletitle"/>
              <w:cnfStyle w:val="000000100000" w:firstRow="0" w:lastRow="0" w:firstColumn="0" w:lastColumn="0" w:oddVBand="0" w:evenVBand="0" w:oddHBand="1" w:evenHBand="0" w:firstRowFirstColumn="0" w:firstRowLastColumn="0" w:lastRowFirstColumn="0" w:lastRowLastColumn="0"/>
              <w:rPr>
                <w:rFonts w:cstheme="minorHAnsi"/>
              </w:rPr>
            </w:pPr>
          </w:p>
        </w:tc>
      </w:tr>
    </w:tbl>
    <w:bookmarkEnd w:id="323"/>
    <w:bookmarkEnd w:id="324"/>
    <w:bookmarkEnd w:id="325"/>
    <w:p w:rsidR="002C070F" w:rsidRPr="008F41BE" w:rsidRDefault="002C070F" w:rsidP="002C070F">
      <w:pPr>
        <w:tabs>
          <w:tab w:val="left" w:pos="540"/>
        </w:tabs>
        <w:spacing w:after="0"/>
        <w:rPr>
          <w:sz w:val="20"/>
        </w:rPr>
      </w:pPr>
      <w:r w:rsidRPr="008F41BE">
        <w:rPr>
          <w:sz w:val="20"/>
        </w:rPr>
        <w:t xml:space="preserve">Source: WB </w:t>
      </w:r>
      <w:r>
        <w:rPr>
          <w:sz w:val="20"/>
        </w:rPr>
        <w:t>s</w:t>
      </w:r>
      <w:r w:rsidRPr="008F41BE">
        <w:rPr>
          <w:sz w:val="20"/>
        </w:rPr>
        <w:t xml:space="preserve">taff </w:t>
      </w:r>
      <w:r>
        <w:rPr>
          <w:sz w:val="20"/>
        </w:rPr>
        <w:t>c</w:t>
      </w:r>
      <w:r w:rsidRPr="008F41BE">
        <w:rPr>
          <w:sz w:val="20"/>
        </w:rPr>
        <w:t>alculations</w:t>
      </w:r>
      <w:r w:rsidRPr="008F41BE">
        <w:rPr>
          <w:sz w:val="20"/>
        </w:rPr>
        <w:tab/>
      </w:r>
      <w:r w:rsidRPr="008F41BE">
        <w:rPr>
          <w:sz w:val="20"/>
        </w:rPr>
        <w:tab/>
      </w:r>
      <w:r>
        <w:rPr>
          <w:sz w:val="20"/>
        </w:rPr>
        <w:t xml:space="preserve">                       </w:t>
      </w:r>
      <w:r w:rsidRPr="008F41BE">
        <w:rPr>
          <w:sz w:val="20"/>
        </w:rPr>
        <w:t xml:space="preserve">Source: Road Costs Knowledge System (ROCKS) database. </w:t>
      </w:r>
    </w:p>
    <w:p w:rsidR="002C070F" w:rsidRPr="008900D8" w:rsidRDefault="002C070F" w:rsidP="002C070F">
      <w:pPr>
        <w:tabs>
          <w:tab w:val="left" w:pos="540"/>
        </w:tabs>
        <w:spacing w:before="240"/>
        <w:rPr>
          <w:szCs w:val="22"/>
        </w:rPr>
      </w:pPr>
      <w:r w:rsidRPr="008900D8">
        <w:rPr>
          <w:b/>
          <w:szCs w:val="22"/>
        </w:rPr>
        <w:t>Developing a sustainable funding mechanism for the long-term maintenance of existing road assets should be a priority</w:t>
      </w:r>
      <w:r w:rsidRPr="008900D8">
        <w:rPr>
          <w:szCs w:val="22"/>
        </w:rPr>
        <w:t xml:space="preserve">. The government of Afghanistan is committed to establishing a national road authority, which could centralize transport-related revenue collection and contract maintenance works using a performance-based model. In the meantime, sufficient operating and maintenance resources must be allocated to prevent further deterioration, and the additional allocations to the MPW in the 1391 budget fall well below likely requirements. </w:t>
      </w:r>
    </w:p>
    <w:p w:rsidR="002C070F" w:rsidRPr="008900D8" w:rsidRDefault="002C070F" w:rsidP="002C070F">
      <w:pPr>
        <w:tabs>
          <w:tab w:val="left" w:pos="540"/>
        </w:tabs>
        <w:spacing w:before="240"/>
        <w:rPr>
          <w:szCs w:val="22"/>
        </w:rPr>
      </w:pPr>
      <w:r w:rsidRPr="008900D8">
        <w:rPr>
          <w:szCs w:val="22"/>
        </w:rPr>
        <w:t xml:space="preserve"> </w:t>
      </w:r>
      <w:r w:rsidRPr="008900D8">
        <w:rPr>
          <w:b/>
          <w:szCs w:val="22"/>
        </w:rPr>
        <w:t>One of the significant challenges for road maintenance will be to ensure the financial sustainability of periodic maintenance</w:t>
      </w:r>
      <w:r w:rsidRPr="008900D8">
        <w:rPr>
          <w:szCs w:val="22"/>
        </w:rPr>
        <w:t>. In many cases, road maintenance tends to be subordinated to new investment. In Afghanistan, the financial capability of local governments or communities to raise revenues for road maintenance is still limited. Therefore, in the short to medium term the central government will continue to play an important role in financing rural road development and maintenance, given the external funding.</w:t>
      </w:r>
      <w:r w:rsidRPr="008900D8">
        <w:rPr>
          <w:rStyle w:val="FootnoteReference"/>
          <w:szCs w:val="22"/>
        </w:rPr>
        <w:footnoteReference w:id="111"/>
      </w:r>
      <w:r w:rsidRPr="008900D8">
        <w:rPr>
          <w:szCs w:val="22"/>
        </w:rPr>
        <w:t xml:space="preserve"> </w:t>
      </w:r>
    </w:p>
    <w:p w:rsidR="002C070F" w:rsidRPr="006C2E8C" w:rsidRDefault="002C070F" w:rsidP="002C070F">
      <w:pPr>
        <w:pStyle w:val="Heading2"/>
      </w:pPr>
      <w:bookmarkStart w:id="326" w:name="_Toc327208462"/>
      <w:bookmarkStart w:id="327" w:name="_Toc348451715"/>
      <w:r>
        <w:t>Opportunities</w:t>
      </w:r>
      <w:r w:rsidRPr="006C2E8C">
        <w:t xml:space="preserve"> and </w:t>
      </w:r>
      <w:r>
        <w:t>Recommendations</w:t>
      </w:r>
      <w:bookmarkEnd w:id="326"/>
      <w:bookmarkEnd w:id="327"/>
      <w:r w:rsidRPr="006C2E8C">
        <w:t xml:space="preserve"> </w:t>
      </w:r>
    </w:p>
    <w:p w:rsidR="002C070F" w:rsidRPr="00073AC8" w:rsidRDefault="002C070F" w:rsidP="002C070F">
      <w:r w:rsidRPr="00CF4CBC">
        <w:rPr>
          <w:b/>
        </w:rPr>
        <w:t>Prioritize road projects.</w:t>
      </w:r>
      <w:r w:rsidRPr="00CF4CBC">
        <w:rPr>
          <w:b/>
          <w:i/>
        </w:rPr>
        <w:t xml:space="preserve"> </w:t>
      </w:r>
      <w:r w:rsidRPr="00073AC8">
        <w:t>Given the limited resources available for road development, it is important to prioritize road projects</w:t>
      </w:r>
      <w:r>
        <w:t>, i.e</w:t>
      </w:r>
      <w:r w:rsidRPr="00073AC8">
        <w:t xml:space="preserve">., urban versus rural roads, and resource corridors versus domestic roads. </w:t>
      </w:r>
    </w:p>
    <w:p w:rsidR="002C070F" w:rsidRPr="00CF4CBC" w:rsidRDefault="002C070F" w:rsidP="002C070F">
      <w:pPr>
        <w:tabs>
          <w:tab w:val="left" w:pos="540"/>
        </w:tabs>
        <w:spacing w:after="0"/>
        <w:rPr>
          <w:szCs w:val="22"/>
        </w:rPr>
      </w:pPr>
      <w:r w:rsidRPr="00CF4CBC">
        <w:rPr>
          <w:b/>
          <w:szCs w:val="22"/>
        </w:rPr>
        <w:t xml:space="preserve"> Adequate funding and periodical road operation and maintenance. </w:t>
      </w:r>
      <w:r w:rsidRPr="00CF4CBC">
        <w:rPr>
          <w:szCs w:val="22"/>
        </w:rPr>
        <w:t xml:space="preserve">Maintaining the existing road network is the best strategy to avoid unnecessary public spending to rehabilitate damaged infrastructure. Potholes, cracks and wide joints are the places where water infiltrates the road surface, accelerating the deterioration of road conditions. In the long run, the government can develop a more sustainable mechanism to finance road maintenance. In Afghanistan, US$300 million, or 2.5 percent of GDP, would be required to carry out road maintenance, if it is assumed that the nation’s road network is required to be maintained every ten years, on average. Road maintenance would cost US$70,000–80,000 per km in the region (Table 3.12). In general, there are many ways of financing public roads, for example, through fuel levy, toll road or cordon pricing, parking fees, vehicle sales taxes, and vehicle registration or inspection fees. As the economy grows, these instruments can be taken into consideration. </w:t>
      </w:r>
    </w:p>
    <w:p w:rsidR="002C070F" w:rsidRPr="00073AC8" w:rsidRDefault="002C070F" w:rsidP="002C070F">
      <w:pPr>
        <w:tabs>
          <w:tab w:val="left" w:pos="540"/>
        </w:tabs>
        <w:spacing w:after="0"/>
        <w:rPr>
          <w:szCs w:val="22"/>
        </w:rPr>
      </w:pPr>
    </w:p>
    <w:p w:rsidR="002C070F" w:rsidRDefault="002C070F" w:rsidP="002C070F">
      <w:pPr>
        <w:tabs>
          <w:tab w:val="left" w:pos="540"/>
        </w:tabs>
        <w:spacing w:after="0"/>
        <w:rPr>
          <w:szCs w:val="22"/>
        </w:rPr>
      </w:pPr>
      <w:r w:rsidRPr="00186A47">
        <w:t>The development of better infrastructure services and challenges discussed in this chapter illustrate the importance of strengthening regional cooperation amongst Afghan neighbors.</w:t>
      </w:r>
      <w:r>
        <w:t xml:space="preserve">  In a region with great potential and trade opportunities, the country needs to better integrate itself to ensure improved access to markets and ports and to make a reality several of the major regional infrastructure projects on the planning board, which could generate greater investment. Why is regional cooperation important to Afghanistan?  This is the question the next chapter attempts to answer, while discussing on ways to capitalize on such opportunities.  Thus, a closer look at preferential transit and trade agreements and the need to develop a “resource corridor” initiative in order to maximize the benefits of extracting Afghanistan mineral wealth, in an inclusive way, may provide some answers.</w:t>
      </w:r>
    </w:p>
    <w:p w:rsidR="002C070F" w:rsidRDefault="002C070F" w:rsidP="002C070F"/>
    <w:p w:rsidR="002C070F" w:rsidRDefault="002C070F" w:rsidP="002C070F">
      <w:pPr>
        <w:pStyle w:val="Heading2"/>
      </w:pPr>
    </w:p>
    <w:p w:rsidR="004B4AF9" w:rsidRDefault="004B4AF9" w:rsidP="00663BE0">
      <w:pPr>
        <w:rPr>
          <w:rFonts w:eastAsiaTheme="majorEastAsia" w:cstheme="minorHAnsi"/>
          <w:b/>
          <w:bCs/>
          <w:sz w:val="32"/>
          <w:szCs w:val="32"/>
        </w:rPr>
      </w:pPr>
      <w:r>
        <w:br w:type="page"/>
      </w:r>
    </w:p>
    <w:p w:rsidR="0014667F" w:rsidRPr="00073AC8" w:rsidRDefault="00FA1FE1" w:rsidP="0014667F">
      <w:pPr>
        <w:pStyle w:val="Heading1"/>
      </w:pPr>
      <w:bookmarkStart w:id="328" w:name="_Toc327208463"/>
      <w:bookmarkStart w:id="329" w:name="_Toc348451716"/>
      <w:r>
        <w:t xml:space="preserve">Chapter </w:t>
      </w:r>
      <w:r w:rsidR="004B4AF9">
        <w:t>V</w:t>
      </w:r>
      <w:r w:rsidR="00893D5D">
        <w:t>:</w:t>
      </w:r>
      <w:r w:rsidR="001B07DD">
        <w:t xml:space="preserve"> </w:t>
      </w:r>
      <w:r w:rsidR="0014667F" w:rsidRPr="00073AC8">
        <w:t xml:space="preserve">Why </w:t>
      </w:r>
      <w:r w:rsidR="00893D5D">
        <w:t>R</w:t>
      </w:r>
      <w:r w:rsidR="0014667F" w:rsidRPr="00073AC8">
        <w:t xml:space="preserve">egional </w:t>
      </w:r>
      <w:r w:rsidR="00893D5D">
        <w:t>C</w:t>
      </w:r>
      <w:r w:rsidR="0014667F" w:rsidRPr="00073AC8">
        <w:t xml:space="preserve">ooperation </w:t>
      </w:r>
      <w:r w:rsidR="00D73911">
        <w:t xml:space="preserve">is </w:t>
      </w:r>
      <w:r w:rsidR="00893D5D">
        <w:t>I</w:t>
      </w:r>
      <w:r w:rsidR="0014667F" w:rsidRPr="00073AC8">
        <w:t>mportant</w:t>
      </w:r>
      <w:r w:rsidR="00A02784">
        <w:t xml:space="preserve"> for Afghanistan</w:t>
      </w:r>
      <w:bookmarkEnd w:id="328"/>
      <w:bookmarkEnd w:id="329"/>
      <w:r w:rsidR="001B07DD">
        <w:t xml:space="preserve"> </w:t>
      </w:r>
    </w:p>
    <w:p w:rsidR="00AC2327" w:rsidRPr="00D14429" w:rsidRDefault="00AC2327" w:rsidP="008900D8">
      <w:pPr>
        <w:autoSpaceDE w:val="0"/>
        <w:autoSpaceDN w:val="0"/>
        <w:adjustRightInd w:val="0"/>
        <w:spacing w:after="0"/>
        <w:rPr>
          <w:rFonts w:cstheme="minorHAnsi"/>
          <w:i/>
          <w:szCs w:val="22"/>
        </w:rPr>
      </w:pPr>
      <w:r w:rsidRPr="00D14429">
        <w:rPr>
          <w:rFonts w:cstheme="minorHAnsi"/>
          <w:i/>
          <w:szCs w:val="22"/>
        </w:rPr>
        <w:t>For a landlocked country</w:t>
      </w:r>
      <w:r w:rsidR="00D14429">
        <w:rPr>
          <w:rFonts w:cstheme="minorHAnsi"/>
          <w:i/>
          <w:szCs w:val="22"/>
        </w:rPr>
        <w:t>,</w:t>
      </w:r>
      <w:r w:rsidRPr="00D14429">
        <w:rPr>
          <w:rFonts w:cstheme="minorHAnsi"/>
          <w:i/>
          <w:szCs w:val="22"/>
        </w:rPr>
        <w:t xml:space="preserve"> re</w:t>
      </w:r>
      <w:r w:rsidR="00D14429">
        <w:rPr>
          <w:rFonts w:cstheme="minorHAnsi"/>
          <w:i/>
          <w:szCs w:val="22"/>
        </w:rPr>
        <w:t>gional cooperation is essential</w:t>
      </w:r>
      <w:r w:rsidR="003707D6">
        <w:rPr>
          <w:rFonts w:cstheme="minorHAnsi"/>
          <w:i/>
          <w:szCs w:val="22"/>
        </w:rPr>
        <w:t>,</w:t>
      </w:r>
      <w:r w:rsidRPr="00D14429">
        <w:rPr>
          <w:rFonts w:cstheme="minorHAnsi"/>
          <w:i/>
          <w:szCs w:val="22"/>
        </w:rPr>
        <w:t xml:space="preserve"> and Afghanistan could benefit </w:t>
      </w:r>
      <w:r w:rsidR="00CA1531">
        <w:rPr>
          <w:rFonts w:cstheme="minorHAnsi"/>
          <w:i/>
          <w:szCs w:val="22"/>
        </w:rPr>
        <w:t xml:space="preserve">greatly </w:t>
      </w:r>
      <w:r w:rsidRPr="00D14429">
        <w:rPr>
          <w:rFonts w:cstheme="minorHAnsi"/>
          <w:i/>
          <w:szCs w:val="22"/>
        </w:rPr>
        <w:t>from reduced financial, political, and security risks associated with large scale investments. The coun</w:t>
      </w:r>
      <w:r w:rsidR="00F56DCB">
        <w:rPr>
          <w:rFonts w:cstheme="minorHAnsi"/>
          <w:i/>
          <w:szCs w:val="22"/>
        </w:rPr>
        <w:t>try has taken important steps towards greater</w:t>
      </w:r>
      <w:r w:rsidRPr="00D14429">
        <w:rPr>
          <w:rFonts w:cstheme="minorHAnsi"/>
          <w:i/>
          <w:szCs w:val="22"/>
        </w:rPr>
        <w:t xml:space="preserve"> regional integration </w:t>
      </w:r>
      <w:r w:rsidR="00826BF1">
        <w:rPr>
          <w:rFonts w:cstheme="minorHAnsi"/>
          <w:i/>
          <w:szCs w:val="22"/>
        </w:rPr>
        <w:t>by seeking both North-East and South</w:t>
      </w:r>
      <w:r w:rsidRPr="00D14429">
        <w:rPr>
          <w:rFonts w:cstheme="minorHAnsi"/>
          <w:i/>
          <w:szCs w:val="22"/>
        </w:rPr>
        <w:t>-South preferential regimes.</w:t>
      </w:r>
      <w:r w:rsidR="00CA1531">
        <w:rPr>
          <w:rFonts w:cstheme="minorHAnsi"/>
          <w:i/>
          <w:szCs w:val="22"/>
        </w:rPr>
        <w:t xml:space="preserve"> </w:t>
      </w:r>
      <w:r w:rsidR="00F56DCB">
        <w:rPr>
          <w:rFonts w:cstheme="minorHAnsi"/>
          <w:i/>
          <w:szCs w:val="22"/>
        </w:rPr>
        <w:t>The</w:t>
      </w:r>
      <w:r w:rsidR="00826BF1">
        <w:rPr>
          <w:rFonts w:cstheme="minorHAnsi"/>
          <w:i/>
          <w:szCs w:val="22"/>
        </w:rPr>
        <w:t xml:space="preserve"> recent</w:t>
      </w:r>
      <w:r w:rsidR="00F56DCB">
        <w:rPr>
          <w:rFonts w:cstheme="minorHAnsi"/>
          <w:i/>
          <w:szCs w:val="22"/>
        </w:rPr>
        <w:t xml:space="preserve">ly operational </w:t>
      </w:r>
      <w:r w:rsidR="00826BF1">
        <w:rPr>
          <w:rFonts w:cstheme="minorHAnsi"/>
          <w:i/>
          <w:szCs w:val="22"/>
        </w:rPr>
        <w:t xml:space="preserve">transit agreement </w:t>
      </w:r>
      <w:r w:rsidRPr="00D14429">
        <w:rPr>
          <w:rFonts w:cstheme="minorHAnsi"/>
          <w:i/>
          <w:szCs w:val="22"/>
        </w:rPr>
        <w:t>with Pak</w:t>
      </w:r>
      <w:r w:rsidR="00826BF1">
        <w:rPr>
          <w:rFonts w:cstheme="minorHAnsi"/>
          <w:i/>
          <w:szCs w:val="22"/>
        </w:rPr>
        <w:t>is</w:t>
      </w:r>
      <w:r w:rsidRPr="00D14429">
        <w:rPr>
          <w:rFonts w:cstheme="minorHAnsi"/>
          <w:i/>
          <w:szCs w:val="22"/>
        </w:rPr>
        <w:t>tan</w:t>
      </w:r>
      <w:r w:rsidR="00826BF1">
        <w:rPr>
          <w:rFonts w:cstheme="minorHAnsi"/>
          <w:i/>
          <w:szCs w:val="22"/>
        </w:rPr>
        <w:t xml:space="preserve"> (APTTA) will ensure</w:t>
      </w:r>
      <w:r w:rsidRPr="00D14429">
        <w:rPr>
          <w:rFonts w:cstheme="minorHAnsi"/>
          <w:i/>
          <w:szCs w:val="22"/>
        </w:rPr>
        <w:t xml:space="preserve"> greater access to ports, while</w:t>
      </w:r>
      <w:r w:rsidR="00826BF1">
        <w:rPr>
          <w:rFonts w:cstheme="minorHAnsi"/>
          <w:i/>
          <w:szCs w:val="22"/>
        </w:rPr>
        <w:t xml:space="preserve"> its ratification of the </w:t>
      </w:r>
      <w:r w:rsidRPr="00D14429">
        <w:rPr>
          <w:rFonts w:cstheme="minorHAnsi"/>
          <w:i/>
          <w:szCs w:val="22"/>
        </w:rPr>
        <w:t>SAFT</w:t>
      </w:r>
      <w:r w:rsidR="00826BF1">
        <w:rPr>
          <w:rFonts w:cstheme="minorHAnsi"/>
          <w:i/>
          <w:szCs w:val="22"/>
        </w:rPr>
        <w:t>A agreement</w:t>
      </w:r>
      <w:r w:rsidRPr="00D14429">
        <w:rPr>
          <w:rFonts w:cstheme="minorHAnsi"/>
          <w:i/>
          <w:szCs w:val="22"/>
        </w:rPr>
        <w:t xml:space="preserve"> will </w:t>
      </w:r>
      <w:r w:rsidR="00826BF1">
        <w:rPr>
          <w:rFonts w:cstheme="minorHAnsi"/>
          <w:i/>
          <w:szCs w:val="22"/>
        </w:rPr>
        <w:t xml:space="preserve">bring </w:t>
      </w:r>
      <w:r w:rsidRPr="00D14429">
        <w:rPr>
          <w:rFonts w:cstheme="minorHAnsi"/>
          <w:i/>
          <w:szCs w:val="22"/>
        </w:rPr>
        <w:t>benefit</w:t>
      </w:r>
      <w:r w:rsidR="00826BF1">
        <w:rPr>
          <w:rFonts w:cstheme="minorHAnsi"/>
          <w:i/>
          <w:szCs w:val="22"/>
        </w:rPr>
        <w:t>s to</w:t>
      </w:r>
      <w:r w:rsidRPr="00D14429">
        <w:rPr>
          <w:rFonts w:cstheme="minorHAnsi"/>
          <w:i/>
          <w:szCs w:val="22"/>
        </w:rPr>
        <w:t xml:space="preserve"> its export base</w:t>
      </w:r>
      <w:r w:rsidR="00826BF1">
        <w:rPr>
          <w:rFonts w:cstheme="minorHAnsi"/>
          <w:i/>
          <w:szCs w:val="22"/>
        </w:rPr>
        <w:t xml:space="preserve"> </w:t>
      </w:r>
      <w:r w:rsidR="00CA1531">
        <w:rPr>
          <w:rFonts w:cstheme="minorHAnsi"/>
          <w:i/>
          <w:szCs w:val="22"/>
        </w:rPr>
        <w:t xml:space="preserve">in </w:t>
      </w:r>
      <w:r w:rsidR="00F56DCB">
        <w:rPr>
          <w:rFonts w:cstheme="minorHAnsi"/>
          <w:i/>
          <w:szCs w:val="22"/>
        </w:rPr>
        <w:t xml:space="preserve">the medium term </w:t>
      </w:r>
      <w:r w:rsidR="00826BF1">
        <w:rPr>
          <w:rFonts w:cstheme="minorHAnsi"/>
          <w:i/>
          <w:szCs w:val="22"/>
        </w:rPr>
        <w:t xml:space="preserve">and at a </w:t>
      </w:r>
      <w:r w:rsidRPr="00D14429">
        <w:rPr>
          <w:rFonts w:cstheme="minorHAnsi"/>
          <w:i/>
          <w:szCs w:val="22"/>
        </w:rPr>
        <w:t xml:space="preserve"> low cost in terms of </w:t>
      </w:r>
      <w:r w:rsidR="00D14429" w:rsidRPr="00D14429">
        <w:rPr>
          <w:rFonts w:cstheme="minorHAnsi"/>
          <w:i/>
          <w:szCs w:val="22"/>
        </w:rPr>
        <w:t xml:space="preserve">revenue losses and </w:t>
      </w:r>
      <w:r w:rsidRPr="00D14429">
        <w:rPr>
          <w:rFonts w:cstheme="minorHAnsi"/>
          <w:i/>
          <w:szCs w:val="22"/>
        </w:rPr>
        <w:t xml:space="preserve">imports (as suggested by a TRIST simulation exercise). </w:t>
      </w:r>
      <w:r w:rsidR="00D14429" w:rsidRPr="00D14429">
        <w:rPr>
          <w:rFonts w:cstheme="minorHAnsi"/>
          <w:i/>
          <w:szCs w:val="22"/>
        </w:rPr>
        <w:t xml:space="preserve">Afghanistan is in the process of gaining access to the WTO, which will ensure its regulatory framework is consistent with international standards. </w:t>
      </w:r>
    </w:p>
    <w:p w:rsidR="00AC2327" w:rsidRDefault="00AC2327" w:rsidP="0014667F">
      <w:pPr>
        <w:autoSpaceDE w:val="0"/>
        <w:autoSpaceDN w:val="0"/>
        <w:adjustRightInd w:val="0"/>
        <w:spacing w:after="0" w:line="240" w:lineRule="auto"/>
        <w:rPr>
          <w:rFonts w:cstheme="minorHAnsi"/>
          <w:szCs w:val="22"/>
        </w:rPr>
      </w:pPr>
    </w:p>
    <w:p w:rsidR="00E90724" w:rsidRDefault="0014667F" w:rsidP="008900D8">
      <w:pPr>
        <w:autoSpaceDE w:val="0"/>
        <w:autoSpaceDN w:val="0"/>
        <w:adjustRightInd w:val="0"/>
        <w:spacing w:after="0"/>
        <w:rPr>
          <w:rFonts w:cstheme="minorHAnsi"/>
          <w:szCs w:val="22"/>
        </w:rPr>
      </w:pPr>
      <w:r w:rsidRPr="00264783">
        <w:rPr>
          <w:rFonts w:cstheme="minorHAnsi"/>
          <w:b/>
          <w:szCs w:val="22"/>
        </w:rPr>
        <w:t>Afghanistan´s geostrategic location is an asset for regional cooperation</w:t>
      </w:r>
      <w:r w:rsidRPr="00E90724">
        <w:rPr>
          <w:rFonts w:cstheme="minorHAnsi"/>
          <w:szCs w:val="22"/>
        </w:rPr>
        <w:t xml:space="preserve">. </w:t>
      </w:r>
      <w:r w:rsidR="00F56DCB" w:rsidRPr="00E90724">
        <w:rPr>
          <w:rFonts w:cstheme="minorHAnsi"/>
          <w:szCs w:val="22"/>
        </w:rPr>
        <w:t>It is a</w:t>
      </w:r>
      <w:r w:rsidRPr="00E90724">
        <w:rPr>
          <w:rFonts w:cstheme="minorHAnsi"/>
          <w:szCs w:val="22"/>
        </w:rPr>
        <w:t>t the heart of Eurasia, with neighbors, Iran, Pakistan, China, Uzbekistan, Turkmenistan</w:t>
      </w:r>
      <w:r w:rsidRPr="00073AC8">
        <w:rPr>
          <w:rFonts w:cstheme="minorHAnsi"/>
          <w:szCs w:val="22"/>
        </w:rPr>
        <w:t>, and Tajikistan</w:t>
      </w:r>
      <w:r w:rsidR="00B7216D">
        <w:rPr>
          <w:rFonts w:cstheme="minorHAnsi"/>
          <w:szCs w:val="22"/>
        </w:rPr>
        <w:t>,</w:t>
      </w:r>
      <w:r w:rsidR="00D14429">
        <w:rPr>
          <w:rFonts w:cstheme="minorHAnsi"/>
          <w:szCs w:val="22"/>
        </w:rPr>
        <w:t xml:space="preserve"> </w:t>
      </w:r>
      <w:r w:rsidR="00F56DCB">
        <w:rPr>
          <w:rFonts w:cstheme="minorHAnsi"/>
          <w:szCs w:val="22"/>
        </w:rPr>
        <w:t xml:space="preserve">and with close access to </w:t>
      </w:r>
      <w:r w:rsidR="00F56DCB" w:rsidRPr="00073AC8">
        <w:rPr>
          <w:rFonts w:cstheme="minorHAnsi"/>
          <w:szCs w:val="22"/>
        </w:rPr>
        <w:t>the markets of India and China</w:t>
      </w:r>
      <w:r w:rsidR="00F56DCB">
        <w:rPr>
          <w:rFonts w:cstheme="minorHAnsi"/>
          <w:szCs w:val="22"/>
        </w:rPr>
        <w:t xml:space="preserve">, which represent trade opportunities </w:t>
      </w:r>
      <w:r w:rsidR="00907C70">
        <w:rPr>
          <w:rFonts w:cstheme="minorHAnsi"/>
          <w:szCs w:val="22"/>
        </w:rPr>
        <w:t xml:space="preserve">in </w:t>
      </w:r>
      <w:r w:rsidR="00F56DCB">
        <w:rPr>
          <w:rFonts w:cstheme="minorHAnsi"/>
          <w:szCs w:val="22"/>
        </w:rPr>
        <w:t xml:space="preserve">a market of around </w:t>
      </w:r>
      <w:r w:rsidR="00F56DCB" w:rsidRPr="00073AC8">
        <w:rPr>
          <w:rFonts w:cstheme="minorHAnsi"/>
          <w:szCs w:val="22"/>
        </w:rPr>
        <w:t>4, 8 billion people</w:t>
      </w:r>
      <w:r w:rsidR="00264783">
        <w:rPr>
          <w:rFonts w:cstheme="minorHAnsi"/>
          <w:szCs w:val="22"/>
        </w:rPr>
        <w:t>.</w:t>
      </w:r>
      <w:r w:rsidR="001B07DD">
        <w:rPr>
          <w:rFonts w:cstheme="minorHAnsi"/>
          <w:szCs w:val="22"/>
        </w:rPr>
        <w:t xml:space="preserve"> </w:t>
      </w:r>
    </w:p>
    <w:p w:rsidR="00E90724" w:rsidRDefault="00E90724" w:rsidP="008900D8">
      <w:pPr>
        <w:autoSpaceDE w:val="0"/>
        <w:autoSpaceDN w:val="0"/>
        <w:adjustRightInd w:val="0"/>
        <w:spacing w:after="0"/>
        <w:rPr>
          <w:rFonts w:cstheme="minorHAnsi"/>
          <w:szCs w:val="22"/>
        </w:rPr>
      </w:pPr>
    </w:p>
    <w:p w:rsidR="0014667F" w:rsidRPr="00073AC8" w:rsidRDefault="0014667F" w:rsidP="008900D8">
      <w:pPr>
        <w:autoSpaceDE w:val="0"/>
        <w:autoSpaceDN w:val="0"/>
        <w:adjustRightInd w:val="0"/>
        <w:spacing w:after="0"/>
        <w:rPr>
          <w:rFonts w:cstheme="minorHAnsi"/>
          <w:szCs w:val="22"/>
        </w:rPr>
      </w:pPr>
      <w:r w:rsidRPr="00073AC8">
        <w:rPr>
          <w:rFonts w:cstheme="minorHAnsi"/>
          <w:b/>
          <w:szCs w:val="22"/>
        </w:rPr>
        <w:t>Afghanistan´s neighboring countries are economically diverse.</w:t>
      </w:r>
      <w:r w:rsidR="001B07DD">
        <w:rPr>
          <w:rFonts w:cstheme="minorHAnsi"/>
          <w:b/>
          <w:szCs w:val="22"/>
        </w:rPr>
        <w:t xml:space="preserve"> </w:t>
      </w:r>
      <w:r w:rsidRPr="00073AC8">
        <w:rPr>
          <w:rFonts w:cstheme="minorHAnsi"/>
          <w:szCs w:val="22"/>
        </w:rPr>
        <w:t>Neighboring countries differ greatly in population, GDP, and level</w:t>
      </w:r>
      <w:r w:rsidR="003001C8">
        <w:rPr>
          <w:rFonts w:cstheme="minorHAnsi"/>
          <w:szCs w:val="22"/>
        </w:rPr>
        <w:t xml:space="preserve">s </w:t>
      </w:r>
      <w:r w:rsidRPr="00073AC8">
        <w:rPr>
          <w:rFonts w:cstheme="minorHAnsi"/>
          <w:szCs w:val="22"/>
        </w:rPr>
        <w:t>of development (</w:t>
      </w:r>
      <w:r w:rsidR="003001C8">
        <w:rPr>
          <w:rFonts w:cstheme="minorHAnsi"/>
          <w:szCs w:val="22"/>
        </w:rPr>
        <w:t xml:space="preserve">in </w:t>
      </w:r>
      <w:r w:rsidRPr="00073AC8">
        <w:rPr>
          <w:rFonts w:cstheme="minorHAnsi"/>
          <w:szCs w:val="22"/>
        </w:rPr>
        <w:t>both per</w:t>
      </w:r>
      <w:r w:rsidR="003001C8">
        <w:rPr>
          <w:rFonts w:cstheme="minorHAnsi"/>
          <w:szCs w:val="22"/>
        </w:rPr>
        <w:t>-</w:t>
      </w:r>
      <w:r w:rsidRPr="00073AC8">
        <w:rPr>
          <w:rFonts w:cstheme="minorHAnsi"/>
          <w:szCs w:val="22"/>
        </w:rPr>
        <w:t>capita GDP and human capital), a</w:t>
      </w:r>
      <w:r w:rsidR="003001C8">
        <w:rPr>
          <w:rFonts w:cstheme="minorHAnsi"/>
          <w:szCs w:val="22"/>
        </w:rPr>
        <w:t>nd</w:t>
      </w:r>
      <w:r w:rsidRPr="00073AC8">
        <w:rPr>
          <w:rFonts w:cstheme="minorHAnsi"/>
          <w:szCs w:val="22"/>
        </w:rPr>
        <w:t xml:space="preserve"> economic structures.</w:t>
      </w:r>
      <w:r w:rsidR="001B07DD">
        <w:rPr>
          <w:rFonts w:cstheme="minorHAnsi"/>
          <w:szCs w:val="22"/>
        </w:rPr>
        <w:t xml:space="preserve"> </w:t>
      </w:r>
      <w:r w:rsidRPr="00073AC8">
        <w:rPr>
          <w:rFonts w:cstheme="minorHAnsi"/>
          <w:szCs w:val="22"/>
        </w:rPr>
        <w:t>This diversity presents challenges for greater regional integration.</w:t>
      </w:r>
      <w:r w:rsidR="001B07DD">
        <w:rPr>
          <w:rFonts w:cstheme="minorHAnsi"/>
          <w:szCs w:val="22"/>
        </w:rPr>
        <w:t xml:space="preserve"> </w:t>
      </w:r>
      <w:r w:rsidRPr="00073AC8">
        <w:rPr>
          <w:rFonts w:cstheme="minorHAnsi"/>
          <w:szCs w:val="22"/>
        </w:rPr>
        <w:t>In general, Afghan</w:t>
      </w:r>
      <w:r w:rsidR="003001C8">
        <w:rPr>
          <w:rFonts w:cstheme="minorHAnsi"/>
          <w:szCs w:val="22"/>
        </w:rPr>
        <w:t>istan’s</w:t>
      </w:r>
      <w:r w:rsidRPr="00073AC8">
        <w:rPr>
          <w:rFonts w:cstheme="minorHAnsi"/>
          <w:szCs w:val="22"/>
        </w:rPr>
        <w:t xml:space="preserve"> </w:t>
      </w:r>
      <w:r w:rsidRPr="00264783">
        <w:rPr>
          <w:rFonts w:cstheme="minorHAnsi"/>
          <w:szCs w:val="22"/>
        </w:rPr>
        <w:t>neighbors have underdeveloped</w:t>
      </w:r>
      <w:r w:rsidRPr="00073AC8">
        <w:rPr>
          <w:rFonts w:cstheme="minorHAnsi"/>
          <w:szCs w:val="22"/>
        </w:rPr>
        <w:t xml:space="preserve"> transport systems and share a commodity-oriented structure of exports.</w:t>
      </w:r>
      <w:r w:rsidR="001B07DD">
        <w:rPr>
          <w:rFonts w:cstheme="minorHAnsi"/>
          <w:szCs w:val="22"/>
        </w:rPr>
        <w:t xml:space="preserve"> </w:t>
      </w:r>
      <w:r w:rsidRPr="00073AC8">
        <w:rPr>
          <w:rFonts w:cstheme="minorHAnsi"/>
          <w:szCs w:val="22"/>
        </w:rPr>
        <w:t xml:space="preserve">With large public sectors and direct public intervention in economic activity, </w:t>
      </w:r>
      <w:r w:rsidR="00264783">
        <w:rPr>
          <w:rFonts w:cstheme="minorHAnsi"/>
          <w:szCs w:val="22"/>
        </w:rPr>
        <w:t xml:space="preserve">some </w:t>
      </w:r>
      <w:r w:rsidRPr="00073AC8">
        <w:rPr>
          <w:rFonts w:cstheme="minorHAnsi"/>
          <w:szCs w:val="22"/>
        </w:rPr>
        <w:t xml:space="preserve">markets face </w:t>
      </w:r>
      <w:r w:rsidR="00264783">
        <w:rPr>
          <w:rFonts w:cstheme="minorHAnsi"/>
          <w:szCs w:val="22"/>
        </w:rPr>
        <w:t xml:space="preserve">price </w:t>
      </w:r>
      <w:r w:rsidRPr="00073AC8">
        <w:rPr>
          <w:rFonts w:cstheme="minorHAnsi"/>
          <w:szCs w:val="22"/>
        </w:rPr>
        <w:t>distortions deter greater trade flow exchanges.</w:t>
      </w:r>
      <w:r w:rsidR="001B07DD">
        <w:rPr>
          <w:rFonts w:cstheme="minorHAnsi"/>
          <w:szCs w:val="22"/>
        </w:rPr>
        <w:t xml:space="preserve"> </w:t>
      </w:r>
      <w:r w:rsidRPr="00073AC8">
        <w:rPr>
          <w:rFonts w:cstheme="minorHAnsi"/>
          <w:szCs w:val="22"/>
        </w:rPr>
        <w:t>In addition the large informality of economic activity across most trade partners presents challenges to deepe</w:t>
      </w:r>
      <w:r w:rsidR="003001C8">
        <w:rPr>
          <w:rFonts w:cstheme="minorHAnsi"/>
          <w:szCs w:val="22"/>
        </w:rPr>
        <w:t>r</w:t>
      </w:r>
      <w:r w:rsidRPr="00073AC8">
        <w:rPr>
          <w:rFonts w:cstheme="minorHAnsi"/>
          <w:szCs w:val="22"/>
        </w:rPr>
        <w:t xml:space="preserve"> private sector development.</w:t>
      </w:r>
      <w:r w:rsidR="001B07DD">
        <w:rPr>
          <w:rFonts w:cstheme="minorHAnsi"/>
          <w:szCs w:val="22"/>
        </w:rPr>
        <w:t xml:space="preserve"> </w:t>
      </w:r>
    </w:p>
    <w:p w:rsidR="0014667F" w:rsidRPr="00073AC8" w:rsidRDefault="0014667F" w:rsidP="0014667F">
      <w:pPr>
        <w:pStyle w:val="Heading2"/>
      </w:pPr>
      <w:bookmarkStart w:id="330" w:name="_Toc327208464"/>
      <w:bookmarkStart w:id="331" w:name="_Toc348451717"/>
      <w:r w:rsidRPr="00073AC8">
        <w:t>Existing Trade Arrangements</w:t>
      </w:r>
      <w:bookmarkEnd w:id="330"/>
      <w:bookmarkEnd w:id="331"/>
      <w:r w:rsidRPr="00073AC8">
        <w:t xml:space="preserve"> </w:t>
      </w:r>
    </w:p>
    <w:p w:rsidR="0014667F" w:rsidRPr="008900D8" w:rsidRDefault="0014667F" w:rsidP="008900D8">
      <w:pPr>
        <w:tabs>
          <w:tab w:val="left" w:pos="0"/>
        </w:tabs>
        <w:autoSpaceDE w:val="0"/>
        <w:autoSpaceDN w:val="0"/>
        <w:adjustRightInd w:val="0"/>
        <w:spacing w:after="0"/>
        <w:rPr>
          <w:rFonts w:cstheme="minorHAnsi"/>
          <w:b/>
          <w:szCs w:val="22"/>
        </w:rPr>
      </w:pPr>
      <w:r w:rsidRPr="008900D8">
        <w:rPr>
          <w:rFonts w:cstheme="minorHAnsi"/>
          <w:b/>
          <w:szCs w:val="22"/>
        </w:rPr>
        <w:t>Afghanistan has taken important steps to promote regional cooperation and regional integration</w:t>
      </w:r>
      <w:r w:rsidRPr="008900D8">
        <w:rPr>
          <w:rFonts w:cstheme="minorHAnsi"/>
          <w:szCs w:val="22"/>
        </w:rPr>
        <w:t>.</w:t>
      </w:r>
      <w:r w:rsidR="001B07DD" w:rsidRPr="008900D8">
        <w:rPr>
          <w:rFonts w:cstheme="minorHAnsi"/>
          <w:szCs w:val="22"/>
        </w:rPr>
        <w:t xml:space="preserve"> </w:t>
      </w:r>
      <w:r w:rsidRPr="008900D8">
        <w:rPr>
          <w:rFonts w:cstheme="minorHAnsi"/>
          <w:szCs w:val="22"/>
        </w:rPr>
        <w:t>The Regional Economic Cooperation Conference</w:t>
      </w:r>
      <w:r w:rsidR="003001C8" w:rsidRPr="008900D8">
        <w:rPr>
          <w:rFonts w:cstheme="minorHAnsi"/>
          <w:szCs w:val="22"/>
        </w:rPr>
        <w:t xml:space="preserve"> on Afghanistan</w:t>
      </w:r>
      <w:r w:rsidRPr="008900D8">
        <w:rPr>
          <w:rFonts w:cstheme="minorHAnsi"/>
          <w:szCs w:val="22"/>
        </w:rPr>
        <w:t xml:space="preserve"> (RECCA) provides a platform for regional countries to express their views on regional matters</w:t>
      </w:r>
      <w:r w:rsidR="003001C8" w:rsidRPr="008900D8">
        <w:rPr>
          <w:rFonts w:cstheme="minorHAnsi"/>
          <w:szCs w:val="22"/>
        </w:rPr>
        <w:t>,</w:t>
      </w:r>
      <w:r w:rsidRPr="008900D8">
        <w:rPr>
          <w:rFonts w:cstheme="minorHAnsi"/>
          <w:szCs w:val="22"/>
        </w:rPr>
        <w:t xml:space="preserve"> with </w:t>
      </w:r>
      <w:r w:rsidR="003001C8" w:rsidRPr="008900D8">
        <w:rPr>
          <w:rFonts w:cstheme="minorHAnsi"/>
          <w:szCs w:val="22"/>
        </w:rPr>
        <w:t>regard to</w:t>
      </w:r>
      <w:r w:rsidRPr="008900D8">
        <w:rPr>
          <w:rFonts w:cstheme="minorHAnsi"/>
          <w:szCs w:val="22"/>
        </w:rPr>
        <w:t xml:space="preserve"> Afghanistan. Since 2005, when Afghanistan hosted the first RECCA, regional partners </w:t>
      </w:r>
      <w:r w:rsidR="003001C8" w:rsidRPr="008900D8">
        <w:rPr>
          <w:rFonts w:cstheme="minorHAnsi"/>
          <w:szCs w:val="22"/>
        </w:rPr>
        <w:t xml:space="preserve">have </w:t>
      </w:r>
      <w:r w:rsidRPr="008900D8">
        <w:rPr>
          <w:rFonts w:cstheme="minorHAnsi"/>
          <w:szCs w:val="22"/>
        </w:rPr>
        <w:t>continue</w:t>
      </w:r>
      <w:r w:rsidR="003001C8" w:rsidRPr="008900D8">
        <w:rPr>
          <w:rFonts w:cstheme="minorHAnsi"/>
          <w:szCs w:val="22"/>
        </w:rPr>
        <w:t>d</w:t>
      </w:r>
      <w:r w:rsidRPr="008900D8">
        <w:rPr>
          <w:rFonts w:cstheme="minorHAnsi"/>
          <w:szCs w:val="22"/>
        </w:rPr>
        <w:t xml:space="preserve"> to discuss ways to promote greater energy, trade, transit and transport exchanges.</w:t>
      </w:r>
      <w:r w:rsidR="001B07DD" w:rsidRPr="008900D8">
        <w:rPr>
          <w:rFonts w:cstheme="minorHAnsi"/>
          <w:szCs w:val="22"/>
        </w:rPr>
        <w:t xml:space="preserve"> </w:t>
      </w:r>
      <w:r w:rsidRPr="008900D8">
        <w:rPr>
          <w:rFonts w:cstheme="minorHAnsi"/>
          <w:szCs w:val="22"/>
        </w:rPr>
        <w:t>Regional cooperation is a crosscutting theme in the Afghanistan National Development Strategy (ANDS) with all sector expected to incorporate the Regional Cooperation Strategy of the ANDS in their policies and programs.</w:t>
      </w:r>
      <w:r w:rsidRPr="008900D8">
        <w:rPr>
          <w:rStyle w:val="FootnoteReference"/>
          <w:rFonts w:cstheme="minorHAnsi"/>
          <w:sz w:val="22"/>
          <w:szCs w:val="22"/>
        </w:rPr>
        <w:footnoteReference w:id="112"/>
      </w:r>
      <w:r w:rsidRPr="008900D8">
        <w:rPr>
          <w:rFonts w:cstheme="minorHAnsi"/>
          <w:szCs w:val="22"/>
        </w:rPr>
        <w:t xml:space="preserve"> </w:t>
      </w:r>
    </w:p>
    <w:p w:rsidR="0014667F" w:rsidRPr="00073AC8" w:rsidRDefault="0014667F" w:rsidP="0014667F">
      <w:pPr>
        <w:pStyle w:val="ListParagraph"/>
        <w:tabs>
          <w:tab w:val="left" w:pos="0"/>
        </w:tabs>
        <w:autoSpaceDE w:val="0"/>
        <w:autoSpaceDN w:val="0"/>
        <w:adjustRightInd w:val="0"/>
        <w:spacing w:after="0" w:line="240" w:lineRule="auto"/>
        <w:ind w:left="0"/>
        <w:rPr>
          <w:rFonts w:cstheme="minorHAnsi"/>
          <w:b/>
          <w:szCs w:val="22"/>
        </w:rPr>
      </w:pPr>
    </w:p>
    <w:p w:rsidR="0014667F" w:rsidRPr="00992FE6" w:rsidRDefault="0014667F" w:rsidP="00992FE6">
      <w:pPr>
        <w:pStyle w:val="Heading3"/>
      </w:pPr>
      <w:bookmarkStart w:id="332" w:name="_Toc327208465"/>
      <w:bookmarkStart w:id="333" w:name="_Toc348451718"/>
      <w:r w:rsidRPr="00992FE6">
        <w:t>North-East Preferential Regimes</w:t>
      </w:r>
      <w:bookmarkEnd w:id="332"/>
      <w:bookmarkEnd w:id="333"/>
      <w:r w:rsidRPr="00992FE6">
        <w:t xml:space="preserve"> </w:t>
      </w:r>
    </w:p>
    <w:p w:rsidR="0014667F" w:rsidRPr="00073AC8" w:rsidRDefault="0014667F" w:rsidP="008900D8">
      <w:pPr>
        <w:tabs>
          <w:tab w:val="left" w:pos="720"/>
        </w:tabs>
        <w:spacing w:after="240"/>
        <w:rPr>
          <w:rFonts w:eastAsia="Times New Roman" w:cstheme="minorHAnsi"/>
          <w:b/>
          <w:szCs w:val="22"/>
        </w:rPr>
      </w:pPr>
      <w:r w:rsidRPr="00073AC8">
        <w:rPr>
          <w:b/>
          <w:bCs/>
          <w:color w:val="000000"/>
          <w:szCs w:val="22"/>
        </w:rPr>
        <w:t>Afghanistan</w:t>
      </w:r>
      <w:r w:rsidR="007D606C">
        <w:rPr>
          <w:b/>
          <w:bCs/>
          <w:color w:val="000000"/>
          <w:szCs w:val="22"/>
        </w:rPr>
        <w:t>, like</w:t>
      </w:r>
      <w:r w:rsidRPr="00073AC8">
        <w:rPr>
          <w:b/>
          <w:bCs/>
          <w:color w:val="000000"/>
          <w:szCs w:val="22"/>
        </w:rPr>
        <w:t xml:space="preserve"> all LDC’s</w:t>
      </w:r>
      <w:r w:rsidR="007D606C">
        <w:rPr>
          <w:b/>
          <w:bCs/>
          <w:color w:val="000000"/>
          <w:szCs w:val="22"/>
        </w:rPr>
        <w:t>,</w:t>
      </w:r>
      <w:r w:rsidRPr="00073AC8">
        <w:rPr>
          <w:b/>
          <w:bCs/>
          <w:color w:val="000000"/>
          <w:szCs w:val="22"/>
        </w:rPr>
        <w:t xml:space="preserve"> has free market access to the EU</w:t>
      </w:r>
      <w:r w:rsidRPr="00073AC8">
        <w:rPr>
          <w:bCs/>
          <w:color w:val="000000"/>
          <w:szCs w:val="22"/>
        </w:rPr>
        <w:t>.</w:t>
      </w:r>
      <w:r w:rsidR="001B07DD">
        <w:rPr>
          <w:bCs/>
          <w:color w:val="000000"/>
          <w:szCs w:val="22"/>
        </w:rPr>
        <w:t xml:space="preserve"> </w:t>
      </w:r>
      <w:r w:rsidRPr="00073AC8">
        <w:rPr>
          <w:bCs/>
          <w:color w:val="000000"/>
          <w:szCs w:val="22"/>
        </w:rPr>
        <w:t xml:space="preserve">Under the </w:t>
      </w:r>
      <w:r w:rsidRPr="00073AC8">
        <w:rPr>
          <w:rFonts w:eastAsia="Times New Roman" w:cstheme="minorHAnsi"/>
          <w:szCs w:val="22"/>
        </w:rPr>
        <w:t>Everything-But Arms (EBA) initiative,</w:t>
      </w:r>
      <w:r w:rsidRPr="00073AC8">
        <w:rPr>
          <w:bCs/>
          <w:color w:val="000000"/>
          <w:szCs w:val="22"/>
        </w:rPr>
        <w:t xml:space="preserve"> Afghanistan is eligible for duty-free </w:t>
      </w:r>
      <w:r w:rsidRPr="00073AC8">
        <w:rPr>
          <w:rFonts w:eastAsia="Times New Roman" w:cstheme="minorHAnsi"/>
          <w:szCs w:val="22"/>
        </w:rPr>
        <w:t xml:space="preserve">and quota-free access for all goods </w:t>
      </w:r>
      <w:r w:rsidRPr="00073AC8">
        <w:rPr>
          <w:bCs/>
          <w:color w:val="000000"/>
          <w:szCs w:val="22"/>
        </w:rPr>
        <w:t>to the European market</w:t>
      </w:r>
      <w:r w:rsidRPr="00073AC8">
        <w:rPr>
          <w:rFonts w:eastAsia="Times New Roman" w:cstheme="minorHAnsi"/>
          <w:b/>
          <w:szCs w:val="22"/>
        </w:rPr>
        <w:t>.</w:t>
      </w:r>
      <w:r w:rsidR="001B07DD">
        <w:rPr>
          <w:rFonts w:eastAsia="Times New Roman" w:cstheme="minorHAnsi"/>
          <w:b/>
          <w:szCs w:val="22"/>
        </w:rPr>
        <w:t xml:space="preserve"> </w:t>
      </w:r>
      <w:r w:rsidRPr="00073AC8">
        <w:rPr>
          <w:bCs/>
          <w:color w:val="000000"/>
          <w:szCs w:val="22"/>
        </w:rPr>
        <w:t xml:space="preserve">Since 2004, all LDCs face </w:t>
      </w:r>
      <w:r w:rsidR="007D606C">
        <w:rPr>
          <w:bCs/>
          <w:color w:val="000000"/>
          <w:szCs w:val="22"/>
        </w:rPr>
        <w:t>zero</w:t>
      </w:r>
      <w:r w:rsidRPr="00073AC8">
        <w:rPr>
          <w:bCs/>
          <w:color w:val="000000"/>
          <w:szCs w:val="22"/>
        </w:rPr>
        <w:t xml:space="preserve"> duty </w:t>
      </w:r>
      <w:r w:rsidR="007D606C">
        <w:rPr>
          <w:bCs/>
          <w:color w:val="000000"/>
          <w:szCs w:val="22"/>
        </w:rPr>
        <w:t>i</w:t>
      </w:r>
      <w:r w:rsidRPr="00073AC8">
        <w:rPr>
          <w:bCs/>
          <w:color w:val="000000"/>
          <w:szCs w:val="22"/>
        </w:rPr>
        <w:t>n the EU market</w:t>
      </w:r>
      <w:r w:rsidR="007D606C">
        <w:rPr>
          <w:bCs/>
          <w:color w:val="000000"/>
          <w:szCs w:val="22"/>
        </w:rPr>
        <w:t>;</w:t>
      </w:r>
      <w:r w:rsidRPr="00073AC8">
        <w:rPr>
          <w:bCs/>
          <w:color w:val="000000"/>
          <w:szCs w:val="22"/>
        </w:rPr>
        <w:t xml:space="preserve"> thus there is no specific advantage </w:t>
      </w:r>
      <w:r w:rsidR="007D606C">
        <w:rPr>
          <w:bCs/>
          <w:color w:val="000000"/>
          <w:szCs w:val="22"/>
        </w:rPr>
        <w:t xml:space="preserve">for </w:t>
      </w:r>
      <w:r w:rsidRPr="00073AC8">
        <w:rPr>
          <w:bCs/>
          <w:color w:val="000000"/>
          <w:szCs w:val="22"/>
        </w:rPr>
        <w:t>Afghanistan.</w:t>
      </w:r>
      <w:r w:rsidR="001B07DD">
        <w:rPr>
          <w:bCs/>
          <w:color w:val="000000"/>
          <w:szCs w:val="22"/>
        </w:rPr>
        <w:t xml:space="preserve"> </w:t>
      </w:r>
      <w:r w:rsidRPr="00073AC8">
        <w:rPr>
          <w:bCs/>
          <w:color w:val="000000"/>
          <w:szCs w:val="22"/>
        </w:rPr>
        <w:t>Since many LDC’s share Afghanistan’s export structure</w:t>
      </w:r>
      <w:r w:rsidR="007D606C">
        <w:rPr>
          <w:bCs/>
          <w:color w:val="000000"/>
          <w:szCs w:val="22"/>
        </w:rPr>
        <w:t>,</w:t>
      </w:r>
      <w:r w:rsidRPr="00073AC8">
        <w:rPr>
          <w:bCs/>
          <w:color w:val="000000"/>
          <w:szCs w:val="22"/>
        </w:rPr>
        <w:t xml:space="preserve"> based on few primary commodities, Afghan exports tend to be at </w:t>
      </w:r>
      <w:r w:rsidR="007D606C">
        <w:rPr>
          <w:bCs/>
          <w:color w:val="000000"/>
          <w:szCs w:val="22"/>
        </w:rPr>
        <w:t xml:space="preserve">a </w:t>
      </w:r>
      <w:r w:rsidRPr="00073AC8">
        <w:rPr>
          <w:bCs/>
          <w:color w:val="000000"/>
          <w:szCs w:val="22"/>
        </w:rPr>
        <w:t xml:space="preserve">disadvantage because of their higher prices </w:t>
      </w:r>
      <w:r w:rsidR="007D606C">
        <w:rPr>
          <w:bCs/>
          <w:color w:val="000000"/>
          <w:szCs w:val="22"/>
        </w:rPr>
        <w:t>in</w:t>
      </w:r>
      <w:r w:rsidR="007D606C" w:rsidRPr="00073AC8">
        <w:rPr>
          <w:bCs/>
          <w:color w:val="000000"/>
          <w:szCs w:val="22"/>
        </w:rPr>
        <w:t xml:space="preserve"> </w:t>
      </w:r>
      <w:r w:rsidRPr="00073AC8">
        <w:rPr>
          <w:bCs/>
          <w:color w:val="000000"/>
          <w:szCs w:val="22"/>
        </w:rPr>
        <w:t>EU markets.</w:t>
      </w:r>
      <w:r w:rsidR="001B07DD">
        <w:rPr>
          <w:bCs/>
          <w:color w:val="000000"/>
          <w:szCs w:val="22"/>
        </w:rPr>
        <w:t xml:space="preserve"> </w:t>
      </w:r>
    </w:p>
    <w:p w:rsidR="0014667F" w:rsidRPr="00073AC8" w:rsidRDefault="0014667F" w:rsidP="008900D8">
      <w:pPr>
        <w:tabs>
          <w:tab w:val="left" w:pos="720"/>
        </w:tabs>
        <w:spacing w:after="240"/>
        <w:rPr>
          <w:rFonts w:eastAsia="Times New Roman" w:cstheme="minorHAnsi"/>
          <w:szCs w:val="22"/>
        </w:rPr>
      </w:pPr>
      <w:r w:rsidRPr="00073AC8">
        <w:rPr>
          <w:rFonts w:eastAsia="Times New Roman" w:cstheme="minorHAnsi"/>
          <w:b/>
          <w:szCs w:val="22"/>
        </w:rPr>
        <w:t>The</w:t>
      </w:r>
      <w:r w:rsidRPr="00073AC8">
        <w:rPr>
          <w:rFonts w:eastAsia="Times New Roman" w:cstheme="minorHAnsi"/>
          <w:szCs w:val="22"/>
        </w:rPr>
        <w:t xml:space="preserve"> </w:t>
      </w:r>
      <w:r w:rsidRPr="00073AC8">
        <w:rPr>
          <w:rFonts w:eastAsia="Times New Roman" w:cstheme="minorHAnsi"/>
          <w:b/>
          <w:szCs w:val="22"/>
        </w:rPr>
        <w:t>US Generalized Scheme of Preferences (GSP) provides duty</w:t>
      </w:r>
      <w:r w:rsidR="007D606C">
        <w:rPr>
          <w:rFonts w:eastAsia="Times New Roman" w:cstheme="minorHAnsi"/>
          <w:b/>
          <w:szCs w:val="22"/>
        </w:rPr>
        <w:t>-</w:t>
      </w:r>
      <w:r w:rsidRPr="00073AC8">
        <w:rPr>
          <w:rFonts w:eastAsia="Times New Roman" w:cstheme="minorHAnsi"/>
          <w:b/>
          <w:szCs w:val="22"/>
        </w:rPr>
        <w:t xml:space="preserve">free </w:t>
      </w:r>
      <w:r w:rsidR="007D606C">
        <w:rPr>
          <w:rFonts w:eastAsia="Times New Roman" w:cstheme="minorHAnsi"/>
          <w:b/>
          <w:szCs w:val="22"/>
        </w:rPr>
        <w:t>access to</w:t>
      </w:r>
      <w:r w:rsidRPr="00073AC8">
        <w:rPr>
          <w:rFonts w:eastAsia="Times New Roman" w:cstheme="minorHAnsi"/>
          <w:b/>
          <w:szCs w:val="22"/>
        </w:rPr>
        <w:t xml:space="preserve"> 5,000 Afghan products</w:t>
      </w:r>
      <w:r w:rsidRPr="00073AC8">
        <w:rPr>
          <w:rFonts w:eastAsia="Times New Roman" w:cstheme="minorHAnsi"/>
          <w:szCs w:val="22"/>
        </w:rPr>
        <w:t>.</w:t>
      </w:r>
      <w:r w:rsidR="001B07DD">
        <w:rPr>
          <w:rFonts w:eastAsia="Times New Roman" w:cstheme="minorHAnsi"/>
          <w:szCs w:val="22"/>
        </w:rPr>
        <w:t xml:space="preserve"> </w:t>
      </w:r>
      <w:r w:rsidRPr="00073AC8">
        <w:rPr>
          <w:rFonts w:eastAsia="Times New Roman" w:cstheme="minorHAnsi"/>
          <w:szCs w:val="22"/>
        </w:rPr>
        <w:t>A 35 percent value addition is required.</w:t>
      </w:r>
      <w:r w:rsidR="001B07DD">
        <w:rPr>
          <w:rFonts w:eastAsia="Times New Roman" w:cstheme="minorHAnsi"/>
          <w:szCs w:val="22"/>
        </w:rPr>
        <w:t xml:space="preserve"> </w:t>
      </w:r>
      <w:r w:rsidRPr="00073AC8">
        <w:rPr>
          <w:rFonts w:eastAsia="Times New Roman" w:cstheme="minorHAnsi"/>
          <w:szCs w:val="22"/>
        </w:rPr>
        <w:t>Afghanistan also qualifies for additional products</w:t>
      </w:r>
      <w:r w:rsidR="007D606C">
        <w:rPr>
          <w:rFonts w:eastAsia="Times New Roman" w:cstheme="minorHAnsi"/>
          <w:szCs w:val="22"/>
        </w:rPr>
        <w:t>,</w:t>
      </w:r>
      <w:r w:rsidRPr="00073AC8">
        <w:rPr>
          <w:rFonts w:eastAsia="Times New Roman" w:cstheme="minorHAnsi"/>
          <w:szCs w:val="22"/>
        </w:rPr>
        <w:t xml:space="preserve"> such as milk, yogurt, food preparations with flour, candy (candied nuts, sugar candy, chocolate) and </w:t>
      </w:r>
      <w:r w:rsidR="007D606C">
        <w:rPr>
          <w:rFonts w:eastAsia="Times New Roman" w:cstheme="minorHAnsi"/>
          <w:szCs w:val="22"/>
        </w:rPr>
        <w:t xml:space="preserve">government-certified </w:t>
      </w:r>
      <w:r w:rsidRPr="00073AC8">
        <w:rPr>
          <w:rFonts w:eastAsia="Times New Roman" w:cstheme="minorHAnsi"/>
          <w:szCs w:val="22"/>
        </w:rPr>
        <w:t>handicrafts.</w:t>
      </w:r>
      <w:r w:rsidR="001B07DD">
        <w:rPr>
          <w:rFonts w:eastAsia="Times New Roman" w:cstheme="minorHAnsi"/>
          <w:szCs w:val="22"/>
        </w:rPr>
        <w:t xml:space="preserve"> </w:t>
      </w:r>
      <w:r w:rsidRPr="00073AC8">
        <w:rPr>
          <w:rFonts w:eastAsia="Times New Roman" w:cstheme="minorHAnsi"/>
          <w:szCs w:val="22"/>
        </w:rPr>
        <w:t>E</w:t>
      </w:r>
      <w:r w:rsidRPr="00073AC8">
        <w:rPr>
          <w:bCs/>
          <w:color w:val="000000"/>
          <w:szCs w:val="22"/>
        </w:rPr>
        <w:t>ven though Afghan goods face a higher tariff rate in</w:t>
      </w:r>
      <w:r w:rsidR="007D606C">
        <w:rPr>
          <w:bCs/>
          <w:color w:val="000000"/>
          <w:szCs w:val="22"/>
        </w:rPr>
        <w:t xml:space="preserve"> the</w:t>
      </w:r>
      <w:r w:rsidRPr="00073AC8">
        <w:rPr>
          <w:bCs/>
          <w:color w:val="000000"/>
          <w:szCs w:val="22"/>
        </w:rPr>
        <w:t xml:space="preserve"> US than in </w:t>
      </w:r>
      <w:r w:rsidR="007D606C">
        <w:rPr>
          <w:bCs/>
          <w:color w:val="000000"/>
          <w:szCs w:val="22"/>
        </w:rPr>
        <w:t xml:space="preserve">the </w:t>
      </w:r>
      <w:r w:rsidRPr="00073AC8">
        <w:rPr>
          <w:bCs/>
          <w:color w:val="000000"/>
          <w:szCs w:val="22"/>
        </w:rPr>
        <w:t>EU,</w:t>
      </w:r>
      <w:r w:rsidR="007D606C">
        <w:rPr>
          <w:bCs/>
          <w:color w:val="000000"/>
          <w:szCs w:val="22"/>
        </w:rPr>
        <w:t xml:space="preserve"> the</w:t>
      </w:r>
      <w:r w:rsidRPr="00073AC8">
        <w:rPr>
          <w:bCs/>
          <w:color w:val="000000"/>
          <w:szCs w:val="22"/>
        </w:rPr>
        <w:t xml:space="preserve"> tariff is significantly lower than that applied to similar products from other LDCs.</w:t>
      </w:r>
      <w:r w:rsidR="001B07DD">
        <w:rPr>
          <w:bCs/>
          <w:color w:val="000000"/>
          <w:szCs w:val="22"/>
        </w:rPr>
        <w:t xml:space="preserve"> </w:t>
      </w:r>
      <w:r w:rsidRPr="00073AC8">
        <w:rPr>
          <w:bCs/>
          <w:color w:val="000000"/>
          <w:szCs w:val="22"/>
        </w:rPr>
        <w:t xml:space="preserve">(Table </w:t>
      </w:r>
      <w:r w:rsidR="007D606C">
        <w:rPr>
          <w:bCs/>
          <w:color w:val="000000"/>
          <w:szCs w:val="22"/>
        </w:rPr>
        <w:t>4.1</w:t>
      </w:r>
      <w:r w:rsidRPr="00073AC8">
        <w:rPr>
          <w:bCs/>
          <w:color w:val="000000"/>
          <w:szCs w:val="22"/>
        </w:rPr>
        <w:t>).</w:t>
      </w:r>
      <w:r w:rsidR="001B07DD">
        <w:rPr>
          <w:bCs/>
          <w:color w:val="000000"/>
          <w:szCs w:val="22"/>
        </w:rPr>
        <w:t xml:space="preserve"> </w:t>
      </w:r>
      <w:r w:rsidRPr="00073AC8">
        <w:rPr>
          <w:bCs/>
          <w:color w:val="000000"/>
          <w:szCs w:val="22"/>
        </w:rPr>
        <w:t>In that sense, the US market provides greater incentives and preferential treatment to Afghan exports than</w:t>
      </w:r>
      <w:r w:rsidR="007D606C">
        <w:rPr>
          <w:bCs/>
          <w:color w:val="000000"/>
          <w:szCs w:val="22"/>
        </w:rPr>
        <w:t xml:space="preserve"> does</w:t>
      </w:r>
      <w:r w:rsidRPr="00073AC8">
        <w:rPr>
          <w:bCs/>
          <w:color w:val="000000"/>
          <w:szCs w:val="22"/>
        </w:rPr>
        <w:t xml:space="preserve"> the EU. </w:t>
      </w:r>
      <w:r w:rsidR="007D606C">
        <w:rPr>
          <w:bCs/>
          <w:color w:val="000000"/>
          <w:szCs w:val="22"/>
        </w:rPr>
        <w:t>Furthermore</w:t>
      </w:r>
      <w:r w:rsidRPr="00073AC8">
        <w:rPr>
          <w:bCs/>
          <w:color w:val="000000"/>
          <w:szCs w:val="22"/>
        </w:rPr>
        <w:t>,</w:t>
      </w:r>
      <w:r w:rsidR="001B07DD">
        <w:rPr>
          <w:bCs/>
          <w:color w:val="000000"/>
          <w:szCs w:val="22"/>
        </w:rPr>
        <w:t xml:space="preserve"> </w:t>
      </w:r>
      <w:r w:rsidRPr="00073AC8">
        <w:rPr>
          <w:rFonts w:eastAsia="Times New Roman" w:cstheme="minorHAnsi"/>
          <w:szCs w:val="22"/>
        </w:rPr>
        <w:t>Afghan exporters</w:t>
      </w:r>
      <w:r w:rsidR="007D606C">
        <w:rPr>
          <w:rFonts w:eastAsia="Times New Roman" w:cstheme="minorHAnsi"/>
          <w:szCs w:val="22"/>
        </w:rPr>
        <w:t xml:space="preserve"> </w:t>
      </w:r>
      <w:r w:rsidRPr="00073AC8">
        <w:rPr>
          <w:rFonts w:eastAsia="Times New Roman" w:cstheme="minorHAnsi"/>
          <w:szCs w:val="22"/>
        </w:rPr>
        <w:t>benefit from</w:t>
      </w:r>
      <w:r w:rsidR="001B07DD">
        <w:rPr>
          <w:rFonts w:eastAsia="Times New Roman" w:cstheme="minorHAnsi"/>
          <w:szCs w:val="22"/>
        </w:rPr>
        <w:t xml:space="preserve"> </w:t>
      </w:r>
      <w:r w:rsidRPr="00073AC8">
        <w:rPr>
          <w:rFonts w:eastAsia="Times New Roman" w:cstheme="minorHAnsi"/>
          <w:szCs w:val="22"/>
        </w:rPr>
        <w:t>duty</w:t>
      </w:r>
      <w:r w:rsidR="007D606C">
        <w:rPr>
          <w:rFonts w:eastAsia="Times New Roman" w:cstheme="minorHAnsi"/>
          <w:szCs w:val="22"/>
        </w:rPr>
        <w:t>-</w:t>
      </w:r>
      <w:r w:rsidRPr="00073AC8">
        <w:rPr>
          <w:rFonts w:eastAsia="Times New Roman" w:cstheme="minorHAnsi"/>
          <w:szCs w:val="22"/>
        </w:rPr>
        <w:t xml:space="preserve"> and quota</w:t>
      </w:r>
      <w:r w:rsidR="007D606C">
        <w:rPr>
          <w:rFonts w:eastAsia="Times New Roman" w:cstheme="minorHAnsi"/>
          <w:szCs w:val="22"/>
        </w:rPr>
        <w:t>-</w:t>
      </w:r>
      <w:r w:rsidRPr="00073AC8">
        <w:rPr>
          <w:rFonts w:eastAsia="Times New Roman" w:cstheme="minorHAnsi"/>
          <w:szCs w:val="22"/>
        </w:rPr>
        <w:t xml:space="preserve">free market access </w:t>
      </w:r>
      <w:r w:rsidR="007D606C">
        <w:rPr>
          <w:rFonts w:eastAsia="Times New Roman" w:cstheme="minorHAnsi"/>
          <w:szCs w:val="22"/>
        </w:rPr>
        <w:t>to</w:t>
      </w:r>
      <w:r w:rsidR="007D606C" w:rsidRPr="00073AC8">
        <w:rPr>
          <w:rFonts w:eastAsia="Times New Roman" w:cstheme="minorHAnsi"/>
          <w:szCs w:val="22"/>
        </w:rPr>
        <w:t xml:space="preserve"> </w:t>
      </w:r>
      <w:r w:rsidRPr="00073AC8">
        <w:rPr>
          <w:rFonts w:eastAsia="Times New Roman" w:cstheme="minorHAnsi"/>
          <w:szCs w:val="22"/>
        </w:rPr>
        <w:t>Canada, and Japan</w:t>
      </w:r>
      <w:r w:rsidR="007D606C">
        <w:rPr>
          <w:rFonts w:eastAsia="Times New Roman" w:cstheme="minorHAnsi"/>
          <w:szCs w:val="22"/>
        </w:rPr>
        <w:t>, and</w:t>
      </w:r>
      <w:r w:rsidRPr="00073AC8">
        <w:rPr>
          <w:rFonts w:eastAsia="Times New Roman" w:cstheme="minorHAnsi"/>
          <w:szCs w:val="22"/>
        </w:rPr>
        <w:t xml:space="preserve"> Afghanistan </w:t>
      </w:r>
      <w:r w:rsidR="007D606C">
        <w:rPr>
          <w:rFonts w:eastAsia="Times New Roman" w:cstheme="minorHAnsi"/>
          <w:szCs w:val="22"/>
        </w:rPr>
        <w:t xml:space="preserve">also </w:t>
      </w:r>
      <w:r w:rsidRPr="00073AC8">
        <w:rPr>
          <w:rFonts w:eastAsia="Times New Roman" w:cstheme="minorHAnsi"/>
          <w:szCs w:val="22"/>
        </w:rPr>
        <w:t>has a bilateral treaty with Germany.</w:t>
      </w:r>
    </w:p>
    <w:p w:rsidR="0014667F" w:rsidRPr="007D606C" w:rsidRDefault="0014667F" w:rsidP="0014667F">
      <w:pPr>
        <w:autoSpaceDE w:val="0"/>
        <w:autoSpaceDN w:val="0"/>
        <w:adjustRightInd w:val="0"/>
        <w:rPr>
          <w:b/>
          <w:bCs/>
          <w:color w:val="410082" w:themeColor="text1"/>
          <w:szCs w:val="22"/>
        </w:rPr>
      </w:pPr>
      <w:r w:rsidRPr="007D606C">
        <w:rPr>
          <w:b/>
          <w:bCs/>
          <w:color w:val="410082" w:themeColor="text1"/>
          <w:szCs w:val="22"/>
        </w:rPr>
        <w:t xml:space="preserve">Table </w:t>
      </w:r>
      <w:r w:rsidR="007D606C" w:rsidRPr="007D606C">
        <w:rPr>
          <w:b/>
          <w:bCs/>
          <w:color w:val="410082" w:themeColor="text1"/>
          <w:szCs w:val="22"/>
        </w:rPr>
        <w:t>4</w:t>
      </w:r>
      <w:r w:rsidRPr="007D606C">
        <w:rPr>
          <w:b/>
          <w:bCs/>
          <w:color w:val="410082" w:themeColor="text1"/>
          <w:szCs w:val="22"/>
        </w:rPr>
        <w:t>.</w:t>
      </w:r>
      <w:r w:rsidR="007D606C" w:rsidRPr="007D606C">
        <w:rPr>
          <w:b/>
          <w:bCs/>
          <w:color w:val="410082" w:themeColor="text1"/>
          <w:szCs w:val="22"/>
        </w:rPr>
        <w:t>1:</w:t>
      </w:r>
      <w:r w:rsidRPr="007D606C">
        <w:rPr>
          <w:b/>
          <w:bCs/>
          <w:color w:val="410082" w:themeColor="text1"/>
          <w:szCs w:val="22"/>
        </w:rPr>
        <w:t xml:space="preserve"> Weighted </w:t>
      </w:r>
      <w:r w:rsidR="007D606C" w:rsidRPr="007D606C">
        <w:rPr>
          <w:b/>
          <w:bCs/>
          <w:color w:val="410082" w:themeColor="text1"/>
          <w:szCs w:val="22"/>
        </w:rPr>
        <w:t>A</w:t>
      </w:r>
      <w:r w:rsidRPr="007D606C">
        <w:rPr>
          <w:b/>
          <w:bCs/>
          <w:color w:val="410082" w:themeColor="text1"/>
          <w:szCs w:val="22"/>
        </w:rPr>
        <w:t xml:space="preserve">verage </w:t>
      </w:r>
      <w:r w:rsidR="007D606C" w:rsidRPr="007D606C">
        <w:rPr>
          <w:b/>
          <w:bCs/>
          <w:color w:val="410082" w:themeColor="text1"/>
          <w:szCs w:val="22"/>
        </w:rPr>
        <w:t>T</w:t>
      </w:r>
      <w:r w:rsidRPr="007D606C">
        <w:rPr>
          <w:b/>
          <w:bCs/>
          <w:color w:val="410082" w:themeColor="text1"/>
          <w:szCs w:val="22"/>
        </w:rPr>
        <w:t>ariff</w:t>
      </w:r>
      <w:r w:rsidR="007D606C" w:rsidRPr="007D606C">
        <w:rPr>
          <w:b/>
          <w:bCs/>
          <w:color w:val="410082" w:themeColor="text1"/>
          <w:szCs w:val="22"/>
        </w:rPr>
        <w:t>s</w:t>
      </w:r>
      <w:r w:rsidRPr="007D606C">
        <w:rPr>
          <w:b/>
          <w:bCs/>
          <w:color w:val="410082" w:themeColor="text1"/>
          <w:szCs w:val="22"/>
        </w:rPr>
        <w:t xml:space="preserve"> </w:t>
      </w:r>
      <w:r w:rsidR="007D606C" w:rsidRPr="007D606C">
        <w:rPr>
          <w:b/>
          <w:bCs/>
          <w:color w:val="410082" w:themeColor="text1"/>
          <w:szCs w:val="22"/>
        </w:rPr>
        <w:t>in</w:t>
      </w:r>
      <w:r w:rsidRPr="007D606C">
        <w:rPr>
          <w:b/>
          <w:bCs/>
          <w:color w:val="410082" w:themeColor="text1"/>
          <w:szCs w:val="22"/>
        </w:rPr>
        <w:t xml:space="preserve"> EU and US </w:t>
      </w:r>
      <w:r w:rsidR="007D606C" w:rsidRPr="007D606C">
        <w:rPr>
          <w:b/>
          <w:bCs/>
          <w:color w:val="410082" w:themeColor="text1"/>
          <w:szCs w:val="22"/>
        </w:rPr>
        <w:t>M</w:t>
      </w:r>
      <w:r w:rsidRPr="007D606C">
        <w:rPr>
          <w:b/>
          <w:bCs/>
          <w:color w:val="410082" w:themeColor="text1"/>
          <w:szCs w:val="22"/>
        </w:rPr>
        <w:t>arkets</w:t>
      </w:r>
    </w:p>
    <w:tbl>
      <w:tblPr>
        <w:tblStyle w:val="LightShading-Accent11"/>
        <w:tblW w:w="8752" w:type="dxa"/>
        <w:jc w:val="center"/>
        <w:tblLook w:val="04A0" w:firstRow="1" w:lastRow="0" w:firstColumn="1" w:lastColumn="0" w:noHBand="0" w:noVBand="1"/>
      </w:tblPr>
      <w:tblGrid>
        <w:gridCol w:w="960"/>
        <w:gridCol w:w="960"/>
        <w:gridCol w:w="976"/>
        <w:gridCol w:w="976"/>
        <w:gridCol w:w="976"/>
        <w:gridCol w:w="976"/>
        <w:gridCol w:w="976"/>
        <w:gridCol w:w="976"/>
        <w:gridCol w:w="976"/>
      </w:tblGrid>
      <w:tr w:rsidR="0014667F" w:rsidRPr="00073AC8" w:rsidTr="009A45D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14667F" w:rsidRPr="00073AC8" w:rsidRDefault="0014667F" w:rsidP="009A45D4">
            <w:pPr>
              <w:rPr>
                <w:rFonts w:eastAsia="Times New Roman" w:cs="Times New Roman"/>
                <w:color w:val="000000"/>
                <w:sz w:val="22"/>
                <w:szCs w:val="22"/>
              </w:rPr>
            </w:pPr>
          </w:p>
        </w:tc>
        <w:tc>
          <w:tcPr>
            <w:tcW w:w="960" w:type="dxa"/>
            <w:noWrap/>
            <w:hideMark/>
          </w:tcPr>
          <w:p w:rsidR="0014667F" w:rsidRPr="00073AC8" w:rsidRDefault="0014667F" w:rsidP="009A45D4">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szCs w:val="22"/>
              </w:rPr>
            </w:pPr>
          </w:p>
        </w:tc>
        <w:tc>
          <w:tcPr>
            <w:tcW w:w="976" w:type="dxa"/>
            <w:noWrap/>
            <w:hideMark/>
          </w:tcPr>
          <w:p w:rsidR="0014667F" w:rsidRPr="00073AC8" w:rsidRDefault="0014667F" w:rsidP="009A45D4">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2003</w:t>
            </w:r>
          </w:p>
        </w:tc>
        <w:tc>
          <w:tcPr>
            <w:tcW w:w="976" w:type="dxa"/>
            <w:noWrap/>
            <w:hideMark/>
          </w:tcPr>
          <w:p w:rsidR="0014667F" w:rsidRPr="00073AC8" w:rsidRDefault="0014667F" w:rsidP="009A45D4">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2004</w:t>
            </w:r>
          </w:p>
        </w:tc>
        <w:tc>
          <w:tcPr>
            <w:tcW w:w="976" w:type="dxa"/>
            <w:noWrap/>
            <w:hideMark/>
          </w:tcPr>
          <w:p w:rsidR="0014667F" w:rsidRPr="00073AC8" w:rsidRDefault="0014667F" w:rsidP="009A45D4">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2005</w:t>
            </w:r>
          </w:p>
        </w:tc>
        <w:tc>
          <w:tcPr>
            <w:tcW w:w="976" w:type="dxa"/>
            <w:noWrap/>
            <w:hideMark/>
          </w:tcPr>
          <w:p w:rsidR="0014667F" w:rsidRPr="00073AC8" w:rsidRDefault="0014667F" w:rsidP="009A45D4">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2006</w:t>
            </w:r>
          </w:p>
        </w:tc>
        <w:tc>
          <w:tcPr>
            <w:tcW w:w="976" w:type="dxa"/>
            <w:noWrap/>
            <w:hideMark/>
          </w:tcPr>
          <w:p w:rsidR="0014667F" w:rsidRPr="00073AC8" w:rsidRDefault="0014667F" w:rsidP="009A45D4">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2007</w:t>
            </w:r>
          </w:p>
        </w:tc>
        <w:tc>
          <w:tcPr>
            <w:tcW w:w="976" w:type="dxa"/>
            <w:noWrap/>
            <w:hideMark/>
          </w:tcPr>
          <w:p w:rsidR="0014667F" w:rsidRPr="00073AC8" w:rsidRDefault="0014667F" w:rsidP="009A45D4">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2008</w:t>
            </w:r>
          </w:p>
        </w:tc>
        <w:tc>
          <w:tcPr>
            <w:tcW w:w="976" w:type="dxa"/>
            <w:noWrap/>
            <w:hideMark/>
          </w:tcPr>
          <w:p w:rsidR="0014667F" w:rsidRPr="00073AC8" w:rsidRDefault="0014667F" w:rsidP="009A45D4">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2009</w:t>
            </w:r>
          </w:p>
        </w:tc>
      </w:tr>
      <w:tr w:rsidR="0014667F" w:rsidRPr="00073AC8" w:rsidTr="009A45D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rsidR="0014667F" w:rsidRPr="00073AC8" w:rsidRDefault="0014667F" w:rsidP="009A45D4">
            <w:pPr>
              <w:rPr>
                <w:rFonts w:eastAsia="Times New Roman" w:cs="Times New Roman"/>
                <w:color w:val="000000"/>
                <w:sz w:val="22"/>
                <w:szCs w:val="22"/>
              </w:rPr>
            </w:pPr>
            <w:r w:rsidRPr="00073AC8">
              <w:rPr>
                <w:rFonts w:eastAsia="Times New Roman" w:cs="Times New Roman"/>
                <w:color w:val="000000"/>
                <w:sz w:val="22"/>
                <w:szCs w:val="22"/>
              </w:rPr>
              <w:t>USA</w:t>
            </w:r>
          </w:p>
        </w:tc>
        <w:tc>
          <w:tcPr>
            <w:tcW w:w="960" w:type="dxa"/>
            <w:noWrap/>
            <w:hideMark/>
          </w:tcPr>
          <w:p w:rsidR="0014667F" w:rsidRPr="00073AC8" w:rsidRDefault="0014667F" w:rsidP="009A45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LDCs</w:t>
            </w:r>
          </w:p>
        </w:tc>
        <w:tc>
          <w:tcPr>
            <w:tcW w:w="976" w:type="dxa"/>
            <w:noWrap/>
            <w:hideMark/>
          </w:tcPr>
          <w:p w:rsidR="0014667F" w:rsidRPr="00073AC8" w:rsidRDefault="0014667F" w:rsidP="009A45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5.12</w:t>
            </w:r>
          </w:p>
        </w:tc>
        <w:tc>
          <w:tcPr>
            <w:tcW w:w="976" w:type="dxa"/>
            <w:noWrap/>
            <w:hideMark/>
          </w:tcPr>
          <w:p w:rsidR="0014667F" w:rsidRPr="00073AC8" w:rsidRDefault="0014667F" w:rsidP="009A45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4.56</w:t>
            </w:r>
          </w:p>
        </w:tc>
        <w:tc>
          <w:tcPr>
            <w:tcW w:w="976" w:type="dxa"/>
            <w:noWrap/>
            <w:hideMark/>
          </w:tcPr>
          <w:p w:rsidR="0014667F" w:rsidRPr="00073AC8" w:rsidRDefault="0014667F" w:rsidP="009A45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3.63</w:t>
            </w:r>
          </w:p>
        </w:tc>
        <w:tc>
          <w:tcPr>
            <w:tcW w:w="976" w:type="dxa"/>
            <w:noWrap/>
            <w:hideMark/>
          </w:tcPr>
          <w:p w:rsidR="0014667F" w:rsidRPr="00073AC8" w:rsidRDefault="0014667F" w:rsidP="009A45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3.32</w:t>
            </w:r>
          </w:p>
        </w:tc>
        <w:tc>
          <w:tcPr>
            <w:tcW w:w="976" w:type="dxa"/>
            <w:noWrap/>
            <w:hideMark/>
          </w:tcPr>
          <w:p w:rsidR="0014667F" w:rsidRPr="00073AC8" w:rsidRDefault="0014667F" w:rsidP="009A45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3.03</w:t>
            </w:r>
          </w:p>
        </w:tc>
        <w:tc>
          <w:tcPr>
            <w:tcW w:w="976" w:type="dxa"/>
            <w:noWrap/>
            <w:hideMark/>
          </w:tcPr>
          <w:p w:rsidR="0014667F" w:rsidRPr="00073AC8" w:rsidRDefault="0014667F" w:rsidP="009A45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2.52</w:t>
            </w:r>
          </w:p>
        </w:tc>
        <w:tc>
          <w:tcPr>
            <w:tcW w:w="976" w:type="dxa"/>
            <w:noWrap/>
            <w:hideMark/>
          </w:tcPr>
          <w:p w:rsidR="0014667F" w:rsidRPr="00073AC8" w:rsidRDefault="0014667F" w:rsidP="009A45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3.35</w:t>
            </w:r>
          </w:p>
        </w:tc>
      </w:tr>
      <w:tr w:rsidR="0014667F" w:rsidRPr="00073AC8" w:rsidTr="009A45D4">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hideMark/>
          </w:tcPr>
          <w:p w:rsidR="0014667F" w:rsidRPr="00073AC8" w:rsidRDefault="0014667F" w:rsidP="009A45D4">
            <w:pPr>
              <w:rPr>
                <w:rFonts w:eastAsia="Times New Roman" w:cs="Times New Roman"/>
                <w:color w:val="000000"/>
                <w:sz w:val="22"/>
                <w:szCs w:val="22"/>
              </w:rPr>
            </w:pPr>
          </w:p>
        </w:tc>
        <w:tc>
          <w:tcPr>
            <w:tcW w:w="960" w:type="dxa"/>
            <w:noWrap/>
            <w:hideMark/>
          </w:tcPr>
          <w:p w:rsidR="0014667F" w:rsidRPr="00073AC8" w:rsidRDefault="0014667F" w:rsidP="009A45D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AFG</w:t>
            </w:r>
          </w:p>
        </w:tc>
        <w:tc>
          <w:tcPr>
            <w:tcW w:w="976" w:type="dxa"/>
            <w:noWrap/>
            <w:hideMark/>
          </w:tcPr>
          <w:p w:rsidR="0014667F" w:rsidRPr="00073AC8" w:rsidRDefault="0014667F" w:rsidP="009A45D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0.2</w:t>
            </w:r>
          </w:p>
        </w:tc>
        <w:tc>
          <w:tcPr>
            <w:tcW w:w="976" w:type="dxa"/>
            <w:noWrap/>
            <w:hideMark/>
          </w:tcPr>
          <w:p w:rsidR="0014667F" w:rsidRPr="00073AC8" w:rsidRDefault="0014667F" w:rsidP="009A45D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1.52</w:t>
            </w:r>
          </w:p>
        </w:tc>
        <w:tc>
          <w:tcPr>
            <w:tcW w:w="976" w:type="dxa"/>
            <w:noWrap/>
            <w:hideMark/>
          </w:tcPr>
          <w:p w:rsidR="0014667F" w:rsidRPr="00073AC8" w:rsidRDefault="0014667F" w:rsidP="009A45D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0.16</w:t>
            </w:r>
          </w:p>
        </w:tc>
        <w:tc>
          <w:tcPr>
            <w:tcW w:w="976" w:type="dxa"/>
            <w:noWrap/>
            <w:hideMark/>
          </w:tcPr>
          <w:p w:rsidR="0014667F" w:rsidRPr="00073AC8" w:rsidRDefault="0014667F" w:rsidP="009A45D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0.2</w:t>
            </w:r>
          </w:p>
        </w:tc>
        <w:tc>
          <w:tcPr>
            <w:tcW w:w="976" w:type="dxa"/>
            <w:noWrap/>
            <w:hideMark/>
          </w:tcPr>
          <w:p w:rsidR="0014667F" w:rsidRPr="00073AC8" w:rsidRDefault="0014667F" w:rsidP="009A45D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0.44</w:t>
            </w:r>
          </w:p>
        </w:tc>
        <w:tc>
          <w:tcPr>
            <w:tcW w:w="976" w:type="dxa"/>
            <w:noWrap/>
            <w:hideMark/>
          </w:tcPr>
          <w:p w:rsidR="0014667F" w:rsidRPr="00073AC8" w:rsidRDefault="0014667F" w:rsidP="009A45D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0.18</w:t>
            </w:r>
          </w:p>
        </w:tc>
        <w:tc>
          <w:tcPr>
            <w:tcW w:w="976" w:type="dxa"/>
            <w:noWrap/>
            <w:hideMark/>
          </w:tcPr>
          <w:p w:rsidR="0014667F" w:rsidRPr="00073AC8" w:rsidRDefault="0014667F" w:rsidP="009A45D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0.29</w:t>
            </w:r>
          </w:p>
        </w:tc>
      </w:tr>
      <w:tr w:rsidR="0014667F" w:rsidRPr="00073AC8" w:rsidTr="009A45D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rsidR="0014667F" w:rsidRPr="00073AC8" w:rsidRDefault="0014667F" w:rsidP="009A45D4">
            <w:pPr>
              <w:rPr>
                <w:rFonts w:eastAsia="Times New Roman" w:cs="Times New Roman"/>
                <w:color w:val="000000"/>
                <w:sz w:val="22"/>
                <w:szCs w:val="22"/>
              </w:rPr>
            </w:pPr>
            <w:r w:rsidRPr="00073AC8">
              <w:rPr>
                <w:rFonts w:eastAsia="Times New Roman" w:cs="Times New Roman"/>
                <w:color w:val="000000"/>
                <w:sz w:val="22"/>
                <w:szCs w:val="22"/>
              </w:rPr>
              <w:t>EU</w:t>
            </w:r>
          </w:p>
        </w:tc>
        <w:tc>
          <w:tcPr>
            <w:tcW w:w="960" w:type="dxa"/>
            <w:noWrap/>
            <w:hideMark/>
          </w:tcPr>
          <w:p w:rsidR="0014667F" w:rsidRPr="00073AC8" w:rsidRDefault="0014667F" w:rsidP="009A45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LDCs</w:t>
            </w:r>
          </w:p>
        </w:tc>
        <w:tc>
          <w:tcPr>
            <w:tcW w:w="976" w:type="dxa"/>
            <w:noWrap/>
            <w:hideMark/>
          </w:tcPr>
          <w:p w:rsidR="0014667F" w:rsidRPr="00073AC8" w:rsidRDefault="0014667F" w:rsidP="009A45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2.33</w:t>
            </w:r>
          </w:p>
        </w:tc>
        <w:tc>
          <w:tcPr>
            <w:tcW w:w="976" w:type="dxa"/>
            <w:noWrap/>
            <w:hideMark/>
          </w:tcPr>
          <w:p w:rsidR="0014667F" w:rsidRPr="00073AC8" w:rsidRDefault="0014667F" w:rsidP="009A45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0.15</w:t>
            </w:r>
          </w:p>
        </w:tc>
        <w:tc>
          <w:tcPr>
            <w:tcW w:w="976" w:type="dxa"/>
            <w:noWrap/>
            <w:hideMark/>
          </w:tcPr>
          <w:p w:rsidR="0014667F" w:rsidRPr="00073AC8" w:rsidRDefault="0014667F" w:rsidP="009A45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0.11</w:t>
            </w:r>
          </w:p>
        </w:tc>
        <w:tc>
          <w:tcPr>
            <w:tcW w:w="976" w:type="dxa"/>
            <w:noWrap/>
            <w:hideMark/>
          </w:tcPr>
          <w:p w:rsidR="0014667F" w:rsidRPr="00073AC8" w:rsidRDefault="0014667F" w:rsidP="009A45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0.08</w:t>
            </w:r>
          </w:p>
        </w:tc>
        <w:tc>
          <w:tcPr>
            <w:tcW w:w="976" w:type="dxa"/>
            <w:noWrap/>
            <w:hideMark/>
          </w:tcPr>
          <w:p w:rsidR="0014667F" w:rsidRPr="00073AC8" w:rsidRDefault="0014667F" w:rsidP="009A45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0.06</w:t>
            </w:r>
          </w:p>
        </w:tc>
        <w:tc>
          <w:tcPr>
            <w:tcW w:w="976" w:type="dxa"/>
            <w:noWrap/>
            <w:hideMark/>
          </w:tcPr>
          <w:p w:rsidR="0014667F" w:rsidRPr="00073AC8" w:rsidRDefault="0014667F" w:rsidP="009A45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0.03</w:t>
            </w:r>
          </w:p>
        </w:tc>
        <w:tc>
          <w:tcPr>
            <w:tcW w:w="976" w:type="dxa"/>
            <w:noWrap/>
            <w:hideMark/>
          </w:tcPr>
          <w:p w:rsidR="0014667F" w:rsidRPr="00073AC8" w:rsidRDefault="0014667F" w:rsidP="009A45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0.02</w:t>
            </w:r>
          </w:p>
        </w:tc>
      </w:tr>
      <w:tr w:rsidR="0014667F" w:rsidRPr="00073AC8" w:rsidTr="009A45D4">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hideMark/>
          </w:tcPr>
          <w:p w:rsidR="0014667F" w:rsidRPr="00073AC8" w:rsidRDefault="0014667F" w:rsidP="009A45D4">
            <w:pPr>
              <w:rPr>
                <w:rFonts w:eastAsia="Times New Roman" w:cs="Times New Roman"/>
                <w:color w:val="000000"/>
                <w:sz w:val="22"/>
                <w:szCs w:val="22"/>
              </w:rPr>
            </w:pPr>
          </w:p>
        </w:tc>
        <w:tc>
          <w:tcPr>
            <w:tcW w:w="960" w:type="dxa"/>
            <w:noWrap/>
            <w:hideMark/>
          </w:tcPr>
          <w:p w:rsidR="0014667F" w:rsidRPr="00073AC8" w:rsidRDefault="0014667F" w:rsidP="009A45D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AFG</w:t>
            </w:r>
          </w:p>
        </w:tc>
        <w:tc>
          <w:tcPr>
            <w:tcW w:w="976" w:type="dxa"/>
            <w:noWrap/>
            <w:hideMark/>
          </w:tcPr>
          <w:p w:rsidR="0014667F" w:rsidRPr="00073AC8" w:rsidRDefault="0014667F" w:rsidP="009A45D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1.38</w:t>
            </w:r>
          </w:p>
        </w:tc>
        <w:tc>
          <w:tcPr>
            <w:tcW w:w="976" w:type="dxa"/>
            <w:noWrap/>
            <w:hideMark/>
          </w:tcPr>
          <w:p w:rsidR="0014667F" w:rsidRPr="00073AC8" w:rsidRDefault="0014667F" w:rsidP="009A45D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0</w:t>
            </w:r>
          </w:p>
        </w:tc>
        <w:tc>
          <w:tcPr>
            <w:tcW w:w="976" w:type="dxa"/>
            <w:noWrap/>
            <w:hideMark/>
          </w:tcPr>
          <w:p w:rsidR="0014667F" w:rsidRPr="00073AC8" w:rsidRDefault="0014667F" w:rsidP="009A45D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0</w:t>
            </w:r>
          </w:p>
        </w:tc>
        <w:tc>
          <w:tcPr>
            <w:tcW w:w="976" w:type="dxa"/>
            <w:noWrap/>
            <w:hideMark/>
          </w:tcPr>
          <w:p w:rsidR="0014667F" w:rsidRPr="00073AC8" w:rsidRDefault="0014667F" w:rsidP="009A45D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0</w:t>
            </w:r>
          </w:p>
        </w:tc>
        <w:tc>
          <w:tcPr>
            <w:tcW w:w="976" w:type="dxa"/>
            <w:noWrap/>
            <w:hideMark/>
          </w:tcPr>
          <w:p w:rsidR="0014667F" w:rsidRPr="00073AC8" w:rsidRDefault="0014667F" w:rsidP="009A45D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0</w:t>
            </w:r>
          </w:p>
        </w:tc>
        <w:tc>
          <w:tcPr>
            <w:tcW w:w="976" w:type="dxa"/>
            <w:noWrap/>
            <w:hideMark/>
          </w:tcPr>
          <w:p w:rsidR="0014667F" w:rsidRPr="00073AC8" w:rsidRDefault="0014667F" w:rsidP="009A45D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0</w:t>
            </w:r>
          </w:p>
        </w:tc>
        <w:tc>
          <w:tcPr>
            <w:tcW w:w="976" w:type="dxa"/>
            <w:noWrap/>
            <w:hideMark/>
          </w:tcPr>
          <w:p w:rsidR="0014667F" w:rsidRPr="00073AC8" w:rsidRDefault="0014667F" w:rsidP="009A45D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sidRPr="00073AC8">
              <w:rPr>
                <w:rFonts w:eastAsia="Times New Roman" w:cs="Times New Roman"/>
                <w:color w:val="000000"/>
                <w:sz w:val="22"/>
                <w:szCs w:val="22"/>
              </w:rPr>
              <w:t>0</w:t>
            </w:r>
          </w:p>
        </w:tc>
      </w:tr>
    </w:tbl>
    <w:p w:rsidR="0014667F" w:rsidRPr="00073AC8" w:rsidRDefault="0014667F" w:rsidP="007D606C">
      <w:pPr>
        <w:autoSpaceDE w:val="0"/>
        <w:autoSpaceDN w:val="0"/>
        <w:adjustRightInd w:val="0"/>
        <w:spacing w:before="240" w:after="0"/>
        <w:rPr>
          <w:bCs/>
          <w:color w:val="000000"/>
          <w:szCs w:val="22"/>
        </w:rPr>
      </w:pPr>
      <w:r w:rsidRPr="00073AC8">
        <w:rPr>
          <w:bCs/>
          <w:color w:val="000000"/>
          <w:szCs w:val="22"/>
        </w:rPr>
        <w:t>Source: TRAINS</w:t>
      </w:r>
    </w:p>
    <w:p w:rsidR="0014667F" w:rsidRPr="00992FE6" w:rsidRDefault="0014667F" w:rsidP="007D606C">
      <w:pPr>
        <w:pStyle w:val="Heading3"/>
        <w:spacing w:before="240" w:after="240" w:line="276" w:lineRule="auto"/>
        <w:rPr>
          <w:rFonts w:cstheme="minorHAnsi"/>
          <w:i w:val="0"/>
        </w:rPr>
      </w:pPr>
      <w:bookmarkStart w:id="334" w:name="_Toc327208466"/>
      <w:bookmarkStart w:id="335" w:name="_Toc348451719"/>
      <w:r w:rsidRPr="00992FE6">
        <w:rPr>
          <w:rFonts w:cstheme="minorHAnsi"/>
        </w:rPr>
        <w:t>South-South Preferential Regimes</w:t>
      </w:r>
      <w:bookmarkEnd w:id="334"/>
      <w:bookmarkEnd w:id="335"/>
      <w:r w:rsidRPr="00992FE6">
        <w:rPr>
          <w:rFonts w:cstheme="minorHAnsi"/>
        </w:rPr>
        <w:t xml:space="preserve"> </w:t>
      </w:r>
    </w:p>
    <w:p w:rsidR="0014667F" w:rsidRPr="00073AC8" w:rsidRDefault="0014667F" w:rsidP="008900D8">
      <w:pPr>
        <w:pStyle w:val="ListParagraph"/>
        <w:spacing w:after="240"/>
        <w:ind w:left="0"/>
        <w:rPr>
          <w:rFonts w:cstheme="minorHAnsi"/>
          <w:szCs w:val="22"/>
        </w:rPr>
      </w:pPr>
      <w:r w:rsidRPr="00073AC8">
        <w:rPr>
          <w:rFonts w:cstheme="minorHAnsi"/>
          <w:b/>
          <w:szCs w:val="22"/>
        </w:rPr>
        <w:t>The Afghanistan-Pakistan Transit Trade Agreement (APTTA) was an enormous step toward greater regional cooperation</w:t>
      </w:r>
      <w:r w:rsidR="007D606C">
        <w:rPr>
          <w:rFonts w:cstheme="minorHAnsi"/>
          <w:b/>
          <w:szCs w:val="22"/>
        </w:rPr>
        <w:t xml:space="preserve">, but </w:t>
      </w:r>
      <w:r w:rsidRPr="00073AC8">
        <w:rPr>
          <w:b/>
          <w:szCs w:val="22"/>
        </w:rPr>
        <w:t xml:space="preserve">implementation </w:t>
      </w:r>
      <w:r w:rsidR="00573479">
        <w:rPr>
          <w:b/>
          <w:szCs w:val="22"/>
        </w:rPr>
        <w:t>is</w:t>
      </w:r>
      <w:r w:rsidRPr="00073AC8">
        <w:rPr>
          <w:b/>
          <w:szCs w:val="22"/>
        </w:rPr>
        <w:t xml:space="preserve"> difficult</w:t>
      </w:r>
      <w:r w:rsidRPr="00073AC8">
        <w:rPr>
          <w:szCs w:val="22"/>
        </w:rPr>
        <w:t xml:space="preserve">. </w:t>
      </w:r>
      <w:r w:rsidRPr="00073AC8">
        <w:rPr>
          <w:rFonts w:cstheme="minorHAnsi"/>
          <w:szCs w:val="22"/>
        </w:rPr>
        <w:t>Th</w:t>
      </w:r>
      <w:r w:rsidR="00573479">
        <w:rPr>
          <w:rFonts w:cstheme="minorHAnsi"/>
          <w:szCs w:val="22"/>
        </w:rPr>
        <w:t>e</w:t>
      </w:r>
      <w:r w:rsidRPr="00073AC8">
        <w:rPr>
          <w:rFonts w:cstheme="minorHAnsi"/>
          <w:szCs w:val="22"/>
        </w:rPr>
        <w:t xml:space="preserve"> deal</w:t>
      </w:r>
      <w:r w:rsidR="00573479">
        <w:rPr>
          <w:rFonts w:cstheme="minorHAnsi"/>
          <w:szCs w:val="22"/>
        </w:rPr>
        <w:t>,</w:t>
      </w:r>
      <w:r w:rsidRPr="00073AC8">
        <w:rPr>
          <w:rFonts w:cstheme="minorHAnsi"/>
          <w:szCs w:val="22"/>
        </w:rPr>
        <w:t xml:space="preserve"> that became operational </w:t>
      </w:r>
      <w:r w:rsidR="00573479">
        <w:rPr>
          <w:rFonts w:cstheme="minorHAnsi"/>
          <w:szCs w:val="22"/>
        </w:rPr>
        <w:t>i</w:t>
      </w:r>
      <w:r w:rsidRPr="00073AC8">
        <w:rPr>
          <w:rFonts w:cstheme="minorHAnsi"/>
          <w:szCs w:val="22"/>
        </w:rPr>
        <w:t xml:space="preserve">n June 2011, </w:t>
      </w:r>
      <w:r w:rsidRPr="00073AC8">
        <w:rPr>
          <w:szCs w:val="22"/>
        </w:rPr>
        <w:t>gives Afghan goods greater access to the port of Karachi and the Wagah border with India (Indian exports to Afghanistan are still excluded).</w:t>
      </w:r>
      <w:r w:rsidR="001B07DD">
        <w:rPr>
          <w:szCs w:val="22"/>
        </w:rPr>
        <w:t xml:space="preserve"> </w:t>
      </w:r>
      <w:r w:rsidRPr="00073AC8">
        <w:rPr>
          <w:szCs w:val="22"/>
        </w:rPr>
        <w:t xml:space="preserve">The agreement is central </w:t>
      </w:r>
      <w:r w:rsidR="00573479">
        <w:rPr>
          <w:szCs w:val="22"/>
        </w:rPr>
        <w:t>to</w:t>
      </w:r>
      <w:r w:rsidRPr="00073AC8">
        <w:rPr>
          <w:szCs w:val="22"/>
        </w:rPr>
        <w:t xml:space="preserve"> Afghanistan’s trade, as it aims to take advantage of preferential tariffs with India </w:t>
      </w:r>
      <w:r w:rsidR="00573479">
        <w:rPr>
          <w:szCs w:val="22"/>
        </w:rPr>
        <w:t>for</w:t>
      </w:r>
      <w:r w:rsidRPr="00073AC8">
        <w:rPr>
          <w:szCs w:val="22"/>
        </w:rPr>
        <w:t xml:space="preserve"> five years</w:t>
      </w:r>
      <w:r w:rsidR="00573479">
        <w:rPr>
          <w:szCs w:val="22"/>
        </w:rPr>
        <w:t>,</w:t>
      </w:r>
      <w:r w:rsidRPr="00073AC8">
        <w:rPr>
          <w:szCs w:val="22"/>
        </w:rPr>
        <w:t xml:space="preserve"> and </w:t>
      </w:r>
      <w:r w:rsidRPr="00073AC8">
        <w:rPr>
          <w:rFonts w:cstheme="minorHAnsi"/>
          <w:szCs w:val="22"/>
        </w:rPr>
        <w:t>constitutes an important step in linking trade with the South and the Central Asia economies.</w:t>
      </w:r>
      <w:r w:rsidR="001B07DD">
        <w:rPr>
          <w:rFonts w:cstheme="minorHAnsi"/>
          <w:szCs w:val="22"/>
        </w:rPr>
        <w:t xml:space="preserve"> </w:t>
      </w:r>
      <w:r w:rsidRPr="00073AC8">
        <w:rPr>
          <w:rFonts w:cstheme="minorHAnsi"/>
          <w:szCs w:val="22"/>
        </w:rPr>
        <w:t xml:space="preserve">However, </w:t>
      </w:r>
      <w:r w:rsidRPr="00073AC8">
        <w:rPr>
          <w:szCs w:val="22"/>
        </w:rPr>
        <w:t xml:space="preserve">substantial differences </w:t>
      </w:r>
      <w:r w:rsidR="00573479">
        <w:rPr>
          <w:szCs w:val="22"/>
        </w:rPr>
        <w:t>in</w:t>
      </w:r>
      <w:r w:rsidRPr="00073AC8">
        <w:rPr>
          <w:szCs w:val="22"/>
        </w:rPr>
        <w:t xml:space="preserve"> interpretation of the agreement </w:t>
      </w:r>
      <w:r w:rsidR="00573479">
        <w:rPr>
          <w:szCs w:val="22"/>
        </w:rPr>
        <w:t>have led to</w:t>
      </w:r>
      <w:r w:rsidRPr="00073AC8">
        <w:rPr>
          <w:szCs w:val="22"/>
        </w:rPr>
        <w:t xml:space="preserve"> trade blockages at the Karachi port </w:t>
      </w:r>
      <w:r w:rsidR="00573479">
        <w:rPr>
          <w:szCs w:val="22"/>
        </w:rPr>
        <w:t xml:space="preserve">during </w:t>
      </w:r>
      <w:r w:rsidRPr="00073AC8">
        <w:rPr>
          <w:szCs w:val="22"/>
        </w:rPr>
        <w:t>the first eight months.</w:t>
      </w:r>
      <w:r w:rsidR="001B07DD">
        <w:rPr>
          <w:szCs w:val="22"/>
        </w:rPr>
        <w:t xml:space="preserve"> </w:t>
      </w:r>
      <w:r w:rsidRPr="00073AC8">
        <w:rPr>
          <w:szCs w:val="22"/>
        </w:rPr>
        <w:t xml:space="preserve">The areas of contention, based on Pakistani concerns </w:t>
      </w:r>
      <w:r w:rsidR="00573479">
        <w:rPr>
          <w:szCs w:val="22"/>
        </w:rPr>
        <w:t>about</w:t>
      </w:r>
      <w:r w:rsidRPr="00073AC8">
        <w:rPr>
          <w:szCs w:val="22"/>
        </w:rPr>
        <w:t xml:space="preserve"> smuggling of re-exported goods, are bank guarantees, international requirements for sealed trucks, biometric systems for customs verification and security, and the installation of tracking systems. </w:t>
      </w:r>
    </w:p>
    <w:p w:rsidR="0014667F" w:rsidRPr="00073AC8" w:rsidRDefault="0014667F" w:rsidP="008900D8">
      <w:pPr>
        <w:pStyle w:val="ListParagraph"/>
        <w:spacing w:after="0"/>
        <w:ind w:left="0"/>
        <w:rPr>
          <w:color w:val="FF0000"/>
          <w:szCs w:val="22"/>
        </w:rPr>
      </w:pPr>
    </w:p>
    <w:p w:rsidR="0014667F" w:rsidRPr="00073AC8" w:rsidRDefault="0014667F" w:rsidP="008900D8">
      <w:pPr>
        <w:pStyle w:val="ListParagraph"/>
        <w:spacing w:after="0"/>
        <w:ind w:left="0"/>
        <w:rPr>
          <w:rFonts w:cstheme="minorHAnsi"/>
          <w:szCs w:val="22"/>
        </w:rPr>
      </w:pPr>
      <w:r w:rsidRPr="00073AC8">
        <w:rPr>
          <w:rFonts w:cstheme="minorHAnsi"/>
          <w:b/>
          <w:szCs w:val="22"/>
        </w:rPr>
        <w:t>Afghanistan</w:t>
      </w:r>
      <w:r w:rsidR="00573479">
        <w:rPr>
          <w:rFonts w:cstheme="minorHAnsi"/>
          <w:b/>
          <w:szCs w:val="22"/>
        </w:rPr>
        <w:t>,</w:t>
      </w:r>
      <w:r w:rsidRPr="00073AC8">
        <w:rPr>
          <w:rFonts w:cstheme="minorHAnsi"/>
          <w:b/>
          <w:szCs w:val="22"/>
        </w:rPr>
        <w:t xml:space="preserve"> as a member of the Economic Cooperation Organization, signed the ECOTA trade agreement that aims to reduce tariffs across all traded goods.</w:t>
      </w:r>
      <w:r w:rsidR="001B07DD">
        <w:rPr>
          <w:rFonts w:cstheme="minorHAnsi"/>
          <w:b/>
          <w:szCs w:val="22"/>
        </w:rPr>
        <w:t xml:space="preserve"> </w:t>
      </w:r>
      <w:r w:rsidRPr="00073AC8">
        <w:rPr>
          <w:rFonts w:cstheme="minorHAnsi"/>
          <w:szCs w:val="22"/>
        </w:rPr>
        <w:t>With the exception of goods included in the agreed negative lists, the agreement sets gradual reduction targets for tariffs in eight equal annual stages.</w:t>
      </w:r>
      <w:r w:rsidRPr="00073AC8">
        <w:rPr>
          <w:rFonts w:cstheme="minorHAnsi"/>
          <w:szCs w:val="22"/>
        </w:rPr>
        <w:footnoteReference w:id="113"/>
      </w:r>
      <w:r w:rsidR="001B07DD">
        <w:rPr>
          <w:rFonts w:cstheme="minorHAnsi"/>
          <w:szCs w:val="22"/>
        </w:rPr>
        <w:t xml:space="preserve"> </w:t>
      </w:r>
      <w:r w:rsidRPr="00073AC8">
        <w:rPr>
          <w:rFonts w:cstheme="minorHAnsi"/>
          <w:szCs w:val="22"/>
        </w:rPr>
        <w:t>Afghanistan was allowed a longer</w:t>
      </w:r>
      <w:r w:rsidR="00BF0E05">
        <w:rPr>
          <w:rFonts w:cstheme="minorHAnsi"/>
          <w:szCs w:val="22"/>
        </w:rPr>
        <w:t>,</w:t>
      </w:r>
      <w:r w:rsidRPr="00073AC8">
        <w:rPr>
          <w:rFonts w:cstheme="minorHAnsi"/>
          <w:szCs w:val="22"/>
        </w:rPr>
        <w:t xml:space="preserve"> 15-year</w:t>
      </w:r>
      <w:r w:rsidR="00BF0E05">
        <w:rPr>
          <w:rFonts w:cstheme="minorHAnsi"/>
          <w:szCs w:val="22"/>
        </w:rPr>
        <w:t>,</w:t>
      </w:r>
      <w:r w:rsidRPr="00073AC8">
        <w:rPr>
          <w:rFonts w:cstheme="minorHAnsi"/>
          <w:szCs w:val="22"/>
        </w:rPr>
        <w:t xml:space="preserve"> period to implement tariff reductions.</w:t>
      </w:r>
      <w:r w:rsidR="001B07DD">
        <w:rPr>
          <w:rFonts w:cstheme="minorHAnsi"/>
          <w:szCs w:val="22"/>
        </w:rPr>
        <w:t xml:space="preserve"> </w:t>
      </w:r>
      <w:r w:rsidRPr="00073AC8">
        <w:rPr>
          <w:rFonts w:cstheme="minorHAnsi"/>
          <w:szCs w:val="22"/>
        </w:rPr>
        <w:t>The ECOTA trade agreement establishe</w:t>
      </w:r>
      <w:r w:rsidR="00BF0E05">
        <w:rPr>
          <w:rFonts w:cstheme="minorHAnsi"/>
          <w:szCs w:val="22"/>
        </w:rPr>
        <w:t>d</w:t>
      </w:r>
      <w:r w:rsidRPr="00073AC8">
        <w:rPr>
          <w:rFonts w:cstheme="minorHAnsi"/>
          <w:szCs w:val="22"/>
        </w:rPr>
        <w:t xml:space="preserve"> a 15 percent maximum tariff reduction for the highest</w:t>
      </w:r>
      <w:r w:rsidR="00BF0E05">
        <w:rPr>
          <w:rFonts w:cstheme="minorHAnsi"/>
          <w:szCs w:val="22"/>
        </w:rPr>
        <w:t>-</w:t>
      </w:r>
      <w:r w:rsidRPr="00073AC8">
        <w:rPr>
          <w:rFonts w:cstheme="minorHAnsi"/>
          <w:szCs w:val="22"/>
        </w:rPr>
        <w:t xml:space="preserve">tariff brackets for all other members </w:t>
      </w:r>
      <w:r w:rsidR="00BF0E05">
        <w:rPr>
          <w:rFonts w:cstheme="minorHAnsi"/>
          <w:szCs w:val="22"/>
        </w:rPr>
        <w:t>for</w:t>
      </w:r>
      <w:r w:rsidR="00BF0E05" w:rsidRPr="00073AC8">
        <w:rPr>
          <w:rFonts w:cstheme="minorHAnsi"/>
          <w:szCs w:val="22"/>
        </w:rPr>
        <w:t xml:space="preserve"> eight</w:t>
      </w:r>
      <w:r w:rsidR="00BF0E05">
        <w:rPr>
          <w:rFonts w:cstheme="minorHAnsi"/>
          <w:szCs w:val="22"/>
        </w:rPr>
        <w:t xml:space="preserve"> </w:t>
      </w:r>
      <w:r w:rsidR="00BF0E05" w:rsidRPr="00073AC8">
        <w:rPr>
          <w:rFonts w:cstheme="minorHAnsi"/>
          <w:szCs w:val="22"/>
        </w:rPr>
        <w:t>year</w:t>
      </w:r>
      <w:r w:rsidR="00BF0E05">
        <w:rPr>
          <w:rFonts w:cstheme="minorHAnsi"/>
          <w:szCs w:val="22"/>
        </w:rPr>
        <w:t>s</w:t>
      </w:r>
      <w:r w:rsidR="00BF0E05" w:rsidRPr="00073AC8">
        <w:rPr>
          <w:rFonts w:cstheme="minorHAnsi"/>
          <w:szCs w:val="22"/>
        </w:rPr>
        <w:t xml:space="preserve"> </w:t>
      </w:r>
      <w:r w:rsidRPr="00073AC8">
        <w:rPr>
          <w:rFonts w:cstheme="minorHAnsi"/>
          <w:szCs w:val="22"/>
        </w:rPr>
        <w:t>and aim</w:t>
      </w:r>
      <w:r w:rsidR="00BF0E05">
        <w:rPr>
          <w:rFonts w:cstheme="minorHAnsi"/>
          <w:szCs w:val="22"/>
        </w:rPr>
        <w:t>ed</w:t>
      </w:r>
      <w:r w:rsidRPr="00073AC8">
        <w:rPr>
          <w:rFonts w:cstheme="minorHAnsi"/>
          <w:szCs w:val="22"/>
        </w:rPr>
        <w:t xml:space="preserve"> to cover at least 80 per cent of the goods</w:t>
      </w:r>
      <w:r w:rsidR="00BF0E05">
        <w:rPr>
          <w:rFonts w:cstheme="minorHAnsi"/>
          <w:szCs w:val="22"/>
        </w:rPr>
        <w:t>,</w:t>
      </w:r>
      <w:r w:rsidRPr="00073AC8">
        <w:rPr>
          <w:rFonts w:cstheme="minorHAnsi"/>
          <w:szCs w:val="22"/>
        </w:rPr>
        <w:t xml:space="preserve"> In the case of Afghanistan</w:t>
      </w:r>
      <w:r w:rsidR="00BF0E05">
        <w:rPr>
          <w:rFonts w:cstheme="minorHAnsi"/>
          <w:szCs w:val="22"/>
        </w:rPr>
        <w:t>.</w:t>
      </w:r>
      <w:r w:rsidRPr="00073AC8">
        <w:rPr>
          <w:rFonts w:cstheme="minorHAnsi"/>
          <w:szCs w:val="22"/>
        </w:rPr>
        <w:t xml:space="preserve"> </w:t>
      </w:r>
      <w:r w:rsidR="00BF0E05">
        <w:rPr>
          <w:rFonts w:cstheme="minorHAnsi"/>
          <w:szCs w:val="22"/>
        </w:rPr>
        <w:t>However, as</w:t>
      </w:r>
      <w:r w:rsidRPr="00073AC8">
        <w:rPr>
          <w:rFonts w:cstheme="minorHAnsi"/>
          <w:szCs w:val="22"/>
        </w:rPr>
        <w:t xml:space="preserve"> few products </w:t>
      </w:r>
      <w:r w:rsidR="00BF0E05">
        <w:rPr>
          <w:rFonts w:cstheme="minorHAnsi"/>
          <w:szCs w:val="22"/>
        </w:rPr>
        <w:t>qualify for</w:t>
      </w:r>
      <w:r w:rsidRPr="00073AC8">
        <w:rPr>
          <w:rFonts w:cstheme="minorHAnsi"/>
          <w:szCs w:val="22"/>
        </w:rPr>
        <w:t xml:space="preserve"> the 15</w:t>
      </w:r>
      <w:r w:rsidR="00BF0E05">
        <w:rPr>
          <w:rFonts w:cstheme="minorHAnsi"/>
          <w:szCs w:val="22"/>
        </w:rPr>
        <w:t xml:space="preserve"> percent</w:t>
      </w:r>
      <w:r w:rsidRPr="00073AC8">
        <w:rPr>
          <w:rFonts w:cstheme="minorHAnsi"/>
          <w:szCs w:val="22"/>
        </w:rPr>
        <w:t xml:space="preserve"> threshold</w:t>
      </w:r>
      <w:r w:rsidR="00BF0E05">
        <w:rPr>
          <w:rFonts w:cstheme="minorHAnsi"/>
          <w:szCs w:val="22"/>
        </w:rPr>
        <w:t>,</w:t>
      </w:r>
      <w:r w:rsidRPr="00073AC8">
        <w:rPr>
          <w:rFonts w:cstheme="minorHAnsi"/>
          <w:szCs w:val="22"/>
        </w:rPr>
        <w:t xml:space="preserve"> the positive list of products submitted for tariff reduction includes only 50 products.</w:t>
      </w:r>
      <w:r w:rsidR="001B07DD">
        <w:rPr>
          <w:rFonts w:cstheme="minorHAnsi"/>
          <w:szCs w:val="22"/>
        </w:rPr>
        <w:t xml:space="preserve"> </w:t>
      </w:r>
      <w:r w:rsidRPr="00073AC8">
        <w:rPr>
          <w:rFonts w:cstheme="minorHAnsi"/>
          <w:szCs w:val="22"/>
        </w:rPr>
        <w:t>The ECOT</w:t>
      </w:r>
      <w:r w:rsidR="00BF0E05">
        <w:rPr>
          <w:rFonts w:cstheme="minorHAnsi"/>
          <w:szCs w:val="22"/>
        </w:rPr>
        <w:t>A</w:t>
      </w:r>
      <w:r w:rsidRPr="00073AC8">
        <w:rPr>
          <w:rFonts w:cstheme="minorHAnsi"/>
          <w:szCs w:val="22"/>
        </w:rPr>
        <w:t xml:space="preserve"> agreement is at a</w:t>
      </w:r>
      <w:r w:rsidR="00BF0E05">
        <w:rPr>
          <w:rFonts w:cstheme="minorHAnsi"/>
          <w:szCs w:val="22"/>
        </w:rPr>
        <w:t>n</w:t>
      </w:r>
      <w:r w:rsidRPr="00073AC8">
        <w:rPr>
          <w:rFonts w:cstheme="minorHAnsi"/>
          <w:szCs w:val="22"/>
        </w:rPr>
        <w:t xml:space="preserve"> early implementation stage.</w:t>
      </w:r>
      <w:r w:rsidR="001B07DD">
        <w:rPr>
          <w:rFonts w:cstheme="minorHAnsi"/>
          <w:szCs w:val="22"/>
        </w:rPr>
        <w:t xml:space="preserve"> </w:t>
      </w:r>
      <w:r w:rsidRPr="00073AC8">
        <w:rPr>
          <w:rFonts w:cstheme="minorHAnsi"/>
          <w:szCs w:val="22"/>
        </w:rPr>
        <w:t xml:space="preserve"> However, today only five countries have ratified the agreement</w:t>
      </w:r>
      <w:r w:rsidR="00BF0E05">
        <w:rPr>
          <w:rFonts w:cstheme="minorHAnsi"/>
          <w:szCs w:val="22"/>
        </w:rPr>
        <w:t>:</w:t>
      </w:r>
      <w:r w:rsidRPr="00073AC8">
        <w:rPr>
          <w:rFonts w:cstheme="minorHAnsi"/>
          <w:szCs w:val="22"/>
        </w:rPr>
        <w:t xml:space="preserve"> Afghanistan, Iran, Pakistan, Tajikistan and Turkey, and members are in the process of preparing preliminary sensitive lists (which cannot exceed 1 percent of the six</w:t>
      </w:r>
      <w:r w:rsidR="00BF0E05">
        <w:rPr>
          <w:rFonts w:cstheme="minorHAnsi"/>
          <w:szCs w:val="22"/>
        </w:rPr>
        <w:t>-</w:t>
      </w:r>
      <w:r w:rsidRPr="00073AC8">
        <w:rPr>
          <w:rFonts w:cstheme="minorHAnsi"/>
          <w:szCs w:val="22"/>
        </w:rPr>
        <w:t>digit tariff lines.</w:t>
      </w:r>
      <w:r w:rsidR="001B07DD">
        <w:rPr>
          <w:rFonts w:cstheme="minorHAnsi"/>
          <w:szCs w:val="22"/>
        </w:rPr>
        <w:t xml:space="preserve"> </w:t>
      </w:r>
      <w:r w:rsidRPr="00073AC8">
        <w:rPr>
          <w:rFonts w:cstheme="minorHAnsi"/>
          <w:szCs w:val="22"/>
        </w:rPr>
        <w:t xml:space="preserve">Therefore, it will take time for this agreement to be implemented and for it to really impact Afghan exports </w:t>
      </w:r>
      <w:r w:rsidR="00BF0E05">
        <w:rPr>
          <w:rFonts w:cstheme="minorHAnsi"/>
          <w:szCs w:val="22"/>
        </w:rPr>
        <w:t>in</w:t>
      </w:r>
      <w:r w:rsidR="00BF0E05" w:rsidRPr="00073AC8">
        <w:rPr>
          <w:rFonts w:cstheme="minorHAnsi"/>
          <w:szCs w:val="22"/>
        </w:rPr>
        <w:t xml:space="preserve"> </w:t>
      </w:r>
      <w:r w:rsidRPr="00073AC8">
        <w:rPr>
          <w:rFonts w:cstheme="minorHAnsi"/>
          <w:szCs w:val="22"/>
        </w:rPr>
        <w:t>the medium term.</w:t>
      </w:r>
      <w:r w:rsidR="001B07DD">
        <w:rPr>
          <w:rFonts w:cstheme="minorHAnsi"/>
          <w:szCs w:val="22"/>
        </w:rPr>
        <w:t xml:space="preserve"> </w:t>
      </w:r>
    </w:p>
    <w:p w:rsidR="0014667F" w:rsidRPr="00073AC8" w:rsidRDefault="0014667F" w:rsidP="008900D8">
      <w:pPr>
        <w:pStyle w:val="ListParagraph"/>
        <w:spacing w:after="0"/>
        <w:ind w:left="0"/>
        <w:rPr>
          <w:rFonts w:cstheme="minorHAnsi"/>
          <w:szCs w:val="22"/>
        </w:rPr>
      </w:pPr>
    </w:p>
    <w:p w:rsidR="0014667F" w:rsidRDefault="0014667F" w:rsidP="008900D8">
      <w:pPr>
        <w:pStyle w:val="ListParagraph"/>
        <w:spacing w:after="0"/>
        <w:ind w:left="0"/>
        <w:rPr>
          <w:rFonts w:cstheme="minorHAnsi"/>
          <w:szCs w:val="22"/>
        </w:rPr>
      </w:pPr>
      <w:r w:rsidRPr="00073AC8">
        <w:rPr>
          <w:b/>
          <w:szCs w:val="22"/>
        </w:rPr>
        <w:t>The SAFTA free trade agreement was formed to increase the level of trade and economic cooperation among the SAARC members</w:t>
      </w:r>
      <w:r w:rsidRPr="00073AC8">
        <w:rPr>
          <w:szCs w:val="22"/>
        </w:rPr>
        <w:t>.</w:t>
      </w:r>
      <w:r w:rsidR="001B07DD">
        <w:rPr>
          <w:szCs w:val="22"/>
        </w:rPr>
        <w:t xml:space="preserve"> </w:t>
      </w:r>
      <w:r w:rsidRPr="00073AC8">
        <w:rPr>
          <w:rFonts w:cstheme="minorHAnsi"/>
          <w:szCs w:val="22"/>
        </w:rPr>
        <w:t xml:space="preserve">As the </w:t>
      </w:r>
      <w:r w:rsidR="00104F80">
        <w:rPr>
          <w:rFonts w:cstheme="minorHAnsi"/>
          <w:szCs w:val="22"/>
        </w:rPr>
        <w:t>eigh</w:t>
      </w:r>
      <w:r w:rsidR="00104F80" w:rsidRPr="00073AC8">
        <w:rPr>
          <w:rFonts w:cstheme="minorHAnsi"/>
          <w:szCs w:val="22"/>
        </w:rPr>
        <w:t xml:space="preserve">th </w:t>
      </w:r>
      <w:r w:rsidRPr="00073AC8">
        <w:rPr>
          <w:rFonts w:cstheme="minorHAnsi"/>
          <w:szCs w:val="22"/>
        </w:rPr>
        <w:t xml:space="preserve">member state of the South Asian Association for Regional Cooperation (SAARC), Afghanistan ratified the South Asian Free Trade Area (SAFTA) protocol </w:t>
      </w:r>
      <w:r w:rsidR="00104F80">
        <w:rPr>
          <w:rFonts w:cstheme="minorHAnsi"/>
          <w:szCs w:val="22"/>
        </w:rPr>
        <w:t>i</w:t>
      </w:r>
      <w:r w:rsidRPr="00073AC8">
        <w:rPr>
          <w:rFonts w:cstheme="minorHAnsi"/>
          <w:szCs w:val="22"/>
        </w:rPr>
        <w:t>n May 2011.</w:t>
      </w:r>
      <w:r w:rsidR="001B07DD">
        <w:rPr>
          <w:rFonts w:cstheme="minorHAnsi"/>
          <w:szCs w:val="22"/>
        </w:rPr>
        <w:t xml:space="preserve"> </w:t>
      </w:r>
      <w:r w:rsidRPr="00073AC8">
        <w:rPr>
          <w:szCs w:val="22"/>
        </w:rPr>
        <w:t xml:space="preserve">The agreement </w:t>
      </w:r>
      <w:r w:rsidR="00104F80">
        <w:rPr>
          <w:szCs w:val="22"/>
        </w:rPr>
        <w:t>requires</w:t>
      </w:r>
      <w:r w:rsidRPr="00073AC8">
        <w:rPr>
          <w:szCs w:val="22"/>
        </w:rPr>
        <w:t xml:space="preserve"> the more developed members</w:t>
      </w:r>
      <w:r w:rsidR="00104F80">
        <w:rPr>
          <w:szCs w:val="22"/>
        </w:rPr>
        <w:t xml:space="preserve"> –</w:t>
      </w:r>
      <w:r w:rsidRPr="00073AC8">
        <w:rPr>
          <w:szCs w:val="22"/>
        </w:rPr>
        <w:t xml:space="preserve"> </w:t>
      </w:r>
      <w:r w:rsidRPr="00073AC8">
        <w:rPr>
          <w:rFonts w:cstheme="minorHAnsi"/>
          <w:szCs w:val="22"/>
        </w:rPr>
        <w:t>India, Pakistan and Sri Lanka</w:t>
      </w:r>
      <w:r w:rsidR="00104F80">
        <w:rPr>
          <w:rFonts w:cstheme="minorHAnsi"/>
          <w:szCs w:val="22"/>
        </w:rPr>
        <w:t xml:space="preserve"> –</w:t>
      </w:r>
      <w:r w:rsidRPr="00073AC8">
        <w:rPr>
          <w:rFonts w:cstheme="minorHAnsi"/>
          <w:szCs w:val="22"/>
        </w:rPr>
        <w:t xml:space="preserve"> </w:t>
      </w:r>
      <w:r w:rsidRPr="00073AC8">
        <w:rPr>
          <w:szCs w:val="22"/>
        </w:rPr>
        <w:t xml:space="preserve">to </w:t>
      </w:r>
      <w:r w:rsidRPr="00073AC8">
        <w:rPr>
          <w:rFonts w:cstheme="minorHAnsi"/>
          <w:szCs w:val="22"/>
        </w:rPr>
        <w:t>reduce tariffs on intraregional trade to 20 percent during an initial phase that ends in 2012.</w:t>
      </w:r>
      <w:r w:rsidR="001B07DD">
        <w:rPr>
          <w:rFonts w:cstheme="minorHAnsi"/>
          <w:szCs w:val="22"/>
        </w:rPr>
        <w:t xml:space="preserve"> </w:t>
      </w:r>
      <w:r w:rsidRPr="00073AC8">
        <w:rPr>
          <w:rFonts w:cstheme="minorHAnsi"/>
          <w:szCs w:val="22"/>
        </w:rPr>
        <w:t xml:space="preserve">The following phase requires </w:t>
      </w:r>
      <w:r w:rsidR="00436773">
        <w:rPr>
          <w:rFonts w:cstheme="minorHAnsi"/>
          <w:szCs w:val="22"/>
        </w:rPr>
        <w:t>further</w:t>
      </w:r>
      <w:r w:rsidRPr="00073AC8">
        <w:rPr>
          <w:rFonts w:cstheme="minorHAnsi"/>
          <w:szCs w:val="22"/>
        </w:rPr>
        <w:t xml:space="preserve"> duty reduc</w:t>
      </w:r>
      <w:r w:rsidR="00436773">
        <w:rPr>
          <w:rFonts w:cstheme="minorHAnsi"/>
          <w:szCs w:val="22"/>
        </w:rPr>
        <w:t xml:space="preserve">tions </w:t>
      </w:r>
      <w:r w:rsidRPr="00073AC8">
        <w:rPr>
          <w:rFonts w:cstheme="minorHAnsi"/>
          <w:szCs w:val="22"/>
        </w:rPr>
        <w:t>to zero</w:t>
      </w:r>
      <w:r w:rsidR="00436773">
        <w:rPr>
          <w:rFonts w:cstheme="minorHAnsi"/>
          <w:szCs w:val="22"/>
        </w:rPr>
        <w:t>,</w:t>
      </w:r>
      <w:r w:rsidRPr="00073AC8">
        <w:rPr>
          <w:rFonts w:cstheme="minorHAnsi"/>
          <w:szCs w:val="22"/>
        </w:rPr>
        <w:t xml:space="preserve"> in a series of annual cuts.</w:t>
      </w:r>
      <w:r w:rsidR="001B07DD">
        <w:rPr>
          <w:rFonts w:cstheme="minorHAnsi"/>
          <w:szCs w:val="22"/>
        </w:rPr>
        <w:t xml:space="preserve"> </w:t>
      </w:r>
      <w:r w:rsidRPr="00073AC8">
        <w:rPr>
          <w:rFonts w:cstheme="minorHAnsi"/>
          <w:szCs w:val="22"/>
        </w:rPr>
        <w:t xml:space="preserve">As for other members classified as </w:t>
      </w:r>
      <w:hyperlink r:id="rId70" w:tooltip="Least developed country" w:history="1"/>
      <w:r w:rsidRPr="00073AC8">
        <w:rPr>
          <w:rFonts w:cstheme="minorHAnsi"/>
          <w:szCs w:val="22"/>
        </w:rPr>
        <w:t>LDC</w:t>
      </w:r>
      <w:r w:rsidR="00436773">
        <w:rPr>
          <w:rFonts w:cstheme="minorHAnsi"/>
          <w:szCs w:val="22"/>
        </w:rPr>
        <w:t>s –</w:t>
      </w:r>
      <w:r w:rsidR="00436773" w:rsidRPr="00073AC8">
        <w:rPr>
          <w:rFonts w:cstheme="minorHAnsi"/>
          <w:szCs w:val="22"/>
        </w:rPr>
        <w:t xml:space="preserve"> </w:t>
      </w:r>
      <w:r w:rsidRPr="00073AC8">
        <w:rPr>
          <w:rFonts w:cstheme="minorHAnsi"/>
          <w:szCs w:val="22"/>
        </w:rPr>
        <w:t>Nepal, Bhutan, Bangladesh, Afghanistan and Maldives</w:t>
      </w:r>
      <w:r w:rsidR="00436773">
        <w:rPr>
          <w:rFonts w:cstheme="minorHAnsi"/>
          <w:szCs w:val="22"/>
        </w:rPr>
        <w:t xml:space="preserve"> –</w:t>
      </w:r>
      <w:r w:rsidRPr="00073AC8">
        <w:rPr>
          <w:rFonts w:cstheme="minorHAnsi"/>
          <w:szCs w:val="22"/>
        </w:rPr>
        <w:t xml:space="preserve"> there is an additional three-year period to enforce such tariff reductions.</w:t>
      </w:r>
      <w:r w:rsidR="001B07DD">
        <w:rPr>
          <w:rFonts w:cstheme="minorHAnsi"/>
          <w:szCs w:val="22"/>
        </w:rPr>
        <w:t xml:space="preserve"> </w:t>
      </w:r>
      <w:r w:rsidRPr="00073AC8">
        <w:rPr>
          <w:rFonts w:cstheme="minorHAnsi"/>
          <w:szCs w:val="22"/>
        </w:rPr>
        <w:t>Currently, all countries have ratified the agreement and have submitted their negative and positive lists, but these are still under negotiation.</w:t>
      </w:r>
      <w:r w:rsidR="001B07DD">
        <w:rPr>
          <w:rFonts w:cstheme="minorHAnsi"/>
          <w:szCs w:val="22"/>
        </w:rPr>
        <w:t xml:space="preserve"> </w:t>
      </w:r>
      <w:r w:rsidRPr="00073AC8">
        <w:rPr>
          <w:rFonts w:cstheme="minorHAnsi"/>
          <w:szCs w:val="22"/>
        </w:rPr>
        <w:t>In the case of Afghanistan, the sensitive list covers 1</w:t>
      </w:r>
      <w:r w:rsidR="00436773">
        <w:rPr>
          <w:rFonts w:cstheme="minorHAnsi"/>
          <w:szCs w:val="22"/>
        </w:rPr>
        <w:t>,</w:t>
      </w:r>
      <w:r w:rsidRPr="00073AC8">
        <w:rPr>
          <w:rFonts w:cstheme="minorHAnsi"/>
          <w:szCs w:val="22"/>
        </w:rPr>
        <w:t>070 products and almost 50 percent of its imports.</w:t>
      </w:r>
      <w:r w:rsidR="001B07DD">
        <w:rPr>
          <w:rFonts w:cstheme="minorHAnsi"/>
          <w:szCs w:val="22"/>
        </w:rPr>
        <w:t xml:space="preserve"> </w:t>
      </w:r>
      <w:r w:rsidRPr="00073AC8">
        <w:rPr>
          <w:rFonts w:cstheme="minorHAnsi"/>
          <w:szCs w:val="22"/>
        </w:rPr>
        <w:t>Given that members have made progress during the first phase of implementation</w:t>
      </w:r>
      <w:r w:rsidR="00436773">
        <w:rPr>
          <w:rFonts w:cstheme="minorHAnsi"/>
          <w:szCs w:val="22"/>
        </w:rPr>
        <w:t>,</w:t>
      </w:r>
      <w:r w:rsidRPr="00073AC8">
        <w:rPr>
          <w:rFonts w:cstheme="minorHAnsi"/>
          <w:szCs w:val="22"/>
        </w:rPr>
        <w:t xml:space="preserve"> and because of the shorter</w:t>
      </w:r>
      <w:r w:rsidR="00436773">
        <w:rPr>
          <w:rFonts w:cstheme="minorHAnsi"/>
          <w:szCs w:val="22"/>
        </w:rPr>
        <w:t xml:space="preserve"> </w:t>
      </w:r>
      <w:r w:rsidRPr="00073AC8">
        <w:rPr>
          <w:rFonts w:cstheme="minorHAnsi"/>
          <w:szCs w:val="22"/>
        </w:rPr>
        <w:t>time-span for reform, if things go ahead as</w:t>
      </w:r>
      <w:r w:rsidR="00436773">
        <w:rPr>
          <w:rFonts w:cstheme="minorHAnsi"/>
          <w:szCs w:val="22"/>
        </w:rPr>
        <w:t xml:space="preserve"> planned</w:t>
      </w:r>
      <w:r w:rsidRPr="00073AC8">
        <w:rPr>
          <w:rFonts w:cstheme="minorHAnsi"/>
          <w:szCs w:val="22"/>
        </w:rPr>
        <w:t>, the SAFTA could increase Afghan trade flows</w:t>
      </w:r>
      <w:r w:rsidR="00436773">
        <w:rPr>
          <w:rFonts w:cstheme="minorHAnsi"/>
          <w:szCs w:val="22"/>
        </w:rPr>
        <w:t xml:space="preserve"> in</w:t>
      </w:r>
      <w:r w:rsidRPr="00073AC8">
        <w:rPr>
          <w:rFonts w:cstheme="minorHAnsi"/>
          <w:szCs w:val="22"/>
        </w:rPr>
        <w:t xml:space="preserve"> the medium term.</w:t>
      </w:r>
      <w:r w:rsidR="001B07DD">
        <w:rPr>
          <w:rFonts w:cstheme="minorHAnsi"/>
          <w:szCs w:val="22"/>
        </w:rPr>
        <w:t xml:space="preserve"> </w:t>
      </w:r>
      <w:r w:rsidRPr="00073AC8">
        <w:rPr>
          <w:rFonts w:cstheme="minorHAnsi"/>
          <w:szCs w:val="22"/>
        </w:rPr>
        <w:t xml:space="preserve">However, tariff reductions could also decrease customs revenue collection and increase Afghan </w:t>
      </w:r>
      <w:r w:rsidR="00436773">
        <w:rPr>
          <w:rFonts w:cstheme="minorHAnsi"/>
          <w:szCs w:val="22"/>
        </w:rPr>
        <w:t>i</w:t>
      </w:r>
      <w:r w:rsidRPr="00073AC8">
        <w:rPr>
          <w:rFonts w:cstheme="minorHAnsi"/>
          <w:szCs w:val="22"/>
        </w:rPr>
        <w:t>mports.</w:t>
      </w:r>
      <w:r w:rsidR="001B07DD">
        <w:rPr>
          <w:rFonts w:cstheme="minorHAnsi"/>
          <w:szCs w:val="22"/>
        </w:rPr>
        <w:t xml:space="preserve"> </w:t>
      </w:r>
    </w:p>
    <w:p w:rsidR="0014667F" w:rsidRPr="006C2885" w:rsidRDefault="0014667F" w:rsidP="0014667F">
      <w:pPr>
        <w:pStyle w:val="Heading2"/>
      </w:pPr>
      <w:bookmarkStart w:id="336" w:name="_Toc327208467"/>
      <w:bookmarkStart w:id="337" w:name="_Toc348451720"/>
      <w:r w:rsidRPr="006C2885">
        <w:t xml:space="preserve">Impact of </w:t>
      </w:r>
      <w:r w:rsidR="00F60E23">
        <w:t xml:space="preserve">the </w:t>
      </w:r>
      <w:r w:rsidRPr="006C2885">
        <w:t xml:space="preserve">SAFTA </w:t>
      </w:r>
      <w:r w:rsidR="00D13E4A">
        <w:t xml:space="preserve">Agreement </w:t>
      </w:r>
      <w:r w:rsidRPr="006C2885">
        <w:t>on Afghanistan’s Imports and Fiscal Revenues</w:t>
      </w:r>
      <w:bookmarkEnd w:id="336"/>
      <w:bookmarkEnd w:id="337"/>
    </w:p>
    <w:p w:rsidR="0014667F" w:rsidRPr="008900D8" w:rsidRDefault="0014667F" w:rsidP="008900D8">
      <w:pPr>
        <w:autoSpaceDE w:val="0"/>
        <w:autoSpaceDN w:val="0"/>
        <w:adjustRightInd w:val="0"/>
        <w:rPr>
          <w:szCs w:val="22"/>
        </w:rPr>
      </w:pPr>
      <w:r w:rsidRPr="008900D8">
        <w:rPr>
          <w:b/>
          <w:color w:val="000000"/>
          <w:szCs w:val="22"/>
        </w:rPr>
        <w:t>The SAFTA agreement seem</w:t>
      </w:r>
      <w:r w:rsidR="00486973">
        <w:rPr>
          <w:b/>
          <w:color w:val="000000"/>
          <w:szCs w:val="22"/>
        </w:rPr>
        <w:t>s</w:t>
      </w:r>
      <w:r w:rsidRPr="008900D8">
        <w:rPr>
          <w:b/>
          <w:color w:val="000000"/>
          <w:szCs w:val="22"/>
        </w:rPr>
        <w:t xml:space="preserve"> </w:t>
      </w:r>
      <w:r w:rsidR="00E20EB5" w:rsidRPr="008900D8">
        <w:rPr>
          <w:b/>
          <w:color w:val="000000"/>
          <w:szCs w:val="22"/>
        </w:rPr>
        <w:t>to be</w:t>
      </w:r>
      <w:r w:rsidRPr="008900D8">
        <w:rPr>
          <w:b/>
          <w:color w:val="000000"/>
          <w:szCs w:val="22"/>
        </w:rPr>
        <w:t xml:space="preserve"> a win-win for Afghanistan.</w:t>
      </w:r>
      <w:r w:rsidR="001B07DD" w:rsidRPr="008900D8">
        <w:rPr>
          <w:b/>
          <w:color w:val="000000"/>
          <w:szCs w:val="22"/>
        </w:rPr>
        <w:t xml:space="preserve"> </w:t>
      </w:r>
      <w:r w:rsidR="00E20EB5" w:rsidRPr="008900D8">
        <w:rPr>
          <w:color w:val="000000"/>
          <w:szCs w:val="22"/>
        </w:rPr>
        <w:t>A</w:t>
      </w:r>
      <w:r w:rsidRPr="008900D8">
        <w:rPr>
          <w:color w:val="000000"/>
          <w:szCs w:val="22"/>
        </w:rPr>
        <w:t xml:space="preserve"> World Bank Tariff Reform Impact Simulation Tool (TRIST) exercise suggests that </w:t>
      </w:r>
      <w:r w:rsidRPr="008900D8">
        <w:rPr>
          <w:szCs w:val="22"/>
        </w:rPr>
        <w:t xml:space="preserve">SAFTA would have a modest negative impact </w:t>
      </w:r>
      <w:r w:rsidR="00E20EB5" w:rsidRPr="008900D8">
        <w:rPr>
          <w:szCs w:val="22"/>
        </w:rPr>
        <w:t>on Afghanistan’s f</w:t>
      </w:r>
      <w:r w:rsidRPr="008900D8">
        <w:rPr>
          <w:szCs w:val="22"/>
        </w:rPr>
        <w:t xml:space="preserve">iscal revenues and </w:t>
      </w:r>
      <w:r w:rsidR="00E20EB5" w:rsidRPr="008900D8">
        <w:rPr>
          <w:szCs w:val="22"/>
        </w:rPr>
        <w:t>rising</w:t>
      </w:r>
      <w:r w:rsidRPr="008900D8">
        <w:rPr>
          <w:szCs w:val="22"/>
        </w:rPr>
        <w:t xml:space="preserve"> imports</w:t>
      </w:r>
      <w:r w:rsidRPr="008900D8">
        <w:rPr>
          <w:color w:val="000000"/>
          <w:szCs w:val="22"/>
        </w:rPr>
        <w:t>.</w:t>
      </w:r>
      <w:r w:rsidR="001B07DD" w:rsidRPr="008900D8">
        <w:rPr>
          <w:color w:val="000000"/>
          <w:szCs w:val="22"/>
        </w:rPr>
        <w:t xml:space="preserve"> </w:t>
      </w:r>
      <w:r w:rsidRPr="008900D8">
        <w:rPr>
          <w:color w:val="000000"/>
          <w:szCs w:val="22"/>
        </w:rPr>
        <w:t xml:space="preserve">This is because of the </w:t>
      </w:r>
      <w:r w:rsidRPr="008900D8">
        <w:rPr>
          <w:szCs w:val="22"/>
        </w:rPr>
        <w:t>current distribution of Afghan imports, its tariff structure, and the terms of the agreement.</w:t>
      </w:r>
      <w:r w:rsidRPr="008900D8">
        <w:rPr>
          <w:rStyle w:val="FootnoteReference"/>
          <w:sz w:val="22"/>
          <w:szCs w:val="22"/>
        </w:rPr>
        <w:footnoteReference w:id="114"/>
      </w:r>
      <w:r w:rsidR="001B07DD" w:rsidRPr="008900D8">
        <w:rPr>
          <w:szCs w:val="22"/>
        </w:rPr>
        <w:t xml:space="preserve"> </w:t>
      </w:r>
      <w:r w:rsidRPr="008900D8">
        <w:rPr>
          <w:color w:val="000000"/>
          <w:szCs w:val="22"/>
        </w:rPr>
        <w:t xml:space="preserve">Thus, </w:t>
      </w:r>
      <w:r w:rsidRPr="008900D8">
        <w:rPr>
          <w:szCs w:val="22"/>
        </w:rPr>
        <w:t>fiscal revenues may even increase if a portion of existing informal imports become subject to Afghan custom procedures</w:t>
      </w:r>
      <w:r w:rsidR="00EC3C09" w:rsidRPr="008900D8">
        <w:rPr>
          <w:szCs w:val="22"/>
        </w:rPr>
        <w:t>. This is because th</w:t>
      </w:r>
      <w:r w:rsidRPr="008900D8">
        <w:rPr>
          <w:szCs w:val="22"/>
        </w:rPr>
        <w:t>e agreement’s lower duties and taxes would reduce costs relative to the risks of informal trade.</w:t>
      </w:r>
      <w:r w:rsidR="001B07DD" w:rsidRPr="008900D8">
        <w:rPr>
          <w:szCs w:val="22"/>
        </w:rPr>
        <w:t xml:space="preserve"> </w:t>
      </w:r>
      <w:r w:rsidRPr="008900D8">
        <w:rPr>
          <w:szCs w:val="22"/>
        </w:rPr>
        <w:t>However, the agreement would more substantial</w:t>
      </w:r>
      <w:r w:rsidR="00EC3C09" w:rsidRPr="008900D8">
        <w:rPr>
          <w:szCs w:val="22"/>
        </w:rPr>
        <w:t>ly</w:t>
      </w:r>
      <w:r w:rsidRPr="008900D8">
        <w:rPr>
          <w:szCs w:val="22"/>
        </w:rPr>
        <w:t xml:space="preserve"> </w:t>
      </w:r>
      <w:r w:rsidR="00EC3C09" w:rsidRPr="008900D8">
        <w:rPr>
          <w:szCs w:val="22"/>
        </w:rPr>
        <w:t>boost</w:t>
      </w:r>
      <w:r w:rsidRPr="008900D8">
        <w:rPr>
          <w:szCs w:val="22"/>
        </w:rPr>
        <w:t xml:space="preserve"> Afghan exports </w:t>
      </w:r>
      <w:r w:rsidR="00EC3C09" w:rsidRPr="008900D8">
        <w:rPr>
          <w:szCs w:val="22"/>
        </w:rPr>
        <w:t xml:space="preserve">through </w:t>
      </w:r>
      <w:r w:rsidRPr="008900D8">
        <w:rPr>
          <w:szCs w:val="22"/>
        </w:rPr>
        <w:t>privileged access to other SAFTA countries.</w:t>
      </w:r>
      <w:r w:rsidR="001B07DD" w:rsidRPr="008900D8">
        <w:rPr>
          <w:szCs w:val="22"/>
        </w:rPr>
        <w:t xml:space="preserve"> </w:t>
      </w:r>
      <w:r w:rsidRPr="008900D8">
        <w:rPr>
          <w:szCs w:val="22"/>
        </w:rPr>
        <w:t xml:space="preserve">This would </w:t>
      </w:r>
      <w:r w:rsidR="00EC3C09" w:rsidRPr="008900D8">
        <w:rPr>
          <w:szCs w:val="22"/>
        </w:rPr>
        <w:t xml:space="preserve">be </w:t>
      </w:r>
      <w:r w:rsidRPr="008900D8">
        <w:rPr>
          <w:szCs w:val="22"/>
        </w:rPr>
        <w:t xml:space="preserve">important </w:t>
      </w:r>
      <w:r w:rsidR="00EC3C09" w:rsidRPr="008900D8">
        <w:rPr>
          <w:szCs w:val="22"/>
        </w:rPr>
        <w:t xml:space="preserve">particularly </w:t>
      </w:r>
      <w:r w:rsidRPr="008900D8">
        <w:rPr>
          <w:szCs w:val="22"/>
        </w:rPr>
        <w:t xml:space="preserve">for future trade with Pakistan and India </w:t>
      </w:r>
      <w:r w:rsidR="00EC3C09" w:rsidRPr="008900D8">
        <w:rPr>
          <w:szCs w:val="22"/>
        </w:rPr>
        <w:t>which are</w:t>
      </w:r>
      <w:r w:rsidRPr="008900D8">
        <w:rPr>
          <w:szCs w:val="22"/>
        </w:rPr>
        <w:t xml:space="preserve"> relatively protected markets (both with average tariff</w:t>
      </w:r>
      <w:r w:rsidR="00EC3C09" w:rsidRPr="008900D8">
        <w:rPr>
          <w:szCs w:val="22"/>
        </w:rPr>
        <w:t xml:space="preserve">s </w:t>
      </w:r>
      <w:r w:rsidRPr="008900D8">
        <w:rPr>
          <w:szCs w:val="22"/>
        </w:rPr>
        <w:t>over 12</w:t>
      </w:r>
      <w:r w:rsidR="00EC3C09" w:rsidRPr="008900D8">
        <w:rPr>
          <w:szCs w:val="22"/>
        </w:rPr>
        <w:t xml:space="preserve"> percent</w:t>
      </w:r>
      <w:r w:rsidRPr="008900D8">
        <w:rPr>
          <w:szCs w:val="22"/>
        </w:rPr>
        <w:t>) and</w:t>
      </w:r>
      <w:r w:rsidR="00EC3C09" w:rsidRPr="008900D8">
        <w:rPr>
          <w:szCs w:val="22"/>
        </w:rPr>
        <w:t xml:space="preserve"> which </w:t>
      </w:r>
      <w:r w:rsidRPr="008900D8">
        <w:rPr>
          <w:szCs w:val="22"/>
        </w:rPr>
        <w:t>already account for over 60 percent of Afghan exports.</w:t>
      </w:r>
    </w:p>
    <w:p w:rsidR="0014667F" w:rsidRPr="008900D8" w:rsidRDefault="0014667F" w:rsidP="008900D8">
      <w:pPr>
        <w:autoSpaceDE w:val="0"/>
        <w:autoSpaceDN w:val="0"/>
        <w:adjustRightInd w:val="0"/>
        <w:rPr>
          <w:szCs w:val="22"/>
        </w:rPr>
      </w:pPr>
      <w:r w:rsidRPr="008900D8">
        <w:rPr>
          <w:szCs w:val="22"/>
        </w:rPr>
        <w:t>The TRIST tool is a partial equilibrium model that quantiﬁes the effect of trade reform scenarios on imports, revenues and production.</w:t>
      </w:r>
      <w:r w:rsidRPr="008900D8">
        <w:rPr>
          <w:rStyle w:val="FootnoteReference"/>
          <w:sz w:val="22"/>
          <w:szCs w:val="22"/>
        </w:rPr>
        <w:footnoteReference w:id="115"/>
      </w:r>
      <w:r w:rsidR="001B07DD" w:rsidRPr="008900D8">
        <w:rPr>
          <w:szCs w:val="22"/>
        </w:rPr>
        <w:t xml:space="preserve"> </w:t>
      </w:r>
      <w:r w:rsidRPr="008900D8">
        <w:rPr>
          <w:szCs w:val="22"/>
        </w:rPr>
        <w:t>It uses actual trade flows and applied tariffs instead of the statutory tariffs (official commitments) and aggregated trade flows from international databases.</w:t>
      </w:r>
      <w:r w:rsidR="001B07DD" w:rsidRPr="008900D8">
        <w:rPr>
          <w:szCs w:val="22"/>
        </w:rPr>
        <w:t xml:space="preserve"> </w:t>
      </w:r>
      <w:r w:rsidRPr="008900D8">
        <w:rPr>
          <w:szCs w:val="22"/>
        </w:rPr>
        <w:t>This is important because in the case of Afghanistan exempted imports would account for over 45</w:t>
      </w:r>
      <w:r w:rsidR="00EC3C09" w:rsidRPr="008900D8">
        <w:rPr>
          <w:szCs w:val="22"/>
        </w:rPr>
        <w:t xml:space="preserve"> percent</w:t>
      </w:r>
      <w:r w:rsidRPr="008900D8">
        <w:rPr>
          <w:szCs w:val="22"/>
        </w:rPr>
        <w:t xml:space="preserve"> of total tariff revenue, while other import taxes (in addition to duties) account for almost 50</w:t>
      </w:r>
      <w:r w:rsidR="00EC3C09" w:rsidRPr="008900D8">
        <w:rPr>
          <w:szCs w:val="22"/>
        </w:rPr>
        <w:t xml:space="preserve"> percent</w:t>
      </w:r>
      <w:r w:rsidRPr="008900D8">
        <w:rPr>
          <w:szCs w:val="22"/>
        </w:rPr>
        <w:t xml:space="preserve"> of fiscal revenue from imports.</w:t>
      </w:r>
      <w:r w:rsidR="001B07DD" w:rsidRPr="008900D8">
        <w:rPr>
          <w:szCs w:val="22"/>
        </w:rPr>
        <w:t xml:space="preserve"> </w:t>
      </w:r>
      <w:r w:rsidRPr="008900D8">
        <w:rPr>
          <w:szCs w:val="22"/>
        </w:rPr>
        <w:t xml:space="preserve"> </w:t>
      </w:r>
    </w:p>
    <w:p w:rsidR="0014667F" w:rsidRPr="008900D8" w:rsidRDefault="0014667F" w:rsidP="008900D8">
      <w:pPr>
        <w:rPr>
          <w:szCs w:val="22"/>
        </w:rPr>
      </w:pPr>
      <w:r w:rsidRPr="008900D8">
        <w:rPr>
          <w:b/>
          <w:szCs w:val="22"/>
        </w:rPr>
        <w:t>Imports from SAFTA countries comprise a small share of total Afghan imports</w:t>
      </w:r>
      <w:r w:rsidRPr="008900D8">
        <w:rPr>
          <w:szCs w:val="22"/>
        </w:rPr>
        <w:t>.</w:t>
      </w:r>
      <w:r w:rsidRPr="008900D8">
        <w:rPr>
          <w:rStyle w:val="FootnoteReference"/>
          <w:sz w:val="22"/>
          <w:szCs w:val="22"/>
        </w:rPr>
        <w:footnoteReference w:id="116"/>
      </w:r>
      <w:r w:rsidRPr="008900D8">
        <w:rPr>
          <w:szCs w:val="22"/>
        </w:rPr>
        <w:t xml:space="preserve"> In </w:t>
      </w:r>
      <w:r w:rsidR="00F351B8" w:rsidRPr="008900D8">
        <w:rPr>
          <w:szCs w:val="22"/>
        </w:rPr>
        <w:t xml:space="preserve">fiscal </w:t>
      </w:r>
      <w:r w:rsidRPr="008900D8">
        <w:rPr>
          <w:szCs w:val="22"/>
        </w:rPr>
        <w:t>2010, records on formal transactions show that imports from the SAFTA member states represented less than 10</w:t>
      </w:r>
      <w:r w:rsidR="00F351B8" w:rsidRPr="008900D8">
        <w:rPr>
          <w:szCs w:val="22"/>
        </w:rPr>
        <w:t xml:space="preserve"> percent</w:t>
      </w:r>
      <w:r w:rsidRPr="008900D8">
        <w:rPr>
          <w:szCs w:val="22"/>
        </w:rPr>
        <w:t xml:space="preserve"> of total Afghan imports.</w:t>
      </w:r>
      <w:r w:rsidR="001B07DD" w:rsidRPr="008900D8">
        <w:rPr>
          <w:szCs w:val="22"/>
        </w:rPr>
        <w:t xml:space="preserve"> </w:t>
      </w:r>
      <w:r w:rsidRPr="008900D8">
        <w:rPr>
          <w:szCs w:val="22"/>
        </w:rPr>
        <w:t xml:space="preserve">Thus, Afghanistan actually imported from only </w:t>
      </w:r>
      <w:r w:rsidR="00F351B8" w:rsidRPr="008900D8">
        <w:rPr>
          <w:szCs w:val="22"/>
        </w:rPr>
        <w:t>two</w:t>
      </w:r>
      <w:r w:rsidRPr="008900D8">
        <w:rPr>
          <w:szCs w:val="22"/>
        </w:rPr>
        <w:t xml:space="preserve"> of the </w:t>
      </w:r>
      <w:r w:rsidR="00F351B8" w:rsidRPr="008900D8">
        <w:rPr>
          <w:szCs w:val="22"/>
        </w:rPr>
        <w:t>seven</w:t>
      </w:r>
      <w:r w:rsidR="001B07DD" w:rsidRPr="008900D8">
        <w:rPr>
          <w:szCs w:val="22"/>
        </w:rPr>
        <w:t xml:space="preserve"> </w:t>
      </w:r>
      <w:r w:rsidRPr="008900D8">
        <w:rPr>
          <w:szCs w:val="22"/>
        </w:rPr>
        <w:t>SAFTA members</w:t>
      </w:r>
      <w:r w:rsidR="00F351B8" w:rsidRPr="008900D8">
        <w:rPr>
          <w:szCs w:val="22"/>
        </w:rPr>
        <w:t xml:space="preserve">: </w:t>
      </w:r>
      <w:r w:rsidRPr="008900D8">
        <w:rPr>
          <w:szCs w:val="22"/>
        </w:rPr>
        <w:t>India, and Pakistan.</w:t>
      </w:r>
      <w:r w:rsidR="001B07DD" w:rsidRPr="008900D8">
        <w:rPr>
          <w:szCs w:val="22"/>
        </w:rPr>
        <w:t xml:space="preserve"> </w:t>
      </w:r>
      <w:r w:rsidRPr="008900D8">
        <w:rPr>
          <w:szCs w:val="22"/>
        </w:rPr>
        <w:t xml:space="preserve">Even </w:t>
      </w:r>
      <w:r w:rsidR="00F351B8" w:rsidRPr="008900D8">
        <w:rPr>
          <w:szCs w:val="22"/>
        </w:rPr>
        <w:t>if</w:t>
      </w:r>
      <w:r w:rsidRPr="008900D8">
        <w:rPr>
          <w:szCs w:val="22"/>
        </w:rPr>
        <w:t xml:space="preserve"> </w:t>
      </w:r>
      <w:r w:rsidR="00F351B8" w:rsidRPr="008900D8">
        <w:rPr>
          <w:szCs w:val="22"/>
        </w:rPr>
        <w:t xml:space="preserve">one only counts </w:t>
      </w:r>
      <w:r w:rsidRPr="008900D8">
        <w:rPr>
          <w:szCs w:val="22"/>
        </w:rPr>
        <w:t xml:space="preserve">products that </w:t>
      </w:r>
      <w:r w:rsidR="00F351B8" w:rsidRPr="008900D8">
        <w:rPr>
          <w:szCs w:val="22"/>
        </w:rPr>
        <w:t>we</w:t>
      </w:r>
      <w:r w:rsidRPr="008900D8">
        <w:rPr>
          <w:szCs w:val="22"/>
        </w:rPr>
        <w:t>re actually exported by SAFTA countries to Afghanistan (1,151 products), SAFTA’</w:t>
      </w:r>
      <w:r w:rsidR="00F351B8" w:rsidRPr="008900D8">
        <w:rPr>
          <w:szCs w:val="22"/>
        </w:rPr>
        <w:t>s</w:t>
      </w:r>
      <w:r w:rsidRPr="008900D8">
        <w:rPr>
          <w:szCs w:val="22"/>
        </w:rPr>
        <w:t xml:space="preserve"> share </w:t>
      </w:r>
      <w:r w:rsidR="00F351B8" w:rsidRPr="008900D8">
        <w:rPr>
          <w:szCs w:val="22"/>
        </w:rPr>
        <w:t>of</w:t>
      </w:r>
      <w:r w:rsidRPr="008900D8">
        <w:rPr>
          <w:szCs w:val="22"/>
        </w:rPr>
        <w:t xml:space="preserve"> total imports </w:t>
      </w:r>
      <w:r w:rsidR="00F351B8" w:rsidRPr="008900D8">
        <w:rPr>
          <w:szCs w:val="22"/>
        </w:rPr>
        <w:t>is</w:t>
      </w:r>
      <w:r w:rsidRPr="008900D8">
        <w:rPr>
          <w:szCs w:val="22"/>
        </w:rPr>
        <w:t xml:space="preserve"> below 13</w:t>
      </w:r>
      <w:r w:rsidR="00F351B8" w:rsidRPr="008900D8">
        <w:rPr>
          <w:szCs w:val="22"/>
        </w:rPr>
        <w:t xml:space="preserve"> percent</w:t>
      </w:r>
      <w:r w:rsidRPr="008900D8">
        <w:rPr>
          <w:szCs w:val="22"/>
        </w:rPr>
        <w:t>.</w:t>
      </w:r>
    </w:p>
    <w:p w:rsidR="0014667F" w:rsidRPr="00F351B8" w:rsidRDefault="0014667F" w:rsidP="008600B8">
      <w:pPr>
        <w:pStyle w:val="TableTitle0"/>
        <w:jc w:val="center"/>
        <w:rPr>
          <w:rFonts w:asciiTheme="minorHAnsi" w:hAnsiTheme="minorHAnsi"/>
          <w:b/>
          <w:color w:val="410082" w:themeColor="text1"/>
          <w:sz w:val="22"/>
          <w:szCs w:val="22"/>
        </w:rPr>
      </w:pPr>
      <w:r w:rsidRPr="00E31154">
        <w:rPr>
          <w:rFonts w:asciiTheme="minorHAnsi" w:hAnsiTheme="minorHAnsi"/>
          <w:b/>
          <w:color w:val="410082" w:themeColor="text1"/>
          <w:sz w:val="22"/>
          <w:szCs w:val="22"/>
        </w:rPr>
        <w:t>Table 4</w:t>
      </w:r>
      <w:r w:rsidR="00F351B8" w:rsidRPr="00E31154">
        <w:rPr>
          <w:rFonts w:asciiTheme="minorHAnsi" w:hAnsiTheme="minorHAnsi"/>
          <w:b/>
          <w:color w:val="410082" w:themeColor="text1"/>
          <w:sz w:val="22"/>
          <w:szCs w:val="22"/>
        </w:rPr>
        <w:t>.2</w:t>
      </w:r>
      <w:r w:rsidRPr="00E31154">
        <w:rPr>
          <w:rFonts w:asciiTheme="minorHAnsi" w:hAnsiTheme="minorHAnsi"/>
          <w:b/>
          <w:color w:val="410082" w:themeColor="text1"/>
          <w:sz w:val="22"/>
          <w:szCs w:val="22"/>
        </w:rPr>
        <w:t>: Origin</w:t>
      </w:r>
      <w:r w:rsidRPr="00F351B8">
        <w:rPr>
          <w:rFonts w:asciiTheme="minorHAnsi" w:hAnsiTheme="minorHAnsi"/>
          <w:b/>
          <w:color w:val="410082" w:themeColor="text1"/>
          <w:sz w:val="22"/>
          <w:szCs w:val="22"/>
        </w:rPr>
        <w:t xml:space="preserve"> of Afghan </w:t>
      </w:r>
      <w:r w:rsidR="00F351B8" w:rsidRPr="00F351B8">
        <w:rPr>
          <w:rFonts w:asciiTheme="minorHAnsi" w:hAnsiTheme="minorHAnsi"/>
          <w:b/>
          <w:color w:val="410082" w:themeColor="text1"/>
          <w:sz w:val="22"/>
          <w:szCs w:val="22"/>
        </w:rPr>
        <w:t>I</w:t>
      </w:r>
      <w:r w:rsidRPr="00F351B8">
        <w:rPr>
          <w:rFonts w:asciiTheme="minorHAnsi" w:hAnsiTheme="minorHAnsi"/>
          <w:b/>
          <w:color w:val="410082" w:themeColor="text1"/>
          <w:sz w:val="22"/>
          <w:szCs w:val="22"/>
        </w:rPr>
        <w:t xml:space="preserve">mports and </w:t>
      </w:r>
      <w:r w:rsidR="00F351B8" w:rsidRPr="00F351B8">
        <w:rPr>
          <w:rFonts w:asciiTheme="minorHAnsi" w:hAnsiTheme="minorHAnsi"/>
          <w:b/>
          <w:color w:val="410082" w:themeColor="text1"/>
          <w:sz w:val="22"/>
          <w:szCs w:val="22"/>
        </w:rPr>
        <w:t>S</w:t>
      </w:r>
      <w:r w:rsidRPr="00F351B8">
        <w:rPr>
          <w:rFonts w:asciiTheme="minorHAnsi" w:hAnsiTheme="minorHAnsi"/>
          <w:b/>
          <w:color w:val="410082" w:themeColor="text1"/>
          <w:sz w:val="22"/>
          <w:szCs w:val="22"/>
        </w:rPr>
        <w:t>hare</w:t>
      </w:r>
      <w:r w:rsidR="00F351B8" w:rsidRPr="00F351B8">
        <w:rPr>
          <w:rFonts w:asciiTheme="minorHAnsi" w:hAnsiTheme="minorHAnsi"/>
          <w:b/>
          <w:color w:val="410082" w:themeColor="text1"/>
          <w:sz w:val="22"/>
          <w:szCs w:val="22"/>
        </w:rPr>
        <w:t xml:space="preserve"> of Total</w:t>
      </w:r>
    </w:p>
    <w:tbl>
      <w:tblPr>
        <w:tblStyle w:val="LightShading-Accent11"/>
        <w:tblW w:w="0" w:type="auto"/>
        <w:jc w:val="center"/>
        <w:tblLayout w:type="fixed"/>
        <w:tblLook w:val="04A0" w:firstRow="1" w:lastRow="0" w:firstColumn="1" w:lastColumn="0" w:noHBand="0" w:noVBand="1"/>
      </w:tblPr>
      <w:tblGrid>
        <w:gridCol w:w="1830"/>
        <w:gridCol w:w="1187"/>
        <w:gridCol w:w="1056"/>
        <w:gridCol w:w="1056"/>
        <w:gridCol w:w="1128"/>
        <w:gridCol w:w="1056"/>
        <w:gridCol w:w="924"/>
      </w:tblGrid>
      <w:tr w:rsidR="0014667F" w:rsidRPr="006C2885" w:rsidTr="008600B8">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830" w:type="dxa"/>
          </w:tcPr>
          <w:p w:rsidR="0014667F" w:rsidRPr="006C2885" w:rsidRDefault="0014667F" w:rsidP="009A45D4">
            <w:pPr>
              <w:autoSpaceDE w:val="0"/>
              <w:autoSpaceDN w:val="0"/>
              <w:adjustRightInd w:val="0"/>
              <w:rPr>
                <w:rFonts w:cs="Arial"/>
                <w:color w:val="000000"/>
              </w:rPr>
            </w:pPr>
          </w:p>
        </w:tc>
        <w:tc>
          <w:tcPr>
            <w:tcW w:w="3299" w:type="dxa"/>
            <w:gridSpan w:val="3"/>
          </w:tcPr>
          <w:p w:rsidR="0014667F" w:rsidRPr="006C2885" w:rsidRDefault="0014667F" w:rsidP="009A45D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Arial"/>
                <w:color w:val="000000"/>
              </w:rPr>
            </w:pPr>
            <w:r w:rsidRPr="006C2885">
              <w:rPr>
                <w:rFonts w:cs="Arial"/>
                <w:color w:val="000000"/>
              </w:rPr>
              <w:t>All Imports</w:t>
            </w:r>
          </w:p>
        </w:tc>
        <w:tc>
          <w:tcPr>
            <w:tcW w:w="3108" w:type="dxa"/>
            <w:gridSpan w:val="3"/>
          </w:tcPr>
          <w:p w:rsidR="0014667F" w:rsidRPr="006C2885" w:rsidRDefault="0014667F" w:rsidP="009A45D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Arial"/>
                <w:color w:val="000000"/>
              </w:rPr>
            </w:pPr>
            <w:r w:rsidRPr="006C2885">
              <w:rPr>
                <w:rFonts w:cs="Arial"/>
                <w:color w:val="000000"/>
              </w:rPr>
              <w:t>SAFTA Exported Products</w:t>
            </w:r>
          </w:p>
        </w:tc>
      </w:tr>
      <w:tr w:rsidR="0014667F" w:rsidRPr="006C2885" w:rsidTr="008600B8">
        <w:trPr>
          <w:cnfStyle w:val="000000100000" w:firstRow="0" w:lastRow="0" w:firstColumn="0" w:lastColumn="0" w:oddVBand="0" w:evenVBand="0" w:oddHBand="1"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1830" w:type="dxa"/>
          </w:tcPr>
          <w:p w:rsidR="0014667F" w:rsidRPr="006C2885" w:rsidRDefault="0014667F" w:rsidP="009A45D4">
            <w:pPr>
              <w:autoSpaceDE w:val="0"/>
              <w:autoSpaceDN w:val="0"/>
              <w:adjustRightInd w:val="0"/>
              <w:rPr>
                <w:rFonts w:cs="Arial"/>
                <w:color w:val="000000"/>
              </w:rPr>
            </w:pPr>
          </w:p>
        </w:tc>
        <w:tc>
          <w:tcPr>
            <w:tcW w:w="1187" w:type="dxa"/>
          </w:tcPr>
          <w:p w:rsidR="0014667F" w:rsidRPr="006C2885" w:rsidRDefault="0014667F" w:rsidP="009A45D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r w:rsidRPr="006C2885">
              <w:rPr>
                <w:rFonts w:cs="Arial"/>
                <w:color w:val="000000"/>
              </w:rPr>
              <w:t>AFN (millions)</w:t>
            </w:r>
          </w:p>
        </w:tc>
        <w:tc>
          <w:tcPr>
            <w:tcW w:w="1056" w:type="dxa"/>
          </w:tcPr>
          <w:p w:rsidR="0014667F" w:rsidRPr="006C2885" w:rsidRDefault="0014667F" w:rsidP="009A45D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r w:rsidRPr="006C2885">
              <w:rPr>
                <w:rFonts w:cs="Arial"/>
                <w:color w:val="000000"/>
              </w:rPr>
              <w:t>US$ (millions)</w:t>
            </w:r>
          </w:p>
        </w:tc>
        <w:tc>
          <w:tcPr>
            <w:tcW w:w="1056" w:type="dxa"/>
          </w:tcPr>
          <w:p w:rsidR="0014667F" w:rsidRPr="006C2885" w:rsidRDefault="0014667F" w:rsidP="009A45D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r w:rsidRPr="006C2885">
              <w:rPr>
                <w:rFonts w:cs="Arial"/>
                <w:color w:val="000000"/>
              </w:rPr>
              <w:t>Share</w:t>
            </w:r>
          </w:p>
        </w:tc>
        <w:tc>
          <w:tcPr>
            <w:tcW w:w="1128" w:type="dxa"/>
          </w:tcPr>
          <w:p w:rsidR="0014667F" w:rsidRPr="006C2885" w:rsidRDefault="0014667F" w:rsidP="009A45D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r w:rsidRPr="006C2885">
              <w:rPr>
                <w:rFonts w:cs="Arial"/>
                <w:color w:val="000000"/>
              </w:rPr>
              <w:t>AFN (millions)</w:t>
            </w:r>
          </w:p>
        </w:tc>
        <w:tc>
          <w:tcPr>
            <w:tcW w:w="1056" w:type="dxa"/>
          </w:tcPr>
          <w:p w:rsidR="0014667F" w:rsidRPr="006C2885" w:rsidRDefault="0014667F" w:rsidP="009A45D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r w:rsidRPr="006C2885">
              <w:rPr>
                <w:rFonts w:cs="Arial"/>
                <w:color w:val="000000"/>
              </w:rPr>
              <w:t>US$ (millions)</w:t>
            </w:r>
          </w:p>
        </w:tc>
        <w:tc>
          <w:tcPr>
            <w:tcW w:w="924" w:type="dxa"/>
          </w:tcPr>
          <w:p w:rsidR="0014667F" w:rsidRPr="006C2885" w:rsidRDefault="0014667F" w:rsidP="009A45D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r w:rsidRPr="006C2885">
              <w:rPr>
                <w:rFonts w:cs="Arial"/>
                <w:color w:val="000000"/>
              </w:rPr>
              <w:t>Share</w:t>
            </w:r>
          </w:p>
        </w:tc>
      </w:tr>
      <w:tr w:rsidR="0014667F" w:rsidRPr="006C2885" w:rsidTr="008600B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830" w:type="dxa"/>
          </w:tcPr>
          <w:p w:rsidR="0014667F" w:rsidRPr="006C2885" w:rsidRDefault="0014667F" w:rsidP="009A45D4">
            <w:pPr>
              <w:autoSpaceDE w:val="0"/>
              <w:autoSpaceDN w:val="0"/>
              <w:adjustRightInd w:val="0"/>
              <w:rPr>
                <w:rFonts w:cs="Arial"/>
                <w:bCs w:val="0"/>
                <w:color w:val="000000"/>
              </w:rPr>
            </w:pPr>
            <w:r w:rsidRPr="006C2885">
              <w:rPr>
                <w:rFonts w:cs="Arial"/>
                <w:bCs w:val="0"/>
                <w:color w:val="000000"/>
              </w:rPr>
              <w:t>Bangladesh</w:t>
            </w:r>
          </w:p>
        </w:tc>
        <w:tc>
          <w:tcPr>
            <w:tcW w:w="1187" w:type="dxa"/>
          </w:tcPr>
          <w:p w:rsidR="0014667F" w:rsidRPr="006C2885" w:rsidRDefault="0014667F" w:rsidP="009A45D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rPr>
            </w:pPr>
            <w:r w:rsidRPr="006C2885">
              <w:rPr>
                <w:rFonts w:cs="Arial"/>
                <w:color w:val="000000"/>
              </w:rPr>
              <w:t>21.1</w:t>
            </w:r>
          </w:p>
        </w:tc>
        <w:tc>
          <w:tcPr>
            <w:tcW w:w="1056" w:type="dxa"/>
          </w:tcPr>
          <w:p w:rsidR="0014667F" w:rsidRPr="006C2885" w:rsidRDefault="0014667F" w:rsidP="009A45D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rPr>
            </w:pPr>
            <w:r w:rsidRPr="006C2885">
              <w:rPr>
                <w:rFonts w:cs="Arial"/>
                <w:color w:val="000000"/>
              </w:rPr>
              <w:t>0.43</w:t>
            </w:r>
          </w:p>
        </w:tc>
        <w:tc>
          <w:tcPr>
            <w:tcW w:w="1056" w:type="dxa"/>
          </w:tcPr>
          <w:p w:rsidR="0014667F" w:rsidRPr="006C2885" w:rsidRDefault="0014667F" w:rsidP="009A45D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rPr>
            </w:pPr>
            <w:r w:rsidRPr="006C2885">
              <w:rPr>
                <w:rFonts w:cs="Arial"/>
                <w:color w:val="000000"/>
              </w:rPr>
              <w:t>0.0%</w:t>
            </w:r>
          </w:p>
        </w:tc>
        <w:tc>
          <w:tcPr>
            <w:tcW w:w="1128" w:type="dxa"/>
          </w:tcPr>
          <w:p w:rsidR="0014667F" w:rsidRPr="006C2885" w:rsidRDefault="0014667F" w:rsidP="009A45D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rPr>
            </w:pPr>
            <w:r w:rsidRPr="006C2885">
              <w:rPr>
                <w:rFonts w:cs="Arial"/>
                <w:color w:val="000000"/>
              </w:rPr>
              <w:t>21.1</w:t>
            </w:r>
          </w:p>
        </w:tc>
        <w:tc>
          <w:tcPr>
            <w:tcW w:w="1056" w:type="dxa"/>
          </w:tcPr>
          <w:p w:rsidR="0014667F" w:rsidRPr="006C2885" w:rsidRDefault="0014667F" w:rsidP="009A45D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rPr>
            </w:pPr>
            <w:r w:rsidRPr="006C2885">
              <w:rPr>
                <w:rFonts w:cs="Arial"/>
                <w:color w:val="000000"/>
              </w:rPr>
              <w:t>0.43</w:t>
            </w:r>
          </w:p>
        </w:tc>
        <w:tc>
          <w:tcPr>
            <w:tcW w:w="924" w:type="dxa"/>
          </w:tcPr>
          <w:p w:rsidR="0014667F" w:rsidRPr="006C2885" w:rsidRDefault="0014667F" w:rsidP="009A45D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rPr>
            </w:pPr>
            <w:r w:rsidRPr="006C2885">
              <w:rPr>
                <w:rFonts w:cs="Arial"/>
                <w:color w:val="000000"/>
              </w:rPr>
              <w:t>0.0%</w:t>
            </w:r>
          </w:p>
        </w:tc>
      </w:tr>
      <w:tr w:rsidR="0014667F" w:rsidRPr="006C2885" w:rsidTr="008600B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830" w:type="dxa"/>
          </w:tcPr>
          <w:p w:rsidR="0014667F" w:rsidRPr="006C2885" w:rsidRDefault="0014667F" w:rsidP="009A45D4">
            <w:pPr>
              <w:autoSpaceDE w:val="0"/>
              <w:autoSpaceDN w:val="0"/>
              <w:adjustRightInd w:val="0"/>
              <w:rPr>
                <w:rFonts w:cs="Arial"/>
                <w:bCs w:val="0"/>
                <w:color w:val="000000"/>
              </w:rPr>
            </w:pPr>
            <w:r w:rsidRPr="006C2885">
              <w:rPr>
                <w:rFonts w:cs="Arial"/>
                <w:bCs w:val="0"/>
                <w:color w:val="000000"/>
              </w:rPr>
              <w:t>India</w:t>
            </w:r>
          </w:p>
        </w:tc>
        <w:tc>
          <w:tcPr>
            <w:tcW w:w="1187" w:type="dxa"/>
          </w:tcPr>
          <w:p w:rsidR="0014667F" w:rsidRPr="006C2885" w:rsidRDefault="0014667F" w:rsidP="009A45D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r w:rsidRPr="006C2885">
              <w:rPr>
                <w:rFonts w:cs="Arial"/>
                <w:color w:val="000000"/>
              </w:rPr>
              <w:t>1,801.50</w:t>
            </w:r>
          </w:p>
        </w:tc>
        <w:tc>
          <w:tcPr>
            <w:tcW w:w="1056" w:type="dxa"/>
          </w:tcPr>
          <w:p w:rsidR="0014667F" w:rsidRPr="006C2885" w:rsidRDefault="0014667F" w:rsidP="009A45D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r w:rsidRPr="006C2885">
              <w:rPr>
                <w:rFonts w:cs="Arial"/>
                <w:color w:val="000000"/>
              </w:rPr>
              <w:t>36.47</w:t>
            </w:r>
          </w:p>
        </w:tc>
        <w:tc>
          <w:tcPr>
            <w:tcW w:w="1056" w:type="dxa"/>
          </w:tcPr>
          <w:p w:rsidR="0014667F" w:rsidRPr="006C2885" w:rsidRDefault="0014667F" w:rsidP="009A45D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r w:rsidRPr="006C2885">
              <w:rPr>
                <w:rFonts w:cs="Arial"/>
                <w:color w:val="000000"/>
              </w:rPr>
              <w:t>2.3%</w:t>
            </w:r>
          </w:p>
        </w:tc>
        <w:tc>
          <w:tcPr>
            <w:tcW w:w="1128" w:type="dxa"/>
          </w:tcPr>
          <w:p w:rsidR="0014667F" w:rsidRPr="006C2885" w:rsidRDefault="0014667F" w:rsidP="009A45D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r w:rsidRPr="006C2885">
              <w:rPr>
                <w:rFonts w:cs="Arial"/>
                <w:color w:val="000000"/>
              </w:rPr>
              <w:t>1,801.50</w:t>
            </w:r>
          </w:p>
        </w:tc>
        <w:tc>
          <w:tcPr>
            <w:tcW w:w="1056" w:type="dxa"/>
          </w:tcPr>
          <w:p w:rsidR="0014667F" w:rsidRPr="006C2885" w:rsidRDefault="0014667F" w:rsidP="009A45D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r w:rsidRPr="006C2885">
              <w:rPr>
                <w:rFonts w:cs="Arial"/>
                <w:color w:val="000000"/>
              </w:rPr>
              <w:t>36.47</w:t>
            </w:r>
          </w:p>
        </w:tc>
        <w:tc>
          <w:tcPr>
            <w:tcW w:w="924" w:type="dxa"/>
          </w:tcPr>
          <w:p w:rsidR="0014667F" w:rsidRPr="006C2885" w:rsidRDefault="0014667F" w:rsidP="009A45D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r w:rsidRPr="006C2885">
              <w:rPr>
                <w:rFonts w:cs="Arial"/>
                <w:color w:val="000000"/>
              </w:rPr>
              <w:t>3.0%</w:t>
            </w:r>
          </w:p>
        </w:tc>
      </w:tr>
      <w:tr w:rsidR="0014667F" w:rsidRPr="006C2885" w:rsidTr="008600B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830" w:type="dxa"/>
          </w:tcPr>
          <w:p w:rsidR="0014667F" w:rsidRPr="006C2885" w:rsidRDefault="0014667F" w:rsidP="009A45D4">
            <w:pPr>
              <w:autoSpaceDE w:val="0"/>
              <w:autoSpaceDN w:val="0"/>
              <w:adjustRightInd w:val="0"/>
              <w:rPr>
                <w:rFonts w:cs="Arial"/>
                <w:bCs w:val="0"/>
                <w:color w:val="000000"/>
              </w:rPr>
            </w:pPr>
            <w:r w:rsidRPr="006C2885">
              <w:rPr>
                <w:rFonts w:cs="Arial"/>
                <w:bCs w:val="0"/>
                <w:color w:val="000000"/>
              </w:rPr>
              <w:t>Pakistan</w:t>
            </w:r>
          </w:p>
        </w:tc>
        <w:tc>
          <w:tcPr>
            <w:tcW w:w="1187" w:type="dxa"/>
          </w:tcPr>
          <w:p w:rsidR="0014667F" w:rsidRPr="006C2885" w:rsidRDefault="0014667F" w:rsidP="009A45D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rPr>
            </w:pPr>
            <w:r w:rsidRPr="006C2885">
              <w:rPr>
                <w:rFonts w:cs="Arial"/>
                <w:color w:val="000000"/>
              </w:rPr>
              <w:t>5,611.90</w:t>
            </w:r>
          </w:p>
        </w:tc>
        <w:tc>
          <w:tcPr>
            <w:tcW w:w="1056" w:type="dxa"/>
          </w:tcPr>
          <w:p w:rsidR="0014667F" w:rsidRPr="006C2885" w:rsidRDefault="0014667F" w:rsidP="009A45D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rPr>
            </w:pPr>
            <w:r w:rsidRPr="006C2885">
              <w:rPr>
                <w:rFonts w:cs="Arial"/>
                <w:color w:val="000000"/>
              </w:rPr>
              <w:t>113.60</w:t>
            </w:r>
          </w:p>
        </w:tc>
        <w:tc>
          <w:tcPr>
            <w:tcW w:w="1056" w:type="dxa"/>
          </w:tcPr>
          <w:p w:rsidR="0014667F" w:rsidRPr="006C2885" w:rsidRDefault="0014667F" w:rsidP="009A45D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rPr>
            </w:pPr>
            <w:r w:rsidRPr="006C2885">
              <w:rPr>
                <w:rFonts w:cs="Arial"/>
                <w:color w:val="000000"/>
              </w:rPr>
              <w:t>7.0%</w:t>
            </w:r>
          </w:p>
        </w:tc>
        <w:tc>
          <w:tcPr>
            <w:tcW w:w="1128" w:type="dxa"/>
          </w:tcPr>
          <w:p w:rsidR="0014667F" w:rsidRPr="006C2885" w:rsidRDefault="0014667F" w:rsidP="009A45D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rPr>
            </w:pPr>
            <w:r w:rsidRPr="006C2885">
              <w:rPr>
                <w:rFonts w:cs="Arial"/>
                <w:color w:val="000000"/>
              </w:rPr>
              <w:t>5,611.90</w:t>
            </w:r>
          </w:p>
        </w:tc>
        <w:tc>
          <w:tcPr>
            <w:tcW w:w="1056" w:type="dxa"/>
          </w:tcPr>
          <w:p w:rsidR="0014667F" w:rsidRPr="006C2885" w:rsidRDefault="0014667F" w:rsidP="009A45D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rPr>
            </w:pPr>
            <w:r w:rsidRPr="006C2885">
              <w:rPr>
                <w:rFonts w:cs="Arial"/>
                <w:color w:val="000000"/>
              </w:rPr>
              <w:t>113.60</w:t>
            </w:r>
          </w:p>
        </w:tc>
        <w:tc>
          <w:tcPr>
            <w:tcW w:w="924" w:type="dxa"/>
          </w:tcPr>
          <w:p w:rsidR="0014667F" w:rsidRPr="006C2885" w:rsidRDefault="0014667F" w:rsidP="009A45D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rPr>
            </w:pPr>
            <w:r w:rsidRPr="006C2885">
              <w:rPr>
                <w:rFonts w:cs="Arial"/>
                <w:color w:val="000000"/>
              </w:rPr>
              <w:t>9.4%</w:t>
            </w:r>
          </w:p>
        </w:tc>
      </w:tr>
      <w:tr w:rsidR="0014667F" w:rsidRPr="006C2885" w:rsidTr="008600B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830" w:type="dxa"/>
          </w:tcPr>
          <w:p w:rsidR="0014667F" w:rsidRPr="006C2885" w:rsidRDefault="0014667F" w:rsidP="009A45D4">
            <w:pPr>
              <w:autoSpaceDE w:val="0"/>
              <w:autoSpaceDN w:val="0"/>
              <w:adjustRightInd w:val="0"/>
              <w:rPr>
                <w:rFonts w:cs="Arial"/>
                <w:bCs w:val="0"/>
                <w:color w:val="000000"/>
              </w:rPr>
            </w:pPr>
            <w:r w:rsidRPr="006C2885">
              <w:rPr>
                <w:rFonts w:cs="Arial"/>
                <w:bCs w:val="0"/>
                <w:color w:val="000000"/>
              </w:rPr>
              <w:t>Sri Lanka</w:t>
            </w:r>
          </w:p>
        </w:tc>
        <w:tc>
          <w:tcPr>
            <w:tcW w:w="1187" w:type="dxa"/>
          </w:tcPr>
          <w:p w:rsidR="0014667F" w:rsidRPr="006C2885" w:rsidRDefault="0014667F" w:rsidP="009A45D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r w:rsidRPr="006C2885">
              <w:rPr>
                <w:rFonts w:cs="Arial"/>
                <w:color w:val="000000"/>
              </w:rPr>
              <w:t>11.2</w:t>
            </w:r>
          </w:p>
        </w:tc>
        <w:tc>
          <w:tcPr>
            <w:tcW w:w="1056" w:type="dxa"/>
          </w:tcPr>
          <w:p w:rsidR="0014667F" w:rsidRPr="006C2885" w:rsidRDefault="0014667F" w:rsidP="009A45D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r w:rsidRPr="006C2885">
              <w:rPr>
                <w:rFonts w:cs="Arial"/>
                <w:color w:val="000000"/>
              </w:rPr>
              <w:t>0.23</w:t>
            </w:r>
          </w:p>
        </w:tc>
        <w:tc>
          <w:tcPr>
            <w:tcW w:w="1056" w:type="dxa"/>
          </w:tcPr>
          <w:p w:rsidR="0014667F" w:rsidRPr="006C2885" w:rsidRDefault="0014667F" w:rsidP="009A45D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r w:rsidRPr="006C2885">
              <w:rPr>
                <w:rFonts w:cs="Arial"/>
                <w:color w:val="000000"/>
              </w:rPr>
              <w:t>0.0%</w:t>
            </w:r>
          </w:p>
        </w:tc>
        <w:tc>
          <w:tcPr>
            <w:tcW w:w="1128" w:type="dxa"/>
          </w:tcPr>
          <w:p w:rsidR="0014667F" w:rsidRPr="006C2885" w:rsidRDefault="0014667F" w:rsidP="009A45D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r w:rsidRPr="006C2885">
              <w:rPr>
                <w:rFonts w:cs="Arial"/>
                <w:color w:val="000000"/>
              </w:rPr>
              <w:t>11.2</w:t>
            </w:r>
          </w:p>
        </w:tc>
        <w:tc>
          <w:tcPr>
            <w:tcW w:w="1056" w:type="dxa"/>
          </w:tcPr>
          <w:p w:rsidR="0014667F" w:rsidRPr="006C2885" w:rsidRDefault="0014667F" w:rsidP="009A45D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r w:rsidRPr="006C2885">
              <w:rPr>
                <w:rFonts w:cs="Arial"/>
                <w:color w:val="000000"/>
              </w:rPr>
              <w:t>0.23</w:t>
            </w:r>
          </w:p>
        </w:tc>
        <w:tc>
          <w:tcPr>
            <w:tcW w:w="924" w:type="dxa"/>
          </w:tcPr>
          <w:p w:rsidR="0014667F" w:rsidRPr="006C2885" w:rsidRDefault="0014667F" w:rsidP="009A45D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r w:rsidRPr="006C2885">
              <w:rPr>
                <w:rFonts w:cs="Arial"/>
                <w:color w:val="000000"/>
              </w:rPr>
              <w:t>0.0%</w:t>
            </w:r>
          </w:p>
        </w:tc>
      </w:tr>
      <w:tr w:rsidR="0014667F" w:rsidRPr="006C2885" w:rsidTr="008600B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830" w:type="dxa"/>
          </w:tcPr>
          <w:p w:rsidR="0014667F" w:rsidRPr="006C2885" w:rsidRDefault="0014667F" w:rsidP="009A45D4">
            <w:pPr>
              <w:autoSpaceDE w:val="0"/>
              <w:autoSpaceDN w:val="0"/>
              <w:adjustRightInd w:val="0"/>
              <w:rPr>
                <w:rFonts w:cs="Arial"/>
                <w:b w:val="0"/>
                <w:bCs w:val="0"/>
                <w:color w:val="000000"/>
              </w:rPr>
            </w:pPr>
            <w:r w:rsidRPr="006C2885">
              <w:rPr>
                <w:rFonts w:cs="Arial"/>
                <w:b w:val="0"/>
                <w:bCs w:val="0"/>
                <w:color w:val="000000"/>
              </w:rPr>
              <w:t>TOTAL SAFTA</w:t>
            </w:r>
          </w:p>
        </w:tc>
        <w:tc>
          <w:tcPr>
            <w:tcW w:w="1187" w:type="dxa"/>
          </w:tcPr>
          <w:p w:rsidR="0014667F" w:rsidRPr="006C2885" w:rsidRDefault="0014667F" w:rsidP="009A45D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b/>
                <w:color w:val="000000"/>
              </w:rPr>
            </w:pPr>
            <w:r w:rsidRPr="006C2885">
              <w:rPr>
                <w:rFonts w:cs="Arial"/>
                <w:b/>
                <w:color w:val="000000"/>
              </w:rPr>
              <w:t>7,445.80</w:t>
            </w:r>
          </w:p>
        </w:tc>
        <w:tc>
          <w:tcPr>
            <w:tcW w:w="1056" w:type="dxa"/>
          </w:tcPr>
          <w:p w:rsidR="0014667F" w:rsidRPr="006C2885" w:rsidRDefault="0014667F" w:rsidP="009A45D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b/>
                <w:color w:val="000000"/>
              </w:rPr>
            </w:pPr>
            <w:r w:rsidRPr="006C2885">
              <w:rPr>
                <w:rFonts w:cs="Arial"/>
                <w:b/>
                <w:color w:val="000000"/>
              </w:rPr>
              <w:t>150.72</w:t>
            </w:r>
          </w:p>
        </w:tc>
        <w:tc>
          <w:tcPr>
            <w:tcW w:w="1056" w:type="dxa"/>
          </w:tcPr>
          <w:p w:rsidR="0014667F" w:rsidRPr="006C2885" w:rsidRDefault="0014667F" w:rsidP="009A45D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b/>
                <w:color w:val="000000"/>
              </w:rPr>
            </w:pPr>
            <w:r w:rsidRPr="006C2885">
              <w:rPr>
                <w:rFonts w:cs="Arial"/>
                <w:b/>
                <w:color w:val="000000"/>
              </w:rPr>
              <w:t>9.3%</w:t>
            </w:r>
          </w:p>
        </w:tc>
        <w:tc>
          <w:tcPr>
            <w:tcW w:w="1128" w:type="dxa"/>
          </w:tcPr>
          <w:p w:rsidR="0014667F" w:rsidRPr="006C2885" w:rsidRDefault="0014667F" w:rsidP="009A45D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b/>
                <w:color w:val="000000"/>
              </w:rPr>
            </w:pPr>
            <w:r w:rsidRPr="006C2885">
              <w:rPr>
                <w:rFonts w:cs="Arial"/>
                <w:b/>
                <w:color w:val="000000"/>
              </w:rPr>
              <w:t>7,445.80</w:t>
            </w:r>
          </w:p>
        </w:tc>
        <w:tc>
          <w:tcPr>
            <w:tcW w:w="1056" w:type="dxa"/>
          </w:tcPr>
          <w:p w:rsidR="0014667F" w:rsidRPr="006C2885" w:rsidRDefault="0014667F" w:rsidP="009A45D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b/>
                <w:color w:val="000000"/>
              </w:rPr>
            </w:pPr>
            <w:r w:rsidRPr="006C2885">
              <w:rPr>
                <w:rFonts w:cs="Arial"/>
                <w:b/>
                <w:color w:val="000000"/>
              </w:rPr>
              <w:t>150.72</w:t>
            </w:r>
          </w:p>
        </w:tc>
        <w:tc>
          <w:tcPr>
            <w:tcW w:w="924" w:type="dxa"/>
          </w:tcPr>
          <w:p w:rsidR="0014667F" w:rsidRPr="006C2885" w:rsidRDefault="0014667F" w:rsidP="009A45D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b/>
                <w:color w:val="000000"/>
              </w:rPr>
            </w:pPr>
            <w:r w:rsidRPr="006C2885">
              <w:rPr>
                <w:rFonts w:cs="Arial"/>
                <w:b/>
                <w:color w:val="000000"/>
              </w:rPr>
              <w:t>12.5%</w:t>
            </w:r>
          </w:p>
        </w:tc>
      </w:tr>
      <w:tr w:rsidR="0014667F" w:rsidRPr="006C2885" w:rsidTr="008600B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830" w:type="dxa"/>
          </w:tcPr>
          <w:p w:rsidR="0014667F" w:rsidRPr="006C2885" w:rsidRDefault="0014667F" w:rsidP="009A45D4">
            <w:pPr>
              <w:autoSpaceDE w:val="0"/>
              <w:autoSpaceDN w:val="0"/>
              <w:adjustRightInd w:val="0"/>
              <w:rPr>
                <w:rFonts w:cs="Arial"/>
                <w:bCs w:val="0"/>
                <w:color w:val="000000"/>
              </w:rPr>
            </w:pPr>
            <w:r w:rsidRPr="006C2885">
              <w:rPr>
                <w:rFonts w:cs="Arial"/>
                <w:bCs w:val="0"/>
                <w:color w:val="000000"/>
              </w:rPr>
              <w:t>Rest Of the World</w:t>
            </w:r>
          </w:p>
        </w:tc>
        <w:tc>
          <w:tcPr>
            <w:tcW w:w="1187" w:type="dxa"/>
          </w:tcPr>
          <w:p w:rsidR="0014667F" w:rsidRPr="006C2885" w:rsidRDefault="0014667F" w:rsidP="009A45D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r w:rsidRPr="006C2885">
              <w:rPr>
                <w:rFonts w:cs="Arial"/>
                <w:color w:val="000000"/>
              </w:rPr>
              <w:t>72,491.30</w:t>
            </w:r>
          </w:p>
        </w:tc>
        <w:tc>
          <w:tcPr>
            <w:tcW w:w="1056" w:type="dxa"/>
          </w:tcPr>
          <w:p w:rsidR="0014667F" w:rsidRPr="006C2885" w:rsidRDefault="0014667F" w:rsidP="009A45D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r w:rsidRPr="006C2885">
              <w:rPr>
                <w:rFonts w:cs="Arial"/>
                <w:color w:val="000000"/>
              </w:rPr>
              <w:t>1,467.44</w:t>
            </w:r>
          </w:p>
        </w:tc>
        <w:tc>
          <w:tcPr>
            <w:tcW w:w="1056" w:type="dxa"/>
          </w:tcPr>
          <w:p w:rsidR="0014667F" w:rsidRPr="006C2885" w:rsidRDefault="0014667F" w:rsidP="009A45D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r w:rsidRPr="006C2885">
              <w:rPr>
                <w:rFonts w:cs="Arial"/>
                <w:color w:val="000000"/>
              </w:rPr>
              <w:t>90.7%</w:t>
            </w:r>
          </w:p>
        </w:tc>
        <w:tc>
          <w:tcPr>
            <w:tcW w:w="1128" w:type="dxa"/>
          </w:tcPr>
          <w:p w:rsidR="0014667F" w:rsidRPr="006C2885" w:rsidRDefault="0014667F" w:rsidP="009A45D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r w:rsidRPr="006C2885">
              <w:rPr>
                <w:rFonts w:cs="Arial"/>
                <w:color w:val="000000"/>
              </w:rPr>
              <w:t>52,233.20</w:t>
            </w:r>
          </w:p>
        </w:tc>
        <w:tc>
          <w:tcPr>
            <w:tcW w:w="1056" w:type="dxa"/>
          </w:tcPr>
          <w:p w:rsidR="0014667F" w:rsidRPr="006C2885" w:rsidRDefault="0014667F" w:rsidP="009A45D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r w:rsidRPr="006C2885">
              <w:rPr>
                <w:rFonts w:cs="Arial"/>
                <w:color w:val="000000"/>
              </w:rPr>
              <w:t>1,057.35</w:t>
            </w:r>
          </w:p>
        </w:tc>
        <w:tc>
          <w:tcPr>
            <w:tcW w:w="924" w:type="dxa"/>
          </w:tcPr>
          <w:p w:rsidR="0014667F" w:rsidRPr="006C2885" w:rsidRDefault="0014667F" w:rsidP="009A45D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r w:rsidRPr="006C2885">
              <w:rPr>
                <w:rFonts w:cs="Arial"/>
                <w:color w:val="000000"/>
              </w:rPr>
              <w:t>87.5%</w:t>
            </w:r>
          </w:p>
        </w:tc>
      </w:tr>
      <w:tr w:rsidR="0014667F" w:rsidRPr="006C2885" w:rsidTr="008600B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830" w:type="dxa"/>
          </w:tcPr>
          <w:p w:rsidR="0014667F" w:rsidRPr="006C2885" w:rsidRDefault="0014667F" w:rsidP="009A45D4">
            <w:pPr>
              <w:autoSpaceDE w:val="0"/>
              <w:autoSpaceDN w:val="0"/>
              <w:adjustRightInd w:val="0"/>
              <w:rPr>
                <w:rFonts w:cs="Arial"/>
                <w:b w:val="0"/>
                <w:bCs w:val="0"/>
                <w:color w:val="000000"/>
              </w:rPr>
            </w:pPr>
            <w:r w:rsidRPr="006C2885">
              <w:rPr>
                <w:rFonts w:cs="Arial"/>
                <w:b w:val="0"/>
                <w:bCs w:val="0"/>
                <w:color w:val="000000"/>
              </w:rPr>
              <w:t>TOTAL</w:t>
            </w:r>
          </w:p>
        </w:tc>
        <w:tc>
          <w:tcPr>
            <w:tcW w:w="1187" w:type="dxa"/>
          </w:tcPr>
          <w:p w:rsidR="0014667F" w:rsidRPr="006C2885" w:rsidRDefault="0014667F" w:rsidP="009A45D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b/>
                <w:color w:val="000000"/>
              </w:rPr>
            </w:pPr>
            <w:r w:rsidRPr="006C2885">
              <w:rPr>
                <w:rFonts w:cs="Arial"/>
                <w:b/>
                <w:color w:val="000000"/>
              </w:rPr>
              <w:t>79,937.10</w:t>
            </w:r>
          </w:p>
        </w:tc>
        <w:tc>
          <w:tcPr>
            <w:tcW w:w="1056" w:type="dxa"/>
          </w:tcPr>
          <w:p w:rsidR="0014667F" w:rsidRPr="006C2885" w:rsidRDefault="0014667F" w:rsidP="009A45D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b/>
                <w:color w:val="000000"/>
              </w:rPr>
            </w:pPr>
            <w:r w:rsidRPr="006C2885">
              <w:rPr>
                <w:rFonts w:cs="Arial"/>
                <w:b/>
                <w:color w:val="000000"/>
              </w:rPr>
              <w:t>1,618.16</w:t>
            </w:r>
          </w:p>
        </w:tc>
        <w:tc>
          <w:tcPr>
            <w:tcW w:w="1056" w:type="dxa"/>
          </w:tcPr>
          <w:p w:rsidR="0014667F" w:rsidRPr="006C2885" w:rsidRDefault="0014667F" w:rsidP="009A45D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b/>
                <w:color w:val="000000"/>
              </w:rPr>
            </w:pPr>
            <w:r w:rsidRPr="006C2885">
              <w:rPr>
                <w:rFonts w:cs="Arial"/>
                <w:b/>
                <w:color w:val="000000"/>
              </w:rPr>
              <w:t>100.0%</w:t>
            </w:r>
          </w:p>
        </w:tc>
        <w:tc>
          <w:tcPr>
            <w:tcW w:w="1128" w:type="dxa"/>
          </w:tcPr>
          <w:p w:rsidR="0014667F" w:rsidRPr="006C2885" w:rsidRDefault="0014667F" w:rsidP="009A45D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b/>
                <w:color w:val="000000"/>
              </w:rPr>
            </w:pPr>
            <w:r w:rsidRPr="006C2885">
              <w:rPr>
                <w:rFonts w:cs="Arial"/>
                <w:b/>
                <w:color w:val="000000"/>
              </w:rPr>
              <w:t>59,679.00</w:t>
            </w:r>
          </w:p>
        </w:tc>
        <w:tc>
          <w:tcPr>
            <w:tcW w:w="1056" w:type="dxa"/>
          </w:tcPr>
          <w:p w:rsidR="0014667F" w:rsidRPr="006C2885" w:rsidRDefault="0014667F" w:rsidP="009A45D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b/>
                <w:color w:val="000000"/>
              </w:rPr>
            </w:pPr>
            <w:r w:rsidRPr="006C2885">
              <w:rPr>
                <w:rFonts w:cs="Arial"/>
                <w:b/>
                <w:color w:val="000000"/>
              </w:rPr>
              <w:t>1,208.08</w:t>
            </w:r>
          </w:p>
        </w:tc>
        <w:tc>
          <w:tcPr>
            <w:tcW w:w="924" w:type="dxa"/>
          </w:tcPr>
          <w:p w:rsidR="0014667F" w:rsidRPr="006C2885" w:rsidRDefault="0014667F" w:rsidP="009A45D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b/>
                <w:color w:val="000000"/>
              </w:rPr>
            </w:pPr>
            <w:r w:rsidRPr="006C2885">
              <w:rPr>
                <w:rFonts w:cs="Arial"/>
                <w:b/>
                <w:color w:val="000000"/>
              </w:rPr>
              <w:t>100.0%</w:t>
            </w:r>
          </w:p>
        </w:tc>
      </w:tr>
    </w:tbl>
    <w:p w:rsidR="0014667F" w:rsidRPr="008900D8" w:rsidRDefault="0014667F" w:rsidP="0014667F">
      <w:pPr>
        <w:spacing w:line="240" w:lineRule="auto"/>
        <w:rPr>
          <w:szCs w:val="22"/>
        </w:rPr>
      </w:pPr>
    </w:p>
    <w:p w:rsidR="0014667F" w:rsidRPr="008900D8" w:rsidRDefault="0014667F" w:rsidP="003F3C4F">
      <w:pPr>
        <w:rPr>
          <w:szCs w:val="22"/>
        </w:rPr>
      </w:pPr>
      <w:r w:rsidRPr="008900D8">
        <w:rPr>
          <w:b/>
          <w:szCs w:val="22"/>
        </w:rPr>
        <w:t xml:space="preserve">Exemptions in Afghanistan represent a revenue loss of about </w:t>
      </w:r>
      <w:r w:rsidR="00F351B8" w:rsidRPr="008900D8">
        <w:rPr>
          <w:b/>
          <w:szCs w:val="22"/>
        </w:rPr>
        <w:t>one-</w:t>
      </w:r>
      <w:r w:rsidRPr="008900D8">
        <w:rPr>
          <w:b/>
          <w:szCs w:val="22"/>
        </w:rPr>
        <w:t>third of total import revenue</w:t>
      </w:r>
      <w:r w:rsidRPr="008900D8">
        <w:rPr>
          <w:szCs w:val="22"/>
        </w:rPr>
        <w:t>.</w:t>
      </w:r>
      <w:r w:rsidR="001B07DD" w:rsidRPr="008900D8">
        <w:rPr>
          <w:szCs w:val="22"/>
        </w:rPr>
        <w:t xml:space="preserve"> </w:t>
      </w:r>
      <w:r w:rsidRPr="008900D8">
        <w:rPr>
          <w:szCs w:val="22"/>
        </w:rPr>
        <w:t xml:space="preserve"> However, this level of exemptions is in line with what has been found in other TRIST studies in low</w:t>
      </w:r>
      <w:r w:rsidR="00F351B8" w:rsidRPr="008900D8">
        <w:rPr>
          <w:szCs w:val="22"/>
        </w:rPr>
        <w:t>-</w:t>
      </w:r>
      <w:r w:rsidRPr="008900D8">
        <w:rPr>
          <w:szCs w:val="22"/>
        </w:rPr>
        <w:t>income countries.</w:t>
      </w:r>
      <w:r w:rsidR="001B07DD" w:rsidRPr="008900D8">
        <w:rPr>
          <w:szCs w:val="22"/>
        </w:rPr>
        <w:t xml:space="preserve"> </w:t>
      </w:r>
      <w:r w:rsidR="00F351B8" w:rsidRPr="008900D8">
        <w:rPr>
          <w:szCs w:val="22"/>
        </w:rPr>
        <w:t>Afghanistan</w:t>
      </w:r>
      <w:r w:rsidRPr="008900D8">
        <w:rPr>
          <w:szCs w:val="22"/>
        </w:rPr>
        <w:t xml:space="preserve"> is losing about 45</w:t>
      </w:r>
      <w:r w:rsidR="00F351B8" w:rsidRPr="008900D8">
        <w:rPr>
          <w:szCs w:val="22"/>
        </w:rPr>
        <w:t xml:space="preserve"> percent</w:t>
      </w:r>
      <w:r w:rsidRPr="008900D8">
        <w:rPr>
          <w:szCs w:val="22"/>
        </w:rPr>
        <w:t xml:space="preserve"> of the total tariff revenue collected.</w:t>
      </w:r>
    </w:p>
    <w:p w:rsidR="0014667F" w:rsidRPr="008900D8" w:rsidRDefault="00C239C0" w:rsidP="003F3C4F">
      <w:pPr>
        <w:autoSpaceDE w:val="0"/>
        <w:autoSpaceDN w:val="0"/>
        <w:adjustRightInd w:val="0"/>
        <w:rPr>
          <w:szCs w:val="22"/>
        </w:rPr>
      </w:pPr>
      <w:r>
        <w:rPr>
          <w:b/>
          <w:color w:val="000000"/>
          <w:szCs w:val="22"/>
        </w:rPr>
        <w:t>The</w:t>
      </w:r>
      <w:r w:rsidR="0014667F" w:rsidRPr="008900D8">
        <w:rPr>
          <w:b/>
          <w:color w:val="000000"/>
          <w:szCs w:val="22"/>
        </w:rPr>
        <w:t xml:space="preserve"> </w:t>
      </w:r>
      <w:r w:rsidR="00F351B8" w:rsidRPr="008900D8">
        <w:rPr>
          <w:b/>
          <w:color w:val="000000"/>
          <w:szCs w:val="22"/>
        </w:rPr>
        <w:t xml:space="preserve">TRIST </w:t>
      </w:r>
      <w:r>
        <w:rPr>
          <w:b/>
          <w:color w:val="000000"/>
          <w:szCs w:val="22"/>
        </w:rPr>
        <w:t>simulation</w:t>
      </w:r>
      <w:r w:rsidR="0014667F" w:rsidRPr="008900D8">
        <w:rPr>
          <w:b/>
          <w:color w:val="000000"/>
          <w:szCs w:val="22"/>
        </w:rPr>
        <w:t xml:space="preserve"> show</w:t>
      </w:r>
      <w:r w:rsidR="00F351B8" w:rsidRPr="008900D8">
        <w:rPr>
          <w:b/>
          <w:color w:val="000000"/>
          <w:szCs w:val="22"/>
        </w:rPr>
        <w:t>s</w:t>
      </w:r>
      <w:r w:rsidR="0014667F" w:rsidRPr="008900D8">
        <w:rPr>
          <w:b/>
          <w:color w:val="000000"/>
          <w:szCs w:val="22"/>
        </w:rPr>
        <w:t xml:space="preserve"> that the implementation of the SAFTA agreement would have little negative impact on total Afghan trade</w:t>
      </w:r>
      <w:r w:rsidR="00F351B8" w:rsidRPr="008900D8">
        <w:rPr>
          <w:b/>
          <w:color w:val="000000"/>
          <w:szCs w:val="22"/>
        </w:rPr>
        <w:t xml:space="preserve">. </w:t>
      </w:r>
      <w:r w:rsidR="00F351B8" w:rsidRPr="008900D8">
        <w:rPr>
          <w:color w:val="000000"/>
          <w:szCs w:val="22"/>
        </w:rPr>
        <w:t>Imports increased just</w:t>
      </w:r>
      <w:r w:rsidR="0014667F" w:rsidRPr="008900D8">
        <w:rPr>
          <w:color w:val="000000"/>
          <w:szCs w:val="22"/>
        </w:rPr>
        <w:t xml:space="preserve"> 0.06</w:t>
      </w:r>
      <w:r w:rsidR="00F351B8" w:rsidRPr="008900D8">
        <w:rPr>
          <w:color w:val="000000"/>
          <w:szCs w:val="22"/>
        </w:rPr>
        <w:t xml:space="preserve"> percent, with</w:t>
      </w:r>
      <w:r w:rsidR="0014667F" w:rsidRPr="008900D8">
        <w:rPr>
          <w:color w:val="000000"/>
          <w:szCs w:val="22"/>
        </w:rPr>
        <w:t xml:space="preserve"> a 1.8</w:t>
      </w:r>
      <w:r w:rsidR="00F351B8" w:rsidRPr="008900D8">
        <w:rPr>
          <w:color w:val="000000"/>
          <w:szCs w:val="22"/>
        </w:rPr>
        <w:t xml:space="preserve"> percent</w:t>
      </w:r>
      <w:r w:rsidR="0014667F" w:rsidRPr="008900D8">
        <w:rPr>
          <w:color w:val="000000"/>
          <w:szCs w:val="22"/>
        </w:rPr>
        <w:t xml:space="preserve"> decrease in customs revenue.</w:t>
      </w:r>
      <w:r w:rsidR="001B07DD" w:rsidRPr="008900D8">
        <w:rPr>
          <w:color w:val="000000"/>
          <w:szCs w:val="22"/>
        </w:rPr>
        <w:t xml:space="preserve"> </w:t>
      </w:r>
      <w:r w:rsidR="0014667F" w:rsidRPr="008900D8">
        <w:rPr>
          <w:color w:val="000000"/>
          <w:szCs w:val="22"/>
        </w:rPr>
        <w:t xml:space="preserve">Because the implementation schedule spreads over </w:t>
      </w:r>
      <w:r w:rsidR="00F351B8" w:rsidRPr="008900D8">
        <w:rPr>
          <w:color w:val="000000"/>
          <w:szCs w:val="22"/>
        </w:rPr>
        <w:t xml:space="preserve">ten </w:t>
      </w:r>
      <w:r w:rsidR="0014667F" w:rsidRPr="008900D8">
        <w:rPr>
          <w:color w:val="000000"/>
          <w:szCs w:val="22"/>
        </w:rPr>
        <w:t>year</w:t>
      </w:r>
      <w:r w:rsidR="00F351B8" w:rsidRPr="008900D8">
        <w:rPr>
          <w:color w:val="000000"/>
          <w:szCs w:val="22"/>
        </w:rPr>
        <w:t>s</w:t>
      </w:r>
      <w:r w:rsidR="0014667F" w:rsidRPr="008900D8">
        <w:rPr>
          <w:color w:val="000000"/>
          <w:szCs w:val="22"/>
        </w:rPr>
        <w:t xml:space="preserve">, the adverse impact of SAFTA </w:t>
      </w:r>
      <w:r w:rsidR="00F351B8" w:rsidRPr="008900D8">
        <w:rPr>
          <w:color w:val="000000"/>
          <w:szCs w:val="22"/>
        </w:rPr>
        <w:t xml:space="preserve">is </w:t>
      </w:r>
      <w:r w:rsidR="0014667F" w:rsidRPr="008900D8">
        <w:rPr>
          <w:color w:val="000000"/>
          <w:szCs w:val="22"/>
        </w:rPr>
        <w:t>dilute</w:t>
      </w:r>
      <w:r w:rsidR="00F351B8" w:rsidRPr="008900D8">
        <w:rPr>
          <w:color w:val="000000"/>
          <w:szCs w:val="22"/>
        </w:rPr>
        <w:t>d</w:t>
      </w:r>
      <w:r w:rsidR="0014667F" w:rsidRPr="008900D8">
        <w:rPr>
          <w:color w:val="000000"/>
          <w:szCs w:val="22"/>
        </w:rPr>
        <w:t xml:space="preserve"> and is practically unnoticeable.</w:t>
      </w:r>
      <w:r w:rsidR="001B07DD" w:rsidRPr="008900D8">
        <w:rPr>
          <w:color w:val="000000"/>
          <w:szCs w:val="22"/>
        </w:rPr>
        <w:t xml:space="preserve"> </w:t>
      </w:r>
      <w:r w:rsidR="0014667F" w:rsidRPr="008900D8">
        <w:rPr>
          <w:szCs w:val="22"/>
        </w:rPr>
        <w:t>This result is not surprising because Afghanistan’s tariff structure is already low and to some extent already in compliance with many of the terms of SAFTA’s new tariff structure.</w:t>
      </w:r>
      <w:r w:rsidR="0014667F" w:rsidRPr="008900D8">
        <w:rPr>
          <w:rStyle w:val="FootnoteReference"/>
          <w:sz w:val="22"/>
          <w:szCs w:val="22"/>
        </w:rPr>
        <w:t xml:space="preserve"> </w:t>
      </w:r>
      <w:r w:rsidR="0014667F" w:rsidRPr="008900D8">
        <w:rPr>
          <w:rStyle w:val="FootnoteReference"/>
          <w:sz w:val="22"/>
          <w:szCs w:val="22"/>
        </w:rPr>
        <w:footnoteReference w:id="117"/>
      </w:r>
      <w:r w:rsidR="001B07DD" w:rsidRPr="008900D8">
        <w:rPr>
          <w:szCs w:val="22"/>
        </w:rPr>
        <w:t xml:space="preserve"> </w:t>
      </w:r>
      <w:r w:rsidR="0014667F" w:rsidRPr="008900D8">
        <w:rPr>
          <w:szCs w:val="22"/>
        </w:rPr>
        <w:t>There are three reasons driving the limited negative impact: (</w:t>
      </w:r>
      <w:r w:rsidR="00F351B8" w:rsidRPr="008900D8">
        <w:rPr>
          <w:szCs w:val="22"/>
        </w:rPr>
        <w:t>i</w:t>
      </w:r>
      <w:r w:rsidR="0014667F" w:rsidRPr="008900D8">
        <w:rPr>
          <w:szCs w:val="22"/>
        </w:rPr>
        <w:t xml:space="preserve">) SAFTA countries play a limited role in Afghan imports; (2) the average level of protection of Afghan imports is low and there is not much to cut, notably with regard to goods from SAFTA partners; </w:t>
      </w:r>
      <w:r w:rsidR="00F351B8" w:rsidRPr="008900D8">
        <w:rPr>
          <w:szCs w:val="22"/>
        </w:rPr>
        <w:t xml:space="preserve">and </w:t>
      </w:r>
      <w:r w:rsidR="0014667F" w:rsidRPr="008900D8">
        <w:rPr>
          <w:szCs w:val="22"/>
        </w:rPr>
        <w:t>(3) the extent of the list of sensitive products, those excluded from tariffs, represents 48</w:t>
      </w:r>
      <w:r w:rsidR="00F351B8" w:rsidRPr="008900D8">
        <w:rPr>
          <w:szCs w:val="22"/>
        </w:rPr>
        <w:t xml:space="preserve"> percent</w:t>
      </w:r>
      <w:r w:rsidR="0014667F" w:rsidRPr="008900D8">
        <w:rPr>
          <w:szCs w:val="22"/>
        </w:rPr>
        <w:t xml:space="preserve"> of SAFTA imports and would account for 52</w:t>
      </w:r>
      <w:r w:rsidR="00F351B8" w:rsidRPr="008900D8">
        <w:rPr>
          <w:szCs w:val="22"/>
        </w:rPr>
        <w:t xml:space="preserve"> percent</w:t>
      </w:r>
      <w:r w:rsidR="0014667F" w:rsidRPr="008900D8">
        <w:rPr>
          <w:szCs w:val="22"/>
        </w:rPr>
        <w:t xml:space="preserve"> of revenue.</w:t>
      </w:r>
      <w:r w:rsidR="001B07DD" w:rsidRPr="008900D8">
        <w:rPr>
          <w:szCs w:val="22"/>
        </w:rPr>
        <w:t xml:space="preserve"> </w:t>
      </w:r>
      <w:r w:rsidR="0014667F" w:rsidRPr="008900D8">
        <w:rPr>
          <w:szCs w:val="22"/>
        </w:rPr>
        <w:t xml:space="preserve">Consequently, the impact on imports would be the strongest (though very modest) in the second phase of implementation, from year </w:t>
      </w:r>
      <w:r w:rsidR="000810CF" w:rsidRPr="008900D8">
        <w:rPr>
          <w:szCs w:val="22"/>
        </w:rPr>
        <w:t xml:space="preserve">three </w:t>
      </w:r>
      <w:r w:rsidR="0014667F" w:rsidRPr="008900D8">
        <w:rPr>
          <w:szCs w:val="22"/>
        </w:rPr>
        <w:t>and thereafter.</w:t>
      </w:r>
      <w:r w:rsidR="001B07DD" w:rsidRPr="008900D8">
        <w:rPr>
          <w:szCs w:val="22"/>
        </w:rPr>
        <w:t xml:space="preserve"> </w:t>
      </w:r>
    </w:p>
    <w:p w:rsidR="0014667F" w:rsidRPr="008900D8" w:rsidRDefault="000810CF" w:rsidP="003F3C4F">
      <w:pPr>
        <w:rPr>
          <w:szCs w:val="22"/>
        </w:rPr>
      </w:pPr>
      <w:r w:rsidRPr="008900D8">
        <w:rPr>
          <w:b/>
          <w:szCs w:val="22"/>
        </w:rPr>
        <w:t>I</w:t>
      </w:r>
      <w:r w:rsidR="0014667F" w:rsidRPr="008900D8">
        <w:rPr>
          <w:b/>
          <w:szCs w:val="22"/>
        </w:rPr>
        <w:t xml:space="preserve">t is expected that the adverse effects on fiscal revenues </w:t>
      </w:r>
      <w:r w:rsidRPr="008900D8">
        <w:rPr>
          <w:b/>
          <w:szCs w:val="22"/>
        </w:rPr>
        <w:t xml:space="preserve">overall </w:t>
      </w:r>
      <w:r w:rsidR="0014667F" w:rsidRPr="008900D8">
        <w:rPr>
          <w:b/>
          <w:szCs w:val="22"/>
        </w:rPr>
        <w:t>would be largely compensated by underlying import growth</w:t>
      </w:r>
      <w:r w:rsidR="0014667F" w:rsidRPr="008900D8">
        <w:rPr>
          <w:szCs w:val="22"/>
        </w:rPr>
        <w:t>.</w:t>
      </w:r>
      <w:r w:rsidR="001B07DD" w:rsidRPr="008900D8">
        <w:rPr>
          <w:szCs w:val="22"/>
        </w:rPr>
        <w:t xml:space="preserve"> </w:t>
      </w:r>
      <w:r w:rsidR="0014667F" w:rsidRPr="008900D8">
        <w:rPr>
          <w:szCs w:val="22"/>
        </w:rPr>
        <w:t xml:space="preserve">The loss of fiscal revenue would be compensated mostly by a stronger increase in the demand from imports following the tariff cuts. Still, projections suggest that import growth would be modest under SAFTA over the </w:t>
      </w:r>
      <w:r w:rsidRPr="008900D8">
        <w:rPr>
          <w:szCs w:val="22"/>
        </w:rPr>
        <w:t>ten</w:t>
      </w:r>
      <w:r w:rsidR="0014667F" w:rsidRPr="008900D8">
        <w:rPr>
          <w:szCs w:val="22"/>
        </w:rPr>
        <w:t xml:space="preserve">-year implementation period. </w:t>
      </w:r>
    </w:p>
    <w:p w:rsidR="008900D8" w:rsidRDefault="008900D8" w:rsidP="0014667F">
      <w:pPr>
        <w:spacing w:line="240" w:lineRule="auto"/>
        <w:rPr>
          <w:b/>
          <w:color w:val="410082" w:themeColor="text1"/>
          <w:szCs w:val="22"/>
        </w:rPr>
      </w:pPr>
    </w:p>
    <w:p w:rsidR="008900D8" w:rsidRDefault="008900D8" w:rsidP="0014667F">
      <w:pPr>
        <w:spacing w:line="240" w:lineRule="auto"/>
        <w:rPr>
          <w:b/>
          <w:color w:val="410082" w:themeColor="text1"/>
          <w:szCs w:val="22"/>
        </w:rPr>
      </w:pPr>
    </w:p>
    <w:p w:rsidR="008900D8" w:rsidRDefault="008900D8" w:rsidP="0014667F">
      <w:pPr>
        <w:spacing w:line="240" w:lineRule="auto"/>
        <w:rPr>
          <w:b/>
          <w:color w:val="410082" w:themeColor="text1"/>
          <w:szCs w:val="22"/>
        </w:rPr>
      </w:pPr>
    </w:p>
    <w:p w:rsidR="008900D8" w:rsidRDefault="008900D8" w:rsidP="0014667F">
      <w:pPr>
        <w:spacing w:line="240" w:lineRule="auto"/>
        <w:rPr>
          <w:b/>
          <w:color w:val="410082" w:themeColor="text1"/>
          <w:szCs w:val="22"/>
        </w:rPr>
      </w:pPr>
    </w:p>
    <w:p w:rsidR="008900D8" w:rsidRDefault="008900D8" w:rsidP="0014667F">
      <w:pPr>
        <w:spacing w:line="240" w:lineRule="auto"/>
        <w:rPr>
          <w:b/>
          <w:color w:val="410082" w:themeColor="text1"/>
          <w:szCs w:val="22"/>
        </w:rPr>
      </w:pPr>
    </w:p>
    <w:p w:rsidR="008900D8" w:rsidRDefault="008900D8" w:rsidP="0014667F">
      <w:pPr>
        <w:spacing w:line="240" w:lineRule="auto"/>
        <w:rPr>
          <w:b/>
          <w:color w:val="410082" w:themeColor="text1"/>
          <w:szCs w:val="22"/>
        </w:rPr>
      </w:pPr>
    </w:p>
    <w:p w:rsidR="008900D8" w:rsidRDefault="008900D8" w:rsidP="0014667F">
      <w:pPr>
        <w:spacing w:line="240" w:lineRule="auto"/>
        <w:rPr>
          <w:b/>
          <w:color w:val="410082" w:themeColor="text1"/>
          <w:szCs w:val="22"/>
        </w:rPr>
      </w:pPr>
    </w:p>
    <w:p w:rsidR="008900D8" w:rsidRDefault="008900D8" w:rsidP="0014667F">
      <w:pPr>
        <w:spacing w:line="240" w:lineRule="auto"/>
        <w:rPr>
          <w:b/>
          <w:color w:val="410082" w:themeColor="text1"/>
          <w:szCs w:val="22"/>
        </w:rPr>
      </w:pPr>
    </w:p>
    <w:p w:rsidR="008900D8" w:rsidRDefault="008900D8" w:rsidP="0014667F">
      <w:pPr>
        <w:spacing w:line="240" w:lineRule="auto"/>
        <w:rPr>
          <w:b/>
          <w:color w:val="410082" w:themeColor="text1"/>
          <w:szCs w:val="22"/>
        </w:rPr>
      </w:pPr>
    </w:p>
    <w:p w:rsidR="008900D8" w:rsidRDefault="008900D8" w:rsidP="0014667F">
      <w:pPr>
        <w:spacing w:line="240" w:lineRule="auto"/>
        <w:rPr>
          <w:b/>
          <w:color w:val="410082" w:themeColor="text1"/>
          <w:szCs w:val="22"/>
        </w:rPr>
      </w:pPr>
    </w:p>
    <w:p w:rsidR="008900D8" w:rsidRDefault="008900D8" w:rsidP="0014667F">
      <w:pPr>
        <w:spacing w:line="240" w:lineRule="auto"/>
        <w:rPr>
          <w:b/>
          <w:color w:val="410082" w:themeColor="text1"/>
          <w:szCs w:val="22"/>
        </w:rPr>
      </w:pPr>
    </w:p>
    <w:p w:rsidR="008900D8" w:rsidRDefault="008900D8" w:rsidP="0014667F">
      <w:pPr>
        <w:spacing w:line="240" w:lineRule="auto"/>
        <w:rPr>
          <w:b/>
          <w:color w:val="410082" w:themeColor="text1"/>
          <w:szCs w:val="22"/>
        </w:rPr>
      </w:pPr>
    </w:p>
    <w:p w:rsidR="00A72F5C" w:rsidRDefault="00A72F5C" w:rsidP="0014667F">
      <w:pPr>
        <w:spacing w:line="240" w:lineRule="auto"/>
        <w:rPr>
          <w:b/>
          <w:color w:val="410082" w:themeColor="text1"/>
          <w:szCs w:val="22"/>
        </w:rPr>
      </w:pPr>
    </w:p>
    <w:p w:rsidR="008900D8" w:rsidRDefault="008900D8" w:rsidP="0014667F">
      <w:pPr>
        <w:spacing w:line="240" w:lineRule="auto"/>
        <w:rPr>
          <w:b/>
          <w:color w:val="410082" w:themeColor="text1"/>
          <w:szCs w:val="22"/>
        </w:rPr>
      </w:pPr>
    </w:p>
    <w:p w:rsidR="008900D8" w:rsidRDefault="008900D8" w:rsidP="0014667F">
      <w:pPr>
        <w:spacing w:line="240" w:lineRule="auto"/>
        <w:rPr>
          <w:b/>
          <w:color w:val="410082" w:themeColor="text1"/>
          <w:szCs w:val="22"/>
        </w:rPr>
      </w:pPr>
    </w:p>
    <w:p w:rsidR="0014667F" w:rsidRPr="000810CF" w:rsidRDefault="0014667F" w:rsidP="0014667F">
      <w:pPr>
        <w:spacing w:line="240" w:lineRule="auto"/>
        <w:rPr>
          <w:b/>
          <w:color w:val="410082" w:themeColor="text1"/>
          <w:szCs w:val="22"/>
        </w:rPr>
      </w:pPr>
      <w:r w:rsidRPr="00E31154">
        <w:rPr>
          <w:b/>
          <w:color w:val="410082" w:themeColor="text1"/>
          <w:szCs w:val="22"/>
        </w:rPr>
        <w:t xml:space="preserve">Table </w:t>
      </w:r>
      <w:r w:rsidR="000810CF" w:rsidRPr="00E31154">
        <w:rPr>
          <w:b/>
          <w:color w:val="410082" w:themeColor="text1"/>
          <w:szCs w:val="22"/>
        </w:rPr>
        <w:t>4.3</w:t>
      </w:r>
      <w:r w:rsidRPr="00E31154">
        <w:rPr>
          <w:b/>
          <w:color w:val="410082" w:themeColor="text1"/>
          <w:szCs w:val="22"/>
        </w:rPr>
        <w:t>: Overall</w:t>
      </w:r>
      <w:r w:rsidRPr="000810CF">
        <w:rPr>
          <w:b/>
          <w:color w:val="410082" w:themeColor="text1"/>
          <w:szCs w:val="22"/>
        </w:rPr>
        <w:t xml:space="preserve"> </w:t>
      </w:r>
      <w:r w:rsidR="000810CF" w:rsidRPr="000810CF">
        <w:rPr>
          <w:b/>
          <w:color w:val="410082" w:themeColor="text1"/>
          <w:szCs w:val="22"/>
        </w:rPr>
        <w:t>I</w:t>
      </w:r>
      <w:r w:rsidRPr="000810CF">
        <w:rPr>
          <w:b/>
          <w:color w:val="410082" w:themeColor="text1"/>
          <w:szCs w:val="22"/>
        </w:rPr>
        <w:t xml:space="preserve">mpact of the </w:t>
      </w:r>
      <w:r w:rsidR="000810CF" w:rsidRPr="000810CF">
        <w:rPr>
          <w:b/>
          <w:color w:val="410082" w:themeColor="text1"/>
          <w:szCs w:val="22"/>
        </w:rPr>
        <w:t>I</w:t>
      </w:r>
      <w:r w:rsidRPr="000810CF">
        <w:rPr>
          <w:b/>
          <w:color w:val="410082" w:themeColor="text1"/>
          <w:szCs w:val="22"/>
        </w:rPr>
        <w:t>mplementation of the SAFTA Agreement</w:t>
      </w:r>
    </w:p>
    <w:tbl>
      <w:tblPr>
        <w:tblStyle w:val="LightShading-Accent11"/>
        <w:tblW w:w="5000" w:type="pct"/>
        <w:tblLook w:val="04A0" w:firstRow="1" w:lastRow="0" w:firstColumn="1" w:lastColumn="0" w:noHBand="0" w:noVBand="1"/>
      </w:tblPr>
      <w:tblGrid>
        <w:gridCol w:w="5375"/>
        <w:gridCol w:w="2112"/>
        <w:gridCol w:w="2089"/>
      </w:tblGrid>
      <w:tr w:rsidR="0014667F" w:rsidRPr="008600B8" w:rsidTr="008600B8">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806" w:type="pct"/>
          </w:tcPr>
          <w:p w:rsidR="0014667F" w:rsidRPr="008600B8" w:rsidRDefault="0014667F" w:rsidP="009A45D4">
            <w:pPr>
              <w:keepNext/>
              <w:autoSpaceDE w:val="0"/>
              <w:autoSpaceDN w:val="0"/>
              <w:adjustRightInd w:val="0"/>
              <w:rPr>
                <w:rFonts w:cs="Arial"/>
                <w:b w:val="0"/>
                <w:bCs w:val="0"/>
                <w:color w:val="000000"/>
              </w:rPr>
            </w:pPr>
            <w:r w:rsidRPr="008600B8">
              <w:rPr>
                <w:rFonts w:cs="Arial"/>
                <w:b w:val="0"/>
                <w:bCs w:val="0"/>
                <w:color w:val="000000"/>
              </w:rPr>
              <w:t>Impact on imports:</w:t>
            </w:r>
          </w:p>
        </w:tc>
        <w:tc>
          <w:tcPr>
            <w:tcW w:w="1103" w:type="pct"/>
          </w:tcPr>
          <w:p w:rsidR="0014667F" w:rsidRPr="008600B8" w:rsidRDefault="0014667F" w:rsidP="009A45D4">
            <w:pPr>
              <w:keepNext/>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Arial"/>
                <w:color w:val="000000"/>
              </w:rPr>
            </w:pPr>
            <w:r w:rsidRPr="008600B8">
              <w:rPr>
                <w:rFonts w:cs="Arial"/>
                <w:color w:val="000000"/>
              </w:rPr>
              <w:t>AFN (millions)</w:t>
            </w:r>
          </w:p>
        </w:tc>
        <w:tc>
          <w:tcPr>
            <w:tcW w:w="1091" w:type="pct"/>
          </w:tcPr>
          <w:p w:rsidR="0014667F" w:rsidRPr="008600B8" w:rsidRDefault="0014667F" w:rsidP="009A45D4">
            <w:pPr>
              <w:keepNext/>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Arial"/>
                <w:color w:val="000000"/>
              </w:rPr>
            </w:pPr>
            <w:r w:rsidRPr="008600B8">
              <w:rPr>
                <w:rFonts w:cs="Arial"/>
                <w:color w:val="000000"/>
              </w:rPr>
              <w:t>US$ (millions)</w:t>
            </w:r>
          </w:p>
        </w:tc>
      </w:tr>
      <w:tr w:rsidR="0014667F" w:rsidRPr="008600B8" w:rsidTr="008600B8">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806" w:type="pct"/>
          </w:tcPr>
          <w:p w:rsidR="0014667F" w:rsidRPr="008600B8" w:rsidRDefault="0014667F" w:rsidP="009A45D4">
            <w:pPr>
              <w:keepNext/>
              <w:autoSpaceDE w:val="0"/>
              <w:autoSpaceDN w:val="0"/>
              <w:adjustRightInd w:val="0"/>
              <w:rPr>
                <w:rFonts w:cs="Arial"/>
                <w:color w:val="000000"/>
              </w:rPr>
            </w:pPr>
            <w:r w:rsidRPr="008600B8">
              <w:rPr>
                <w:rFonts w:cs="Arial"/>
                <w:color w:val="000000"/>
              </w:rPr>
              <w:t>Imports pre</w:t>
            </w:r>
          </w:p>
        </w:tc>
        <w:tc>
          <w:tcPr>
            <w:tcW w:w="1103" w:type="pct"/>
          </w:tcPr>
          <w:p w:rsidR="0014667F" w:rsidRPr="008600B8" w:rsidRDefault="0014667F" w:rsidP="009A45D4">
            <w:pPr>
              <w:keepNext/>
              <w:cnfStyle w:val="000000100000" w:firstRow="0" w:lastRow="0" w:firstColumn="0" w:lastColumn="0" w:oddVBand="0" w:evenVBand="0" w:oddHBand="1" w:evenHBand="0" w:firstRowFirstColumn="0" w:firstRowLastColumn="0" w:lastRowFirstColumn="0" w:lastRowLastColumn="0"/>
              <w:rPr>
                <w:rFonts w:cs="Arial"/>
              </w:rPr>
            </w:pPr>
            <w:r w:rsidRPr="008600B8">
              <w:rPr>
                <w:rFonts w:cs="Arial"/>
              </w:rPr>
              <w:t>79,939.3</w:t>
            </w:r>
          </w:p>
        </w:tc>
        <w:tc>
          <w:tcPr>
            <w:tcW w:w="1091" w:type="pct"/>
          </w:tcPr>
          <w:p w:rsidR="0014667F" w:rsidRPr="008600B8" w:rsidRDefault="0014667F" w:rsidP="009A45D4">
            <w:pPr>
              <w:keepNext/>
              <w:cnfStyle w:val="000000100000" w:firstRow="0" w:lastRow="0" w:firstColumn="0" w:lastColumn="0" w:oddVBand="0" w:evenVBand="0" w:oddHBand="1" w:evenHBand="0" w:firstRowFirstColumn="0" w:firstRowLastColumn="0" w:lastRowFirstColumn="0" w:lastRowLastColumn="0"/>
              <w:rPr>
                <w:rFonts w:cs="Arial"/>
              </w:rPr>
            </w:pPr>
            <w:r w:rsidRPr="008600B8">
              <w:rPr>
                <w:rFonts w:cs="Arial"/>
              </w:rPr>
              <w:t>1,618.2</w:t>
            </w:r>
          </w:p>
        </w:tc>
      </w:tr>
      <w:tr w:rsidR="0014667F" w:rsidRPr="008600B8" w:rsidTr="008600B8">
        <w:trPr>
          <w:trHeight w:val="444"/>
        </w:trPr>
        <w:tc>
          <w:tcPr>
            <w:cnfStyle w:val="001000000000" w:firstRow="0" w:lastRow="0" w:firstColumn="1" w:lastColumn="0" w:oddVBand="0" w:evenVBand="0" w:oddHBand="0" w:evenHBand="0" w:firstRowFirstColumn="0" w:firstRowLastColumn="0" w:lastRowFirstColumn="0" w:lastRowLastColumn="0"/>
            <w:tcW w:w="2806" w:type="pct"/>
          </w:tcPr>
          <w:p w:rsidR="0014667F" w:rsidRPr="008600B8" w:rsidRDefault="0014667F" w:rsidP="009A45D4">
            <w:pPr>
              <w:keepNext/>
              <w:autoSpaceDE w:val="0"/>
              <w:autoSpaceDN w:val="0"/>
              <w:adjustRightInd w:val="0"/>
              <w:rPr>
                <w:rFonts w:cs="Arial"/>
                <w:color w:val="000000"/>
              </w:rPr>
            </w:pPr>
            <w:r w:rsidRPr="008600B8">
              <w:rPr>
                <w:rFonts w:cs="Arial"/>
                <w:color w:val="000000"/>
              </w:rPr>
              <w:t>Imports post</w:t>
            </w:r>
          </w:p>
        </w:tc>
        <w:tc>
          <w:tcPr>
            <w:tcW w:w="1103" w:type="pct"/>
          </w:tcPr>
          <w:p w:rsidR="0014667F" w:rsidRPr="008600B8" w:rsidRDefault="0014667F" w:rsidP="009A45D4">
            <w:pPr>
              <w:keepNext/>
              <w:cnfStyle w:val="000000000000" w:firstRow="0" w:lastRow="0" w:firstColumn="0" w:lastColumn="0" w:oddVBand="0" w:evenVBand="0" w:oddHBand="0" w:evenHBand="0" w:firstRowFirstColumn="0" w:firstRowLastColumn="0" w:lastRowFirstColumn="0" w:lastRowLastColumn="0"/>
              <w:rPr>
                <w:rFonts w:cs="Arial"/>
              </w:rPr>
            </w:pPr>
            <w:r w:rsidRPr="008600B8">
              <w:rPr>
                <w:rFonts w:cs="Arial"/>
              </w:rPr>
              <w:t>79,990.5</w:t>
            </w:r>
          </w:p>
        </w:tc>
        <w:tc>
          <w:tcPr>
            <w:tcW w:w="1091" w:type="pct"/>
          </w:tcPr>
          <w:p w:rsidR="0014667F" w:rsidRPr="008600B8" w:rsidRDefault="0014667F" w:rsidP="009A45D4">
            <w:pPr>
              <w:keepNext/>
              <w:cnfStyle w:val="000000000000" w:firstRow="0" w:lastRow="0" w:firstColumn="0" w:lastColumn="0" w:oddVBand="0" w:evenVBand="0" w:oddHBand="0" w:evenHBand="0" w:firstRowFirstColumn="0" w:firstRowLastColumn="0" w:lastRowFirstColumn="0" w:lastRowLastColumn="0"/>
              <w:rPr>
                <w:rFonts w:cs="Arial"/>
              </w:rPr>
            </w:pPr>
            <w:r w:rsidRPr="008600B8">
              <w:rPr>
                <w:rFonts w:cs="Arial"/>
              </w:rPr>
              <w:t>1,619.2</w:t>
            </w:r>
          </w:p>
        </w:tc>
      </w:tr>
      <w:tr w:rsidR="0014667F" w:rsidRPr="008600B8" w:rsidTr="008600B8">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806" w:type="pct"/>
          </w:tcPr>
          <w:p w:rsidR="0014667F" w:rsidRPr="008600B8" w:rsidRDefault="0014667F" w:rsidP="009A45D4">
            <w:pPr>
              <w:keepNext/>
              <w:autoSpaceDE w:val="0"/>
              <w:autoSpaceDN w:val="0"/>
              <w:adjustRightInd w:val="0"/>
              <w:rPr>
                <w:rFonts w:cs="Arial"/>
                <w:color w:val="000000"/>
              </w:rPr>
            </w:pPr>
            <w:r w:rsidRPr="008600B8">
              <w:rPr>
                <w:rFonts w:cs="Arial"/>
                <w:color w:val="000000"/>
              </w:rPr>
              <w:t>Change in imports</w:t>
            </w:r>
          </w:p>
        </w:tc>
        <w:tc>
          <w:tcPr>
            <w:tcW w:w="1103" w:type="pct"/>
          </w:tcPr>
          <w:p w:rsidR="0014667F" w:rsidRPr="008600B8" w:rsidRDefault="0014667F" w:rsidP="009A45D4">
            <w:pPr>
              <w:keepNext/>
              <w:cnfStyle w:val="000000100000" w:firstRow="0" w:lastRow="0" w:firstColumn="0" w:lastColumn="0" w:oddVBand="0" w:evenVBand="0" w:oddHBand="1" w:evenHBand="0" w:firstRowFirstColumn="0" w:firstRowLastColumn="0" w:lastRowFirstColumn="0" w:lastRowLastColumn="0"/>
              <w:rPr>
                <w:rFonts w:cs="Arial"/>
              </w:rPr>
            </w:pPr>
            <w:r w:rsidRPr="008600B8">
              <w:rPr>
                <w:rFonts w:cs="Arial"/>
              </w:rPr>
              <w:t>51.1</w:t>
            </w:r>
          </w:p>
        </w:tc>
        <w:tc>
          <w:tcPr>
            <w:tcW w:w="1091" w:type="pct"/>
          </w:tcPr>
          <w:p w:rsidR="0014667F" w:rsidRPr="008600B8" w:rsidRDefault="0014667F" w:rsidP="009A45D4">
            <w:pPr>
              <w:keepNext/>
              <w:cnfStyle w:val="000000100000" w:firstRow="0" w:lastRow="0" w:firstColumn="0" w:lastColumn="0" w:oddVBand="0" w:evenVBand="0" w:oddHBand="1" w:evenHBand="0" w:firstRowFirstColumn="0" w:firstRowLastColumn="0" w:lastRowFirstColumn="0" w:lastRowLastColumn="0"/>
              <w:rPr>
                <w:rFonts w:cs="Arial"/>
              </w:rPr>
            </w:pPr>
            <w:r w:rsidRPr="008600B8">
              <w:rPr>
                <w:rFonts w:cs="Arial"/>
              </w:rPr>
              <w:t>1.0</w:t>
            </w:r>
          </w:p>
        </w:tc>
      </w:tr>
      <w:tr w:rsidR="0014667F" w:rsidRPr="008600B8" w:rsidTr="008600B8">
        <w:trPr>
          <w:trHeight w:val="444"/>
        </w:trPr>
        <w:tc>
          <w:tcPr>
            <w:cnfStyle w:val="001000000000" w:firstRow="0" w:lastRow="0" w:firstColumn="1" w:lastColumn="0" w:oddVBand="0" w:evenVBand="0" w:oddHBand="0" w:evenHBand="0" w:firstRowFirstColumn="0" w:firstRowLastColumn="0" w:lastRowFirstColumn="0" w:lastRowLastColumn="0"/>
            <w:tcW w:w="2806" w:type="pct"/>
          </w:tcPr>
          <w:p w:rsidR="0014667F" w:rsidRPr="008600B8" w:rsidRDefault="0014667F" w:rsidP="009A45D4">
            <w:pPr>
              <w:keepNext/>
              <w:autoSpaceDE w:val="0"/>
              <w:autoSpaceDN w:val="0"/>
              <w:adjustRightInd w:val="0"/>
              <w:rPr>
                <w:rFonts w:cs="Arial"/>
                <w:color w:val="000000"/>
              </w:rPr>
            </w:pPr>
            <w:r w:rsidRPr="008600B8">
              <w:rPr>
                <w:rFonts w:cs="Arial"/>
                <w:color w:val="000000"/>
              </w:rPr>
              <w:t>% change in imports</w:t>
            </w:r>
          </w:p>
        </w:tc>
        <w:tc>
          <w:tcPr>
            <w:tcW w:w="1103" w:type="pct"/>
          </w:tcPr>
          <w:p w:rsidR="0014667F" w:rsidRPr="008600B8" w:rsidRDefault="0014667F" w:rsidP="009A45D4">
            <w:pPr>
              <w:keepNext/>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8600B8">
              <w:rPr>
                <w:rFonts w:cs="Arial"/>
              </w:rPr>
              <w:t>0.06%</w:t>
            </w:r>
          </w:p>
        </w:tc>
        <w:tc>
          <w:tcPr>
            <w:tcW w:w="1091" w:type="pct"/>
          </w:tcPr>
          <w:p w:rsidR="0014667F" w:rsidRPr="008600B8" w:rsidRDefault="0014667F" w:rsidP="009A45D4">
            <w:pPr>
              <w:keepNext/>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rPr>
            </w:pPr>
            <w:r w:rsidRPr="008600B8">
              <w:rPr>
                <w:rFonts w:cs="Arial"/>
              </w:rPr>
              <w:t>0.06%</w:t>
            </w:r>
          </w:p>
        </w:tc>
      </w:tr>
      <w:tr w:rsidR="0014667F" w:rsidRPr="008600B8" w:rsidTr="008600B8">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806" w:type="pct"/>
          </w:tcPr>
          <w:p w:rsidR="0014667F" w:rsidRPr="008600B8" w:rsidRDefault="0014667F" w:rsidP="009A45D4">
            <w:pPr>
              <w:keepNext/>
              <w:autoSpaceDE w:val="0"/>
              <w:autoSpaceDN w:val="0"/>
              <w:adjustRightInd w:val="0"/>
              <w:rPr>
                <w:rFonts w:cs="Arial"/>
                <w:b w:val="0"/>
                <w:bCs w:val="0"/>
                <w:color w:val="000000"/>
              </w:rPr>
            </w:pPr>
            <w:r w:rsidRPr="008600B8">
              <w:rPr>
                <w:rFonts w:cs="Arial"/>
                <w:b w:val="0"/>
                <w:bCs w:val="0"/>
                <w:color w:val="000000"/>
              </w:rPr>
              <w:t>Impact on Revenue:</w:t>
            </w:r>
          </w:p>
        </w:tc>
        <w:tc>
          <w:tcPr>
            <w:tcW w:w="1103" w:type="pct"/>
          </w:tcPr>
          <w:p w:rsidR="0014667F" w:rsidRPr="008600B8" w:rsidRDefault="0014667F" w:rsidP="009A45D4">
            <w:pPr>
              <w:keepNext/>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1091" w:type="pct"/>
          </w:tcPr>
          <w:p w:rsidR="0014667F" w:rsidRPr="008600B8" w:rsidRDefault="0014667F" w:rsidP="009A45D4">
            <w:pPr>
              <w:keepNext/>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p>
        </w:tc>
      </w:tr>
      <w:tr w:rsidR="0014667F" w:rsidRPr="008600B8" w:rsidTr="008600B8">
        <w:trPr>
          <w:trHeight w:val="445"/>
        </w:trPr>
        <w:tc>
          <w:tcPr>
            <w:cnfStyle w:val="001000000000" w:firstRow="0" w:lastRow="0" w:firstColumn="1" w:lastColumn="0" w:oddVBand="0" w:evenVBand="0" w:oddHBand="0" w:evenHBand="0" w:firstRowFirstColumn="0" w:firstRowLastColumn="0" w:lastRowFirstColumn="0" w:lastRowLastColumn="0"/>
            <w:tcW w:w="2806" w:type="pct"/>
          </w:tcPr>
          <w:p w:rsidR="0014667F" w:rsidRPr="008600B8" w:rsidRDefault="0014667F" w:rsidP="009A45D4">
            <w:pPr>
              <w:keepNext/>
              <w:autoSpaceDE w:val="0"/>
              <w:autoSpaceDN w:val="0"/>
              <w:adjustRightInd w:val="0"/>
              <w:rPr>
                <w:rFonts w:cs="Arial"/>
                <w:color w:val="000000"/>
              </w:rPr>
            </w:pPr>
            <w:r w:rsidRPr="008600B8">
              <w:rPr>
                <w:rFonts w:cs="Arial"/>
                <w:color w:val="000000"/>
              </w:rPr>
              <w:t>Tariff revenue pre</w:t>
            </w:r>
          </w:p>
        </w:tc>
        <w:tc>
          <w:tcPr>
            <w:tcW w:w="1103" w:type="pct"/>
          </w:tcPr>
          <w:p w:rsidR="0014667F" w:rsidRPr="008600B8" w:rsidRDefault="0014667F" w:rsidP="009A45D4">
            <w:pPr>
              <w:keepNext/>
              <w:cnfStyle w:val="000000000000" w:firstRow="0" w:lastRow="0" w:firstColumn="0" w:lastColumn="0" w:oddVBand="0" w:evenVBand="0" w:oddHBand="0" w:evenHBand="0" w:firstRowFirstColumn="0" w:firstRowLastColumn="0" w:lastRowFirstColumn="0" w:lastRowLastColumn="0"/>
              <w:rPr>
                <w:rFonts w:cs="Arial"/>
              </w:rPr>
            </w:pPr>
            <w:r w:rsidRPr="008600B8">
              <w:rPr>
                <w:rFonts w:cs="Arial"/>
              </w:rPr>
              <w:t>5,768.0</w:t>
            </w:r>
          </w:p>
        </w:tc>
        <w:tc>
          <w:tcPr>
            <w:tcW w:w="1091" w:type="pct"/>
          </w:tcPr>
          <w:p w:rsidR="0014667F" w:rsidRPr="008600B8" w:rsidRDefault="0014667F" w:rsidP="009A45D4">
            <w:pPr>
              <w:keepNext/>
              <w:cnfStyle w:val="000000000000" w:firstRow="0" w:lastRow="0" w:firstColumn="0" w:lastColumn="0" w:oddVBand="0" w:evenVBand="0" w:oddHBand="0" w:evenHBand="0" w:firstRowFirstColumn="0" w:firstRowLastColumn="0" w:lastRowFirstColumn="0" w:lastRowLastColumn="0"/>
              <w:rPr>
                <w:rFonts w:cs="Arial"/>
              </w:rPr>
            </w:pPr>
            <w:r w:rsidRPr="008600B8">
              <w:rPr>
                <w:rFonts w:cs="Arial"/>
              </w:rPr>
              <w:t>116.8</w:t>
            </w:r>
          </w:p>
        </w:tc>
      </w:tr>
      <w:tr w:rsidR="0014667F" w:rsidRPr="008600B8" w:rsidTr="008600B8">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806" w:type="pct"/>
          </w:tcPr>
          <w:p w:rsidR="0014667F" w:rsidRPr="008600B8" w:rsidRDefault="0014667F" w:rsidP="009A45D4">
            <w:pPr>
              <w:keepNext/>
              <w:autoSpaceDE w:val="0"/>
              <w:autoSpaceDN w:val="0"/>
              <w:adjustRightInd w:val="0"/>
              <w:rPr>
                <w:rFonts w:cs="Arial"/>
                <w:color w:val="000000"/>
              </w:rPr>
            </w:pPr>
            <w:r w:rsidRPr="008600B8">
              <w:rPr>
                <w:rFonts w:cs="Arial"/>
                <w:color w:val="000000"/>
              </w:rPr>
              <w:t>Tariff revenue post</w:t>
            </w:r>
          </w:p>
        </w:tc>
        <w:tc>
          <w:tcPr>
            <w:tcW w:w="1103" w:type="pct"/>
          </w:tcPr>
          <w:p w:rsidR="0014667F" w:rsidRPr="008600B8" w:rsidRDefault="0014667F" w:rsidP="009A45D4">
            <w:pPr>
              <w:keepNext/>
              <w:cnfStyle w:val="000000100000" w:firstRow="0" w:lastRow="0" w:firstColumn="0" w:lastColumn="0" w:oddVBand="0" w:evenVBand="0" w:oddHBand="1" w:evenHBand="0" w:firstRowFirstColumn="0" w:firstRowLastColumn="0" w:lastRowFirstColumn="0" w:lastRowLastColumn="0"/>
              <w:rPr>
                <w:rFonts w:cs="Arial"/>
              </w:rPr>
            </w:pPr>
            <w:r w:rsidRPr="008600B8">
              <w:rPr>
                <w:rFonts w:cs="Arial"/>
              </w:rPr>
              <w:t>5,662.1</w:t>
            </w:r>
          </w:p>
        </w:tc>
        <w:tc>
          <w:tcPr>
            <w:tcW w:w="1091" w:type="pct"/>
          </w:tcPr>
          <w:p w:rsidR="0014667F" w:rsidRPr="008600B8" w:rsidRDefault="0014667F" w:rsidP="009A45D4">
            <w:pPr>
              <w:keepNext/>
              <w:cnfStyle w:val="000000100000" w:firstRow="0" w:lastRow="0" w:firstColumn="0" w:lastColumn="0" w:oddVBand="0" w:evenVBand="0" w:oddHBand="1" w:evenHBand="0" w:firstRowFirstColumn="0" w:firstRowLastColumn="0" w:lastRowFirstColumn="0" w:lastRowLastColumn="0"/>
              <w:rPr>
                <w:rFonts w:cs="Arial"/>
              </w:rPr>
            </w:pPr>
            <w:r w:rsidRPr="008600B8">
              <w:rPr>
                <w:rFonts w:cs="Arial"/>
              </w:rPr>
              <w:t>114.6</w:t>
            </w:r>
          </w:p>
        </w:tc>
      </w:tr>
      <w:tr w:rsidR="0014667F" w:rsidRPr="008600B8" w:rsidTr="008600B8">
        <w:trPr>
          <w:trHeight w:val="444"/>
        </w:trPr>
        <w:tc>
          <w:tcPr>
            <w:cnfStyle w:val="001000000000" w:firstRow="0" w:lastRow="0" w:firstColumn="1" w:lastColumn="0" w:oddVBand="0" w:evenVBand="0" w:oddHBand="0" w:evenHBand="0" w:firstRowFirstColumn="0" w:firstRowLastColumn="0" w:lastRowFirstColumn="0" w:lastRowLastColumn="0"/>
            <w:tcW w:w="2806" w:type="pct"/>
          </w:tcPr>
          <w:p w:rsidR="0014667F" w:rsidRPr="008600B8" w:rsidRDefault="0014667F" w:rsidP="009A45D4">
            <w:pPr>
              <w:keepNext/>
              <w:autoSpaceDE w:val="0"/>
              <w:autoSpaceDN w:val="0"/>
              <w:adjustRightInd w:val="0"/>
              <w:rPr>
                <w:rFonts w:cs="Arial"/>
                <w:color w:val="000000"/>
              </w:rPr>
            </w:pPr>
            <w:r w:rsidRPr="008600B8">
              <w:rPr>
                <w:rFonts w:cs="Arial"/>
                <w:color w:val="000000"/>
              </w:rPr>
              <w:t>Change in tariff revenue</w:t>
            </w:r>
          </w:p>
        </w:tc>
        <w:tc>
          <w:tcPr>
            <w:tcW w:w="1103" w:type="pct"/>
          </w:tcPr>
          <w:p w:rsidR="0014667F" w:rsidRPr="008600B8" w:rsidRDefault="0014667F" w:rsidP="009A45D4">
            <w:pPr>
              <w:keepNext/>
              <w:cnfStyle w:val="000000000000" w:firstRow="0" w:lastRow="0" w:firstColumn="0" w:lastColumn="0" w:oddVBand="0" w:evenVBand="0" w:oddHBand="0" w:evenHBand="0" w:firstRowFirstColumn="0" w:firstRowLastColumn="0" w:lastRowFirstColumn="0" w:lastRowLastColumn="0"/>
              <w:rPr>
                <w:rFonts w:cs="Arial"/>
              </w:rPr>
            </w:pPr>
            <w:r w:rsidRPr="008600B8">
              <w:rPr>
                <w:rFonts w:cs="Arial"/>
              </w:rPr>
              <w:t>-106.0</w:t>
            </w:r>
          </w:p>
        </w:tc>
        <w:tc>
          <w:tcPr>
            <w:tcW w:w="1091" w:type="pct"/>
          </w:tcPr>
          <w:p w:rsidR="0014667F" w:rsidRPr="008600B8" w:rsidRDefault="0014667F" w:rsidP="009A45D4">
            <w:pPr>
              <w:keepNext/>
              <w:cnfStyle w:val="000000000000" w:firstRow="0" w:lastRow="0" w:firstColumn="0" w:lastColumn="0" w:oddVBand="0" w:evenVBand="0" w:oddHBand="0" w:evenHBand="0" w:firstRowFirstColumn="0" w:firstRowLastColumn="0" w:lastRowFirstColumn="0" w:lastRowLastColumn="0"/>
              <w:rPr>
                <w:rFonts w:cs="Arial"/>
              </w:rPr>
            </w:pPr>
            <w:r w:rsidRPr="008600B8">
              <w:rPr>
                <w:rFonts w:cs="Arial"/>
              </w:rPr>
              <w:t>-2.1</w:t>
            </w:r>
          </w:p>
        </w:tc>
      </w:tr>
      <w:tr w:rsidR="0014667F" w:rsidRPr="008600B8" w:rsidTr="008600B8">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806" w:type="pct"/>
          </w:tcPr>
          <w:p w:rsidR="0014667F" w:rsidRPr="008600B8" w:rsidRDefault="0014667F" w:rsidP="009A45D4">
            <w:pPr>
              <w:keepNext/>
              <w:autoSpaceDE w:val="0"/>
              <w:autoSpaceDN w:val="0"/>
              <w:adjustRightInd w:val="0"/>
              <w:rPr>
                <w:rFonts w:cs="Arial"/>
                <w:color w:val="000000"/>
              </w:rPr>
            </w:pPr>
            <w:r w:rsidRPr="008600B8">
              <w:rPr>
                <w:rFonts w:cs="Arial"/>
                <w:color w:val="000000"/>
              </w:rPr>
              <w:t>% change in tariff revenue</w:t>
            </w:r>
          </w:p>
        </w:tc>
        <w:tc>
          <w:tcPr>
            <w:tcW w:w="1103" w:type="pct"/>
          </w:tcPr>
          <w:p w:rsidR="0014667F" w:rsidRPr="008600B8" w:rsidRDefault="0014667F" w:rsidP="009A45D4">
            <w:pPr>
              <w:keepNext/>
              <w:cnfStyle w:val="000000100000" w:firstRow="0" w:lastRow="0" w:firstColumn="0" w:lastColumn="0" w:oddVBand="0" w:evenVBand="0" w:oddHBand="1" w:evenHBand="0" w:firstRowFirstColumn="0" w:firstRowLastColumn="0" w:lastRowFirstColumn="0" w:lastRowLastColumn="0"/>
              <w:rPr>
                <w:rFonts w:cs="Arial"/>
              </w:rPr>
            </w:pPr>
            <w:r w:rsidRPr="008600B8">
              <w:rPr>
                <w:rFonts w:cs="Arial"/>
              </w:rPr>
              <w:t>-1.84%</w:t>
            </w:r>
          </w:p>
        </w:tc>
        <w:tc>
          <w:tcPr>
            <w:tcW w:w="1091" w:type="pct"/>
          </w:tcPr>
          <w:p w:rsidR="0014667F" w:rsidRPr="008600B8" w:rsidRDefault="0014667F" w:rsidP="009A45D4">
            <w:pPr>
              <w:keepNext/>
              <w:cnfStyle w:val="000000100000" w:firstRow="0" w:lastRow="0" w:firstColumn="0" w:lastColumn="0" w:oddVBand="0" w:evenVBand="0" w:oddHBand="1" w:evenHBand="0" w:firstRowFirstColumn="0" w:firstRowLastColumn="0" w:lastRowFirstColumn="0" w:lastRowLastColumn="0"/>
              <w:rPr>
                <w:rFonts w:cs="Arial"/>
              </w:rPr>
            </w:pPr>
            <w:r w:rsidRPr="008600B8">
              <w:rPr>
                <w:rFonts w:cs="Arial"/>
              </w:rPr>
              <w:t>-1.84%</w:t>
            </w:r>
          </w:p>
        </w:tc>
      </w:tr>
      <w:tr w:rsidR="0014667F" w:rsidRPr="008600B8" w:rsidTr="008600B8">
        <w:trPr>
          <w:trHeight w:val="444"/>
        </w:trPr>
        <w:tc>
          <w:tcPr>
            <w:cnfStyle w:val="001000000000" w:firstRow="0" w:lastRow="0" w:firstColumn="1" w:lastColumn="0" w:oddVBand="0" w:evenVBand="0" w:oddHBand="0" w:evenHBand="0" w:firstRowFirstColumn="0" w:firstRowLastColumn="0" w:lastRowFirstColumn="0" w:lastRowLastColumn="0"/>
            <w:tcW w:w="2806" w:type="pct"/>
          </w:tcPr>
          <w:p w:rsidR="0014667F" w:rsidRPr="008600B8" w:rsidRDefault="0014667F" w:rsidP="009A45D4">
            <w:pPr>
              <w:keepNext/>
              <w:autoSpaceDE w:val="0"/>
              <w:autoSpaceDN w:val="0"/>
              <w:adjustRightInd w:val="0"/>
              <w:rPr>
                <w:rFonts w:cs="Arial"/>
                <w:b w:val="0"/>
                <w:bCs w:val="0"/>
                <w:i/>
                <w:iCs/>
                <w:color w:val="000000"/>
              </w:rPr>
            </w:pPr>
            <w:r w:rsidRPr="008600B8">
              <w:rPr>
                <w:rFonts w:cs="Arial"/>
                <w:b w:val="0"/>
                <w:bCs w:val="0"/>
                <w:i/>
                <w:iCs/>
                <w:color w:val="000000"/>
              </w:rPr>
              <w:t>Total Tax Revenues on Imports</w:t>
            </w:r>
          </w:p>
        </w:tc>
        <w:tc>
          <w:tcPr>
            <w:tcW w:w="1103" w:type="pct"/>
          </w:tcPr>
          <w:p w:rsidR="0014667F" w:rsidRPr="008600B8" w:rsidRDefault="0014667F" w:rsidP="009A45D4">
            <w:pPr>
              <w:keepNext/>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1091" w:type="pct"/>
          </w:tcPr>
          <w:p w:rsidR="0014667F" w:rsidRPr="008600B8" w:rsidRDefault="0014667F" w:rsidP="009A45D4">
            <w:pPr>
              <w:keepNext/>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rPr>
            </w:pPr>
          </w:p>
        </w:tc>
      </w:tr>
      <w:tr w:rsidR="0014667F" w:rsidRPr="008600B8" w:rsidTr="008600B8">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806" w:type="pct"/>
          </w:tcPr>
          <w:p w:rsidR="0014667F" w:rsidRPr="008600B8" w:rsidRDefault="0014667F" w:rsidP="009A45D4">
            <w:pPr>
              <w:keepNext/>
              <w:autoSpaceDE w:val="0"/>
              <w:autoSpaceDN w:val="0"/>
              <w:adjustRightInd w:val="0"/>
              <w:rPr>
                <w:rFonts w:cs="Arial"/>
                <w:color w:val="000000"/>
              </w:rPr>
            </w:pPr>
            <w:r w:rsidRPr="008600B8">
              <w:rPr>
                <w:rFonts w:cs="Arial"/>
                <w:color w:val="000000"/>
              </w:rPr>
              <w:t>Total revenue pre</w:t>
            </w:r>
          </w:p>
        </w:tc>
        <w:tc>
          <w:tcPr>
            <w:tcW w:w="1103" w:type="pct"/>
          </w:tcPr>
          <w:p w:rsidR="0014667F" w:rsidRPr="008600B8" w:rsidRDefault="0014667F" w:rsidP="009A45D4">
            <w:pPr>
              <w:keepNext/>
              <w:cnfStyle w:val="000000100000" w:firstRow="0" w:lastRow="0" w:firstColumn="0" w:lastColumn="0" w:oddVBand="0" w:evenVBand="0" w:oddHBand="1" w:evenHBand="0" w:firstRowFirstColumn="0" w:firstRowLastColumn="0" w:lastRowFirstColumn="0" w:lastRowLastColumn="0"/>
              <w:rPr>
                <w:rFonts w:cs="Arial"/>
              </w:rPr>
            </w:pPr>
            <w:r w:rsidRPr="008600B8">
              <w:rPr>
                <w:rFonts w:cs="Arial"/>
              </w:rPr>
              <w:t>10,795.1</w:t>
            </w:r>
          </w:p>
        </w:tc>
        <w:tc>
          <w:tcPr>
            <w:tcW w:w="1091" w:type="pct"/>
          </w:tcPr>
          <w:p w:rsidR="0014667F" w:rsidRPr="008600B8" w:rsidRDefault="0014667F" w:rsidP="009A45D4">
            <w:pPr>
              <w:keepNext/>
              <w:cnfStyle w:val="000000100000" w:firstRow="0" w:lastRow="0" w:firstColumn="0" w:lastColumn="0" w:oddVBand="0" w:evenVBand="0" w:oddHBand="1" w:evenHBand="0" w:firstRowFirstColumn="0" w:firstRowLastColumn="0" w:lastRowFirstColumn="0" w:lastRowLastColumn="0"/>
              <w:rPr>
                <w:rFonts w:cs="Arial"/>
              </w:rPr>
            </w:pPr>
            <w:r w:rsidRPr="008600B8">
              <w:rPr>
                <w:rFonts w:cs="Arial"/>
              </w:rPr>
              <w:t>218.5</w:t>
            </w:r>
          </w:p>
        </w:tc>
      </w:tr>
      <w:tr w:rsidR="0014667F" w:rsidRPr="008600B8" w:rsidTr="008600B8">
        <w:trPr>
          <w:trHeight w:val="445"/>
        </w:trPr>
        <w:tc>
          <w:tcPr>
            <w:cnfStyle w:val="001000000000" w:firstRow="0" w:lastRow="0" w:firstColumn="1" w:lastColumn="0" w:oddVBand="0" w:evenVBand="0" w:oddHBand="0" w:evenHBand="0" w:firstRowFirstColumn="0" w:firstRowLastColumn="0" w:lastRowFirstColumn="0" w:lastRowLastColumn="0"/>
            <w:tcW w:w="2806" w:type="pct"/>
          </w:tcPr>
          <w:p w:rsidR="0014667F" w:rsidRPr="008600B8" w:rsidRDefault="0014667F" w:rsidP="009A45D4">
            <w:pPr>
              <w:keepNext/>
              <w:autoSpaceDE w:val="0"/>
              <w:autoSpaceDN w:val="0"/>
              <w:adjustRightInd w:val="0"/>
              <w:rPr>
                <w:rFonts w:cs="Arial"/>
                <w:color w:val="000000"/>
              </w:rPr>
            </w:pPr>
            <w:r w:rsidRPr="008600B8">
              <w:rPr>
                <w:rFonts w:cs="Arial"/>
                <w:color w:val="000000"/>
              </w:rPr>
              <w:t>Total revenue post</w:t>
            </w:r>
          </w:p>
        </w:tc>
        <w:tc>
          <w:tcPr>
            <w:tcW w:w="1103" w:type="pct"/>
          </w:tcPr>
          <w:p w:rsidR="0014667F" w:rsidRPr="008600B8" w:rsidRDefault="0014667F" w:rsidP="009A45D4">
            <w:pPr>
              <w:keepNext/>
              <w:cnfStyle w:val="000000000000" w:firstRow="0" w:lastRow="0" w:firstColumn="0" w:lastColumn="0" w:oddVBand="0" w:evenVBand="0" w:oddHBand="0" w:evenHBand="0" w:firstRowFirstColumn="0" w:firstRowLastColumn="0" w:lastRowFirstColumn="0" w:lastRowLastColumn="0"/>
              <w:rPr>
                <w:rFonts w:cs="Arial"/>
              </w:rPr>
            </w:pPr>
            <w:r w:rsidRPr="008600B8">
              <w:rPr>
                <w:rFonts w:cs="Arial"/>
              </w:rPr>
              <w:t>10,688.0</w:t>
            </w:r>
          </w:p>
        </w:tc>
        <w:tc>
          <w:tcPr>
            <w:tcW w:w="1091" w:type="pct"/>
          </w:tcPr>
          <w:p w:rsidR="0014667F" w:rsidRPr="008600B8" w:rsidRDefault="0014667F" w:rsidP="009A45D4">
            <w:pPr>
              <w:keepNext/>
              <w:cnfStyle w:val="000000000000" w:firstRow="0" w:lastRow="0" w:firstColumn="0" w:lastColumn="0" w:oddVBand="0" w:evenVBand="0" w:oddHBand="0" w:evenHBand="0" w:firstRowFirstColumn="0" w:firstRowLastColumn="0" w:lastRowFirstColumn="0" w:lastRowLastColumn="0"/>
              <w:rPr>
                <w:rFonts w:cs="Arial"/>
              </w:rPr>
            </w:pPr>
            <w:r w:rsidRPr="008600B8">
              <w:rPr>
                <w:rFonts w:cs="Arial"/>
              </w:rPr>
              <w:t>216.4</w:t>
            </w:r>
          </w:p>
        </w:tc>
      </w:tr>
      <w:tr w:rsidR="0014667F" w:rsidRPr="008600B8" w:rsidTr="008600B8">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806" w:type="pct"/>
          </w:tcPr>
          <w:p w:rsidR="0014667F" w:rsidRPr="008600B8" w:rsidRDefault="0014667F" w:rsidP="009A45D4">
            <w:pPr>
              <w:keepNext/>
              <w:autoSpaceDE w:val="0"/>
              <w:autoSpaceDN w:val="0"/>
              <w:adjustRightInd w:val="0"/>
              <w:rPr>
                <w:rFonts w:cs="Arial"/>
                <w:color w:val="000000"/>
              </w:rPr>
            </w:pPr>
            <w:r w:rsidRPr="008600B8">
              <w:rPr>
                <w:rFonts w:cs="Arial"/>
                <w:color w:val="000000"/>
              </w:rPr>
              <w:t>Change in Total revenue</w:t>
            </w:r>
          </w:p>
        </w:tc>
        <w:tc>
          <w:tcPr>
            <w:tcW w:w="1103" w:type="pct"/>
          </w:tcPr>
          <w:p w:rsidR="0014667F" w:rsidRPr="008600B8" w:rsidRDefault="0014667F" w:rsidP="009A45D4">
            <w:pPr>
              <w:keepNext/>
              <w:cnfStyle w:val="000000100000" w:firstRow="0" w:lastRow="0" w:firstColumn="0" w:lastColumn="0" w:oddVBand="0" w:evenVBand="0" w:oddHBand="1" w:evenHBand="0" w:firstRowFirstColumn="0" w:firstRowLastColumn="0" w:lastRowFirstColumn="0" w:lastRowLastColumn="0"/>
              <w:rPr>
                <w:rFonts w:cs="Arial"/>
              </w:rPr>
            </w:pPr>
            <w:r w:rsidRPr="008600B8">
              <w:rPr>
                <w:rFonts w:cs="Arial"/>
              </w:rPr>
              <w:t>-107.1</w:t>
            </w:r>
          </w:p>
        </w:tc>
        <w:tc>
          <w:tcPr>
            <w:tcW w:w="1091" w:type="pct"/>
          </w:tcPr>
          <w:p w:rsidR="0014667F" w:rsidRPr="008600B8" w:rsidRDefault="0014667F" w:rsidP="009A45D4">
            <w:pPr>
              <w:keepNext/>
              <w:cnfStyle w:val="000000100000" w:firstRow="0" w:lastRow="0" w:firstColumn="0" w:lastColumn="0" w:oddVBand="0" w:evenVBand="0" w:oddHBand="1" w:evenHBand="0" w:firstRowFirstColumn="0" w:firstRowLastColumn="0" w:lastRowFirstColumn="0" w:lastRowLastColumn="0"/>
              <w:rPr>
                <w:rFonts w:cs="Arial"/>
              </w:rPr>
            </w:pPr>
            <w:r w:rsidRPr="008600B8">
              <w:rPr>
                <w:rFonts w:cs="Arial"/>
              </w:rPr>
              <w:t>-2.2</w:t>
            </w:r>
          </w:p>
        </w:tc>
      </w:tr>
      <w:tr w:rsidR="0014667F" w:rsidRPr="008600B8" w:rsidTr="008600B8">
        <w:trPr>
          <w:trHeight w:val="444"/>
        </w:trPr>
        <w:tc>
          <w:tcPr>
            <w:cnfStyle w:val="001000000000" w:firstRow="0" w:lastRow="0" w:firstColumn="1" w:lastColumn="0" w:oddVBand="0" w:evenVBand="0" w:oddHBand="0" w:evenHBand="0" w:firstRowFirstColumn="0" w:firstRowLastColumn="0" w:lastRowFirstColumn="0" w:lastRowLastColumn="0"/>
            <w:tcW w:w="2806" w:type="pct"/>
          </w:tcPr>
          <w:p w:rsidR="0014667F" w:rsidRPr="008600B8" w:rsidRDefault="0014667F" w:rsidP="009A45D4">
            <w:pPr>
              <w:keepNext/>
              <w:autoSpaceDE w:val="0"/>
              <w:autoSpaceDN w:val="0"/>
              <w:adjustRightInd w:val="0"/>
              <w:rPr>
                <w:rFonts w:cs="Arial"/>
                <w:color w:val="000000"/>
              </w:rPr>
            </w:pPr>
            <w:r w:rsidRPr="008600B8">
              <w:rPr>
                <w:rFonts w:cs="Arial"/>
                <w:color w:val="000000"/>
              </w:rPr>
              <w:t>% change in Total revenue</w:t>
            </w:r>
          </w:p>
        </w:tc>
        <w:tc>
          <w:tcPr>
            <w:tcW w:w="1103" w:type="pct"/>
          </w:tcPr>
          <w:p w:rsidR="0014667F" w:rsidRPr="008600B8" w:rsidRDefault="0014667F" w:rsidP="009A45D4">
            <w:pPr>
              <w:keepNext/>
              <w:cnfStyle w:val="000000000000" w:firstRow="0" w:lastRow="0" w:firstColumn="0" w:lastColumn="0" w:oddVBand="0" w:evenVBand="0" w:oddHBand="0" w:evenHBand="0" w:firstRowFirstColumn="0" w:firstRowLastColumn="0" w:lastRowFirstColumn="0" w:lastRowLastColumn="0"/>
              <w:rPr>
                <w:rFonts w:cs="Arial"/>
              </w:rPr>
            </w:pPr>
            <w:r w:rsidRPr="008600B8">
              <w:rPr>
                <w:rFonts w:cs="Arial"/>
              </w:rPr>
              <w:t>-0.99%</w:t>
            </w:r>
          </w:p>
        </w:tc>
        <w:tc>
          <w:tcPr>
            <w:tcW w:w="1091" w:type="pct"/>
          </w:tcPr>
          <w:p w:rsidR="0014667F" w:rsidRPr="008600B8" w:rsidRDefault="0014667F" w:rsidP="009A45D4">
            <w:pPr>
              <w:keepNext/>
              <w:cnfStyle w:val="000000000000" w:firstRow="0" w:lastRow="0" w:firstColumn="0" w:lastColumn="0" w:oddVBand="0" w:evenVBand="0" w:oddHBand="0" w:evenHBand="0" w:firstRowFirstColumn="0" w:firstRowLastColumn="0" w:lastRowFirstColumn="0" w:lastRowLastColumn="0"/>
              <w:rPr>
                <w:rFonts w:cs="Arial"/>
              </w:rPr>
            </w:pPr>
            <w:r w:rsidRPr="008600B8">
              <w:rPr>
                <w:rFonts w:cs="Arial"/>
              </w:rPr>
              <w:t>-0.99%</w:t>
            </w:r>
          </w:p>
        </w:tc>
      </w:tr>
      <w:tr w:rsidR="0014667F" w:rsidRPr="008600B8" w:rsidTr="008600B8">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806" w:type="pct"/>
          </w:tcPr>
          <w:p w:rsidR="0014667F" w:rsidRPr="008600B8" w:rsidRDefault="0014667F" w:rsidP="009A45D4">
            <w:pPr>
              <w:keepNext/>
              <w:autoSpaceDE w:val="0"/>
              <w:autoSpaceDN w:val="0"/>
              <w:adjustRightInd w:val="0"/>
              <w:rPr>
                <w:rFonts w:cs="Arial"/>
                <w:b w:val="0"/>
                <w:bCs w:val="0"/>
                <w:i/>
                <w:iCs/>
                <w:color w:val="000000"/>
              </w:rPr>
            </w:pPr>
            <w:r w:rsidRPr="008600B8">
              <w:rPr>
                <w:rFonts w:cs="Arial"/>
                <w:b w:val="0"/>
                <w:bCs w:val="0"/>
                <w:i/>
                <w:iCs/>
                <w:color w:val="000000"/>
              </w:rPr>
              <w:t>Collected Tariff rate:</w:t>
            </w:r>
          </w:p>
        </w:tc>
        <w:tc>
          <w:tcPr>
            <w:tcW w:w="1103" w:type="pct"/>
          </w:tcPr>
          <w:p w:rsidR="0014667F" w:rsidRPr="008600B8" w:rsidRDefault="0014667F" w:rsidP="009A45D4">
            <w:pPr>
              <w:keepNext/>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1091" w:type="pct"/>
          </w:tcPr>
          <w:p w:rsidR="0014667F" w:rsidRPr="008600B8" w:rsidRDefault="0014667F" w:rsidP="009A45D4">
            <w:pPr>
              <w:keepNext/>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p>
        </w:tc>
      </w:tr>
      <w:tr w:rsidR="0014667F" w:rsidRPr="008600B8" w:rsidTr="008600B8">
        <w:trPr>
          <w:trHeight w:val="444"/>
        </w:trPr>
        <w:tc>
          <w:tcPr>
            <w:cnfStyle w:val="001000000000" w:firstRow="0" w:lastRow="0" w:firstColumn="1" w:lastColumn="0" w:oddVBand="0" w:evenVBand="0" w:oddHBand="0" w:evenHBand="0" w:firstRowFirstColumn="0" w:firstRowLastColumn="0" w:lastRowFirstColumn="0" w:lastRowLastColumn="0"/>
            <w:tcW w:w="2806" w:type="pct"/>
          </w:tcPr>
          <w:p w:rsidR="0014667F" w:rsidRPr="008600B8" w:rsidRDefault="0014667F" w:rsidP="009A45D4">
            <w:pPr>
              <w:keepNext/>
              <w:autoSpaceDE w:val="0"/>
              <w:autoSpaceDN w:val="0"/>
              <w:adjustRightInd w:val="0"/>
              <w:rPr>
                <w:rFonts w:cs="Arial"/>
                <w:color w:val="000000"/>
              </w:rPr>
            </w:pPr>
            <w:r w:rsidRPr="008600B8">
              <w:rPr>
                <w:rFonts w:cs="Arial"/>
                <w:color w:val="000000"/>
              </w:rPr>
              <w:t>Collected applied tariff rate pre</w:t>
            </w:r>
          </w:p>
        </w:tc>
        <w:tc>
          <w:tcPr>
            <w:tcW w:w="1103" w:type="pct"/>
          </w:tcPr>
          <w:p w:rsidR="0014667F" w:rsidRPr="008600B8" w:rsidRDefault="0014667F" w:rsidP="009A45D4">
            <w:pPr>
              <w:keepNext/>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rPr>
            </w:pPr>
            <w:r w:rsidRPr="008600B8">
              <w:rPr>
                <w:rFonts w:cs="Arial"/>
                <w:color w:val="000000"/>
              </w:rPr>
              <w:t>7.2%</w:t>
            </w:r>
          </w:p>
        </w:tc>
        <w:tc>
          <w:tcPr>
            <w:tcW w:w="1091" w:type="pct"/>
          </w:tcPr>
          <w:p w:rsidR="0014667F" w:rsidRPr="008600B8" w:rsidRDefault="0014667F" w:rsidP="009A45D4">
            <w:pPr>
              <w:keepNext/>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rPr>
            </w:pPr>
            <w:r w:rsidRPr="008600B8">
              <w:rPr>
                <w:rFonts w:cs="Arial"/>
                <w:color w:val="000000"/>
              </w:rPr>
              <w:t>7.2%</w:t>
            </w:r>
          </w:p>
        </w:tc>
      </w:tr>
      <w:tr w:rsidR="0014667F" w:rsidRPr="008600B8" w:rsidTr="008600B8">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806" w:type="pct"/>
          </w:tcPr>
          <w:p w:rsidR="0014667F" w:rsidRPr="008600B8" w:rsidRDefault="0014667F" w:rsidP="009A45D4">
            <w:pPr>
              <w:keepNext/>
              <w:autoSpaceDE w:val="0"/>
              <w:autoSpaceDN w:val="0"/>
              <w:adjustRightInd w:val="0"/>
              <w:rPr>
                <w:rFonts w:cs="Arial"/>
                <w:color w:val="000000"/>
              </w:rPr>
            </w:pPr>
            <w:r w:rsidRPr="008600B8">
              <w:rPr>
                <w:rFonts w:cs="Arial"/>
                <w:color w:val="000000"/>
              </w:rPr>
              <w:t>Collected applied tariff rate post</w:t>
            </w:r>
          </w:p>
        </w:tc>
        <w:tc>
          <w:tcPr>
            <w:tcW w:w="1103" w:type="pct"/>
          </w:tcPr>
          <w:p w:rsidR="0014667F" w:rsidRPr="008600B8" w:rsidRDefault="0014667F" w:rsidP="009A45D4">
            <w:pPr>
              <w:keepNext/>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r w:rsidRPr="008600B8">
              <w:rPr>
                <w:rFonts w:cs="Arial"/>
                <w:color w:val="000000"/>
              </w:rPr>
              <w:t>7.1%</w:t>
            </w:r>
          </w:p>
        </w:tc>
        <w:tc>
          <w:tcPr>
            <w:tcW w:w="1091" w:type="pct"/>
          </w:tcPr>
          <w:p w:rsidR="0014667F" w:rsidRPr="008600B8" w:rsidRDefault="0014667F" w:rsidP="009A45D4">
            <w:pPr>
              <w:keepNext/>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r w:rsidRPr="008600B8">
              <w:rPr>
                <w:rFonts w:cs="Arial"/>
                <w:color w:val="000000"/>
              </w:rPr>
              <w:t>7.1%</w:t>
            </w:r>
          </w:p>
        </w:tc>
      </w:tr>
      <w:tr w:rsidR="0014667F" w:rsidRPr="008600B8" w:rsidTr="008600B8">
        <w:trPr>
          <w:trHeight w:val="445"/>
        </w:trPr>
        <w:tc>
          <w:tcPr>
            <w:cnfStyle w:val="001000000000" w:firstRow="0" w:lastRow="0" w:firstColumn="1" w:lastColumn="0" w:oddVBand="0" w:evenVBand="0" w:oddHBand="0" w:evenHBand="0" w:firstRowFirstColumn="0" w:firstRowLastColumn="0" w:lastRowFirstColumn="0" w:lastRowLastColumn="0"/>
            <w:tcW w:w="2806" w:type="pct"/>
          </w:tcPr>
          <w:p w:rsidR="0014667F" w:rsidRPr="008600B8" w:rsidRDefault="0014667F" w:rsidP="009A45D4">
            <w:pPr>
              <w:keepNext/>
              <w:autoSpaceDE w:val="0"/>
              <w:autoSpaceDN w:val="0"/>
              <w:adjustRightInd w:val="0"/>
              <w:rPr>
                <w:rFonts w:cs="Arial"/>
                <w:color w:val="000000"/>
              </w:rPr>
            </w:pPr>
            <w:r w:rsidRPr="008600B8">
              <w:rPr>
                <w:rFonts w:cs="Arial"/>
                <w:color w:val="000000"/>
              </w:rPr>
              <w:t>% change in collected applied tariff rate</w:t>
            </w:r>
          </w:p>
        </w:tc>
        <w:tc>
          <w:tcPr>
            <w:tcW w:w="1103" w:type="pct"/>
          </w:tcPr>
          <w:p w:rsidR="0014667F" w:rsidRPr="008600B8" w:rsidRDefault="0014667F" w:rsidP="009A45D4">
            <w:pPr>
              <w:keepNext/>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rPr>
            </w:pPr>
            <w:r w:rsidRPr="008600B8">
              <w:rPr>
                <w:rFonts w:cs="Arial"/>
                <w:color w:val="000000"/>
              </w:rPr>
              <w:t>-1.90%</w:t>
            </w:r>
          </w:p>
        </w:tc>
        <w:tc>
          <w:tcPr>
            <w:tcW w:w="1091" w:type="pct"/>
          </w:tcPr>
          <w:p w:rsidR="0014667F" w:rsidRPr="008600B8" w:rsidRDefault="0014667F" w:rsidP="009A45D4">
            <w:pPr>
              <w:keepNext/>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rPr>
            </w:pPr>
            <w:r w:rsidRPr="008600B8">
              <w:rPr>
                <w:rFonts w:cs="Arial"/>
                <w:color w:val="000000"/>
              </w:rPr>
              <w:t>-1.90%</w:t>
            </w:r>
          </w:p>
        </w:tc>
      </w:tr>
    </w:tbl>
    <w:p w:rsidR="006A1FC3" w:rsidRPr="00073AC8" w:rsidRDefault="006A1FC3" w:rsidP="0014667F">
      <w:pPr>
        <w:spacing w:line="240" w:lineRule="auto"/>
        <w:rPr>
          <w:rFonts w:cstheme="minorHAnsi"/>
          <w:b/>
          <w:color w:val="002060"/>
          <w:szCs w:val="22"/>
        </w:rPr>
      </w:pPr>
    </w:p>
    <w:p w:rsidR="0014667F" w:rsidRPr="006C2885" w:rsidRDefault="0014667F" w:rsidP="0014667F">
      <w:pPr>
        <w:pStyle w:val="Heading2"/>
      </w:pPr>
      <w:bookmarkStart w:id="338" w:name="_Toc327208468"/>
      <w:bookmarkStart w:id="339" w:name="_Toc348451721"/>
      <w:r w:rsidRPr="006C2885">
        <w:t>WTO Accession</w:t>
      </w:r>
      <w:bookmarkEnd w:id="338"/>
      <w:bookmarkEnd w:id="339"/>
    </w:p>
    <w:p w:rsidR="0014667F" w:rsidRPr="00073AC8" w:rsidRDefault="0014667F" w:rsidP="003F3C4F">
      <w:pPr>
        <w:rPr>
          <w:rFonts w:cstheme="minorHAnsi"/>
          <w:szCs w:val="22"/>
        </w:rPr>
      </w:pPr>
      <w:r w:rsidRPr="00073AC8">
        <w:rPr>
          <w:rFonts w:cstheme="minorHAnsi"/>
          <w:b/>
          <w:szCs w:val="22"/>
        </w:rPr>
        <w:t xml:space="preserve">A critical element in Afghanistan's strategy to expand international trade is successful accession to the </w:t>
      </w:r>
      <w:r w:rsidRPr="00073AC8">
        <w:rPr>
          <w:b/>
          <w:szCs w:val="22"/>
        </w:rPr>
        <w:t>World Trade Organization (</w:t>
      </w:r>
      <w:r w:rsidRPr="00073AC8">
        <w:rPr>
          <w:rFonts w:cstheme="minorHAnsi"/>
          <w:b/>
          <w:szCs w:val="22"/>
        </w:rPr>
        <w:t>WTO).</w:t>
      </w:r>
      <w:r w:rsidR="001B07DD">
        <w:rPr>
          <w:rFonts w:cstheme="minorHAnsi"/>
          <w:szCs w:val="22"/>
        </w:rPr>
        <w:t xml:space="preserve"> </w:t>
      </w:r>
      <w:r w:rsidRPr="00073AC8">
        <w:rPr>
          <w:rFonts w:cstheme="minorHAnsi"/>
          <w:szCs w:val="22"/>
        </w:rPr>
        <w:t>Afghanistan was not a member of the earlier General Agreement on Tariffs and Trade (GATT),</w:t>
      </w:r>
      <w:r w:rsidR="0067759E">
        <w:rPr>
          <w:rFonts w:cstheme="minorHAnsi"/>
          <w:szCs w:val="22"/>
        </w:rPr>
        <w:t xml:space="preserve"> </w:t>
      </w:r>
      <w:r w:rsidRPr="00073AC8">
        <w:rPr>
          <w:rFonts w:cstheme="minorHAnsi"/>
          <w:szCs w:val="22"/>
        </w:rPr>
        <w:t xml:space="preserve">but reached </w:t>
      </w:r>
      <w:r w:rsidR="0067759E">
        <w:rPr>
          <w:rFonts w:cstheme="minorHAnsi"/>
          <w:szCs w:val="22"/>
        </w:rPr>
        <w:t>o</w:t>
      </w:r>
      <w:r w:rsidRPr="00073AC8">
        <w:rPr>
          <w:rFonts w:cstheme="minorHAnsi"/>
          <w:szCs w:val="22"/>
        </w:rPr>
        <w:t xml:space="preserve">bserver status to the WTO </w:t>
      </w:r>
      <w:r w:rsidR="0067759E">
        <w:rPr>
          <w:rFonts w:cstheme="minorHAnsi"/>
          <w:szCs w:val="22"/>
        </w:rPr>
        <w:t>i</w:t>
      </w:r>
      <w:r w:rsidRPr="00073AC8">
        <w:rPr>
          <w:rFonts w:cstheme="minorHAnsi"/>
          <w:szCs w:val="22"/>
        </w:rPr>
        <w:t>n December 2004.</w:t>
      </w:r>
      <w:r w:rsidR="001B07DD">
        <w:rPr>
          <w:rFonts w:cstheme="minorHAnsi"/>
          <w:szCs w:val="22"/>
        </w:rPr>
        <w:t xml:space="preserve"> </w:t>
      </w:r>
      <w:r w:rsidRPr="00073AC8">
        <w:rPr>
          <w:rFonts w:cstheme="minorHAnsi"/>
          <w:szCs w:val="22"/>
        </w:rPr>
        <w:t>As a relatively small country, Afghanistan stands to benefit from the reliance on well-established rules concerning international trade among WTO members and from equal access to the markets of the member countries.</w:t>
      </w:r>
    </w:p>
    <w:p w:rsidR="0014667F" w:rsidRPr="00073AC8" w:rsidRDefault="0014667F" w:rsidP="003F3C4F">
      <w:pPr>
        <w:autoSpaceDE w:val="0"/>
        <w:autoSpaceDN w:val="0"/>
        <w:adjustRightInd w:val="0"/>
        <w:spacing w:after="0"/>
        <w:rPr>
          <w:rFonts w:cs="Calibri"/>
          <w:color w:val="000000"/>
          <w:szCs w:val="22"/>
        </w:rPr>
      </w:pPr>
      <w:r w:rsidRPr="00073AC8">
        <w:rPr>
          <w:rFonts w:cs="Calibri"/>
          <w:b/>
          <w:color w:val="000000"/>
          <w:szCs w:val="22"/>
        </w:rPr>
        <w:t xml:space="preserve">The </w:t>
      </w:r>
      <w:r w:rsidR="0067759E">
        <w:rPr>
          <w:rFonts w:cs="Calibri"/>
          <w:b/>
          <w:color w:val="000000"/>
          <w:szCs w:val="22"/>
        </w:rPr>
        <w:t>Ministry of Commerce &amp; Industries (</w:t>
      </w:r>
      <w:r w:rsidRPr="00073AC8">
        <w:rPr>
          <w:rFonts w:cs="Calibri"/>
          <w:b/>
          <w:color w:val="000000"/>
          <w:szCs w:val="22"/>
        </w:rPr>
        <w:t>MoCI</w:t>
      </w:r>
      <w:r w:rsidR="0067759E">
        <w:rPr>
          <w:rFonts w:cs="Calibri"/>
          <w:b/>
          <w:color w:val="000000"/>
          <w:szCs w:val="22"/>
        </w:rPr>
        <w:t>)</w:t>
      </w:r>
      <w:r w:rsidRPr="00073AC8">
        <w:rPr>
          <w:rFonts w:cs="Calibri"/>
          <w:b/>
          <w:color w:val="000000"/>
          <w:szCs w:val="22"/>
        </w:rPr>
        <w:t xml:space="preserve"> is the lead </w:t>
      </w:r>
      <w:r w:rsidR="0067759E">
        <w:rPr>
          <w:rFonts w:cs="Calibri"/>
          <w:b/>
          <w:color w:val="000000"/>
          <w:szCs w:val="22"/>
        </w:rPr>
        <w:t>m</w:t>
      </w:r>
      <w:r w:rsidRPr="00073AC8">
        <w:rPr>
          <w:rFonts w:cs="Calibri"/>
          <w:b/>
          <w:color w:val="000000"/>
          <w:szCs w:val="22"/>
        </w:rPr>
        <w:t>inistry for WTO accession and aims to embark on a government</w:t>
      </w:r>
      <w:r w:rsidR="0067759E">
        <w:rPr>
          <w:rFonts w:cs="Calibri"/>
          <w:b/>
          <w:color w:val="000000"/>
          <w:szCs w:val="22"/>
        </w:rPr>
        <w:t>-</w:t>
      </w:r>
      <w:r w:rsidRPr="00073AC8">
        <w:rPr>
          <w:rFonts w:cs="Calibri"/>
          <w:b/>
          <w:color w:val="000000"/>
          <w:szCs w:val="22"/>
        </w:rPr>
        <w:t>wide reform process to implement the Afghanistan legislative plan for WTO conformity</w:t>
      </w:r>
      <w:r w:rsidRPr="00073AC8">
        <w:rPr>
          <w:rFonts w:cs="Calibri"/>
          <w:color w:val="000000"/>
          <w:szCs w:val="22"/>
        </w:rPr>
        <w:t>.</w:t>
      </w:r>
      <w:r w:rsidR="001B07DD">
        <w:rPr>
          <w:rFonts w:cs="Calibri"/>
          <w:color w:val="000000"/>
          <w:szCs w:val="22"/>
        </w:rPr>
        <w:t xml:space="preserve"> </w:t>
      </w:r>
      <w:r w:rsidRPr="00073AC8">
        <w:rPr>
          <w:rFonts w:cs="Calibri"/>
          <w:color w:val="000000"/>
          <w:szCs w:val="22"/>
        </w:rPr>
        <w:t>The international legislative requirement for accession</w:t>
      </w:r>
      <w:r w:rsidR="0067759E">
        <w:rPr>
          <w:rFonts w:cs="Calibri"/>
          <w:color w:val="000000"/>
          <w:szCs w:val="22"/>
        </w:rPr>
        <w:t xml:space="preserve"> </w:t>
      </w:r>
      <w:r w:rsidRPr="00073AC8">
        <w:rPr>
          <w:rFonts w:cs="Calibri"/>
          <w:color w:val="000000"/>
          <w:szCs w:val="22"/>
        </w:rPr>
        <w:t xml:space="preserve">to </w:t>
      </w:r>
      <w:r w:rsidR="0067759E">
        <w:rPr>
          <w:rFonts w:cs="Calibri"/>
          <w:color w:val="000000"/>
          <w:szCs w:val="22"/>
        </w:rPr>
        <w:t xml:space="preserve">the </w:t>
      </w:r>
      <w:r w:rsidRPr="00073AC8">
        <w:rPr>
          <w:rFonts w:cs="Calibri"/>
          <w:color w:val="000000"/>
          <w:szCs w:val="22"/>
        </w:rPr>
        <w:t>WTO is driven by the centrality and importance of an applicable zero</w:t>
      </w:r>
      <w:r w:rsidR="0067759E">
        <w:rPr>
          <w:rFonts w:cs="Calibri"/>
          <w:color w:val="000000"/>
          <w:szCs w:val="22"/>
        </w:rPr>
        <w:t>-</w:t>
      </w:r>
      <w:r w:rsidRPr="00073AC8">
        <w:rPr>
          <w:rFonts w:cs="Calibri"/>
          <w:color w:val="000000"/>
          <w:szCs w:val="22"/>
        </w:rPr>
        <w:t>tariff regime and minimal protection against offshore products. Afghanistan</w:t>
      </w:r>
      <w:r w:rsidR="0067759E">
        <w:rPr>
          <w:rFonts w:cs="Calibri"/>
          <w:color w:val="000000"/>
          <w:szCs w:val="22"/>
        </w:rPr>
        <w:t>’s</w:t>
      </w:r>
      <w:r w:rsidRPr="00073AC8">
        <w:rPr>
          <w:rFonts w:cs="Calibri"/>
          <w:color w:val="000000"/>
          <w:szCs w:val="22"/>
        </w:rPr>
        <w:t xml:space="preserve"> trade and tariff regime will require tailoring </w:t>
      </w:r>
      <w:r w:rsidR="0067759E">
        <w:rPr>
          <w:rFonts w:cs="Calibri"/>
          <w:color w:val="000000"/>
          <w:szCs w:val="22"/>
        </w:rPr>
        <w:t>align</w:t>
      </w:r>
      <w:r w:rsidRPr="00073AC8">
        <w:rPr>
          <w:rFonts w:cs="Calibri"/>
          <w:color w:val="000000"/>
          <w:szCs w:val="22"/>
        </w:rPr>
        <w:t xml:space="preserve"> with WTO fundamental standards </w:t>
      </w:r>
      <w:r w:rsidR="0067759E">
        <w:rPr>
          <w:rFonts w:cs="Calibri"/>
          <w:color w:val="000000"/>
          <w:szCs w:val="22"/>
        </w:rPr>
        <w:t xml:space="preserve">for activities </w:t>
      </w:r>
      <w:r w:rsidRPr="00073AC8">
        <w:rPr>
          <w:rFonts w:cs="Calibri"/>
          <w:color w:val="000000"/>
          <w:szCs w:val="22"/>
        </w:rPr>
        <w:t xml:space="preserve">such </w:t>
      </w:r>
      <w:r w:rsidR="0067759E">
        <w:rPr>
          <w:rFonts w:cs="Calibri"/>
          <w:color w:val="000000"/>
          <w:szCs w:val="22"/>
        </w:rPr>
        <w:t xml:space="preserve">as </w:t>
      </w:r>
      <w:r w:rsidRPr="00073AC8">
        <w:rPr>
          <w:rFonts w:cs="Calibri"/>
          <w:color w:val="000000"/>
          <w:szCs w:val="22"/>
        </w:rPr>
        <w:t>cross</w:t>
      </w:r>
      <w:r w:rsidR="0067759E">
        <w:rPr>
          <w:rFonts w:cs="Calibri"/>
          <w:color w:val="000000"/>
          <w:szCs w:val="22"/>
        </w:rPr>
        <w:t>-</w:t>
      </w:r>
      <w:r w:rsidRPr="00073AC8">
        <w:rPr>
          <w:rFonts w:cs="Calibri"/>
          <w:color w:val="000000"/>
          <w:szCs w:val="22"/>
        </w:rPr>
        <w:t>border trade, trade facilitation, and trade border operation</w:t>
      </w:r>
      <w:r w:rsidR="0067759E">
        <w:rPr>
          <w:rFonts w:cs="Calibri"/>
          <w:color w:val="000000"/>
          <w:szCs w:val="22"/>
        </w:rPr>
        <w:t>s</w:t>
      </w:r>
      <w:r w:rsidRPr="00073AC8">
        <w:rPr>
          <w:rFonts w:cs="Calibri"/>
          <w:color w:val="000000"/>
          <w:szCs w:val="22"/>
        </w:rPr>
        <w:t>.</w:t>
      </w:r>
      <w:r w:rsidR="001B07DD">
        <w:rPr>
          <w:rFonts w:cs="Calibri"/>
          <w:color w:val="000000"/>
          <w:szCs w:val="22"/>
        </w:rPr>
        <w:t xml:space="preserve"> </w:t>
      </w:r>
      <w:r w:rsidR="004C0C20">
        <w:rPr>
          <w:rFonts w:cs="Calibri"/>
          <w:color w:val="000000"/>
          <w:szCs w:val="22"/>
        </w:rPr>
        <w:t>To achieve this,</w:t>
      </w:r>
      <w:r w:rsidR="004C0C20" w:rsidRPr="00073AC8">
        <w:rPr>
          <w:rFonts w:cs="Calibri"/>
          <w:color w:val="000000"/>
          <w:szCs w:val="22"/>
        </w:rPr>
        <w:t xml:space="preserve"> the ministry aims</w:t>
      </w:r>
      <w:r w:rsidR="004C0C20">
        <w:rPr>
          <w:rFonts w:cs="Calibri"/>
          <w:color w:val="000000"/>
          <w:szCs w:val="22"/>
        </w:rPr>
        <w:t>, over the next three years,</w:t>
      </w:r>
      <w:r w:rsidR="004C0C20" w:rsidRPr="00073AC8">
        <w:rPr>
          <w:rFonts w:cs="Calibri"/>
          <w:color w:val="000000"/>
          <w:szCs w:val="22"/>
        </w:rPr>
        <w:t xml:space="preserve"> to </w:t>
      </w:r>
      <w:r w:rsidR="004C0C20">
        <w:rPr>
          <w:rFonts w:cs="Calibri"/>
          <w:color w:val="000000"/>
          <w:szCs w:val="22"/>
        </w:rPr>
        <w:t xml:space="preserve"> (</w:t>
      </w:r>
      <w:r w:rsidR="004C0C20" w:rsidRPr="00073AC8">
        <w:rPr>
          <w:rFonts w:cs="Calibri"/>
          <w:color w:val="000000"/>
          <w:szCs w:val="22"/>
        </w:rPr>
        <w:t xml:space="preserve">i) </w:t>
      </w:r>
      <w:r w:rsidR="004C0C20">
        <w:rPr>
          <w:rFonts w:cs="Calibri"/>
          <w:color w:val="000000"/>
          <w:szCs w:val="22"/>
        </w:rPr>
        <w:t>i</w:t>
      </w:r>
      <w:r w:rsidR="004C0C20" w:rsidRPr="00073AC8">
        <w:rPr>
          <w:rFonts w:cs="Calibri"/>
          <w:color w:val="000000"/>
          <w:szCs w:val="22"/>
        </w:rPr>
        <w:t xml:space="preserve">mplement </w:t>
      </w:r>
      <w:r w:rsidR="004C0C20">
        <w:rPr>
          <w:rFonts w:cs="Calibri"/>
          <w:color w:val="000000"/>
          <w:szCs w:val="22"/>
        </w:rPr>
        <w:t xml:space="preserve">the </w:t>
      </w:r>
      <w:r w:rsidR="004C0C20" w:rsidRPr="00073AC8">
        <w:rPr>
          <w:rFonts w:cs="Calibri"/>
          <w:color w:val="000000"/>
          <w:szCs w:val="22"/>
        </w:rPr>
        <w:t>Afghanistan legislative plan for WTO conformity</w:t>
      </w:r>
      <w:r w:rsidR="004C0C20">
        <w:rPr>
          <w:rFonts w:cs="Calibri"/>
          <w:color w:val="000000"/>
          <w:szCs w:val="22"/>
        </w:rPr>
        <w:t>, (</w:t>
      </w:r>
      <w:r w:rsidR="004C0C20" w:rsidRPr="00073AC8">
        <w:rPr>
          <w:rFonts w:cs="Calibri"/>
          <w:color w:val="000000"/>
          <w:szCs w:val="22"/>
        </w:rPr>
        <w:t xml:space="preserve">ii) </w:t>
      </w:r>
      <w:r w:rsidR="004C0C20">
        <w:rPr>
          <w:rFonts w:cs="Calibri"/>
          <w:color w:val="000000"/>
          <w:szCs w:val="22"/>
        </w:rPr>
        <w:t>e</w:t>
      </w:r>
      <w:r w:rsidR="004C0C20" w:rsidRPr="00073AC8">
        <w:rPr>
          <w:rFonts w:cs="Calibri"/>
          <w:color w:val="000000"/>
          <w:szCs w:val="22"/>
        </w:rPr>
        <w:t xml:space="preserve">xpand the WTO unit within the ministry and build its analytical and technical capacity to better coordinate </w:t>
      </w:r>
      <w:r w:rsidR="004C0C20">
        <w:rPr>
          <w:rFonts w:cs="Calibri"/>
          <w:color w:val="000000"/>
          <w:szCs w:val="22"/>
        </w:rPr>
        <w:t>the</w:t>
      </w:r>
      <w:r w:rsidR="004C0C20" w:rsidRPr="00073AC8">
        <w:rPr>
          <w:rFonts w:cs="Calibri"/>
          <w:color w:val="000000"/>
          <w:szCs w:val="22"/>
        </w:rPr>
        <w:t xml:space="preserve"> accession process</w:t>
      </w:r>
      <w:r w:rsidR="004C0C20">
        <w:rPr>
          <w:rFonts w:cs="Calibri"/>
          <w:color w:val="000000"/>
          <w:szCs w:val="22"/>
        </w:rPr>
        <w:t>,</w:t>
      </w:r>
      <w:r w:rsidR="004C0C20" w:rsidRPr="00073AC8">
        <w:rPr>
          <w:rFonts w:cs="Calibri"/>
          <w:color w:val="000000"/>
          <w:szCs w:val="22"/>
        </w:rPr>
        <w:t xml:space="preserve"> </w:t>
      </w:r>
      <w:r w:rsidR="004C0C20">
        <w:rPr>
          <w:rFonts w:cs="Calibri"/>
          <w:color w:val="000000"/>
          <w:szCs w:val="22"/>
        </w:rPr>
        <w:t>(</w:t>
      </w:r>
      <w:r w:rsidR="004C0C20" w:rsidRPr="00073AC8">
        <w:rPr>
          <w:rFonts w:cs="Calibri"/>
          <w:color w:val="000000"/>
          <w:szCs w:val="22"/>
        </w:rPr>
        <w:t>iii)</w:t>
      </w:r>
      <w:r w:rsidR="004C0C20">
        <w:rPr>
          <w:rFonts w:cs="Calibri"/>
          <w:color w:val="000000"/>
          <w:szCs w:val="22"/>
        </w:rPr>
        <w:t xml:space="preserve"> e</w:t>
      </w:r>
      <w:r w:rsidR="004C0C20" w:rsidRPr="00073AC8">
        <w:rPr>
          <w:rFonts w:cs="Calibri"/>
          <w:color w:val="000000"/>
          <w:szCs w:val="22"/>
        </w:rPr>
        <w:t>stablish a Trade Policy Analysis Unit</w:t>
      </w:r>
      <w:r w:rsidR="004C0C20">
        <w:rPr>
          <w:rFonts w:cs="Calibri"/>
          <w:color w:val="000000"/>
          <w:szCs w:val="22"/>
        </w:rPr>
        <w:t>, (</w:t>
      </w:r>
      <w:r w:rsidR="004C0C20" w:rsidRPr="00073AC8">
        <w:rPr>
          <w:rFonts w:cs="Calibri"/>
          <w:color w:val="000000"/>
          <w:szCs w:val="22"/>
        </w:rPr>
        <w:t xml:space="preserve">iv) </w:t>
      </w:r>
      <w:r w:rsidR="004C0C20">
        <w:rPr>
          <w:rFonts w:cs="Calibri"/>
          <w:color w:val="000000"/>
          <w:szCs w:val="22"/>
        </w:rPr>
        <w:t>im</w:t>
      </w:r>
      <w:r w:rsidR="004C0C20" w:rsidRPr="00073AC8">
        <w:rPr>
          <w:rFonts w:cs="Calibri"/>
          <w:color w:val="000000"/>
          <w:szCs w:val="22"/>
        </w:rPr>
        <w:t>plement a tariff</w:t>
      </w:r>
      <w:r w:rsidR="004C0C20">
        <w:rPr>
          <w:rFonts w:cs="Calibri"/>
          <w:color w:val="000000"/>
          <w:szCs w:val="22"/>
        </w:rPr>
        <w:t>-</w:t>
      </w:r>
      <w:r w:rsidR="004C0C20" w:rsidRPr="00073AC8">
        <w:rPr>
          <w:rFonts w:cs="Calibri"/>
          <w:color w:val="000000"/>
          <w:szCs w:val="22"/>
        </w:rPr>
        <w:t>reduction program in line with WTO standards</w:t>
      </w:r>
      <w:r w:rsidR="004C0C20">
        <w:rPr>
          <w:rFonts w:cs="Calibri"/>
          <w:color w:val="000000"/>
          <w:szCs w:val="22"/>
        </w:rPr>
        <w:t>,</w:t>
      </w:r>
      <w:r w:rsidR="004C0C20" w:rsidRPr="00073AC8">
        <w:rPr>
          <w:rFonts w:cs="Calibri"/>
          <w:color w:val="000000"/>
          <w:szCs w:val="22"/>
        </w:rPr>
        <w:t xml:space="preserve"> </w:t>
      </w:r>
      <w:r w:rsidR="004C0C20">
        <w:rPr>
          <w:rFonts w:cs="Calibri"/>
          <w:color w:val="000000"/>
          <w:szCs w:val="22"/>
        </w:rPr>
        <w:t>(</w:t>
      </w:r>
      <w:r w:rsidR="004C0C20" w:rsidRPr="00073AC8">
        <w:rPr>
          <w:rFonts w:cs="Calibri"/>
          <w:color w:val="000000"/>
          <w:szCs w:val="22"/>
        </w:rPr>
        <w:t>v)</w:t>
      </w:r>
      <w:r w:rsidR="004C0C20">
        <w:rPr>
          <w:rFonts w:cs="Calibri"/>
          <w:color w:val="000000"/>
          <w:szCs w:val="22"/>
        </w:rPr>
        <w:t xml:space="preserve"> p</w:t>
      </w:r>
      <w:r w:rsidR="004C0C20" w:rsidRPr="00073AC8">
        <w:rPr>
          <w:rFonts w:cs="Calibri"/>
          <w:color w:val="000000"/>
          <w:szCs w:val="22"/>
        </w:rPr>
        <w:t>repare market</w:t>
      </w:r>
      <w:r w:rsidR="004C0C20">
        <w:rPr>
          <w:rFonts w:cs="Calibri"/>
          <w:color w:val="000000"/>
          <w:szCs w:val="22"/>
        </w:rPr>
        <w:t>-</w:t>
      </w:r>
      <w:r w:rsidR="004C0C20" w:rsidRPr="00073AC8">
        <w:rPr>
          <w:rFonts w:cs="Calibri"/>
          <w:color w:val="000000"/>
          <w:szCs w:val="22"/>
        </w:rPr>
        <w:t>access offers on goods and services, and documents for</w:t>
      </w:r>
      <w:r w:rsidR="004C0C20">
        <w:rPr>
          <w:rFonts w:cs="Calibri"/>
          <w:color w:val="000000"/>
          <w:szCs w:val="22"/>
        </w:rPr>
        <w:t xml:space="preserve"> </w:t>
      </w:r>
      <w:r w:rsidR="004C0C20" w:rsidRPr="00073AC8">
        <w:rPr>
          <w:rFonts w:cs="Calibri"/>
          <w:color w:val="000000"/>
          <w:szCs w:val="22"/>
        </w:rPr>
        <w:t>agricultural negotiations</w:t>
      </w:r>
      <w:r w:rsidR="004C0C20">
        <w:rPr>
          <w:rFonts w:cs="Calibri"/>
          <w:color w:val="000000"/>
          <w:szCs w:val="22"/>
        </w:rPr>
        <w:t>,</w:t>
      </w:r>
      <w:r w:rsidR="004C0C20" w:rsidRPr="00073AC8">
        <w:rPr>
          <w:rFonts w:cs="Calibri"/>
          <w:color w:val="000000"/>
          <w:szCs w:val="22"/>
        </w:rPr>
        <w:t xml:space="preserve"> </w:t>
      </w:r>
      <w:r w:rsidR="004C0C20">
        <w:rPr>
          <w:rFonts w:cs="Calibri"/>
          <w:color w:val="000000"/>
          <w:szCs w:val="22"/>
        </w:rPr>
        <w:t>(</w:t>
      </w:r>
      <w:r w:rsidR="004C0C20" w:rsidRPr="00073AC8">
        <w:rPr>
          <w:rFonts w:cs="Calibri"/>
          <w:color w:val="000000"/>
          <w:szCs w:val="22"/>
        </w:rPr>
        <w:t xml:space="preserve">vi) </w:t>
      </w:r>
      <w:r w:rsidR="004C0C20">
        <w:rPr>
          <w:rFonts w:cs="Calibri"/>
          <w:color w:val="000000"/>
          <w:szCs w:val="22"/>
        </w:rPr>
        <w:t>c</w:t>
      </w:r>
      <w:r w:rsidR="004C0C20" w:rsidRPr="00073AC8">
        <w:rPr>
          <w:rFonts w:cs="Calibri"/>
          <w:color w:val="000000"/>
          <w:szCs w:val="22"/>
        </w:rPr>
        <w:t>omplete a quantitative impact assessment of WTO membership</w:t>
      </w:r>
      <w:r w:rsidR="004C0C20">
        <w:rPr>
          <w:rFonts w:cs="Calibri"/>
          <w:color w:val="000000"/>
          <w:szCs w:val="22"/>
        </w:rPr>
        <w:t>, (</w:t>
      </w:r>
      <w:r w:rsidR="004C0C20" w:rsidRPr="00073AC8">
        <w:rPr>
          <w:rFonts w:cs="Calibri"/>
          <w:color w:val="000000"/>
          <w:szCs w:val="22"/>
        </w:rPr>
        <w:t>vii)</w:t>
      </w:r>
      <w:r w:rsidR="004C0C20">
        <w:rPr>
          <w:rFonts w:cs="Calibri"/>
          <w:color w:val="000000"/>
          <w:szCs w:val="22"/>
        </w:rPr>
        <w:t xml:space="preserve"> s</w:t>
      </w:r>
      <w:r w:rsidR="004C0C20" w:rsidRPr="00073AC8">
        <w:rPr>
          <w:rFonts w:cs="Calibri"/>
          <w:color w:val="000000"/>
          <w:szCs w:val="22"/>
        </w:rPr>
        <w:t xml:space="preserve">ecure Afghan membership </w:t>
      </w:r>
      <w:r w:rsidR="004C0C20">
        <w:rPr>
          <w:rFonts w:cs="Calibri"/>
          <w:color w:val="000000"/>
          <w:szCs w:val="22"/>
        </w:rPr>
        <w:t>of the</w:t>
      </w:r>
      <w:r w:rsidR="004C0C20" w:rsidRPr="00073AC8">
        <w:rPr>
          <w:rFonts w:cs="Calibri"/>
          <w:color w:val="000000"/>
          <w:szCs w:val="22"/>
        </w:rPr>
        <w:t xml:space="preserve"> International Standard</w:t>
      </w:r>
      <w:r w:rsidR="004C0C20">
        <w:rPr>
          <w:rFonts w:cs="Calibri"/>
          <w:color w:val="000000"/>
          <w:szCs w:val="22"/>
        </w:rPr>
        <w:t>s</w:t>
      </w:r>
      <w:r w:rsidR="004C0C20" w:rsidRPr="00073AC8">
        <w:rPr>
          <w:rFonts w:cs="Calibri"/>
          <w:color w:val="000000"/>
          <w:szCs w:val="22"/>
        </w:rPr>
        <w:t xml:space="preserve"> Organization</w:t>
      </w:r>
      <w:r w:rsidR="004C0C20">
        <w:rPr>
          <w:rFonts w:cs="Calibri"/>
          <w:color w:val="000000"/>
          <w:szCs w:val="22"/>
        </w:rPr>
        <w:t>,</w:t>
      </w:r>
      <w:r w:rsidR="004C0C20" w:rsidRPr="00073AC8">
        <w:rPr>
          <w:rFonts w:cs="Calibri"/>
          <w:color w:val="000000"/>
          <w:szCs w:val="22"/>
        </w:rPr>
        <w:t xml:space="preserve"> and </w:t>
      </w:r>
      <w:r w:rsidR="004C0C20">
        <w:rPr>
          <w:rFonts w:cs="Calibri"/>
          <w:color w:val="000000"/>
          <w:szCs w:val="22"/>
        </w:rPr>
        <w:t>(v</w:t>
      </w:r>
      <w:r w:rsidR="004C0C20" w:rsidRPr="00073AC8">
        <w:rPr>
          <w:rFonts w:cs="Calibri"/>
          <w:color w:val="000000"/>
          <w:szCs w:val="22"/>
        </w:rPr>
        <w:t>iii)</w:t>
      </w:r>
      <w:r w:rsidR="004C0C20">
        <w:rPr>
          <w:rFonts w:cs="Calibri"/>
          <w:color w:val="000000"/>
          <w:szCs w:val="22"/>
        </w:rPr>
        <w:t xml:space="preserve"> make progress in </w:t>
      </w:r>
      <w:r w:rsidR="004C0C20" w:rsidRPr="00073AC8">
        <w:rPr>
          <w:rFonts w:cs="Calibri"/>
          <w:color w:val="000000"/>
          <w:szCs w:val="22"/>
        </w:rPr>
        <w:t xml:space="preserve">removing trade barriers. </w:t>
      </w:r>
    </w:p>
    <w:p w:rsidR="0014667F" w:rsidRPr="00073AC8" w:rsidRDefault="0014667F" w:rsidP="003F3C4F">
      <w:pPr>
        <w:autoSpaceDE w:val="0"/>
        <w:autoSpaceDN w:val="0"/>
        <w:adjustRightInd w:val="0"/>
        <w:spacing w:after="0"/>
        <w:rPr>
          <w:rFonts w:cs="Calibri"/>
          <w:color w:val="000000"/>
          <w:szCs w:val="22"/>
        </w:rPr>
      </w:pPr>
      <w:r w:rsidRPr="00073AC8">
        <w:rPr>
          <w:rFonts w:cs="Calibri"/>
          <w:color w:val="000000"/>
          <w:szCs w:val="22"/>
        </w:rPr>
        <w:t xml:space="preserve"> </w:t>
      </w:r>
    </w:p>
    <w:p w:rsidR="0014667F" w:rsidRPr="00073AC8" w:rsidRDefault="00902BD9" w:rsidP="0014667F">
      <w:pPr>
        <w:autoSpaceDE w:val="0"/>
        <w:autoSpaceDN w:val="0"/>
        <w:adjustRightInd w:val="0"/>
        <w:spacing w:after="0"/>
        <w:rPr>
          <w:rFonts w:cstheme="minorHAnsi"/>
          <w:szCs w:val="22"/>
        </w:rPr>
      </w:pPr>
      <w:r>
        <w:rPr>
          <w:rFonts w:cstheme="minorHAnsi"/>
          <w:b/>
          <w:szCs w:val="22"/>
        </w:rPr>
        <w:t xml:space="preserve">One </w:t>
      </w:r>
      <w:r w:rsidR="0014667F" w:rsidRPr="00073AC8">
        <w:rPr>
          <w:rFonts w:cstheme="minorHAnsi"/>
          <w:b/>
          <w:szCs w:val="22"/>
        </w:rPr>
        <w:t xml:space="preserve">benefit </w:t>
      </w:r>
      <w:r>
        <w:rPr>
          <w:rFonts w:cstheme="minorHAnsi"/>
          <w:b/>
          <w:szCs w:val="22"/>
        </w:rPr>
        <w:t xml:space="preserve">in the </w:t>
      </w:r>
      <w:r w:rsidR="0014667F" w:rsidRPr="00073AC8">
        <w:rPr>
          <w:rFonts w:cstheme="minorHAnsi"/>
          <w:b/>
          <w:szCs w:val="22"/>
        </w:rPr>
        <w:t>WTO accession process is the review of existing laws and regulations to ensure consistency with international standards and WTO requirements.</w:t>
      </w:r>
      <w:r w:rsidR="001B07DD">
        <w:rPr>
          <w:rFonts w:cstheme="minorHAnsi"/>
          <w:szCs w:val="22"/>
        </w:rPr>
        <w:t xml:space="preserve"> </w:t>
      </w:r>
      <w:r w:rsidR="0014667F" w:rsidRPr="00073AC8">
        <w:rPr>
          <w:rFonts w:cstheme="minorHAnsi"/>
          <w:szCs w:val="22"/>
        </w:rPr>
        <w:t>Afghanistan's trade in goods and services, a</w:t>
      </w:r>
      <w:r>
        <w:rPr>
          <w:rFonts w:cstheme="minorHAnsi"/>
          <w:szCs w:val="22"/>
        </w:rPr>
        <w:t>nd protection of</w:t>
      </w:r>
      <w:r w:rsidR="0014667F" w:rsidRPr="00073AC8">
        <w:rPr>
          <w:rFonts w:cstheme="minorHAnsi"/>
          <w:szCs w:val="22"/>
        </w:rPr>
        <w:t xml:space="preserve"> intellectual property rights, are both currently</w:t>
      </w:r>
      <w:r w:rsidR="001B07DD">
        <w:rPr>
          <w:rFonts w:cstheme="minorHAnsi"/>
          <w:szCs w:val="22"/>
        </w:rPr>
        <w:t xml:space="preserve"> </w:t>
      </w:r>
      <w:r w:rsidR="0014667F" w:rsidRPr="00073AC8">
        <w:rPr>
          <w:rFonts w:cstheme="minorHAnsi"/>
          <w:szCs w:val="22"/>
        </w:rPr>
        <w:t>under-regulated.</w:t>
      </w:r>
      <w:r w:rsidR="001B07DD">
        <w:rPr>
          <w:rFonts w:cstheme="minorHAnsi"/>
          <w:szCs w:val="22"/>
        </w:rPr>
        <w:t xml:space="preserve"> </w:t>
      </w:r>
      <w:r>
        <w:rPr>
          <w:rFonts w:cstheme="minorHAnsi"/>
          <w:szCs w:val="22"/>
        </w:rPr>
        <w:t>These and other aspects of</w:t>
      </w:r>
      <w:r w:rsidR="0014667F" w:rsidRPr="00073AC8">
        <w:rPr>
          <w:rFonts w:cstheme="minorHAnsi"/>
          <w:szCs w:val="22"/>
        </w:rPr>
        <w:t xml:space="preserve"> national legislation and regulation are being strengthened and reformed in order to meet international </w:t>
      </w:r>
      <w:r>
        <w:rPr>
          <w:rFonts w:cstheme="minorHAnsi"/>
          <w:szCs w:val="22"/>
        </w:rPr>
        <w:t xml:space="preserve">and WTO </w:t>
      </w:r>
      <w:r w:rsidR="0014667F" w:rsidRPr="00073AC8">
        <w:rPr>
          <w:rFonts w:cstheme="minorHAnsi"/>
          <w:szCs w:val="22"/>
        </w:rPr>
        <w:t>standards.</w:t>
      </w:r>
      <w:r w:rsidR="001B07DD">
        <w:rPr>
          <w:rFonts w:cstheme="minorHAnsi"/>
          <w:szCs w:val="22"/>
        </w:rPr>
        <w:t xml:space="preserve"> </w:t>
      </w:r>
      <w:r w:rsidR="0014667F" w:rsidRPr="00073AC8">
        <w:rPr>
          <w:rFonts w:cstheme="minorHAnsi"/>
          <w:szCs w:val="22"/>
        </w:rPr>
        <w:t xml:space="preserve"> </w:t>
      </w:r>
    </w:p>
    <w:p w:rsidR="0014667F" w:rsidRPr="00073AC8" w:rsidRDefault="0014667F" w:rsidP="0014667F">
      <w:pPr>
        <w:autoSpaceDE w:val="0"/>
        <w:autoSpaceDN w:val="0"/>
        <w:adjustRightInd w:val="0"/>
        <w:spacing w:after="0"/>
        <w:rPr>
          <w:rFonts w:cstheme="minorHAnsi"/>
          <w:szCs w:val="22"/>
        </w:rPr>
      </w:pPr>
    </w:p>
    <w:p w:rsidR="0014667F" w:rsidRPr="00073AC8" w:rsidRDefault="0014667F" w:rsidP="0014667F">
      <w:pPr>
        <w:autoSpaceDE w:val="0"/>
        <w:autoSpaceDN w:val="0"/>
        <w:adjustRightInd w:val="0"/>
        <w:spacing w:after="0"/>
        <w:rPr>
          <w:rFonts w:cstheme="minorHAnsi"/>
          <w:szCs w:val="22"/>
        </w:rPr>
      </w:pPr>
      <w:r w:rsidRPr="00073AC8">
        <w:rPr>
          <w:rFonts w:cstheme="minorHAnsi"/>
          <w:b/>
          <w:szCs w:val="22"/>
        </w:rPr>
        <w:t>To provide overall guidance, a Presidential Commission on Afghan WTO Accession</w:t>
      </w:r>
      <w:r w:rsidR="001B07DD">
        <w:rPr>
          <w:rFonts w:cstheme="minorHAnsi"/>
          <w:b/>
          <w:szCs w:val="22"/>
        </w:rPr>
        <w:t xml:space="preserve"> </w:t>
      </w:r>
      <w:r w:rsidRPr="00073AC8">
        <w:rPr>
          <w:rFonts w:cstheme="minorHAnsi"/>
          <w:b/>
          <w:szCs w:val="22"/>
        </w:rPr>
        <w:t>was established in the Office of the President</w:t>
      </w:r>
      <w:r w:rsidRPr="00073AC8">
        <w:rPr>
          <w:rFonts w:cstheme="minorHAnsi"/>
          <w:szCs w:val="22"/>
        </w:rPr>
        <w:t>.</w:t>
      </w:r>
      <w:r w:rsidR="001B07DD">
        <w:rPr>
          <w:rFonts w:cstheme="minorHAnsi"/>
          <w:szCs w:val="22"/>
        </w:rPr>
        <w:t xml:space="preserve"> </w:t>
      </w:r>
      <w:r w:rsidRPr="00073AC8">
        <w:rPr>
          <w:rFonts w:cstheme="minorHAnsi"/>
          <w:szCs w:val="22"/>
        </w:rPr>
        <w:t>This Commission regularly briefs the President and the Cabinet on trade</w:t>
      </w:r>
      <w:r w:rsidR="00902BD9">
        <w:rPr>
          <w:rFonts w:cstheme="minorHAnsi"/>
          <w:szCs w:val="22"/>
        </w:rPr>
        <w:t>-</w:t>
      </w:r>
      <w:r w:rsidRPr="00073AC8">
        <w:rPr>
          <w:rFonts w:cstheme="minorHAnsi"/>
          <w:szCs w:val="22"/>
        </w:rPr>
        <w:t xml:space="preserve">related issues during the accession process and serves as the principal point of contact between the WTO and the Afghan government. The MoCI is the institutional focal point for the development and implementation of Afghanistan's trade policies, while the </w:t>
      </w:r>
      <w:r w:rsidR="00902BD9">
        <w:rPr>
          <w:rFonts w:cstheme="minorHAnsi"/>
          <w:szCs w:val="22"/>
        </w:rPr>
        <w:t>m</w:t>
      </w:r>
      <w:r w:rsidRPr="00073AC8">
        <w:rPr>
          <w:rFonts w:cstheme="minorHAnsi"/>
          <w:szCs w:val="22"/>
        </w:rPr>
        <w:t>inistr</w:t>
      </w:r>
      <w:r w:rsidR="00902BD9">
        <w:rPr>
          <w:rFonts w:cstheme="minorHAnsi"/>
          <w:szCs w:val="22"/>
        </w:rPr>
        <w:t>ies</w:t>
      </w:r>
      <w:r w:rsidRPr="00073AC8">
        <w:rPr>
          <w:rFonts w:cstheme="minorHAnsi"/>
          <w:szCs w:val="22"/>
        </w:rPr>
        <w:t xml:space="preserve"> of Finance, and Economy also provide institutional support to the </w:t>
      </w:r>
      <w:r w:rsidR="00902BD9">
        <w:rPr>
          <w:rFonts w:cstheme="minorHAnsi"/>
          <w:szCs w:val="22"/>
        </w:rPr>
        <w:t>c</w:t>
      </w:r>
      <w:r w:rsidRPr="00073AC8">
        <w:rPr>
          <w:rFonts w:cstheme="minorHAnsi"/>
          <w:szCs w:val="22"/>
        </w:rPr>
        <w:t>ommission.</w:t>
      </w:r>
      <w:r w:rsidR="001B07DD">
        <w:rPr>
          <w:rFonts w:cstheme="minorHAnsi"/>
          <w:szCs w:val="22"/>
        </w:rPr>
        <w:t xml:space="preserve"> </w:t>
      </w:r>
    </w:p>
    <w:p w:rsidR="0014667F" w:rsidRPr="00073AC8" w:rsidRDefault="0014667F" w:rsidP="0014667F">
      <w:pPr>
        <w:autoSpaceDE w:val="0"/>
        <w:autoSpaceDN w:val="0"/>
        <w:adjustRightInd w:val="0"/>
        <w:spacing w:after="0"/>
        <w:rPr>
          <w:rFonts w:cstheme="minorHAnsi"/>
          <w:szCs w:val="22"/>
        </w:rPr>
      </w:pPr>
    </w:p>
    <w:p w:rsidR="0014667F" w:rsidRPr="00073AC8" w:rsidRDefault="00902BD9" w:rsidP="00B41BB4">
      <w:pPr>
        <w:autoSpaceDE w:val="0"/>
        <w:autoSpaceDN w:val="0"/>
        <w:adjustRightInd w:val="0"/>
        <w:spacing w:before="240" w:after="0"/>
        <w:rPr>
          <w:szCs w:val="22"/>
        </w:rPr>
      </w:pPr>
      <w:r>
        <w:rPr>
          <w:rFonts w:cstheme="minorHAnsi"/>
          <w:b/>
          <w:szCs w:val="22"/>
        </w:rPr>
        <w:t>T</w:t>
      </w:r>
      <w:r w:rsidR="0014667F" w:rsidRPr="00073AC8">
        <w:rPr>
          <w:b/>
          <w:bCs/>
          <w:color w:val="000000"/>
          <w:szCs w:val="22"/>
        </w:rPr>
        <w:t xml:space="preserve">he working group </w:t>
      </w:r>
      <w:r w:rsidR="00B41BB4">
        <w:rPr>
          <w:b/>
          <w:bCs/>
          <w:color w:val="000000"/>
          <w:szCs w:val="22"/>
        </w:rPr>
        <w:t>for the WTO accession</w:t>
      </w:r>
      <w:r w:rsidR="0014667F" w:rsidRPr="00073AC8">
        <w:rPr>
          <w:b/>
          <w:bCs/>
          <w:color w:val="000000"/>
          <w:szCs w:val="22"/>
        </w:rPr>
        <w:t xml:space="preserve"> ha</w:t>
      </w:r>
      <w:r>
        <w:rPr>
          <w:b/>
          <w:bCs/>
          <w:color w:val="000000"/>
          <w:szCs w:val="22"/>
        </w:rPr>
        <w:t>s</w:t>
      </w:r>
      <w:r w:rsidR="0014667F" w:rsidRPr="00073AC8">
        <w:rPr>
          <w:b/>
          <w:bCs/>
          <w:color w:val="000000"/>
          <w:szCs w:val="22"/>
        </w:rPr>
        <w:t xml:space="preserve"> focused </w:t>
      </w:r>
      <w:r w:rsidR="00B41BB4">
        <w:rPr>
          <w:b/>
          <w:bCs/>
          <w:color w:val="000000"/>
          <w:szCs w:val="22"/>
        </w:rPr>
        <w:t xml:space="preserve">mainly </w:t>
      </w:r>
      <w:r w:rsidR="0014667F" w:rsidRPr="00073AC8">
        <w:rPr>
          <w:b/>
          <w:bCs/>
          <w:color w:val="000000"/>
          <w:szCs w:val="22"/>
        </w:rPr>
        <w:t xml:space="preserve">on </w:t>
      </w:r>
      <w:r w:rsidR="00B41BB4">
        <w:rPr>
          <w:b/>
          <w:bCs/>
          <w:color w:val="000000"/>
          <w:szCs w:val="22"/>
        </w:rPr>
        <w:t xml:space="preserve">issues such as </w:t>
      </w:r>
      <w:r w:rsidR="0014667F" w:rsidRPr="00073AC8">
        <w:rPr>
          <w:b/>
          <w:bCs/>
          <w:color w:val="000000"/>
          <w:szCs w:val="22"/>
        </w:rPr>
        <w:t xml:space="preserve">the fixed tax rate of 2 percent </w:t>
      </w:r>
      <w:r w:rsidR="00B41BB4">
        <w:rPr>
          <w:b/>
          <w:bCs/>
          <w:color w:val="000000"/>
          <w:szCs w:val="22"/>
        </w:rPr>
        <w:t>on</w:t>
      </w:r>
      <w:r w:rsidR="0014667F" w:rsidRPr="00073AC8">
        <w:rPr>
          <w:b/>
          <w:bCs/>
          <w:color w:val="000000"/>
          <w:szCs w:val="22"/>
        </w:rPr>
        <w:t xml:space="preserve"> imports, the process of import licens</w:t>
      </w:r>
      <w:r w:rsidR="00B41BB4">
        <w:rPr>
          <w:b/>
          <w:bCs/>
          <w:color w:val="000000"/>
          <w:szCs w:val="22"/>
        </w:rPr>
        <w:t>ing</w:t>
      </w:r>
      <w:r w:rsidR="0014667F" w:rsidRPr="00073AC8">
        <w:rPr>
          <w:b/>
          <w:bCs/>
          <w:color w:val="000000"/>
          <w:szCs w:val="22"/>
        </w:rPr>
        <w:t>, rules of origin, a</w:t>
      </w:r>
      <w:r w:rsidR="00B41BB4">
        <w:rPr>
          <w:b/>
          <w:bCs/>
          <w:color w:val="000000"/>
          <w:szCs w:val="22"/>
        </w:rPr>
        <w:t>nd</w:t>
      </w:r>
      <w:r w:rsidR="0014667F" w:rsidRPr="00073AC8">
        <w:rPr>
          <w:b/>
          <w:bCs/>
          <w:color w:val="000000"/>
          <w:szCs w:val="22"/>
        </w:rPr>
        <w:t xml:space="preserve"> the</w:t>
      </w:r>
      <w:r w:rsidR="001B07DD">
        <w:rPr>
          <w:b/>
          <w:bCs/>
          <w:color w:val="000000"/>
          <w:szCs w:val="22"/>
        </w:rPr>
        <w:t xml:space="preserve"> </w:t>
      </w:r>
      <w:r w:rsidR="0014667F" w:rsidRPr="00073AC8">
        <w:rPr>
          <w:b/>
          <w:bCs/>
          <w:color w:val="000000"/>
          <w:szCs w:val="22"/>
        </w:rPr>
        <w:t>custom</w:t>
      </w:r>
      <w:r w:rsidR="00B41BB4">
        <w:rPr>
          <w:b/>
          <w:bCs/>
          <w:color w:val="000000"/>
          <w:szCs w:val="22"/>
        </w:rPr>
        <w:t>s</w:t>
      </w:r>
      <w:r w:rsidR="0014667F" w:rsidRPr="00073AC8">
        <w:rPr>
          <w:b/>
          <w:bCs/>
          <w:color w:val="000000"/>
          <w:szCs w:val="22"/>
        </w:rPr>
        <w:t xml:space="preserve"> and food</w:t>
      </w:r>
      <w:r w:rsidR="00B41BB4">
        <w:rPr>
          <w:b/>
          <w:bCs/>
          <w:color w:val="000000"/>
          <w:szCs w:val="22"/>
        </w:rPr>
        <w:t>-</w:t>
      </w:r>
      <w:r w:rsidR="0014667F" w:rsidRPr="00073AC8">
        <w:rPr>
          <w:b/>
          <w:bCs/>
          <w:color w:val="000000"/>
          <w:szCs w:val="22"/>
        </w:rPr>
        <w:t>safety laws</w:t>
      </w:r>
      <w:r w:rsidR="0014667F" w:rsidRPr="00073AC8">
        <w:rPr>
          <w:bCs/>
          <w:color w:val="000000"/>
          <w:szCs w:val="22"/>
        </w:rPr>
        <w:t>.</w:t>
      </w:r>
      <w:r w:rsidR="001B07DD">
        <w:rPr>
          <w:bCs/>
          <w:color w:val="000000"/>
          <w:szCs w:val="22"/>
        </w:rPr>
        <w:t xml:space="preserve"> </w:t>
      </w:r>
      <w:r w:rsidR="00B41BB4">
        <w:rPr>
          <w:bCs/>
          <w:color w:val="000000"/>
          <w:szCs w:val="22"/>
        </w:rPr>
        <w:t>T</w:t>
      </w:r>
      <w:r w:rsidR="0014667F" w:rsidRPr="00073AC8">
        <w:rPr>
          <w:bCs/>
          <w:color w:val="000000"/>
          <w:szCs w:val="22"/>
        </w:rPr>
        <w:t xml:space="preserve">he Afghan team is </w:t>
      </w:r>
      <w:r w:rsidR="00B41BB4">
        <w:rPr>
          <w:bCs/>
          <w:color w:val="000000"/>
          <w:szCs w:val="22"/>
        </w:rPr>
        <w:t>also putting together</w:t>
      </w:r>
      <w:r w:rsidR="0014667F" w:rsidRPr="00073AC8">
        <w:rPr>
          <w:bCs/>
          <w:color w:val="000000"/>
          <w:szCs w:val="22"/>
        </w:rPr>
        <w:t xml:space="preserve"> an action plan for </w:t>
      </w:r>
      <w:r w:rsidR="00B41BB4">
        <w:rPr>
          <w:bCs/>
          <w:color w:val="000000"/>
          <w:szCs w:val="22"/>
        </w:rPr>
        <w:t>accession</w:t>
      </w:r>
      <w:r w:rsidR="00B41BB4" w:rsidRPr="00073AC8">
        <w:rPr>
          <w:bCs/>
          <w:color w:val="000000"/>
          <w:szCs w:val="22"/>
        </w:rPr>
        <w:t xml:space="preserve"> </w:t>
      </w:r>
      <w:r w:rsidR="0014667F" w:rsidRPr="00073AC8">
        <w:rPr>
          <w:bCs/>
          <w:color w:val="000000"/>
          <w:szCs w:val="22"/>
        </w:rPr>
        <w:t xml:space="preserve">and </w:t>
      </w:r>
      <w:r w:rsidR="00B41BB4">
        <w:rPr>
          <w:bCs/>
          <w:color w:val="000000"/>
          <w:szCs w:val="22"/>
        </w:rPr>
        <w:t>a</w:t>
      </w:r>
      <w:r w:rsidR="0014667F" w:rsidRPr="00073AC8">
        <w:rPr>
          <w:bCs/>
          <w:color w:val="000000"/>
          <w:szCs w:val="22"/>
        </w:rPr>
        <w:t xml:space="preserve"> list of current </w:t>
      </w:r>
      <w:r w:rsidR="0014667F" w:rsidRPr="00073AC8">
        <w:rPr>
          <w:szCs w:val="22"/>
        </w:rPr>
        <w:t xml:space="preserve">Technical Barriers to Trade </w:t>
      </w:r>
      <w:r w:rsidR="00B41BB4">
        <w:rPr>
          <w:szCs w:val="22"/>
        </w:rPr>
        <w:t>(TBT) a</w:t>
      </w:r>
      <w:r w:rsidR="0014667F" w:rsidRPr="00073AC8">
        <w:rPr>
          <w:szCs w:val="22"/>
        </w:rPr>
        <w:t>greement</w:t>
      </w:r>
      <w:r w:rsidR="0014667F" w:rsidRPr="00073AC8">
        <w:rPr>
          <w:bCs/>
          <w:color w:val="000000"/>
          <w:szCs w:val="22"/>
        </w:rPr>
        <w:t>.</w:t>
      </w:r>
      <w:r w:rsidR="001B07DD">
        <w:rPr>
          <w:bCs/>
          <w:color w:val="000000"/>
          <w:szCs w:val="22"/>
        </w:rPr>
        <w:t xml:space="preserve"> </w:t>
      </w:r>
      <w:r w:rsidR="00B41BB4">
        <w:rPr>
          <w:bCs/>
          <w:color w:val="000000"/>
          <w:szCs w:val="22"/>
        </w:rPr>
        <w:t>Such</w:t>
      </w:r>
      <w:r w:rsidR="00B41BB4">
        <w:rPr>
          <w:szCs w:val="22"/>
        </w:rPr>
        <w:t xml:space="preserve"> a</w:t>
      </w:r>
      <w:r w:rsidR="0014667F" w:rsidRPr="00073AC8">
        <w:rPr>
          <w:szCs w:val="22"/>
        </w:rPr>
        <w:t xml:space="preserve">greement </w:t>
      </w:r>
      <w:r w:rsidR="00B41BB4">
        <w:rPr>
          <w:szCs w:val="22"/>
        </w:rPr>
        <w:t>would aim</w:t>
      </w:r>
      <w:r w:rsidR="0014667F" w:rsidRPr="00073AC8">
        <w:rPr>
          <w:szCs w:val="22"/>
        </w:rPr>
        <w:t xml:space="preserve"> to ensure that technical regulations, standards and procedures for assessment of conformity do not create unnecessary obstacles to trade.</w:t>
      </w:r>
      <w:r w:rsidR="001B07DD">
        <w:rPr>
          <w:szCs w:val="22"/>
        </w:rPr>
        <w:t xml:space="preserve"> </w:t>
      </w:r>
      <w:r w:rsidR="00B41BB4">
        <w:rPr>
          <w:szCs w:val="22"/>
        </w:rPr>
        <w:t>A</w:t>
      </w:r>
      <w:r w:rsidR="0014667F" w:rsidRPr="00073AC8">
        <w:rPr>
          <w:bCs/>
          <w:color w:val="000000"/>
          <w:szCs w:val="22"/>
        </w:rPr>
        <w:t>t this stage the sensitive lists are still pending.</w:t>
      </w:r>
      <w:r w:rsidR="001B07DD">
        <w:rPr>
          <w:bCs/>
          <w:color w:val="000000"/>
          <w:szCs w:val="22"/>
        </w:rPr>
        <w:t xml:space="preserve"> </w:t>
      </w:r>
      <w:r w:rsidR="0014667F" w:rsidRPr="00073AC8">
        <w:rPr>
          <w:szCs w:val="22"/>
        </w:rPr>
        <w:t xml:space="preserve">The pending </w:t>
      </w:r>
      <w:r w:rsidR="00B41BB4">
        <w:rPr>
          <w:szCs w:val="22"/>
        </w:rPr>
        <w:t>l</w:t>
      </w:r>
      <w:r w:rsidR="0014667F" w:rsidRPr="00073AC8">
        <w:rPr>
          <w:szCs w:val="22"/>
        </w:rPr>
        <w:t xml:space="preserve">aw on </w:t>
      </w:r>
      <w:r w:rsidR="00B41BB4">
        <w:rPr>
          <w:szCs w:val="22"/>
        </w:rPr>
        <w:t>s</w:t>
      </w:r>
      <w:r w:rsidR="0014667F" w:rsidRPr="00073AC8">
        <w:rPr>
          <w:szCs w:val="22"/>
        </w:rPr>
        <w:t xml:space="preserve">tandardization, </w:t>
      </w:r>
      <w:r w:rsidR="00B41BB4">
        <w:rPr>
          <w:szCs w:val="22"/>
        </w:rPr>
        <w:t>called t</w:t>
      </w:r>
      <w:r w:rsidR="0014667F" w:rsidRPr="00073AC8">
        <w:rPr>
          <w:szCs w:val="22"/>
        </w:rPr>
        <w:t>he Afghan National Standards Authority (ANSA)</w:t>
      </w:r>
      <w:r w:rsidR="00B41BB4">
        <w:rPr>
          <w:szCs w:val="22"/>
        </w:rPr>
        <w:t>, would</w:t>
      </w:r>
      <w:r w:rsidR="0014667F" w:rsidRPr="00073AC8">
        <w:rPr>
          <w:szCs w:val="22"/>
        </w:rPr>
        <w:t xml:space="preserve"> establish and maintain the WTO (TBT) Enquiry </w:t>
      </w:r>
      <w:r w:rsidR="00B41BB4">
        <w:rPr>
          <w:szCs w:val="22"/>
        </w:rPr>
        <w:t>P</w:t>
      </w:r>
      <w:r w:rsidR="0014667F" w:rsidRPr="00073AC8">
        <w:rPr>
          <w:szCs w:val="22"/>
        </w:rPr>
        <w:t>oint</w:t>
      </w:r>
      <w:r w:rsidR="00B41BB4">
        <w:rPr>
          <w:szCs w:val="22"/>
        </w:rPr>
        <w:t xml:space="preserve"> (EP)</w:t>
      </w:r>
      <w:r w:rsidR="0014667F" w:rsidRPr="00073AC8">
        <w:rPr>
          <w:szCs w:val="22"/>
        </w:rPr>
        <w:t>. E</w:t>
      </w:r>
      <w:r w:rsidR="00B41BB4">
        <w:rPr>
          <w:szCs w:val="22"/>
        </w:rPr>
        <w:t>Ps</w:t>
      </w:r>
      <w:r w:rsidR="0014667F" w:rsidRPr="00073AC8">
        <w:rPr>
          <w:szCs w:val="22"/>
        </w:rPr>
        <w:t xml:space="preserve"> are set up to manage the notification procedure, to respond to information requests, and to coordinate government comments on proposals notified by third countries. The EP also exchanges information with its counterparts abroad.</w:t>
      </w:r>
    </w:p>
    <w:p w:rsidR="0014667F" w:rsidRPr="00073AC8" w:rsidRDefault="0014667F" w:rsidP="00B41BB4">
      <w:pPr>
        <w:pStyle w:val="Heading2"/>
        <w:spacing w:before="240" w:line="276" w:lineRule="auto"/>
      </w:pPr>
      <w:bookmarkStart w:id="340" w:name="_Toc327208469"/>
      <w:bookmarkStart w:id="341" w:name="_Toc348451722"/>
      <w:r w:rsidRPr="00073AC8">
        <w:t>Resource Corridors</w:t>
      </w:r>
      <w:bookmarkEnd w:id="340"/>
      <w:bookmarkEnd w:id="341"/>
    </w:p>
    <w:p w:rsidR="0014667F" w:rsidRPr="008900D8" w:rsidRDefault="0014667F" w:rsidP="003F3C4F">
      <w:pPr>
        <w:pStyle w:val="Default"/>
        <w:spacing w:before="240" w:line="276" w:lineRule="auto"/>
        <w:jc w:val="both"/>
        <w:rPr>
          <w:rFonts w:asciiTheme="minorHAnsi" w:hAnsiTheme="minorHAnsi" w:cstheme="minorHAnsi"/>
          <w:sz w:val="22"/>
          <w:szCs w:val="22"/>
        </w:rPr>
      </w:pPr>
      <w:r w:rsidRPr="008900D8">
        <w:rPr>
          <w:rFonts w:asciiTheme="minorHAnsi" w:hAnsiTheme="minorHAnsi" w:cstheme="minorHAnsi"/>
          <w:b/>
          <w:bCs/>
          <w:sz w:val="22"/>
          <w:szCs w:val="22"/>
        </w:rPr>
        <w:t>The resources sector offers a window of opportunity and challenges.</w:t>
      </w:r>
      <w:r w:rsidR="001B07DD" w:rsidRPr="008900D8">
        <w:rPr>
          <w:rFonts w:asciiTheme="minorHAnsi" w:hAnsiTheme="minorHAnsi" w:cstheme="minorHAnsi"/>
          <w:b/>
          <w:bCs/>
          <w:sz w:val="22"/>
          <w:szCs w:val="22"/>
        </w:rPr>
        <w:t xml:space="preserve"> </w:t>
      </w:r>
      <w:r w:rsidRPr="008900D8">
        <w:rPr>
          <w:rFonts w:asciiTheme="minorHAnsi" w:hAnsiTheme="minorHAnsi" w:cstheme="minorHAnsi"/>
          <w:sz w:val="22"/>
          <w:szCs w:val="22"/>
        </w:rPr>
        <w:t>The existing geological studies that span over 25 years suggest that Afghanistan‘s mineral wealth is worth at least several hundred billion dollars. In 2008</w:t>
      </w:r>
      <w:r w:rsidR="00CF6AFD" w:rsidRPr="008900D8">
        <w:rPr>
          <w:rFonts w:asciiTheme="minorHAnsi" w:hAnsiTheme="minorHAnsi" w:cstheme="minorHAnsi"/>
          <w:sz w:val="22"/>
          <w:szCs w:val="22"/>
        </w:rPr>
        <w:t>,</w:t>
      </w:r>
      <w:r w:rsidRPr="008900D8">
        <w:rPr>
          <w:rFonts w:asciiTheme="minorHAnsi" w:hAnsiTheme="minorHAnsi" w:cstheme="minorHAnsi"/>
          <w:sz w:val="22"/>
          <w:szCs w:val="22"/>
        </w:rPr>
        <w:t xml:space="preserve"> mining rig</w:t>
      </w:r>
      <w:r w:rsidRPr="006A78F3">
        <w:rPr>
          <w:rFonts w:asciiTheme="minorHAnsi" w:hAnsiTheme="minorHAnsi" w:cstheme="minorHAnsi"/>
          <w:sz w:val="22"/>
          <w:szCs w:val="22"/>
        </w:rPr>
        <w:t xml:space="preserve">hts at </w:t>
      </w:r>
      <w:r w:rsidRPr="006A78F3">
        <w:rPr>
          <w:rFonts w:asciiTheme="minorHAnsi" w:hAnsiTheme="minorHAnsi" w:cstheme="minorHAnsi"/>
          <w:bCs/>
          <w:sz w:val="22"/>
          <w:szCs w:val="22"/>
        </w:rPr>
        <w:t>Aynak</w:t>
      </w:r>
      <w:r w:rsidRPr="006A78F3">
        <w:rPr>
          <w:rFonts w:asciiTheme="minorHAnsi" w:hAnsiTheme="minorHAnsi" w:cstheme="minorHAnsi"/>
          <w:sz w:val="22"/>
          <w:szCs w:val="22"/>
        </w:rPr>
        <w:t>, a large-scale copper mine in Logar province, were awarded to a consortium led by China Metallurgical Group Corporation</w:t>
      </w:r>
      <w:r w:rsidR="003306C3" w:rsidRPr="006A78F3">
        <w:rPr>
          <w:rFonts w:asciiTheme="minorHAnsi" w:hAnsiTheme="minorHAnsi" w:cstheme="minorHAnsi"/>
          <w:sz w:val="22"/>
          <w:szCs w:val="22"/>
        </w:rPr>
        <w:t xml:space="preserve"> (MCC)</w:t>
      </w:r>
      <w:r w:rsidRPr="006A78F3">
        <w:rPr>
          <w:rFonts w:asciiTheme="minorHAnsi" w:hAnsiTheme="minorHAnsi" w:cstheme="minorHAnsi"/>
          <w:sz w:val="22"/>
          <w:szCs w:val="22"/>
        </w:rPr>
        <w:t>. In November 2011</w:t>
      </w:r>
      <w:r w:rsidR="00CF6AFD" w:rsidRPr="006A78F3">
        <w:rPr>
          <w:rFonts w:asciiTheme="minorHAnsi" w:hAnsiTheme="minorHAnsi" w:cstheme="minorHAnsi"/>
          <w:sz w:val="22"/>
          <w:szCs w:val="22"/>
        </w:rPr>
        <w:t>,</w:t>
      </w:r>
      <w:r w:rsidRPr="006A78F3">
        <w:rPr>
          <w:rFonts w:asciiTheme="minorHAnsi" w:hAnsiTheme="minorHAnsi" w:cstheme="minorHAnsi"/>
          <w:sz w:val="22"/>
          <w:szCs w:val="22"/>
        </w:rPr>
        <w:t xml:space="preserve"> three blocks of mining rights at </w:t>
      </w:r>
      <w:r w:rsidRPr="006A78F3">
        <w:rPr>
          <w:rFonts w:asciiTheme="minorHAnsi" w:hAnsiTheme="minorHAnsi" w:cstheme="minorHAnsi"/>
          <w:bCs/>
          <w:sz w:val="22"/>
          <w:szCs w:val="22"/>
        </w:rPr>
        <w:t>Hajigak</w:t>
      </w:r>
      <w:r w:rsidRPr="006A78F3">
        <w:rPr>
          <w:rFonts w:asciiTheme="minorHAnsi" w:hAnsiTheme="minorHAnsi" w:cstheme="minorHAnsi"/>
          <w:sz w:val="22"/>
          <w:szCs w:val="22"/>
        </w:rPr>
        <w:t xml:space="preserve">, a large iron-ore </w:t>
      </w:r>
      <w:r w:rsidRPr="008900D8">
        <w:rPr>
          <w:rFonts w:asciiTheme="minorHAnsi" w:hAnsiTheme="minorHAnsi" w:cstheme="minorHAnsi"/>
          <w:sz w:val="22"/>
          <w:szCs w:val="22"/>
        </w:rPr>
        <w:t xml:space="preserve">deposit, were awarded to </w:t>
      </w:r>
      <w:r w:rsidR="00CF6AFD" w:rsidRPr="008900D8">
        <w:rPr>
          <w:rFonts w:asciiTheme="minorHAnsi" w:hAnsiTheme="minorHAnsi" w:cstheme="minorHAnsi"/>
          <w:sz w:val="22"/>
          <w:szCs w:val="22"/>
        </w:rPr>
        <w:t xml:space="preserve">the </w:t>
      </w:r>
      <w:r w:rsidRPr="008900D8">
        <w:rPr>
          <w:rFonts w:asciiTheme="minorHAnsi" w:hAnsiTheme="minorHAnsi" w:cstheme="minorHAnsi"/>
          <w:sz w:val="22"/>
          <w:szCs w:val="22"/>
        </w:rPr>
        <w:t>Afghan Iron and Steel Consortium, led by the Steel Authority of India, and one block to Kilo Goldmines of Canada. Oil</w:t>
      </w:r>
      <w:r w:rsidR="00CF6AFD" w:rsidRPr="008900D8">
        <w:rPr>
          <w:rFonts w:asciiTheme="minorHAnsi" w:hAnsiTheme="minorHAnsi" w:cstheme="minorHAnsi"/>
          <w:sz w:val="22"/>
          <w:szCs w:val="22"/>
        </w:rPr>
        <w:t xml:space="preserve"> exploitation</w:t>
      </w:r>
      <w:r w:rsidRPr="008900D8">
        <w:rPr>
          <w:rFonts w:asciiTheme="minorHAnsi" w:hAnsiTheme="minorHAnsi" w:cstheme="minorHAnsi"/>
          <w:sz w:val="22"/>
          <w:szCs w:val="22"/>
        </w:rPr>
        <w:t xml:space="preserve"> in Amu Darya and gas in Sheberghan are expected to </w:t>
      </w:r>
      <w:r w:rsidR="00CF6AFD" w:rsidRPr="008900D8">
        <w:rPr>
          <w:rFonts w:asciiTheme="minorHAnsi" w:hAnsiTheme="minorHAnsi" w:cstheme="minorHAnsi"/>
          <w:sz w:val="22"/>
          <w:szCs w:val="22"/>
        </w:rPr>
        <w:t>begin</w:t>
      </w:r>
      <w:r w:rsidRPr="008900D8">
        <w:rPr>
          <w:rFonts w:asciiTheme="minorHAnsi" w:hAnsiTheme="minorHAnsi" w:cstheme="minorHAnsi"/>
          <w:sz w:val="22"/>
          <w:szCs w:val="22"/>
        </w:rPr>
        <w:t xml:space="preserve"> within five years. Successful development of these two mines and the oil and gas blocks will bring significant revenue and growth, </w:t>
      </w:r>
      <w:r w:rsidR="00CF6AFD" w:rsidRPr="008900D8">
        <w:rPr>
          <w:rFonts w:asciiTheme="minorHAnsi" w:hAnsiTheme="minorHAnsi" w:cstheme="minorHAnsi"/>
          <w:sz w:val="22"/>
          <w:szCs w:val="22"/>
        </w:rPr>
        <w:t>and</w:t>
      </w:r>
      <w:r w:rsidRPr="008900D8">
        <w:rPr>
          <w:rFonts w:asciiTheme="minorHAnsi" w:hAnsiTheme="minorHAnsi" w:cstheme="minorHAnsi"/>
          <w:sz w:val="22"/>
          <w:szCs w:val="22"/>
        </w:rPr>
        <w:t xml:space="preserve"> could </w:t>
      </w:r>
      <w:r w:rsidR="00CF6AFD" w:rsidRPr="008900D8">
        <w:rPr>
          <w:rFonts w:asciiTheme="minorHAnsi" w:hAnsiTheme="minorHAnsi" w:cstheme="minorHAnsi"/>
          <w:sz w:val="22"/>
          <w:szCs w:val="22"/>
        </w:rPr>
        <w:t>be the catalysts to</w:t>
      </w:r>
      <w:r w:rsidRPr="008900D8">
        <w:rPr>
          <w:rFonts w:asciiTheme="minorHAnsi" w:hAnsiTheme="minorHAnsi" w:cstheme="minorHAnsi"/>
          <w:sz w:val="22"/>
          <w:szCs w:val="22"/>
        </w:rPr>
        <w:t xml:space="preserve"> unlock much broader potential if security stabilizes. </w:t>
      </w:r>
    </w:p>
    <w:p w:rsidR="00A858C0" w:rsidRDefault="00A858C0" w:rsidP="003F3C4F">
      <w:pPr>
        <w:pStyle w:val="Default"/>
        <w:spacing w:line="276" w:lineRule="auto"/>
        <w:jc w:val="both"/>
        <w:rPr>
          <w:rFonts w:asciiTheme="minorHAnsi" w:hAnsiTheme="minorHAnsi" w:cstheme="minorHAnsi"/>
          <w:b/>
          <w:bCs/>
          <w:sz w:val="22"/>
          <w:szCs w:val="22"/>
        </w:rPr>
      </w:pPr>
    </w:p>
    <w:p w:rsidR="0014667F" w:rsidRPr="008900D8" w:rsidRDefault="0014667F" w:rsidP="003F3C4F">
      <w:pPr>
        <w:pStyle w:val="Default"/>
        <w:spacing w:line="276" w:lineRule="auto"/>
        <w:jc w:val="both"/>
        <w:rPr>
          <w:rFonts w:asciiTheme="minorHAnsi" w:hAnsiTheme="minorHAnsi" w:cstheme="minorHAnsi"/>
          <w:sz w:val="22"/>
          <w:szCs w:val="22"/>
        </w:rPr>
      </w:pPr>
      <w:r w:rsidRPr="008900D8">
        <w:rPr>
          <w:rFonts w:asciiTheme="minorHAnsi" w:hAnsiTheme="minorHAnsi" w:cstheme="minorHAnsi"/>
          <w:b/>
          <w:bCs/>
          <w:sz w:val="22"/>
          <w:szCs w:val="22"/>
        </w:rPr>
        <w:t>Success</w:t>
      </w:r>
      <w:r w:rsidR="00CF6AFD" w:rsidRPr="008900D8">
        <w:rPr>
          <w:rFonts w:asciiTheme="minorHAnsi" w:hAnsiTheme="minorHAnsi" w:cstheme="minorHAnsi"/>
          <w:b/>
          <w:bCs/>
          <w:sz w:val="22"/>
          <w:szCs w:val="22"/>
        </w:rPr>
        <w:t xml:space="preserve"> in resource ventures</w:t>
      </w:r>
      <w:r w:rsidRPr="008900D8">
        <w:rPr>
          <w:rFonts w:asciiTheme="minorHAnsi" w:hAnsiTheme="minorHAnsi" w:cstheme="minorHAnsi"/>
          <w:b/>
          <w:bCs/>
          <w:sz w:val="22"/>
          <w:szCs w:val="22"/>
        </w:rPr>
        <w:t xml:space="preserve"> </w:t>
      </w:r>
      <w:r w:rsidR="00CF6AFD" w:rsidRPr="008900D8">
        <w:rPr>
          <w:rFonts w:asciiTheme="minorHAnsi" w:hAnsiTheme="minorHAnsi" w:cstheme="minorHAnsi"/>
          <w:b/>
          <w:bCs/>
          <w:sz w:val="22"/>
          <w:szCs w:val="22"/>
        </w:rPr>
        <w:t xml:space="preserve">such as those described above </w:t>
      </w:r>
      <w:r w:rsidRPr="008900D8">
        <w:rPr>
          <w:rFonts w:asciiTheme="minorHAnsi" w:hAnsiTheme="minorHAnsi" w:cstheme="minorHAnsi"/>
          <w:b/>
          <w:bCs/>
          <w:sz w:val="22"/>
          <w:szCs w:val="22"/>
        </w:rPr>
        <w:t xml:space="preserve">will depend </w:t>
      </w:r>
      <w:r w:rsidR="00CF6AFD" w:rsidRPr="008900D8">
        <w:rPr>
          <w:rFonts w:asciiTheme="minorHAnsi" w:hAnsiTheme="minorHAnsi" w:cstheme="minorHAnsi"/>
          <w:b/>
          <w:bCs/>
          <w:sz w:val="22"/>
          <w:szCs w:val="22"/>
        </w:rPr>
        <w:t>largely</w:t>
      </w:r>
      <w:r w:rsidRPr="008900D8">
        <w:rPr>
          <w:rFonts w:asciiTheme="minorHAnsi" w:hAnsiTheme="minorHAnsi" w:cstheme="minorHAnsi"/>
          <w:b/>
          <w:bCs/>
          <w:sz w:val="22"/>
          <w:szCs w:val="22"/>
        </w:rPr>
        <w:t xml:space="preserve"> on </w:t>
      </w:r>
      <w:r w:rsidR="004265D1" w:rsidRPr="008900D8">
        <w:rPr>
          <w:rFonts w:asciiTheme="minorHAnsi" w:hAnsiTheme="minorHAnsi" w:cstheme="minorHAnsi"/>
          <w:b/>
          <w:bCs/>
          <w:sz w:val="22"/>
          <w:szCs w:val="22"/>
        </w:rPr>
        <w:t>how efficiently the</w:t>
      </w:r>
      <w:r w:rsidR="00CF6AFD" w:rsidRPr="008900D8">
        <w:rPr>
          <w:rFonts w:asciiTheme="minorHAnsi" w:hAnsiTheme="minorHAnsi" w:cstheme="minorHAnsi"/>
          <w:b/>
          <w:bCs/>
          <w:sz w:val="22"/>
          <w:szCs w:val="22"/>
        </w:rPr>
        <w:t xml:space="preserve"> products </w:t>
      </w:r>
      <w:r w:rsidR="004265D1" w:rsidRPr="008900D8">
        <w:rPr>
          <w:rFonts w:asciiTheme="minorHAnsi" w:hAnsiTheme="minorHAnsi" w:cstheme="minorHAnsi"/>
          <w:b/>
          <w:bCs/>
          <w:sz w:val="22"/>
          <w:szCs w:val="22"/>
        </w:rPr>
        <w:t xml:space="preserve">can be brought </w:t>
      </w:r>
      <w:r w:rsidR="00CF6AFD" w:rsidRPr="008900D8">
        <w:rPr>
          <w:rFonts w:asciiTheme="minorHAnsi" w:hAnsiTheme="minorHAnsi" w:cstheme="minorHAnsi"/>
          <w:b/>
          <w:bCs/>
          <w:sz w:val="22"/>
          <w:szCs w:val="22"/>
        </w:rPr>
        <w:t>to</w:t>
      </w:r>
      <w:r w:rsidRPr="008900D8">
        <w:rPr>
          <w:rFonts w:asciiTheme="minorHAnsi" w:hAnsiTheme="minorHAnsi" w:cstheme="minorHAnsi"/>
          <w:b/>
          <w:bCs/>
          <w:sz w:val="22"/>
          <w:szCs w:val="22"/>
        </w:rPr>
        <w:t xml:space="preserve"> market. </w:t>
      </w:r>
      <w:r w:rsidRPr="008900D8">
        <w:rPr>
          <w:rFonts w:asciiTheme="minorHAnsi" w:hAnsiTheme="minorHAnsi" w:cstheme="minorHAnsi"/>
          <w:sz w:val="22"/>
          <w:szCs w:val="22"/>
        </w:rPr>
        <w:t xml:space="preserve">As a landlocked country, </w:t>
      </w:r>
      <w:r w:rsidR="00CF6AFD" w:rsidRPr="008900D8">
        <w:rPr>
          <w:rFonts w:asciiTheme="minorHAnsi" w:hAnsiTheme="minorHAnsi" w:cstheme="minorHAnsi"/>
          <w:sz w:val="22"/>
          <w:szCs w:val="22"/>
        </w:rPr>
        <w:t xml:space="preserve">Afghanistan’s </w:t>
      </w:r>
      <w:r w:rsidRPr="008900D8">
        <w:rPr>
          <w:rFonts w:asciiTheme="minorHAnsi" w:hAnsiTheme="minorHAnsi" w:cstheme="minorHAnsi"/>
          <w:sz w:val="22"/>
          <w:szCs w:val="22"/>
        </w:rPr>
        <w:t xml:space="preserve">transportation </w:t>
      </w:r>
      <w:r w:rsidR="00CF6AFD" w:rsidRPr="008900D8">
        <w:rPr>
          <w:rFonts w:asciiTheme="minorHAnsi" w:hAnsiTheme="minorHAnsi" w:cstheme="minorHAnsi"/>
          <w:sz w:val="22"/>
          <w:szCs w:val="22"/>
        </w:rPr>
        <w:t>options have to be</w:t>
      </w:r>
      <w:r w:rsidRPr="008900D8">
        <w:rPr>
          <w:rFonts w:asciiTheme="minorHAnsi" w:hAnsiTheme="minorHAnsi" w:cstheme="minorHAnsi"/>
          <w:sz w:val="22"/>
          <w:szCs w:val="22"/>
        </w:rPr>
        <w:t xml:space="preserve"> analyzed in a geopolitical and regional context. </w:t>
      </w:r>
      <w:r w:rsidR="00CF6AFD" w:rsidRPr="008900D8">
        <w:rPr>
          <w:rFonts w:asciiTheme="minorHAnsi" w:hAnsiTheme="minorHAnsi" w:cstheme="minorHAnsi"/>
          <w:sz w:val="22"/>
          <w:szCs w:val="22"/>
        </w:rPr>
        <w:t>Similarly</w:t>
      </w:r>
      <w:r w:rsidRPr="008900D8">
        <w:rPr>
          <w:rFonts w:asciiTheme="minorHAnsi" w:hAnsiTheme="minorHAnsi" w:cstheme="minorHAnsi"/>
          <w:sz w:val="22"/>
          <w:szCs w:val="22"/>
        </w:rPr>
        <w:t xml:space="preserve">, the choice of the logistical corridor will have an economic and political impact regionally. </w:t>
      </w:r>
      <w:r w:rsidR="004265D1" w:rsidRPr="008900D8">
        <w:rPr>
          <w:rFonts w:asciiTheme="minorHAnsi" w:hAnsiTheme="minorHAnsi" w:cstheme="minorHAnsi"/>
          <w:sz w:val="22"/>
          <w:szCs w:val="22"/>
        </w:rPr>
        <w:t>T</w:t>
      </w:r>
      <w:r w:rsidRPr="008900D8">
        <w:rPr>
          <w:rFonts w:asciiTheme="minorHAnsi" w:hAnsiTheme="minorHAnsi" w:cstheme="minorHAnsi"/>
          <w:sz w:val="22"/>
          <w:szCs w:val="22"/>
        </w:rPr>
        <w:t xml:space="preserve">ransport infrastructure will have sub-optimal impact if regulatory and other </w:t>
      </w:r>
      <w:r w:rsidR="004265D1" w:rsidRPr="008900D8">
        <w:rPr>
          <w:rFonts w:asciiTheme="minorHAnsi" w:hAnsiTheme="minorHAnsi" w:cstheme="minorHAnsi"/>
          <w:sz w:val="22"/>
          <w:szCs w:val="22"/>
        </w:rPr>
        <w:t xml:space="preserve">obstacles </w:t>
      </w:r>
      <w:r w:rsidRPr="008900D8">
        <w:rPr>
          <w:rFonts w:asciiTheme="minorHAnsi" w:hAnsiTheme="minorHAnsi" w:cstheme="minorHAnsi"/>
          <w:sz w:val="22"/>
          <w:szCs w:val="22"/>
        </w:rPr>
        <w:t xml:space="preserve">to trade persist </w:t>
      </w:r>
      <w:r w:rsidR="004265D1" w:rsidRPr="008900D8">
        <w:rPr>
          <w:rFonts w:asciiTheme="minorHAnsi" w:hAnsiTheme="minorHAnsi" w:cstheme="minorHAnsi"/>
          <w:sz w:val="22"/>
          <w:szCs w:val="22"/>
        </w:rPr>
        <w:t>– for example</w:t>
      </w:r>
      <w:r w:rsidRPr="008900D8">
        <w:rPr>
          <w:rFonts w:asciiTheme="minorHAnsi" w:hAnsiTheme="minorHAnsi" w:cstheme="minorHAnsi"/>
          <w:sz w:val="22"/>
          <w:szCs w:val="22"/>
        </w:rPr>
        <w:t xml:space="preserve">, the ongoing difficulties with the Afghanistan-Pakistan Transit Trade Agreement. Thus, greater regional cooperation will be </w:t>
      </w:r>
      <w:r w:rsidR="004265D1" w:rsidRPr="008900D8">
        <w:rPr>
          <w:rFonts w:asciiTheme="minorHAnsi" w:hAnsiTheme="minorHAnsi" w:cstheme="minorHAnsi"/>
          <w:sz w:val="22"/>
          <w:szCs w:val="22"/>
        </w:rPr>
        <w:t xml:space="preserve">a </w:t>
      </w:r>
      <w:r w:rsidRPr="008900D8">
        <w:rPr>
          <w:rFonts w:asciiTheme="minorHAnsi" w:hAnsiTheme="minorHAnsi" w:cstheme="minorHAnsi"/>
          <w:sz w:val="22"/>
          <w:szCs w:val="22"/>
        </w:rPr>
        <w:t>key to ensur</w:t>
      </w:r>
      <w:r w:rsidR="004265D1" w:rsidRPr="008900D8">
        <w:rPr>
          <w:rFonts w:asciiTheme="minorHAnsi" w:hAnsiTheme="minorHAnsi" w:cstheme="minorHAnsi"/>
          <w:sz w:val="22"/>
          <w:szCs w:val="22"/>
        </w:rPr>
        <w:t>ing that</w:t>
      </w:r>
      <w:r w:rsidRPr="008900D8">
        <w:rPr>
          <w:rFonts w:asciiTheme="minorHAnsi" w:hAnsiTheme="minorHAnsi" w:cstheme="minorHAnsi"/>
          <w:sz w:val="22"/>
          <w:szCs w:val="22"/>
        </w:rPr>
        <w:t xml:space="preserve"> Afghanistan benefit</w:t>
      </w:r>
      <w:r w:rsidR="004265D1" w:rsidRPr="008900D8">
        <w:rPr>
          <w:rFonts w:asciiTheme="minorHAnsi" w:hAnsiTheme="minorHAnsi" w:cstheme="minorHAnsi"/>
          <w:sz w:val="22"/>
          <w:szCs w:val="22"/>
        </w:rPr>
        <w:t>s</w:t>
      </w:r>
      <w:r w:rsidRPr="008900D8">
        <w:rPr>
          <w:rFonts w:asciiTheme="minorHAnsi" w:hAnsiTheme="minorHAnsi" w:cstheme="minorHAnsi"/>
          <w:sz w:val="22"/>
          <w:szCs w:val="22"/>
        </w:rPr>
        <w:t xml:space="preserve"> from the most viable logistical options</w:t>
      </w:r>
      <w:r w:rsidR="004265D1" w:rsidRPr="008900D8">
        <w:rPr>
          <w:rFonts w:asciiTheme="minorHAnsi" w:hAnsiTheme="minorHAnsi" w:cstheme="minorHAnsi"/>
          <w:sz w:val="22"/>
          <w:szCs w:val="22"/>
        </w:rPr>
        <w:t>,</w:t>
      </w:r>
      <w:r w:rsidRPr="008900D8">
        <w:rPr>
          <w:rFonts w:asciiTheme="minorHAnsi" w:hAnsiTheme="minorHAnsi" w:cstheme="minorHAnsi"/>
          <w:sz w:val="22"/>
          <w:szCs w:val="22"/>
        </w:rPr>
        <w:t xml:space="preserve"> import</w:t>
      </w:r>
      <w:r w:rsidR="004265D1" w:rsidRPr="008900D8">
        <w:rPr>
          <w:rFonts w:asciiTheme="minorHAnsi" w:hAnsiTheme="minorHAnsi" w:cstheme="minorHAnsi"/>
          <w:sz w:val="22"/>
          <w:szCs w:val="22"/>
        </w:rPr>
        <w:t>ing what it</w:t>
      </w:r>
      <w:r w:rsidRPr="008900D8">
        <w:rPr>
          <w:rFonts w:asciiTheme="minorHAnsi" w:hAnsiTheme="minorHAnsi" w:cstheme="minorHAnsi"/>
          <w:sz w:val="22"/>
          <w:szCs w:val="22"/>
        </w:rPr>
        <w:t xml:space="preserve"> requires</w:t>
      </w:r>
      <w:r w:rsidR="004265D1" w:rsidRPr="008900D8">
        <w:rPr>
          <w:rFonts w:asciiTheme="minorHAnsi" w:hAnsiTheme="minorHAnsi" w:cstheme="minorHAnsi"/>
          <w:sz w:val="22"/>
          <w:szCs w:val="22"/>
        </w:rPr>
        <w:t>,</w:t>
      </w:r>
      <w:r w:rsidRPr="008900D8">
        <w:rPr>
          <w:rFonts w:asciiTheme="minorHAnsi" w:hAnsiTheme="minorHAnsi" w:cstheme="minorHAnsi"/>
          <w:sz w:val="22"/>
          <w:szCs w:val="22"/>
        </w:rPr>
        <w:t xml:space="preserve"> and </w:t>
      </w:r>
      <w:r w:rsidR="004265D1" w:rsidRPr="008900D8">
        <w:rPr>
          <w:rFonts w:asciiTheme="minorHAnsi" w:hAnsiTheme="minorHAnsi" w:cstheme="minorHAnsi"/>
          <w:sz w:val="22"/>
          <w:szCs w:val="22"/>
        </w:rPr>
        <w:t>making sure the na</w:t>
      </w:r>
      <w:r w:rsidRPr="008900D8">
        <w:rPr>
          <w:rFonts w:asciiTheme="minorHAnsi" w:hAnsiTheme="minorHAnsi" w:cstheme="minorHAnsi"/>
          <w:sz w:val="22"/>
          <w:szCs w:val="22"/>
        </w:rPr>
        <w:t xml:space="preserve">tural resources </w:t>
      </w:r>
      <w:r w:rsidR="004265D1" w:rsidRPr="008900D8">
        <w:rPr>
          <w:rFonts w:asciiTheme="minorHAnsi" w:hAnsiTheme="minorHAnsi" w:cstheme="minorHAnsi"/>
          <w:sz w:val="22"/>
          <w:szCs w:val="22"/>
        </w:rPr>
        <w:t>reach</w:t>
      </w:r>
      <w:r w:rsidRPr="008900D8">
        <w:rPr>
          <w:rFonts w:asciiTheme="minorHAnsi" w:hAnsiTheme="minorHAnsi" w:cstheme="minorHAnsi"/>
          <w:sz w:val="22"/>
          <w:szCs w:val="22"/>
        </w:rPr>
        <w:t xml:space="preserve"> global markets. </w:t>
      </w:r>
    </w:p>
    <w:p w:rsidR="0014667F" w:rsidRPr="008900D8" w:rsidRDefault="0014667F" w:rsidP="003F3C4F">
      <w:pPr>
        <w:pStyle w:val="Default"/>
        <w:spacing w:line="276" w:lineRule="auto"/>
        <w:jc w:val="both"/>
        <w:rPr>
          <w:rFonts w:asciiTheme="minorHAnsi" w:hAnsiTheme="minorHAnsi" w:cstheme="minorHAnsi"/>
          <w:sz w:val="22"/>
          <w:szCs w:val="22"/>
        </w:rPr>
      </w:pPr>
    </w:p>
    <w:p w:rsidR="0014667F" w:rsidRPr="008900D8" w:rsidRDefault="004265D1" w:rsidP="003F3C4F">
      <w:pPr>
        <w:pStyle w:val="Default"/>
        <w:spacing w:line="276" w:lineRule="auto"/>
        <w:jc w:val="both"/>
        <w:rPr>
          <w:rFonts w:asciiTheme="minorHAnsi" w:hAnsiTheme="minorHAnsi" w:cstheme="minorHAnsi"/>
          <w:sz w:val="22"/>
          <w:szCs w:val="22"/>
        </w:rPr>
      </w:pPr>
      <w:r w:rsidRPr="008900D8">
        <w:rPr>
          <w:rFonts w:asciiTheme="minorHAnsi" w:hAnsiTheme="minorHAnsi" w:cstheme="minorHAnsi"/>
          <w:b/>
          <w:bCs/>
          <w:sz w:val="22"/>
          <w:szCs w:val="22"/>
        </w:rPr>
        <w:t xml:space="preserve">Development of the </w:t>
      </w:r>
      <w:r w:rsidR="0014667F" w:rsidRPr="008900D8">
        <w:rPr>
          <w:rFonts w:asciiTheme="minorHAnsi" w:hAnsiTheme="minorHAnsi" w:cstheme="minorHAnsi"/>
          <w:b/>
          <w:bCs/>
          <w:sz w:val="22"/>
          <w:szCs w:val="22"/>
        </w:rPr>
        <w:t xml:space="preserve">mining investments </w:t>
      </w:r>
      <w:r w:rsidRPr="008900D8">
        <w:rPr>
          <w:rFonts w:asciiTheme="minorHAnsi" w:hAnsiTheme="minorHAnsi" w:cstheme="minorHAnsi"/>
          <w:b/>
          <w:bCs/>
          <w:sz w:val="22"/>
          <w:szCs w:val="22"/>
        </w:rPr>
        <w:t>in the coming years will provide</w:t>
      </w:r>
      <w:r w:rsidR="0014667F" w:rsidRPr="008900D8">
        <w:rPr>
          <w:rFonts w:asciiTheme="minorHAnsi" w:hAnsiTheme="minorHAnsi" w:cstheme="minorHAnsi"/>
          <w:b/>
          <w:bCs/>
          <w:sz w:val="22"/>
          <w:szCs w:val="22"/>
        </w:rPr>
        <w:t xml:space="preserve"> </w:t>
      </w:r>
      <w:r w:rsidRPr="008900D8">
        <w:rPr>
          <w:rFonts w:asciiTheme="minorHAnsi" w:hAnsiTheme="minorHAnsi" w:cstheme="minorHAnsi"/>
          <w:b/>
          <w:bCs/>
          <w:sz w:val="22"/>
          <w:szCs w:val="22"/>
        </w:rPr>
        <w:t>Afghanistan with a window of opportunity for the socio-eco</w:t>
      </w:r>
      <w:r w:rsidR="006B687E">
        <w:rPr>
          <w:rFonts w:asciiTheme="minorHAnsi" w:hAnsiTheme="minorHAnsi" w:cstheme="minorHAnsi"/>
          <w:b/>
          <w:bCs/>
          <w:sz w:val="22"/>
          <w:szCs w:val="22"/>
        </w:rPr>
        <w:t xml:space="preserve">nomic development of its people.  </w:t>
      </w:r>
      <w:r w:rsidR="003306C3" w:rsidRPr="008900D8">
        <w:rPr>
          <w:rFonts w:asciiTheme="minorHAnsi" w:hAnsiTheme="minorHAnsi" w:cstheme="minorHAnsi"/>
          <w:sz w:val="22"/>
          <w:szCs w:val="22"/>
        </w:rPr>
        <w:t>For Afghanistan to use</w:t>
      </w:r>
      <w:r w:rsidRPr="008900D8">
        <w:rPr>
          <w:rFonts w:asciiTheme="minorHAnsi" w:hAnsiTheme="minorHAnsi" w:cstheme="minorHAnsi"/>
          <w:sz w:val="22"/>
          <w:szCs w:val="22"/>
        </w:rPr>
        <w:t xml:space="preserve"> </w:t>
      </w:r>
      <w:r w:rsidR="003306C3" w:rsidRPr="008900D8">
        <w:rPr>
          <w:rFonts w:asciiTheme="minorHAnsi" w:hAnsiTheme="minorHAnsi" w:cstheme="minorHAnsi"/>
          <w:sz w:val="22"/>
          <w:szCs w:val="22"/>
        </w:rPr>
        <w:t xml:space="preserve">the earnings from its resources to improve the livelihoods of its people </w:t>
      </w:r>
      <w:r w:rsidR="0014667F" w:rsidRPr="008900D8">
        <w:rPr>
          <w:rFonts w:asciiTheme="minorHAnsi" w:hAnsiTheme="minorHAnsi" w:cstheme="minorHAnsi"/>
          <w:sz w:val="22"/>
          <w:szCs w:val="22"/>
        </w:rPr>
        <w:t xml:space="preserve">will depend on </w:t>
      </w:r>
      <w:r w:rsidR="003306C3" w:rsidRPr="008900D8">
        <w:rPr>
          <w:rFonts w:asciiTheme="minorHAnsi" w:hAnsiTheme="minorHAnsi" w:cstheme="minorHAnsi"/>
          <w:sz w:val="22"/>
          <w:szCs w:val="22"/>
        </w:rPr>
        <w:t xml:space="preserve">how well it progresses in </w:t>
      </w:r>
      <w:r w:rsidR="0014667F" w:rsidRPr="008900D8">
        <w:rPr>
          <w:rFonts w:asciiTheme="minorHAnsi" w:hAnsiTheme="minorHAnsi" w:cstheme="minorHAnsi"/>
          <w:sz w:val="22"/>
          <w:szCs w:val="22"/>
        </w:rPr>
        <w:t xml:space="preserve">several interrelated </w:t>
      </w:r>
      <w:r w:rsidR="003306C3" w:rsidRPr="008900D8">
        <w:rPr>
          <w:rFonts w:asciiTheme="minorHAnsi" w:hAnsiTheme="minorHAnsi" w:cstheme="minorHAnsi"/>
          <w:sz w:val="22"/>
          <w:szCs w:val="22"/>
        </w:rPr>
        <w:t>endeavors</w:t>
      </w:r>
      <w:r w:rsidR="0014667F" w:rsidRPr="008900D8">
        <w:rPr>
          <w:rFonts w:asciiTheme="minorHAnsi" w:hAnsiTheme="minorHAnsi" w:cstheme="minorHAnsi"/>
          <w:sz w:val="22"/>
          <w:szCs w:val="22"/>
        </w:rPr>
        <w:t xml:space="preserve">. These include </w:t>
      </w:r>
      <w:r w:rsidR="003306C3" w:rsidRPr="008900D8">
        <w:rPr>
          <w:rFonts w:asciiTheme="minorHAnsi" w:hAnsiTheme="minorHAnsi" w:cstheme="minorHAnsi"/>
          <w:sz w:val="22"/>
          <w:szCs w:val="22"/>
        </w:rPr>
        <w:t xml:space="preserve">(i) </w:t>
      </w:r>
      <w:r w:rsidR="0014667F" w:rsidRPr="008900D8">
        <w:rPr>
          <w:rFonts w:asciiTheme="minorHAnsi" w:hAnsiTheme="minorHAnsi" w:cstheme="minorHAnsi"/>
          <w:sz w:val="22"/>
          <w:szCs w:val="22"/>
        </w:rPr>
        <w:t xml:space="preserve">the relative efficiency with which fiscal revenues are used for </w:t>
      </w:r>
      <w:r w:rsidR="003306C3" w:rsidRPr="008900D8">
        <w:rPr>
          <w:rFonts w:asciiTheme="minorHAnsi" w:hAnsiTheme="minorHAnsi" w:cstheme="minorHAnsi"/>
          <w:sz w:val="22"/>
          <w:szCs w:val="22"/>
        </w:rPr>
        <w:t>social development</w:t>
      </w:r>
      <w:r w:rsidR="0014667F" w:rsidRPr="008900D8">
        <w:rPr>
          <w:rFonts w:asciiTheme="minorHAnsi" w:hAnsiTheme="minorHAnsi" w:cstheme="minorHAnsi"/>
          <w:sz w:val="22"/>
          <w:szCs w:val="22"/>
        </w:rPr>
        <w:t xml:space="preserve"> of </w:t>
      </w:r>
      <w:r w:rsidR="003306C3" w:rsidRPr="008900D8">
        <w:rPr>
          <w:rFonts w:asciiTheme="minorHAnsi" w:hAnsiTheme="minorHAnsi" w:cstheme="minorHAnsi"/>
          <w:sz w:val="22"/>
          <w:szCs w:val="22"/>
        </w:rPr>
        <w:t>the majority –</w:t>
      </w:r>
      <w:r w:rsidR="0014667F" w:rsidRPr="008900D8">
        <w:rPr>
          <w:rFonts w:asciiTheme="minorHAnsi" w:hAnsiTheme="minorHAnsi" w:cstheme="minorHAnsi"/>
          <w:sz w:val="22"/>
          <w:szCs w:val="22"/>
        </w:rPr>
        <w:t xml:space="preserve"> in particular</w:t>
      </w:r>
      <w:r w:rsidR="003306C3" w:rsidRPr="008900D8">
        <w:rPr>
          <w:rFonts w:asciiTheme="minorHAnsi" w:hAnsiTheme="minorHAnsi" w:cstheme="minorHAnsi"/>
          <w:sz w:val="22"/>
          <w:szCs w:val="22"/>
        </w:rPr>
        <w:t>,</w:t>
      </w:r>
      <w:r w:rsidR="0014667F" w:rsidRPr="008900D8">
        <w:rPr>
          <w:rFonts w:asciiTheme="minorHAnsi" w:hAnsiTheme="minorHAnsi" w:cstheme="minorHAnsi"/>
          <w:sz w:val="22"/>
          <w:szCs w:val="22"/>
        </w:rPr>
        <w:t xml:space="preserve"> finding an appropriate balance between investment and recurrent spending</w:t>
      </w:r>
      <w:r w:rsidR="003306C3" w:rsidRPr="008900D8">
        <w:rPr>
          <w:rFonts w:asciiTheme="minorHAnsi" w:hAnsiTheme="minorHAnsi" w:cstheme="minorHAnsi"/>
          <w:sz w:val="22"/>
          <w:szCs w:val="22"/>
        </w:rPr>
        <w:t>, (ii)</w:t>
      </w:r>
      <w:r w:rsidR="0014667F" w:rsidRPr="008900D8">
        <w:rPr>
          <w:rFonts w:asciiTheme="minorHAnsi" w:hAnsiTheme="minorHAnsi" w:cstheme="minorHAnsi"/>
          <w:sz w:val="22"/>
          <w:szCs w:val="22"/>
        </w:rPr>
        <w:t xml:space="preserve"> the ability of local firms to enter the mining value chain, or to take advantage of new or upgraded infrastructure</w:t>
      </w:r>
      <w:r w:rsidR="003306C3" w:rsidRPr="008900D8">
        <w:rPr>
          <w:rFonts w:asciiTheme="minorHAnsi" w:hAnsiTheme="minorHAnsi" w:cstheme="minorHAnsi"/>
          <w:sz w:val="22"/>
          <w:szCs w:val="22"/>
        </w:rPr>
        <w:t>, (iii)</w:t>
      </w:r>
      <w:r w:rsidR="0014667F" w:rsidRPr="008900D8">
        <w:rPr>
          <w:rFonts w:asciiTheme="minorHAnsi" w:hAnsiTheme="minorHAnsi" w:cstheme="minorHAnsi"/>
          <w:sz w:val="22"/>
          <w:szCs w:val="22"/>
        </w:rPr>
        <w:t xml:space="preserve"> </w:t>
      </w:r>
      <w:r w:rsidR="003306C3" w:rsidRPr="008900D8">
        <w:rPr>
          <w:rFonts w:asciiTheme="minorHAnsi" w:hAnsiTheme="minorHAnsi" w:cstheme="minorHAnsi"/>
          <w:sz w:val="22"/>
          <w:szCs w:val="22"/>
        </w:rPr>
        <w:t xml:space="preserve">handling of </w:t>
      </w:r>
      <w:r w:rsidR="0014667F" w:rsidRPr="008900D8">
        <w:rPr>
          <w:rFonts w:asciiTheme="minorHAnsi" w:hAnsiTheme="minorHAnsi" w:cstheme="minorHAnsi"/>
          <w:sz w:val="22"/>
          <w:szCs w:val="22"/>
        </w:rPr>
        <w:t>issues of community development, land acquisition, compensation and resettlement</w:t>
      </w:r>
      <w:r w:rsidR="003306C3" w:rsidRPr="008900D8">
        <w:rPr>
          <w:rFonts w:asciiTheme="minorHAnsi" w:hAnsiTheme="minorHAnsi" w:cstheme="minorHAnsi"/>
          <w:sz w:val="22"/>
          <w:szCs w:val="22"/>
        </w:rPr>
        <w:t>, (iv) upgrading of</w:t>
      </w:r>
      <w:r w:rsidR="0014667F" w:rsidRPr="008900D8">
        <w:rPr>
          <w:rFonts w:asciiTheme="minorHAnsi" w:hAnsiTheme="minorHAnsi" w:cstheme="minorHAnsi"/>
          <w:sz w:val="22"/>
          <w:szCs w:val="22"/>
        </w:rPr>
        <w:t xml:space="preserve"> skills and capabilities of local labor </w:t>
      </w:r>
      <w:r w:rsidR="003306C3" w:rsidRPr="008900D8">
        <w:rPr>
          <w:rFonts w:asciiTheme="minorHAnsi" w:hAnsiTheme="minorHAnsi" w:cstheme="minorHAnsi"/>
          <w:sz w:val="22"/>
          <w:szCs w:val="22"/>
        </w:rPr>
        <w:t xml:space="preserve">in </w:t>
      </w:r>
      <w:r w:rsidR="0014667F" w:rsidRPr="008900D8">
        <w:rPr>
          <w:rFonts w:asciiTheme="minorHAnsi" w:hAnsiTheme="minorHAnsi" w:cstheme="minorHAnsi"/>
          <w:sz w:val="22"/>
          <w:szCs w:val="22"/>
        </w:rPr>
        <w:t>the long term, both at basic and senior technical levels</w:t>
      </w:r>
      <w:r w:rsidR="003306C3" w:rsidRPr="008900D8">
        <w:rPr>
          <w:rFonts w:asciiTheme="minorHAnsi" w:hAnsiTheme="minorHAnsi" w:cstheme="minorHAnsi"/>
          <w:sz w:val="22"/>
          <w:szCs w:val="22"/>
        </w:rPr>
        <w:t xml:space="preserve">, </w:t>
      </w:r>
      <w:r w:rsidR="0014667F" w:rsidRPr="008900D8">
        <w:rPr>
          <w:rFonts w:asciiTheme="minorHAnsi" w:hAnsiTheme="minorHAnsi" w:cstheme="minorHAnsi"/>
          <w:sz w:val="22"/>
          <w:szCs w:val="22"/>
        </w:rPr>
        <w:t xml:space="preserve">and </w:t>
      </w:r>
      <w:r w:rsidR="003306C3" w:rsidRPr="008900D8">
        <w:rPr>
          <w:rFonts w:asciiTheme="minorHAnsi" w:hAnsiTheme="minorHAnsi" w:cstheme="minorHAnsi"/>
          <w:sz w:val="22"/>
          <w:szCs w:val="22"/>
        </w:rPr>
        <w:t xml:space="preserve">(v) </w:t>
      </w:r>
      <w:r w:rsidR="0014667F" w:rsidRPr="008900D8">
        <w:rPr>
          <w:rFonts w:asciiTheme="minorHAnsi" w:hAnsiTheme="minorHAnsi" w:cstheme="minorHAnsi"/>
          <w:sz w:val="22"/>
          <w:szCs w:val="22"/>
        </w:rPr>
        <w:t xml:space="preserve">whether incremental investments in infrastructure to support shared use will be realized. For </w:t>
      </w:r>
      <w:r w:rsidR="003306C3" w:rsidRPr="008900D8">
        <w:rPr>
          <w:rFonts w:asciiTheme="minorHAnsi" w:hAnsiTheme="minorHAnsi" w:cstheme="minorHAnsi"/>
          <w:sz w:val="22"/>
          <w:szCs w:val="22"/>
        </w:rPr>
        <w:t>instance</w:t>
      </w:r>
      <w:r w:rsidR="0014667F" w:rsidRPr="008900D8">
        <w:rPr>
          <w:rFonts w:asciiTheme="minorHAnsi" w:hAnsiTheme="minorHAnsi" w:cstheme="minorHAnsi"/>
          <w:sz w:val="22"/>
          <w:szCs w:val="22"/>
        </w:rPr>
        <w:t>, although MCC has agreed to build a transmission line that will pass close to Kabul on its way from the power plant to the Aynak mine, it is not clear if Kabul‘s existing distribution network has sufficient capacity to deliver the power where it is needed, or how the MCC plant will be integrated into the national grid.</w:t>
      </w:r>
    </w:p>
    <w:p w:rsidR="0014667F" w:rsidRDefault="0014667F" w:rsidP="003F3C4F">
      <w:pPr>
        <w:tabs>
          <w:tab w:val="left" w:pos="720"/>
        </w:tabs>
        <w:spacing w:before="120" w:after="120"/>
        <w:rPr>
          <w:rFonts w:cstheme="minorHAnsi"/>
          <w:szCs w:val="22"/>
        </w:rPr>
      </w:pPr>
      <w:r w:rsidRPr="008900D8">
        <w:rPr>
          <w:rFonts w:cstheme="minorHAnsi"/>
          <w:b/>
          <w:szCs w:val="22"/>
        </w:rPr>
        <w:t xml:space="preserve">To realize the mining sector’s full potential, hard and soft infrastructure must be combined along a </w:t>
      </w:r>
      <w:r w:rsidR="00E52CC0" w:rsidRPr="008900D8">
        <w:rPr>
          <w:rFonts w:cstheme="minorHAnsi"/>
          <w:b/>
          <w:szCs w:val="22"/>
        </w:rPr>
        <w:t>“</w:t>
      </w:r>
      <w:r w:rsidRPr="008900D8">
        <w:rPr>
          <w:rFonts w:cstheme="minorHAnsi"/>
          <w:b/>
          <w:szCs w:val="22"/>
        </w:rPr>
        <w:t>resource growth corridor</w:t>
      </w:r>
      <w:r w:rsidR="00E52CC0" w:rsidRPr="008900D8">
        <w:rPr>
          <w:rFonts w:cstheme="minorHAnsi"/>
          <w:b/>
          <w:szCs w:val="22"/>
        </w:rPr>
        <w:t>”</w:t>
      </w:r>
      <w:r w:rsidRPr="008900D8">
        <w:rPr>
          <w:rFonts w:cstheme="minorHAnsi"/>
          <w:b/>
          <w:szCs w:val="22"/>
        </w:rPr>
        <w:t>.</w:t>
      </w:r>
      <w:r w:rsidR="001B07DD" w:rsidRPr="008900D8">
        <w:rPr>
          <w:rFonts w:cstheme="minorHAnsi"/>
          <w:b/>
          <w:szCs w:val="22"/>
        </w:rPr>
        <w:t xml:space="preserve"> </w:t>
      </w:r>
      <w:r w:rsidR="00E52CC0" w:rsidRPr="008900D8">
        <w:rPr>
          <w:rFonts w:cstheme="minorHAnsi"/>
          <w:szCs w:val="22"/>
        </w:rPr>
        <w:t>Such a</w:t>
      </w:r>
      <w:r w:rsidRPr="008900D8">
        <w:rPr>
          <w:rFonts w:cstheme="minorHAnsi"/>
          <w:szCs w:val="22"/>
        </w:rPr>
        <w:t xml:space="preserve"> corridor </w:t>
      </w:r>
      <w:r w:rsidR="00E52CC0" w:rsidRPr="008900D8">
        <w:rPr>
          <w:rFonts w:cstheme="minorHAnsi"/>
          <w:szCs w:val="22"/>
        </w:rPr>
        <w:t xml:space="preserve">would </w:t>
      </w:r>
      <w:r w:rsidRPr="008900D8">
        <w:rPr>
          <w:rFonts w:cstheme="minorHAnsi"/>
          <w:szCs w:val="22"/>
        </w:rPr>
        <w:t>aim to exploit resources’ potential while escaping resource dependency.</w:t>
      </w:r>
      <w:r w:rsidR="001B07DD" w:rsidRPr="008900D8">
        <w:rPr>
          <w:rFonts w:cstheme="minorHAnsi"/>
          <w:szCs w:val="22"/>
        </w:rPr>
        <w:t xml:space="preserve"> </w:t>
      </w:r>
      <w:r w:rsidRPr="008900D8">
        <w:rPr>
          <w:rFonts w:cstheme="minorHAnsi"/>
          <w:szCs w:val="22"/>
        </w:rPr>
        <w:t>It represents a combination of efforts to leverage a large</w:t>
      </w:r>
      <w:r w:rsidR="00E52CC0" w:rsidRPr="008900D8">
        <w:rPr>
          <w:rFonts w:cstheme="minorHAnsi"/>
          <w:szCs w:val="22"/>
        </w:rPr>
        <w:t>,</w:t>
      </w:r>
      <w:r w:rsidRPr="008900D8">
        <w:rPr>
          <w:rFonts w:cstheme="minorHAnsi"/>
          <w:szCs w:val="22"/>
        </w:rPr>
        <w:t xml:space="preserve"> extractive</w:t>
      </w:r>
      <w:r w:rsidR="00E52CC0" w:rsidRPr="008900D8">
        <w:rPr>
          <w:rFonts w:cstheme="minorHAnsi"/>
          <w:szCs w:val="22"/>
        </w:rPr>
        <w:t>-</w:t>
      </w:r>
      <w:r w:rsidRPr="008900D8">
        <w:rPr>
          <w:rFonts w:cstheme="minorHAnsi"/>
          <w:szCs w:val="22"/>
        </w:rPr>
        <w:t>industry investment, and its requirements for infrastructure and goods and services, into viable economic development and diversification.</w:t>
      </w:r>
      <w:r w:rsidR="001B07DD" w:rsidRPr="008900D8">
        <w:rPr>
          <w:rFonts w:cstheme="minorHAnsi"/>
          <w:szCs w:val="22"/>
        </w:rPr>
        <w:t xml:space="preserve"> </w:t>
      </w:r>
      <w:r w:rsidRPr="008900D8">
        <w:rPr>
          <w:rFonts w:cstheme="minorHAnsi"/>
          <w:szCs w:val="22"/>
        </w:rPr>
        <w:t>For a number of reasons, especially in a low-income country, economic linkages between mining and the rest of the economy will not naturally occur through market forces.</w:t>
      </w:r>
      <w:r w:rsidR="001B07DD" w:rsidRPr="008900D8">
        <w:rPr>
          <w:rFonts w:cstheme="minorHAnsi"/>
          <w:szCs w:val="22"/>
        </w:rPr>
        <w:t xml:space="preserve"> </w:t>
      </w:r>
      <w:r w:rsidRPr="008900D8">
        <w:rPr>
          <w:rFonts w:cstheme="minorHAnsi"/>
          <w:szCs w:val="22"/>
        </w:rPr>
        <w:t>When the barriers to wider benefits are not addressed, the local economy is unlikely to take advantage of the opportunities to supply goods and services to the mine or other resource-based investment, or take advantage of any potential to use its products and its associated infrastructure.</w:t>
      </w:r>
      <w:r w:rsidR="001B07DD" w:rsidRPr="008900D8">
        <w:rPr>
          <w:rFonts w:cstheme="minorHAnsi"/>
          <w:szCs w:val="22"/>
        </w:rPr>
        <w:t xml:space="preserve"> </w:t>
      </w:r>
      <w:r w:rsidRPr="008900D8">
        <w:rPr>
          <w:rFonts w:cstheme="minorHAnsi"/>
          <w:szCs w:val="22"/>
        </w:rPr>
        <w:t>In particular, there is a need to rapidly prepare the fledgling Afghan private sector to reap the downstream benefits generated by the large mining projects</w:t>
      </w:r>
      <w:r w:rsidR="00E52CC0" w:rsidRPr="008900D8">
        <w:rPr>
          <w:rFonts w:cstheme="minorHAnsi"/>
          <w:szCs w:val="22"/>
        </w:rPr>
        <w:t>,</w:t>
      </w:r>
      <w:r w:rsidRPr="008900D8">
        <w:rPr>
          <w:rFonts w:cstheme="minorHAnsi"/>
          <w:szCs w:val="22"/>
        </w:rPr>
        <w:t xml:space="preserve"> and generate jobs, taking into account the challenging investment climate.</w:t>
      </w:r>
      <w:r w:rsidR="001B07DD" w:rsidRPr="008900D8">
        <w:rPr>
          <w:rFonts w:cstheme="minorHAnsi"/>
          <w:szCs w:val="22"/>
        </w:rPr>
        <w:t xml:space="preserve"> </w:t>
      </w:r>
    </w:p>
    <w:p w:rsidR="00B97492" w:rsidRDefault="00B97492" w:rsidP="00B97492">
      <w:pPr>
        <w:overflowPunct w:val="0"/>
        <w:autoSpaceDE w:val="0"/>
        <w:autoSpaceDN w:val="0"/>
        <w:adjustRightInd w:val="0"/>
        <w:spacing w:after="0" w:line="240" w:lineRule="auto"/>
        <w:textAlignment w:val="baseline"/>
        <w:rPr>
          <w:rFonts w:ascii="Calibri" w:hAnsi="Calibri"/>
          <w:szCs w:val="22"/>
        </w:rPr>
      </w:pPr>
      <w:r>
        <w:rPr>
          <w:rFonts w:ascii="Calibri" w:hAnsi="Calibri"/>
          <w:b/>
          <w:bCs/>
          <w:szCs w:val="22"/>
        </w:rPr>
        <w:t xml:space="preserve">The Government’s </w:t>
      </w:r>
      <w:r w:rsidRPr="00994A61">
        <w:rPr>
          <w:rFonts w:ascii="Calibri" w:hAnsi="Calibri"/>
          <w:b/>
          <w:bCs/>
          <w:szCs w:val="22"/>
        </w:rPr>
        <w:t>National Regional Resources Corridors Program focuses on developing the critical infrastructure needed to realize the mining sector’s full potential.</w:t>
      </w:r>
      <w:r w:rsidRPr="00994A61">
        <w:rPr>
          <w:rFonts w:ascii="Calibri" w:hAnsi="Calibri"/>
          <w:szCs w:val="22"/>
        </w:rPr>
        <w:t xml:space="preserve">   A resource growth corridor aims to exploit resources’ potential while </w:t>
      </w:r>
      <w:r>
        <w:rPr>
          <w:rFonts w:ascii="Calibri" w:hAnsi="Calibri"/>
          <w:szCs w:val="22"/>
        </w:rPr>
        <w:t>avoiding</w:t>
      </w:r>
      <w:r w:rsidRPr="00994A61">
        <w:rPr>
          <w:rFonts w:ascii="Calibri" w:hAnsi="Calibri"/>
          <w:szCs w:val="22"/>
        </w:rPr>
        <w:t xml:space="preserve"> resource dependency.  It represents a combination of efforts to leverage a large extractive industry investment, and its requirements for infrastructure and goods and services, into viable economic development and diversification.</w:t>
      </w:r>
    </w:p>
    <w:p w:rsidR="00B97492" w:rsidRDefault="00B97492" w:rsidP="00B97492">
      <w:pPr>
        <w:overflowPunct w:val="0"/>
        <w:autoSpaceDE w:val="0"/>
        <w:autoSpaceDN w:val="0"/>
        <w:adjustRightInd w:val="0"/>
        <w:spacing w:after="0" w:line="240" w:lineRule="auto"/>
        <w:textAlignment w:val="baseline"/>
        <w:rPr>
          <w:rFonts w:ascii="Calibri" w:hAnsi="Calibri"/>
          <w:szCs w:val="22"/>
        </w:rPr>
      </w:pPr>
      <w:r w:rsidRPr="00994A61">
        <w:rPr>
          <w:rFonts w:ascii="Calibri" w:hAnsi="Calibri"/>
          <w:szCs w:val="22"/>
        </w:rPr>
        <w:t xml:space="preserve">  </w:t>
      </w:r>
    </w:p>
    <w:p w:rsidR="00B97492" w:rsidRPr="00B97492" w:rsidRDefault="006D18D1" w:rsidP="003F3C4F">
      <w:pPr>
        <w:tabs>
          <w:tab w:val="left" w:pos="720"/>
        </w:tabs>
        <w:spacing w:before="120" w:after="120"/>
        <w:rPr>
          <w:rFonts w:ascii="Calibri" w:hAnsi="Calibri"/>
          <w:szCs w:val="22"/>
        </w:rPr>
      </w:pPr>
      <w:r w:rsidRPr="00994A61">
        <w:rPr>
          <w:rFonts w:ascii="Calibri" w:hAnsi="Calibri"/>
          <w:b/>
          <w:bCs/>
          <w:szCs w:val="22"/>
        </w:rPr>
        <w:t>The launch of the National and Regional Resource Corridor Program (NRRCP) represents a response to these challenges.</w:t>
      </w:r>
      <w:r w:rsidRPr="00994A61">
        <w:rPr>
          <w:rFonts w:ascii="Calibri" w:hAnsi="Calibri"/>
          <w:szCs w:val="22"/>
        </w:rPr>
        <w:t xml:space="preserve"> However, at the moment, the NRRCP’s targets are primarily an ambitious list of ‘hard’ infrastructure projects in road, rail, and air.  These targets need to be supplemented by “soft” infrastructure, in particular, community development, land management and acquisition, the mitigation of environmental impact, enterprise development, and institutional capacity.  If this soft infrastructure is not addressed simultaneously with (or before) physical infrastructure, the full potential of the investments </w:t>
      </w:r>
      <w:r w:rsidR="00B97492">
        <w:rPr>
          <w:rFonts w:ascii="Calibri" w:hAnsi="Calibri"/>
          <w:szCs w:val="22"/>
        </w:rPr>
        <w:t xml:space="preserve">may </w:t>
      </w:r>
      <w:r w:rsidRPr="00994A61">
        <w:rPr>
          <w:rFonts w:ascii="Calibri" w:hAnsi="Calibri"/>
          <w:szCs w:val="22"/>
        </w:rPr>
        <w:t>not be realized</w:t>
      </w:r>
      <w:r w:rsidR="00B97492">
        <w:rPr>
          <w:rFonts w:ascii="Calibri" w:hAnsi="Calibri"/>
          <w:szCs w:val="22"/>
        </w:rPr>
        <w:t>.</w:t>
      </w:r>
      <w:r w:rsidR="006B687E">
        <w:rPr>
          <w:rFonts w:ascii="Calibri" w:hAnsi="Calibri"/>
          <w:szCs w:val="22"/>
        </w:rPr>
        <w:t xml:space="preserve">  </w:t>
      </w:r>
      <w:r w:rsidR="006B687E" w:rsidRPr="00E773A2">
        <w:rPr>
          <w:rFonts w:cstheme="minorHAnsi"/>
          <w:color w:val="000000"/>
        </w:rPr>
        <w:t>The WB, with AusAID support, has launched a program to support the NRRCP Secretariat and Government more broadly to define and undertake actions to build such soft infrastructure</w:t>
      </w:r>
      <w:r w:rsidR="006B687E">
        <w:rPr>
          <w:rFonts w:cstheme="minorHAnsi"/>
          <w:color w:val="000000"/>
        </w:rPr>
        <w:t>.</w:t>
      </w:r>
    </w:p>
    <w:p w:rsidR="006D18D1" w:rsidRDefault="006D18D1" w:rsidP="006D18D1">
      <w:pPr>
        <w:overflowPunct w:val="0"/>
        <w:autoSpaceDE w:val="0"/>
        <w:autoSpaceDN w:val="0"/>
        <w:adjustRightInd w:val="0"/>
        <w:spacing w:after="0" w:line="240" w:lineRule="auto"/>
        <w:textAlignment w:val="baseline"/>
        <w:rPr>
          <w:rFonts w:ascii="Calibri" w:hAnsi="Calibri"/>
          <w:szCs w:val="22"/>
        </w:rPr>
      </w:pPr>
      <w:r w:rsidRPr="006D18D1">
        <w:rPr>
          <w:rFonts w:ascii="Calibri" w:hAnsi="Calibri"/>
          <w:b/>
          <w:bCs/>
          <w:szCs w:val="22"/>
        </w:rPr>
        <w:t>The next few years, while mining investments are still ramping up, represent a window of opportunity to lay the foundation for long-term sustainable growth in the sector.</w:t>
      </w:r>
      <w:r w:rsidRPr="006D18D1">
        <w:rPr>
          <w:rFonts w:ascii="Calibri" w:hAnsi="Calibri"/>
          <w:szCs w:val="22"/>
        </w:rPr>
        <w:t xml:space="preserve">  Achieving a more optimal outcome for the livelihoods of the Afghan people will depend on making progress from the start across several interrelated factors.  These include: </w:t>
      </w:r>
    </w:p>
    <w:p w:rsidR="006D18D1" w:rsidRPr="006D18D1" w:rsidRDefault="006D18D1" w:rsidP="006D18D1">
      <w:pPr>
        <w:overflowPunct w:val="0"/>
        <w:autoSpaceDE w:val="0"/>
        <w:autoSpaceDN w:val="0"/>
        <w:adjustRightInd w:val="0"/>
        <w:spacing w:after="0" w:line="240" w:lineRule="auto"/>
        <w:textAlignment w:val="baseline"/>
        <w:rPr>
          <w:rFonts w:ascii="Calibri" w:hAnsi="Calibri"/>
          <w:szCs w:val="22"/>
        </w:rPr>
      </w:pPr>
    </w:p>
    <w:p w:rsidR="0014667F" w:rsidRPr="008900D8" w:rsidRDefault="0014667F" w:rsidP="0005346D">
      <w:pPr>
        <w:pStyle w:val="ListParagraph"/>
        <w:numPr>
          <w:ilvl w:val="0"/>
          <w:numId w:val="10"/>
        </w:numPr>
        <w:spacing w:before="120" w:after="0"/>
        <w:rPr>
          <w:rFonts w:cstheme="minorHAnsi"/>
          <w:szCs w:val="22"/>
        </w:rPr>
      </w:pPr>
      <w:r w:rsidRPr="008900D8">
        <w:rPr>
          <w:rFonts w:cstheme="minorHAnsi"/>
          <w:b/>
          <w:szCs w:val="22"/>
        </w:rPr>
        <w:t>Infrastructure development</w:t>
      </w:r>
      <w:r w:rsidR="00FB4BBE" w:rsidRPr="008900D8">
        <w:rPr>
          <w:rFonts w:cstheme="minorHAnsi"/>
          <w:b/>
          <w:szCs w:val="22"/>
        </w:rPr>
        <w:t>.</w:t>
      </w:r>
      <w:r w:rsidRPr="008900D8">
        <w:rPr>
          <w:rFonts w:cstheme="minorHAnsi"/>
          <w:szCs w:val="22"/>
        </w:rPr>
        <w:t xml:space="preserve"> </w:t>
      </w:r>
      <w:r w:rsidR="00FB4BBE" w:rsidRPr="008900D8">
        <w:rPr>
          <w:rFonts w:cstheme="minorHAnsi"/>
          <w:szCs w:val="22"/>
        </w:rPr>
        <w:t xml:space="preserve">Assets such as </w:t>
      </w:r>
      <w:r w:rsidRPr="008900D8">
        <w:rPr>
          <w:rFonts w:cstheme="minorHAnsi"/>
          <w:szCs w:val="22"/>
        </w:rPr>
        <w:t>road</w:t>
      </w:r>
      <w:r w:rsidR="00FB4BBE" w:rsidRPr="008900D8">
        <w:rPr>
          <w:rFonts w:cstheme="minorHAnsi"/>
          <w:szCs w:val="22"/>
        </w:rPr>
        <w:t>s</w:t>
      </w:r>
      <w:r w:rsidRPr="008900D8">
        <w:rPr>
          <w:rFonts w:cstheme="minorHAnsi"/>
          <w:szCs w:val="22"/>
        </w:rPr>
        <w:t xml:space="preserve">, rail, power, water, </w:t>
      </w:r>
      <w:r w:rsidR="00FB4BBE" w:rsidRPr="008900D8">
        <w:rPr>
          <w:rFonts w:cstheme="minorHAnsi"/>
          <w:szCs w:val="22"/>
        </w:rPr>
        <w:t xml:space="preserve">and </w:t>
      </w:r>
      <w:r w:rsidRPr="008900D8">
        <w:rPr>
          <w:rFonts w:cstheme="minorHAnsi"/>
          <w:szCs w:val="22"/>
        </w:rPr>
        <w:t>ICT</w:t>
      </w:r>
      <w:r w:rsidR="00FB4BBE" w:rsidRPr="008900D8">
        <w:rPr>
          <w:rFonts w:cstheme="minorHAnsi"/>
          <w:szCs w:val="22"/>
        </w:rPr>
        <w:t xml:space="preserve"> should be used </w:t>
      </w:r>
      <w:r w:rsidRPr="008900D8">
        <w:rPr>
          <w:rFonts w:cstheme="minorHAnsi"/>
          <w:szCs w:val="22"/>
        </w:rPr>
        <w:t xml:space="preserve">to leverage private investment into public goods, through </w:t>
      </w:r>
      <w:r w:rsidR="00E52CC0" w:rsidRPr="008900D8">
        <w:rPr>
          <w:rFonts w:cstheme="minorHAnsi"/>
          <w:szCs w:val="22"/>
        </w:rPr>
        <w:t xml:space="preserve">public-private partnerships </w:t>
      </w:r>
      <w:r w:rsidRPr="008900D8">
        <w:rPr>
          <w:rFonts w:cstheme="minorHAnsi"/>
          <w:szCs w:val="22"/>
        </w:rPr>
        <w:t>whe</w:t>
      </w:r>
      <w:r w:rsidR="00E52CC0" w:rsidRPr="008900D8">
        <w:rPr>
          <w:rFonts w:cstheme="minorHAnsi"/>
          <w:szCs w:val="22"/>
        </w:rPr>
        <w:t>re</w:t>
      </w:r>
      <w:r w:rsidRPr="008900D8">
        <w:rPr>
          <w:rFonts w:cstheme="minorHAnsi"/>
          <w:szCs w:val="22"/>
        </w:rPr>
        <w:t xml:space="preserve"> possible.</w:t>
      </w:r>
      <w:r w:rsidR="001B07DD" w:rsidRPr="008900D8">
        <w:rPr>
          <w:rFonts w:cstheme="minorHAnsi"/>
          <w:szCs w:val="22"/>
        </w:rPr>
        <w:t xml:space="preserve"> </w:t>
      </w:r>
      <w:r w:rsidRPr="008900D8">
        <w:rPr>
          <w:rFonts w:cstheme="minorHAnsi"/>
          <w:szCs w:val="22"/>
        </w:rPr>
        <w:t>Infrastructure development (particular</w:t>
      </w:r>
      <w:r w:rsidR="00E52CC0" w:rsidRPr="008900D8">
        <w:rPr>
          <w:rFonts w:cstheme="minorHAnsi"/>
          <w:szCs w:val="22"/>
        </w:rPr>
        <w:t>ly</w:t>
      </w:r>
      <w:r w:rsidRPr="008900D8">
        <w:rPr>
          <w:rFonts w:cstheme="minorHAnsi"/>
          <w:szCs w:val="22"/>
        </w:rPr>
        <w:t xml:space="preserve"> rail) requires regional coordination (with neighboring countries), </w:t>
      </w:r>
      <w:r w:rsidR="00E52CC0" w:rsidRPr="008900D8">
        <w:rPr>
          <w:rFonts w:cstheme="minorHAnsi"/>
          <w:szCs w:val="22"/>
        </w:rPr>
        <w:t xml:space="preserve">a </w:t>
      </w:r>
      <w:r w:rsidRPr="008900D8">
        <w:rPr>
          <w:rFonts w:cstheme="minorHAnsi"/>
          <w:szCs w:val="22"/>
        </w:rPr>
        <w:t>multimodal approach</w:t>
      </w:r>
      <w:r w:rsidR="00E52CC0" w:rsidRPr="008900D8">
        <w:rPr>
          <w:rFonts w:cstheme="minorHAnsi"/>
          <w:szCs w:val="22"/>
        </w:rPr>
        <w:t>,</w:t>
      </w:r>
      <w:r w:rsidRPr="008900D8">
        <w:rPr>
          <w:rFonts w:cstheme="minorHAnsi"/>
          <w:szCs w:val="22"/>
        </w:rPr>
        <w:t xml:space="preserve"> and must combine hard and soft infrastructure for maximum benefit, </w:t>
      </w:r>
      <w:r w:rsidR="00E52CC0" w:rsidRPr="008900D8">
        <w:rPr>
          <w:rFonts w:cstheme="minorHAnsi"/>
          <w:szCs w:val="22"/>
        </w:rPr>
        <w:t>i.e</w:t>
      </w:r>
      <w:r w:rsidRPr="008900D8">
        <w:rPr>
          <w:rFonts w:cstheme="minorHAnsi"/>
          <w:szCs w:val="22"/>
        </w:rPr>
        <w:t>., transport routes should be complemented with trade facilitation services.</w:t>
      </w:r>
      <w:r w:rsidR="001B07DD" w:rsidRPr="008900D8">
        <w:rPr>
          <w:rFonts w:cstheme="minorHAnsi"/>
          <w:szCs w:val="22"/>
        </w:rPr>
        <w:t xml:space="preserve"> </w:t>
      </w:r>
      <w:r w:rsidRPr="008900D8">
        <w:rPr>
          <w:rFonts w:cstheme="minorHAnsi"/>
          <w:szCs w:val="22"/>
        </w:rPr>
        <w:t>Operations and maintenance (O&amp;M) requirements must also be assessed, especially since O&amp;M expenses are already projected to be a key driver of fiscal deterioration;</w:t>
      </w:r>
    </w:p>
    <w:p w:rsidR="0014667F" w:rsidRPr="008900D8" w:rsidRDefault="0014667F" w:rsidP="0005346D">
      <w:pPr>
        <w:pStyle w:val="ListParagraph"/>
        <w:numPr>
          <w:ilvl w:val="0"/>
          <w:numId w:val="10"/>
        </w:numPr>
        <w:spacing w:after="0"/>
        <w:rPr>
          <w:rFonts w:cstheme="minorHAnsi"/>
          <w:szCs w:val="22"/>
        </w:rPr>
      </w:pPr>
      <w:r w:rsidRPr="008900D8">
        <w:rPr>
          <w:rFonts w:cstheme="minorHAnsi"/>
          <w:b/>
          <w:szCs w:val="22"/>
        </w:rPr>
        <w:t>Social and environment</w:t>
      </w:r>
      <w:r w:rsidR="00FB4BBE" w:rsidRPr="008900D8">
        <w:rPr>
          <w:rFonts w:cstheme="minorHAnsi"/>
          <w:b/>
          <w:szCs w:val="22"/>
        </w:rPr>
        <w:t>al</w:t>
      </w:r>
      <w:r w:rsidRPr="008900D8">
        <w:rPr>
          <w:rFonts w:cstheme="minorHAnsi"/>
          <w:b/>
          <w:szCs w:val="22"/>
        </w:rPr>
        <w:t xml:space="preserve"> aspects</w:t>
      </w:r>
      <w:r w:rsidR="00FB4BBE" w:rsidRPr="008900D8">
        <w:rPr>
          <w:rFonts w:cstheme="minorHAnsi"/>
          <w:b/>
          <w:szCs w:val="22"/>
        </w:rPr>
        <w:t>.</w:t>
      </w:r>
      <w:r w:rsidRPr="008900D8">
        <w:rPr>
          <w:rFonts w:cstheme="minorHAnsi"/>
          <w:szCs w:val="22"/>
        </w:rPr>
        <w:t xml:space="preserve"> </w:t>
      </w:r>
      <w:r w:rsidR="00FB4BBE" w:rsidRPr="008900D8">
        <w:rPr>
          <w:rFonts w:cstheme="minorHAnsi"/>
          <w:szCs w:val="22"/>
        </w:rPr>
        <w:t>The</w:t>
      </w:r>
      <w:r w:rsidRPr="008900D8">
        <w:rPr>
          <w:rFonts w:cstheme="minorHAnsi"/>
          <w:szCs w:val="22"/>
        </w:rPr>
        <w:t xml:space="preserve"> focus </w:t>
      </w:r>
      <w:r w:rsidR="00FB4BBE" w:rsidRPr="008900D8">
        <w:rPr>
          <w:rFonts w:cstheme="minorHAnsi"/>
          <w:szCs w:val="22"/>
        </w:rPr>
        <w:t xml:space="preserve">should be </w:t>
      </w:r>
      <w:r w:rsidRPr="008900D8">
        <w:rPr>
          <w:rFonts w:cstheme="minorHAnsi"/>
          <w:szCs w:val="22"/>
        </w:rPr>
        <w:t>on pre-conditions for resource corridor development</w:t>
      </w:r>
      <w:r w:rsidR="00FB4BBE" w:rsidRPr="008900D8">
        <w:rPr>
          <w:rFonts w:cstheme="minorHAnsi"/>
          <w:szCs w:val="22"/>
        </w:rPr>
        <w:t>,</w:t>
      </w:r>
      <w:r w:rsidRPr="008900D8">
        <w:rPr>
          <w:rFonts w:cstheme="minorHAnsi"/>
          <w:szCs w:val="22"/>
        </w:rPr>
        <w:t xml:space="preserve"> provid</w:t>
      </w:r>
      <w:r w:rsidR="00FB4BBE" w:rsidRPr="008900D8">
        <w:rPr>
          <w:rFonts w:cstheme="minorHAnsi"/>
          <w:szCs w:val="22"/>
        </w:rPr>
        <w:t>ing</w:t>
      </w:r>
      <w:r w:rsidRPr="008900D8">
        <w:rPr>
          <w:rFonts w:cstheme="minorHAnsi"/>
          <w:szCs w:val="22"/>
        </w:rPr>
        <w:t xml:space="preserve"> immediate benefits for and involvement of communities around the corridor. Improved land administration is a particular</w:t>
      </w:r>
      <w:r w:rsidR="00FB4BBE" w:rsidRPr="008900D8">
        <w:rPr>
          <w:rFonts w:cstheme="minorHAnsi"/>
          <w:szCs w:val="22"/>
        </w:rPr>
        <w:t>ly</w:t>
      </w:r>
      <w:r w:rsidRPr="008900D8">
        <w:rPr>
          <w:rFonts w:cstheme="minorHAnsi"/>
          <w:szCs w:val="22"/>
        </w:rPr>
        <w:t xml:space="preserve"> pressing issue</w:t>
      </w:r>
      <w:r w:rsidR="00FB4BBE" w:rsidRPr="008900D8">
        <w:rPr>
          <w:rFonts w:cstheme="minorHAnsi"/>
          <w:szCs w:val="22"/>
        </w:rPr>
        <w:t>, and should</w:t>
      </w:r>
      <w:r w:rsidRPr="008900D8">
        <w:rPr>
          <w:rFonts w:cstheme="minorHAnsi"/>
          <w:szCs w:val="22"/>
        </w:rPr>
        <w:t xml:space="preserve"> includ</w:t>
      </w:r>
      <w:r w:rsidR="00FB4BBE" w:rsidRPr="008900D8">
        <w:rPr>
          <w:rFonts w:cstheme="minorHAnsi"/>
          <w:szCs w:val="22"/>
        </w:rPr>
        <w:t>e</w:t>
      </w:r>
      <w:r w:rsidRPr="008900D8">
        <w:rPr>
          <w:rFonts w:cstheme="minorHAnsi"/>
          <w:szCs w:val="22"/>
        </w:rPr>
        <w:t xml:space="preserve"> </w:t>
      </w:r>
      <w:r w:rsidR="00FB4BBE" w:rsidRPr="008900D8">
        <w:rPr>
          <w:rFonts w:cstheme="minorHAnsi"/>
          <w:szCs w:val="22"/>
        </w:rPr>
        <w:t xml:space="preserve">a </w:t>
      </w:r>
      <w:r w:rsidRPr="008900D8">
        <w:rPr>
          <w:rFonts w:cstheme="minorHAnsi"/>
          <w:szCs w:val="22"/>
        </w:rPr>
        <w:t xml:space="preserve">cadastre </w:t>
      </w:r>
      <w:r w:rsidR="00FB4BBE" w:rsidRPr="008900D8">
        <w:rPr>
          <w:rFonts w:cstheme="minorHAnsi"/>
          <w:szCs w:val="22"/>
        </w:rPr>
        <w:t>of</w:t>
      </w:r>
      <w:r w:rsidRPr="008900D8">
        <w:rPr>
          <w:rFonts w:cstheme="minorHAnsi"/>
          <w:szCs w:val="22"/>
        </w:rPr>
        <w:t xml:space="preserve"> all land within the resource corridor, rationalization of land management</w:t>
      </w:r>
      <w:r w:rsidR="00FB4BBE" w:rsidRPr="008900D8">
        <w:rPr>
          <w:rFonts w:cstheme="minorHAnsi"/>
          <w:szCs w:val="22"/>
        </w:rPr>
        <w:t>,</w:t>
      </w:r>
      <w:r w:rsidRPr="008900D8">
        <w:rPr>
          <w:rFonts w:cstheme="minorHAnsi"/>
          <w:szCs w:val="22"/>
        </w:rPr>
        <w:t xml:space="preserve"> and </w:t>
      </w:r>
      <w:r w:rsidR="00FB4BBE" w:rsidRPr="008900D8">
        <w:rPr>
          <w:rFonts w:cstheme="minorHAnsi"/>
          <w:szCs w:val="22"/>
        </w:rPr>
        <w:t xml:space="preserve">a </w:t>
      </w:r>
      <w:r w:rsidRPr="008900D8">
        <w:rPr>
          <w:rFonts w:cstheme="minorHAnsi"/>
          <w:szCs w:val="22"/>
        </w:rPr>
        <w:t>revised legal framework for land acquisition, resettlement and compensation</w:t>
      </w:r>
      <w:r w:rsidR="00FB4BBE" w:rsidRPr="008900D8">
        <w:rPr>
          <w:rFonts w:cstheme="minorHAnsi"/>
          <w:szCs w:val="22"/>
        </w:rPr>
        <w:t>. O</w:t>
      </w:r>
      <w:r w:rsidRPr="008900D8">
        <w:rPr>
          <w:rFonts w:cstheme="minorHAnsi"/>
          <w:szCs w:val="22"/>
        </w:rPr>
        <w:t>ther key social and environmental issues</w:t>
      </w:r>
      <w:r w:rsidR="00FB4BBE" w:rsidRPr="008900D8">
        <w:rPr>
          <w:rFonts w:cstheme="minorHAnsi"/>
          <w:szCs w:val="22"/>
        </w:rPr>
        <w:t xml:space="preserve"> include</w:t>
      </w:r>
      <w:r w:rsidRPr="008900D8">
        <w:rPr>
          <w:rFonts w:cstheme="minorHAnsi"/>
          <w:szCs w:val="22"/>
        </w:rPr>
        <w:t xml:space="preserve"> mitigation of environmental impacts, building the capacity of the National Environmental Protection Agency, </w:t>
      </w:r>
      <w:r w:rsidR="00FB4BBE" w:rsidRPr="008900D8">
        <w:rPr>
          <w:rFonts w:cstheme="minorHAnsi"/>
          <w:szCs w:val="22"/>
        </w:rPr>
        <w:t xml:space="preserve">and </w:t>
      </w:r>
      <w:r w:rsidRPr="008900D8">
        <w:rPr>
          <w:rFonts w:cstheme="minorHAnsi"/>
          <w:szCs w:val="22"/>
        </w:rPr>
        <w:t>the preservation of cultural heritage and archeological sites;</w:t>
      </w:r>
    </w:p>
    <w:p w:rsidR="0014667F" w:rsidRPr="008900D8" w:rsidRDefault="0014667F" w:rsidP="0005346D">
      <w:pPr>
        <w:pStyle w:val="ListParagraph"/>
        <w:numPr>
          <w:ilvl w:val="0"/>
          <w:numId w:val="10"/>
        </w:numPr>
        <w:spacing w:after="0"/>
        <w:rPr>
          <w:rFonts w:cstheme="minorHAnsi"/>
          <w:szCs w:val="22"/>
        </w:rPr>
      </w:pPr>
      <w:r w:rsidRPr="008900D8">
        <w:rPr>
          <w:rFonts w:cstheme="minorHAnsi"/>
          <w:b/>
          <w:szCs w:val="22"/>
        </w:rPr>
        <w:t>Private sector development</w:t>
      </w:r>
      <w:r w:rsidR="00FB4BBE" w:rsidRPr="008900D8">
        <w:rPr>
          <w:rFonts w:cstheme="minorHAnsi"/>
          <w:b/>
          <w:szCs w:val="22"/>
        </w:rPr>
        <w:t>.</w:t>
      </w:r>
      <w:r w:rsidRPr="008900D8">
        <w:rPr>
          <w:rFonts w:cstheme="minorHAnsi"/>
          <w:szCs w:val="22"/>
        </w:rPr>
        <w:t xml:space="preserve"> </w:t>
      </w:r>
      <w:r w:rsidR="00FB4BBE" w:rsidRPr="008900D8">
        <w:rPr>
          <w:rFonts w:cstheme="minorHAnsi"/>
          <w:szCs w:val="22"/>
        </w:rPr>
        <w:t>This should be encouraged throughout</w:t>
      </w:r>
      <w:r w:rsidRPr="008900D8">
        <w:rPr>
          <w:rFonts w:cstheme="minorHAnsi"/>
          <w:szCs w:val="22"/>
        </w:rPr>
        <w:t xml:space="preserve"> the mining value chain, as </w:t>
      </w:r>
      <w:r w:rsidR="00FB4BBE" w:rsidRPr="008900D8">
        <w:rPr>
          <w:rFonts w:cstheme="minorHAnsi"/>
          <w:szCs w:val="22"/>
        </w:rPr>
        <w:t>well as</w:t>
      </w:r>
      <w:r w:rsidRPr="008900D8">
        <w:rPr>
          <w:rFonts w:cstheme="minorHAnsi"/>
          <w:szCs w:val="22"/>
        </w:rPr>
        <w:t xml:space="preserve"> agriculture and agribusiness along the corridor, and skills and capabilities development; </w:t>
      </w:r>
    </w:p>
    <w:p w:rsidR="0014667F" w:rsidRPr="008900D8" w:rsidRDefault="0014667F" w:rsidP="0005346D">
      <w:pPr>
        <w:pStyle w:val="ListParagraph"/>
        <w:numPr>
          <w:ilvl w:val="0"/>
          <w:numId w:val="10"/>
        </w:numPr>
        <w:spacing w:after="0"/>
        <w:rPr>
          <w:rFonts w:cstheme="minorHAnsi"/>
          <w:szCs w:val="22"/>
        </w:rPr>
      </w:pPr>
      <w:r w:rsidRPr="008900D8">
        <w:rPr>
          <w:rFonts w:cstheme="minorHAnsi"/>
          <w:b/>
          <w:szCs w:val="22"/>
        </w:rPr>
        <w:t>Governance and institutional arrangements</w:t>
      </w:r>
      <w:r w:rsidR="00FB4BBE" w:rsidRPr="008900D8">
        <w:rPr>
          <w:rFonts w:cstheme="minorHAnsi"/>
          <w:b/>
          <w:szCs w:val="22"/>
        </w:rPr>
        <w:t xml:space="preserve">. </w:t>
      </w:r>
      <w:r w:rsidR="00FB4BBE" w:rsidRPr="008900D8">
        <w:rPr>
          <w:rFonts w:cstheme="minorHAnsi"/>
          <w:szCs w:val="22"/>
        </w:rPr>
        <w:t xml:space="preserve">These should </w:t>
      </w:r>
      <w:r w:rsidRPr="008900D8">
        <w:rPr>
          <w:rFonts w:cstheme="minorHAnsi"/>
          <w:szCs w:val="22"/>
        </w:rPr>
        <w:t xml:space="preserve">enable successful implementation of </w:t>
      </w:r>
      <w:r w:rsidR="00FB4BBE" w:rsidRPr="008900D8">
        <w:rPr>
          <w:rFonts w:cstheme="minorHAnsi"/>
          <w:szCs w:val="22"/>
        </w:rPr>
        <w:t xml:space="preserve">the </w:t>
      </w:r>
      <w:r w:rsidRPr="008900D8">
        <w:rPr>
          <w:rFonts w:cstheme="minorHAnsi"/>
          <w:szCs w:val="22"/>
        </w:rPr>
        <w:t>resource growth corridor approach. This w</w:t>
      </w:r>
      <w:r w:rsidR="00FB4BBE" w:rsidRPr="008900D8">
        <w:rPr>
          <w:rFonts w:cstheme="minorHAnsi"/>
          <w:szCs w:val="22"/>
        </w:rPr>
        <w:t>ould</w:t>
      </w:r>
      <w:r w:rsidRPr="008900D8">
        <w:rPr>
          <w:rFonts w:cstheme="minorHAnsi"/>
          <w:szCs w:val="22"/>
        </w:rPr>
        <w:t xml:space="preserve"> include capacity building, means for institutional collaboration among sector ministries and across central to decentralized levels down to the community level, and strengthened public financial management (especially regarding mineral revenues).</w:t>
      </w:r>
      <w:r w:rsidR="001B07DD" w:rsidRPr="008900D8">
        <w:rPr>
          <w:rFonts w:cstheme="minorHAnsi"/>
          <w:szCs w:val="22"/>
        </w:rPr>
        <w:t xml:space="preserve"> </w:t>
      </w:r>
    </w:p>
    <w:p w:rsidR="0014667F" w:rsidRDefault="0014667F" w:rsidP="0005346D">
      <w:pPr>
        <w:pStyle w:val="Default"/>
        <w:numPr>
          <w:ilvl w:val="0"/>
          <w:numId w:val="10"/>
        </w:numPr>
        <w:spacing w:line="276" w:lineRule="auto"/>
        <w:jc w:val="both"/>
        <w:rPr>
          <w:rFonts w:asciiTheme="minorHAnsi" w:hAnsiTheme="minorHAnsi" w:cstheme="minorHAnsi"/>
          <w:sz w:val="22"/>
          <w:szCs w:val="22"/>
        </w:rPr>
      </w:pPr>
      <w:r w:rsidRPr="008900D8">
        <w:rPr>
          <w:rFonts w:asciiTheme="minorHAnsi" w:hAnsiTheme="minorHAnsi" w:cstheme="minorHAnsi"/>
          <w:b/>
          <w:bCs/>
          <w:sz w:val="22"/>
          <w:szCs w:val="22"/>
        </w:rPr>
        <w:t xml:space="preserve">The </w:t>
      </w:r>
      <w:r w:rsidR="00E652C0" w:rsidRPr="008900D8">
        <w:rPr>
          <w:rFonts w:asciiTheme="minorHAnsi" w:hAnsiTheme="minorHAnsi" w:cstheme="minorHAnsi"/>
          <w:b/>
          <w:bCs/>
          <w:sz w:val="22"/>
          <w:szCs w:val="22"/>
        </w:rPr>
        <w:t xml:space="preserve">government of Afghanistan </w:t>
      </w:r>
      <w:r w:rsidRPr="008900D8">
        <w:rPr>
          <w:rFonts w:asciiTheme="minorHAnsi" w:hAnsiTheme="minorHAnsi" w:cstheme="minorHAnsi"/>
          <w:b/>
          <w:bCs/>
          <w:sz w:val="22"/>
          <w:szCs w:val="22"/>
        </w:rPr>
        <w:t xml:space="preserve">has already recognized that a corridor approach will be essential and has launched the National and Regional Resource Corridor Program (NRRCP). </w:t>
      </w:r>
      <w:r w:rsidRPr="008900D8">
        <w:rPr>
          <w:rFonts w:asciiTheme="minorHAnsi" w:hAnsiTheme="minorHAnsi" w:cstheme="minorHAnsi"/>
          <w:sz w:val="22"/>
          <w:szCs w:val="22"/>
        </w:rPr>
        <w:t xml:space="preserve">The NRRCP was presented at the Kabul Conference </w:t>
      </w:r>
      <w:r w:rsidR="00E652C0" w:rsidRPr="008900D8">
        <w:rPr>
          <w:rFonts w:asciiTheme="minorHAnsi" w:hAnsiTheme="minorHAnsi" w:cstheme="minorHAnsi"/>
          <w:sz w:val="22"/>
          <w:szCs w:val="22"/>
        </w:rPr>
        <w:t xml:space="preserve">in </w:t>
      </w:r>
      <w:r w:rsidRPr="008900D8">
        <w:rPr>
          <w:rFonts w:asciiTheme="minorHAnsi" w:hAnsiTheme="minorHAnsi" w:cstheme="minorHAnsi"/>
          <w:sz w:val="22"/>
          <w:szCs w:val="22"/>
        </w:rPr>
        <w:t xml:space="preserve">July 2010 as one of the national priority programs, and </w:t>
      </w:r>
      <w:r w:rsidR="00E652C0" w:rsidRPr="008900D8">
        <w:rPr>
          <w:rFonts w:asciiTheme="minorHAnsi" w:hAnsiTheme="minorHAnsi" w:cstheme="minorHAnsi"/>
          <w:sz w:val="22"/>
          <w:szCs w:val="22"/>
        </w:rPr>
        <w:t>the government</w:t>
      </w:r>
      <w:r w:rsidRPr="008900D8">
        <w:rPr>
          <w:rFonts w:asciiTheme="minorHAnsi" w:hAnsiTheme="minorHAnsi" w:cstheme="minorHAnsi"/>
          <w:sz w:val="22"/>
          <w:szCs w:val="22"/>
        </w:rPr>
        <w:t xml:space="preserve"> recently established a </w:t>
      </w:r>
      <w:r w:rsidR="00E652C0" w:rsidRPr="008900D8">
        <w:rPr>
          <w:rFonts w:asciiTheme="minorHAnsi" w:hAnsiTheme="minorHAnsi" w:cstheme="minorHAnsi"/>
          <w:sz w:val="22"/>
          <w:szCs w:val="22"/>
        </w:rPr>
        <w:t>s</w:t>
      </w:r>
      <w:r w:rsidRPr="008900D8">
        <w:rPr>
          <w:rFonts w:asciiTheme="minorHAnsi" w:hAnsiTheme="minorHAnsi" w:cstheme="minorHAnsi"/>
          <w:sz w:val="22"/>
          <w:szCs w:val="22"/>
        </w:rPr>
        <w:t xml:space="preserve">ecretariat to coordinate ministries and </w:t>
      </w:r>
      <w:r w:rsidR="00E652C0" w:rsidRPr="008900D8">
        <w:rPr>
          <w:rFonts w:asciiTheme="minorHAnsi" w:hAnsiTheme="minorHAnsi" w:cstheme="minorHAnsi"/>
          <w:sz w:val="22"/>
          <w:szCs w:val="22"/>
        </w:rPr>
        <w:t>related institutions across</w:t>
      </w:r>
      <w:r w:rsidRPr="008900D8">
        <w:rPr>
          <w:rFonts w:asciiTheme="minorHAnsi" w:hAnsiTheme="minorHAnsi" w:cstheme="minorHAnsi"/>
          <w:sz w:val="22"/>
          <w:szCs w:val="22"/>
        </w:rPr>
        <w:t xml:space="preserve"> the region. </w:t>
      </w:r>
      <w:r w:rsidR="00E652C0" w:rsidRPr="008900D8">
        <w:rPr>
          <w:rFonts w:asciiTheme="minorHAnsi" w:hAnsiTheme="minorHAnsi" w:cstheme="minorHAnsi"/>
          <w:sz w:val="22"/>
          <w:szCs w:val="22"/>
        </w:rPr>
        <w:t>Currently</w:t>
      </w:r>
      <w:r w:rsidRPr="008900D8">
        <w:rPr>
          <w:rFonts w:asciiTheme="minorHAnsi" w:hAnsiTheme="minorHAnsi" w:cstheme="minorHAnsi"/>
          <w:sz w:val="22"/>
          <w:szCs w:val="22"/>
        </w:rPr>
        <w:t xml:space="preserve">, the NRRCP‘s targets are </w:t>
      </w:r>
      <w:r w:rsidR="00E652C0" w:rsidRPr="008900D8">
        <w:rPr>
          <w:rFonts w:asciiTheme="minorHAnsi" w:hAnsiTheme="minorHAnsi" w:cstheme="minorHAnsi"/>
          <w:sz w:val="22"/>
          <w:szCs w:val="22"/>
        </w:rPr>
        <w:t>mostly</w:t>
      </w:r>
      <w:r w:rsidRPr="008900D8">
        <w:rPr>
          <w:rFonts w:asciiTheme="minorHAnsi" w:hAnsiTheme="minorHAnsi" w:cstheme="minorHAnsi"/>
          <w:sz w:val="22"/>
          <w:szCs w:val="22"/>
        </w:rPr>
        <w:t xml:space="preserve"> an ambitious list of </w:t>
      </w:r>
      <w:r w:rsidR="00E652C0" w:rsidRPr="008900D8">
        <w:rPr>
          <w:rFonts w:asciiTheme="minorHAnsi" w:hAnsiTheme="minorHAnsi" w:cstheme="minorHAnsi"/>
          <w:sz w:val="22"/>
          <w:szCs w:val="22"/>
        </w:rPr>
        <w:t>“</w:t>
      </w:r>
      <w:r w:rsidRPr="008900D8">
        <w:rPr>
          <w:rFonts w:asciiTheme="minorHAnsi" w:hAnsiTheme="minorHAnsi" w:cstheme="minorHAnsi"/>
          <w:sz w:val="22"/>
          <w:szCs w:val="22"/>
        </w:rPr>
        <w:t>hard</w:t>
      </w:r>
      <w:r w:rsidR="00E652C0" w:rsidRPr="008900D8">
        <w:rPr>
          <w:rFonts w:asciiTheme="minorHAnsi" w:hAnsiTheme="minorHAnsi" w:cstheme="minorHAnsi"/>
          <w:sz w:val="22"/>
          <w:szCs w:val="22"/>
        </w:rPr>
        <w:t>”</w:t>
      </w:r>
      <w:r w:rsidRPr="008900D8">
        <w:rPr>
          <w:rFonts w:asciiTheme="minorHAnsi" w:hAnsiTheme="minorHAnsi" w:cstheme="minorHAnsi"/>
          <w:sz w:val="22"/>
          <w:szCs w:val="22"/>
        </w:rPr>
        <w:t xml:space="preserve"> infrastructure projects in</w:t>
      </w:r>
      <w:r w:rsidR="00E652C0" w:rsidRPr="008900D8">
        <w:rPr>
          <w:rFonts w:asciiTheme="minorHAnsi" w:hAnsiTheme="minorHAnsi" w:cstheme="minorHAnsi"/>
          <w:sz w:val="22"/>
          <w:szCs w:val="22"/>
        </w:rPr>
        <w:t>volving</w:t>
      </w:r>
      <w:r w:rsidRPr="008900D8">
        <w:rPr>
          <w:rFonts w:asciiTheme="minorHAnsi" w:hAnsiTheme="minorHAnsi" w:cstheme="minorHAnsi"/>
          <w:sz w:val="22"/>
          <w:szCs w:val="22"/>
        </w:rPr>
        <w:t xml:space="preserve"> road, rail, and air. These targets need to be supplemented by </w:t>
      </w:r>
      <w:r w:rsidR="00E652C0" w:rsidRPr="008900D8">
        <w:rPr>
          <w:rFonts w:asciiTheme="minorHAnsi" w:hAnsiTheme="minorHAnsi" w:cstheme="minorHAnsi"/>
          <w:sz w:val="22"/>
          <w:szCs w:val="22"/>
        </w:rPr>
        <w:t>“</w:t>
      </w:r>
      <w:r w:rsidRPr="008900D8">
        <w:rPr>
          <w:rFonts w:asciiTheme="minorHAnsi" w:hAnsiTheme="minorHAnsi" w:cstheme="minorHAnsi"/>
          <w:sz w:val="22"/>
          <w:szCs w:val="22"/>
        </w:rPr>
        <w:t>soft</w:t>
      </w:r>
      <w:r w:rsidR="00E652C0" w:rsidRPr="008900D8">
        <w:rPr>
          <w:rFonts w:asciiTheme="minorHAnsi" w:hAnsiTheme="minorHAnsi" w:cstheme="minorHAnsi"/>
          <w:sz w:val="22"/>
          <w:szCs w:val="22"/>
        </w:rPr>
        <w:t>”</w:t>
      </w:r>
      <w:r w:rsidRPr="008900D8">
        <w:rPr>
          <w:rFonts w:asciiTheme="minorHAnsi" w:hAnsiTheme="minorHAnsi" w:cstheme="minorHAnsi"/>
          <w:sz w:val="22"/>
          <w:szCs w:val="22"/>
        </w:rPr>
        <w:t xml:space="preserve"> infrastructure</w:t>
      </w:r>
      <w:r w:rsidR="00E652C0" w:rsidRPr="008900D8">
        <w:rPr>
          <w:rFonts w:asciiTheme="minorHAnsi" w:hAnsiTheme="minorHAnsi" w:cstheme="minorHAnsi"/>
          <w:sz w:val="22"/>
          <w:szCs w:val="22"/>
        </w:rPr>
        <w:t xml:space="preserve"> –</w:t>
      </w:r>
      <w:r w:rsidRPr="008900D8">
        <w:rPr>
          <w:rFonts w:asciiTheme="minorHAnsi" w:hAnsiTheme="minorHAnsi" w:cstheme="minorHAnsi"/>
          <w:sz w:val="22"/>
          <w:szCs w:val="22"/>
        </w:rPr>
        <w:t xml:space="preserve"> in particular, community development, mitigation of environmental impact, enterprise development, and institutional capacity. If this soft infrastructure is not addressed simultaneously with (or before) physical infrastructure, the full potential of the investments will not be realized and the corridor approach will fail.</w:t>
      </w:r>
      <w:r w:rsidR="001B07DD" w:rsidRPr="008900D8">
        <w:rPr>
          <w:rFonts w:asciiTheme="minorHAnsi" w:hAnsiTheme="minorHAnsi" w:cstheme="minorHAnsi"/>
          <w:sz w:val="22"/>
          <w:szCs w:val="22"/>
        </w:rPr>
        <w:t xml:space="preserve"> </w:t>
      </w:r>
    </w:p>
    <w:p w:rsidR="00821C31" w:rsidRPr="008900D8" w:rsidRDefault="00821C31" w:rsidP="00821C31">
      <w:pPr>
        <w:pStyle w:val="Default"/>
        <w:spacing w:line="276" w:lineRule="auto"/>
        <w:ind w:left="1080"/>
        <w:jc w:val="both"/>
        <w:rPr>
          <w:rFonts w:asciiTheme="minorHAnsi" w:hAnsiTheme="minorHAnsi" w:cstheme="minorHAnsi"/>
          <w:sz w:val="22"/>
          <w:szCs w:val="22"/>
        </w:rPr>
      </w:pPr>
    </w:p>
    <w:p w:rsidR="005506A5" w:rsidRDefault="00AD780B">
      <w:pPr>
        <w:jc w:val="left"/>
        <w:sectPr w:rsidR="005506A5" w:rsidSect="004E4554">
          <w:headerReference w:type="default" r:id="rId71"/>
          <w:footerReference w:type="default" r:id="rId72"/>
          <w:headerReference w:type="first" r:id="rId73"/>
          <w:footerReference w:type="first" r:id="rId74"/>
          <w:pgSz w:w="12240" w:h="15840"/>
          <w:pgMar w:top="1440" w:right="1440" w:bottom="1440" w:left="1440" w:header="720" w:footer="720" w:gutter="0"/>
          <w:pgNumType w:start="1"/>
          <w:cols w:space="720"/>
          <w:titlePg/>
          <w:docGrid w:linePitch="360"/>
        </w:sectPr>
      </w:pPr>
      <w:bookmarkStart w:id="342" w:name="_Toc324749453"/>
      <w:bookmarkStart w:id="343" w:name="_Toc327208470"/>
      <w:r>
        <w:br w:type="page"/>
      </w:r>
    </w:p>
    <w:p w:rsidR="0014667F" w:rsidRPr="00073AC8" w:rsidRDefault="00821C31" w:rsidP="00C17DB9">
      <w:pPr>
        <w:pStyle w:val="Heading2"/>
        <w:rPr>
          <w:szCs w:val="22"/>
        </w:rPr>
      </w:pPr>
      <w:bookmarkStart w:id="344" w:name="_Toc327208486"/>
      <w:bookmarkStart w:id="345" w:name="_Toc348451723"/>
      <w:bookmarkEnd w:id="342"/>
      <w:bookmarkEnd w:id="343"/>
      <w:r w:rsidRPr="00F445DD">
        <w:t>Annex I.  Policy Action Matrix and Recommendation</w:t>
      </w:r>
      <w:r w:rsidR="009D634D" w:rsidRPr="00F445DD">
        <w:t>s</w:t>
      </w:r>
      <w:bookmarkEnd w:id="344"/>
      <w:bookmarkEnd w:id="345"/>
    </w:p>
    <w:tbl>
      <w:tblPr>
        <w:tblW w:w="5000" w:type="pct"/>
        <w:tblLook w:val="04A0" w:firstRow="1" w:lastRow="0" w:firstColumn="1" w:lastColumn="0" w:noHBand="0" w:noVBand="1"/>
      </w:tblPr>
      <w:tblGrid>
        <w:gridCol w:w="3118"/>
        <w:gridCol w:w="5328"/>
        <w:gridCol w:w="1990"/>
        <w:gridCol w:w="1362"/>
        <w:gridCol w:w="1378"/>
      </w:tblGrid>
      <w:tr w:rsidR="005506A5" w:rsidRPr="00C26F0B" w:rsidTr="00BC39AB">
        <w:trPr>
          <w:trHeight w:val="510"/>
        </w:trPr>
        <w:tc>
          <w:tcPr>
            <w:tcW w:w="1183" w:type="pct"/>
            <w:tcBorders>
              <w:top w:val="single" w:sz="4" w:space="0" w:color="auto"/>
              <w:left w:val="single" w:sz="4" w:space="0" w:color="auto"/>
              <w:bottom w:val="single" w:sz="4" w:space="0" w:color="auto"/>
              <w:right w:val="single" w:sz="4" w:space="0" w:color="auto"/>
            </w:tcBorders>
            <w:shd w:val="clear" w:color="000000" w:fill="B1A0C7"/>
            <w:vAlign w:val="bottom"/>
            <w:hideMark/>
          </w:tcPr>
          <w:p w:rsidR="005506A5" w:rsidRPr="00C26F0B" w:rsidRDefault="005506A5" w:rsidP="00BC39AB">
            <w:pPr>
              <w:spacing w:after="0" w:line="240" w:lineRule="auto"/>
              <w:jc w:val="left"/>
              <w:rPr>
                <w:rFonts w:ascii="Calibri" w:eastAsia="Times New Roman" w:hAnsi="Calibri" w:cs="Calibri"/>
                <w:b/>
                <w:bCs/>
                <w:sz w:val="20"/>
                <w:lang w:bidi="ar-SA"/>
              </w:rPr>
            </w:pPr>
            <w:r w:rsidRPr="00C26F0B">
              <w:rPr>
                <w:rFonts w:ascii="Calibri" w:eastAsia="Times New Roman" w:hAnsi="Calibri" w:cs="Calibri"/>
                <w:b/>
                <w:bCs/>
                <w:sz w:val="20"/>
                <w:lang w:bidi="ar-SA"/>
              </w:rPr>
              <w:t>Objectives</w:t>
            </w:r>
          </w:p>
        </w:tc>
        <w:tc>
          <w:tcPr>
            <w:tcW w:w="2022" w:type="pct"/>
            <w:tcBorders>
              <w:top w:val="single" w:sz="4" w:space="0" w:color="auto"/>
              <w:left w:val="nil"/>
              <w:bottom w:val="single" w:sz="4" w:space="0" w:color="auto"/>
              <w:right w:val="single" w:sz="4" w:space="0" w:color="auto"/>
            </w:tcBorders>
            <w:shd w:val="clear" w:color="000000" w:fill="B1A0C7"/>
            <w:vAlign w:val="bottom"/>
            <w:hideMark/>
          </w:tcPr>
          <w:p w:rsidR="005506A5" w:rsidRPr="00C26F0B" w:rsidRDefault="005506A5" w:rsidP="00BC39AB">
            <w:pPr>
              <w:spacing w:after="0" w:line="240" w:lineRule="auto"/>
              <w:jc w:val="left"/>
              <w:rPr>
                <w:rFonts w:ascii="Calibri" w:eastAsia="Times New Roman" w:hAnsi="Calibri" w:cs="Calibri"/>
                <w:b/>
                <w:bCs/>
                <w:sz w:val="20"/>
                <w:lang w:bidi="ar-SA"/>
              </w:rPr>
            </w:pPr>
            <w:r w:rsidRPr="00C26F0B">
              <w:rPr>
                <w:rFonts w:ascii="Calibri" w:eastAsia="Times New Roman" w:hAnsi="Calibri" w:cs="Calibri"/>
                <w:b/>
                <w:bCs/>
                <w:sz w:val="20"/>
                <w:lang w:bidi="ar-SA"/>
              </w:rPr>
              <w:t>Recommended Actions</w:t>
            </w:r>
          </w:p>
        </w:tc>
        <w:tc>
          <w:tcPr>
            <w:tcW w:w="755" w:type="pct"/>
            <w:tcBorders>
              <w:top w:val="single" w:sz="4" w:space="0" w:color="auto"/>
              <w:left w:val="nil"/>
              <w:bottom w:val="single" w:sz="4" w:space="0" w:color="auto"/>
              <w:right w:val="single" w:sz="4" w:space="0" w:color="auto"/>
            </w:tcBorders>
            <w:shd w:val="clear" w:color="000000" w:fill="B1A0C7"/>
            <w:vAlign w:val="bottom"/>
            <w:hideMark/>
          </w:tcPr>
          <w:p w:rsidR="005506A5" w:rsidRPr="00C26F0B" w:rsidRDefault="005506A5" w:rsidP="00BC39AB">
            <w:pPr>
              <w:spacing w:after="0" w:line="240" w:lineRule="auto"/>
              <w:jc w:val="left"/>
              <w:rPr>
                <w:rFonts w:ascii="Calibri" w:eastAsia="Times New Roman" w:hAnsi="Calibri" w:cs="Calibri"/>
                <w:b/>
                <w:bCs/>
                <w:sz w:val="20"/>
                <w:lang w:bidi="ar-SA"/>
              </w:rPr>
            </w:pPr>
            <w:r w:rsidRPr="00C26F0B">
              <w:rPr>
                <w:rFonts w:ascii="Calibri" w:eastAsia="Times New Roman" w:hAnsi="Calibri" w:cs="Calibri"/>
                <w:b/>
                <w:bCs/>
                <w:sz w:val="20"/>
                <w:lang w:bidi="ar-SA"/>
              </w:rPr>
              <w:t>Implementing Institutions</w:t>
            </w:r>
          </w:p>
        </w:tc>
        <w:tc>
          <w:tcPr>
            <w:tcW w:w="517" w:type="pct"/>
            <w:tcBorders>
              <w:top w:val="single" w:sz="4" w:space="0" w:color="auto"/>
              <w:left w:val="nil"/>
              <w:bottom w:val="single" w:sz="4" w:space="0" w:color="auto"/>
              <w:right w:val="single" w:sz="4" w:space="0" w:color="auto"/>
            </w:tcBorders>
            <w:shd w:val="clear" w:color="000000" w:fill="B1A0C7"/>
            <w:vAlign w:val="bottom"/>
            <w:hideMark/>
          </w:tcPr>
          <w:p w:rsidR="005506A5" w:rsidRPr="00C26F0B" w:rsidRDefault="005506A5" w:rsidP="00BC39AB">
            <w:pPr>
              <w:spacing w:after="0" w:line="240" w:lineRule="auto"/>
              <w:jc w:val="left"/>
              <w:rPr>
                <w:rFonts w:ascii="Calibri" w:eastAsia="Times New Roman" w:hAnsi="Calibri" w:cs="Calibri"/>
                <w:b/>
                <w:bCs/>
                <w:sz w:val="20"/>
                <w:lang w:bidi="ar-SA"/>
              </w:rPr>
            </w:pPr>
            <w:r w:rsidRPr="00C26F0B">
              <w:rPr>
                <w:rFonts w:ascii="Calibri" w:eastAsia="Times New Roman" w:hAnsi="Calibri" w:cs="Calibri"/>
                <w:b/>
                <w:bCs/>
                <w:sz w:val="20"/>
                <w:lang w:bidi="ar-SA"/>
              </w:rPr>
              <w:t>Time Frame</w:t>
            </w:r>
          </w:p>
        </w:tc>
        <w:tc>
          <w:tcPr>
            <w:tcW w:w="523" w:type="pct"/>
            <w:tcBorders>
              <w:top w:val="single" w:sz="4" w:space="0" w:color="auto"/>
              <w:left w:val="nil"/>
              <w:bottom w:val="single" w:sz="4" w:space="0" w:color="auto"/>
              <w:right w:val="single" w:sz="4" w:space="0" w:color="auto"/>
            </w:tcBorders>
            <w:shd w:val="clear" w:color="000000" w:fill="B1A0C7"/>
            <w:vAlign w:val="bottom"/>
            <w:hideMark/>
          </w:tcPr>
          <w:p w:rsidR="005506A5" w:rsidRPr="00C26F0B" w:rsidRDefault="005506A5" w:rsidP="00BC39AB">
            <w:pPr>
              <w:spacing w:after="0" w:line="240" w:lineRule="auto"/>
              <w:jc w:val="left"/>
              <w:rPr>
                <w:rFonts w:ascii="Calibri" w:eastAsia="Times New Roman" w:hAnsi="Calibri" w:cs="Calibri"/>
                <w:b/>
                <w:bCs/>
                <w:sz w:val="20"/>
                <w:lang w:bidi="ar-SA"/>
              </w:rPr>
            </w:pPr>
            <w:r w:rsidRPr="00C26F0B">
              <w:rPr>
                <w:rFonts w:ascii="Calibri" w:eastAsia="Times New Roman" w:hAnsi="Calibri" w:cs="Calibri"/>
                <w:b/>
                <w:bCs/>
                <w:sz w:val="20"/>
                <w:lang w:bidi="ar-SA"/>
              </w:rPr>
              <w:t>Tentative</w:t>
            </w:r>
            <w:r>
              <w:rPr>
                <w:rFonts w:ascii="Calibri" w:eastAsia="Times New Roman" w:hAnsi="Calibri" w:cs="Calibri"/>
                <w:b/>
                <w:bCs/>
                <w:sz w:val="20"/>
                <w:lang w:bidi="ar-SA"/>
              </w:rPr>
              <w:t xml:space="preserve"> </w:t>
            </w:r>
            <w:r w:rsidRPr="00C26F0B">
              <w:rPr>
                <w:rFonts w:ascii="Calibri" w:eastAsia="Times New Roman" w:hAnsi="Calibri" w:cs="Calibri"/>
                <w:b/>
                <w:bCs/>
                <w:sz w:val="20"/>
                <w:lang w:bidi="ar-SA"/>
              </w:rPr>
              <w:t>Donor funding from</w:t>
            </w:r>
          </w:p>
        </w:tc>
      </w:tr>
      <w:tr w:rsidR="005506A5" w:rsidRPr="00C26F0B" w:rsidTr="00BC39AB">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000000" w:fill="DAEEF3"/>
            <w:vAlign w:val="bottom"/>
            <w:hideMark/>
          </w:tcPr>
          <w:p w:rsidR="005506A5" w:rsidRPr="00C26F0B" w:rsidRDefault="005506A5" w:rsidP="00BC39AB">
            <w:pPr>
              <w:spacing w:after="0" w:line="240" w:lineRule="auto"/>
              <w:jc w:val="left"/>
              <w:rPr>
                <w:rFonts w:ascii="Calibri" w:eastAsia="Times New Roman" w:hAnsi="Calibri" w:cs="Calibri"/>
                <w:b/>
                <w:bCs/>
                <w:sz w:val="20"/>
                <w:lang w:bidi="ar-SA"/>
              </w:rPr>
            </w:pPr>
            <w:bookmarkStart w:id="346" w:name="RANGE!A2:D63"/>
            <w:r w:rsidRPr="00C26F0B">
              <w:rPr>
                <w:rFonts w:ascii="Calibri" w:eastAsia="Times New Roman" w:hAnsi="Calibri" w:cs="Calibri"/>
                <w:b/>
                <w:bCs/>
                <w:sz w:val="20"/>
                <w:lang w:bidi="ar-SA"/>
              </w:rPr>
              <w:t>Macroeconomic Environment</w:t>
            </w:r>
            <w:bookmarkEnd w:id="346"/>
          </w:p>
        </w:tc>
      </w:tr>
      <w:tr w:rsidR="005506A5" w:rsidRPr="00C26F0B" w:rsidTr="00BC39AB">
        <w:trPr>
          <w:trHeight w:val="765"/>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Promote greater domestic content within public procurement</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xml:space="preserve">Develop a policy that promotes domestic procurement of goods &amp; services, when possible and without compromising on quality, to ensure public funds and donor aid has a greater share of local content.   </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MOCI, MOF</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Priority</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510"/>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Prepare for the management of mineral revenue</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Technical assistance regarding best practice in the medium to long term management of incoming mineral revenues and royalties.</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MOF, MOM</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Priority</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255"/>
        </w:trPr>
        <w:tc>
          <w:tcPr>
            <w:tcW w:w="1183" w:type="pct"/>
            <w:tcBorders>
              <w:top w:val="nil"/>
              <w:left w:val="single" w:sz="4" w:space="0" w:color="auto"/>
              <w:bottom w:val="single" w:sz="4" w:space="0" w:color="auto"/>
              <w:right w:val="single" w:sz="4" w:space="0" w:color="auto"/>
            </w:tcBorders>
            <w:shd w:val="clear" w:color="000000" w:fill="DAEEF3"/>
            <w:vAlign w:val="bottom"/>
            <w:hideMark/>
          </w:tcPr>
          <w:p w:rsidR="005506A5" w:rsidRPr="00C26F0B" w:rsidRDefault="005506A5" w:rsidP="00BC39AB">
            <w:pPr>
              <w:spacing w:after="0" w:line="240" w:lineRule="auto"/>
              <w:jc w:val="left"/>
              <w:rPr>
                <w:rFonts w:ascii="Calibri" w:eastAsia="Times New Roman" w:hAnsi="Calibri" w:cs="Calibri"/>
                <w:b/>
                <w:bCs/>
                <w:sz w:val="20"/>
                <w:lang w:bidi="ar-SA"/>
              </w:rPr>
            </w:pPr>
            <w:r w:rsidRPr="00C26F0B">
              <w:rPr>
                <w:rFonts w:ascii="Calibri" w:eastAsia="Times New Roman" w:hAnsi="Calibri" w:cs="Calibri"/>
                <w:b/>
                <w:bCs/>
                <w:sz w:val="20"/>
                <w:lang w:bidi="ar-SA"/>
              </w:rPr>
              <w:t>Trade Performance and Policy</w:t>
            </w:r>
          </w:p>
        </w:tc>
        <w:tc>
          <w:tcPr>
            <w:tcW w:w="2022" w:type="pct"/>
            <w:tcBorders>
              <w:top w:val="nil"/>
              <w:left w:val="nil"/>
              <w:bottom w:val="single" w:sz="4" w:space="0" w:color="auto"/>
              <w:right w:val="single" w:sz="4" w:space="0" w:color="auto"/>
            </w:tcBorders>
            <w:shd w:val="clear" w:color="000000" w:fill="DAEEF3"/>
            <w:vAlign w:val="bottom"/>
            <w:hideMark/>
          </w:tcPr>
          <w:p w:rsidR="005506A5" w:rsidRPr="00C26F0B" w:rsidRDefault="005506A5" w:rsidP="00BC39AB">
            <w:pPr>
              <w:spacing w:after="0" w:line="240" w:lineRule="auto"/>
              <w:jc w:val="left"/>
              <w:rPr>
                <w:rFonts w:ascii="Calibri" w:eastAsia="Times New Roman" w:hAnsi="Calibri" w:cs="Calibri"/>
                <w:b/>
                <w:bCs/>
                <w:sz w:val="20"/>
                <w:lang w:bidi="ar-SA"/>
              </w:rPr>
            </w:pPr>
            <w:r w:rsidRPr="00C26F0B">
              <w:rPr>
                <w:rFonts w:ascii="Calibri" w:eastAsia="Times New Roman" w:hAnsi="Calibri" w:cs="Calibri"/>
                <w:b/>
                <w:bCs/>
                <w:sz w:val="20"/>
                <w:lang w:bidi="ar-SA"/>
              </w:rPr>
              <w:t> </w:t>
            </w:r>
          </w:p>
        </w:tc>
        <w:tc>
          <w:tcPr>
            <w:tcW w:w="755" w:type="pct"/>
            <w:tcBorders>
              <w:top w:val="nil"/>
              <w:left w:val="nil"/>
              <w:bottom w:val="single" w:sz="4" w:space="0" w:color="auto"/>
              <w:right w:val="single" w:sz="4" w:space="0" w:color="auto"/>
            </w:tcBorders>
            <w:shd w:val="clear" w:color="000000" w:fill="DAEEF3"/>
            <w:vAlign w:val="bottom"/>
            <w:hideMark/>
          </w:tcPr>
          <w:p w:rsidR="005506A5" w:rsidRPr="00C26F0B" w:rsidRDefault="005506A5" w:rsidP="00BC39AB">
            <w:pPr>
              <w:spacing w:after="0" w:line="240" w:lineRule="auto"/>
              <w:jc w:val="left"/>
              <w:rPr>
                <w:rFonts w:ascii="Calibri" w:eastAsia="Times New Roman" w:hAnsi="Calibri" w:cs="Calibri"/>
                <w:b/>
                <w:bCs/>
                <w:sz w:val="20"/>
                <w:lang w:bidi="ar-SA"/>
              </w:rPr>
            </w:pPr>
            <w:r w:rsidRPr="00C26F0B">
              <w:rPr>
                <w:rFonts w:ascii="Calibri" w:eastAsia="Times New Roman" w:hAnsi="Calibri" w:cs="Calibri"/>
                <w:b/>
                <w:bCs/>
                <w:sz w:val="20"/>
                <w:lang w:bidi="ar-SA"/>
              </w:rPr>
              <w:t> </w:t>
            </w:r>
          </w:p>
        </w:tc>
        <w:tc>
          <w:tcPr>
            <w:tcW w:w="517" w:type="pct"/>
            <w:tcBorders>
              <w:top w:val="nil"/>
              <w:left w:val="nil"/>
              <w:bottom w:val="single" w:sz="4" w:space="0" w:color="auto"/>
              <w:right w:val="single" w:sz="4" w:space="0" w:color="auto"/>
            </w:tcBorders>
            <w:shd w:val="clear" w:color="000000" w:fill="DAEEF3"/>
            <w:vAlign w:val="bottom"/>
            <w:hideMark/>
          </w:tcPr>
          <w:p w:rsidR="005506A5" w:rsidRPr="00C26F0B" w:rsidRDefault="005506A5" w:rsidP="00BC39AB">
            <w:pPr>
              <w:spacing w:after="0" w:line="240" w:lineRule="auto"/>
              <w:jc w:val="left"/>
              <w:rPr>
                <w:rFonts w:ascii="Calibri" w:eastAsia="Times New Roman" w:hAnsi="Calibri" w:cs="Calibri"/>
                <w:b/>
                <w:bCs/>
                <w:sz w:val="20"/>
                <w:lang w:bidi="ar-SA"/>
              </w:rPr>
            </w:pPr>
            <w:r w:rsidRPr="00C26F0B">
              <w:rPr>
                <w:rFonts w:ascii="Calibri" w:eastAsia="Times New Roman" w:hAnsi="Calibri" w:cs="Calibri"/>
                <w:b/>
                <w:bCs/>
                <w:sz w:val="20"/>
                <w:lang w:bidi="ar-SA"/>
              </w:rPr>
              <w:t> </w:t>
            </w:r>
          </w:p>
        </w:tc>
        <w:tc>
          <w:tcPr>
            <w:tcW w:w="523" w:type="pct"/>
            <w:tcBorders>
              <w:top w:val="nil"/>
              <w:left w:val="nil"/>
              <w:bottom w:val="single" w:sz="4" w:space="0" w:color="auto"/>
              <w:right w:val="single" w:sz="4" w:space="0" w:color="auto"/>
            </w:tcBorders>
            <w:shd w:val="clear" w:color="000000" w:fill="DAEEF3"/>
            <w:vAlign w:val="bottom"/>
            <w:hideMark/>
          </w:tcPr>
          <w:p w:rsidR="005506A5" w:rsidRPr="00C26F0B" w:rsidRDefault="005506A5" w:rsidP="00BC39AB">
            <w:pPr>
              <w:spacing w:after="0" w:line="240" w:lineRule="auto"/>
              <w:jc w:val="left"/>
              <w:rPr>
                <w:rFonts w:ascii="Calibri" w:eastAsia="Times New Roman" w:hAnsi="Calibri" w:cs="Calibri"/>
                <w:b/>
                <w:bCs/>
                <w:sz w:val="20"/>
                <w:lang w:bidi="ar-SA"/>
              </w:rPr>
            </w:pPr>
            <w:r w:rsidRPr="00C26F0B">
              <w:rPr>
                <w:rFonts w:ascii="Calibri" w:eastAsia="Times New Roman" w:hAnsi="Calibri" w:cs="Calibri"/>
                <w:b/>
                <w:bCs/>
                <w:sz w:val="20"/>
                <w:lang w:bidi="ar-SA"/>
              </w:rPr>
              <w:t> </w:t>
            </w:r>
          </w:p>
        </w:tc>
      </w:tr>
      <w:tr w:rsidR="005506A5" w:rsidRPr="00C26F0B" w:rsidTr="00BC39AB">
        <w:trPr>
          <w:trHeight w:val="1275"/>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Strengthen trade policy capacity; rationalize institutions and practices</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xml:space="preserve">Develop a capacity building plan for trade policy evaluation covering the directorates responsible for designing and evaluating trade policy within the MOCI.  This could include building capacity: to analyze indicators and monitor results of policies, on trade negotiation, impact evaluation techniques, and economic modeling of trade policy impact </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MOCI</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Medium term</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1275"/>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Develop a database with trade data to inform policy analysis.</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xml:space="preserve">Develop a database with trade data to inform policy analysis compiling trade information from different agencies, including data from the CSO, ARD, and existing donor-funded trade-related surveys).  Building capacity at the MOCI to maintain the database will be key.  On the basis of this database, the technical units within MOCI would be able to prepare bulletins analyzing trade data trends for management.  </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MOCI</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Immediate, Ongoing</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HARAKAT</w:t>
            </w:r>
          </w:p>
        </w:tc>
      </w:tr>
      <w:tr w:rsidR="005506A5" w:rsidRPr="00C26F0B" w:rsidTr="00BC39AB">
        <w:trPr>
          <w:trHeight w:val="1275"/>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Monitor the elimination of Non-Tariff Measures</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Monitor the elimination of Non-trade barriers.  Identify NTMs implemented by all government agencies and make information on them readily available to the private sector.  Streamline related procedures in terms of time and cost.  Conduct a firm survey on NTMs faced by importers and exporters and set up a public‐private NTM Review Committee to discuss less trade distorting alternatives.</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MOCI</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Priority</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1020"/>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Conduct a review of tariff exemptions</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xml:space="preserve">Given that import tariff revenue is such a large share of total domestic revenues, conduct a review of tariff levels and tariff exemptions so as to balance the trade-offs of a broad tariff base and efficiency costs of taxes on international trade.  Minimum consumption basket food items should remain exempted in order to protect the poor.   </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MOCI</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Priority</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255"/>
        </w:trPr>
        <w:tc>
          <w:tcPr>
            <w:tcW w:w="1183" w:type="pct"/>
            <w:tcBorders>
              <w:top w:val="nil"/>
              <w:left w:val="single" w:sz="4" w:space="0" w:color="auto"/>
              <w:bottom w:val="single" w:sz="4" w:space="0" w:color="auto"/>
              <w:right w:val="single" w:sz="4" w:space="0" w:color="auto"/>
            </w:tcBorders>
            <w:shd w:val="clear" w:color="000000" w:fill="DAEEF3"/>
            <w:vAlign w:val="bottom"/>
            <w:hideMark/>
          </w:tcPr>
          <w:p w:rsidR="005506A5" w:rsidRPr="00C26F0B" w:rsidRDefault="005506A5" w:rsidP="00BC39AB">
            <w:pPr>
              <w:spacing w:after="0" w:line="240" w:lineRule="auto"/>
              <w:jc w:val="left"/>
              <w:rPr>
                <w:rFonts w:ascii="Calibri" w:eastAsia="Times New Roman" w:hAnsi="Calibri" w:cs="Calibri"/>
                <w:b/>
                <w:bCs/>
                <w:sz w:val="20"/>
                <w:lang w:bidi="ar-SA"/>
              </w:rPr>
            </w:pPr>
            <w:r w:rsidRPr="00C26F0B">
              <w:rPr>
                <w:rFonts w:ascii="Calibri" w:eastAsia="Times New Roman" w:hAnsi="Calibri" w:cs="Calibri"/>
                <w:b/>
                <w:bCs/>
                <w:sz w:val="20"/>
                <w:lang w:bidi="ar-SA"/>
              </w:rPr>
              <w:t>Private Sector Development</w:t>
            </w:r>
          </w:p>
        </w:tc>
        <w:tc>
          <w:tcPr>
            <w:tcW w:w="2022" w:type="pct"/>
            <w:tcBorders>
              <w:top w:val="nil"/>
              <w:left w:val="nil"/>
              <w:bottom w:val="single" w:sz="4" w:space="0" w:color="auto"/>
              <w:right w:val="single" w:sz="4" w:space="0" w:color="auto"/>
            </w:tcBorders>
            <w:shd w:val="clear" w:color="000000" w:fill="DAEEF3"/>
            <w:vAlign w:val="bottom"/>
            <w:hideMark/>
          </w:tcPr>
          <w:p w:rsidR="005506A5" w:rsidRPr="00C26F0B" w:rsidRDefault="005506A5" w:rsidP="00BC39AB">
            <w:pPr>
              <w:spacing w:after="0" w:line="240" w:lineRule="auto"/>
              <w:jc w:val="left"/>
              <w:rPr>
                <w:rFonts w:ascii="Calibri" w:eastAsia="Times New Roman" w:hAnsi="Calibri" w:cs="Calibri"/>
                <w:b/>
                <w:bCs/>
                <w:sz w:val="20"/>
                <w:lang w:bidi="ar-SA"/>
              </w:rPr>
            </w:pPr>
            <w:r w:rsidRPr="00C26F0B">
              <w:rPr>
                <w:rFonts w:ascii="Calibri" w:eastAsia="Times New Roman" w:hAnsi="Calibri" w:cs="Calibri"/>
                <w:b/>
                <w:bCs/>
                <w:sz w:val="20"/>
                <w:lang w:bidi="ar-SA"/>
              </w:rPr>
              <w:t> </w:t>
            </w:r>
          </w:p>
        </w:tc>
        <w:tc>
          <w:tcPr>
            <w:tcW w:w="755" w:type="pct"/>
            <w:tcBorders>
              <w:top w:val="nil"/>
              <w:left w:val="nil"/>
              <w:bottom w:val="single" w:sz="4" w:space="0" w:color="auto"/>
              <w:right w:val="single" w:sz="4" w:space="0" w:color="auto"/>
            </w:tcBorders>
            <w:shd w:val="clear" w:color="000000" w:fill="DAEEF3"/>
            <w:vAlign w:val="bottom"/>
            <w:hideMark/>
          </w:tcPr>
          <w:p w:rsidR="005506A5" w:rsidRPr="00C26F0B" w:rsidRDefault="005506A5" w:rsidP="00BC39AB">
            <w:pPr>
              <w:spacing w:after="0" w:line="240" w:lineRule="auto"/>
              <w:jc w:val="left"/>
              <w:rPr>
                <w:rFonts w:ascii="Calibri" w:eastAsia="Times New Roman" w:hAnsi="Calibri" w:cs="Calibri"/>
                <w:b/>
                <w:bCs/>
                <w:sz w:val="20"/>
                <w:lang w:bidi="ar-SA"/>
              </w:rPr>
            </w:pPr>
            <w:r w:rsidRPr="00C26F0B">
              <w:rPr>
                <w:rFonts w:ascii="Calibri" w:eastAsia="Times New Roman" w:hAnsi="Calibri" w:cs="Calibri"/>
                <w:b/>
                <w:bCs/>
                <w:sz w:val="20"/>
                <w:lang w:bidi="ar-SA"/>
              </w:rPr>
              <w:t> </w:t>
            </w:r>
          </w:p>
        </w:tc>
        <w:tc>
          <w:tcPr>
            <w:tcW w:w="517" w:type="pct"/>
            <w:tcBorders>
              <w:top w:val="nil"/>
              <w:left w:val="nil"/>
              <w:bottom w:val="single" w:sz="4" w:space="0" w:color="auto"/>
              <w:right w:val="single" w:sz="4" w:space="0" w:color="auto"/>
            </w:tcBorders>
            <w:shd w:val="clear" w:color="000000" w:fill="DAEEF3"/>
            <w:vAlign w:val="bottom"/>
            <w:hideMark/>
          </w:tcPr>
          <w:p w:rsidR="005506A5" w:rsidRPr="00C26F0B" w:rsidRDefault="005506A5" w:rsidP="00BC39AB">
            <w:pPr>
              <w:spacing w:after="0" w:line="240" w:lineRule="auto"/>
              <w:jc w:val="left"/>
              <w:rPr>
                <w:rFonts w:ascii="Calibri" w:eastAsia="Times New Roman" w:hAnsi="Calibri" w:cs="Calibri"/>
                <w:b/>
                <w:bCs/>
                <w:sz w:val="20"/>
                <w:lang w:bidi="ar-SA"/>
              </w:rPr>
            </w:pPr>
            <w:r w:rsidRPr="00C26F0B">
              <w:rPr>
                <w:rFonts w:ascii="Calibri" w:eastAsia="Times New Roman" w:hAnsi="Calibri" w:cs="Calibri"/>
                <w:b/>
                <w:bCs/>
                <w:sz w:val="20"/>
                <w:lang w:bidi="ar-SA"/>
              </w:rPr>
              <w:t> </w:t>
            </w:r>
          </w:p>
        </w:tc>
        <w:tc>
          <w:tcPr>
            <w:tcW w:w="523" w:type="pct"/>
            <w:tcBorders>
              <w:top w:val="nil"/>
              <w:left w:val="nil"/>
              <w:bottom w:val="single" w:sz="4" w:space="0" w:color="auto"/>
              <w:right w:val="single" w:sz="4" w:space="0" w:color="auto"/>
            </w:tcBorders>
            <w:shd w:val="clear" w:color="000000" w:fill="DAEEF3"/>
            <w:vAlign w:val="bottom"/>
            <w:hideMark/>
          </w:tcPr>
          <w:p w:rsidR="005506A5" w:rsidRPr="00C26F0B" w:rsidRDefault="005506A5" w:rsidP="00BC39AB">
            <w:pPr>
              <w:spacing w:after="0" w:line="240" w:lineRule="auto"/>
              <w:jc w:val="left"/>
              <w:rPr>
                <w:rFonts w:ascii="Calibri" w:eastAsia="Times New Roman" w:hAnsi="Calibri" w:cs="Calibri"/>
                <w:b/>
                <w:bCs/>
                <w:sz w:val="20"/>
                <w:lang w:bidi="ar-SA"/>
              </w:rPr>
            </w:pPr>
            <w:r w:rsidRPr="00C26F0B">
              <w:rPr>
                <w:rFonts w:ascii="Calibri" w:eastAsia="Times New Roman" w:hAnsi="Calibri" w:cs="Calibri"/>
                <w:b/>
                <w:bCs/>
                <w:sz w:val="20"/>
                <w:lang w:bidi="ar-SA"/>
              </w:rPr>
              <w:t> </w:t>
            </w:r>
          </w:p>
        </w:tc>
      </w:tr>
      <w:tr w:rsidR="005506A5" w:rsidRPr="00C26F0B" w:rsidTr="00BC39AB">
        <w:trPr>
          <w:trHeight w:val="255"/>
        </w:trPr>
        <w:tc>
          <w:tcPr>
            <w:tcW w:w="1183" w:type="pct"/>
            <w:tcBorders>
              <w:top w:val="nil"/>
              <w:left w:val="single" w:sz="4" w:space="0" w:color="auto"/>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b/>
                <w:bCs/>
                <w:sz w:val="20"/>
                <w:lang w:bidi="ar-SA"/>
              </w:rPr>
            </w:pPr>
            <w:r w:rsidRPr="00C26F0B">
              <w:rPr>
                <w:rFonts w:ascii="Calibri" w:eastAsia="Times New Roman" w:hAnsi="Calibri" w:cs="Calibri"/>
                <w:b/>
                <w:bCs/>
                <w:sz w:val="20"/>
                <w:lang w:bidi="ar-SA"/>
              </w:rPr>
              <w:t>Doing Business Indicators</w:t>
            </w:r>
          </w:p>
        </w:tc>
        <w:tc>
          <w:tcPr>
            <w:tcW w:w="2022"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c>
          <w:tcPr>
            <w:tcW w:w="755"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c>
          <w:tcPr>
            <w:tcW w:w="517"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c>
          <w:tcPr>
            <w:tcW w:w="523"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510"/>
        </w:trPr>
        <w:tc>
          <w:tcPr>
            <w:tcW w:w="1183" w:type="pct"/>
            <w:vMerge w:val="restar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Starting a Business</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Speed up the process to renew investment licenses and reduce cost and frequency of renewals</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MOCI</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Priority</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USAID</w:t>
            </w:r>
          </w:p>
        </w:tc>
      </w:tr>
      <w:tr w:rsidR="005506A5" w:rsidRPr="00C26F0B" w:rsidTr="00BC39AB">
        <w:trPr>
          <w:trHeight w:val="510"/>
        </w:trPr>
        <w:tc>
          <w:tcPr>
            <w:tcW w:w="1183" w:type="pct"/>
            <w:vMerge/>
            <w:tcBorders>
              <w:top w:val="nil"/>
              <w:left w:val="single" w:sz="4" w:space="0" w:color="auto"/>
              <w:bottom w:val="single" w:sz="4" w:space="0" w:color="auto"/>
              <w:right w:val="single" w:sz="4" w:space="0" w:color="auto"/>
            </w:tcBorders>
            <w:vAlign w:val="center"/>
            <w:hideMark/>
          </w:tcPr>
          <w:p w:rsidR="005506A5" w:rsidRPr="00C26F0B" w:rsidRDefault="005506A5" w:rsidP="00BC39AB">
            <w:pPr>
              <w:spacing w:after="0" w:line="240" w:lineRule="auto"/>
              <w:jc w:val="left"/>
              <w:rPr>
                <w:rFonts w:ascii="Calibri" w:eastAsia="Times New Roman" w:hAnsi="Calibri" w:cs="Calibri"/>
                <w:sz w:val="20"/>
                <w:lang w:bidi="ar-SA"/>
              </w:rPr>
            </w:pP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Re-organize MOCI and AISA so that entrepreneurs will only deal with a single agency for registration and licensing.</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MOCI, AISA</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Medium term</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USAID</w:t>
            </w:r>
          </w:p>
        </w:tc>
      </w:tr>
      <w:tr w:rsidR="005506A5" w:rsidRPr="00C26F0B" w:rsidTr="00BC39AB">
        <w:trPr>
          <w:trHeight w:val="765"/>
        </w:trPr>
        <w:tc>
          <w:tcPr>
            <w:tcW w:w="1183" w:type="pct"/>
            <w:vMerge w:val="restar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Investor Protection</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xml:space="preserve">Both the Joint Stock Company Law and the Corporations and Limited Liability Companies Law address investor protection and could be amended to improve investor protection by mandating international best practices.  </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MOCI</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Priority</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USAID</w:t>
            </w:r>
          </w:p>
        </w:tc>
      </w:tr>
      <w:tr w:rsidR="005506A5" w:rsidRPr="00C26F0B" w:rsidTr="00BC39AB">
        <w:trPr>
          <w:trHeight w:val="1020"/>
        </w:trPr>
        <w:tc>
          <w:tcPr>
            <w:tcW w:w="1183" w:type="pct"/>
            <w:vMerge/>
            <w:tcBorders>
              <w:top w:val="nil"/>
              <w:left w:val="single" w:sz="4" w:space="0" w:color="auto"/>
              <w:bottom w:val="single" w:sz="4" w:space="0" w:color="auto"/>
              <w:right w:val="single" w:sz="4" w:space="0" w:color="auto"/>
            </w:tcBorders>
            <w:vAlign w:val="center"/>
            <w:hideMark/>
          </w:tcPr>
          <w:p w:rsidR="005506A5" w:rsidRPr="00C26F0B" w:rsidRDefault="005506A5" w:rsidP="00BC39AB">
            <w:pPr>
              <w:spacing w:after="0" w:line="240" w:lineRule="auto"/>
              <w:jc w:val="left"/>
              <w:rPr>
                <w:rFonts w:ascii="Calibri" w:eastAsia="Times New Roman" w:hAnsi="Calibri" w:cs="Calibri"/>
                <w:sz w:val="20"/>
                <w:lang w:bidi="ar-SA"/>
              </w:rPr>
            </w:pP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To make it easier for investors to enforce their rights through the courts: In the case of a suit against a company’s Director, interested parties should be allowed to access relevant non-confidential company documents in cases of suspected mismanagement without filing suit, and without having to identify specific documents</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MOCI, Kabul Bank</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Medium term</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USAID</w:t>
            </w:r>
          </w:p>
        </w:tc>
      </w:tr>
      <w:tr w:rsidR="005506A5" w:rsidRPr="00C26F0B" w:rsidTr="00BC39AB">
        <w:trPr>
          <w:trHeight w:val="510"/>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Enforcing Contracts</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Explore setting up an alternate dispute resolution to improve efficiency of commercial judgments.</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MOCI</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Medium term</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USAID</w:t>
            </w:r>
          </w:p>
        </w:tc>
      </w:tr>
      <w:tr w:rsidR="005506A5" w:rsidRPr="00C26F0B" w:rsidTr="00BC39AB">
        <w:trPr>
          <w:trHeight w:val="255"/>
        </w:trPr>
        <w:tc>
          <w:tcPr>
            <w:tcW w:w="1183" w:type="pct"/>
            <w:tcBorders>
              <w:top w:val="nil"/>
              <w:left w:val="single" w:sz="4" w:space="0" w:color="auto"/>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b/>
                <w:bCs/>
                <w:sz w:val="20"/>
                <w:lang w:bidi="ar-SA"/>
              </w:rPr>
            </w:pPr>
            <w:r w:rsidRPr="00C26F0B">
              <w:rPr>
                <w:rFonts w:ascii="Calibri" w:eastAsia="Times New Roman" w:hAnsi="Calibri" w:cs="Calibri"/>
                <w:b/>
                <w:bCs/>
                <w:sz w:val="20"/>
                <w:lang w:bidi="ar-SA"/>
              </w:rPr>
              <w:t>Export Promotion</w:t>
            </w:r>
          </w:p>
        </w:tc>
        <w:tc>
          <w:tcPr>
            <w:tcW w:w="2022"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c>
          <w:tcPr>
            <w:tcW w:w="755"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c>
          <w:tcPr>
            <w:tcW w:w="517"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c>
          <w:tcPr>
            <w:tcW w:w="523"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765"/>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xml:space="preserve">Define the new role and activities of EPAA. </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xml:space="preserve"> Define EPAA's mandate beyond becoming an information center, placing particular emphasis on: promotion, export support services, and marketing activities. PPP with the private sector should be envisaged, as a way to leverage private sector participation</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MOCI, EPAA</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Priority</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GIZ</w:t>
            </w:r>
          </w:p>
        </w:tc>
      </w:tr>
      <w:tr w:rsidR="005506A5" w:rsidRPr="00C26F0B" w:rsidTr="00BC39AB">
        <w:trPr>
          <w:trHeight w:val="510"/>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Develop a National Export Strategy</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Prepare an National Export Strategy (NES) as a standalone document as to support the National Trade Policy (see ITC NES examples)</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MOCI</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Priority</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GIZ</w:t>
            </w:r>
          </w:p>
        </w:tc>
      </w:tr>
      <w:tr w:rsidR="005506A5" w:rsidRPr="00C26F0B" w:rsidTr="00BC39AB">
        <w:trPr>
          <w:trHeight w:val="1275"/>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Explore developing a matching grant scheme.</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xml:space="preserve">Explore developing a matching grants scheme for export promotion informed by the experience of the Tunisian Export Market Access Fund (EMAF).  The EMAF was a public-private approach and the private sector paid for a share of the costs of developing export action plans, technical assistance, and for half of the costs of the implementation.  </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MOCI, EPAA</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Priority</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WB/ MOCI New Market Development Project</w:t>
            </w:r>
          </w:p>
        </w:tc>
      </w:tr>
      <w:tr w:rsidR="005506A5" w:rsidRPr="00C26F0B" w:rsidTr="00BC39AB">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000000" w:fill="DAEEF3"/>
            <w:vAlign w:val="bottom"/>
            <w:hideMark/>
          </w:tcPr>
          <w:p w:rsidR="005506A5" w:rsidRPr="00C26F0B" w:rsidRDefault="005506A5" w:rsidP="00BC39AB">
            <w:pPr>
              <w:spacing w:after="0" w:line="240" w:lineRule="auto"/>
              <w:jc w:val="left"/>
              <w:rPr>
                <w:rFonts w:ascii="Calibri" w:eastAsia="Times New Roman" w:hAnsi="Calibri" w:cs="Calibri"/>
                <w:b/>
                <w:bCs/>
                <w:sz w:val="20"/>
                <w:lang w:bidi="ar-SA"/>
              </w:rPr>
            </w:pPr>
            <w:r w:rsidRPr="00C26F0B">
              <w:rPr>
                <w:rFonts w:ascii="Calibri" w:eastAsia="Times New Roman" w:hAnsi="Calibri" w:cs="Calibri"/>
                <w:b/>
                <w:bCs/>
                <w:sz w:val="20"/>
                <w:lang w:bidi="ar-SA"/>
              </w:rPr>
              <w:t>Case Studies</w:t>
            </w:r>
          </w:p>
        </w:tc>
      </w:tr>
      <w:tr w:rsidR="005506A5" w:rsidRPr="00C26F0B" w:rsidTr="00BC39AB">
        <w:trPr>
          <w:trHeight w:val="255"/>
        </w:trPr>
        <w:tc>
          <w:tcPr>
            <w:tcW w:w="1183" w:type="pct"/>
            <w:tcBorders>
              <w:top w:val="nil"/>
              <w:left w:val="single" w:sz="4" w:space="0" w:color="auto"/>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b/>
                <w:bCs/>
                <w:sz w:val="20"/>
                <w:lang w:bidi="ar-SA"/>
              </w:rPr>
            </w:pPr>
            <w:r w:rsidRPr="00C26F0B">
              <w:rPr>
                <w:rFonts w:ascii="Calibri" w:eastAsia="Times New Roman" w:hAnsi="Calibri" w:cs="Calibri"/>
                <w:b/>
                <w:bCs/>
                <w:sz w:val="20"/>
                <w:lang w:bidi="ar-SA"/>
              </w:rPr>
              <w:t>Agriculture</w:t>
            </w:r>
          </w:p>
        </w:tc>
        <w:tc>
          <w:tcPr>
            <w:tcW w:w="2022"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c>
          <w:tcPr>
            <w:tcW w:w="755"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c>
          <w:tcPr>
            <w:tcW w:w="517"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c>
          <w:tcPr>
            <w:tcW w:w="523"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765"/>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Post-harvest handling and cold chains, increase storage capacity</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xml:space="preserve">Establish post-harvest handling and cold chains, through Public Private Partnership in Kabul and other major urban centers.  This will help address the limited storage capacity, which increases post-harvest losses and leads higher costs. </w:t>
            </w:r>
            <w:r w:rsidRPr="00C26F0B">
              <w:rPr>
                <w:rFonts w:ascii="Calibri" w:eastAsia="Times New Roman" w:hAnsi="Calibri" w:cs="Calibri"/>
                <w:szCs w:val="22"/>
                <w:lang w:bidi="ar-SA"/>
              </w:rPr>
              <w:t xml:space="preserve"> </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MOCI, PS</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Medium, Long term</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1020"/>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xml:space="preserve">Develop standards for packaging.  </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Identify specific packaging needs required to support agricultural products of high export potential.  This will reduce product damage and cut losses for exporters, which will translate in lower export costs and higher quality products reaching the final destination.</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ANSA</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Priority</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1275"/>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Standards, improve quality control and food standards</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Build agriculture extension services, with a view to SPS and TRIPS application in agriculture. Establish streamlined and transparent food safety management, inspection, and certification systems.  This will help address weak quality control.   It will require a review of food standards in existing laboratories in Afghanistan and investment in upgrading facilities.</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ANSA</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Medium term</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1020"/>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Generating greater value added in agriculture</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Afghan exporters could focus on premium segments in large importer countries.  Identify processing activities with high value added and export potential.  In the medium term, organic is an attractive and growing market, but it would take 3-4 years for Afghanistan to receive certification.</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MAIL, MOCI, PS</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Medium term</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255"/>
        </w:trPr>
        <w:tc>
          <w:tcPr>
            <w:tcW w:w="1183" w:type="pct"/>
            <w:tcBorders>
              <w:top w:val="nil"/>
              <w:left w:val="single" w:sz="4" w:space="0" w:color="auto"/>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b/>
                <w:bCs/>
                <w:sz w:val="20"/>
                <w:lang w:bidi="ar-SA"/>
              </w:rPr>
            </w:pPr>
            <w:r w:rsidRPr="00C26F0B">
              <w:rPr>
                <w:rFonts w:ascii="Calibri" w:eastAsia="Times New Roman" w:hAnsi="Calibri" w:cs="Calibri"/>
                <w:b/>
                <w:bCs/>
                <w:sz w:val="20"/>
                <w:lang w:bidi="ar-SA"/>
              </w:rPr>
              <w:t>Gemstone</w:t>
            </w:r>
          </w:p>
        </w:tc>
        <w:tc>
          <w:tcPr>
            <w:tcW w:w="2022"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c>
          <w:tcPr>
            <w:tcW w:w="755"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c>
          <w:tcPr>
            <w:tcW w:w="517"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c>
          <w:tcPr>
            <w:tcW w:w="523"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510"/>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Capacity building</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xml:space="preserve">In collaboration with the private sector, develop capacity-building programs for gemstone valuation and a cutting industry. </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xml:space="preserve">MOCI, EPAA,PS </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Medium term</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510"/>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Implementation of the Gemstone Policy Framework and Roadmap</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xml:space="preserve">Implement the road map of the National Gemstone framework with the aim to establish an Afghan Gemstone Hub.  </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MOM , MOCI</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Medium term</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1290"/>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Establishing a Gemstone Quality Control Agency</w:t>
            </w:r>
            <w:r w:rsidRPr="00C26F0B">
              <w:rPr>
                <w:rFonts w:ascii="Calibri" w:eastAsia="Times New Roman" w:hAnsi="Calibri" w:cs="Calibri"/>
                <w:szCs w:val="22"/>
                <w:lang w:bidi="ar-SA"/>
              </w:rPr>
              <w:t>.</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The quality control agency, established in the form of a public-private partnership, could certify the quality of gemstones.  Also, it could monitor the domestic market through inspections, while registering certified gemstone sellers and exporters and reducing the reduce uncertainty in business operations.  Further, it should aim to provide quality gemstone services training.</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MOM , MOCI, PS</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Medium term</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255"/>
        </w:trPr>
        <w:tc>
          <w:tcPr>
            <w:tcW w:w="1183" w:type="pct"/>
            <w:tcBorders>
              <w:top w:val="nil"/>
              <w:left w:val="single" w:sz="4" w:space="0" w:color="auto"/>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b/>
                <w:bCs/>
                <w:sz w:val="20"/>
                <w:lang w:bidi="ar-SA"/>
              </w:rPr>
            </w:pPr>
            <w:r w:rsidRPr="00C26F0B">
              <w:rPr>
                <w:rFonts w:ascii="Calibri" w:eastAsia="Times New Roman" w:hAnsi="Calibri" w:cs="Calibri"/>
                <w:b/>
                <w:bCs/>
                <w:sz w:val="20"/>
                <w:lang w:bidi="ar-SA"/>
              </w:rPr>
              <w:t>Carpets</w:t>
            </w:r>
          </w:p>
        </w:tc>
        <w:tc>
          <w:tcPr>
            <w:tcW w:w="2022"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c>
          <w:tcPr>
            <w:tcW w:w="755"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c>
          <w:tcPr>
            <w:tcW w:w="517"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c>
          <w:tcPr>
            <w:tcW w:w="523"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255"/>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xml:space="preserve">Branding and Market Linkages.  </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Develop a branding strategy in collaboration with EPAA and Kabul Carpet association</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xml:space="preserve">MOCI, EPAA,PS </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Medium term</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GIZ</w:t>
            </w:r>
          </w:p>
        </w:tc>
      </w:tr>
      <w:tr w:rsidR="005506A5" w:rsidRPr="00C26F0B" w:rsidTr="00BC39AB">
        <w:trPr>
          <w:trHeight w:val="1020"/>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Strengthen market linkages to international buyers</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Identify and nurture market linkages by: i) Continuing to have a presence in key trade fairs , ii) Sponsor Afghan firms in national and international trade shows, (under a defined strict eligibility criteria) iii)  Promoting business trips, tours, and inward buyer missions to foster more direct links between producers and buyers.</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MOCI , EPAA,PS</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Medium term</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765"/>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Export promotion.  Warehouse facilities in overseas markets</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Work with private investors and the GoA to establish regional warehousing/re-export facilities at important trade hubs such as Dubai, UAE and/or expand Afghanistan’s warehouse facilities in Istanbul.</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MOCI , EPAA ,PS</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Medium term</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510"/>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Review security procedures  at airports and borders</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xml:space="preserve">Review current security procedures with the aim to reduce time and costs (through damage) to exporters. </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MOCI, MOF (ARD)</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Priority</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510"/>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Promote a domestic cut and wash industry.</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Promote a domestic cut and wash industry.  The EPAA should play a leading role to leverage private investment and support the growth in this segment.</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xml:space="preserve">MOCI, EPAA,PS </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Medium term</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1020"/>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Improving Product Design</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xml:space="preserve">Work with the private sector to promote regional design centres to create new carpet designs and educate carpet-weavers on international trends, sizes and colors.  In particular:  i) technical training to design centres on the usage of design software, ii) scholarships to the Indian Institute of Carpet Technology (IICT).  </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MOCI, EPAA,PS</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Medium term</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510"/>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Promote substitution of imported to locally produced wool</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Work with the private sector to establish wool association and collection centres (warehouses) for wool cleaning, washing, and packing in the Central and South Regions</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xml:space="preserve">MOCI, EPAA,PS </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Medium term</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510"/>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xml:space="preserve">Provide technical support to existing wool spinning/dying factories and support the opening of new facilities in the Northern and Western Regions.  </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MOCI, EPAA, PS</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Long term</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510"/>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xml:space="preserve">Explore the development of an export finance scheme for experienced carpet exporters </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An export finance scheme for carpet exporters would increase their competitiveness, in terms of financial terms offered to buyers</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EPAA, PS</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Priority</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000000" w:fill="DAEEF3"/>
            <w:vAlign w:val="bottom"/>
            <w:hideMark/>
          </w:tcPr>
          <w:p w:rsidR="005506A5" w:rsidRPr="00C26F0B" w:rsidRDefault="005506A5" w:rsidP="00BC39AB">
            <w:pPr>
              <w:spacing w:after="0" w:line="240" w:lineRule="auto"/>
              <w:jc w:val="left"/>
              <w:rPr>
                <w:rFonts w:ascii="Calibri" w:eastAsia="Times New Roman" w:hAnsi="Calibri" w:cs="Calibri"/>
                <w:b/>
                <w:bCs/>
                <w:sz w:val="20"/>
                <w:lang w:bidi="ar-SA"/>
              </w:rPr>
            </w:pPr>
            <w:r w:rsidRPr="00C26F0B">
              <w:rPr>
                <w:rFonts w:ascii="Calibri" w:eastAsia="Times New Roman" w:hAnsi="Calibri" w:cs="Calibri"/>
                <w:b/>
                <w:bCs/>
                <w:sz w:val="20"/>
                <w:lang w:bidi="ar-SA"/>
              </w:rPr>
              <w:t>Customs Reform and Trade Facilitation</w:t>
            </w:r>
          </w:p>
        </w:tc>
      </w:tr>
      <w:tr w:rsidR="005506A5" w:rsidRPr="00C26F0B" w:rsidTr="00BC39AB">
        <w:trPr>
          <w:trHeight w:val="510"/>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Define competencies across agencies involved in customs</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Clarify mandates across agencies enforcing customs administrations to reduce current overlaps.</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MOFA, MOCI, ACD, MOT</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Priority</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1020"/>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Simplify customs procedures</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xml:space="preserve">Undertake an exercise akin to the GATT assessment at the customs house level to identify critical reforms. Customs procedures should be made less cumbersome, globally aligned and transparent.    Currently, clearance procedures differ within Afghanistan and these need to be internally and regionally aligned.  </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MOF, Customs</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Priority</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1020"/>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Develop missing customs procedures.</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Develop customs procedures for warehousing, free-zones, temporary import and inward processing operations (supporting such industries like repackaging operations, assembly operations, sewing or knitting of ready-made garments, home manufacture of carpets, etc.)</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MOF, Customs</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Medium term</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765"/>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Define the role of clearing agents</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The responsibilities of clearing agents need to be better defined.  Facilitate the establishment of a professional association or institute of chartered customs brokers that continually tests their customs skills.</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MOCI, MOF</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Priority</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765"/>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xml:space="preserve">Strengthen the cooperation with customs agencies of neighboring countries </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Facilitate greater cooperation between the ACD and customs agencies of neighbors.  Stronger cross-border information linkages will have fiscal, social, trade facilitation, and security dimensions</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ACD</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Priority</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510"/>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xml:space="preserve">Ensure every customs reform or modernization operation addresses anti-corruption issues </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xml:space="preserve">Conduct a review of governance issues, with a focus on interference of outside bodies and institutions, develop a clear organizational and staffing policy.  </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MOF</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Priority</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1530"/>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Conduct a review of customs laws / Customs institutional reform.</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Update the customs law (and possibly other laws) to i) promote voluntary compliance (with swifter and probably increased penalties), and ii) provide the customs authorities with an enforcement capacity.  Both are essential to perform according to international standards. Develop customs clearance, non-compliance audit and investigation capability within customs. Provide training in Post Entry Audit, Investigations and Intelligence, Create a Post Entry Valuation section.</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MOF</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Medium term</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510"/>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Ensure customs authorities have enforcement capacity to ensure regulatory compliance</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Custom authorities require enforcement capacity in order to effectively administer customs operations, to reduce corruption, and deter repeating offenders.</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ARD, MOI, MOCI, MOF</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Priority</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000000" w:fill="DAEEF3"/>
            <w:vAlign w:val="bottom"/>
            <w:hideMark/>
          </w:tcPr>
          <w:p w:rsidR="005506A5" w:rsidRPr="00C26F0B" w:rsidRDefault="005506A5" w:rsidP="00BC39AB">
            <w:pPr>
              <w:spacing w:after="0" w:line="240" w:lineRule="auto"/>
              <w:jc w:val="left"/>
              <w:rPr>
                <w:rFonts w:ascii="Calibri" w:eastAsia="Times New Roman" w:hAnsi="Calibri" w:cs="Calibri"/>
                <w:b/>
                <w:bCs/>
                <w:sz w:val="20"/>
                <w:lang w:bidi="ar-SA"/>
              </w:rPr>
            </w:pPr>
            <w:r w:rsidRPr="00C26F0B">
              <w:rPr>
                <w:rFonts w:ascii="Calibri" w:eastAsia="Times New Roman" w:hAnsi="Calibri" w:cs="Calibri"/>
                <w:b/>
                <w:bCs/>
                <w:sz w:val="20"/>
                <w:lang w:bidi="ar-SA"/>
              </w:rPr>
              <w:t>Infrastructure Services</w:t>
            </w:r>
          </w:p>
        </w:tc>
      </w:tr>
      <w:tr w:rsidR="005506A5" w:rsidRPr="00C26F0B" w:rsidTr="00BC39AB">
        <w:trPr>
          <w:trHeight w:val="255"/>
        </w:trPr>
        <w:tc>
          <w:tcPr>
            <w:tcW w:w="1183" w:type="pct"/>
            <w:tcBorders>
              <w:top w:val="nil"/>
              <w:left w:val="single" w:sz="4" w:space="0" w:color="auto"/>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b/>
                <w:bCs/>
                <w:sz w:val="20"/>
                <w:lang w:bidi="ar-SA"/>
              </w:rPr>
            </w:pPr>
            <w:r w:rsidRPr="00C26F0B">
              <w:rPr>
                <w:rFonts w:ascii="Calibri" w:eastAsia="Times New Roman" w:hAnsi="Calibri" w:cs="Calibri"/>
                <w:b/>
                <w:bCs/>
                <w:sz w:val="20"/>
                <w:lang w:bidi="ar-SA"/>
              </w:rPr>
              <w:t>Electricity</w:t>
            </w:r>
          </w:p>
        </w:tc>
        <w:tc>
          <w:tcPr>
            <w:tcW w:w="2022"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c>
          <w:tcPr>
            <w:tcW w:w="755"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c>
          <w:tcPr>
            <w:tcW w:w="517"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c>
          <w:tcPr>
            <w:tcW w:w="523"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510"/>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Expanding domestic power generation capacity</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Technical assistance to develop ways of expanding domestic power generation capacity  and its implementation.</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DABS, MWP</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Medium Term</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765"/>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Enhance regional power trading</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xml:space="preserve">Promote regional power trading by deepening partnerships with neighboring countries.  These need to manage the risks of energy security, price volatility and uncertainty in international power trading. </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MEW</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Medium Term</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255"/>
        </w:trPr>
        <w:tc>
          <w:tcPr>
            <w:tcW w:w="1183" w:type="pct"/>
            <w:tcBorders>
              <w:top w:val="nil"/>
              <w:left w:val="single" w:sz="4" w:space="0" w:color="auto"/>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b/>
                <w:bCs/>
                <w:sz w:val="20"/>
                <w:lang w:bidi="ar-SA"/>
              </w:rPr>
            </w:pPr>
            <w:r w:rsidRPr="00C26F0B">
              <w:rPr>
                <w:rFonts w:ascii="Calibri" w:eastAsia="Times New Roman" w:hAnsi="Calibri" w:cs="Calibri"/>
                <w:b/>
                <w:bCs/>
                <w:sz w:val="20"/>
                <w:lang w:bidi="ar-SA"/>
              </w:rPr>
              <w:t>Information and Communication Technology</w:t>
            </w:r>
          </w:p>
        </w:tc>
        <w:tc>
          <w:tcPr>
            <w:tcW w:w="2022"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c>
          <w:tcPr>
            <w:tcW w:w="755"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c>
          <w:tcPr>
            <w:tcW w:w="517"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c>
          <w:tcPr>
            <w:tcW w:w="523"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3374"/>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xml:space="preserve">Reform licensing to enable greater competition. </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rPr>
                <w:rFonts w:ascii="Calibri" w:eastAsia="Times New Roman" w:hAnsi="Calibri" w:cs="Calibri"/>
                <w:sz w:val="20"/>
                <w:lang w:bidi="ar-SA"/>
              </w:rPr>
            </w:pPr>
            <w:r w:rsidRPr="00946DF6">
              <w:rPr>
                <w:rFonts w:ascii="Calibri" w:eastAsia="Times New Roman" w:hAnsi="Calibri" w:cs="Calibri"/>
                <w:sz w:val="20"/>
                <w:lang w:bidi="ar-SA"/>
              </w:rPr>
              <w:t>Reform licensing to enable greater competition. The recent issuance of new licenses that address earlier differences among GSM license terms</w:t>
            </w:r>
            <w:r>
              <w:rPr>
                <w:rFonts w:ascii="Calibri" w:eastAsia="Times New Roman" w:hAnsi="Calibri" w:cs="Calibri"/>
                <w:sz w:val="20"/>
                <w:lang w:bidi="ar-SA"/>
              </w:rPr>
              <w:t xml:space="preserve">, while  authorizing </w:t>
            </w:r>
            <w:r w:rsidRPr="00946DF6">
              <w:rPr>
                <w:rFonts w:ascii="Calibri" w:eastAsia="Times New Roman" w:hAnsi="Calibri" w:cs="Calibri"/>
                <w:sz w:val="20"/>
                <w:lang w:bidi="ar-SA"/>
              </w:rPr>
              <w:t>the introduction of broadband wireless services</w:t>
            </w:r>
            <w:r>
              <w:rPr>
                <w:rFonts w:ascii="Calibri" w:eastAsia="Times New Roman" w:hAnsi="Calibri" w:cs="Calibri"/>
                <w:sz w:val="20"/>
                <w:lang w:bidi="ar-SA"/>
              </w:rPr>
              <w:t>,</w:t>
            </w:r>
            <w:r w:rsidRPr="00946DF6">
              <w:rPr>
                <w:rFonts w:ascii="Calibri" w:eastAsia="Times New Roman" w:hAnsi="Calibri" w:cs="Calibri"/>
                <w:sz w:val="20"/>
                <w:lang w:bidi="ar-SA"/>
              </w:rPr>
              <w:t xml:space="preserve"> can boost the level of competition.  The Government could consider unifying licenses to make them technology and service </w:t>
            </w:r>
            <w:r>
              <w:rPr>
                <w:rFonts w:ascii="Calibri" w:eastAsia="Times New Roman" w:hAnsi="Calibri" w:cs="Calibri"/>
                <w:sz w:val="20"/>
                <w:lang w:bidi="ar-SA"/>
              </w:rPr>
              <w:t xml:space="preserve">neutral to </w:t>
            </w:r>
            <w:r w:rsidRPr="00946DF6">
              <w:rPr>
                <w:rFonts w:ascii="Calibri" w:eastAsia="Times New Roman" w:hAnsi="Calibri" w:cs="Calibri"/>
                <w:sz w:val="20"/>
                <w:lang w:bidi="ar-SA"/>
              </w:rPr>
              <w:t xml:space="preserve"> encourage service providers to develop innovative services and leverage advanced technologies.  The license award process should be transparent, competitive</w:t>
            </w:r>
            <w:r>
              <w:rPr>
                <w:rFonts w:ascii="Calibri" w:eastAsia="Times New Roman" w:hAnsi="Calibri" w:cs="Calibri"/>
                <w:sz w:val="20"/>
                <w:lang w:bidi="ar-SA"/>
              </w:rPr>
              <w:t xml:space="preserve">.  </w:t>
            </w:r>
            <w:r w:rsidRPr="00946DF6">
              <w:rPr>
                <w:rFonts w:ascii="Calibri" w:eastAsia="Times New Roman" w:hAnsi="Calibri" w:cs="Calibri"/>
                <w:sz w:val="20"/>
                <w:lang w:bidi="ar-SA"/>
              </w:rPr>
              <w:t>Promoting competition and coverage boosting measures such as number portability and domestic roaming will be important for continued growth.</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MCIT</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Priority</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p>
        </w:tc>
      </w:tr>
      <w:tr w:rsidR="005506A5" w:rsidRPr="00C26F0B" w:rsidTr="00BC39AB">
        <w:trPr>
          <w:trHeight w:val="1241"/>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Promote continued open access to the national backbone ne</w:t>
            </w:r>
            <w:r>
              <w:rPr>
                <w:rFonts w:ascii="Calibri" w:eastAsia="Times New Roman" w:hAnsi="Calibri" w:cs="Calibri"/>
                <w:sz w:val="20"/>
                <w:lang w:bidi="ar-SA"/>
              </w:rPr>
              <w:t>twork irrespective of ownership.  Atra should focus</w:t>
            </w:r>
            <w:r w:rsidRPr="00C26F0B">
              <w:rPr>
                <w:rFonts w:ascii="Calibri" w:eastAsia="Times New Roman" w:hAnsi="Calibri" w:cs="Calibri"/>
                <w:sz w:val="20"/>
                <w:lang w:bidi="ar-SA"/>
              </w:rPr>
              <w:t xml:space="preserve"> </w:t>
            </w:r>
            <w:r>
              <w:rPr>
                <w:rFonts w:ascii="Calibri" w:eastAsia="Times New Roman" w:hAnsi="Calibri" w:cs="Calibri"/>
                <w:sz w:val="20"/>
                <w:lang w:bidi="ar-SA"/>
              </w:rPr>
              <w:t>on</w:t>
            </w:r>
            <w:r w:rsidRPr="00C26F0B">
              <w:rPr>
                <w:rFonts w:ascii="Calibri" w:eastAsia="Times New Roman" w:hAnsi="Calibri" w:cs="Calibri"/>
                <w:sz w:val="20"/>
                <w:lang w:bidi="ar-SA"/>
              </w:rPr>
              <w:t xml:space="preserve"> implementing </w:t>
            </w:r>
            <w:r>
              <w:rPr>
                <w:rFonts w:ascii="Calibri" w:eastAsia="Times New Roman" w:hAnsi="Calibri" w:cs="Calibri"/>
                <w:sz w:val="20"/>
                <w:lang w:bidi="ar-SA"/>
              </w:rPr>
              <w:t>its “open a</w:t>
            </w:r>
            <w:r w:rsidRPr="00C26F0B">
              <w:rPr>
                <w:rFonts w:ascii="Calibri" w:eastAsia="Times New Roman" w:hAnsi="Calibri" w:cs="Calibri"/>
                <w:sz w:val="20"/>
                <w:lang w:bidi="ar-SA"/>
              </w:rPr>
              <w:t>ccess” policy</w:t>
            </w:r>
            <w:r w:rsidRPr="00B93523">
              <w:rPr>
                <w:rFonts w:ascii="Calibri" w:eastAsia="Times New Roman" w:hAnsi="Calibri" w:cs="Calibri"/>
                <w:sz w:val="20"/>
                <w:lang w:bidi="ar-SA"/>
              </w:rPr>
              <w:t>.</w:t>
            </w:r>
            <w:r w:rsidRPr="00C26F0B">
              <w:rPr>
                <w:rFonts w:ascii="Calibri" w:eastAsia="Times New Roman" w:hAnsi="Calibri" w:cs="Calibri"/>
                <w:szCs w:val="22"/>
                <w:lang w:bidi="ar-SA"/>
              </w:rPr>
              <w:t xml:space="preserve"> </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B93523">
              <w:rPr>
                <w:rFonts w:ascii="Calibri" w:eastAsia="Times New Roman" w:hAnsi="Calibri" w:cs="Calibri"/>
                <w:sz w:val="20"/>
                <w:lang w:bidi="ar-SA"/>
              </w:rPr>
              <w:t>ATRA should focus on implementing the Ministry’s “open access” policy.  This will ensure capacity will be available to competitive service providers on a non-discriminatory basis at transparent and cost-based tariffs</w:t>
            </w:r>
            <w:r>
              <w:rPr>
                <w:rFonts w:ascii="Calibri" w:eastAsia="Times New Roman" w:hAnsi="Calibri" w:cs="Calibri"/>
                <w:sz w:val="20"/>
                <w:lang w:bidi="ar-SA"/>
              </w:rPr>
              <w:t xml:space="preserve">.  </w:t>
            </w:r>
            <w:r w:rsidRPr="00B93523">
              <w:rPr>
                <w:rFonts w:ascii="Calibri" w:eastAsia="Times New Roman" w:hAnsi="Calibri" w:cs="Calibri"/>
                <w:sz w:val="20"/>
                <w:lang w:bidi="ar-SA"/>
              </w:rPr>
              <w:t>ATRA regulations will implement the policy and will ensure access to the backbone remains non-discriminatory, transparent, and cost-based.</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MCIT</w:t>
            </w:r>
            <w:r>
              <w:rPr>
                <w:rFonts w:ascii="Calibri" w:eastAsia="Times New Roman" w:hAnsi="Calibri" w:cs="Calibri"/>
                <w:sz w:val="20"/>
                <w:lang w:bidi="ar-SA"/>
              </w:rPr>
              <w:t>, ATRA</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Priority</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255"/>
        </w:trPr>
        <w:tc>
          <w:tcPr>
            <w:tcW w:w="1183" w:type="pct"/>
            <w:tcBorders>
              <w:top w:val="nil"/>
              <w:left w:val="single" w:sz="4" w:space="0" w:color="auto"/>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b/>
                <w:bCs/>
                <w:sz w:val="20"/>
                <w:lang w:bidi="ar-SA"/>
              </w:rPr>
            </w:pPr>
            <w:r w:rsidRPr="00C26F0B">
              <w:rPr>
                <w:rFonts w:ascii="Calibri" w:eastAsia="Times New Roman" w:hAnsi="Calibri" w:cs="Calibri"/>
                <w:b/>
                <w:bCs/>
                <w:sz w:val="20"/>
                <w:lang w:bidi="ar-SA"/>
              </w:rPr>
              <w:t>Roads</w:t>
            </w:r>
          </w:p>
        </w:tc>
        <w:tc>
          <w:tcPr>
            <w:tcW w:w="2022"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c>
          <w:tcPr>
            <w:tcW w:w="755"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c>
          <w:tcPr>
            <w:tcW w:w="517"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c>
          <w:tcPr>
            <w:tcW w:w="523" w:type="pct"/>
            <w:tcBorders>
              <w:top w:val="nil"/>
              <w:left w:val="nil"/>
              <w:bottom w:val="single" w:sz="4" w:space="0" w:color="auto"/>
              <w:right w:val="single" w:sz="4" w:space="0" w:color="auto"/>
            </w:tcBorders>
            <w:shd w:val="clear" w:color="000000" w:fill="E4DFEC"/>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255"/>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Invest in road rehabilitation</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xml:space="preserve">Invest selectively in road rehabilitation projects to reduce a deteriorating infrastructure. </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MOF, MRRD, MPW, MOT</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Priority</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1020"/>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Ensure adequate financing of periodic O&amp;M</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Developing a sustainable funding mechanism for the long-term maintenance of existing road assets.   Ensure all future road investment</w:t>
            </w:r>
            <w:r>
              <w:rPr>
                <w:rFonts w:ascii="Calibri" w:eastAsia="Times New Roman" w:hAnsi="Calibri" w:cs="Calibri"/>
                <w:sz w:val="20"/>
                <w:lang w:bidi="ar-SA"/>
              </w:rPr>
              <w:t>s</w:t>
            </w:r>
            <w:r w:rsidRPr="00C26F0B">
              <w:rPr>
                <w:rFonts w:ascii="Calibri" w:eastAsia="Times New Roman" w:hAnsi="Calibri" w:cs="Calibri"/>
                <w:sz w:val="20"/>
                <w:lang w:bidi="ar-SA"/>
              </w:rPr>
              <w:t xml:space="preserve"> have included O&amp;M costs.  Conduct an assessment to determine the most cost -effective way of financing public roads that explores the impact of different options.</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MOF, MRRD, MPW, MOT</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Priority</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255"/>
        </w:trPr>
        <w:tc>
          <w:tcPr>
            <w:tcW w:w="5000" w:type="pct"/>
            <w:gridSpan w:val="5"/>
            <w:tcBorders>
              <w:top w:val="single" w:sz="4" w:space="0" w:color="auto"/>
              <w:left w:val="single" w:sz="4" w:space="0" w:color="auto"/>
              <w:bottom w:val="single" w:sz="4" w:space="0" w:color="auto"/>
              <w:right w:val="single" w:sz="4" w:space="0" w:color="000000"/>
            </w:tcBorders>
            <w:shd w:val="clear" w:color="000000" w:fill="DAEEF3"/>
            <w:vAlign w:val="bottom"/>
            <w:hideMark/>
          </w:tcPr>
          <w:p w:rsidR="005506A5" w:rsidRPr="00C26F0B" w:rsidRDefault="005506A5" w:rsidP="00BC39AB">
            <w:pPr>
              <w:spacing w:after="0" w:line="240" w:lineRule="auto"/>
              <w:jc w:val="left"/>
              <w:rPr>
                <w:rFonts w:ascii="Calibri" w:eastAsia="Times New Roman" w:hAnsi="Calibri" w:cs="Calibri"/>
                <w:b/>
                <w:bCs/>
                <w:sz w:val="20"/>
                <w:lang w:bidi="ar-SA"/>
              </w:rPr>
            </w:pPr>
            <w:r w:rsidRPr="00C26F0B">
              <w:rPr>
                <w:rFonts w:ascii="Calibri" w:eastAsia="Times New Roman" w:hAnsi="Calibri" w:cs="Calibri"/>
                <w:b/>
                <w:bCs/>
                <w:sz w:val="20"/>
                <w:lang w:bidi="ar-SA"/>
              </w:rPr>
              <w:t>Regional Cooperation</w:t>
            </w:r>
          </w:p>
        </w:tc>
      </w:tr>
      <w:tr w:rsidR="005506A5" w:rsidRPr="00C26F0B" w:rsidTr="00BC39AB">
        <w:trPr>
          <w:trHeight w:val="510"/>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Development of intra-regional trade</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Adoption and gradual implementation of existing trade protocols related to subregional trade (SAFTA, APTTA, ECOTA)</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MOCI, ARD, EPAA</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Medium term</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510"/>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Build trade negotiation and follow-up capacity for regional agreements</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Build capacity in the MOCI to analyze and evaluate the impact of trade agreements and to build a highly qualified negotiation team.</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MOCI</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Medium term</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w:t>
            </w:r>
          </w:p>
        </w:tc>
      </w:tr>
      <w:tr w:rsidR="005506A5" w:rsidRPr="00C26F0B" w:rsidTr="00BC39AB">
        <w:trPr>
          <w:trHeight w:val="1020"/>
        </w:trPr>
        <w:tc>
          <w:tcPr>
            <w:tcW w:w="1183" w:type="pct"/>
            <w:tcBorders>
              <w:top w:val="nil"/>
              <w:left w:val="single" w:sz="4" w:space="0" w:color="auto"/>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Finalize the review of existing laws and regulations to ensure consistency with WTO requirements</w:t>
            </w:r>
          </w:p>
        </w:tc>
        <w:tc>
          <w:tcPr>
            <w:tcW w:w="2022"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 xml:space="preserve">Finalize the ongoing regulatory review that ensures consistency with WTO requirements and international standards, a requirement to move from the current Observer Status to full WTO membership.  (Implementing the Afghanistan legislative plan, customs and food safety laws, rules of origin, technical barriers, import licensing.) </w:t>
            </w:r>
          </w:p>
        </w:tc>
        <w:tc>
          <w:tcPr>
            <w:tcW w:w="755"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Office of the President, TAFA, MOCI</w:t>
            </w:r>
          </w:p>
        </w:tc>
        <w:tc>
          <w:tcPr>
            <w:tcW w:w="517"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Long term</w:t>
            </w:r>
          </w:p>
        </w:tc>
        <w:tc>
          <w:tcPr>
            <w:tcW w:w="523" w:type="pct"/>
            <w:tcBorders>
              <w:top w:val="nil"/>
              <w:left w:val="nil"/>
              <w:bottom w:val="single" w:sz="4" w:space="0" w:color="auto"/>
              <w:right w:val="single" w:sz="4" w:space="0" w:color="auto"/>
            </w:tcBorders>
            <w:shd w:val="clear" w:color="auto" w:fill="auto"/>
            <w:vAlign w:val="bottom"/>
            <w:hideMark/>
          </w:tcPr>
          <w:p w:rsidR="005506A5" w:rsidRPr="00C26F0B" w:rsidRDefault="005506A5" w:rsidP="00BC39AB">
            <w:pPr>
              <w:spacing w:after="0" w:line="240" w:lineRule="auto"/>
              <w:jc w:val="left"/>
              <w:rPr>
                <w:rFonts w:ascii="Calibri" w:eastAsia="Times New Roman" w:hAnsi="Calibri" w:cs="Calibri"/>
                <w:sz w:val="20"/>
                <w:lang w:bidi="ar-SA"/>
              </w:rPr>
            </w:pPr>
            <w:r w:rsidRPr="00C26F0B">
              <w:rPr>
                <w:rFonts w:ascii="Calibri" w:eastAsia="Times New Roman" w:hAnsi="Calibri" w:cs="Calibri"/>
                <w:sz w:val="20"/>
                <w:lang w:bidi="ar-SA"/>
              </w:rPr>
              <w:t>USAID</w:t>
            </w:r>
          </w:p>
        </w:tc>
      </w:tr>
    </w:tbl>
    <w:p w:rsidR="005506A5" w:rsidRPr="00AA410F" w:rsidRDefault="005506A5" w:rsidP="00AA410F">
      <w:pPr>
        <w:spacing w:after="0" w:line="240" w:lineRule="auto"/>
        <w:jc w:val="left"/>
        <w:rPr>
          <w:rFonts w:ascii="Calibri" w:eastAsia="Times New Roman" w:hAnsi="Calibri" w:cs="Calibri"/>
          <w:sz w:val="20"/>
          <w:lang w:bidi="ar-SA"/>
        </w:rPr>
      </w:pPr>
    </w:p>
    <w:p w:rsidR="005506A5" w:rsidRPr="00AA410F" w:rsidRDefault="005506A5" w:rsidP="00AA410F">
      <w:pPr>
        <w:spacing w:after="0" w:line="240" w:lineRule="auto"/>
        <w:jc w:val="left"/>
        <w:rPr>
          <w:rFonts w:ascii="Calibri" w:eastAsia="Times New Roman" w:hAnsi="Calibri" w:cs="Calibri"/>
          <w:sz w:val="20"/>
          <w:lang w:bidi="ar-SA"/>
        </w:rPr>
      </w:pPr>
      <w:r w:rsidRPr="00AA410F">
        <w:rPr>
          <w:rFonts w:ascii="Calibri" w:eastAsia="Times New Roman" w:hAnsi="Calibri" w:cs="Calibri"/>
          <w:sz w:val="20"/>
          <w:lang w:bidi="ar-SA"/>
        </w:rPr>
        <w:t>Immediate/ Ongoing : refers to actions to be undertaken over the following 6 months</w:t>
      </w:r>
    </w:p>
    <w:p w:rsidR="005506A5" w:rsidRPr="00AA410F" w:rsidRDefault="005506A5" w:rsidP="00AA410F">
      <w:pPr>
        <w:spacing w:after="0" w:line="240" w:lineRule="auto"/>
        <w:jc w:val="left"/>
        <w:rPr>
          <w:rFonts w:ascii="Calibri" w:eastAsia="Times New Roman" w:hAnsi="Calibri" w:cs="Calibri"/>
          <w:sz w:val="20"/>
          <w:lang w:bidi="ar-SA"/>
        </w:rPr>
      </w:pPr>
      <w:r w:rsidRPr="00AA410F">
        <w:rPr>
          <w:rFonts w:ascii="Calibri" w:eastAsia="Times New Roman" w:hAnsi="Calibri" w:cs="Calibri"/>
          <w:sz w:val="20"/>
          <w:lang w:bidi="ar-SA"/>
        </w:rPr>
        <w:t>Priority:  Actions to be undertaken within the following 12 months</w:t>
      </w:r>
    </w:p>
    <w:p w:rsidR="005506A5" w:rsidRPr="00AA410F" w:rsidRDefault="005506A5" w:rsidP="00AA410F">
      <w:pPr>
        <w:spacing w:after="0" w:line="240" w:lineRule="auto"/>
        <w:jc w:val="left"/>
        <w:rPr>
          <w:rFonts w:ascii="Calibri" w:eastAsia="Times New Roman" w:hAnsi="Calibri" w:cs="Calibri"/>
          <w:sz w:val="20"/>
          <w:lang w:bidi="ar-SA"/>
        </w:rPr>
      </w:pPr>
      <w:r w:rsidRPr="00AA410F">
        <w:rPr>
          <w:rFonts w:ascii="Calibri" w:eastAsia="Times New Roman" w:hAnsi="Calibri" w:cs="Calibri"/>
          <w:sz w:val="20"/>
          <w:lang w:bidi="ar-SA"/>
        </w:rPr>
        <w:t>Medium Term:  Actions that will require within 12 to 36 months</w:t>
      </w:r>
    </w:p>
    <w:p w:rsidR="005506A5" w:rsidRPr="00AA410F" w:rsidRDefault="005506A5" w:rsidP="00AA410F">
      <w:pPr>
        <w:spacing w:after="0" w:line="240" w:lineRule="auto"/>
        <w:jc w:val="left"/>
        <w:rPr>
          <w:rFonts w:ascii="Calibri" w:eastAsia="Times New Roman" w:hAnsi="Calibri" w:cs="Calibri"/>
          <w:sz w:val="20"/>
          <w:lang w:bidi="ar-SA"/>
        </w:rPr>
      </w:pPr>
      <w:r w:rsidRPr="00AA410F">
        <w:rPr>
          <w:rFonts w:ascii="Calibri" w:eastAsia="Times New Roman" w:hAnsi="Calibri" w:cs="Calibri"/>
          <w:sz w:val="20"/>
          <w:lang w:bidi="ar-SA"/>
        </w:rPr>
        <w:t>Long Term:  Actions that will require, could be undertaken after 36 months or more.</w:t>
      </w:r>
    </w:p>
    <w:p w:rsidR="005506A5" w:rsidRPr="00073AC8" w:rsidRDefault="005506A5" w:rsidP="005506A5">
      <w:pPr>
        <w:spacing w:after="0"/>
        <w:rPr>
          <w:szCs w:val="22"/>
        </w:rPr>
      </w:pPr>
    </w:p>
    <w:p w:rsidR="005506A5" w:rsidRPr="00073AC8" w:rsidRDefault="005506A5" w:rsidP="005506A5">
      <w:pPr>
        <w:spacing w:after="0"/>
        <w:ind w:left="45"/>
        <w:rPr>
          <w:szCs w:val="22"/>
        </w:rPr>
      </w:pPr>
    </w:p>
    <w:p w:rsidR="005506A5" w:rsidRPr="00073AC8" w:rsidRDefault="005506A5" w:rsidP="005506A5">
      <w:pPr>
        <w:spacing w:after="0"/>
        <w:ind w:left="45"/>
        <w:rPr>
          <w:szCs w:val="22"/>
        </w:rPr>
      </w:pPr>
    </w:p>
    <w:p w:rsidR="005506A5" w:rsidRDefault="005506A5" w:rsidP="005506A5">
      <w:pPr>
        <w:jc w:val="left"/>
      </w:pPr>
      <w:r>
        <w:br w:type="page"/>
      </w:r>
    </w:p>
    <w:p w:rsidR="005506A5" w:rsidRPr="00B50947" w:rsidRDefault="005506A5" w:rsidP="005506A5">
      <w:pPr>
        <w:tabs>
          <w:tab w:val="left" w:pos="720"/>
        </w:tabs>
        <w:spacing w:after="240" w:line="240" w:lineRule="auto"/>
        <w:rPr>
          <w:rFonts w:eastAsia="Times New Roman" w:cstheme="minorHAnsi"/>
          <w:b/>
          <w:color w:val="002060"/>
          <w:sz w:val="24"/>
          <w:szCs w:val="24"/>
        </w:rPr>
      </w:pPr>
      <w:bookmarkStart w:id="347" w:name="_Toc348451724"/>
      <w:r w:rsidRPr="00AA410F">
        <w:rPr>
          <w:rStyle w:val="Heading2Char"/>
        </w:rPr>
        <w:t>A</w:t>
      </w:r>
      <w:r w:rsidR="002214AA">
        <w:rPr>
          <w:rStyle w:val="Heading2Char"/>
        </w:rPr>
        <w:t>nnex</w:t>
      </w:r>
      <w:r w:rsidRPr="00AA410F">
        <w:rPr>
          <w:rStyle w:val="Heading2Char"/>
        </w:rPr>
        <w:t xml:space="preserve"> II. Afghanistan’s Non- Tariff Measures</w:t>
      </w:r>
      <w:bookmarkEnd w:id="347"/>
      <w:r>
        <w:rPr>
          <w:rStyle w:val="FootnoteReference"/>
          <w:rFonts w:eastAsia="Times New Roman" w:cstheme="minorHAnsi"/>
          <w:b/>
          <w:color w:val="002060"/>
          <w:szCs w:val="24"/>
        </w:rPr>
        <w:footnoteReference w:id="118"/>
      </w:r>
    </w:p>
    <w:tbl>
      <w:tblPr>
        <w:tblStyle w:val="LightShading-Accent1"/>
        <w:tblW w:w="4898" w:type="pct"/>
        <w:tblLayout w:type="fixed"/>
        <w:tblLook w:val="01E0" w:firstRow="1" w:lastRow="1" w:firstColumn="1" w:lastColumn="1" w:noHBand="0" w:noVBand="0"/>
      </w:tblPr>
      <w:tblGrid>
        <w:gridCol w:w="718"/>
        <w:gridCol w:w="1301"/>
        <w:gridCol w:w="4703"/>
        <w:gridCol w:w="3764"/>
        <w:gridCol w:w="2421"/>
      </w:tblGrid>
      <w:tr w:rsidR="005506A5" w:rsidRPr="0007061D" w:rsidTr="00BC3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vMerge w:val="restart"/>
          </w:tcPr>
          <w:p w:rsidR="005506A5" w:rsidRPr="0007061D" w:rsidRDefault="005506A5" w:rsidP="00BC39AB">
            <w:pPr>
              <w:tabs>
                <w:tab w:val="left" w:pos="720"/>
              </w:tabs>
              <w:jc w:val="center"/>
              <w:rPr>
                <w:rFonts w:eastAsia="Times New Roman" w:cstheme="minorHAnsi"/>
                <w:sz w:val="16"/>
                <w:szCs w:val="16"/>
              </w:rPr>
            </w:pPr>
            <w:r w:rsidRPr="0007061D">
              <w:rPr>
                <w:rFonts w:eastAsia="Times New Roman" w:cstheme="minorHAnsi"/>
                <w:sz w:val="16"/>
                <w:szCs w:val="16"/>
              </w:rPr>
              <w:t>No.</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jc w:val="center"/>
              <w:rPr>
                <w:rFonts w:eastAsia="Times New Roman" w:cstheme="minorHAnsi"/>
                <w:sz w:val="16"/>
                <w:szCs w:val="16"/>
              </w:rPr>
            </w:pPr>
            <w:r w:rsidRPr="0007061D">
              <w:rPr>
                <w:rFonts w:eastAsia="Times New Roman" w:cstheme="minorHAnsi"/>
                <w:sz w:val="16"/>
                <w:szCs w:val="16"/>
              </w:rPr>
              <w:t>HS Code</w:t>
            </w:r>
          </w:p>
        </w:tc>
        <w:tc>
          <w:tcPr>
            <w:tcW w:w="1822" w:type="pct"/>
            <w:vMerge w:val="restart"/>
          </w:tcPr>
          <w:p w:rsidR="005506A5" w:rsidRPr="0007061D" w:rsidRDefault="005506A5" w:rsidP="00BC39AB">
            <w:pPr>
              <w:tabs>
                <w:tab w:val="left" w:pos="720"/>
              </w:tabs>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HS Description</w:t>
            </w:r>
          </w:p>
        </w:tc>
        <w:tc>
          <w:tcPr>
            <w:cnfStyle w:val="000010000000" w:firstRow="0" w:lastRow="0" w:firstColumn="0" w:lastColumn="0" w:oddVBand="1" w:evenVBand="0" w:oddHBand="0" w:evenHBand="0" w:firstRowFirstColumn="0" w:firstRowLastColumn="0" w:lastRowFirstColumn="0" w:lastRowLastColumn="0"/>
            <w:tcW w:w="1458" w:type="pct"/>
            <w:vMerge w:val="restart"/>
          </w:tcPr>
          <w:p w:rsidR="005506A5" w:rsidRPr="0007061D" w:rsidRDefault="005506A5" w:rsidP="00BC39AB">
            <w:pPr>
              <w:tabs>
                <w:tab w:val="left" w:pos="720"/>
              </w:tabs>
              <w:jc w:val="center"/>
              <w:rPr>
                <w:rFonts w:eastAsia="Times New Roman" w:cstheme="minorHAnsi"/>
                <w:sz w:val="16"/>
                <w:szCs w:val="16"/>
              </w:rPr>
            </w:pPr>
            <w:r w:rsidRPr="0007061D">
              <w:rPr>
                <w:rFonts w:eastAsia="Times New Roman" w:cstheme="minorHAnsi"/>
                <w:sz w:val="16"/>
                <w:szCs w:val="16"/>
              </w:rPr>
              <w:t>NTMs Description</w:t>
            </w:r>
          </w:p>
        </w:tc>
        <w:tc>
          <w:tcPr>
            <w:cnfStyle w:val="000100000000" w:firstRow="0" w:lastRow="0" w:firstColumn="0" w:lastColumn="1" w:oddVBand="0" w:evenVBand="0" w:oddHBand="0" w:evenHBand="0" w:firstRowFirstColumn="0" w:firstRowLastColumn="0" w:lastRowFirstColumn="0" w:lastRowLastColumn="0"/>
            <w:tcW w:w="938" w:type="pct"/>
            <w:vMerge w:val="restart"/>
          </w:tcPr>
          <w:p w:rsidR="005506A5" w:rsidRPr="0007061D" w:rsidRDefault="005506A5" w:rsidP="00BC39AB">
            <w:pPr>
              <w:tabs>
                <w:tab w:val="left" w:pos="720"/>
              </w:tabs>
              <w:jc w:val="center"/>
              <w:rPr>
                <w:rFonts w:eastAsia="Times New Roman" w:cstheme="minorHAnsi"/>
                <w:sz w:val="16"/>
                <w:szCs w:val="16"/>
              </w:rPr>
            </w:pPr>
            <w:r w:rsidRPr="0007061D">
              <w:rPr>
                <w:rFonts w:eastAsia="Times New Roman" w:cstheme="minorHAnsi"/>
                <w:sz w:val="16"/>
                <w:szCs w:val="16"/>
              </w:rPr>
              <w:t>Source of Identification</w:t>
            </w:r>
          </w:p>
        </w:tc>
      </w:tr>
      <w:tr w:rsidR="005506A5" w:rsidRPr="0007061D" w:rsidTr="00BC3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vMerge/>
          </w:tcPr>
          <w:p w:rsidR="005506A5" w:rsidRPr="0007061D" w:rsidRDefault="005506A5" w:rsidP="00BC39AB">
            <w:pPr>
              <w:tabs>
                <w:tab w:val="left" w:pos="720"/>
              </w:tabs>
              <w:rPr>
                <w:rFonts w:eastAsia="Times New Roman"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jc w:val="center"/>
              <w:rPr>
                <w:rFonts w:eastAsia="Times New Roman" w:cstheme="minorHAnsi"/>
                <w:sz w:val="16"/>
                <w:szCs w:val="16"/>
              </w:rPr>
            </w:pPr>
            <w:r w:rsidRPr="0007061D">
              <w:rPr>
                <w:rFonts w:eastAsia="Times New Roman" w:cstheme="minorHAnsi"/>
                <w:sz w:val="16"/>
                <w:szCs w:val="16"/>
              </w:rPr>
              <w:t>4 digit</w:t>
            </w:r>
          </w:p>
        </w:tc>
        <w:tc>
          <w:tcPr>
            <w:tcW w:w="1822" w:type="pct"/>
            <w:vMerge/>
          </w:tcPr>
          <w:p w:rsidR="005506A5" w:rsidRPr="0007061D" w:rsidRDefault="005506A5" w:rsidP="00BC39AB">
            <w:pPr>
              <w:tabs>
                <w:tab w:val="left" w:pos="720"/>
              </w:tabs>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1458" w:type="pct"/>
            <w:vMerge/>
          </w:tcPr>
          <w:p w:rsidR="005506A5" w:rsidRPr="0007061D" w:rsidRDefault="005506A5" w:rsidP="00BC39AB">
            <w:pPr>
              <w:tabs>
                <w:tab w:val="left" w:pos="720"/>
              </w:tabs>
              <w:rPr>
                <w:rFonts w:eastAsia="Times New Roman" w:cstheme="minorHAnsi"/>
                <w:sz w:val="16"/>
                <w:szCs w:val="16"/>
              </w:rPr>
            </w:pPr>
          </w:p>
        </w:tc>
        <w:tc>
          <w:tcPr>
            <w:cnfStyle w:val="000100000000" w:firstRow="0" w:lastRow="0" w:firstColumn="0" w:lastColumn="1" w:oddVBand="0" w:evenVBand="0" w:oddHBand="0" w:evenHBand="0" w:firstRowFirstColumn="0" w:firstRowLastColumn="0" w:lastRowFirstColumn="0" w:lastRowLastColumn="0"/>
            <w:tcW w:w="938" w:type="pct"/>
            <w:vMerge/>
          </w:tcPr>
          <w:p w:rsidR="005506A5" w:rsidRPr="0007061D" w:rsidRDefault="005506A5" w:rsidP="00BC39AB">
            <w:pPr>
              <w:tabs>
                <w:tab w:val="left" w:pos="720"/>
              </w:tabs>
              <w:rPr>
                <w:rFonts w:eastAsia="Times New Roman" w:cstheme="minorHAnsi"/>
                <w:sz w:val="16"/>
                <w:szCs w:val="16"/>
              </w:rPr>
            </w:pPr>
          </w:p>
        </w:tc>
      </w:tr>
      <w:tr w:rsidR="005506A5" w:rsidRPr="0007061D" w:rsidTr="00BC39AB">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1</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01.03</w:t>
            </w:r>
          </w:p>
        </w:tc>
        <w:tc>
          <w:tcPr>
            <w:tcW w:w="1822" w:type="pct"/>
          </w:tcPr>
          <w:p w:rsidR="005506A5" w:rsidRPr="0007061D" w:rsidRDefault="005506A5" w:rsidP="00BC39AB">
            <w:pPr>
              <w:tabs>
                <w:tab w:val="left" w:pos="720"/>
              </w:tabs>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Live swine</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Prohibited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Religious purposes</w:t>
            </w:r>
          </w:p>
        </w:tc>
      </w:tr>
      <w:tr w:rsidR="005506A5" w:rsidRPr="0007061D" w:rsidTr="00BC3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2</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01.05</w:t>
            </w:r>
          </w:p>
        </w:tc>
        <w:tc>
          <w:tcPr>
            <w:tcW w:w="1822" w:type="pct"/>
          </w:tcPr>
          <w:p w:rsidR="005506A5" w:rsidRPr="0007061D" w:rsidRDefault="005506A5" w:rsidP="00BC39AB">
            <w:pPr>
              <w:tabs>
                <w:tab w:val="left" w:pos="720"/>
              </w:tabs>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Live poultry</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Quality inspection is required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MAAH</w:t>
            </w:r>
          </w:p>
        </w:tc>
      </w:tr>
      <w:tr w:rsidR="005506A5" w:rsidRPr="0007061D" w:rsidTr="00BC39AB">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3</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02.01</w:t>
            </w:r>
          </w:p>
        </w:tc>
        <w:tc>
          <w:tcPr>
            <w:tcW w:w="1822" w:type="pct"/>
          </w:tcPr>
          <w:p w:rsidR="005506A5" w:rsidRPr="0007061D" w:rsidRDefault="005506A5" w:rsidP="00BC39AB">
            <w:pPr>
              <w:tabs>
                <w:tab w:val="left" w:pos="720"/>
              </w:tabs>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Meat of bovine animals, fresh or chilled</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Quality inspection is required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MAAH</w:t>
            </w:r>
          </w:p>
        </w:tc>
      </w:tr>
      <w:tr w:rsidR="005506A5" w:rsidRPr="0007061D" w:rsidTr="00BC3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4</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02.02</w:t>
            </w:r>
          </w:p>
        </w:tc>
        <w:tc>
          <w:tcPr>
            <w:tcW w:w="1822" w:type="pct"/>
          </w:tcPr>
          <w:p w:rsidR="005506A5" w:rsidRPr="0007061D" w:rsidRDefault="005506A5" w:rsidP="00BC39AB">
            <w:pPr>
              <w:tabs>
                <w:tab w:val="left" w:pos="720"/>
              </w:tabs>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Meat of bovine animals, frozen</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Quality inspection is required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MAAH</w:t>
            </w:r>
          </w:p>
        </w:tc>
      </w:tr>
      <w:tr w:rsidR="005506A5" w:rsidRPr="0007061D" w:rsidTr="00BC39AB">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5</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02.03</w:t>
            </w:r>
          </w:p>
        </w:tc>
        <w:tc>
          <w:tcPr>
            <w:tcW w:w="1822" w:type="pct"/>
          </w:tcPr>
          <w:p w:rsidR="005506A5" w:rsidRPr="0007061D" w:rsidRDefault="005506A5" w:rsidP="00BC39AB">
            <w:pPr>
              <w:tabs>
                <w:tab w:val="left" w:pos="720"/>
              </w:tabs>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Meat of swine, fresh, chilled or frozen</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Prohibited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Religious purposes</w:t>
            </w:r>
          </w:p>
        </w:tc>
      </w:tr>
      <w:tr w:rsidR="005506A5" w:rsidRPr="0007061D" w:rsidTr="00BC3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6</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02.04</w:t>
            </w:r>
          </w:p>
        </w:tc>
        <w:tc>
          <w:tcPr>
            <w:tcW w:w="1822" w:type="pct"/>
          </w:tcPr>
          <w:p w:rsidR="005506A5" w:rsidRPr="0007061D" w:rsidRDefault="005506A5" w:rsidP="00BC39AB">
            <w:pPr>
              <w:tabs>
                <w:tab w:val="left" w:pos="720"/>
              </w:tabs>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Meat of sheep or goats, fresh, chilled or frozen</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Quality inspection is required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MAAH</w:t>
            </w:r>
          </w:p>
        </w:tc>
      </w:tr>
      <w:tr w:rsidR="005506A5" w:rsidRPr="0007061D" w:rsidTr="00BC39AB">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7</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02.08</w:t>
            </w:r>
          </w:p>
        </w:tc>
        <w:tc>
          <w:tcPr>
            <w:tcW w:w="1822" w:type="pct"/>
          </w:tcPr>
          <w:p w:rsidR="005506A5" w:rsidRPr="0007061D" w:rsidRDefault="005506A5" w:rsidP="00BC39AB">
            <w:pPr>
              <w:tabs>
                <w:tab w:val="left" w:pos="720"/>
              </w:tabs>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Other meat and edible meat offal, fresh, chilled or frozen</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Quality inspection is required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MAAH</w:t>
            </w:r>
          </w:p>
        </w:tc>
      </w:tr>
      <w:tr w:rsidR="005506A5" w:rsidRPr="0007061D" w:rsidTr="00BC3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8</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02.09</w:t>
            </w:r>
          </w:p>
        </w:tc>
        <w:tc>
          <w:tcPr>
            <w:tcW w:w="1822" w:type="pct"/>
          </w:tcPr>
          <w:p w:rsidR="005506A5" w:rsidRPr="0007061D" w:rsidRDefault="005506A5" w:rsidP="00BC39AB">
            <w:pPr>
              <w:tabs>
                <w:tab w:val="left" w:pos="720"/>
              </w:tabs>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Pig fat, fresh, chilled, frozen, salted, in brine, dried or smoked</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Prohibited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Religious purposes</w:t>
            </w:r>
          </w:p>
        </w:tc>
      </w:tr>
      <w:tr w:rsidR="005506A5" w:rsidRPr="0007061D" w:rsidTr="00BC39AB">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9</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03.01</w:t>
            </w:r>
          </w:p>
        </w:tc>
        <w:tc>
          <w:tcPr>
            <w:tcW w:w="1822" w:type="pct"/>
          </w:tcPr>
          <w:p w:rsidR="005506A5" w:rsidRPr="0007061D" w:rsidRDefault="005506A5" w:rsidP="00BC39AB">
            <w:pPr>
              <w:tabs>
                <w:tab w:val="left" w:pos="720"/>
              </w:tabs>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Live fish</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Quality inspection is required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MAAH</w:t>
            </w:r>
          </w:p>
        </w:tc>
      </w:tr>
      <w:tr w:rsidR="005506A5" w:rsidRPr="0007061D" w:rsidTr="00BC3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10</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03.02</w:t>
            </w:r>
          </w:p>
        </w:tc>
        <w:tc>
          <w:tcPr>
            <w:tcW w:w="1822" w:type="pct"/>
          </w:tcPr>
          <w:p w:rsidR="005506A5" w:rsidRPr="0007061D" w:rsidRDefault="005506A5" w:rsidP="00BC39AB">
            <w:pPr>
              <w:tabs>
                <w:tab w:val="left" w:pos="720"/>
              </w:tabs>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Fish, fresh or chilled,</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Quality inspection is required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MAAH</w:t>
            </w:r>
          </w:p>
        </w:tc>
      </w:tr>
      <w:tr w:rsidR="005506A5" w:rsidRPr="0007061D" w:rsidTr="00BC39AB">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11</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04.01</w:t>
            </w:r>
          </w:p>
        </w:tc>
        <w:tc>
          <w:tcPr>
            <w:tcW w:w="1822" w:type="pct"/>
          </w:tcPr>
          <w:p w:rsidR="005506A5" w:rsidRPr="0007061D" w:rsidRDefault="005506A5" w:rsidP="00BC39AB">
            <w:pPr>
              <w:tabs>
                <w:tab w:val="left" w:pos="720"/>
              </w:tabs>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Milk and cream,</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Quality inspection is required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MoPH</w:t>
            </w:r>
          </w:p>
        </w:tc>
      </w:tr>
      <w:tr w:rsidR="005506A5" w:rsidRPr="0007061D" w:rsidTr="00BC3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12</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04.03</w:t>
            </w:r>
          </w:p>
        </w:tc>
        <w:tc>
          <w:tcPr>
            <w:tcW w:w="1822" w:type="pct"/>
          </w:tcPr>
          <w:p w:rsidR="005506A5" w:rsidRPr="0007061D" w:rsidRDefault="005506A5" w:rsidP="00BC39AB">
            <w:pPr>
              <w:tabs>
                <w:tab w:val="left" w:pos="720"/>
              </w:tabs>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Buttermilk, curdled milk and cream and yogurt</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Quality inspection is required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MoPH</w:t>
            </w:r>
          </w:p>
        </w:tc>
      </w:tr>
      <w:tr w:rsidR="005506A5" w:rsidRPr="0007061D" w:rsidTr="00BC39AB">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13</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04.04</w:t>
            </w:r>
          </w:p>
        </w:tc>
        <w:tc>
          <w:tcPr>
            <w:tcW w:w="1822" w:type="pct"/>
          </w:tcPr>
          <w:p w:rsidR="005506A5" w:rsidRPr="0007061D" w:rsidRDefault="005506A5" w:rsidP="00BC39AB">
            <w:pPr>
              <w:tabs>
                <w:tab w:val="left" w:pos="720"/>
              </w:tabs>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Whey</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Quality inspection is required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MoPH</w:t>
            </w:r>
          </w:p>
        </w:tc>
      </w:tr>
      <w:tr w:rsidR="005506A5" w:rsidRPr="0007061D" w:rsidTr="00BC3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14</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04.05</w:t>
            </w:r>
          </w:p>
        </w:tc>
        <w:tc>
          <w:tcPr>
            <w:tcW w:w="1822" w:type="pct"/>
          </w:tcPr>
          <w:p w:rsidR="005506A5" w:rsidRPr="0007061D" w:rsidRDefault="005506A5" w:rsidP="00BC39AB">
            <w:pPr>
              <w:tabs>
                <w:tab w:val="left" w:pos="720"/>
              </w:tabs>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Butter and other fats and oils derived from milk</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Quality inspection is required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MoPH</w:t>
            </w:r>
          </w:p>
        </w:tc>
      </w:tr>
      <w:tr w:rsidR="005506A5" w:rsidRPr="0007061D" w:rsidTr="00BC39AB">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15</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04.06</w:t>
            </w:r>
          </w:p>
        </w:tc>
        <w:tc>
          <w:tcPr>
            <w:tcW w:w="1822" w:type="pct"/>
          </w:tcPr>
          <w:p w:rsidR="005506A5" w:rsidRPr="0007061D" w:rsidRDefault="005506A5" w:rsidP="00BC39AB">
            <w:pPr>
              <w:tabs>
                <w:tab w:val="left" w:pos="720"/>
              </w:tabs>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Cheese and curd</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Quality inspection is required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MoPH</w:t>
            </w:r>
          </w:p>
        </w:tc>
      </w:tr>
      <w:tr w:rsidR="005506A5" w:rsidRPr="0007061D" w:rsidTr="00BC3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16</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04.07</w:t>
            </w:r>
          </w:p>
        </w:tc>
        <w:tc>
          <w:tcPr>
            <w:tcW w:w="1822" w:type="pct"/>
          </w:tcPr>
          <w:p w:rsidR="005506A5" w:rsidRPr="0007061D" w:rsidRDefault="005506A5" w:rsidP="00BC39AB">
            <w:pPr>
              <w:tabs>
                <w:tab w:val="left" w:pos="720"/>
              </w:tabs>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Birds' eggs, in shell, fresh</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Quality inspection is required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MoPH</w:t>
            </w:r>
          </w:p>
        </w:tc>
      </w:tr>
      <w:tr w:rsidR="005506A5" w:rsidRPr="0007061D" w:rsidTr="00BC39AB">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17</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05.02</w:t>
            </w:r>
          </w:p>
        </w:tc>
        <w:tc>
          <w:tcPr>
            <w:tcW w:w="1822" w:type="pct"/>
          </w:tcPr>
          <w:p w:rsidR="005506A5" w:rsidRPr="0007061D" w:rsidRDefault="005506A5" w:rsidP="00BC39AB">
            <w:pPr>
              <w:tabs>
                <w:tab w:val="left" w:pos="720"/>
              </w:tabs>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Pigs', hogs' or boars' bristles and hair and waste thereof</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Prohibited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Religious purposes</w:t>
            </w:r>
          </w:p>
        </w:tc>
      </w:tr>
      <w:tr w:rsidR="005506A5" w:rsidRPr="0007061D" w:rsidTr="00BC3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18</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08.02</w:t>
            </w:r>
          </w:p>
        </w:tc>
        <w:tc>
          <w:tcPr>
            <w:tcW w:w="1822" w:type="pct"/>
          </w:tcPr>
          <w:p w:rsidR="005506A5" w:rsidRPr="0007061D" w:rsidRDefault="005506A5" w:rsidP="00BC39AB">
            <w:pPr>
              <w:tabs>
                <w:tab w:val="left" w:pos="720"/>
              </w:tabs>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Almonds, walnuts</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Prohibited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MoCI</w:t>
            </w:r>
          </w:p>
        </w:tc>
      </w:tr>
      <w:tr w:rsidR="005506A5" w:rsidRPr="0007061D" w:rsidTr="00BC39AB">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19</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12.11</w:t>
            </w:r>
          </w:p>
        </w:tc>
        <w:tc>
          <w:tcPr>
            <w:tcW w:w="1822" w:type="pct"/>
          </w:tcPr>
          <w:p w:rsidR="005506A5" w:rsidRPr="0007061D" w:rsidRDefault="005506A5" w:rsidP="00BC39AB">
            <w:pPr>
              <w:tabs>
                <w:tab w:val="left" w:pos="720"/>
              </w:tabs>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 xml:space="preserve">Liquorice roots </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Prohibited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MoCI</w:t>
            </w:r>
          </w:p>
        </w:tc>
      </w:tr>
      <w:tr w:rsidR="005506A5" w:rsidRPr="0007061D" w:rsidTr="00BC3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20</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15.01</w:t>
            </w:r>
          </w:p>
        </w:tc>
        <w:tc>
          <w:tcPr>
            <w:tcW w:w="1822" w:type="pct"/>
          </w:tcPr>
          <w:p w:rsidR="005506A5" w:rsidRPr="0007061D" w:rsidRDefault="005506A5" w:rsidP="00BC39AB">
            <w:pPr>
              <w:tabs>
                <w:tab w:val="left" w:pos="720"/>
              </w:tabs>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Pig fat including lard</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Prohibited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Religious purposes</w:t>
            </w:r>
          </w:p>
        </w:tc>
      </w:tr>
      <w:tr w:rsidR="005506A5" w:rsidRPr="0007061D" w:rsidTr="00BC39AB">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21</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16.02</w:t>
            </w:r>
          </w:p>
        </w:tc>
        <w:tc>
          <w:tcPr>
            <w:tcW w:w="1822" w:type="pct"/>
          </w:tcPr>
          <w:p w:rsidR="005506A5" w:rsidRPr="0007061D" w:rsidRDefault="005506A5" w:rsidP="00BC39AB">
            <w:pPr>
              <w:tabs>
                <w:tab w:val="left" w:pos="720"/>
              </w:tabs>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Hams and cuts thereof</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Prohibited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Religious purposes</w:t>
            </w:r>
          </w:p>
        </w:tc>
      </w:tr>
      <w:tr w:rsidR="005506A5" w:rsidRPr="0007061D" w:rsidTr="00BC3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22</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22.03</w:t>
            </w:r>
          </w:p>
        </w:tc>
        <w:tc>
          <w:tcPr>
            <w:tcW w:w="1822" w:type="pct"/>
          </w:tcPr>
          <w:p w:rsidR="005506A5" w:rsidRPr="0007061D" w:rsidRDefault="005506A5" w:rsidP="00BC39AB">
            <w:pPr>
              <w:tabs>
                <w:tab w:val="left" w:pos="720"/>
              </w:tabs>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Beer made from malt</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Prohibited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Religious purposes</w:t>
            </w:r>
          </w:p>
        </w:tc>
      </w:tr>
      <w:tr w:rsidR="005506A5" w:rsidRPr="0007061D" w:rsidTr="00BC39AB">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23</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22.04</w:t>
            </w:r>
          </w:p>
        </w:tc>
        <w:tc>
          <w:tcPr>
            <w:tcW w:w="1822" w:type="pct"/>
          </w:tcPr>
          <w:p w:rsidR="005506A5" w:rsidRPr="0007061D" w:rsidRDefault="005506A5" w:rsidP="00BC39AB">
            <w:pPr>
              <w:tabs>
                <w:tab w:val="left" w:pos="720"/>
              </w:tabs>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Wine of fresh grapes, including fortified wines</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Prohibited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Religious purposes</w:t>
            </w:r>
          </w:p>
        </w:tc>
      </w:tr>
      <w:tr w:rsidR="005506A5" w:rsidRPr="0007061D" w:rsidTr="00BC3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24</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22.05</w:t>
            </w:r>
          </w:p>
        </w:tc>
        <w:tc>
          <w:tcPr>
            <w:tcW w:w="1822" w:type="pct"/>
          </w:tcPr>
          <w:p w:rsidR="005506A5" w:rsidRPr="0007061D" w:rsidRDefault="005506A5" w:rsidP="00BC39AB">
            <w:pPr>
              <w:tabs>
                <w:tab w:val="left" w:pos="720"/>
              </w:tabs>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Vermouth and other wind of fresh grapes flavoured with plants or aromatic substances</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Prohibited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Religious purposes</w:t>
            </w:r>
          </w:p>
        </w:tc>
      </w:tr>
      <w:tr w:rsidR="005506A5" w:rsidRPr="0007061D" w:rsidTr="00BC39AB">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25</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22.06</w:t>
            </w:r>
          </w:p>
        </w:tc>
        <w:tc>
          <w:tcPr>
            <w:tcW w:w="1822" w:type="pct"/>
          </w:tcPr>
          <w:p w:rsidR="005506A5" w:rsidRPr="0007061D" w:rsidRDefault="005506A5" w:rsidP="00BC39AB">
            <w:pPr>
              <w:tabs>
                <w:tab w:val="left" w:pos="720"/>
              </w:tabs>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Other fermented beverages (for example, cider, perry, mead); and mixtures of fermented beverages</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Prohibited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Religious purposes</w:t>
            </w:r>
          </w:p>
        </w:tc>
      </w:tr>
      <w:tr w:rsidR="005506A5" w:rsidRPr="0007061D" w:rsidTr="00BC3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26</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25.01</w:t>
            </w:r>
          </w:p>
        </w:tc>
        <w:tc>
          <w:tcPr>
            <w:tcW w:w="1822" w:type="pct"/>
          </w:tcPr>
          <w:p w:rsidR="005506A5" w:rsidRPr="0007061D" w:rsidRDefault="005506A5" w:rsidP="00BC39AB">
            <w:pPr>
              <w:tabs>
                <w:tab w:val="left" w:pos="720"/>
              </w:tabs>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Table salt</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Prohibited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MoM</w:t>
            </w:r>
          </w:p>
        </w:tc>
      </w:tr>
      <w:tr w:rsidR="005506A5" w:rsidRPr="0007061D" w:rsidTr="00BC39AB">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27</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25.15</w:t>
            </w:r>
          </w:p>
        </w:tc>
        <w:tc>
          <w:tcPr>
            <w:tcW w:w="1822" w:type="pct"/>
          </w:tcPr>
          <w:p w:rsidR="005506A5" w:rsidRPr="0007061D" w:rsidRDefault="005506A5" w:rsidP="00BC39AB">
            <w:pPr>
              <w:tabs>
                <w:tab w:val="left" w:pos="720"/>
              </w:tabs>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Marble and travertine</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Prohibited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MoM</w:t>
            </w:r>
          </w:p>
        </w:tc>
      </w:tr>
      <w:tr w:rsidR="005506A5" w:rsidRPr="0007061D" w:rsidTr="00BC3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28</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25.20</w:t>
            </w:r>
          </w:p>
        </w:tc>
        <w:tc>
          <w:tcPr>
            <w:tcW w:w="1822" w:type="pct"/>
          </w:tcPr>
          <w:p w:rsidR="005506A5" w:rsidRPr="0007061D" w:rsidRDefault="005506A5" w:rsidP="00BC39AB">
            <w:pPr>
              <w:tabs>
                <w:tab w:val="left" w:pos="720"/>
              </w:tabs>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Gypsum; anhydride and plasters</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Prohibited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MoM</w:t>
            </w:r>
          </w:p>
        </w:tc>
      </w:tr>
      <w:tr w:rsidR="005506A5" w:rsidRPr="0007061D" w:rsidTr="00BC39AB">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29</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27.10</w:t>
            </w:r>
          </w:p>
        </w:tc>
        <w:tc>
          <w:tcPr>
            <w:tcW w:w="1822" w:type="pct"/>
          </w:tcPr>
          <w:p w:rsidR="005506A5" w:rsidRPr="0007061D" w:rsidRDefault="005506A5" w:rsidP="00BC39AB">
            <w:pPr>
              <w:tabs>
                <w:tab w:val="left" w:pos="720"/>
              </w:tabs>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Petroleum oils (Aviation Fuel, Petrol, Diesel, Kerosene)</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Quality Inspection is required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MoCI</w:t>
            </w:r>
          </w:p>
        </w:tc>
      </w:tr>
      <w:tr w:rsidR="005506A5" w:rsidRPr="0007061D" w:rsidTr="00BC3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30</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29.03</w:t>
            </w:r>
          </w:p>
        </w:tc>
        <w:tc>
          <w:tcPr>
            <w:tcW w:w="1822" w:type="pct"/>
          </w:tcPr>
          <w:p w:rsidR="005506A5" w:rsidRPr="0007061D" w:rsidRDefault="005506A5" w:rsidP="00BC39AB">
            <w:pPr>
              <w:tabs>
                <w:tab w:val="left" w:pos="720"/>
              </w:tabs>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Halogenated Derivatives of hydrocarbons</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 xml:space="preserve">Import is subject to product registration, </w:t>
            </w:r>
            <w:r w:rsidR="00351C41" w:rsidRPr="0007061D">
              <w:rPr>
                <w:rFonts w:eastAsia="Times New Roman" w:cstheme="minorHAnsi"/>
                <w:sz w:val="16"/>
                <w:szCs w:val="16"/>
              </w:rPr>
              <w:t>labeling</w:t>
            </w:r>
            <w:r w:rsidRPr="0007061D">
              <w:rPr>
                <w:rFonts w:eastAsia="Times New Roman" w:cstheme="minorHAnsi"/>
                <w:sz w:val="16"/>
                <w:szCs w:val="16"/>
              </w:rPr>
              <w:t>, advertisement control, inspection and quarantine requirement</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National Ozone Unit</w:t>
            </w:r>
          </w:p>
        </w:tc>
      </w:tr>
      <w:tr w:rsidR="005506A5" w:rsidRPr="0007061D" w:rsidTr="00BC39AB">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31</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29.15</w:t>
            </w:r>
          </w:p>
        </w:tc>
        <w:tc>
          <w:tcPr>
            <w:tcW w:w="1822" w:type="pct"/>
          </w:tcPr>
          <w:p w:rsidR="005506A5" w:rsidRPr="0007061D" w:rsidRDefault="005506A5" w:rsidP="00BC39AB">
            <w:pPr>
              <w:tabs>
                <w:tab w:val="left" w:pos="720"/>
              </w:tabs>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Acetic anhydride and other precursors/narcotics</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Controlled item</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Narcotics Law</w:t>
            </w:r>
          </w:p>
        </w:tc>
      </w:tr>
      <w:tr w:rsidR="005506A5" w:rsidRPr="0007061D" w:rsidTr="00BC3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32</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29.39</w:t>
            </w:r>
          </w:p>
        </w:tc>
        <w:tc>
          <w:tcPr>
            <w:tcW w:w="1822" w:type="pct"/>
          </w:tcPr>
          <w:p w:rsidR="005506A5" w:rsidRPr="0007061D" w:rsidRDefault="005506A5" w:rsidP="00BC39AB">
            <w:pPr>
              <w:tabs>
                <w:tab w:val="left" w:pos="720"/>
              </w:tabs>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Alkaloids of opium and their derivatives; salts thereof</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Controlled items</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MoPH</w:t>
            </w:r>
          </w:p>
        </w:tc>
      </w:tr>
      <w:tr w:rsidR="005506A5" w:rsidRPr="0007061D" w:rsidTr="00BC39AB">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33</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30.04</w:t>
            </w:r>
          </w:p>
        </w:tc>
        <w:tc>
          <w:tcPr>
            <w:tcW w:w="1822" w:type="pct"/>
          </w:tcPr>
          <w:p w:rsidR="005506A5" w:rsidRPr="0007061D" w:rsidRDefault="005506A5" w:rsidP="00BC39AB">
            <w:pPr>
              <w:tabs>
                <w:tab w:val="left" w:pos="720"/>
              </w:tabs>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Medicaments</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All importations of pharmaceutical products are subjected to test on samples compulsorily</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MoPH</w:t>
            </w:r>
          </w:p>
        </w:tc>
      </w:tr>
      <w:tr w:rsidR="005506A5" w:rsidRPr="0007061D" w:rsidTr="00BC3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34</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31.03</w:t>
            </w:r>
          </w:p>
        </w:tc>
        <w:tc>
          <w:tcPr>
            <w:tcW w:w="1822" w:type="pct"/>
          </w:tcPr>
          <w:p w:rsidR="005506A5" w:rsidRPr="0007061D" w:rsidRDefault="005506A5" w:rsidP="00BC39AB">
            <w:pPr>
              <w:tabs>
                <w:tab w:val="left" w:pos="720"/>
              </w:tabs>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Mineral or chemical fertilizers, phosphatic</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Quality inspection is required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MAAH</w:t>
            </w:r>
          </w:p>
        </w:tc>
      </w:tr>
      <w:tr w:rsidR="005506A5" w:rsidRPr="0007061D" w:rsidTr="00BC39AB">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35</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31.04</w:t>
            </w:r>
          </w:p>
        </w:tc>
        <w:tc>
          <w:tcPr>
            <w:tcW w:w="1822" w:type="pct"/>
          </w:tcPr>
          <w:p w:rsidR="005506A5" w:rsidRPr="0007061D" w:rsidRDefault="005506A5" w:rsidP="00BC39AB">
            <w:pPr>
              <w:tabs>
                <w:tab w:val="left" w:pos="720"/>
              </w:tabs>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Mineral or chemical fertilizers, potassic</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Quality inspection is required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MAAH</w:t>
            </w:r>
          </w:p>
        </w:tc>
      </w:tr>
      <w:tr w:rsidR="005506A5" w:rsidRPr="0007061D" w:rsidTr="00BC3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36</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31.05</w:t>
            </w:r>
          </w:p>
        </w:tc>
        <w:tc>
          <w:tcPr>
            <w:tcW w:w="1822" w:type="pct"/>
          </w:tcPr>
          <w:p w:rsidR="005506A5" w:rsidRPr="0007061D" w:rsidRDefault="005506A5" w:rsidP="00BC39AB">
            <w:pPr>
              <w:tabs>
                <w:tab w:val="left" w:pos="720"/>
              </w:tabs>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Mineral or chemical fertilizers containing two or three of the fertilizing elements nitrogen, phosphorus and potassium</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Quality inspection is required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MAAH</w:t>
            </w:r>
          </w:p>
        </w:tc>
      </w:tr>
      <w:tr w:rsidR="005506A5" w:rsidRPr="0007061D" w:rsidTr="00BC39AB">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37</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38</w:t>
            </w:r>
          </w:p>
        </w:tc>
        <w:tc>
          <w:tcPr>
            <w:tcW w:w="1822" w:type="pct"/>
          </w:tcPr>
          <w:p w:rsidR="005506A5" w:rsidRPr="0007061D" w:rsidRDefault="005506A5" w:rsidP="00BC39AB">
            <w:pPr>
              <w:tabs>
                <w:tab w:val="left" w:pos="720"/>
              </w:tabs>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Insecticides, fungicides, herbicides, disinfectants</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Testing, inspection and quarantine requirements</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MAAH</w:t>
            </w:r>
          </w:p>
        </w:tc>
      </w:tr>
      <w:tr w:rsidR="005506A5" w:rsidRPr="0007061D" w:rsidTr="00BC3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38</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41.13</w:t>
            </w:r>
          </w:p>
        </w:tc>
        <w:tc>
          <w:tcPr>
            <w:tcW w:w="1822" w:type="pct"/>
          </w:tcPr>
          <w:p w:rsidR="005506A5" w:rsidRPr="0007061D" w:rsidRDefault="005506A5" w:rsidP="00BC39AB">
            <w:pPr>
              <w:tabs>
                <w:tab w:val="left" w:pos="720"/>
              </w:tabs>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Leather of swine</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Prohibited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Religious purposes</w:t>
            </w:r>
          </w:p>
        </w:tc>
      </w:tr>
      <w:tr w:rsidR="005506A5" w:rsidRPr="0007061D" w:rsidTr="00BC39AB">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39</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49.01</w:t>
            </w:r>
          </w:p>
        </w:tc>
        <w:tc>
          <w:tcPr>
            <w:tcW w:w="1822" w:type="pct"/>
          </w:tcPr>
          <w:p w:rsidR="005506A5" w:rsidRPr="0007061D" w:rsidRDefault="005506A5" w:rsidP="00BC39AB">
            <w:pPr>
              <w:tabs>
                <w:tab w:val="left" w:pos="720"/>
              </w:tabs>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Printed books, brochures, leaflets and similar printed matter</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All books are subjected to take certificate from the Ministry of Culture and Information</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Ministry of Culture and Information</w:t>
            </w:r>
          </w:p>
        </w:tc>
      </w:tr>
      <w:tr w:rsidR="005506A5" w:rsidRPr="0007061D" w:rsidTr="00BC3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40</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52.01</w:t>
            </w:r>
          </w:p>
        </w:tc>
        <w:tc>
          <w:tcPr>
            <w:tcW w:w="1822" w:type="pct"/>
          </w:tcPr>
          <w:p w:rsidR="005506A5" w:rsidRPr="0007061D" w:rsidRDefault="005506A5" w:rsidP="00BC39AB">
            <w:pPr>
              <w:tabs>
                <w:tab w:val="left" w:pos="720"/>
              </w:tabs>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Seed cotton</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Prohibited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For protection of human health</w:t>
            </w:r>
          </w:p>
        </w:tc>
      </w:tr>
      <w:tr w:rsidR="005506A5" w:rsidRPr="0007061D" w:rsidTr="00BC39AB">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41</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57.01</w:t>
            </w:r>
          </w:p>
        </w:tc>
        <w:tc>
          <w:tcPr>
            <w:tcW w:w="1822" w:type="pct"/>
          </w:tcPr>
          <w:p w:rsidR="005506A5" w:rsidRPr="0007061D" w:rsidRDefault="005506A5" w:rsidP="00BC39AB">
            <w:pPr>
              <w:tabs>
                <w:tab w:val="left" w:pos="720"/>
              </w:tabs>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Carpets and rugs of wool or fine animal hair</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Prohibited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MoCI</w:t>
            </w:r>
          </w:p>
        </w:tc>
      </w:tr>
      <w:tr w:rsidR="005506A5" w:rsidRPr="0007061D" w:rsidTr="00BC3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42</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84</w:t>
            </w:r>
          </w:p>
        </w:tc>
        <w:tc>
          <w:tcPr>
            <w:tcW w:w="1822" w:type="pct"/>
          </w:tcPr>
          <w:p w:rsidR="005506A5" w:rsidRPr="0007061D" w:rsidRDefault="005506A5" w:rsidP="00BC39AB">
            <w:pPr>
              <w:tabs>
                <w:tab w:val="left" w:pos="720"/>
              </w:tabs>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 xml:space="preserve">Up to five years new machinery </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Despite zero import duty rating certification is needed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AISA/MoF</w:t>
            </w:r>
          </w:p>
        </w:tc>
      </w:tr>
      <w:tr w:rsidR="005506A5" w:rsidRPr="0007061D" w:rsidTr="00BC39AB">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43</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84.18</w:t>
            </w:r>
          </w:p>
        </w:tc>
        <w:tc>
          <w:tcPr>
            <w:tcW w:w="1822" w:type="pct"/>
          </w:tcPr>
          <w:p w:rsidR="005506A5" w:rsidRPr="0007061D" w:rsidRDefault="005506A5" w:rsidP="00BC39AB">
            <w:pPr>
              <w:tabs>
                <w:tab w:val="left" w:pos="720"/>
              </w:tabs>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 xml:space="preserve">Refrigerators and freezers of compression type-CFC </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Prohibited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NOU</w:t>
            </w:r>
          </w:p>
        </w:tc>
      </w:tr>
      <w:tr w:rsidR="005506A5" w:rsidRPr="0007061D" w:rsidTr="00BC3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44</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85</w:t>
            </w:r>
          </w:p>
        </w:tc>
        <w:tc>
          <w:tcPr>
            <w:tcW w:w="1822" w:type="pct"/>
          </w:tcPr>
          <w:p w:rsidR="005506A5" w:rsidRPr="0007061D" w:rsidRDefault="005506A5" w:rsidP="00BC39AB">
            <w:pPr>
              <w:tabs>
                <w:tab w:val="left" w:pos="720"/>
              </w:tabs>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Telecommunication apparatus, equipments,</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 xml:space="preserve">All telecommunication apparatus and equipments are subjected to take certificate from the Ministry of Communication and Technology </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MoCT</w:t>
            </w:r>
          </w:p>
        </w:tc>
      </w:tr>
      <w:tr w:rsidR="005506A5" w:rsidRPr="0007061D" w:rsidTr="00BC39AB">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45</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85.24</w:t>
            </w:r>
          </w:p>
        </w:tc>
        <w:tc>
          <w:tcPr>
            <w:tcW w:w="1822" w:type="pct"/>
          </w:tcPr>
          <w:p w:rsidR="005506A5" w:rsidRPr="0007061D" w:rsidRDefault="005506A5" w:rsidP="00BC39AB">
            <w:pPr>
              <w:tabs>
                <w:tab w:val="left" w:pos="720"/>
              </w:tabs>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Indecent or obscene records, tapes and other recorded media</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Prohibited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For Moral Protection</w:t>
            </w:r>
          </w:p>
        </w:tc>
      </w:tr>
      <w:tr w:rsidR="005506A5" w:rsidRPr="0007061D" w:rsidTr="00BC3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46</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93.01</w:t>
            </w:r>
          </w:p>
        </w:tc>
        <w:tc>
          <w:tcPr>
            <w:tcW w:w="1822" w:type="pct"/>
          </w:tcPr>
          <w:p w:rsidR="005506A5" w:rsidRPr="0007061D" w:rsidRDefault="005506A5" w:rsidP="00BC39AB">
            <w:pPr>
              <w:tabs>
                <w:tab w:val="left" w:pos="720"/>
              </w:tabs>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Military weapons</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For Security Purposes</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MoI/MoD</w:t>
            </w:r>
          </w:p>
        </w:tc>
      </w:tr>
      <w:tr w:rsidR="005506A5" w:rsidRPr="0007061D" w:rsidTr="00BC39AB">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47</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93.02</w:t>
            </w:r>
          </w:p>
        </w:tc>
        <w:tc>
          <w:tcPr>
            <w:tcW w:w="1822" w:type="pct"/>
          </w:tcPr>
          <w:p w:rsidR="005506A5" w:rsidRPr="0007061D" w:rsidRDefault="005506A5" w:rsidP="00BC39AB">
            <w:pPr>
              <w:tabs>
                <w:tab w:val="left" w:pos="720"/>
              </w:tabs>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Revolvers and pistols</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For Security Purposes</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MoI/MoD</w:t>
            </w:r>
          </w:p>
        </w:tc>
      </w:tr>
      <w:tr w:rsidR="005506A5" w:rsidRPr="0007061D" w:rsidTr="00BC3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48</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93.06</w:t>
            </w:r>
          </w:p>
        </w:tc>
        <w:tc>
          <w:tcPr>
            <w:tcW w:w="1822" w:type="pct"/>
          </w:tcPr>
          <w:p w:rsidR="005506A5" w:rsidRPr="0007061D" w:rsidRDefault="005506A5" w:rsidP="00BC39AB">
            <w:pPr>
              <w:tabs>
                <w:tab w:val="left" w:pos="720"/>
              </w:tabs>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Bombs, grenades, torpedoes, mines, missiles and similar munitions of war and parts thereof; cartridges and other ammunition</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For Security Purposes</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MoI/MoD</w:t>
            </w:r>
          </w:p>
        </w:tc>
      </w:tr>
      <w:tr w:rsidR="005506A5" w:rsidRPr="0007061D" w:rsidTr="00BC39AB">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49</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97.05</w:t>
            </w:r>
          </w:p>
        </w:tc>
        <w:tc>
          <w:tcPr>
            <w:tcW w:w="1822" w:type="pct"/>
          </w:tcPr>
          <w:p w:rsidR="005506A5" w:rsidRPr="0007061D" w:rsidRDefault="005506A5" w:rsidP="00BC39AB">
            <w:pPr>
              <w:tabs>
                <w:tab w:val="left" w:pos="720"/>
              </w:tabs>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Collections and collectors' pieces of zoological, botanical, mineralogical, anatomical, historical, archaeological, palaeontological, ethnographic or numismatic interest</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Import license is required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Ministry of Culture and Information</w:t>
            </w:r>
          </w:p>
        </w:tc>
      </w:tr>
      <w:tr w:rsidR="005506A5" w:rsidRPr="0007061D" w:rsidTr="00BC39A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50</w:t>
            </w:r>
          </w:p>
        </w:tc>
        <w:tc>
          <w:tcPr>
            <w:cnfStyle w:val="000010000000" w:firstRow="0" w:lastRow="0" w:firstColumn="0" w:lastColumn="0" w:oddVBand="1" w:evenVBand="0" w:oddHBand="0" w:evenHBand="0" w:firstRowFirstColumn="0" w:firstRowLastColumn="0" w:lastRowFirstColumn="0" w:lastRowLastColumn="0"/>
            <w:tcW w:w="504"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97.06</w:t>
            </w:r>
          </w:p>
        </w:tc>
        <w:tc>
          <w:tcPr>
            <w:tcW w:w="1822" w:type="pct"/>
          </w:tcPr>
          <w:p w:rsidR="005506A5" w:rsidRPr="0007061D" w:rsidRDefault="005506A5" w:rsidP="00BC39AB">
            <w:pPr>
              <w:tabs>
                <w:tab w:val="left" w:pos="720"/>
              </w:tabs>
              <w:cnfStyle w:val="010000000000" w:firstRow="0" w:lastRow="1" w:firstColumn="0" w:lastColumn="0" w:oddVBand="0" w:evenVBand="0" w:oddHBand="0" w:evenHBand="0" w:firstRowFirstColumn="0" w:firstRowLastColumn="0" w:lastRowFirstColumn="0" w:lastRowLastColumn="0"/>
              <w:rPr>
                <w:rFonts w:eastAsia="Times New Roman" w:cstheme="minorHAnsi"/>
                <w:sz w:val="16"/>
                <w:szCs w:val="16"/>
              </w:rPr>
            </w:pPr>
            <w:r w:rsidRPr="0007061D">
              <w:rPr>
                <w:rFonts w:eastAsia="Times New Roman" w:cstheme="minorHAnsi"/>
                <w:sz w:val="16"/>
                <w:szCs w:val="16"/>
              </w:rPr>
              <w:t>Antiques of an age exceeding one hundred years</w:t>
            </w:r>
          </w:p>
        </w:tc>
        <w:tc>
          <w:tcPr>
            <w:cnfStyle w:val="000010000000" w:firstRow="0" w:lastRow="0" w:firstColumn="0" w:lastColumn="0" w:oddVBand="1" w:evenVBand="0" w:oddHBand="0" w:evenHBand="0" w:firstRowFirstColumn="0" w:firstRowLastColumn="0" w:lastRowFirstColumn="0" w:lastRowLastColumn="0"/>
            <w:tcW w:w="145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Import license is required</w:t>
            </w:r>
          </w:p>
        </w:tc>
        <w:tc>
          <w:tcPr>
            <w:cnfStyle w:val="000100000000" w:firstRow="0" w:lastRow="0" w:firstColumn="0" w:lastColumn="1" w:oddVBand="0" w:evenVBand="0" w:oddHBand="0" w:evenHBand="0" w:firstRowFirstColumn="0" w:firstRowLastColumn="0" w:lastRowFirstColumn="0" w:lastRowLastColumn="0"/>
            <w:tcW w:w="938" w:type="pct"/>
          </w:tcPr>
          <w:p w:rsidR="005506A5" w:rsidRPr="0007061D" w:rsidRDefault="005506A5" w:rsidP="00BC39AB">
            <w:pPr>
              <w:tabs>
                <w:tab w:val="left" w:pos="720"/>
              </w:tabs>
              <w:rPr>
                <w:rFonts w:eastAsia="Times New Roman" w:cstheme="minorHAnsi"/>
                <w:sz w:val="16"/>
                <w:szCs w:val="16"/>
              </w:rPr>
            </w:pPr>
            <w:r w:rsidRPr="0007061D">
              <w:rPr>
                <w:rFonts w:eastAsia="Times New Roman" w:cstheme="minorHAnsi"/>
                <w:sz w:val="16"/>
                <w:szCs w:val="16"/>
              </w:rPr>
              <w:t>Ministry of Culture and Information</w:t>
            </w:r>
          </w:p>
        </w:tc>
      </w:tr>
    </w:tbl>
    <w:p w:rsidR="005506A5" w:rsidRPr="0054056C" w:rsidRDefault="005506A5" w:rsidP="005506A5">
      <w:pPr>
        <w:tabs>
          <w:tab w:val="left" w:pos="720"/>
        </w:tabs>
        <w:spacing w:after="0" w:line="240" w:lineRule="auto"/>
        <w:rPr>
          <w:rFonts w:ascii="Times New Roman" w:eastAsia="Times New Roman" w:hAnsi="Times New Roman" w:cs="Times New Roman"/>
          <w:sz w:val="16"/>
          <w:szCs w:val="16"/>
        </w:rPr>
      </w:pPr>
    </w:p>
    <w:p w:rsidR="005506A5" w:rsidRPr="00304F58" w:rsidRDefault="005506A5" w:rsidP="005506A5">
      <w:pPr>
        <w:spacing w:after="0"/>
        <w:rPr>
          <w:sz w:val="18"/>
          <w:szCs w:val="18"/>
        </w:rPr>
      </w:pPr>
      <w:r w:rsidRPr="00304F58">
        <w:rPr>
          <w:sz w:val="18"/>
          <w:szCs w:val="18"/>
        </w:rPr>
        <w:t xml:space="preserve">Acronyms: </w:t>
      </w:r>
      <w:r w:rsidRPr="00304F58">
        <w:rPr>
          <w:sz w:val="18"/>
          <w:szCs w:val="18"/>
        </w:rPr>
        <w:tab/>
        <w:t>MoF = Ministry of Finance, MoI = Ministry of Interior, MoD = Ministry of Defense, MoCT = Ministry of Communication and Technology, MAAH = Ministry of Agriculture and Animal Husbandry, MoCI = Ministry of Commerce and Industry, AISA = Afghanistan Investment Support Agency, NOU = National Ozone Unit</w:t>
      </w:r>
    </w:p>
    <w:p w:rsidR="005506A5" w:rsidRPr="00304F58" w:rsidRDefault="005506A5" w:rsidP="005506A5">
      <w:pPr>
        <w:spacing w:after="0"/>
        <w:rPr>
          <w:sz w:val="18"/>
          <w:szCs w:val="18"/>
        </w:rPr>
      </w:pPr>
    </w:p>
    <w:p w:rsidR="00F702D4" w:rsidRDefault="005506A5" w:rsidP="005506A5">
      <w:pPr>
        <w:spacing w:after="0"/>
        <w:rPr>
          <w:sz w:val="18"/>
          <w:szCs w:val="18"/>
        </w:rPr>
      </w:pPr>
      <w:r w:rsidRPr="00304F58">
        <w:rPr>
          <w:sz w:val="18"/>
          <w:szCs w:val="18"/>
        </w:rPr>
        <w:t xml:space="preserve">Types of Non-Tariff Measures (NTMs) = Quantitative Restriction, Total/Absolute Prohibition, Quantity Control Measure, Technical Measures, Discretionary Import </w:t>
      </w:r>
      <w:r w:rsidR="00351C41" w:rsidRPr="00304F58">
        <w:rPr>
          <w:sz w:val="18"/>
          <w:szCs w:val="18"/>
        </w:rPr>
        <w:t>License</w:t>
      </w:r>
      <w:r w:rsidRPr="00304F58">
        <w:rPr>
          <w:sz w:val="18"/>
          <w:szCs w:val="18"/>
        </w:rPr>
        <w:t xml:space="preserve">, Import Licensing, Automatic Import Licensing, Non-Automatic Licensing prior to authorization for sensitive product, Inspection, Export restriction, Acceptance under defined condition, Quarantine, Multiple Exchange Rates, etc.,  </w:t>
      </w:r>
    </w:p>
    <w:p w:rsidR="00F702D4" w:rsidRDefault="00F702D4">
      <w:pPr>
        <w:jc w:val="left"/>
        <w:rPr>
          <w:sz w:val="18"/>
          <w:szCs w:val="18"/>
        </w:rPr>
      </w:pPr>
      <w:r>
        <w:rPr>
          <w:sz w:val="18"/>
          <w:szCs w:val="18"/>
        </w:rPr>
        <w:br w:type="page"/>
      </w:r>
    </w:p>
    <w:p w:rsidR="00700544" w:rsidRDefault="00F702D4" w:rsidP="00AA410F">
      <w:pPr>
        <w:pStyle w:val="Heading2"/>
      </w:pPr>
      <w:bookmarkStart w:id="348" w:name="_Toc348451725"/>
      <w:r w:rsidRPr="00F702D4">
        <w:t>References</w:t>
      </w:r>
      <w:bookmarkEnd w:id="348"/>
    </w:p>
    <w:p w:rsidR="00AA410F" w:rsidRPr="00AA410F" w:rsidRDefault="00AA410F" w:rsidP="00AA410F"/>
    <w:p w:rsidR="00F702D4" w:rsidRDefault="00700544" w:rsidP="00F702D4">
      <w:pPr>
        <w:pStyle w:val="Bibliography"/>
        <w:rPr>
          <w:rFonts w:cstheme="minorHAnsi"/>
          <w:noProof/>
        </w:rPr>
      </w:pPr>
      <w:r>
        <w:rPr>
          <w:rFonts w:cstheme="minorHAnsi"/>
        </w:rPr>
        <w:t>Af</w:t>
      </w:r>
      <w:r w:rsidR="00F702D4">
        <w:rPr>
          <w:rFonts w:cstheme="minorHAnsi"/>
        </w:rPr>
        <w:t xml:space="preserve">ghanistan Government Coordination Committee (2009). “Afghanistan National Development Strategy: First Annual Report 2008/09, Part I.”  </w:t>
      </w:r>
      <w:r w:rsidR="00F702D4">
        <w:rPr>
          <w:rFonts w:cstheme="minorHAnsi"/>
          <w:noProof/>
        </w:rPr>
        <w:t>Kabul, Afghanistan.</w:t>
      </w:r>
    </w:p>
    <w:p w:rsidR="00F702D4" w:rsidRDefault="00F702D4" w:rsidP="00F702D4">
      <w:pPr>
        <w:rPr>
          <w:rFonts w:cstheme="minorHAnsi"/>
          <w:noProof/>
        </w:rPr>
      </w:pPr>
      <w:r>
        <w:rPr>
          <w:rFonts w:cstheme="minorHAnsi"/>
        </w:rPr>
        <w:t xml:space="preserve">Afghanistan Ministry of Energy &amp; Water (2007). “Afghanistan National Development Strategy: Power Sector Strategy,” </w:t>
      </w:r>
      <w:r>
        <w:rPr>
          <w:rFonts w:cstheme="minorHAnsi"/>
          <w:noProof/>
        </w:rPr>
        <w:t>Kabul, Afghanistan.</w:t>
      </w:r>
    </w:p>
    <w:p w:rsidR="00F702D4" w:rsidRDefault="00F702D4" w:rsidP="00F702D4">
      <w:pPr>
        <w:rPr>
          <w:rFonts w:cstheme="minorHAnsi"/>
          <w:noProof/>
        </w:rPr>
      </w:pPr>
      <w:r>
        <w:rPr>
          <w:rFonts w:cstheme="minorHAnsi"/>
        </w:rPr>
        <w:t xml:space="preserve">Afghanistan National Standards Authority (ANSA) (2011). “Strategic Five-year Plan,” </w:t>
      </w:r>
      <w:r>
        <w:rPr>
          <w:rFonts w:cstheme="minorHAnsi"/>
          <w:noProof/>
        </w:rPr>
        <w:t>Kabul, Afghanistan.</w:t>
      </w:r>
    </w:p>
    <w:p w:rsidR="00F702D4" w:rsidRDefault="00F702D4" w:rsidP="00F702D4">
      <w:pPr>
        <w:pStyle w:val="FootnoteText"/>
        <w:rPr>
          <w:rFonts w:cstheme="minorHAnsi"/>
          <w:sz w:val="22"/>
          <w:szCs w:val="22"/>
        </w:rPr>
      </w:pPr>
      <w:r>
        <w:rPr>
          <w:rFonts w:cstheme="minorHAnsi"/>
          <w:sz w:val="22"/>
          <w:szCs w:val="22"/>
        </w:rPr>
        <w:t>Asia Foundation (2011). “Afghanistan in 2011, A Survey of the Afghan People,” Kabul, Afghanistan</w:t>
      </w:r>
    </w:p>
    <w:p w:rsidR="00F702D4" w:rsidRDefault="00F702D4" w:rsidP="00F702D4">
      <w:pPr>
        <w:rPr>
          <w:rFonts w:cstheme="minorHAnsi"/>
          <w:noProof/>
          <w:szCs w:val="22"/>
        </w:rPr>
      </w:pPr>
      <w:r>
        <w:rPr>
          <w:rFonts w:cstheme="minorHAnsi"/>
        </w:rPr>
        <w:t>Asian Development Bank (2001). “</w:t>
      </w:r>
      <w:r>
        <w:rPr>
          <w:rFonts w:cstheme="minorHAnsi"/>
          <w:lang w:val="en"/>
        </w:rPr>
        <w:t>Energy Sector Development Investment Program</w:t>
      </w:r>
      <w:r>
        <w:rPr>
          <w:rFonts w:cstheme="minorHAnsi"/>
        </w:rPr>
        <w:t xml:space="preserve"> Report No. 42094.” </w:t>
      </w:r>
      <w:r>
        <w:rPr>
          <w:rFonts w:cstheme="minorHAnsi"/>
          <w:noProof/>
        </w:rPr>
        <w:t>Kabul, Afghanistan.</w:t>
      </w:r>
    </w:p>
    <w:p w:rsidR="00F702D4" w:rsidRDefault="00F702D4" w:rsidP="00F702D4">
      <w:pPr>
        <w:rPr>
          <w:rFonts w:cstheme="minorHAnsi"/>
          <w:noProof/>
        </w:rPr>
      </w:pPr>
      <w:r>
        <w:rPr>
          <w:rFonts w:cstheme="minorHAnsi"/>
        </w:rPr>
        <w:t xml:space="preserve">Asian Development Bank (2005). “Cross Border Trade and Transport Facilitation.” ADB 4536-AFG, </w:t>
      </w:r>
      <w:r>
        <w:rPr>
          <w:rFonts w:cstheme="minorHAnsi"/>
          <w:noProof/>
        </w:rPr>
        <w:t>Kabul, Afghanistan.</w:t>
      </w:r>
    </w:p>
    <w:p w:rsidR="00F702D4" w:rsidRDefault="00F702D4" w:rsidP="00F702D4">
      <w:pPr>
        <w:rPr>
          <w:rFonts w:cstheme="minorHAnsi"/>
          <w:noProof/>
        </w:rPr>
      </w:pPr>
      <w:r>
        <w:rPr>
          <w:rFonts w:cstheme="minorHAnsi"/>
        </w:rPr>
        <w:t xml:space="preserve">Asian Development Bank, (2007). “Development of the Afghan Ministry of Commerce‘s Capability for Trade and Transit Facilitation,” </w:t>
      </w:r>
      <w:r>
        <w:rPr>
          <w:rFonts w:cstheme="minorHAnsi"/>
          <w:noProof/>
        </w:rPr>
        <w:t>Kabul, Afghanistan.</w:t>
      </w:r>
    </w:p>
    <w:p w:rsidR="00F702D4" w:rsidRDefault="00F702D4" w:rsidP="00F702D4">
      <w:pPr>
        <w:rPr>
          <w:rFonts w:cstheme="minorHAnsi"/>
        </w:rPr>
      </w:pPr>
      <w:r>
        <w:rPr>
          <w:rFonts w:cstheme="minorHAnsi"/>
        </w:rPr>
        <w:t>European Commission (2010). “Study on the Future of Interconnection Charging Methods.” (INFSO/B)</w:t>
      </w:r>
    </w:p>
    <w:p w:rsidR="00F702D4" w:rsidRDefault="00F702D4" w:rsidP="00F702D4">
      <w:pPr>
        <w:rPr>
          <w:rFonts w:cstheme="minorHAnsi"/>
        </w:rPr>
      </w:pPr>
      <w:r>
        <w:rPr>
          <w:rFonts w:cstheme="minorHAnsi"/>
          <w:noProof/>
        </w:rPr>
        <w:t>Freund C. &amp; Weinhold, D. (2002). "</w:t>
      </w:r>
      <w:hyperlink r:id="rId75" w:history="1">
        <w:r w:rsidRPr="0030234A">
          <w:t>The Internet and International Trade in Services</w:t>
        </w:r>
      </w:hyperlink>
      <w:r>
        <w:rPr>
          <w:rFonts w:cstheme="minorHAnsi"/>
        </w:rPr>
        <w:t xml:space="preserve">," </w:t>
      </w:r>
      <w:hyperlink r:id="rId76" w:history="1">
        <w:r w:rsidRPr="0030234A">
          <w:t>American Economic Review</w:t>
        </w:r>
      </w:hyperlink>
      <w:r>
        <w:rPr>
          <w:rFonts w:cstheme="minorHAnsi"/>
        </w:rPr>
        <w:t>, American Economic Association, vol. 92(2), pages 236-240, May.</w:t>
      </w:r>
    </w:p>
    <w:p w:rsidR="00F702D4" w:rsidRDefault="00F702D4" w:rsidP="00F702D4">
      <w:pPr>
        <w:rPr>
          <w:rFonts w:cstheme="minorHAnsi"/>
          <w:noProof/>
        </w:rPr>
      </w:pPr>
      <w:r>
        <w:rPr>
          <w:rFonts w:cstheme="minorHAnsi"/>
          <w:noProof/>
        </w:rPr>
        <w:t xml:space="preserve">GIZ (2010). “Survey Report on Micro Hydro Power Plants: Takhar Province,”  Afghanistan. </w:t>
      </w:r>
    </w:p>
    <w:p w:rsidR="00F702D4" w:rsidRDefault="00F702D4" w:rsidP="00F702D4">
      <w:pPr>
        <w:rPr>
          <w:rFonts w:cstheme="minorHAnsi"/>
          <w:noProof/>
        </w:rPr>
      </w:pPr>
      <w:r>
        <w:rPr>
          <w:rFonts w:cstheme="minorHAnsi"/>
          <w:noProof/>
        </w:rPr>
        <w:t>Global Industry Analysts, Inc., (2010). Kabul, Afghanistan.</w:t>
      </w:r>
    </w:p>
    <w:p w:rsidR="00F702D4" w:rsidRDefault="00F702D4" w:rsidP="00F702D4">
      <w:pPr>
        <w:rPr>
          <w:rFonts w:cstheme="minorHAnsi"/>
          <w:noProof/>
        </w:rPr>
      </w:pPr>
      <w:r>
        <w:rPr>
          <w:rFonts w:cstheme="minorHAnsi"/>
          <w:noProof/>
        </w:rPr>
        <w:t>Jansen, Marion &amp; Nordås, Hildegunn Kyvik, (2004). "</w:t>
      </w:r>
      <w:hyperlink r:id="rId77" w:history="1">
        <w:r w:rsidRPr="0030234A">
          <w:t>Institutions, Trade Policy and Trade Flows</w:t>
        </w:r>
      </w:hyperlink>
      <w:r>
        <w:rPr>
          <w:rFonts w:cstheme="minorHAnsi"/>
          <w:noProof/>
        </w:rPr>
        <w:t>,"</w:t>
      </w:r>
      <w:hyperlink r:id="rId78" w:history="1">
        <w:r w:rsidRPr="0030234A">
          <w:t>CEPR Discussion Papers</w:t>
        </w:r>
      </w:hyperlink>
      <w:r>
        <w:rPr>
          <w:rFonts w:cstheme="minorHAnsi"/>
          <w:noProof/>
        </w:rPr>
        <w:t xml:space="preserve"> 4418 in (WTO, Trade Report, 2004.   </w:t>
      </w:r>
    </w:p>
    <w:p w:rsidR="00F702D4" w:rsidRDefault="00F702D4" w:rsidP="00F702D4">
      <w:pPr>
        <w:pStyle w:val="Bibliography"/>
        <w:rPr>
          <w:rFonts w:cstheme="minorHAnsi"/>
          <w:noProof/>
        </w:rPr>
      </w:pPr>
      <w:r>
        <w:rPr>
          <w:rFonts w:cstheme="minorHAnsi"/>
          <w:noProof/>
        </w:rPr>
        <w:t>Ministry of Commerce and Industries (MOCI) (2009). “</w:t>
      </w:r>
      <w:r>
        <w:rPr>
          <w:rFonts w:cstheme="minorHAnsi"/>
          <w:iCs/>
          <w:noProof/>
        </w:rPr>
        <w:t xml:space="preserve">Memorandum of the Foreign Trade Regime,”  </w:t>
      </w:r>
      <w:r>
        <w:rPr>
          <w:rFonts w:cstheme="minorHAnsi"/>
          <w:noProof/>
        </w:rPr>
        <w:t>Kabul, Afghanistan.</w:t>
      </w:r>
    </w:p>
    <w:p w:rsidR="00F702D4" w:rsidRDefault="00F702D4" w:rsidP="00F702D4">
      <w:pPr>
        <w:pStyle w:val="Bibliography"/>
        <w:rPr>
          <w:rFonts w:cstheme="minorHAnsi"/>
          <w:noProof/>
        </w:rPr>
      </w:pPr>
      <w:r>
        <w:rPr>
          <w:rFonts w:cstheme="minorHAnsi"/>
          <w:noProof/>
        </w:rPr>
        <w:t>Ministry of Commerce and Industries (MOCI) (2009). “</w:t>
      </w:r>
      <w:r>
        <w:rPr>
          <w:rFonts w:cstheme="minorHAnsi"/>
          <w:iCs/>
          <w:noProof/>
        </w:rPr>
        <w:t xml:space="preserve">SME Developmebnt Strategy,” </w:t>
      </w:r>
      <w:r>
        <w:rPr>
          <w:rFonts w:cstheme="minorHAnsi"/>
          <w:noProof/>
        </w:rPr>
        <w:t>Kabul, Afghanistan.</w:t>
      </w:r>
    </w:p>
    <w:p w:rsidR="00F702D4" w:rsidRDefault="00F702D4" w:rsidP="00F702D4">
      <w:pPr>
        <w:pStyle w:val="Bibliography"/>
        <w:rPr>
          <w:rFonts w:cstheme="minorHAnsi"/>
          <w:noProof/>
        </w:rPr>
      </w:pPr>
      <w:r>
        <w:rPr>
          <w:rFonts w:cstheme="minorHAnsi"/>
          <w:noProof/>
        </w:rPr>
        <w:t>Ministry of Commerce and Industries (MOCI) (2011). “Afghanistan’s Gemstone Sector Policy Framework and Roadmap 2011-14,” Kabul, Afghanistan.</w:t>
      </w:r>
    </w:p>
    <w:p w:rsidR="00F702D4" w:rsidRDefault="00F702D4" w:rsidP="00F702D4">
      <w:pPr>
        <w:pStyle w:val="Bibliography"/>
        <w:rPr>
          <w:rFonts w:cstheme="minorHAnsi"/>
          <w:noProof/>
        </w:rPr>
      </w:pPr>
      <w:r>
        <w:rPr>
          <w:rFonts w:cstheme="minorHAnsi"/>
          <w:noProof/>
        </w:rPr>
        <w:t>Ministry of Commerce and Industries (MOCI) (2011). “</w:t>
      </w:r>
      <w:r>
        <w:rPr>
          <w:rFonts w:cstheme="minorHAnsi"/>
          <w:iCs/>
          <w:noProof/>
        </w:rPr>
        <w:t xml:space="preserve">Business Plan October 2011- September 2012,” </w:t>
      </w:r>
      <w:r>
        <w:rPr>
          <w:rFonts w:cstheme="minorHAnsi"/>
          <w:noProof/>
        </w:rPr>
        <w:t>Kabul, Afghanistan.</w:t>
      </w:r>
    </w:p>
    <w:p w:rsidR="00F702D4" w:rsidRDefault="00F702D4" w:rsidP="00F702D4">
      <w:pPr>
        <w:pStyle w:val="Bibliography"/>
        <w:rPr>
          <w:rFonts w:cstheme="minorHAnsi"/>
          <w:noProof/>
        </w:rPr>
      </w:pPr>
      <w:r>
        <w:rPr>
          <w:rFonts w:cstheme="minorHAnsi"/>
          <w:noProof/>
        </w:rPr>
        <w:t>Ministry of Commerce and Industries (MOCI) (2011). “</w:t>
      </w:r>
      <w:r>
        <w:rPr>
          <w:rFonts w:cstheme="minorHAnsi"/>
          <w:iCs/>
          <w:noProof/>
        </w:rPr>
        <w:t xml:space="preserve">Industrial Policy,” </w:t>
      </w:r>
      <w:r>
        <w:rPr>
          <w:rFonts w:cstheme="minorHAnsi"/>
          <w:noProof/>
        </w:rPr>
        <w:t>Kabul, Afghanistan.</w:t>
      </w:r>
    </w:p>
    <w:p w:rsidR="00F702D4" w:rsidRDefault="00F702D4" w:rsidP="00F702D4">
      <w:pPr>
        <w:pStyle w:val="Bibliography"/>
        <w:rPr>
          <w:rFonts w:cstheme="minorHAnsi"/>
          <w:noProof/>
        </w:rPr>
      </w:pPr>
      <w:r>
        <w:rPr>
          <w:rFonts w:cstheme="minorHAnsi"/>
          <w:noProof/>
        </w:rPr>
        <w:t>Ministry of Commerce and Industries (MOCI) (2011). “</w:t>
      </w:r>
      <w:r>
        <w:rPr>
          <w:rFonts w:cstheme="minorHAnsi"/>
          <w:iCs/>
          <w:noProof/>
        </w:rPr>
        <w:t xml:space="preserve">Strategic Plan 2011-2015,” </w:t>
      </w:r>
      <w:r>
        <w:rPr>
          <w:rFonts w:cstheme="minorHAnsi"/>
          <w:noProof/>
        </w:rPr>
        <w:t>Kabul, Afghanistan</w:t>
      </w:r>
    </w:p>
    <w:p w:rsidR="00F702D4" w:rsidRDefault="00F702D4" w:rsidP="00F702D4">
      <w:pPr>
        <w:rPr>
          <w:rFonts w:cstheme="minorHAnsi"/>
          <w:noProof/>
        </w:rPr>
      </w:pPr>
      <w:r>
        <w:rPr>
          <w:rFonts w:cstheme="minorHAnsi"/>
          <w:noProof/>
        </w:rPr>
        <w:t xml:space="preserve">Ministry of Commerce and Industries (MOCI)(2011). “Implementing SME Strategy: An Action Plan for Developing Afghanistan’s Carpet Sector, May 2011-April 2013,” Kabul, Afghanistan.  </w:t>
      </w:r>
    </w:p>
    <w:p w:rsidR="00F702D4" w:rsidRDefault="00D4318B" w:rsidP="00F702D4">
      <w:pPr>
        <w:rPr>
          <w:lang w:eastAsia="de-DE"/>
        </w:rPr>
      </w:pPr>
      <w:hyperlink r:id="rId79" w:history="1">
        <w:r w:rsidR="00F702D4" w:rsidRPr="0030234A">
          <w:rPr>
            <w:lang w:eastAsia="de-DE"/>
          </w:rPr>
          <w:t>Ministry</w:t>
        </w:r>
      </w:hyperlink>
      <w:r w:rsidR="00F702D4">
        <w:rPr>
          <w:rFonts w:cstheme="minorHAnsi"/>
          <w:lang w:eastAsia="de-DE"/>
        </w:rPr>
        <w:t xml:space="preserve"> of C</w:t>
      </w:r>
      <w:r w:rsidR="00F702D4">
        <w:rPr>
          <w:rFonts w:cstheme="minorHAnsi"/>
          <w:noProof/>
        </w:rPr>
        <w:t>ommunications &amp; Information Technology, Afgha</w:t>
      </w:r>
      <w:r w:rsidR="00F702D4" w:rsidRPr="0030234A">
        <w:rPr>
          <w:lang w:eastAsia="de-DE"/>
        </w:rPr>
        <w:t xml:space="preserve">nistan </w:t>
      </w:r>
      <w:hyperlink r:id="rId80" w:history="1">
        <w:r w:rsidR="00F702D4" w:rsidRPr="0030234A">
          <w:rPr>
            <w:lang w:eastAsia="de-DE"/>
          </w:rPr>
          <w:t>( mcit.gov.af/en</w:t>
        </w:r>
      </w:hyperlink>
      <w:r w:rsidR="00F702D4" w:rsidRPr="0030234A">
        <w:rPr>
          <w:lang w:eastAsia="de-DE"/>
        </w:rPr>
        <w:t xml:space="preserve"> )</w:t>
      </w:r>
    </w:p>
    <w:p w:rsidR="00EA3BF7" w:rsidRDefault="00EA3BF7" w:rsidP="00EA3BF7">
      <w:pPr>
        <w:rPr>
          <w:rFonts w:cstheme="minorHAnsi"/>
          <w:lang w:eastAsia="de-DE"/>
        </w:rPr>
      </w:pPr>
      <w:r w:rsidRPr="00EA3BF7">
        <w:rPr>
          <w:rFonts w:cstheme="minorHAnsi"/>
          <w:lang w:eastAsia="de-DE"/>
        </w:rPr>
        <w:t>Special Inspector General</w:t>
      </w:r>
      <w:r>
        <w:rPr>
          <w:rFonts w:cstheme="minorHAnsi"/>
          <w:lang w:eastAsia="de-DE"/>
        </w:rPr>
        <w:t xml:space="preserve"> for Afghanistan Reconstruction (SIGAR) Annual Report</w:t>
      </w:r>
      <w:r w:rsidRPr="00EA3BF7">
        <w:rPr>
          <w:rFonts w:cstheme="minorHAnsi"/>
          <w:lang w:eastAsia="de-DE"/>
        </w:rPr>
        <w:t xml:space="preserve"> </w:t>
      </w:r>
      <w:r>
        <w:rPr>
          <w:rFonts w:cstheme="minorHAnsi"/>
          <w:lang w:eastAsia="de-DE"/>
        </w:rPr>
        <w:t>(</w:t>
      </w:r>
      <w:r w:rsidRPr="00EA3BF7">
        <w:rPr>
          <w:rFonts w:cstheme="minorHAnsi"/>
          <w:lang w:eastAsia="de-DE"/>
        </w:rPr>
        <w:t>201</w:t>
      </w:r>
      <w:r w:rsidR="00F243ED">
        <w:rPr>
          <w:rFonts w:cstheme="minorHAnsi"/>
          <w:lang w:eastAsia="de-DE"/>
        </w:rPr>
        <w:t>0</w:t>
      </w:r>
      <w:r>
        <w:rPr>
          <w:rFonts w:cstheme="minorHAnsi"/>
          <w:lang w:eastAsia="de-DE"/>
        </w:rPr>
        <w:t xml:space="preserve">), Kabul Afghanistan </w:t>
      </w:r>
    </w:p>
    <w:p w:rsidR="00F702D4" w:rsidRDefault="00F702D4" w:rsidP="00F702D4">
      <w:pPr>
        <w:rPr>
          <w:rFonts w:cstheme="minorHAnsi"/>
        </w:rPr>
      </w:pPr>
      <w:r>
        <w:rPr>
          <w:rFonts w:cstheme="minorHAnsi"/>
        </w:rPr>
        <w:t>TeleGeography (2011). GlobalComms Database: Afghanistan.</w:t>
      </w:r>
    </w:p>
    <w:p w:rsidR="00F702D4" w:rsidRDefault="00F702D4" w:rsidP="00F702D4">
      <w:pPr>
        <w:rPr>
          <w:rFonts w:cstheme="minorHAnsi"/>
          <w:noProof/>
        </w:rPr>
      </w:pPr>
      <w:r>
        <w:rPr>
          <w:rFonts w:cstheme="minorHAnsi"/>
          <w:noProof/>
        </w:rPr>
        <w:t>The McCord Group, (2007). “An Analysis of Business Opportunities within Afghanistan’s Carpet Sector,”   Kabul, Afghanistan.</w:t>
      </w:r>
    </w:p>
    <w:p w:rsidR="00F702D4" w:rsidRDefault="00F702D4" w:rsidP="00F702D4">
      <w:pPr>
        <w:rPr>
          <w:rFonts w:cstheme="minorHAnsi"/>
          <w:noProof/>
        </w:rPr>
      </w:pPr>
      <w:r>
        <w:rPr>
          <w:rFonts w:cstheme="minorHAnsi"/>
          <w:lang w:eastAsia="de-DE"/>
        </w:rPr>
        <w:t xml:space="preserve">UNDP and Altai Consulting (2004). “Market Sector Assessment in Horticulture, Phase 2-3 Feasibility Studies and Business Plans,” </w:t>
      </w:r>
      <w:r>
        <w:rPr>
          <w:rFonts w:cstheme="minorHAnsi"/>
          <w:noProof/>
        </w:rPr>
        <w:t>Kabul, Afghanistan.</w:t>
      </w:r>
    </w:p>
    <w:p w:rsidR="00F702D4" w:rsidRDefault="00F702D4" w:rsidP="00F702D4">
      <w:pPr>
        <w:pStyle w:val="FootnoteText"/>
        <w:rPr>
          <w:rFonts w:cstheme="minorHAnsi"/>
          <w:sz w:val="22"/>
          <w:szCs w:val="22"/>
        </w:rPr>
      </w:pPr>
      <w:r>
        <w:rPr>
          <w:rFonts w:cstheme="minorHAnsi"/>
          <w:sz w:val="22"/>
          <w:szCs w:val="22"/>
        </w:rPr>
        <w:t>UNIDO (2011). ”Mining FDI and Infrastructure Development on Africa’s East Coast; Examining the Recent experience of Tanzania and Mozambique.”- Upcoming.</w:t>
      </w:r>
    </w:p>
    <w:p w:rsidR="00F702D4" w:rsidRDefault="00F702D4" w:rsidP="00F702D4">
      <w:pPr>
        <w:rPr>
          <w:rFonts w:cstheme="minorHAnsi"/>
          <w:szCs w:val="22"/>
        </w:rPr>
      </w:pPr>
      <w:r>
        <w:rPr>
          <w:rFonts w:cstheme="minorHAnsi"/>
        </w:rPr>
        <w:t>United Nations (2003). ”Report of the International Ministerial Conference of Landlocked and Transit Developing Countries and Donor Countries and International Financial and Development Institutions on Transit Transport Cooperation”:  Almaty, Kazakhstan:  New York.</w:t>
      </w:r>
    </w:p>
    <w:p w:rsidR="00F702D4" w:rsidRDefault="00F702D4" w:rsidP="00F702D4">
      <w:pPr>
        <w:rPr>
          <w:rFonts w:cstheme="minorHAnsi"/>
        </w:rPr>
      </w:pPr>
      <w:r>
        <w:rPr>
          <w:rFonts w:cstheme="minorHAnsi"/>
        </w:rPr>
        <w:t>United Nations Economic Commission for Europe (UNECE) (2009).”Landlocked Developing Countries and Trade Facilitation.” Transport Review.  New York</w:t>
      </w:r>
    </w:p>
    <w:p w:rsidR="00F702D4" w:rsidRDefault="00F702D4" w:rsidP="00F702D4">
      <w:pPr>
        <w:pStyle w:val="Bibliography"/>
        <w:rPr>
          <w:rFonts w:cstheme="minorHAnsi"/>
          <w:noProof/>
        </w:rPr>
      </w:pPr>
      <w:r>
        <w:rPr>
          <w:rFonts w:cstheme="minorHAnsi"/>
          <w:noProof/>
        </w:rPr>
        <w:t>USAID (2006). “Strategy &amp; Action Plan for Afghanistan’s Dried Fruit &amp; Nuts Cluster,”  Kabul, Afghanistan.</w:t>
      </w:r>
    </w:p>
    <w:p w:rsidR="00F702D4" w:rsidRDefault="00F702D4" w:rsidP="00F702D4">
      <w:pPr>
        <w:rPr>
          <w:rFonts w:cstheme="minorHAnsi"/>
        </w:rPr>
      </w:pPr>
      <w:r>
        <w:rPr>
          <w:rFonts w:cstheme="minorHAnsi"/>
        </w:rPr>
        <w:t>USAID and Altai Consulting (2007).  ”Afghanistan Small and Medium Enterprise Development (ASMED).” Market Information for Milk and Yoghurt, Flour, Gemstones, Industrial Bread, Cakes and Candies Industries, 2007</w:t>
      </w:r>
    </w:p>
    <w:p w:rsidR="00F702D4" w:rsidRDefault="00F702D4" w:rsidP="00F702D4">
      <w:pPr>
        <w:rPr>
          <w:rFonts w:cstheme="minorHAnsi"/>
          <w:noProof/>
        </w:rPr>
      </w:pPr>
      <w:r>
        <w:rPr>
          <w:rFonts w:cstheme="minorHAnsi"/>
        </w:rPr>
        <w:t xml:space="preserve">USAID (2012). “Knowledge, Attitude and Practice (KAP) Survey of Afghanistan,” </w:t>
      </w:r>
      <w:r>
        <w:rPr>
          <w:rFonts w:cstheme="minorHAnsi"/>
          <w:noProof/>
        </w:rPr>
        <w:t>Kabul, Afghanistan.</w:t>
      </w:r>
    </w:p>
    <w:p w:rsidR="00F702D4" w:rsidRDefault="00F702D4" w:rsidP="00F702D4">
      <w:pPr>
        <w:rPr>
          <w:rFonts w:cstheme="minorHAnsi"/>
        </w:rPr>
      </w:pPr>
      <w:r>
        <w:rPr>
          <w:rFonts w:cstheme="minorHAnsi"/>
        </w:rPr>
        <w:t xml:space="preserve">USAID (October 2008).”Afghanistan Small and Medium Enterprise Development (ASMED).  Exporting Afghan Crafts:  Constraints and Opportunities.” </w:t>
      </w:r>
    </w:p>
    <w:p w:rsidR="00F702D4" w:rsidRDefault="00F702D4" w:rsidP="00F702D4">
      <w:pPr>
        <w:rPr>
          <w:rFonts w:cstheme="minorHAnsi"/>
        </w:rPr>
      </w:pPr>
      <w:r>
        <w:rPr>
          <w:rFonts w:cstheme="minorHAnsi"/>
        </w:rPr>
        <w:t>USAID ASMED (2009). “Gemstone Sector Strategy, Kabul, Afghanistan</w:t>
      </w:r>
    </w:p>
    <w:p w:rsidR="00F702D4" w:rsidRDefault="00F702D4" w:rsidP="00F702D4">
      <w:pPr>
        <w:rPr>
          <w:rFonts w:cstheme="minorHAnsi"/>
        </w:rPr>
      </w:pPr>
      <w:r>
        <w:rPr>
          <w:rFonts w:cstheme="minorHAnsi"/>
        </w:rPr>
        <w:t>USAID DAI, Sibley International Corp. (2007), “Assessment of the Afghanistan Gemstone Industry.” Kabul, Afghanistan</w:t>
      </w:r>
    </w:p>
    <w:p w:rsidR="00F702D4" w:rsidRDefault="00F702D4" w:rsidP="00F702D4">
      <w:pPr>
        <w:rPr>
          <w:rFonts w:cstheme="minorHAnsi"/>
        </w:rPr>
      </w:pPr>
      <w:r>
        <w:rPr>
          <w:rFonts w:cstheme="minorHAnsi"/>
        </w:rPr>
        <w:t>USAID OTF (2006). “Growth Strategy and Action Plan for the Carpet Cluster of Afghanistan,” Kabul, Afghanistan.</w:t>
      </w:r>
    </w:p>
    <w:p w:rsidR="00F702D4" w:rsidRDefault="00F702D4" w:rsidP="00F702D4">
      <w:pPr>
        <w:rPr>
          <w:rFonts w:cstheme="minorHAnsi"/>
        </w:rPr>
      </w:pPr>
      <w:r>
        <w:rPr>
          <w:rFonts w:cstheme="minorHAnsi"/>
        </w:rPr>
        <w:t>USAID OTF (2006). “Marble Cluster Strategy,” Kabul, Afghanistan</w:t>
      </w:r>
    </w:p>
    <w:p w:rsidR="00351C41" w:rsidRDefault="00351C41" w:rsidP="00351C41">
      <w:pPr>
        <w:pStyle w:val="FootnoteText"/>
        <w:rPr>
          <w:rFonts w:eastAsiaTheme="minorHAnsi" w:cstheme="minorHAnsi"/>
          <w:sz w:val="22"/>
          <w:szCs w:val="22"/>
        </w:rPr>
      </w:pPr>
      <w:r w:rsidRPr="00351C41">
        <w:rPr>
          <w:rFonts w:eastAsiaTheme="minorHAnsi" w:cstheme="minorHAnsi"/>
          <w:sz w:val="22"/>
          <w:szCs w:val="22"/>
        </w:rPr>
        <w:t>World Bank (1988)</w:t>
      </w:r>
      <w:r>
        <w:rPr>
          <w:rFonts w:eastAsiaTheme="minorHAnsi" w:cstheme="minorHAnsi"/>
          <w:sz w:val="22"/>
          <w:szCs w:val="22"/>
        </w:rPr>
        <w:t xml:space="preserve">. </w:t>
      </w:r>
      <w:r w:rsidRPr="00351C41">
        <w:rPr>
          <w:rFonts w:eastAsiaTheme="minorHAnsi" w:cstheme="minorHAnsi"/>
          <w:sz w:val="22"/>
          <w:szCs w:val="22"/>
        </w:rPr>
        <w:t xml:space="preserve">Harral, C and A Faiz, “Road deterioration in developing countries,” Washington DC.  </w:t>
      </w:r>
    </w:p>
    <w:p w:rsidR="00351C41" w:rsidRPr="00351C41" w:rsidRDefault="00351C41" w:rsidP="00351C41">
      <w:pPr>
        <w:pStyle w:val="FootnoteText"/>
        <w:rPr>
          <w:rFonts w:eastAsiaTheme="minorHAnsi" w:cstheme="minorHAnsi"/>
          <w:sz w:val="22"/>
          <w:szCs w:val="22"/>
        </w:rPr>
      </w:pPr>
    </w:p>
    <w:p w:rsidR="00351C41" w:rsidRDefault="00351C41" w:rsidP="00F702D4">
      <w:pPr>
        <w:pStyle w:val="Bibliography"/>
        <w:rPr>
          <w:rFonts w:cstheme="minorHAnsi"/>
          <w:noProof/>
        </w:rPr>
      </w:pPr>
      <w:r>
        <w:rPr>
          <w:rFonts w:cstheme="minorHAnsi"/>
          <w:noProof/>
        </w:rPr>
        <w:t xml:space="preserve">World Bank (2005). “ </w:t>
      </w:r>
      <w:r>
        <w:rPr>
          <w:rFonts w:cstheme="minorHAnsi"/>
          <w:iCs/>
          <w:noProof/>
        </w:rPr>
        <w:t xml:space="preserve">Afghanistan State Building, Sustaining Growth, and Reducing Poverty A Country Economic Report,” </w:t>
      </w:r>
      <w:r>
        <w:rPr>
          <w:rFonts w:cstheme="minorHAnsi"/>
          <w:noProof/>
        </w:rPr>
        <w:t>Washington DC.</w:t>
      </w:r>
    </w:p>
    <w:p w:rsidR="00351C41" w:rsidRDefault="00351C41" w:rsidP="00F702D4">
      <w:pPr>
        <w:pStyle w:val="FootnoteText"/>
        <w:rPr>
          <w:rFonts w:cstheme="minorHAnsi"/>
          <w:sz w:val="22"/>
          <w:szCs w:val="22"/>
        </w:rPr>
      </w:pPr>
      <w:r>
        <w:rPr>
          <w:rFonts w:cstheme="minorHAnsi"/>
          <w:sz w:val="22"/>
          <w:szCs w:val="22"/>
        </w:rPr>
        <w:t xml:space="preserve">World Bank (2007). “Development of Electricity Trade in Central Asia- South Asia Region.” Washington, DC.  </w:t>
      </w:r>
    </w:p>
    <w:p w:rsidR="00351C41" w:rsidRDefault="00351C41" w:rsidP="00F702D4">
      <w:pPr>
        <w:pStyle w:val="FootnoteText"/>
        <w:rPr>
          <w:rFonts w:cstheme="minorHAnsi"/>
          <w:sz w:val="22"/>
          <w:szCs w:val="22"/>
        </w:rPr>
      </w:pPr>
    </w:p>
    <w:p w:rsidR="00351C41" w:rsidRDefault="00351C41" w:rsidP="00F702D4">
      <w:pPr>
        <w:pStyle w:val="FootnoteText"/>
        <w:rPr>
          <w:rFonts w:eastAsiaTheme="minorHAnsi" w:cstheme="minorHAnsi"/>
          <w:sz w:val="22"/>
          <w:szCs w:val="22"/>
        </w:rPr>
      </w:pPr>
      <w:r>
        <w:rPr>
          <w:rFonts w:eastAsiaTheme="minorHAnsi" w:cstheme="minorHAnsi"/>
          <w:sz w:val="22"/>
          <w:szCs w:val="22"/>
        </w:rPr>
        <w:t xml:space="preserve">World Bank (2007).”Africa’s Silk Road and India’s New Economic Frontier.”  Washington DC. </w:t>
      </w:r>
    </w:p>
    <w:p w:rsidR="00351C41" w:rsidRDefault="00351C41" w:rsidP="00F702D4">
      <w:pPr>
        <w:pStyle w:val="FootnoteText"/>
        <w:rPr>
          <w:rFonts w:eastAsiaTheme="minorHAnsi" w:cstheme="minorHAnsi"/>
          <w:sz w:val="22"/>
          <w:szCs w:val="22"/>
        </w:rPr>
      </w:pPr>
    </w:p>
    <w:p w:rsidR="00351C41" w:rsidRDefault="00351C41" w:rsidP="00F702D4">
      <w:pPr>
        <w:rPr>
          <w:rFonts w:eastAsiaTheme="minorHAnsi" w:cstheme="minorHAnsi"/>
          <w:noProof/>
          <w:szCs w:val="22"/>
        </w:rPr>
      </w:pPr>
      <w:r>
        <w:rPr>
          <w:rFonts w:cstheme="minorHAnsi"/>
        </w:rPr>
        <w:t xml:space="preserve">World Bank (2008). “Trade policy, trade costs, and developing country trade”, Policy Research Working Paper No. 4797 </w:t>
      </w:r>
      <w:r>
        <w:rPr>
          <w:rFonts w:cstheme="minorHAnsi"/>
          <w:noProof/>
        </w:rPr>
        <w:t>KWAshington, DC.</w:t>
      </w:r>
    </w:p>
    <w:p w:rsidR="00351C41" w:rsidRDefault="00351C41" w:rsidP="00F702D4">
      <w:pPr>
        <w:pStyle w:val="FootnoteText"/>
        <w:rPr>
          <w:rFonts w:eastAsiaTheme="minorHAnsi" w:cstheme="minorHAnsi"/>
          <w:sz w:val="22"/>
          <w:szCs w:val="22"/>
        </w:rPr>
      </w:pPr>
      <w:r>
        <w:rPr>
          <w:rFonts w:eastAsiaTheme="minorHAnsi" w:cstheme="minorHAnsi"/>
          <w:sz w:val="22"/>
          <w:szCs w:val="22"/>
        </w:rPr>
        <w:t>World Bank (2008). ”Trade and Transport Facilitation in South Asia:  Systems in Transition.” Washington DC.</w:t>
      </w:r>
    </w:p>
    <w:p w:rsidR="00351C41" w:rsidRDefault="00351C41" w:rsidP="00F702D4">
      <w:pPr>
        <w:pStyle w:val="FootnoteText"/>
        <w:rPr>
          <w:rFonts w:eastAsiaTheme="minorHAnsi" w:cstheme="minorHAnsi"/>
          <w:sz w:val="22"/>
          <w:szCs w:val="22"/>
        </w:rPr>
      </w:pPr>
    </w:p>
    <w:p w:rsidR="00351C41" w:rsidRDefault="00351C41" w:rsidP="00F702D4">
      <w:pPr>
        <w:rPr>
          <w:rFonts w:eastAsiaTheme="minorHAnsi" w:cstheme="minorHAnsi"/>
          <w:szCs w:val="22"/>
        </w:rPr>
      </w:pPr>
      <w:r>
        <w:rPr>
          <w:rFonts w:cstheme="minorHAnsi"/>
        </w:rPr>
        <w:t>World Bank (2010). “Export Performance and Trade Facilitation Reform:  Hard and Soft Infrastructure,” Washington DC.</w:t>
      </w:r>
    </w:p>
    <w:p w:rsidR="00351C41" w:rsidRDefault="00351C41" w:rsidP="00F702D4">
      <w:pPr>
        <w:rPr>
          <w:rFonts w:cstheme="minorHAnsi"/>
        </w:rPr>
      </w:pPr>
      <w:r>
        <w:rPr>
          <w:rFonts w:cstheme="minorHAnsi"/>
        </w:rPr>
        <w:t xml:space="preserve">World Bank (2010).” Connecting to Compete. Trade Logistics in the Global Economy”.  Washington DC.  </w:t>
      </w:r>
    </w:p>
    <w:p w:rsidR="00351C41" w:rsidRDefault="00351C41" w:rsidP="00F702D4">
      <w:pPr>
        <w:rPr>
          <w:rFonts w:cstheme="minorHAnsi"/>
        </w:rPr>
      </w:pPr>
      <w:r>
        <w:rPr>
          <w:rFonts w:cstheme="minorHAnsi"/>
        </w:rPr>
        <w:t>World Bank (2011). “Connecting Landlocked Developing Countries to Markets: Trade Corridors in the 21st Century”</w:t>
      </w:r>
    </w:p>
    <w:p w:rsidR="00351C41" w:rsidRDefault="00351C41" w:rsidP="00F702D4">
      <w:pPr>
        <w:rPr>
          <w:rFonts w:cstheme="minorHAnsi"/>
        </w:rPr>
      </w:pPr>
      <w:r>
        <w:rPr>
          <w:rFonts w:cstheme="minorHAnsi"/>
        </w:rPr>
        <w:t>World Bank (2011). “Ex-Post Impact Evaluation of an Export Promotion Matching Grant: Tunisia’s EMAF II”, Washington DC</w:t>
      </w:r>
    </w:p>
    <w:p w:rsidR="00351C41" w:rsidRDefault="00351C41" w:rsidP="00F702D4">
      <w:pPr>
        <w:rPr>
          <w:rFonts w:cstheme="minorHAnsi"/>
          <w:noProof/>
        </w:rPr>
      </w:pPr>
      <w:r>
        <w:rPr>
          <w:rFonts w:cstheme="minorHAnsi"/>
          <w:noProof/>
        </w:rPr>
        <w:t>World Bank (2011). “Understanding Gender in Agricultural Value Chains: The Cases of Grapes, Raisins, Almonds and Saffron in Afghanistan,”  Sustainable Development Department, Agriculture and Rural Development, South Asia Region, Washington DC.</w:t>
      </w:r>
    </w:p>
    <w:p w:rsidR="00351C41" w:rsidRDefault="00351C41" w:rsidP="00F702D4">
      <w:pPr>
        <w:rPr>
          <w:rFonts w:cstheme="minorHAnsi"/>
        </w:rPr>
      </w:pPr>
      <w:r>
        <w:rPr>
          <w:rFonts w:cstheme="minorHAnsi"/>
        </w:rPr>
        <w:t>World Bank (2011). McLinden, G., E. Fanta, D. Widdowson, and T. Doyle.  “Border Management Modernization Handbook.” Washington DC.</w:t>
      </w:r>
    </w:p>
    <w:p w:rsidR="00351C41" w:rsidRDefault="00351C41" w:rsidP="00F702D4">
      <w:pPr>
        <w:rPr>
          <w:rFonts w:cstheme="minorHAnsi"/>
          <w:noProof/>
        </w:rPr>
      </w:pPr>
      <w:r>
        <w:rPr>
          <w:rFonts w:cstheme="minorHAnsi"/>
        </w:rPr>
        <w:t xml:space="preserve">World Bank (2011). Project Information Document Report No. AB3278. “Afghanistan National Emergency Rural Access Project.” </w:t>
      </w:r>
      <w:r>
        <w:rPr>
          <w:rFonts w:cstheme="minorHAnsi"/>
          <w:noProof/>
        </w:rPr>
        <w:t>Kabul, Afghanistan.</w:t>
      </w:r>
    </w:p>
    <w:p w:rsidR="00351C41" w:rsidRDefault="00351C41" w:rsidP="00F702D4">
      <w:pPr>
        <w:rPr>
          <w:rFonts w:cstheme="minorHAnsi"/>
          <w:noProof/>
        </w:rPr>
      </w:pPr>
      <w:r>
        <w:rPr>
          <w:rFonts w:cstheme="minorHAnsi"/>
        </w:rPr>
        <w:t xml:space="preserve">World Bank (2012) - IFC. “Improving the Ease of Doing Business in Afghanistan Reform Memorandum, WB-IFC.” </w:t>
      </w:r>
      <w:r>
        <w:rPr>
          <w:rFonts w:cstheme="minorHAnsi"/>
          <w:noProof/>
        </w:rPr>
        <w:t>Kabul, Afghanistan.</w:t>
      </w:r>
    </w:p>
    <w:p w:rsidR="00351C41" w:rsidRDefault="00351C41" w:rsidP="00F702D4">
      <w:pPr>
        <w:rPr>
          <w:rFonts w:cstheme="minorHAnsi"/>
          <w:noProof/>
        </w:rPr>
      </w:pPr>
      <w:r>
        <w:rPr>
          <w:rFonts w:cstheme="minorHAnsi"/>
          <w:noProof/>
          <w:lang w:val="en-029"/>
        </w:rPr>
        <w:t>World Bank (2012). “</w:t>
      </w:r>
      <w:r>
        <w:rPr>
          <w:rFonts w:cstheme="minorHAnsi"/>
          <w:lang w:val="en-GB"/>
        </w:rPr>
        <w:t>Afghanistan Economic Update,” Kabul</w:t>
      </w:r>
      <w:r>
        <w:rPr>
          <w:rFonts w:cstheme="minorHAnsi"/>
          <w:noProof/>
        </w:rPr>
        <w:t>, Afghanistan.</w:t>
      </w:r>
    </w:p>
    <w:p w:rsidR="00351C41" w:rsidRDefault="00351C41" w:rsidP="00F702D4">
      <w:pPr>
        <w:jc w:val="left"/>
        <w:rPr>
          <w:rFonts w:cstheme="minorHAnsi"/>
          <w:noProof/>
          <w:lang w:val="en-029"/>
        </w:rPr>
      </w:pPr>
      <w:r>
        <w:rPr>
          <w:rFonts w:cstheme="minorHAnsi"/>
          <w:noProof/>
          <w:lang w:val="en-029"/>
        </w:rPr>
        <w:t xml:space="preserve">World Bank (2012). “Afghanistan in Transition: Looking Beyond 2014.”  </w:t>
      </w:r>
      <w:r>
        <w:rPr>
          <w:rFonts w:cstheme="minorHAnsi"/>
          <w:color w:val="000000"/>
        </w:rPr>
        <w:t>Poverty Reduction &amp; Economic Management, South Asia Region, Washington DC.</w:t>
      </w:r>
    </w:p>
    <w:p w:rsidR="00351C41" w:rsidRDefault="00351C41" w:rsidP="00F702D4">
      <w:pPr>
        <w:rPr>
          <w:rFonts w:cstheme="minorHAnsi"/>
        </w:rPr>
      </w:pPr>
      <w:r>
        <w:rPr>
          <w:rFonts w:cstheme="minorHAnsi"/>
        </w:rPr>
        <w:t>World Bank (2012). “Doing Business Indicators 2012,” Washington DC.</w:t>
      </w:r>
    </w:p>
    <w:p w:rsidR="00351C41" w:rsidRDefault="00351C41" w:rsidP="00F702D4">
      <w:pPr>
        <w:spacing w:after="0" w:line="240" w:lineRule="auto"/>
        <w:rPr>
          <w:rFonts w:cstheme="minorHAnsi"/>
        </w:rPr>
      </w:pPr>
      <w:r>
        <w:rPr>
          <w:rFonts w:cstheme="minorHAnsi"/>
        </w:rPr>
        <w:t>World Bank (June 2010).”Transit of Afghan Goods through Pak-Afghan Border Crossings and Implication of Transit Trade on the Economies.” Washington DC.</w:t>
      </w:r>
    </w:p>
    <w:p w:rsidR="00351C41" w:rsidRDefault="00351C41" w:rsidP="00F702D4">
      <w:pPr>
        <w:rPr>
          <w:rFonts w:cstheme="minorHAnsi"/>
        </w:rPr>
      </w:pPr>
      <w:r>
        <w:rPr>
          <w:rFonts w:cstheme="minorHAnsi"/>
        </w:rPr>
        <w:t>World Bank.  (2011). World Development Report.” Conflict, Security and Development.”  Washington DC</w:t>
      </w:r>
    </w:p>
    <w:sectPr w:rsidR="00351C41" w:rsidSect="005506A5">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E5A" w:rsidRDefault="00FE3E5A" w:rsidP="00F60794">
      <w:pPr>
        <w:spacing w:after="0" w:line="240" w:lineRule="auto"/>
      </w:pPr>
      <w:r>
        <w:separator/>
      </w:r>
    </w:p>
  </w:endnote>
  <w:endnote w:type="continuationSeparator" w:id="0">
    <w:p w:rsidR="00FE3E5A" w:rsidRDefault="00FE3E5A" w:rsidP="00F60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PalatinoLinotype-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E5A" w:rsidRDefault="00FE3E5A">
    <w:pPr>
      <w:pStyle w:val="Footer"/>
      <w:jc w:val="center"/>
    </w:pPr>
  </w:p>
  <w:p w:rsidR="00FE3E5A" w:rsidRDefault="00FE3E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7680433"/>
      <w:docPartObj>
        <w:docPartGallery w:val="Page Numbers (Bottom of Page)"/>
        <w:docPartUnique/>
      </w:docPartObj>
    </w:sdtPr>
    <w:sdtEndPr>
      <w:rPr>
        <w:noProof/>
      </w:rPr>
    </w:sdtEndPr>
    <w:sdtContent>
      <w:p w:rsidR="00FE3E5A" w:rsidRDefault="00FE3E5A">
        <w:pPr>
          <w:pStyle w:val="Footer"/>
          <w:jc w:val="center"/>
        </w:pPr>
        <w:r>
          <w:fldChar w:fldCharType="begin"/>
        </w:r>
        <w:r>
          <w:instrText xml:space="preserve"> PAGE   \* MERGEFORMAT </w:instrText>
        </w:r>
        <w:r>
          <w:fldChar w:fldCharType="separate"/>
        </w:r>
        <w:r w:rsidR="00D4318B">
          <w:rPr>
            <w:noProof/>
          </w:rPr>
          <w:t>39</w:t>
        </w:r>
        <w:r>
          <w:rPr>
            <w:noProof/>
          </w:rPr>
          <w:fldChar w:fldCharType="end"/>
        </w:r>
      </w:p>
    </w:sdtContent>
  </w:sdt>
  <w:p w:rsidR="00FE3E5A" w:rsidRDefault="00FE3E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8234930"/>
      <w:docPartObj>
        <w:docPartGallery w:val="Page Numbers (Bottom of Page)"/>
        <w:docPartUnique/>
      </w:docPartObj>
    </w:sdtPr>
    <w:sdtEndPr>
      <w:rPr>
        <w:noProof/>
      </w:rPr>
    </w:sdtEndPr>
    <w:sdtContent>
      <w:p w:rsidR="00FE3E5A" w:rsidRDefault="00FE3E5A">
        <w:pPr>
          <w:pStyle w:val="Footer"/>
          <w:jc w:val="center"/>
        </w:pPr>
        <w:r>
          <w:fldChar w:fldCharType="begin"/>
        </w:r>
        <w:r>
          <w:instrText xml:space="preserve"> PAGE   \* MERGEFORMAT </w:instrText>
        </w:r>
        <w:r>
          <w:fldChar w:fldCharType="separate"/>
        </w:r>
        <w:r w:rsidR="00D4318B">
          <w:rPr>
            <w:noProof/>
          </w:rPr>
          <w:t>1</w:t>
        </w:r>
        <w:r>
          <w:rPr>
            <w:noProof/>
          </w:rPr>
          <w:fldChar w:fldCharType="end"/>
        </w:r>
      </w:p>
    </w:sdtContent>
  </w:sdt>
  <w:p w:rsidR="00FE3E5A" w:rsidRDefault="00FE3E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E5A" w:rsidRDefault="00FE3E5A" w:rsidP="00F60794">
      <w:pPr>
        <w:spacing w:after="0" w:line="240" w:lineRule="auto"/>
      </w:pPr>
      <w:r>
        <w:separator/>
      </w:r>
    </w:p>
  </w:footnote>
  <w:footnote w:type="continuationSeparator" w:id="0">
    <w:p w:rsidR="00FE3E5A" w:rsidRDefault="00FE3E5A" w:rsidP="00F60794">
      <w:pPr>
        <w:spacing w:after="0" w:line="240" w:lineRule="auto"/>
      </w:pPr>
      <w:r>
        <w:continuationSeparator/>
      </w:r>
    </w:p>
  </w:footnote>
  <w:footnote w:id="1">
    <w:p w:rsidR="00FE3E5A" w:rsidRDefault="00FE3E5A" w:rsidP="00A31296">
      <w:pPr>
        <w:pStyle w:val="NbpageMoens1"/>
      </w:pPr>
      <w:r>
        <w:rPr>
          <w:rStyle w:val="FootnoteReferenceLVL621"/>
          <w:rFonts w:eastAsiaTheme="majorEastAsia"/>
        </w:rPr>
        <w:footnoteRef/>
      </w:r>
      <w:r>
        <w:t xml:space="preserve"> </w:t>
      </w:r>
      <w:r>
        <w:rPr>
          <w:rFonts w:cstheme="minorHAnsi"/>
          <w:szCs w:val="22"/>
        </w:rPr>
        <w:t>A</w:t>
      </w:r>
      <w:r w:rsidRPr="00FC5FF6">
        <w:rPr>
          <w:rFonts w:cstheme="minorHAnsi"/>
          <w:szCs w:val="22"/>
        </w:rPr>
        <w:t xml:space="preserve"> June 2012 </w:t>
      </w:r>
      <w:r>
        <w:rPr>
          <w:rFonts w:cstheme="minorHAnsi"/>
          <w:szCs w:val="22"/>
        </w:rPr>
        <w:t xml:space="preserve">IMF/WB </w:t>
      </w:r>
      <w:r w:rsidRPr="00FC5FF6">
        <w:rPr>
          <w:rFonts w:cstheme="minorHAnsi"/>
          <w:szCs w:val="22"/>
        </w:rPr>
        <w:t>Debt Sustainability Analysis identifies significant risks stemming from the very high security and development spending needs</w:t>
      </w:r>
      <w:r>
        <w:rPr>
          <w:rFonts w:cstheme="minorHAnsi"/>
          <w:szCs w:val="22"/>
        </w:rPr>
        <w:t xml:space="preserve">. </w:t>
      </w:r>
      <w:r w:rsidRPr="00FC5FF6">
        <w:rPr>
          <w:rFonts w:cstheme="minorHAnsi"/>
          <w:szCs w:val="22"/>
        </w:rPr>
        <w:t>Should donor support be insufficient to meet the country’s financing needs, security fail to stabilize, or structural reforms and governance improvements fail to materialize, Afghanistan’s debt burden would become unsustainable, and the government would be forced to undertake significant fiscal adjustment.</w:t>
      </w:r>
    </w:p>
  </w:footnote>
  <w:footnote w:id="2">
    <w:p w:rsidR="00FE3E5A" w:rsidRDefault="00FE3E5A" w:rsidP="00A31296">
      <w:pPr>
        <w:pStyle w:val="NbpageMoens1"/>
      </w:pPr>
      <w:r>
        <w:rPr>
          <w:rStyle w:val="FootnoteReferenceLVL621"/>
          <w:rFonts w:eastAsiaTheme="majorEastAsia"/>
        </w:rPr>
        <w:footnoteRef/>
      </w:r>
      <w:r>
        <w:t xml:space="preserve"> O</w:t>
      </w:r>
      <w:r w:rsidRPr="00756691">
        <w:rPr>
          <w:szCs w:val="22"/>
        </w:rPr>
        <w:t xml:space="preserve">fficial export figures are underestimated and do not account for smuggled products and transit trade. </w:t>
      </w:r>
      <w:r>
        <w:rPr>
          <w:szCs w:val="22"/>
        </w:rPr>
        <w:t xml:space="preserve"> </w:t>
      </w:r>
    </w:p>
  </w:footnote>
  <w:footnote w:id="3">
    <w:p w:rsidR="00FE3E5A" w:rsidRDefault="00FE3E5A" w:rsidP="00A31296">
      <w:pPr>
        <w:spacing w:before="200" w:after="240" w:line="240" w:lineRule="auto"/>
      </w:pPr>
      <w:r>
        <w:rPr>
          <w:rStyle w:val="FootnoteReferenceLVL621"/>
        </w:rPr>
        <w:footnoteRef/>
      </w:r>
      <w:r>
        <w:t xml:space="preserve"> </w:t>
      </w:r>
      <w:r w:rsidRPr="00B60D76">
        <w:rPr>
          <w:sz w:val="18"/>
        </w:rPr>
        <w:t>While it is difficult to estimate the share of imports not captured in offi</w:t>
      </w:r>
      <w:r>
        <w:rPr>
          <w:sz w:val="18"/>
        </w:rPr>
        <w:t>cial figures (excluding opium, S</w:t>
      </w:r>
      <w:r w:rsidRPr="00B60D76">
        <w:rPr>
          <w:sz w:val="18"/>
        </w:rPr>
        <w:t xml:space="preserve">ee Box </w:t>
      </w:r>
      <w:r>
        <w:rPr>
          <w:sz w:val="18"/>
        </w:rPr>
        <w:t>1.1</w:t>
      </w:r>
      <w:r w:rsidRPr="00B60D76">
        <w:rPr>
          <w:sz w:val="18"/>
        </w:rPr>
        <w:t xml:space="preserve">, Chapter 2), it is significant and has increased over the past 4 years, which to a certain extent explains some the decline of import values as a percentage of GDP. Another factor is the effect of Transition, the uncertainty of future donor funding and the closing </w:t>
      </w:r>
      <w:r>
        <w:rPr>
          <w:sz w:val="18"/>
        </w:rPr>
        <w:t xml:space="preserve">of </w:t>
      </w:r>
      <w:r w:rsidRPr="00B60D76">
        <w:rPr>
          <w:sz w:val="18"/>
        </w:rPr>
        <w:t>some donor projects that</w:t>
      </w:r>
      <w:r>
        <w:rPr>
          <w:sz w:val="18"/>
        </w:rPr>
        <w:t xml:space="preserve"> </w:t>
      </w:r>
      <w:r w:rsidRPr="00B60D76">
        <w:rPr>
          <w:sz w:val="18"/>
        </w:rPr>
        <w:t>have impacted the demand</w:t>
      </w:r>
      <w:r>
        <w:rPr>
          <w:sz w:val="18"/>
        </w:rPr>
        <w:t xml:space="preserve"> for imported goods &amp; services.</w:t>
      </w:r>
    </w:p>
  </w:footnote>
  <w:footnote w:id="4">
    <w:p w:rsidR="00FE3E5A" w:rsidRPr="00794E7F" w:rsidRDefault="00FE3E5A" w:rsidP="00A31296">
      <w:pPr>
        <w:pStyle w:val="NbpageMoens1"/>
        <w:rPr>
          <w:szCs w:val="22"/>
        </w:rPr>
      </w:pPr>
      <w:r>
        <w:rPr>
          <w:rStyle w:val="FootnoteReferenceLVL621"/>
          <w:rFonts w:eastAsiaTheme="majorEastAsia"/>
        </w:rPr>
        <w:footnoteRef/>
      </w:r>
      <w:r>
        <w:t xml:space="preserve"> </w:t>
      </w:r>
      <w:r w:rsidRPr="00794E7F">
        <w:rPr>
          <w:szCs w:val="22"/>
        </w:rPr>
        <w:t>Figure 1.4 presents this relationship through a scatter plot comparing the average export-to-GDP ratios with the log of GDP per capita (in PPP constant international dollars) for several countries in the region during 2006–2008.) The broken line indicates the world median income. The curve is an ordinary least-squares (OLS) regression line of the trade-to-GDP ratio on the log of GDP per capita as well as its squared value.</w:t>
      </w:r>
    </w:p>
    <w:p w:rsidR="00FE3E5A" w:rsidRPr="00794E7F" w:rsidRDefault="00FE3E5A" w:rsidP="00A31296">
      <w:pPr>
        <w:pStyle w:val="NbpageMoens1"/>
        <w:rPr>
          <w:szCs w:val="22"/>
        </w:rPr>
      </w:pPr>
    </w:p>
  </w:footnote>
  <w:footnote w:id="5">
    <w:p w:rsidR="00FE3E5A" w:rsidRDefault="00FE3E5A" w:rsidP="00A31296">
      <w:pPr>
        <w:pStyle w:val="NbpageMoens1"/>
      </w:pPr>
      <w:r>
        <w:rPr>
          <w:rStyle w:val="FootnoteReferenceLVL621"/>
          <w:rFonts w:eastAsiaTheme="majorEastAsia"/>
        </w:rPr>
        <w:footnoteRef/>
      </w:r>
      <w:r>
        <w:rPr>
          <w:i/>
          <w:szCs w:val="22"/>
          <w:lang w:eastAsia="fr-FR"/>
        </w:rPr>
        <w:t xml:space="preserve">  </w:t>
      </w:r>
      <w:r w:rsidRPr="00873531">
        <w:rPr>
          <w:szCs w:val="22"/>
          <w:lang w:eastAsia="fr-FR"/>
        </w:rPr>
        <w:t xml:space="preserve">According to WB calculations using the 2008 </w:t>
      </w:r>
      <w:r w:rsidRPr="00873531">
        <w:rPr>
          <w:szCs w:val="22"/>
        </w:rPr>
        <w:t>National Risk and Vulnerability Assessment</w:t>
      </w:r>
      <w:r w:rsidRPr="00873531">
        <w:rPr>
          <w:szCs w:val="22"/>
          <w:lang w:eastAsia="fr-FR"/>
        </w:rPr>
        <w:t xml:space="preserve"> (NRVA) household data</w:t>
      </w:r>
    </w:p>
  </w:footnote>
  <w:footnote w:id="6">
    <w:p w:rsidR="00FE3E5A" w:rsidRPr="00262357" w:rsidRDefault="00FE3E5A" w:rsidP="00A31296">
      <w:pPr>
        <w:autoSpaceDE w:val="0"/>
        <w:autoSpaceDN w:val="0"/>
        <w:adjustRightInd w:val="0"/>
        <w:spacing w:after="0" w:line="240" w:lineRule="auto"/>
      </w:pPr>
      <w:r>
        <w:rPr>
          <w:rStyle w:val="FootnoteReferenceLVL621"/>
        </w:rPr>
        <w:footnoteRef/>
      </w:r>
      <w:r>
        <w:t xml:space="preserve"> </w:t>
      </w:r>
      <w:r w:rsidRPr="00877B1C">
        <w:rPr>
          <w:rFonts w:cstheme="minorHAnsi"/>
          <w:sz w:val="18"/>
          <w:szCs w:val="18"/>
        </w:rPr>
        <w:t>This section is based on the “</w:t>
      </w:r>
      <w:r w:rsidRPr="00262357">
        <w:rPr>
          <w:rFonts w:cstheme="minorHAnsi"/>
          <w:sz w:val="18"/>
          <w:szCs w:val="18"/>
        </w:rPr>
        <w:t>Improving the</w:t>
      </w:r>
      <w:r>
        <w:rPr>
          <w:rFonts w:cstheme="minorHAnsi"/>
          <w:sz w:val="18"/>
          <w:szCs w:val="18"/>
        </w:rPr>
        <w:t xml:space="preserve"> </w:t>
      </w:r>
      <w:r w:rsidRPr="00262357">
        <w:rPr>
          <w:rFonts w:cstheme="minorHAnsi"/>
          <w:sz w:val="18"/>
          <w:szCs w:val="18"/>
        </w:rPr>
        <w:t>Ease of Doing Business</w:t>
      </w:r>
      <w:r>
        <w:rPr>
          <w:rFonts w:cstheme="minorHAnsi"/>
          <w:sz w:val="18"/>
          <w:szCs w:val="18"/>
        </w:rPr>
        <w:t xml:space="preserve"> </w:t>
      </w:r>
      <w:r w:rsidRPr="00262357">
        <w:rPr>
          <w:rFonts w:cstheme="minorHAnsi"/>
          <w:sz w:val="18"/>
          <w:szCs w:val="18"/>
        </w:rPr>
        <w:t>in Afghanistan</w:t>
      </w:r>
      <w:r>
        <w:rPr>
          <w:rFonts w:cstheme="minorHAnsi"/>
          <w:sz w:val="18"/>
          <w:szCs w:val="18"/>
        </w:rPr>
        <w:t xml:space="preserve"> </w:t>
      </w:r>
      <w:r w:rsidRPr="00262357">
        <w:rPr>
          <w:rFonts w:cstheme="minorHAnsi"/>
          <w:sz w:val="18"/>
          <w:szCs w:val="18"/>
        </w:rPr>
        <w:t>Reform Memorandum</w:t>
      </w:r>
      <w:r>
        <w:rPr>
          <w:rFonts w:cstheme="minorHAnsi"/>
          <w:sz w:val="18"/>
          <w:szCs w:val="18"/>
        </w:rPr>
        <w:t xml:space="preserve">”, WB-IFC, </w:t>
      </w:r>
      <w:r w:rsidRPr="00262357">
        <w:rPr>
          <w:rFonts w:cstheme="minorHAnsi"/>
          <w:sz w:val="18"/>
          <w:szCs w:val="18"/>
        </w:rPr>
        <w:t>February 2012</w:t>
      </w:r>
      <w:r>
        <w:rPr>
          <w:rFonts w:cstheme="minorHAnsi"/>
          <w:sz w:val="18"/>
          <w:szCs w:val="18"/>
        </w:rPr>
        <w:t>.</w:t>
      </w:r>
    </w:p>
  </w:footnote>
  <w:footnote w:id="7">
    <w:p w:rsidR="00FE3E5A" w:rsidRPr="007A48DE" w:rsidRDefault="00FE3E5A" w:rsidP="00A31296">
      <w:pPr>
        <w:autoSpaceDE w:val="0"/>
        <w:autoSpaceDN w:val="0"/>
        <w:adjustRightInd w:val="0"/>
        <w:spacing w:after="0" w:line="240" w:lineRule="auto"/>
      </w:pPr>
      <w:r>
        <w:rPr>
          <w:rStyle w:val="FootnoteReferenceLVL621"/>
        </w:rPr>
        <w:footnoteRef/>
      </w:r>
      <w:r>
        <w:t xml:space="preserve"> </w:t>
      </w:r>
      <w:r w:rsidRPr="007A48DE">
        <w:rPr>
          <w:rFonts w:cstheme="minorHAnsi"/>
          <w:sz w:val="18"/>
          <w:szCs w:val="18"/>
        </w:rPr>
        <w:t xml:space="preserve">The recommendations are based on comparative </w:t>
      </w:r>
      <w:r>
        <w:rPr>
          <w:rFonts w:cstheme="minorHAnsi"/>
          <w:sz w:val="18"/>
          <w:szCs w:val="18"/>
        </w:rPr>
        <w:t>best</w:t>
      </w:r>
      <w:r w:rsidRPr="007A48DE">
        <w:rPr>
          <w:rFonts w:cstheme="minorHAnsi"/>
          <w:sz w:val="18"/>
          <w:szCs w:val="18"/>
        </w:rPr>
        <w:t xml:space="preserve"> pr</w:t>
      </w:r>
      <w:r>
        <w:rPr>
          <w:rFonts w:cstheme="minorHAnsi"/>
          <w:sz w:val="18"/>
          <w:szCs w:val="18"/>
        </w:rPr>
        <w:t xml:space="preserve">actice on investment climate </w:t>
      </w:r>
      <w:r w:rsidRPr="007A48DE">
        <w:rPr>
          <w:rFonts w:cstheme="minorHAnsi"/>
          <w:sz w:val="18"/>
          <w:szCs w:val="18"/>
        </w:rPr>
        <w:t>regulation, and re</w:t>
      </w:r>
      <w:r>
        <w:rPr>
          <w:rFonts w:cstheme="minorHAnsi"/>
          <w:sz w:val="18"/>
          <w:szCs w:val="18"/>
        </w:rPr>
        <w:t>flects</w:t>
      </w:r>
      <w:r w:rsidRPr="007A48DE">
        <w:rPr>
          <w:rFonts w:cstheme="minorHAnsi"/>
          <w:sz w:val="18"/>
          <w:szCs w:val="18"/>
        </w:rPr>
        <w:t xml:space="preserve"> </w:t>
      </w:r>
      <w:r>
        <w:rPr>
          <w:rFonts w:cstheme="minorHAnsi"/>
          <w:sz w:val="18"/>
          <w:szCs w:val="18"/>
        </w:rPr>
        <w:t xml:space="preserve">discussions between </w:t>
      </w:r>
      <w:r w:rsidRPr="007A48DE">
        <w:rPr>
          <w:rFonts w:cstheme="minorHAnsi"/>
          <w:sz w:val="18"/>
          <w:szCs w:val="18"/>
        </w:rPr>
        <w:t>the World</w:t>
      </w:r>
      <w:r>
        <w:rPr>
          <w:rFonts w:cstheme="minorHAnsi"/>
          <w:sz w:val="18"/>
          <w:szCs w:val="18"/>
        </w:rPr>
        <w:t xml:space="preserve"> Bank Group, government </w:t>
      </w:r>
      <w:r w:rsidRPr="007A48DE">
        <w:rPr>
          <w:rFonts w:cstheme="minorHAnsi"/>
          <w:sz w:val="18"/>
          <w:szCs w:val="18"/>
        </w:rPr>
        <w:t>agencies and stakeholders during a Bank Group mission to Kabul (September 16-23, 2011).</w:t>
      </w:r>
    </w:p>
  </w:footnote>
  <w:footnote w:id="8">
    <w:p w:rsidR="00FE3E5A" w:rsidRPr="007227F3" w:rsidRDefault="00FE3E5A" w:rsidP="00A31296">
      <w:pPr>
        <w:pStyle w:val="NbpageMoens1"/>
        <w:jc w:val="left"/>
      </w:pPr>
      <w:r w:rsidRPr="007227F3">
        <w:rPr>
          <w:rStyle w:val="FootnoteReferenceLVL621"/>
          <w:rFonts w:eastAsiaTheme="majorEastAsia"/>
        </w:rPr>
        <w:footnoteRef/>
      </w:r>
      <w:r w:rsidRPr="007227F3">
        <w:t xml:space="preserve"> This cost is based on the ratio between the total running cost of </w:t>
      </w:r>
      <w:r>
        <w:t>the ACD</w:t>
      </w:r>
      <w:r w:rsidRPr="007227F3">
        <w:t xml:space="preserve"> and the total number of declarations processed, which</w:t>
      </w:r>
      <w:r>
        <w:t xml:space="preserve"> is</w:t>
      </w:r>
      <w:r w:rsidRPr="007227F3">
        <w:t xml:space="preserve"> considered an output of the </w:t>
      </w:r>
      <w:r>
        <w:t>c</w:t>
      </w:r>
      <w:r w:rsidRPr="007227F3">
        <w:t>ustoms administration.</w:t>
      </w:r>
    </w:p>
  </w:footnote>
  <w:footnote w:id="9">
    <w:p w:rsidR="00FE3E5A" w:rsidRPr="00F66B9C" w:rsidRDefault="00FE3E5A" w:rsidP="00A31296">
      <w:pPr>
        <w:spacing w:after="0"/>
        <w:rPr>
          <w:sz w:val="18"/>
        </w:rPr>
      </w:pPr>
      <w:r>
        <w:rPr>
          <w:rStyle w:val="FootnoteReferenceLVL621"/>
        </w:rPr>
        <w:footnoteRef/>
      </w:r>
      <w:r>
        <w:t xml:space="preserve"> </w:t>
      </w:r>
      <w:r w:rsidRPr="00F66B9C">
        <w:rPr>
          <w:sz w:val="18"/>
        </w:rPr>
        <w:t xml:space="preserve">Regionally, </w:t>
      </w:r>
      <w:r>
        <w:rPr>
          <w:sz w:val="18"/>
        </w:rPr>
        <w:t xml:space="preserve">latest-available figures show </w:t>
      </w:r>
      <w:r w:rsidRPr="00F66B9C">
        <w:rPr>
          <w:sz w:val="18"/>
        </w:rPr>
        <w:t xml:space="preserve">customs cost/revenues </w:t>
      </w:r>
      <w:r>
        <w:rPr>
          <w:sz w:val="18"/>
        </w:rPr>
        <w:t>of</w:t>
      </w:r>
      <w:r w:rsidRPr="00F66B9C">
        <w:rPr>
          <w:sz w:val="18"/>
        </w:rPr>
        <w:t xml:space="preserve"> 1.78 in the Kyrgyz Republic, 3.95 in Kazakhstan, 1.14 in Pakistan, and 1.77 in Iran.  The economic cost per declaration in these countries ranges from US$163 in Kazakhstan to US$18.10 in Pakistan. </w:t>
      </w:r>
    </w:p>
    <w:p w:rsidR="00FE3E5A" w:rsidRDefault="00FE3E5A" w:rsidP="00A31296">
      <w:pPr>
        <w:pStyle w:val="NbpageMoens1"/>
      </w:pPr>
    </w:p>
  </w:footnote>
  <w:footnote w:id="10">
    <w:p w:rsidR="00FE3E5A" w:rsidRPr="004919DA" w:rsidRDefault="00FE3E5A" w:rsidP="00A31296">
      <w:pPr>
        <w:spacing w:line="240" w:lineRule="auto"/>
        <w:rPr>
          <w:sz w:val="18"/>
        </w:rPr>
      </w:pPr>
      <w:r>
        <w:rPr>
          <w:rStyle w:val="FootnoteReferenceLVL621"/>
        </w:rPr>
        <w:footnoteRef/>
      </w:r>
      <w:r>
        <w:t xml:space="preserve"> </w:t>
      </w:r>
      <w:r w:rsidRPr="004919DA">
        <w:rPr>
          <w:sz w:val="18"/>
        </w:rPr>
        <w:t>Limão and Venables (2001) show that if a country’s infrastructure improved such that the country moved from being at the mid-point (median) among 64 countries to being among the top 25 per cent of those countries, this would reduce transport costs by an amount equivalent to 481 km of overland travel and 3,989 km of travel by sea.</w:t>
      </w:r>
    </w:p>
    <w:p w:rsidR="00FE3E5A" w:rsidRDefault="00FE3E5A" w:rsidP="00A31296">
      <w:pPr>
        <w:pStyle w:val="NbpageMoens1"/>
      </w:pPr>
    </w:p>
  </w:footnote>
  <w:footnote w:id="11">
    <w:p w:rsidR="00FE3E5A" w:rsidRDefault="00FE3E5A" w:rsidP="00A31296">
      <w:pPr>
        <w:pStyle w:val="NbpageMoens1"/>
      </w:pPr>
      <w:r>
        <w:rPr>
          <w:rStyle w:val="FootnoteReferenceLVL621"/>
          <w:rFonts w:eastAsiaTheme="majorEastAsia"/>
        </w:rPr>
        <w:footnoteRef/>
      </w:r>
      <w:r>
        <w:t xml:space="preserve"> ADB Report No. 42094.</w:t>
      </w:r>
    </w:p>
  </w:footnote>
  <w:footnote w:id="12">
    <w:p w:rsidR="00FE3E5A" w:rsidRDefault="00FE3E5A" w:rsidP="00A31296">
      <w:pPr>
        <w:spacing w:after="0" w:line="240" w:lineRule="auto"/>
      </w:pPr>
      <w:r>
        <w:rPr>
          <w:rStyle w:val="FootnoteReferenceLVL621"/>
        </w:rPr>
        <w:footnoteRef/>
      </w:r>
      <w:r>
        <w:t xml:space="preserve"> </w:t>
      </w:r>
      <w:r>
        <w:rPr>
          <w:sz w:val="18"/>
        </w:rPr>
        <w:t xml:space="preserve">Jansen and Nordas 2004 found a strong, positive correlation between the density of fixed and mobile telephone lines and trade relative to GDP, in which the supply response to a reduction in tariffs is larger the higher the penetration rate of telecommunications. Along these lines, a study of the impact of the Internet on US trade in services found that trading partners’ Internet penetration had a significant impact on US imports of business, professional and technical services.  In the US and most OECD countries, the Internet is the cheapest and most widely used medium to exchange information and services. Therefore, higher internet penetration and access to telecom directly affects the development of trade.  </w:t>
      </w:r>
    </w:p>
  </w:footnote>
  <w:footnote w:id="13">
    <w:p w:rsidR="00FE3E5A" w:rsidRDefault="00FE3E5A" w:rsidP="00A31296">
      <w:pPr>
        <w:pStyle w:val="NbpageMoens1"/>
      </w:pPr>
      <w:r>
        <w:rPr>
          <w:rStyle w:val="FootnoteReferenceLVL621"/>
          <w:rFonts w:eastAsiaTheme="majorEastAsia"/>
        </w:rPr>
        <w:footnoteRef/>
      </w:r>
      <w:r>
        <w:t xml:space="preserve"> </w:t>
      </w:r>
      <w:hyperlink r:id="rId1" w:history="1">
        <w:r>
          <w:rPr>
            <w:rStyle w:val="Hyperlink1"/>
          </w:rPr>
          <w:t>http://mcit.gov.af/en</w:t>
        </w:r>
      </w:hyperlink>
    </w:p>
  </w:footnote>
  <w:footnote w:id="14">
    <w:p w:rsidR="00FE3E5A" w:rsidRDefault="00FE3E5A" w:rsidP="00A31296">
      <w:pPr>
        <w:pStyle w:val="NbpageMoens1"/>
      </w:pPr>
      <w:r>
        <w:rPr>
          <w:rStyle w:val="FootnoteReferenceLVL621"/>
          <w:rFonts w:eastAsiaTheme="majorEastAsia"/>
        </w:rPr>
        <w:footnoteRef/>
      </w:r>
      <w:r>
        <w:t xml:space="preserve"> http://asiafoundation.org/publications/force-download.php?f=%2Fresources%2Fpdfs%2FTAF2011AGSurvey.pdf</w:t>
      </w:r>
    </w:p>
  </w:footnote>
  <w:footnote w:id="15">
    <w:p w:rsidR="00FE3E5A" w:rsidRDefault="00FE3E5A" w:rsidP="00A31296">
      <w:pPr>
        <w:pStyle w:val="NbpageMoens1"/>
      </w:pPr>
      <w:r>
        <w:rPr>
          <w:rStyle w:val="FootnoteReferenceLVL621"/>
          <w:rFonts w:eastAsiaTheme="majorEastAsia"/>
        </w:rPr>
        <w:footnoteRef/>
      </w:r>
      <w:r>
        <w:t xml:space="preserve"> </w:t>
      </w:r>
      <w:r>
        <w:rPr>
          <w:szCs w:val="22"/>
        </w:rPr>
        <w:t>World Bank, 2009</w:t>
      </w:r>
    </w:p>
  </w:footnote>
  <w:footnote w:id="16">
    <w:p w:rsidR="00FE3E5A" w:rsidRPr="004744D3" w:rsidRDefault="00FE3E5A" w:rsidP="00A31296">
      <w:pPr>
        <w:autoSpaceDE w:val="0"/>
        <w:autoSpaceDN w:val="0"/>
        <w:adjustRightInd w:val="0"/>
        <w:spacing w:after="0" w:line="240" w:lineRule="auto"/>
        <w:rPr>
          <w:sz w:val="18"/>
        </w:rPr>
      </w:pPr>
      <w:r>
        <w:rPr>
          <w:rStyle w:val="FootnoteReferenceLVL621"/>
        </w:rPr>
        <w:footnoteRef/>
      </w:r>
      <w:r>
        <w:t xml:space="preserve"> </w:t>
      </w:r>
      <w:r w:rsidRPr="004744D3">
        <w:rPr>
          <w:sz w:val="18"/>
        </w:rPr>
        <w:t xml:space="preserve">The </w:t>
      </w:r>
      <w:r>
        <w:rPr>
          <w:sz w:val="18"/>
        </w:rPr>
        <w:t xml:space="preserve">WB </w:t>
      </w:r>
      <w:r w:rsidRPr="004744D3">
        <w:rPr>
          <w:sz w:val="18"/>
        </w:rPr>
        <w:t>TRIST tool is a partial equilibrium model that quantiﬁes the effect of trade reform scenarios on imports, revenues and production. It uses actual trade flows and applied tariffs instead of the statutory tariffs (official commitments) and aggregated trade flows from international databases. This is important because</w:t>
      </w:r>
      <w:r>
        <w:rPr>
          <w:sz w:val="18"/>
        </w:rPr>
        <w:t>,</w:t>
      </w:r>
      <w:r w:rsidRPr="004744D3">
        <w:rPr>
          <w:sz w:val="18"/>
        </w:rPr>
        <w:t xml:space="preserve"> in the case of Afghanistan</w:t>
      </w:r>
      <w:r>
        <w:rPr>
          <w:sz w:val="18"/>
        </w:rPr>
        <w:t>,</w:t>
      </w:r>
      <w:r w:rsidRPr="004744D3">
        <w:rPr>
          <w:sz w:val="18"/>
        </w:rPr>
        <w:t xml:space="preserve"> exempted imports would account for over 45 percent of total tariff revenue, while other import taxes (</w:t>
      </w:r>
      <w:r>
        <w:rPr>
          <w:sz w:val="18"/>
        </w:rPr>
        <w:t>and</w:t>
      </w:r>
      <w:r w:rsidRPr="004744D3">
        <w:rPr>
          <w:sz w:val="18"/>
        </w:rPr>
        <w:t xml:space="preserve"> duties) account for almost 50 percent of fiscal revenue from imports.</w:t>
      </w:r>
      <w:r>
        <w:rPr>
          <w:sz w:val="18"/>
        </w:rPr>
        <w:t xml:space="preserve"> (For more on the results of the TRIST estimation, see Chapter V.)</w:t>
      </w:r>
    </w:p>
  </w:footnote>
  <w:footnote w:id="17">
    <w:p w:rsidR="00FE3E5A" w:rsidRPr="00EC3C09" w:rsidRDefault="00FE3E5A" w:rsidP="00A31296">
      <w:pPr>
        <w:pStyle w:val="NbpageMoens1"/>
        <w:rPr>
          <w:rFonts w:cstheme="minorHAnsi"/>
          <w:szCs w:val="18"/>
        </w:rPr>
      </w:pPr>
      <w:r>
        <w:rPr>
          <w:rStyle w:val="FootnoteReferenceLVL621"/>
          <w:rFonts w:eastAsiaTheme="majorEastAsia"/>
        </w:rPr>
        <w:footnoteRef/>
      </w:r>
      <w:r>
        <w:t xml:space="preserve"> </w:t>
      </w:r>
      <w:r w:rsidRPr="00EC3C09">
        <w:rPr>
          <w:rFonts w:cstheme="minorHAnsi"/>
          <w:szCs w:val="18"/>
        </w:rPr>
        <w:t>This simulation is based on customs administration data for fiscal 1389 (2010),</w:t>
      </w:r>
      <w:r>
        <w:rPr>
          <w:rFonts w:cstheme="minorHAnsi"/>
          <w:szCs w:val="18"/>
        </w:rPr>
        <w:t xml:space="preserve"> and</w:t>
      </w:r>
      <w:r w:rsidRPr="00EC3C09">
        <w:rPr>
          <w:rFonts w:cstheme="minorHAnsi"/>
          <w:szCs w:val="18"/>
        </w:rPr>
        <w:t xml:space="preserve"> includ</w:t>
      </w:r>
      <w:r>
        <w:rPr>
          <w:rFonts w:cstheme="minorHAnsi"/>
          <w:szCs w:val="18"/>
        </w:rPr>
        <w:t>es</w:t>
      </w:r>
      <w:r w:rsidRPr="00EC3C09">
        <w:rPr>
          <w:rFonts w:cstheme="minorHAnsi"/>
          <w:szCs w:val="18"/>
        </w:rPr>
        <w:t xml:space="preserve"> transactions at the tariff line level for 87,657 usable records</w:t>
      </w:r>
      <w:r>
        <w:rPr>
          <w:rFonts w:cstheme="minorHAnsi"/>
          <w:szCs w:val="18"/>
        </w:rPr>
        <w:t xml:space="preserve">, </w:t>
      </w:r>
      <w:r w:rsidRPr="00EC3C09">
        <w:rPr>
          <w:rFonts w:cstheme="minorHAnsi"/>
          <w:szCs w:val="18"/>
        </w:rPr>
        <w:t>based on the Harmonized System nomenclature, 2007</w:t>
      </w:r>
      <w:r>
        <w:rPr>
          <w:rFonts w:cstheme="minorHAnsi"/>
          <w:szCs w:val="18"/>
        </w:rPr>
        <w:t xml:space="preserve">. </w:t>
      </w:r>
    </w:p>
  </w:footnote>
  <w:footnote w:id="18">
    <w:p w:rsidR="00FE3E5A" w:rsidRDefault="00FE3E5A" w:rsidP="009C3E96">
      <w:pPr>
        <w:pStyle w:val="Bodytext"/>
        <w:spacing w:after="0"/>
      </w:pPr>
      <w:r>
        <w:rPr>
          <w:rStyle w:val="FootnoteReference"/>
        </w:rPr>
        <w:footnoteRef/>
      </w:r>
      <w:r>
        <w:t xml:space="preserve"> </w:t>
      </w:r>
      <w:r>
        <w:rPr>
          <w:sz w:val="18"/>
          <w:szCs w:val="18"/>
        </w:rPr>
        <w:t>The United Nations Office on Drugs and Crime estimates that the farm-gate value of opium in fiscal 2010 was 8 percent of GDP, and the overall contribution to GDP (including processing, distribution, etc.) was close to one-third of output.</w:t>
      </w:r>
    </w:p>
    <w:p w:rsidR="00FE3E5A" w:rsidRDefault="00FE3E5A" w:rsidP="009C3E96">
      <w:pPr>
        <w:pStyle w:val="FootnoteText"/>
      </w:pPr>
    </w:p>
  </w:footnote>
  <w:footnote w:id="19">
    <w:p w:rsidR="00FE3E5A" w:rsidRDefault="00FE3E5A" w:rsidP="00794621">
      <w:pPr>
        <w:pStyle w:val="FootnoteText"/>
      </w:pPr>
      <w:r>
        <w:rPr>
          <w:rStyle w:val="FootnoteReference"/>
        </w:rPr>
        <w:footnoteRef/>
      </w:r>
      <w:r>
        <w:t xml:space="preserve"> World Bank 2012,  Transition in Afghanistan (forthcoming)</w:t>
      </w:r>
    </w:p>
  </w:footnote>
  <w:footnote w:id="20">
    <w:p w:rsidR="00FE3E5A" w:rsidRDefault="00FE3E5A" w:rsidP="000350EB">
      <w:pPr>
        <w:spacing w:before="240"/>
        <w:ind w:left="45"/>
        <w:rPr>
          <w:rFonts w:cs="Helv"/>
          <w:color w:val="000000"/>
          <w:szCs w:val="22"/>
        </w:rPr>
      </w:pPr>
      <w:r>
        <w:rPr>
          <w:rStyle w:val="FootnoteReference"/>
        </w:rPr>
        <w:footnoteRef/>
      </w:r>
      <w:r>
        <w:t xml:space="preserve"> </w:t>
      </w:r>
      <w:r>
        <w:rPr>
          <w:rFonts w:cs="Helv"/>
          <w:color w:val="000000"/>
          <w:szCs w:val="22"/>
        </w:rPr>
        <w:t>The civilian wage bill will increase to 9 percent, the non-security O&amp;M expenditure to 4 percent, other operating spending to 2.5 percent, and the core development budget to 10 percent of GDP. (For a deeper discussion see:  “Afghanistan in Transition: Looking Beyond 2014,”</w:t>
      </w:r>
      <w:r w:rsidRPr="000350EB">
        <w:rPr>
          <w:rFonts w:cs="Helv"/>
          <w:color w:val="000000"/>
          <w:szCs w:val="22"/>
        </w:rPr>
        <w:t xml:space="preserve"> </w:t>
      </w:r>
      <w:r>
        <w:rPr>
          <w:rFonts w:cs="Helv"/>
          <w:color w:val="000000"/>
          <w:szCs w:val="22"/>
        </w:rPr>
        <w:t>WB 2012</w:t>
      </w:r>
    </w:p>
    <w:p w:rsidR="00FE3E5A" w:rsidRDefault="00FE3E5A">
      <w:pPr>
        <w:pStyle w:val="FootnoteText"/>
      </w:pPr>
    </w:p>
  </w:footnote>
  <w:footnote w:id="21">
    <w:p w:rsidR="00FE3E5A" w:rsidRDefault="00FE3E5A" w:rsidP="00BD6D9E">
      <w:pPr>
        <w:pStyle w:val="FootnoteText"/>
      </w:pPr>
      <w:r>
        <w:rPr>
          <w:rStyle w:val="FootnoteReference"/>
        </w:rPr>
        <w:footnoteRef/>
      </w:r>
      <w:r>
        <w:t xml:space="preserve"> IMF- World Bank, Debt Sustainability Analysis, 2June 2012</w:t>
      </w:r>
    </w:p>
  </w:footnote>
  <w:footnote w:id="22">
    <w:p w:rsidR="00FE3E5A" w:rsidRPr="00F91BA3" w:rsidRDefault="00FE3E5A" w:rsidP="00FE441F">
      <w:pPr>
        <w:pStyle w:val="FootnoteText"/>
        <w:rPr>
          <w:rFonts w:cstheme="minorHAnsi"/>
        </w:rPr>
      </w:pPr>
      <w:r>
        <w:rPr>
          <w:rStyle w:val="FootnoteReference"/>
        </w:rPr>
        <w:footnoteRef/>
      </w:r>
      <w:r>
        <w:t xml:space="preserve"> </w:t>
      </w:r>
      <w:r w:rsidRPr="00F91BA3">
        <w:rPr>
          <w:rFonts w:cstheme="minorHAnsi"/>
        </w:rPr>
        <w:t>Direct data in WITS starts in 2008</w:t>
      </w:r>
    </w:p>
  </w:footnote>
  <w:footnote w:id="23">
    <w:p w:rsidR="00FE3E5A" w:rsidRDefault="00FE3E5A">
      <w:pPr>
        <w:pStyle w:val="FootnoteText"/>
      </w:pPr>
      <w:r>
        <w:rPr>
          <w:rStyle w:val="FootnoteReference"/>
        </w:rPr>
        <w:footnoteRef/>
      </w:r>
      <w:r>
        <w:rPr>
          <w:i/>
          <w:szCs w:val="22"/>
          <w:lang w:eastAsia="fr-FR"/>
        </w:rPr>
        <w:t xml:space="preserve">  </w:t>
      </w:r>
      <w:r w:rsidRPr="00873531">
        <w:rPr>
          <w:szCs w:val="22"/>
          <w:lang w:eastAsia="fr-FR"/>
        </w:rPr>
        <w:t xml:space="preserve">According to WB calculations using the 2008 </w:t>
      </w:r>
      <w:r w:rsidRPr="00873531">
        <w:rPr>
          <w:szCs w:val="22"/>
        </w:rPr>
        <w:t>National Risk and Vulnerability Assessment</w:t>
      </w:r>
      <w:r w:rsidRPr="00873531">
        <w:rPr>
          <w:szCs w:val="22"/>
          <w:lang w:eastAsia="fr-FR"/>
        </w:rPr>
        <w:t xml:space="preserve"> (NRVA) household data</w:t>
      </w:r>
    </w:p>
  </w:footnote>
  <w:footnote w:id="24">
    <w:p w:rsidR="00FE3E5A" w:rsidRDefault="00FE3E5A" w:rsidP="00A81BDD">
      <w:pPr>
        <w:pStyle w:val="FootnoteText"/>
      </w:pPr>
      <w:r>
        <w:rPr>
          <w:rStyle w:val="FootnoteReference"/>
        </w:rPr>
        <w:footnoteRef/>
      </w:r>
      <w:r>
        <w:t xml:space="preserve"> Opium production is not included in the GDP figures in this section.</w:t>
      </w:r>
    </w:p>
  </w:footnote>
  <w:footnote w:id="25">
    <w:p w:rsidR="00FE3E5A" w:rsidRDefault="00FE3E5A">
      <w:pPr>
        <w:pStyle w:val="FootnoteText"/>
      </w:pPr>
      <w:r>
        <w:rPr>
          <w:rStyle w:val="FootnoteReference"/>
        </w:rPr>
        <w:footnoteRef/>
      </w:r>
      <w:r>
        <w:t xml:space="preserve"> UNODC, Opium Survey, 2011</w:t>
      </w:r>
    </w:p>
  </w:footnote>
  <w:footnote w:id="26">
    <w:p w:rsidR="00FE3E5A" w:rsidRDefault="00FE3E5A" w:rsidP="00C17FAB">
      <w:pPr>
        <w:pStyle w:val="FootnoteText"/>
      </w:pPr>
      <w:r>
        <w:rPr>
          <w:rStyle w:val="FootnoteReference"/>
        </w:rPr>
        <w:footnoteRef/>
      </w:r>
      <w:r>
        <w:t xml:space="preserve"> </w:t>
      </w:r>
      <w:r w:rsidRPr="002860EE">
        <w:rPr>
          <w:rFonts w:asciiTheme="majorHAnsi" w:hAnsiTheme="majorHAnsi"/>
        </w:rPr>
        <w:t>The broken line indicates the world median income</w:t>
      </w:r>
      <w:r>
        <w:rPr>
          <w:rFonts w:asciiTheme="majorHAnsi" w:hAnsiTheme="majorHAnsi"/>
        </w:rPr>
        <w:t>. T</w:t>
      </w:r>
      <w:r w:rsidRPr="002860EE">
        <w:rPr>
          <w:rFonts w:asciiTheme="majorHAnsi" w:hAnsiTheme="majorHAnsi"/>
        </w:rPr>
        <w:t>he curve is an ordinary least-squares (OLS) regression line of the trade-to-GDP ratio on the log of GDP per capita as well as its squared value.</w:t>
      </w:r>
    </w:p>
    <w:p w:rsidR="00FE3E5A" w:rsidRDefault="00FE3E5A" w:rsidP="00C17FAB">
      <w:pPr>
        <w:pStyle w:val="FootnoteText"/>
      </w:pPr>
    </w:p>
  </w:footnote>
  <w:footnote w:id="27">
    <w:p w:rsidR="00FE3E5A" w:rsidRDefault="00FE3E5A" w:rsidP="007C434D">
      <w:pPr>
        <w:pStyle w:val="FootnoteText"/>
      </w:pPr>
      <w:r>
        <w:rPr>
          <w:rStyle w:val="FootnoteReference"/>
        </w:rPr>
        <w:footnoteRef/>
      </w:r>
      <w:r>
        <w:t xml:space="preserve"> </w:t>
      </w:r>
      <w:r w:rsidRPr="00073AC8">
        <w:rPr>
          <w:szCs w:val="22"/>
        </w:rPr>
        <w:t xml:space="preserve">Figure </w:t>
      </w:r>
      <w:r>
        <w:rPr>
          <w:szCs w:val="22"/>
        </w:rPr>
        <w:t>1.10</w:t>
      </w:r>
      <w:r w:rsidRPr="00073AC8">
        <w:rPr>
          <w:szCs w:val="22"/>
        </w:rPr>
        <w:t xml:space="preserve"> applies a gravity model for Afghanistan to </w:t>
      </w:r>
      <w:r>
        <w:rPr>
          <w:szCs w:val="22"/>
        </w:rPr>
        <w:t>indicate the extent to which</w:t>
      </w:r>
      <w:r w:rsidRPr="00073AC8">
        <w:rPr>
          <w:szCs w:val="22"/>
        </w:rPr>
        <w:t xml:space="preserve"> it “over-trades” or “under-trades” with notable export destinations. It plots actual export amounts (divided by 1000, and then converted to log)   earned in those markets against amounts that were predicted by a regression model.</w:t>
      </w:r>
    </w:p>
  </w:footnote>
  <w:footnote w:id="28">
    <w:p w:rsidR="00FE3E5A" w:rsidRPr="00234FC3" w:rsidRDefault="00FE3E5A" w:rsidP="00234FC3">
      <w:pPr>
        <w:pStyle w:val="FootnoteText"/>
        <w:rPr>
          <w:szCs w:val="18"/>
        </w:rPr>
      </w:pPr>
      <w:r>
        <w:rPr>
          <w:rStyle w:val="FootnoteReference"/>
        </w:rPr>
        <w:footnoteRef/>
      </w:r>
      <w:r>
        <w:t xml:space="preserve"> </w:t>
      </w:r>
      <w:r w:rsidRPr="00234FC3">
        <w:rPr>
          <w:szCs w:val="18"/>
        </w:rPr>
        <w:t>A high level of protection on sugar compared with cereals, for instance, may discourage domestic use of sugar and increase the use of substitutes, such as cereal syrups, and restricting market access for sugar. Trade distortions resulting from such disparities can be more severe than those resulting from a slightly higher but balanced overall level of protection.</w:t>
      </w:r>
    </w:p>
  </w:footnote>
  <w:footnote w:id="29">
    <w:p w:rsidR="00FE3E5A" w:rsidRPr="003F3C4F" w:rsidRDefault="00FE3E5A" w:rsidP="00234FC3">
      <w:pPr>
        <w:spacing w:line="240" w:lineRule="auto"/>
        <w:rPr>
          <w:sz w:val="18"/>
          <w:szCs w:val="18"/>
        </w:rPr>
      </w:pPr>
      <w:r>
        <w:rPr>
          <w:rStyle w:val="FootnoteReference"/>
        </w:rPr>
        <w:footnoteRef/>
      </w:r>
      <w:r>
        <w:t xml:space="preserve"> </w:t>
      </w:r>
      <w:r w:rsidRPr="003F3C4F">
        <w:rPr>
          <w:sz w:val="18"/>
          <w:szCs w:val="18"/>
        </w:rPr>
        <w:t>The data used from the NRVA 2008 included 90 food products (staples, meat, fish, beverages, processed food, etc.), 20 goods (soap, toothpaste, detergent, clothes, fuel, mobile phones) and 20 types of services (including personal grooming, doctor fees, education, etc.).</w:t>
      </w:r>
    </w:p>
    <w:p w:rsidR="00FE3E5A" w:rsidRDefault="00FE3E5A" w:rsidP="0014667F">
      <w:pPr>
        <w:pStyle w:val="FootnoteText"/>
      </w:pPr>
    </w:p>
  </w:footnote>
  <w:footnote w:id="30">
    <w:p w:rsidR="00FE3E5A" w:rsidRPr="003A5F9E" w:rsidRDefault="00FE3E5A" w:rsidP="00FA1FE1">
      <w:pPr>
        <w:autoSpaceDE w:val="0"/>
        <w:autoSpaceDN w:val="0"/>
        <w:adjustRightInd w:val="0"/>
        <w:spacing w:after="0" w:line="240" w:lineRule="auto"/>
        <w:rPr>
          <w:rFonts w:cstheme="minorHAnsi"/>
          <w:sz w:val="18"/>
          <w:szCs w:val="18"/>
        </w:rPr>
      </w:pPr>
      <w:r>
        <w:rPr>
          <w:rStyle w:val="FootnoteReference"/>
        </w:rPr>
        <w:footnoteRef/>
      </w:r>
      <w:r>
        <w:t xml:space="preserve"> </w:t>
      </w:r>
      <w:r w:rsidRPr="003A5F9E">
        <w:rPr>
          <w:rFonts w:cstheme="minorHAnsi"/>
          <w:sz w:val="18"/>
          <w:szCs w:val="18"/>
        </w:rPr>
        <w:t xml:space="preserve">The Doing Business methodology </w:t>
      </w:r>
      <w:r>
        <w:rPr>
          <w:rFonts w:cstheme="minorHAnsi"/>
          <w:sz w:val="18"/>
          <w:szCs w:val="18"/>
        </w:rPr>
        <w:t xml:space="preserve">is one of several measures of an investment climate. Other areas </w:t>
      </w:r>
      <w:r w:rsidRPr="003A5F9E">
        <w:rPr>
          <w:rFonts w:cstheme="minorHAnsi"/>
          <w:sz w:val="18"/>
          <w:szCs w:val="18"/>
        </w:rPr>
        <w:t xml:space="preserve">important to a business </w:t>
      </w:r>
      <w:r>
        <w:rPr>
          <w:rFonts w:cstheme="minorHAnsi"/>
          <w:sz w:val="18"/>
          <w:szCs w:val="18"/>
        </w:rPr>
        <w:t xml:space="preserve">are not included, </w:t>
      </w:r>
      <w:r w:rsidRPr="003A5F9E">
        <w:rPr>
          <w:rFonts w:cstheme="minorHAnsi"/>
          <w:sz w:val="18"/>
          <w:szCs w:val="18"/>
        </w:rPr>
        <w:t>such as a country’s proximity to large markets, the quality of its</w:t>
      </w:r>
      <w:r>
        <w:rPr>
          <w:rFonts w:cstheme="minorHAnsi"/>
          <w:sz w:val="18"/>
          <w:szCs w:val="18"/>
        </w:rPr>
        <w:t xml:space="preserve"> infrastructure services (other </w:t>
      </w:r>
      <w:r w:rsidRPr="003A5F9E">
        <w:rPr>
          <w:rFonts w:cstheme="minorHAnsi"/>
          <w:sz w:val="18"/>
          <w:szCs w:val="18"/>
        </w:rPr>
        <w:t>than those related to trading across borders), the security of property</w:t>
      </w:r>
      <w:r>
        <w:rPr>
          <w:rFonts w:cstheme="minorHAnsi"/>
          <w:sz w:val="18"/>
          <w:szCs w:val="18"/>
        </w:rPr>
        <w:t xml:space="preserve">, transparency of </w:t>
      </w:r>
      <w:r w:rsidRPr="003A5F9E">
        <w:rPr>
          <w:rFonts w:cstheme="minorHAnsi"/>
          <w:sz w:val="18"/>
          <w:szCs w:val="18"/>
        </w:rPr>
        <w:t>government procurement, macroeconomic conditions, financial market regulatio</w:t>
      </w:r>
      <w:r>
        <w:rPr>
          <w:rFonts w:cstheme="minorHAnsi"/>
          <w:sz w:val="18"/>
          <w:szCs w:val="18"/>
        </w:rPr>
        <w:t xml:space="preserve">n and the underlying strength of </w:t>
      </w:r>
      <w:r w:rsidRPr="003A5F9E">
        <w:rPr>
          <w:rFonts w:cstheme="minorHAnsi"/>
          <w:sz w:val="18"/>
          <w:szCs w:val="18"/>
        </w:rPr>
        <w:t>institutions</w:t>
      </w:r>
      <w:r>
        <w:rPr>
          <w:rFonts w:cstheme="minorHAnsi"/>
          <w:sz w:val="18"/>
          <w:szCs w:val="18"/>
        </w:rPr>
        <w:t>.  (</w:t>
      </w:r>
      <w:r w:rsidRPr="003A5F9E">
        <w:rPr>
          <w:rFonts w:cstheme="minorHAnsi"/>
          <w:sz w:val="18"/>
          <w:szCs w:val="18"/>
        </w:rPr>
        <w:t>See www.doingbusiness.org</w:t>
      </w:r>
      <w:r>
        <w:rPr>
          <w:rFonts w:cstheme="minorHAnsi"/>
          <w:sz w:val="18"/>
          <w:szCs w:val="18"/>
        </w:rPr>
        <w:t>).</w:t>
      </w:r>
    </w:p>
  </w:footnote>
  <w:footnote w:id="31">
    <w:p w:rsidR="00FE3E5A" w:rsidRPr="00262357" w:rsidRDefault="00FE3E5A" w:rsidP="00FA1FE1">
      <w:pPr>
        <w:autoSpaceDE w:val="0"/>
        <w:autoSpaceDN w:val="0"/>
        <w:adjustRightInd w:val="0"/>
        <w:spacing w:after="0" w:line="240" w:lineRule="auto"/>
      </w:pPr>
      <w:r>
        <w:rPr>
          <w:rStyle w:val="FootnoteReference"/>
        </w:rPr>
        <w:footnoteRef/>
      </w:r>
      <w:r>
        <w:t xml:space="preserve"> </w:t>
      </w:r>
      <w:r w:rsidRPr="00262357">
        <w:rPr>
          <w:rFonts w:cstheme="minorHAnsi"/>
          <w:sz w:val="18"/>
          <w:szCs w:val="18"/>
        </w:rPr>
        <w:t>Improving the</w:t>
      </w:r>
      <w:r>
        <w:rPr>
          <w:rFonts w:cstheme="minorHAnsi"/>
          <w:sz w:val="18"/>
          <w:szCs w:val="18"/>
        </w:rPr>
        <w:t xml:space="preserve"> </w:t>
      </w:r>
      <w:r w:rsidRPr="00262357">
        <w:rPr>
          <w:rFonts w:cstheme="minorHAnsi"/>
          <w:sz w:val="18"/>
          <w:szCs w:val="18"/>
        </w:rPr>
        <w:t>Ease of Doing Business</w:t>
      </w:r>
      <w:r>
        <w:rPr>
          <w:rFonts w:cstheme="minorHAnsi"/>
          <w:sz w:val="18"/>
          <w:szCs w:val="18"/>
        </w:rPr>
        <w:t xml:space="preserve"> </w:t>
      </w:r>
      <w:r w:rsidRPr="00262357">
        <w:rPr>
          <w:rFonts w:cstheme="minorHAnsi"/>
          <w:sz w:val="18"/>
          <w:szCs w:val="18"/>
        </w:rPr>
        <w:t>in Afghanistan</w:t>
      </w:r>
      <w:r>
        <w:rPr>
          <w:rFonts w:cstheme="minorHAnsi"/>
          <w:sz w:val="18"/>
          <w:szCs w:val="18"/>
        </w:rPr>
        <w:t xml:space="preserve"> </w:t>
      </w:r>
      <w:r w:rsidRPr="00262357">
        <w:rPr>
          <w:rFonts w:cstheme="minorHAnsi"/>
          <w:sz w:val="18"/>
          <w:szCs w:val="18"/>
        </w:rPr>
        <w:t>Reform Memorandum</w:t>
      </w:r>
      <w:r>
        <w:rPr>
          <w:rFonts w:cstheme="minorHAnsi"/>
          <w:sz w:val="18"/>
          <w:szCs w:val="18"/>
        </w:rPr>
        <w:t xml:space="preserve">, WB-IFC, </w:t>
      </w:r>
      <w:r w:rsidRPr="00262357">
        <w:rPr>
          <w:rFonts w:cstheme="minorHAnsi"/>
          <w:sz w:val="18"/>
          <w:szCs w:val="18"/>
        </w:rPr>
        <w:t>February 201</w:t>
      </w:r>
      <w:r>
        <w:rPr>
          <w:rFonts w:cstheme="minorHAnsi"/>
          <w:sz w:val="18"/>
          <w:szCs w:val="18"/>
        </w:rPr>
        <w:t>1.</w:t>
      </w:r>
    </w:p>
  </w:footnote>
  <w:footnote w:id="32">
    <w:p w:rsidR="00FE3E5A" w:rsidRPr="007A48DE" w:rsidRDefault="00FE3E5A" w:rsidP="00FA1FE1">
      <w:pPr>
        <w:autoSpaceDE w:val="0"/>
        <w:autoSpaceDN w:val="0"/>
        <w:adjustRightInd w:val="0"/>
        <w:spacing w:after="0" w:line="240" w:lineRule="auto"/>
      </w:pPr>
      <w:r>
        <w:rPr>
          <w:rStyle w:val="FootnoteReference"/>
        </w:rPr>
        <w:footnoteRef/>
      </w:r>
      <w:r>
        <w:t xml:space="preserve"> </w:t>
      </w:r>
      <w:r w:rsidRPr="007A48DE">
        <w:rPr>
          <w:rFonts w:cstheme="minorHAnsi"/>
          <w:sz w:val="18"/>
          <w:szCs w:val="18"/>
        </w:rPr>
        <w:t>The recommendations are based on comparative good pr</w:t>
      </w:r>
      <w:r>
        <w:rPr>
          <w:rFonts w:cstheme="minorHAnsi"/>
          <w:sz w:val="18"/>
          <w:szCs w:val="18"/>
        </w:rPr>
        <w:t xml:space="preserve">actices on investment climate </w:t>
      </w:r>
      <w:r w:rsidRPr="007A48DE">
        <w:rPr>
          <w:rFonts w:cstheme="minorHAnsi"/>
          <w:sz w:val="18"/>
          <w:szCs w:val="18"/>
        </w:rPr>
        <w:t>regulations, and represent the conversations the World</w:t>
      </w:r>
      <w:r>
        <w:rPr>
          <w:rFonts w:cstheme="minorHAnsi"/>
          <w:sz w:val="18"/>
          <w:szCs w:val="18"/>
        </w:rPr>
        <w:t xml:space="preserve"> Bank Group had with government </w:t>
      </w:r>
      <w:r w:rsidRPr="007A48DE">
        <w:rPr>
          <w:rFonts w:cstheme="minorHAnsi"/>
          <w:sz w:val="18"/>
          <w:szCs w:val="18"/>
        </w:rPr>
        <w:t xml:space="preserve">agencies and stakeholders during a World Bank Group mission to Kabul </w:t>
      </w:r>
      <w:r>
        <w:rPr>
          <w:rFonts w:cstheme="minorHAnsi"/>
          <w:sz w:val="18"/>
          <w:szCs w:val="18"/>
        </w:rPr>
        <w:t xml:space="preserve">from </w:t>
      </w:r>
      <w:r w:rsidRPr="007A48DE">
        <w:rPr>
          <w:rFonts w:cstheme="minorHAnsi"/>
          <w:sz w:val="18"/>
          <w:szCs w:val="18"/>
        </w:rPr>
        <w:t xml:space="preserve">September 16-23, </w:t>
      </w:r>
      <w:r>
        <w:rPr>
          <w:rFonts w:cstheme="minorHAnsi"/>
          <w:sz w:val="18"/>
          <w:szCs w:val="18"/>
        </w:rPr>
        <w:t xml:space="preserve">in </w:t>
      </w:r>
      <w:r w:rsidRPr="007A48DE">
        <w:rPr>
          <w:rFonts w:cstheme="minorHAnsi"/>
          <w:sz w:val="18"/>
          <w:szCs w:val="18"/>
        </w:rPr>
        <w:t>2011.</w:t>
      </w:r>
    </w:p>
  </w:footnote>
  <w:footnote w:id="33">
    <w:p w:rsidR="00FE3E5A" w:rsidRPr="007A48DE" w:rsidRDefault="00FE3E5A" w:rsidP="00FA1FE1">
      <w:pPr>
        <w:autoSpaceDE w:val="0"/>
        <w:autoSpaceDN w:val="0"/>
        <w:adjustRightInd w:val="0"/>
        <w:spacing w:after="0" w:line="240" w:lineRule="auto"/>
        <w:rPr>
          <w:rFonts w:cstheme="minorHAnsi"/>
          <w:sz w:val="18"/>
          <w:szCs w:val="18"/>
        </w:rPr>
      </w:pPr>
      <w:r>
        <w:rPr>
          <w:rStyle w:val="FootnoteReference"/>
        </w:rPr>
        <w:footnoteRef/>
      </w:r>
      <w:r>
        <w:t xml:space="preserve"> </w:t>
      </w:r>
      <w:r w:rsidRPr="007A48DE">
        <w:rPr>
          <w:rFonts w:cstheme="minorHAnsi"/>
          <w:sz w:val="18"/>
          <w:szCs w:val="18"/>
        </w:rPr>
        <w:t>The Doing Business data findings are further bolstered by the World Bank Group’s Enterprise Survey, which asked 535 firms to list the most problematic factors for doing business</w:t>
      </w:r>
      <w:r>
        <w:rPr>
          <w:rFonts w:cstheme="minorHAnsi"/>
          <w:sz w:val="18"/>
          <w:szCs w:val="18"/>
        </w:rPr>
        <w:t>:</w:t>
      </w:r>
      <w:r w:rsidRPr="007A48DE">
        <w:rPr>
          <w:rFonts w:cstheme="minorHAnsi"/>
          <w:sz w:val="18"/>
          <w:szCs w:val="18"/>
        </w:rPr>
        <w:t xml:space="preserve"> 53</w:t>
      </w:r>
      <w:r>
        <w:rPr>
          <w:rFonts w:cstheme="minorHAnsi"/>
          <w:sz w:val="18"/>
          <w:szCs w:val="18"/>
        </w:rPr>
        <w:t xml:space="preserve"> percent</w:t>
      </w:r>
      <w:r w:rsidRPr="007A48DE">
        <w:rPr>
          <w:rFonts w:cstheme="minorHAnsi"/>
          <w:sz w:val="18"/>
          <w:szCs w:val="18"/>
        </w:rPr>
        <w:t xml:space="preserve"> identified corruption, 37</w:t>
      </w:r>
      <w:r>
        <w:rPr>
          <w:rFonts w:cstheme="minorHAnsi"/>
          <w:sz w:val="18"/>
          <w:szCs w:val="18"/>
        </w:rPr>
        <w:t xml:space="preserve"> percent</w:t>
      </w:r>
      <w:r w:rsidRPr="007A48DE">
        <w:rPr>
          <w:rFonts w:cstheme="minorHAnsi"/>
          <w:sz w:val="18"/>
          <w:szCs w:val="18"/>
        </w:rPr>
        <w:t xml:space="preserve"> said access to finance, and 30</w:t>
      </w:r>
      <w:r>
        <w:rPr>
          <w:rFonts w:cstheme="minorHAnsi"/>
          <w:sz w:val="18"/>
          <w:szCs w:val="18"/>
        </w:rPr>
        <w:t xml:space="preserve"> percent</w:t>
      </w:r>
      <w:r w:rsidRPr="007A48DE">
        <w:rPr>
          <w:rFonts w:cstheme="minorHAnsi"/>
          <w:sz w:val="18"/>
          <w:szCs w:val="18"/>
        </w:rPr>
        <w:t xml:space="preserve"> pinpointed obtaining a business license and the permitting </w:t>
      </w:r>
      <w:r>
        <w:rPr>
          <w:rFonts w:cstheme="minorHAnsi"/>
          <w:sz w:val="18"/>
          <w:szCs w:val="18"/>
        </w:rPr>
        <w:t>process as major constraints.</w:t>
      </w:r>
    </w:p>
    <w:p w:rsidR="00FE3E5A" w:rsidRPr="007A48DE" w:rsidRDefault="00FE3E5A" w:rsidP="00FA1FE1">
      <w:pPr>
        <w:autoSpaceDE w:val="0"/>
        <w:autoSpaceDN w:val="0"/>
        <w:adjustRightInd w:val="0"/>
        <w:spacing w:after="0" w:line="240" w:lineRule="auto"/>
        <w:rPr>
          <w:rFonts w:cstheme="minorHAnsi"/>
          <w:sz w:val="18"/>
          <w:szCs w:val="18"/>
        </w:rPr>
      </w:pPr>
    </w:p>
  </w:footnote>
  <w:footnote w:id="34">
    <w:p w:rsidR="00FE3E5A" w:rsidRPr="00FC2282" w:rsidRDefault="00FE3E5A" w:rsidP="00FA1FE1">
      <w:pPr>
        <w:autoSpaceDE w:val="0"/>
        <w:autoSpaceDN w:val="0"/>
        <w:adjustRightInd w:val="0"/>
        <w:spacing w:after="0" w:line="240" w:lineRule="auto"/>
        <w:rPr>
          <w:rFonts w:cstheme="minorHAnsi"/>
          <w:bCs/>
          <w:sz w:val="18"/>
          <w:szCs w:val="18"/>
        </w:rPr>
      </w:pPr>
      <w:r>
        <w:rPr>
          <w:rStyle w:val="FootnoteReference"/>
        </w:rPr>
        <w:footnoteRef/>
      </w:r>
      <w:r>
        <w:t xml:space="preserve"> </w:t>
      </w:r>
      <w:r w:rsidRPr="00FC2282">
        <w:rPr>
          <w:rFonts w:cstheme="minorHAnsi"/>
          <w:bCs/>
          <w:sz w:val="18"/>
          <w:szCs w:val="18"/>
        </w:rPr>
        <w:t>The first aspect, measured by the depth of credit information index, includes the coverage, qual</w:t>
      </w:r>
      <w:r>
        <w:rPr>
          <w:rFonts w:cstheme="minorHAnsi"/>
          <w:bCs/>
          <w:sz w:val="18"/>
          <w:szCs w:val="18"/>
        </w:rPr>
        <w:t xml:space="preserve">ity and accessibility of credit </w:t>
      </w:r>
      <w:r w:rsidRPr="00FC2282">
        <w:rPr>
          <w:rFonts w:cstheme="minorHAnsi"/>
          <w:bCs/>
          <w:sz w:val="18"/>
          <w:szCs w:val="18"/>
        </w:rPr>
        <w:t xml:space="preserve">information available through public credit registries and private credit bureaus. The second, measured by </w:t>
      </w:r>
      <w:r>
        <w:rPr>
          <w:rFonts w:cstheme="minorHAnsi"/>
          <w:bCs/>
          <w:sz w:val="18"/>
          <w:szCs w:val="18"/>
        </w:rPr>
        <w:t xml:space="preserve">the strength of legal </w:t>
      </w:r>
      <w:r w:rsidRPr="00FC2282">
        <w:rPr>
          <w:rFonts w:cstheme="minorHAnsi"/>
          <w:bCs/>
          <w:sz w:val="18"/>
          <w:szCs w:val="18"/>
        </w:rPr>
        <w:t>rights index, evaluates the degree to which collateral and bankruptcy laws protect the rights of borrowers and lenders.</w:t>
      </w:r>
    </w:p>
    <w:p w:rsidR="00FE3E5A" w:rsidRDefault="00FE3E5A" w:rsidP="00FA1FE1">
      <w:pPr>
        <w:pStyle w:val="FootnoteText"/>
      </w:pPr>
    </w:p>
  </w:footnote>
  <w:footnote w:id="35">
    <w:p w:rsidR="00FE3E5A" w:rsidRPr="00A02309" w:rsidRDefault="00FE3E5A" w:rsidP="00FA1FE1">
      <w:pPr>
        <w:autoSpaceDE w:val="0"/>
        <w:autoSpaceDN w:val="0"/>
        <w:adjustRightInd w:val="0"/>
        <w:spacing w:after="0" w:line="240" w:lineRule="auto"/>
        <w:rPr>
          <w:rFonts w:cstheme="minorHAnsi"/>
          <w:sz w:val="18"/>
          <w:szCs w:val="18"/>
        </w:rPr>
      </w:pPr>
      <w:r>
        <w:rPr>
          <w:rStyle w:val="FootnoteReference"/>
        </w:rPr>
        <w:footnoteRef/>
      </w:r>
      <w:r>
        <w:t xml:space="preserve"> </w:t>
      </w:r>
      <w:r w:rsidRPr="00A02309">
        <w:rPr>
          <w:rFonts w:cstheme="minorHAnsi"/>
          <w:sz w:val="18"/>
          <w:szCs w:val="18"/>
        </w:rPr>
        <w:t>In Albania and Rwanda, related-party transactions representing more than 5</w:t>
      </w:r>
      <w:r>
        <w:rPr>
          <w:rFonts w:cstheme="minorHAnsi"/>
          <w:sz w:val="18"/>
          <w:szCs w:val="18"/>
        </w:rPr>
        <w:t xml:space="preserve"> percent</w:t>
      </w:r>
      <w:r w:rsidRPr="00A02309">
        <w:rPr>
          <w:rFonts w:cstheme="minorHAnsi"/>
          <w:sz w:val="18"/>
          <w:szCs w:val="18"/>
        </w:rPr>
        <w:t xml:space="preserve"> of </w:t>
      </w:r>
      <w:r>
        <w:rPr>
          <w:rFonts w:cstheme="minorHAnsi"/>
          <w:sz w:val="18"/>
          <w:szCs w:val="18"/>
        </w:rPr>
        <w:t>a</w:t>
      </w:r>
      <w:r w:rsidRPr="00A02309">
        <w:rPr>
          <w:rFonts w:cstheme="minorHAnsi"/>
          <w:sz w:val="18"/>
          <w:szCs w:val="18"/>
        </w:rPr>
        <w:t xml:space="preserve"> company</w:t>
      </w:r>
      <w:r>
        <w:rPr>
          <w:rFonts w:cstheme="minorHAnsi"/>
          <w:sz w:val="18"/>
          <w:szCs w:val="18"/>
        </w:rPr>
        <w:t>’s</w:t>
      </w:r>
      <w:r w:rsidRPr="00A02309">
        <w:rPr>
          <w:rFonts w:cstheme="minorHAnsi"/>
          <w:sz w:val="18"/>
          <w:szCs w:val="18"/>
        </w:rPr>
        <w:t xml:space="preserve"> assets must be approved at a shareholders meeting. If the transactions represent less than 5</w:t>
      </w:r>
      <w:r>
        <w:rPr>
          <w:rFonts w:cstheme="minorHAnsi"/>
          <w:sz w:val="18"/>
          <w:szCs w:val="18"/>
        </w:rPr>
        <w:t xml:space="preserve"> percent</w:t>
      </w:r>
      <w:r w:rsidRPr="00A02309">
        <w:rPr>
          <w:rFonts w:cstheme="minorHAnsi"/>
          <w:sz w:val="18"/>
          <w:szCs w:val="18"/>
        </w:rPr>
        <w:t xml:space="preserve"> of assets, they must be approved by the board of directors. This dual model </w:t>
      </w:r>
      <w:r>
        <w:rPr>
          <w:rFonts w:cstheme="minorHAnsi"/>
          <w:sz w:val="18"/>
          <w:szCs w:val="18"/>
        </w:rPr>
        <w:t>allow</w:t>
      </w:r>
      <w:r w:rsidRPr="00A02309">
        <w:rPr>
          <w:rFonts w:cstheme="minorHAnsi"/>
          <w:sz w:val="18"/>
          <w:szCs w:val="18"/>
        </w:rPr>
        <w:t xml:space="preserve">s </w:t>
      </w:r>
      <w:r>
        <w:rPr>
          <w:rFonts w:cstheme="minorHAnsi"/>
          <w:sz w:val="18"/>
          <w:szCs w:val="18"/>
        </w:rPr>
        <w:t>a</w:t>
      </w:r>
      <w:r w:rsidRPr="00A02309">
        <w:rPr>
          <w:rFonts w:cstheme="minorHAnsi"/>
          <w:sz w:val="18"/>
          <w:szCs w:val="18"/>
        </w:rPr>
        <w:t xml:space="preserve"> company the necessary flexibility to conduct its daily activities, </w:t>
      </w:r>
      <w:r>
        <w:rPr>
          <w:rFonts w:cstheme="minorHAnsi"/>
          <w:sz w:val="18"/>
          <w:szCs w:val="18"/>
        </w:rPr>
        <w:t>and ensures</w:t>
      </w:r>
      <w:r w:rsidRPr="00A02309">
        <w:rPr>
          <w:rFonts w:cstheme="minorHAnsi"/>
          <w:sz w:val="18"/>
          <w:szCs w:val="18"/>
        </w:rPr>
        <w:t xml:space="preserve"> that minority shareholders are involved in major decisions. In the UK, minority shareholder</w:t>
      </w:r>
      <w:r>
        <w:rPr>
          <w:rFonts w:cstheme="minorHAnsi"/>
          <w:sz w:val="18"/>
          <w:szCs w:val="18"/>
        </w:rPr>
        <w:t xml:space="preserve"> approval of</w:t>
      </w:r>
      <w:r w:rsidRPr="00A02309">
        <w:rPr>
          <w:rFonts w:cstheme="minorHAnsi"/>
          <w:sz w:val="18"/>
          <w:szCs w:val="18"/>
        </w:rPr>
        <w:t xml:space="preserve"> such transactions is always required.</w:t>
      </w:r>
    </w:p>
    <w:p w:rsidR="00FE3E5A" w:rsidRPr="00A02309" w:rsidRDefault="00FE3E5A" w:rsidP="00FA1FE1">
      <w:pPr>
        <w:autoSpaceDE w:val="0"/>
        <w:autoSpaceDN w:val="0"/>
        <w:adjustRightInd w:val="0"/>
        <w:spacing w:after="0" w:line="240" w:lineRule="auto"/>
        <w:rPr>
          <w:rFonts w:cstheme="minorHAnsi"/>
          <w:sz w:val="18"/>
          <w:szCs w:val="18"/>
        </w:rPr>
      </w:pPr>
    </w:p>
  </w:footnote>
  <w:footnote w:id="36">
    <w:p w:rsidR="00FE3E5A" w:rsidRPr="003035FF" w:rsidRDefault="00FE3E5A" w:rsidP="00FA1FE1">
      <w:pPr>
        <w:pStyle w:val="FootnoteText"/>
        <w:rPr>
          <w:szCs w:val="18"/>
        </w:rPr>
      </w:pPr>
      <w:r w:rsidRPr="003035FF">
        <w:rPr>
          <w:rStyle w:val="FootnoteReference"/>
          <w:szCs w:val="18"/>
        </w:rPr>
        <w:footnoteRef/>
      </w:r>
      <w:r w:rsidRPr="003035FF">
        <w:rPr>
          <w:szCs w:val="18"/>
        </w:rPr>
        <w:t xml:space="preserve"> </w:t>
      </w:r>
      <w:sdt>
        <w:sdtPr>
          <w:rPr>
            <w:szCs w:val="18"/>
          </w:rPr>
          <w:id w:val="430640084"/>
          <w:citation/>
        </w:sdtPr>
        <w:sdtEndPr/>
        <w:sdtContent>
          <w:r w:rsidRPr="003035FF">
            <w:rPr>
              <w:szCs w:val="18"/>
            </w:rPr>
            <w:fldChar w:fldCharType="begin"/>
          </w:r>
          <w:r w:rsidRPr="003035FF">
            <w:rPr>
              <w:szCs w:val="18"/>
            </w:rPr>
            <w:instrText xml:space="preserve"> CITATION Tyl07 \l 1031 </w:instrText>
          </w:r>
          <w:r w:rsidRPr="003035FF">
            <w:rPr>
              <w:szCs w:val="18"/>
            </w:rPr>
            <w:fldChar w:fldCharType="separate"/>
          </w:r>
          <w:r w:rsidRPr="006D3217">
            <w:rPr>
              <w:noProof/>
              <w:szCs w:val="18"/>
            </w:rPr>
            <w:t>(Biggs, February 2007)</w:t>
          </w:r>
          <w:r w:rsidRPr="003035FF">
            <w:rPr>
              <w:szCs w:val="18"/>
            </w:rPr>
            <w:fldChar w:fldCharType="end"/>
          </w:r>
        </w:sdtContent>
      </w:sdt>
      <w:r w:rsidRPr="003035FF">
        <w:rPr>
          <w:szCs w:val="18"/>
        </w:rPr>
        <w:t xml:space="preserve">; </w:t>
      </w:r>
      <w:sdt>
        <w:sdtPr>
          <w:rPr>
            <w:szCs w:val="18"/>
          </w:rPr>
          <w:id w:val="-68196788"/>
          <w:citation/>
        </w:sdtPr>
        <w:sdtEndPr/>
        <w:sdtContent>
          <w:r w:rsidRPr="003035FF">
            <w:rPr>
              <w:szCs w:val="18"/>
            </w:rPr>
            <w:fldChar w:fldCharType="begin"/>
          </w:r>
          <w:r w:rsidRPr="003035FF">
            <w:rPr>
              <w:szCs w:val="18"/>
            </w:rPr>
            <w:instrText xml:space="preserve"> CITATION Int07 \l 1031 </w:instrText>
          </w:r>
          <w:r w:rsidRPr="003035FF">
            <w:rPr>
              <w:szCs w:val="18"/>
            </w:rPr>
            <w:fldChar w:fldCharType="separate"/>
          </w:r>
          <w:r w:rsidRPr="006D3217">
            <w:rPr>
              <w:noProof/>
              <w:szCs w:val="18"/>
            </w:rPr>
            <w:t>(Bank, September 28, 2007)</w:t>
          </w:r>
          <w:r w:rsidRPr="003035FF">
            <w:rPr>
              <w:szCs w:val="18"/>
            </w:rPr>
            <w:fldChar w:fldCharType="end"/>
          </w:r>
        </w:sdtContent>
      </w:sdt>
    </w:p>
  </w:footnote>
  <w:footnote w:id="37">
    <w:p w:rsidR="00FE3E5A" w:rsidRPr="004F15D1" w:rsidRDefault="00FE3E5A" w:rsidP="00FA1FE1">
      <w:pPr>
        <w:pStyle w:val="FootnoteText"/>
      </w:pPr>
      <w:r>
        <w:rPr>
          <w:rStyle w:val="FootnoteReference"/>
        </w:rPr>
        <w:footnoteRef/>
      </w:r>
      <w:r>
        <w:t xml:space="preserve"> </w:t>
      </w:r>
      <w:r w:rsidRPr="004F15D1">
        <w:rPr>
          <w:rFonts w:ascii="Calibri" w:eastAsia="Times New Roman" w:hAnsi="Calibri" w:cs="Times New Roman"/>
          <w:lang w:eastAsia="de-DE"/>
        </w:rPr>
        <w:t xml:space="preserve">UNDP/Altai </w:t>
      </w:r>
      <w:r>
        <w:rPr>
          <w:rFonts w:ascii="Calibri" w:eastAsia="Times New Roman" w:hAnsi="Calibri" w:cs="Times New Roman"/>
          <w:lang w:eastAsia="de-DE"/>
        </w:rPr>
        <w:t>2004.</w:t>
      </w:r>
    </w:p>
  </w:footnote>
  <w:footnote w:id="38">
    <w:p w:rsidR="00FE3E5A" w:rsidRPr="00752B60" w:rsidRDefault="00FE3E5A" w:rsidP="00FA1FE1">
      <w:pPr>
        <w:spacing w:after="0" w:line="240" w:lineRule="auto"/>
        <w:rPr>
          <w:rFonts w:cs="Calibri"/>
          <w:sz w:val="18"/>
          <w:szCs w:val="18"/>
        </w:rPr>
      </w:pPr>
      <w:r w:rsidRPr="00752B60">
        <w:rPr>
          <w:rFonts w:cs="Calibri"/>
          <w:sz w:val="16"/>
          <w:szCs w:val="16"/>
        </w:rPr>
        <w:footnoteRef/>
      </w:r>
      <w:r w:rsidRPr="004F2B01">
        <w:rPr>
          <w:rFonts w:cs="Calibri"/>
          <w:sz w:val="18"/>
          <w:szCs w:val="18"/>
        </w:rPr>
        <w:t xml:space="preserve"> </w:t>
      </w:r>
      <w:r w:rsidRPr="00752B60">
        <w:rPr>
          <w:rFonts w:cs="Calibri"/>
          <w:sz w:val="18"/>
          <w:szCs w:val="18"/>
        </w:rPr>
        <w:t>National Agricultural Development Framework,</w:t>
      </w:r>
      <w:r>
        <w:rPr>
          <w:rFonts w:cs="Calibri"/>
          <w:sz w:val="18"/>
          <w:szCs w:val="18"/>
        </w:rPr>
        <w:t xml:space="preserve"> Economic Regeneration Program</w:t>
      </w:r>
      <w:r w:rsidRPr="00752B60">
        <w:rPr>
          <w:rFonts w:cs="Calibri"/>
          <w:sz w:val="18"/>
          <w:szCs w:val="18"/>
        </w:rPr>
        <w:t xml:space="preserve">, April 2009. It should be noted that this figure includes textile products such </w:t>
      </w:r>
      <w:r>
        <w:rPr>
          <w:rFonts w:cs="Calibri"/>
          <w:sz w:val="18"/>
          <w:szCs w:val="18"/>
        </w:rPr>
        <w:t xml:space="preserve">as </w:t>
      </w:r>
      <w:r w:rsidRPr="00752B60">
        <w:rPr>
          <w:rFonts w:cs="Calibri"/>
          <w:sz w:val="18"/>
          <w:szCs w:val="18"/>
        </w:rPr>
        <w:t>wool and leather, a</w:t>
      </w:r>
      <w:r>
        <w:rPr>
          <w:rFonts w:cs="Calibri"/>
          <w:sz w:val="18"/>
          <w:szCs w:val="18"/>
        </w:rPr>
        <w:t>nd</w:t>
      </w:r>
      <w:r w:rsidRPr="00752B60">
        <w:rPr>
          <w:rFonts w:cs="Calibri"/>
          <w:sz w:val="18"/>
          <w:szCs w:val="18"/>
        </w:rPr>
        <w:t xml:space="preserve"> carpets </w:t>
      </w:r>
      <w:r>
        <w:rPr>
          <w:rFonts w:cs="Calibri"/>
          <w:sz w:val="18"/>
          <w:szCs w:val="18"/>
        </w:rPr>
        <w:t>that</w:t>
      </w:r>
      <w:r w:rsidRPr="00752B60">
        <w:rPr>
          <w:rFonts w:cs="Calibri"/>
          <w:sz w:val="18"/>
          <w:szCs w:val="18"/>
        </w:rPr>
        <w:t xml:space="preserve"> are considered </w:t>
      </w:r>
      <w:r>
        <w:rPr>
          <w:rFonts w:cs="Calibri"/>
          <w:sz w:val="18"/>
          <w:szCs w:val="18"/>
        </w:rPr>
        <w:t>“</w:t>
      </w:r>
      <w:r w:rsidRPr="00752B60">
        <w:rPr>
          <w:rFonts w:cs="Calibri"/>
          <w:sz w:val="18"/>
          <w:szCs w:val="18"/>
        </w:rPr>
        <w:t>agricultural</w:t>
      </w:r>
      <w:r>
        <w:rPr>
          <w:rFonts w:cs="Calibri"/>
          <w:sz w:val="18"/>
          <w:szCs w:val="18"/>
        </w:rPr>
        <w:t>”</w:t>
      </w:r>
      <w:r w:rsidRPr="00752B60">
        <w:rPr>
          <w:rFonts w:cs="Calibri"/>
          <w:sz w:val="18"/>
          <w:szCs w:val="18"/>
        </w:rPr>
        <w:t xml:space="preserve"> under the classification developed by MAIL.</w:t>
      </w:r>
    </w:p>
  </w:footnote>
  <w:footnote w:id="39">
    <w:p w:rsidR="00FE3E5A" w:rsidRPr="00752B60" w:rsidRDefault="00FE3E5A" w:rsidP="00FA1FE1">
      <w:pPr>
        <w:pStyle w:val="FootnoteText"/>
        <w:rPr>
          <w:szCs w:val="18"/>
        </w:rPr>
      </w:pPr>
      <w:r w:rsidRPr="00752B60">
        <w:rPr>
          <w:rStyle w:val="FootnoteReference"/>
          <w:szCs w:val="18"/>
        </w:rPr>
        <w:footnoteRef/>
      </w:r>
      <w:r>
        <w:rPr>
          <w:b/>
          <w:bCs/>
          <w:noProof/>
          <w:szCs w:val="18"/>
        </w:rPr>
        <w:t xml:space="preserve"> </w:t>
      </w:r>
      <w:r w:rsidRPr="005069A2">
        <w:rPr>
          <w:bCs/>
          <w:noProof/>
          <w:szCs w:val="18"/>
        </w:rPr>
        <w:t>Word Bank, 2011</w:t>
      </w:r>
    </w:p>
  </w:footnote>
  <w:footnote w:id="40">
    <w:p w:rsidR="00FE3E5A" w:rsidRDefault="00FE3E5A" w:rsidP="00FA1FE1">
      <w:pPr>
        <w:pStyle w:val="FootnoteText"/>
      </w:pPr>
      <w:r>
        <w:rPr>
          <w:rStyle w:val="FootnoteReference"/>
        </w:rPr>
        <w:footnoteRef/>
      </w:r>
      <w:r>
        <w:t xml:space="preserve"> World Bank, 2011</w:t>
      </w:r>
    </w:p>
  </w:footnote>
  <w:footnote w:id="41">
    <w:p w:rsidR="00FE3E5A" w:rsidRDefault="00FE3E5A" w:rsidP="00FA1FE1">
      <w:pPr>
        <w:pStyle w:val="FootnoteText"/>
        <w:rPr>
          <w:szCs w:val="18"/>
        </w:rPr>
      </w:pPr>
      <w:r>
        <w:rPr>
          <w:rStyle w:val="FootnoteReference"/>
        </w:rPr>
        <w:footnoteRef/>
      </w:r>
      <w:r>
        <w:t xml:space="preserve"> </w:t>
      </w:r>
      <w:r>
        <w:rPr>
          <w:szCs w:val="18"/>
        </w:rPr>
        <w:t>Over 600,000 farmers produce horticultural products in Afghanistan (FAO agriculture surveys, 2003). Of these products, only five types of fruit and vegetables represent 90 percent of the area cultivated, which indicates a need for crop diversification. Afghanistan’s climate is ideal for such diversification and there is great investment potential for the private sector if it is willing to take full control of the production, processing and distribution steps required.</w:t>
      </w:r>
    </w:p>
  </w:footnote>
  <w:footnote w:id="42">
    <w:p w:rsidR="00FE3E5A" w:rsidRDefault="00FE3E5A" w:rsidP="00FA1FE1">
      <w:pPr>
        <w:pStyle w:val="FootnoteText"/>
      </w:pPr>
      <w:r>
        <w:rPr>
          <w:rStyle w:val="FootnoteReference"/>
        </w:rPr>
        <w:footnoteRef/>
      </w:r>
      <w:r>
        <w:t xml:space="preserve"> </w:t>
      </w:r>
      <w:r w:rsidRPr="00157B67">
        <w:rPr>
          <w:rFonts w:eastAsia="Times New Roman"/>
          <w:lang w:eastAsia="de-DE"/>
        </w:rPr>
        <w:t>UNDP/Altai Consulting Market Sector Assessment in Horticulture (Phase 1, Market Research, June 2004</w:t>
      </w:r>
      <w:r>
        <w:rPr>
          <w:rFonts w:eastAsia="Times New Roman"/>
          <w:lang w:eastAsia="de-DE"/>
        </w:rPr>
        <w:t>.</w:t>
      </w:r>
    </w:p>
  </w:footnote>
  <w:footnote w:id="43">
    <w:p w:rsidR="00FE3E5A" w:rsidRDefault="00FE3E5A" w:rsidP="00FA1FE1">
      <w:pPr>
        <w:pStyle w:val="FootnoteText"/>
      </w:pPr>
      <w:r>
        <w:rPr>
          <w:rStyle w:val="FootnoteReference"/>
        </w:rPr>
        <w:footnoteRef/>
      </w:r>
      <w:r>
        <w:t xml:space="preserve"> </w:t>
      </w:r>
      <w:r>
        <w:rPr>
          <w:rFonts w:ascii="Calibri" w:eastAsia="Times New Roman" w:hAnsi="Calibri" w:cs="Times New Roman"/>
          <w:lang w:eastAsia="de-DE"/>
        </w:rPr>
        <w:t>(UNDP/Altai Consulting Market Sector Assessment in Horticulture (Phase 2- 3, Feasibility studies and Business Plans), August 2004)</w:t>
      </w:r>
    </w:p>
  </w:footnote>
  <w:footnote w:id="44">
    <w:p w:rsidR="00FE3E5A" w:rsidRPr="00964A6B" w:rsidRDefault="00FE3E5A" w:rsidP="00FA1FE1">
      <w:pPr>
        <w:spacing w:after="0" w:line="240" w:lineRule="auto"/>
        <w:rPr>
          <w:sz w:val="18"/>
          <w:szCs w:val="18"/>
        </w:rPr>
      </w:pPr>
      <w:r w:rsidRPr="00964A6B">
        <w:rPr>
          <w:rStyle w:val="FootnoteReference"/>
          <w:sz w:val="18"/>
          <w:szCs w:val="18"/>
        </w:rPr>
        <w:footnoteRef/>
      </w:r>
      <w:r w:rsidRPr="00964A6B">
        <w:rPr>
          <w:sz w:val="18"/>
          <w:szCs w:val="18"/>
        </w:rPr>
        <w:t xml:space="preserve"> </w:t>
      </w:r>
      <w:r w:rsidRPr="00964A6B">
        <w:rPr>
          <w:rFonts w:cs="Calibri"/>
          <w:sz w:val="18"/>
          <w:szCs w:val="18"/>
        </w:rPr>
        <w:t>This section draws on the Policy Framework and Road Map for Afghanistan’s Gemstone Sector 2011-14 developed by MOCI.</w:t>
      </w:r>
    </w:p>
  </w:footnote>
  <w:footnote w:id="45">
    <w:p w:rsidR="00FE3E5A" w:rsidRPr="00964A6B" w:rsidRDefault="00FE3E5A" w:rsidP="00FA1FE1">
      <w:pPr>
        <w:overflowPunct w:val="0"/>
        <w:autoSpaceDE w:val="0"/>
        <w:autoSpaceDN w:val="0"/>
        <w:adjustRightInd w:val="0"/>
        <w:spacing w:after="0" w:line="240" w:lineRule="auto"/>
        <w:textAlignment w:val="baseline"/>
        <w:rPr>
          <w:rFonts w:cs="Calibri"/>
          <w:sz w:val="18"/>
          <w:szCs w:val="18"/>
        </w:rPr>
      </w:pPr>
      <w:r>
        <w:rPr>
          <w:rStyle w:val="FootnoteReference"/>
        </w:rPr>
        <w:footnoteRef/>
      </w:r>
      <w:r>
        <w:t xml:space="preserve"> </w:t>
      </w:r>
      <w:r w:rsidRPr="00964A6B">
        <w:rPr>
          <w:rFonts w:cs="Calibri"/>
          <w:sz w:val="18"/>
          <w:szCs w:val="18"/>
        </w:rPr>
        <w:t>It is difficult to establish the size of the Afghan gemstone market because there is limited export data and smuggling.  Gemstone exports are not included in the CSO’s Statistical Yearbooks. The estimates on how much is effectively exported illegally vary but range from 90 to 99 per cent for lapis lazuli, and from 98 to 100 for all other gemstones.</w:t>
      </w:r>
    </w:p>
    <w:p w:rsidR="00FE3E5A" w:rsidRDefault="00FE3E5A" w:rsidP="00FA1FE1">
      <w:pPr>
        <w:spacing w:after="0"/>
      </w:pPr>
      <w:r w:rsidRPr="00964A6B">
        <w:rPr>
          <w:rFonts w:cs="Calibri"/>
          <w:sz w:val="18"/>
          <w:szCs w:val="18"/>
        </w:rPr>
        <w:t>ASMED Gemstone Sector Strategy, May 2009</w:t>
      </w:r>
      <w:r>
        <w:rPr>
          <w:rFonts w:cs="Calibri"/>
          <w:sz w:val="18"/>
          <w:szCs w:val="18"/>
        </w:rPr>
        <w:t>.</w:t>
      </w:r>
    </w:p>
  </w:footnote>
  <w:footnote w:id="46">
    <w:p w:rsidR="00FE3E5A" w:rsidRDefault="00FE3E5A" w:rsidP="00FA1FE1">
      <w:pPr>
        <w:autoSpaceDE w:val="0"/>
        <w:autoSpaceDN w:val="0"/>
        <w:adjustRightInd w:val="0"/>
        <w:spacing w:after="0"/>
      </w:pPr>
      <w:r>
        <w:rPr>
          <w:rStyle w:val="FootnoteReference"/>
        </w:rPr>
        <w:footnoteRef/>
      </w:r>
      <w:r>
        <w:t xml:space="preserve"> </w:t>
      </w:r>
      <w:r w:rsidRPr="00964A6B">
        <w:rPr>
          <w:rFonts w:cs="Calibri"/>
          <w:sz w:val="18"/>
          <w:szCs w:val="18"/>
        </w:rPr>
        <w:t>Sibley International Corp., Assessment of the Afghanistan Gemstone Industry. DAI/USAID June 2007</w:t>
      </w:r>
      <w:r>
        <w:t>.</w:t>
      </w:r>
    </w:p>
  </w:footnote>
  <w:footnote w:id="47">
    <w:p w:rsidR="00FE3E5A" w:rsidRDefault="00FE3E5A" w:rsidP="00FA1FE1">
      <w:pPr>
        <w:pStyle w:val="FootnoteText"/>
      </w:pPr>
      <w:r>
        <w:rPr>
          <w:rStyle w:val="FootnoteReference"/>
        </w:rPr>
        <w:footnoteRef/>
      </w:r>
      <w:r>
        <w:t xml:space="preserve"> </w:t>
      </w:r>
      <w:r>
        <w:rPr>
          <w:rFonts w:cs="Calibri"/>
        </w:rPr>
        <w:t>Altai Consulting, USAID-DAI ASMED, Gemstones, May 2007.</w:t>
      </w:r>
    </w:p>
  </w:footnote>
  <w:footnote w:id="48">
    <w:p w:rsidR="00FE3E5A" w:rsidRPr="00822E9C" w:rsidRDefault="00FE3E5A" w:rsidP="00FA1FE1">
      <w:pPr>
        <w:pStyle w:val="FootnoteText"/>
      </w:pPr>
      <w:r>
        <w:rPr>
          <w:rStyle w:val="FootnoteReference"/>
        </w:rPr>
        <w:footnoteRef/>
      </w:r>
      <w:r>
        <w:t xml:space="preserve"> </w:t>
      </w:r>
      <w:r w:rsidRPr="00CC49A5">
        <w:rPr>
          <w:rFonts w:cs="Calibri"/>
          <w:szCs w:val="18"/>
        </w:rPr>
        <w:t>Afghanistan’s Gemstone Sector</w:t>
      </w:r>
      <w:r>
        <w:rPr>
          <w:rFonts w:cs="Calibri"/>
          <w:szCs w:val="18"/>
        </w:rPr>
        <w:t xml:space="preserve"> Policy Framework and Roadmap 2011-14, MOCI.</w:t>
      </w:r>
    </w:p>
  </w:footnote>
  <w:footnote w:id="49">
    <w:p w:rsidR="00FE3E5A" w:rsidRPr="00AB34E6" w:rsidRDefault="00FE3E5A" w:rsidP="00FA1FE1">
      <w:pPr>
        <w:spacing w:after="0" w:line="240" w:lineRule="auto"/>
        <w:rPr>
          <w:rFonts w:cs="Calibri"/>
          <w:sz w:val="18"/>
          <w:szCs w:val="18"/>
        </w:rPr>
      </w:pPr>
      <w:r w:rsidRPr="0045465A">
        <w:rPr>
          <w:rStyle w:val="FootnoteReference"/>
        </w:rPr>
        <w:footnoteRef/>
      </w:r>
      <w:r w:rsidRPr="0045465A">
        <w:rPr>
          <w:rStyle w:val="FootnoteReference"/>
        </w:rPr>
        <w:t xml:space="preserve"> </w:t>
      </w:r>
      <w:r w:rsidRPr="00AB34E6">
        <w:rPr>
          <w:rFonts w:cs="Calibri"/>
          <w:sz w:val="18"/>
          <w:szCs w:val="18"/>
        </w:rPr>
        <w:t>An Analysis of Business Opportunities within Afghanistan’s Carpet Sector, The McCord Group, May 2007</w:t>
      </w:r>
      <w:r>
        <w:rPr>
          <w:rFonts w:cs="Calibri"/>
          <w:sz w:val="18"/>
          <w:szCs w:val="18"/>
        </w:rPr>
        <w:t>.</w:t>
      </w:r>
    </w:p>
  </w:footnote>
  <w:footnote w:id="50">
    <w:p w:rsidR="00FE3E5A" w:rsidRPr="00AB34E6" w:rsidRDefault="00FE3E5A" w:rsidP="00FA1FE1">
      <w:pPr>
        <w:spacing w:after="0" w:line="240" w:lineRule="auto"/>
        <w:rPr>
          <w:rFonts w:ascii="Calibri" w:hAnsi="Calibri" w:cs="Calibri"/>
          <w:sz w:val="18"/>
          <w:szCs w:val="18"/>
        </w:rPr>
      </w:pPr>
      <w:r w:rsidRPr="0045465A">
        <w:rPr>
          <w:rStyle w:val="FootnoteReference"/>
        </w:rPr>
        <w:footnoteRef/>
      </w:r>
      <w:r w:rsidRPr="00AB34E6">
        <w:rPr>
          <w:rFonts w:ascii="Calibri" w:hAnsi="Calibri" w:cs="Calibri"/>
          <w:sz w:val="18"/>
          <w:szCs w:val="18"/>
        </w:rPr>
        <w:t xml:space="preserve"> Global Industry Analysts, Inc., 2010</w:t>
      </w:r>
      <w:r>
        <w:rPr>
          <w:rFonts w:ascii="Calibri" w:hAnsi="Calibri" w:cs="Calibri"/>
          <w:sz w:val="18"/>
          <w:szCs w:val="18"/>
        </w:rPr>
        <w:t>.</w:t>
      </w:r>
    </w:p>
    <w:p w:rsidR="00FE3E5A" w:rsidRDefault="00FE3E5A" w:rsidP="00FA1FE1"/>
  </w:footnote>
  <w:footnote w:id="51">
    <w:p w:rsidR="00FE3E5A" w:rsidRDefault="00FE3E5A" w:rsidP="00FA1FE1">
      <w:pPr>
        <w:pStyle w:val="FootnoteText"/>
      </w:pPr>
      <w:r>
        <w:rPr>
          <w:rStyle w:val="FootnoteReference"/>
        </w:rPr>
        <w:footnoteRef/>
      </w:r>
      <w:r>
        <w:t xml:space="preserve"> </w:t>
      </w:r>
      <w:r w:rsidRPr="00F118B7">
        <w:rPr>
          <w:rFonts w:cstheme="minorHAnsi"/>
        </w:rPr>
        <w:t>Ministry of Commerce and Industry, SME Strategy, DAI, USAID, November 2009</w:t>
      </w:r>
      <w:r>
        <w:rPr>
          <w:rFonts w:cstheme="minorHAnsi"/>
        </w:rPr>
        <w:t>.</w:t>
      </w:r>
    </w:p>
  </w:footnote>
  <w:footnote w:id="52">
    <w:p w:rsidR="00FE3E5A" w:rsidRDefault="00FE3E5A" w:rsidP="0067799D">
      <w:pPr>
        <w:jc w:val="left"/>
      </w:pPr>
      <w:r>
        <w:rPr>
          <w:rStyle w:val="FootnoteReference"/>
        </w:rPr>
        <w:footnoteRef/>
      </w:r>
      <w:r>
        <w:t xml:space="preserve"> </w:t>
      </w:r>
      <w:r w:rsidRPr="001D638C">
        <w:rPr>
          <w:sz w:val="18"/>
          <w:lang w:val="en-GB"/>
        </w:rPr>
        <w:t xml:space="preserve">Detailed breakdown of the cost and time associated with complying with import and export formalities are not available for Afghanistan’s transit corridors.  In view of the importance of these transit corridors to Afghanistan, time-release studies (from the time goods reach the gateway port to the time taken to reach final destinations in Afghanistan) </w:t>
      </w:r>
      <w:r>
        <w:rPr>
          <w:sz w:val="18"/>
          <w:lang w:val="en-GB"/>
        </w:rPr>
        <w:t xml:space="preserve">could inform policy making.  </w:t>
      </w:r>
      <w:r w:rsidRPr="001D638C">
        <w:rPr>
          <w:sz w:val="18"/>
          <w:lang w:val="en-GB"/>
        </w:rPr>
        <w:t xml:space="preserve"> Time release studies are undertaken to measure the time taken for complying with the procedural requirements for the release of imported goods to the domestic trader/customs broker/ customs agent from the arrival of goods at the port/airport/ and inland borders.  In the case of exported goods, the time taken when exported goods enter customs controls to the departure</w:t>
      </w:r>
      <w:r>
        <w:rPr>
          <w:sz w:val="18"/>
          <w:lang w:val="en-GB"/>
        </w:rPr>
        <w:t xml:space="preserve"> </w:t>
      </w:r>
      <w:r w:rsidRPr="001D638C">
        <w:rPr>
          <w:sz w:val="18"/>
          <w:lang w:val="en-GB"/>
        </w:rPr>
        <w:t>(defined as the time of vessel or aircraft departure when the exported cargo leaves the customs control.</w:t>
      </w:r>
    </w:p>
  </w:footnote>
  <w:footnote w:id="53">
    <w:p w:rsidR="00FE3E5A" w:rsidRPr="004E438D" w:rsidRDefault="00FE3E5A" w:rsidP="00234FC3">
      <w:pPr>
        <w:autoSpaceDE w:val="0"/>
        <w:autoSpaceDN w:val="0"/>
        <w:adjustRightInd w:val="0"/>
        <w:spacing w:after="0"/>
        <w:rPr>
          <w:rFonts w:cs="Times New Roman"/>
          <w:sz w:val="18"/>
          <w:szCs w:val="18"/>
          <w:lang w:val="en-GB"/>
        </w:rPr>
      </w:pPr>
      <w:r w:rsidRPr="00B35B49">
        <w:rPr>
          <w:rStyle w:val="FootnoteReference"/>
        </w:rPr>
        <w:footnoteRef/>
      </w:r>
      <w:r w:rsidRPr="00B35B49">
        <w:rPr>
          <w:rFonts w:cs="Times New Roman"/>
          <w:lang w:val="en-GB"/>
        </w:rPr>
        <w:t xml:space="preserve"> </w:t>
      </w:r>
      <w:r w:rsidRPr="004E438D">
        <w:rPr>
          <w:rFonts w:cs="Times New Roman"/>
          <w:sz w:val="18"/>
          <w:szCs w:val="18"/>
          <w:lang w:val="en-GB"/>
        </w:rPr>
        <w:t>Including the Asian Development Bank, D</w:t>
      </w:r>
      <w:r>
        <w:rPr>
          <w:rFonts w:cs="Times New Roman"/>
          <w:sz w:val="18"/>
          <w:szCs w:val="18"/>
          <w:lang w:val="en-GB"/>
        </w:rPr>
        <w:t>F</w:t>
      </w:r>
      <w:r w:rsidRPr="004E438D">
        <w:rPr>
          <w:rFonts w:cs="Times New Roman"/>
          <w:sz w:val="18"/>
          <w:szCs w:val="18"/>
          <w:lang w:val="en-GB"/>
        </w:rPr>
        <w:t xml:space="preserve">ID, the EU </w:t>
      </w:r>
      <w:r>
        <w:rPr>
          <w:rFonts w:cs="Times New Roman"/>
          <w:sz w:val="18"/>
          <w:szCs w:val="18"/>
          <w:lang w:val="en-GB"/>
        </w:rPr>
        <w:t>Commission, Governments</w:t>
      </w:r>
      <w:r w:rsidRPr="004E438D">
        <w:rPr>
          <w:rFonts w:cs="Times New Roman"/>
          <w:sz w:val="18"/>
          <w:szCs w:val="18"/>
          <w:lang w:val="en-GB"/>
        </w:rPr>
        <w:t xml:space="preserve"> of Germany, Italy, Iran, Japan, Pakistan, and the USA, USAID</w:t>
      </w:r>
      <w:r>
        <w:rPr>
          <w:rFonts w:cs="Times New Roman"/>
          <w:sz w:val="18"/>
          <w:szCs w:val="18"/>
          <w:lang w:val="en-GB"/>
        </w:rPr>
        <w:t>,</w:t>
      </w:r>
      <w:r w:rsidRPr="004E438D">
        <w:rPr>
          <w:rFonts w:cs="Times New Roman"/>
          <w:sz w:val="18"/>
          <w:szCs w:val="18"/>
          <w:lang w:val="en-GB"/>
        </w:rPr>
        <w:t xml:space="preserve"> and the World Bank.</w:t>
      </w:r>
    </w:p>
  </w:footnote>
  <w:footnote w:id="54">
    <w:p w:rsidR="00FE3E5A" w:rsidRPr="007227F3" w:rsidRDefault="00FE3E5A" w:rsidP="001377E2">
      <w:pPr>
        <w:pStyle w:val="FootnoteText"/>
      </w:pPr>
      <w:r w:rsidRPr="007227F3">
        <w:rPr>
          <w:rStyle w:val="FootnoteReference"/>
        </w:rPr>
        <w:footnoteRef/>
      </w:r>
      <w:r w:rsidRPr="007227F3">
        <w:t xml:space="preserve"> </w:t>
      </w:r>
      <w:r w:rsidRPr="007227F3">
        <w:rPr>
          <w:lang w:val="en-GB"/>
        </w:rPr>
        <w:t>The W</w:t>
      </w:r>
      <w:r>
        <w:rPr>
          <w:lang w:val="en-GB"/>
        </w:rPr>
        <w:t>orld Bank’s</w:t>
      </w:r>
      <w:r w:rsidRPr="007227F3">
        <w:rPr>
          <w:lang w:val="en-GB"/>
        </w:rPr>
        <w:t xml:space="preserve"> </w:t>
      </w:r>
      <w:r>
        <w:rPr>
          <w:lang w:val="en-GB"/>
        </w:rPr>
        <w:t>c</w:t>
      </w:r>
      <w:r w:rsidRPr="007227F3">
        <w:rPr>
          <w:lang w:val="en-GB"/>
        </w:rPr>
        <w:t>ustoms projects are the Emergency Customs Modernisation and Trade Facilitation Project (ECMTFP), and the Second Customs Reform and Trade Facilitation Project (SCRTFP).</w:t>
      </w:r>
    </w:p>
  </w:footnote>
  <w:footnote w:id="55">
    <w:p w:rsidR="00FE3E5A" w:rsidRPr="007227F3" w:rsidRDefault="00FE3E5A" w:rsidP="001377E2">
      <w:pPr>
        <w:pStyle w:val="FootnoteText"/>
        <w:jc w:val="left"/>
      </w:pPr>
      <w:r w:rsidRPr="007227F3">
        <w:rPr>
          <w:rStyle w:val="FootnoteReference"/>
        </w:rPr>
        <w:footnoteRef/>
      </w:r>
      <w:r w:rsidRPr="007227F3">
        <w:t xml:space="preserve"> This represents the total salary costs of </w:t>
      </w:r>
      <w:r>
        <w:t xml:space="preserve">the </w:t>
      </w:r>
      <w:r w:rsidRPr="007227F3">
        <w:t>ACD divided by its number of employees, and may include social and other contributions which are not immediately paid to staff.</w:t>
      </w:r>
    </w:p>
  </w:footnote>
  <w:footnote w:id="56">
    <w:p w:rsidR="00FE3E5A" w:rsidRPr="007227F3" w:rsidRDefault="00FE3E5A" w:rsidP="001377E2">
      <w:pPr>
        <w:pStyle w:val="FootnoteText"/>
        <w:jc w:val="left"/>
      </w:pPr>
      <w:r w:rsidRPr="007227F3">
        <w:rPr>
          <w:rStyle w:val="FootnoteReference"/>
        </w:rPr>
        <w:footnoteRef/>
      </w:r>
      <w:r w:rsidRPr="007227F3">
        <w:t xml:space="preserve"> This cost is based on the ratio between the total running cost of </w:t>
      </w:r>
      <w:r>
        <w:t>the ACD</w:t>
      </w:r>
      <w:r w:rsidRPr="007227F3">
        <w:t xml:space="preserve"> and the total number of declarations processed, which</w:t>
      </w:r>
      <w:r>
        <w:t xml:space="preserve"> is</w:t>
      </w:r>
      <w:r w:rsidRPr="007227F3">
        <w:t xml:space="preserve"> considered an output of the </w:t>
      </w:r>
      <w:r>
        <w:t>c</w:t>
      </w:r>
      <w:r w:rsidRPr="007227F3">
        <w:t>ustoms administration.</w:t>
      </w:r>
    </w:p>
  </w:footnote>
  <w:footnote w:id="57">
    <w:p w:rsidR="00FE3E5A" w:rsidRPr="007227F3" w:rsidRDefault="00FE3E5A" w:rsidP="001377E2">
      <w:pPr>
        <w:pStyle w:val="FootnoteText"/>
        <w:jc w:val="left"/>
      </w:pPr>
      <w:r w:rsidRPr="007227F3">
        <w:rPr>
          <w:rStyle w:val="FootnoteReference"/>
        </w:rPr>
        <w:footnoteRef/>
      </w:r>
      <w:r w:rsidRPr="007227F3">
        <w:t xml:space="preserve"> Figures may not be totally up to date, but correspond to a minimum estimation.</w:t>
      </w:r>
    </w:p>
  </w:footnote>
  <w:footnote w:id="58">
    <w:p w:rsidR="00FE3E5A" w:rsidRPr="007227F3" w:rsidRDefault="00FE3E5A" w:rsidP="001377E2">
      <w:pPr>
        <w:pStyle w:val="FootnoteText"/>
        <w:jc w:val="left"/>
      </w:pPr>
      <w:r>
        <w:rPr>
          <w:rStyle w:val="FootnoteReference"/>
        </w:rPr>
        <w:footnoteRef/>
      </w:r>
      <w:r>
        <w:t xml:space="preserve"> </w:t>
      </w:r>
      <w:r w:rsidRPr="007227F3">
        <w:t>Egypt was ranked under the World Bank’s other indicator, Doing Business, as the best Customs reformer a few years back.  This may also show the limits of qualitative performance assessment.</w:t>
      </w:r>
    </w:p>
  </w:footnote>
  <w:footnote w:id="59">
    <w:p w:rsidR="00FE3E5A" w:rsidRPr="0009730D" w:rsidRDefault="00FE3E5A" w:rsidP="0009730D">
      <w:pPr>
        <w:spacing w:line="240" w:lineRule="auto"/>
        <w:rPr>
          <w:rFonts w:eastAsia="Times New Roman" w:cs="Times New Roman"/>
          <w:sz w:val="18"/>
          <w:szCs w:val="18"/>
        </w:rPr>
      </w:pPr>
      <w:r>
        <w:rPr>
          <w:rStyle w:val="FootnoteReference"/>
        </w:rPr>
        <w:footnoteRef/>
      </w:r>
      <w:r>
        <w:t xml:space="preserve"> </w:t>
      </w:r>
      <w:r w:rsidRPr="002F0387">
        <w:rPr>
          <w:rFonts w:eastAsia="Times New Roman" w:cs="Times New Roman"/>
          <w:sz w:val="18"/>
          <w:szCs w:val="18"/>
        </w:rPr>
        <w:t>The performance</w:t>
      </w:r>
      <w:r>
        <w:rPr>
          <w:rFonts w:eastAsia="Times New Roman" w:cs="Times New Roman"/>
          <w:sz w:val="18"/>
          <w:szCs w:val="18"/>
        </w:rPr>
        <w:t>-</w:t>
      </w:r>
      <w:r w:rsidRPr="002F0387">
        <w:rPr>
          <w:rFonts w:eastAsia="Times New Roman" w:cs="Times New Roman"/>
          <w:sz w:val="18"/>
          <w:szCs w:val="18"/>
        </w:rPr>
        <w:t>monitoring indicators and targets for border and inland clearance times from the ECMTFP and SCRTFP projects involved (i) identifying customs sites at both inland clearance stations and border posts, considered representative of overall performance</w:t>
      </w:r>
      <w:r>
        <w:rPr>
          <w:rFonts w:eastAsia="Times New Roman" w:cs="Times New Roman"/>
          <w:sz w:val="18"/>
          <w:szCs w:val="18"/>
        </w:rPr>
        <w:t>,</w:t>
      </w:r>
      <w:r w:rsidRPr="002F0387">
        <w:rPr>
          <w:rFonts w:eastAsia="Times New Roman" w:cs="Times New Roman"/>
          <w:sz w:val="18"/>
          <w:szCs w:val="18"/>
        </w:rPr>
        <w:t xml:space="preserve"> (ii) carrying out a baseline survey of these sites, and (iii) regularly measuring results. The baseline was established using three separate sets of three-day measures to find an average value. Subsequent measurements could cover a shorter period as long as there were no major discrepancies. Independent observers were posted at entry and exit gates of the facilities to measure the times of entry and exit – thus using a “black box” concept, where the breakdown of time taken by various administrations was discounted. Monitors distin</w:t>
      </w:r>
      <w:r>
        <w:rPr>
          <w:rFonts w:eastAsia="Times New Roman" w:cs="Times New Roman"/>
          <w:sz w:val="18"/>
          <w:szCs w:val="18"/>
        </w:rPr>
        <w:t>guished</w:t>
      </w:r>
      <w:r w:rsidRPr="002F0387">
        <w:rPr>
          <w:rFonts w:eastAsia="Times New Roman" w:cs="Times New Roman"/>
          <w:sz w:val="18"/>
          <w:szCs w:val="18"/>
        </w:rPr>
        <w:t xml:space="preserve"> between processing times by customs and non-customs offices at inland clearance stations. The locations selected in Afghanistan were Kabul inland clearance station</w:t>
      </w:r>
      <w:r>
        <w:rPr>
          <w:rFonts w:eastAsia="Times New Roman" w:cs="Times New Roman"/>
          <w:sz w:val="18"/>
          <w:szCs w:val="18"/>
        </w:rPr>
        <w:t>,</w:t>
      </w:r>
      <w:r w:rsidRPr="002F0387">
        <w:rPr>
          <w:rFonts w:eastAsia="Times New Roman" w:cs="Times New Roman"/>
          <w:sz w:val="18"/>
          <w:szCs w:val="18"/>
        </w:rPr>
        <w:t xml:space="preserve"> Kabul airport</w:t>
      </w:r>
      <w:r>
        <w:rPr>
          <w:rFonts w:eastAsia="Times New Roman" w:cs="Times New Roman"/>
          <w:sz w:val="18"/>
          <w:szCs w:val="18"/>
        </w:rPr>
        <w:t>,</w:t>
      </w:r>
      <w:r w:rsidRPr="002F0387">
        <w:rPr>
          <w:rFonts w:eastAsia="Times New Roman" w:cs="Times New Roman"/>
          <w:sz w:val="18"/>
          <w:szCs w:val="18"/>
        </w:rPr>
        <w:t xml:space="preserve"> Torkham border station, and Islamqala border station (subsequently replaced by Hairatan). Recently, a computerized survey of transit times was added, for the corridors</w:t>
      </w:r>
      <w:r>
        <w:rPr>
          <w:rFonts w:eastAsia="Times New Roman" w:cs="Times New Roman"/>
          <w:sz w:val="18"/>
          <w:szCs w:val="18"/>
        </w:rPr>
        <w:t xml:space="preserve"> of</w:t>
      </w:r>
      <w:r w:rsidRPr="002F0387">
        <w:rPr>
          <w:rFonts w:eastAsia="Times New Roman" w:cs="Times New Roman"/>
          <w:sz w:val="18"/>
          <w:szCs w:val="18"/>
        </w:rPr>
        <w:t xml:space="preserve"> Islamqala to Herat and Kabul</w:t>
      </w:r>
      <w:r>
        <w:rPr>
          <w:rFonts w:eastAsia="Times New Roman" w:cs="Times New Roman"/>
          <w:sz w:val="18"/>
          <w:szCs w:val="18"/>
        </w:rPr>
        <w:t>,</w:t>
      </w:r>
      <w:r w:rsidRPr="002F0387">
        <w:rPr>
          <w:rFonts w:eastAsia="Times New Roman" w:cs="Times New Roman"/>
          <w:sz w:val="18"/>
          <w:szCs w:val="18"/>
        </w:rPr>
        <w:t xml:space="preserve"> Hairatan to Mazar and Kabul</w:t>
      </w:r>
      <w:r>
        <w:rPr>
          <w:rFonts w:eastAsia="Times New Roman" w:cs="Times New Roman"/>
          <w:sz w:val="18"/>
          <w:szCs w:val="18"/>
        </w:rPr>
        <w:t>,</w:t>
      </w:r>
      <w:r w:rsidRPr="002F0387">
        <w:rPr>
          <w:rFonts w:eastAsia="Times New Roman" w:cs="Times New Roman"/>
          <w:sz w:val="18"/>
          <w:szCs w:val="18"/>
        </w:rPr>
        <w:t xml:space="preserve"> and Torkham to Jalalabad and Kabul.  An international corridor (Karachi to Torkham) is also being considered.</w:t>
      </w:r>
      <w:r>
        <w:rPr>
          <w:rFonts w:eastAsia="Times New Roman" w:cs="Times New Roman"/>
          <w:sz w:val="18"/>
          <w:szCs w:val="18"/>
        </w:rPr>
        <w:t xml:space="preserve"> </w:t>
      </w:r>
    </w:p>
  </w:footnote>
  <w:footnote w:id="60">
    <w:p w:rsidR="00FE3E5A" w:rsidRPr="00234FC3" w:rsidRDefault="00FE3E5A" w:rsidP="009559FB">
      <w:pPr>
        <w:pStyle w:val="FootnoteText"/>
        <w:jc w:val="left"/>
        <w:rPr>
          <w:szCs w:val="18"/>
        </w:rPr>
      </w:pPr>
      <w:r w:rsidRPr="00234FC3">
        <w:rPr>
          <w:rStyle w:val="FootnoteReference"/>
          <w:sz w:val="18"/>
          <w:szCs w:val="18"/>
        </w:rPr>
        <w:footnoteRef/>
      </w:r>
      <w:r w:rsidRPr="00234FC3">
        <w:rPr>
          <w:szCs w:val="18"/>
        </w:rPr>
        <w:t xml:space="preserve"> Only partially implemented and </w:t>
      </w:r>
      <w:r w:rsidRPr="00234FC3">
        <w:rPr>
          <w:szCs w:val="18"/>
          <w:lang w:val="en-GB"/>
        </w:rPr>
        <w:t>computerised</w:t>
      </w:r>
      <w:r w:rsidRPr="00234FC3">
        <w:rPr>
          <w:szCs w:val="18"/>
        </w:rPr>
        <w:t>.</w:t>
      </w:r>
    </w:p>
  </w:footnote>
  <w:footnote w:id="61">
    <w:p w:rsidR="00FE3E5A" w:rsidRPr="00234FC3" w:rsidRDefault="00FE3E5A" w:rsidP="009559FB">
      <w:pPr>
        <w:spacing w:after="0" w:line="240" w:lineRule="auto"/>
        <w:rPr>
          <w:sz w:val="18"/>
          <w:szCs w:val="18"/>
          <w:lang w:val="en-GB"/>
        </w:rPr>
      </w:pPr>
      <w:r w:rsidRPr="00234FC3">
        <w:rPr>
          <w:rStyle w:val="FootnoteReference"/>
          <w:sz w:val="18"/>
          <w:szCs w:val="18"/>
        </w:rPr>
        <w:footnoteRef/>
      </w:r>
      <w:r w:rsidRPr="00234FC3">
        <w:rPr>
          <w:sz w:val="18"/>
          <w:szCs w:val="18"/>
          <w:lang w:val="en-GB"/>
        </w:rPr>
        <w:t xml:space="preserve"> Asycuda is </w:t>
      </w:r>
      <w:r w:rsidRPr="00234FC3">
        <w:rPr>
          <w:rFonts w:cs="Times New Roman"/>
          <w:sz w:val="18"/>
          <w:szCs w:val="18"/>
          <w:lang w:val="en-GB"/>
        </w:rPr>
        <w:t xml:space="preserve">a computerized customs management system </w:t>
      </w:r>
      <w:r>
        <w:rPr>
          <w:rFonts w:cs="Times New Roman"/>
          <w:sz w:val="18"/>
          <w:szCs w:val="18"/>
          <w:lang w:val="en-GB"/>
        </w:rPr>
        <w:t>that</w:t>
      </w:r>
      <w:r w:rsidRPr="00234FC3">
        <w:rPr>
          <w:rFonts w:cs="Times New Roman"/>
          <w:sz w:val="18"/>
          <w:szCs w:val="18"/>
          <w:lang w:val="en-GB"/>
        </w:rPr>
        <w:t xml:space="preserve"> covers most foreign trade procedures. </w:t>
      </w:r>
      <w:r>
        <w:rPr>
          <w:rFonts w:cs="Times New Roman"/>
          <w:sz w:val="18"/>
          <w:szCs w:val="18"/>
          <w:lang w:val="en-GB"/>
        </w:rPr>
        <w:t>It h</w:t>
      </w:r>
      <w:r w:rsidRPr="00234FC3">
        <w:rPr>
          <w:rFonts w:cs="Times New Roman"/>
          <w:sz w:val="18"/>
          <w:szCs w:val="18"/>
          <w:lang w:val="en-GB"/>
        </w:rPr>
        <w:t xml:space="preserve">andles manifests and customs declarations, </w:t>
      </w:r>
      <w:r>
        <w:rPr>
          <w:rFonts w:cs="Times New Roman"/>
          <w:sz w:val="18"/>
          <w:szCs w:val="18"/>
          <w:lang w:val="en-GB"/>
        </w:rPr>
        <w:t xml:space="preserve">and </w:t>
      </w:r>
      <w:r w:rsidRPr="00234FC3">
        <w:rPr>
          <w:rFonts w:cs="Times New Roman"/>
          <w:sz w:val="18"/>
          <w:szCs w:val="18"/>
          <w:lang w:val="en-GB"/>
        </w:rPr>
        <w:t xml:space="preserve">accounting, transit and suspense procedures. </w:t>
      </w:r>
      <w:r>
        <w:rPr>
          <w:rFonts w:cs="Times New Roman"/>
          <w:sz w:val="18"/>
          <w:szCs w:val="18"/>
          <w:lang w:val="en-GB"/>
        </w:rPr>
        <w:t>It</w:t>
      </w:r>
      <w:r w:rsidRPr="00234FC3">
        <w:rPr>
          <w:rFonts w:cs="Times New Roman"/>
          <w:sz w:val="18"/>
          <w:szCs w:val="18"/>
          <w:lang w:val="en-GB"/>
        </w:rPr>
        <w:t xml:space="preserve"> </w:t>
      </w:r>
      <w:r>
        <w:rPr>
          <w:rFonts w:cs="Times New Roman"/>
          <w:sz w:val="18"/>
          <w:szCs w:val="18"/>
          <w:lang w:val="en-GB"/>
        </w:rPr>
        <w:t xml:space="preserve">also </w:t>
      </w:r>
      <w:r w:rsidRPr="00234FC3">
        <w:rPr>
          <w:rFonts w:cs="Times New Roman"/>
          <w:sz w:val="18"/>
          <w:szCs w:val="18"/>
          <w:lang w:val="en-GB"/>
        </w:rPr>
        <w:t>generates trade data</w:t>
      </w:r>
      <w:r>
        <w:rPr>
          <w:rFonts w:cs="Times New Roman"/>
          <w:sz w:val="18"/>
          <w:szCs w:val="18"/>
          <w:lang w:val="en-GB"/>
        </w:rPr>
        <w:t xml:space="preserve"> </w:t>
      </w:r>
      <w:r w:rsidRPr="00234FC3">
        <w:rPr>
          <w:rFonts w:cs="Times New Roman"/>
          <w:sz w:val="18"/>
          <w:szCs w:val="18"/>
          <w:lang w:val="en-GB"/>
        </w:rPr>
        <w:t xml:space="preserve">for statistical economic analysis. </w:t>
      </w:r>
      <w:r>
        <w:rPr>
          <w:rFonts w:cs="Times New Roman"/>
          <w:sz w:val="18"/>
          <w:szCs w:val="18"/>
          <w:lang w:val="en-GB"/>
        </w:rPr>
        <w:t>UNCTAD developed t</w:t>
      </w:r>
      <w:r w:rsidRPr="00234FC3">
        <w:rPr>
          <w:rFonts w:cs="Times New Roman"/>
          <w:sz w:val="18"/>
          <w:szCs w:val="18"/>
          <w:lang w:val="en-GB"/>
        </w:rPr>
        <w:t>he software</w:t>
      </w:r>
      <w:r>
        <w:rPr>
          <w:rFonts w:cs="Times New Roman"/>
          <w:sz w:val="18"/>
          <w:szCs w:val="18"/>
          <w:lang w:val="en-GB"/>
        </w:rPr>
        <w:t xml:space="preserve"> using</w:t>
      </w:r>
      <w:r w:rsidRPr="00234FC3">
        <w:rPr>
          <w:rFonts w:cs="Times New Roman"/>
          <w:sz w:val="18"/>
          <w:szCs w:val="18"/>
          <w:lang w:val="en-GB"/>
        </w:rPr>
        <w:t xml:space="preserve"> international codes and standards</w:t>
      </w:r>
      <w:r>
        <w:rPr>
          <w:rFonts w:cs="Times New Roman"/>
          <w:sz w:val="18"/>
          <w:szCs w:val="18"/>
          <w:lang w:val="en-GB"/>
        </w:rPr>
        <w:t xml:space="preserve"> of</w:t>
      </w:r>
      <w:r w:rsidRPr="00234FC3">
        <w:rPr>
          <w:rFonts w:cs="Times New Roman"/>
          <w:sz w:val="18"/>
          <w:szCs w:val="18"/>
          <w:lang w:val="en-GB"/>
        </w:rPr>
        <w:t xml:space="preserve"> the International Organization for Standardization, the World Customs Organization, and the United Nations. </w:t>
      </w:r>
      <w:r>
        <w:rPr>
          <w:rFonts w:cs="Times New Roman"/>
          <w:sz w:val="18"/>
          <w:szCs w:val="18"/>
          <w:lang w:val="en-GB"/>
        </w:rPr>
        <w:t>It</w:t>
      </w:r>
      <w:r w:rsidRPr="00234FC3">
        <w:rPr>
          <w:rFonts w:cs="Times New Roman"/>
          <w:sz w:val="18"/>
          <w:szCs w:val="18"/>
          <w:lang w:val="en-GB"/>
        </w:rPr>
        <w:t xml:space="preserve"> is being </w:t>
      </w:r>
      <w:r>
        <w:rPr>
          <w:rFonts w:cs="Times New Roman"/>
          <w:sz w:val="18"/>
          <w:szCs w:val="18"/>
          <w:lang w:val="en-GB"/>
        </w:rPr>
        <w:t>used</w:t>
      </w:r>
      <w:r w:rsidRPr="00234FC3">
        <w:rPr>
          <w:rFonts w:cs="Times New Roman"/>
          <w:sz w:val="18"/>
          <w:szCs w:val="18"/>
          <w:lang w:val="en-GB"/>
        </w:rPr>
        <w:t xml:space="preserve"> in over 90 countries and regions.</w:t>
      </w:r>
    </w:p>
  </w:footnote>
  <w:footnote w:id="62">
    <w:p w:rsidR="00FE3E5A" w:rsidRPr="00234FC3" w:rsidRDefault="00FE3E5A" w:rsidP="009559FB">
      <w:pPr>
        <w:pStyle w:val="FootnoteText"/>
        <w:jc w:val="left"/>
        <w:rPr>
          <w:szCs w:val="18"/>
          <w:lang w:val="en-GB"/>
        </w:rPr>
      </w:pPr>
      <w:r w:rsidRPr="00234FC3">
        <w:rPr>
          <w:rStyle w:val="FootnoteReference"/>
          <w:sz w:val="18"/>
          <w:szCs w:val="18"/>
        </w:rPr>
        <w:footnoteRef/>
      </w:r>
      <w:r w:rsidRPr="00234FC3">
        <w:rPr>
          <w:szCs w:val="18"/>
        </w:rPr>
        <w:t xml:space="preserve"> </w:t>
      </w:r>
      <w:r w:rsidRPr="00234FC3">
        <w:rPr>
          <w:szCs w:val="18"/>
          <w:lang w:val="en-GB"/>
        </w:rPr>
        <w:t>This is a timid approach to proper customs enforcement.</w:t>
      </w:r>
    </w:p>
  </w:footnote>
  <w:footnote w:id="63">
    <w:p w:rsidR="00FE3E5A" w:rsidRPr="007227F3" w:rsidRDefault="00FE3E5A" w:rsidP="009559FB">
      <w:pPr>
        <w:pStyle w:val="FootnoteText"/>
        <w:jc w:val="left"/>
        <w:rPr>
          <w:lang w:val="en-GB"/>
        </w:rPr>
      </w:pPr>
      <w:r w:rsidRPr="00234FC3">
        <w:rPr>
          <w:rStyle w:val="FootnoteReference"/>
          <w:sz w:val="18"/>
          <w:szCs w:val="18"/>
        </w:rPr>
        <w:footnoteRef/>
      </w:r>
      <w:r w:rsidRPr="00234FC3">
        <w:rPr>
          <w:szCs w:val="18"/>
        </w:rPr>
        <w:t xml:space="preserve"> </w:t>
      </w:r>
      <w:r w:rsidRPr="00234FC3">
        <w:rPr>
          <w:szCs w:val="18"/>
          <w:lang w:val="en-GB"/>
        </w:rPr>
        <w:t>Not adequately implemented yet.</w:t>
      </w:r>
    </w:p>
  </w:footnote>
  <w:footnote w:id="64">
    <w:p w:rsidR="00FE3E5A" w:rsidRDefault="00FE3E5A" w:rsidP="00D64FD6">
      <w:pPr>
        <w:pStyle w:val="FootnoteText"/>
        <w:jc w:val="left"/>
      </w:pPr>
      <w:r>
        <w:rPr>
          <w:rStyle w:val="FootnoteReference"/>
        </w:rPr>
        <w:footnoteRef/>
      </w:r>
      <w:r>
        <w:t xml:space="preserve"> Based on computerized clearance data and comparing with export data from countries exporting to Afghanistan: World Bank, December 2009.</w:t>
      </w:r>
    </w:p>
  </w:footnote>
  <w:footnote w:id="65">
    <w:p w:rsidR="00FE3E5A" w:rsidRDefault="00FE3E5A" w:rsidP="0003707B">
      <w:pPr>
        <w:pStyle w:val="FootnoteText"/>
        <w:jc w:val="left"/>
        <w:rPr>
          <w:szCs w:val="18"/>
        </w:rPr>
      </w:pPr>
      <w:r>
        <w:rPr>
          <w:rStyle w:val="FootnoteReference"/>
          <w:szCs w:val="18"/>
        </w:rPr>
        <w:footnoteRef/>
      </w:r>
      <w:r>
        <w:rPr>
          <w:szCs w:val="18"/>
        </w:rPr>
        <w:t xml:space="preserve"> The initial Afghan approach in 2003 was to clear everything at the border. It is international best practice to clear as close as possible to the point of destination, with the possible exception of very large countries where journey times are considerable and border delays only represent a fraction of the overall transit time.</w:t>
      </w:r>
    </w:p>
  </w:footnote>
  <w:footnote w:id="66">
    <w:p w:rsidR="00FE3E5A" w:rsidRDefault="00FE3E5A" w:rsidP="0003707B">
      <w:pPr>
        <w:pStyle w:val="FootnoteText"/>
        <w:jc w:val="left"/>
        <w:rPr>
          <w:szCs w:val="18"/>
        </w:rPr>
      </w:pPr>
      <w:r>
        <w:rPr>
          <w:rStyle w:val="FootnoteReference"/>
          <w:szCs w:val="18"/>
        </w:rPr>
        <w:footnoteRef/>
      </w:r>
      <w:r>
        <w:rPr>
          <w:szCs w:val="18"/>
        </w:rPr>
        <w:t xml:space="preserve"> Another option would be to impose advance payment of duty at the final point of destination of the goods, but this would raise serious assessment and reconciliation problems, and would considerably delay clearance procedures.</w:t>
      </w:r>
    </w:p>
  </w:footnote>
  <w:footnote w:id="67">
    <w:p w:rsidR="00FE3E5A" w:rsidRDefault="00FE3E5A" w:rsidP="00D64FD6">
      <w:pPr>
        <w:pStyle w:val="FootnoteText"/>
      </w:pPr>
      <w:r>
        <w:rPr>
          <w:rStyle w:val="FootnoteReference"/>
          <w:szCs w:val="18"/>
        </w:rPr>
        <w:footnoteRef/>
      </w:r>
      <w:r>
        <w:rPr>
          <w:szCs w:val="18"/>
        </w:rPr>
        <w:t xml:space="preserve"> Which is now the case with the transit module, but there are still no guarantees, and </w:t>
      </w:r>
      <w:r>
        <w:rPr>
          <w:i/>
          <w:szCs w:val="18"/>
        </w:rPr>
        <w:t>en route</w:t>
      </w:r>
      <w:r>
        <w:rPr>
          <w:szCs w:val="18"/>
        </w:rPr>
        <w:t xml:space="preserve"> enforcement is practically non-existent.</w:t>
      </w:r>
    </w:p>
  </w:footnote>
  <w:footnote w:id="68">
    <w:p w:rsidR="00FE3E5A" w:rsidRDefault="00FE3E5A" w:rsidP="00D64FD6">
      <w:pPr>
        <w:pStyle w:val="FootnoteText"/>
      </w:pPr>
      <w:r>
        <w:rPr>
          <w:rStyle w:val="FootnoteReference"/>
        </w:rPr>
        <w:footnoteRef/>
      </w:r>
      <w:r>
        <w:t xml:space="preserve"> It is the universal experience that, in order to improve export procedures, import operations must be first modernized.</w:t>
      </w:r>
    </w:p>
  </w:footnote>
  <w:footnote w:id="69">
    <w:p w:rsidR="00FE3E5A" w:rsidRDefault="00FE3E5A" w:rsidP="00D64FD6">
      <w:pPr>
        <w:pStyle w:val="FootnoteText"/>
        <w:jc w:val="left"/>
        <w:rPr>
          <w:lang w:val="en-GB"/>
        </w:rPr>
      </w:pPr>
      <w:r>
        <w:rPr>
          <w:rStyle w:val="FootnoteReference"/>
        </w:rPr>
        <w:footnoteRef/>
      </w:r>
      <w:r>
        <w:t xml:space="preserve"> </w:t>
      </w:r>
      <w:r>
        <w:rPr>
          <w:lang w:val="en-GB"/>
        </w:rPr>
        <w:t xml:space="preserve">The ACCD was introduced in the early stages of customs modernisation by one donor agency that felt, rightly, the customs department had insufficient capacity to process the more complex SAD form. The agency assumed – wrongly -- that customs officials and importers/clearing agents would be unable to use the complex international codification for goods classification. </w:t>
      </w:r>
    </w:p>
  </w:footnote>
  <w:footnote w:id="70">
    <w:p w:rsidR="00FE3E5A" w:rsidRDefault="00FE3E5A" w:rsidP="00D64FD6">
      <w:pPr>
        <w:spacing w:after="0" w:line="240" w:lineRule="auto"/>
        <w:rPr>
          <w:rFonts w:cs="Times New Roman"/>
          <w:sz w:val="18"/>
          <w:szCs w:val="18"/>
          <w:lang w:val="en-GB"/>
        </w:rPr>
      </w:pPr>
      <w:r>
        <w:rPr>
          <w:rStyle w:val="FootnoteReference"/>
          <w:sz w:val="18"/>
          <w:szCs w:val="18"/>
        </w:rPr>
        <w:footnoteRef/>
      </w:r>
      <w:r>
        <w:rPr>
          <w:rStyle w:val="FootnoteReference"/>
          <w:sz w:val="18"/>
          <w:szCs w:val="18"/>
        </w:rPr>
        <w:t xml:space="preserve"> </w:t>
      </w:r>
      <w:r>
        <w:rPr>
          <w:rFonts w:cs="Times New Roman"/>
          <w:sz w:val="18"/>
          <w:szCs w:val="18"/>
          <w:lang w:val="en-GB"/>
        </w:rPr>
        <w:t>In most other countries, producing forged documents with a customs declaration is a felony.</w:t>
      </w:r>
    </w:p>
  </w:footnote>
  <w:footnote w:id="71">
    <w:p w:rsidR="00FE3E5A" w:rsidRDefault="00FE3E5A" w:rsidP="00D64FD6">
      <w:pPr>
        <w:spacing w:after="0" w:line="240" w:lineRule="auto"/>
        <w:rPr>
          <w:sz w:val="18"/>
          <w:szCs w:val="18"/>
        </w:rPr>
      </w:pPr>
      <w:r>
        <w:rPr>
          <w:rStyle w:val="FootnoteReference"/>
          <w:sz w:val="18"/>
          <w:szCs w:val="18"/>
        </w:rPr>
        <w:footnoteRef/>
      </w:r>
      <w:r>
        <w:rPr>
          <w:rFonts w:cs="Times New Roman"/>
          <w:sz w:val="18"/>
          <w:szCs w:val="18"/>
          <w:lang w:val="en-GB"/>
        </w:rPr>
        <w:t xml:space="preserve"> This ratio is much lower in OECD countries.</w:t>
      </w:r>
    </w:p>
  </w:footnote>
  <w:footnote w:id="72">
    <w:p w:rsidR="00FE3E5A" w:rsidRDefault="00FE3E5A" w:rsidP="00D64FD6">
      <w:pPr>
        <w:spacing w:after="0" w:line="240" w:lineRule="auto"/>
        <w:rPr>
          <w:rFonts w:cs="Times New Roman"/>
          <w:sz w:val="18"/>
          <w:szCs w:val="18"/>
          <w:lang w:val="en-GB"/>
        </w:rPr>
      </w:pPr>
      <w:r>
        <w:rPr>
          <w:rStyle w:val="FootnoteReference"/>
          <w:sz w:val="18"/>
          <w:szCs w:val="18"/>
        </w:rPr>
        <w:footnoteRef/>
      </w:r>
      <w:r>
        <w:rPr>
          <w:sz w:val="18"/>
          <w:szCs w:val="18"/>
          <w:lang w:val="en-GB"/>
        </w:rPr>
        <w:t xml:space="preserve"> </w:t>
      </w:r>
      <w:r>
        <w:rPr>
          <w:rFonts w:cs="Times New Roman"/>
          <w:sz w:val="18"/>
          <w:szCs w:val="18"/>
          <w:lang w:val="en-GB"/>
        </w:rPr>
        <w:t>For customs (and other border agencies) risk management implies, inter alia: (i) selectivity and targeting to determine if declared goods, vehicles and persons fully comply with all governmental requirements, and based on that determination selecting shipments, vehicles or persons for customs inspection, and deciding upon the extent of the inspection; (ii) detecting suspect illegal activity (contraband smuggling, illegal immigrants); and (iii) identifying potential weaknesses in supply chain security. While risk management can operate in a manual environment, the use of information technology greatly enhances the effectiveness of risk management systems and should form a part of any enforcement strategy. Effective application of risk management techniques also supports trade facilitation by expediting compliant (low risk) shipments.</w:t>
      </w:r>
    </w:p>
    <w:p w:rsidR="00FE3E5A" w:rsidRDefault="00FE3E5A" w:rsidP="00D64FD6">
      <w:pPr>
        <w:pStyle w:val="FootnoteText"/>
        <w:rPr>
          <w:lang w:val="en-GB"/>
        </w:rPr>
      </w:pPr>
    </w:p>
  </w:footnote>
  <w:footnote w:id="73">
    <w:p w:rsidR="00FE3E5A" w:rsidRPr="007227F3" w:rsidRDefault="00FE3E5A" w:rsidP="001377E2">
      <w:pPr>
        <w:pStyle w:val="FootnoteText"/>
        <w:jc w:val="left"/>
        <w:rPr>
          <w:lang w:val="en-GB"/>
        </w:rPr>
      </w:pPr>
      <w:r w:rsidRPr="007227F3">
        <w:rPr>
          <w:rStyle w:val="FootnoteReference"/>
        </w:rPr>
        <w:footnoteRef/>
      </w:r>
      <w:r w:rsidRPr="007227F3">
        <w:t xml:space="preserve"> </w:t>
      </w:r>
      <w:r>
        <w:t xml:space="preserve">From McLinden, Gerard and Tom Doyle. </w:t>
      </w:r>
      <w:r w:rsidRPr="002E3499">
        <w:rPr>
          <w:i/>
          <w:lang w:val="en-GB"/>
        </w:rPr>
        <w:t>Border Management Modernization: A Practical Guide for Reformers</w:t>
      </w:r>
      <w:r>
        <w:rPr>
          <w:i/>
          <w:lang w:val="en-GB"/>
        </w:rPr>
        <w:t>.</w:t>
      </w:r>
      <w:r w:rsidRPr="007227F3">
        <w:rPr>
          <w:lang w:val="en-GB"/>
        </w:rPr>
        <w:t xml:space="preserve"> International Trade Department</w:t>
      </w:r>
      <w:r>
        <w:rPr>
          <w:lang w:val="en-GB"/>
        </w:rPr>
        <w:t>, World Bank.</w:t>
      </w:r>
    </w:p>
  </w:footnote>
  <w:footnote w:id="74">
    <w:p w:rsidR="00FE3E5A" w:rsidRPr="0038568B" w:rsidRDefault="00FE3E5A" w:rsidP="001377E2">
      <w:pPr>
        <w:pStyle w:val="FootnoteText"/>
        <w:jc w:val="left"/>
      </w:pPr>
      <w:r w:rsidRPr="0038568B">
        <w:rPr>
          <w:rStyle w:val="FootnoteReference"/>
        </w:rPr>
        <w:footnoteRef/>
      </w:r>
      <w:r w:rsidRPr="0038568B">
        <w:t xml:space="preserve"> These indicators are computed by the World Bank in most countries where a </w:t>
      </w:r>
      <w:r>
        <w:t>c</w:t>
      </w:r>
      <w:r w:rsidRPr="0038568B">
        <w:t>ustoms support project operate</w:t>
      </w:r>
      <w:r>
        <w:t>s</w:t>
      </w:r>
      <w:r w:rsidRPr="0038568B">
        <w:t>.</w:t>
      </w:r>
    </w:p>
  </w:footnote>
  <w:footnote w:id="75">
    <w:p w:rsidR="00FE3E5A" w:rsidRDefault="00FE3E5A" w:rsidP="002C070F">
      <w:pPr>
        <w:pStyle w:val="FootnoteText"/>
      </w:pPr>
      <w:r>
        <w:rPr>
          <w:rStyle w:val="FootnoteReference"/>
        </w:rPr>
        <w:footnoteRef/>
      </w:r>
      <w:r>
        <w:t xml:space="preserve"> WB estimates for Afghanistan are based on </w:t>
      </w:r>
      <w:r w:rsidRPr="00CA5432">
        <w:t xml:space="preserve">2012 </w:t>
      </w:r>
      <w:r>
        <w:t xml:space="preserve">customer data from </w:t>
      </w:r>
      <w:r w:rsidRPr="00DD535E">
        <w:t xml:space="preserve">DABS, 887,000 households and assumes a population of around 26.5 million and an average household </w:t>
      </w:r>
      <w:r w:rsidRPr="00DD6D2F">
        <w:t xml:space="preserve">size of </w:t>
      </w:r>
      <w:r>
        <w:t xml:space="preserve">7 </w:t>
      </w:r>
      <w:r w:rsidRPr="00DD535E">
        <w:t xml:space="preserve">members.  </w:t>
      </w:r>
    </w:p>
  </w:footnote>
  <w:footnote w:id="76">
    <w:p w:rsidR="00FE3E5A" w:rsidRDefault="00FE3E5A" w:rsidP="002C070F">
      <w:pPr>
        <w:pStyle w:val="FootnoteText"/>
      </w:pPr>
      <w:r>
        <w:rPr>
          <w:rStyle w:val="FootnoteReference"/>
        </w:rPr>
        <w:footnoteRef/>
      </w:r>
      <w:r>
        <w:t xml:space="preserve"> GTZ. 2010. </w:t>
      </w:r>
      <w:r w:rsidRPr="003C5AAE">
        <w:rPr>
          <w:i/>
        </w:rPr>
        <w:t>Survey Report on Micro Hydro Power Plants: Takhar Province, Afghanistan</w:t>
      </w:r>
      <w:r>
        <w:t xml:space="preserve">. </w:t>
      </w:r>
    </w:p>
  </w:footnote>
  <w:footnote w:id="77">
    <w:p w:rsidR="00FE3E5A" w:rsidRDefault="00FE3E5A" w:rsidP="00AC45C9">
      <w:pPr>
        <w:pStyle w:val="FootnoteText"/>
      </w:pPr>
      <w:r>
        <w:rPr>
          <w:rStyle w:val="FootnoteReference"/>
        </w:rPr>
        <w:footnoteRef/>
      </w:r>
      <w:r>
        <w:t xml:space="preserve"> Afghanistan Government Coordination Committee. 2009. Afghanistan National Development Strategy: First Annual Report 2008/09, Part I. </w:t>
      </w:r>
    </w:p>
  </w:footnote>
  <w:footnote w:id="78">
    <w:p w:rsidR="00FE3E5A" w:rsidRDefault="00FE3E5A" w:rsidP="002C070F">
      <w:pPr>
        <w:pStyle w:val="FootnoteText"/>
      </w:pPr>
      <w:r>
        <w:rPr>
          <w:rStyle w:val="FootnoteReference"/>
        </w:rPr>
        <w:footnoteRef/>
      </w:r>
      <w:r>
        <w:t xml:space="preserve"> World Bank. 2007. </w:t>
      </w:r>
      <w:r w:rsidRPr="005E08AB">
        <w:rPr>
          <w:i/>
        </w:rPr>
        <w:t>Development of Electricity Trade in Central Asia- South Asia Region</w:t>
      </w:r>
      <w:r>
        <w:rPr>
          <w:i/>
        </w:rPr>
        <w:t xml:space="preserve">. </w:t>
      </w:r>
      <w:r w:rsidRPr="000A1E86">
        <w:t>Washington, DC:</w:t>
      </w:r>
      <w:r>
        <w:t xml:space="preserve"> World Bank.  </w:t>
      </w:r>
    </w:p>
  </w:footnote>
  <w:footnote w:id="79">
    <w:p w:rsidR="00FE3E5A" w:rsidRDefault="00FE3E5A" w:rsidP="002C070F">
      <w:pPr>
        <w:pStyle w:val="FootnoteText"/>
      </w:pPr>
      <w:r>
        <w:rPr>
          <w:rStyle w:val="FootnoteReference"/>
        </w:rPr>
        <w:footnoteRef/>
      </w:r>
      <w:r>
        <w:t xml:space="preserve"> Few demand estimates are available in Afghanistan. But according to the Afghanistan National Development Strategy: Power Sector Strategy (2007), the demand for electricity in the northeast region (which includes the capital, Kabul) was estimated at about 1,320GWh in 2010. The actual electricity supply was about 530GWh, only about 40 percent of the projected demand. </w:t>
      </w:r>
    </w:p>
  </w:footnote>
  <w:footnote w:id="80">
    <w:p w:rsidR="00FE3E5A" w:rsidRDefault="00FE3E5A" w:rsidP="002C070F">
      <w:pPr>
        <w:pStyle w:val="FootnoteText"/>
      </w:pPr>
      <w:r>
        <w:rPr>
          <w:rStyle w:val="FootnoteReference"/>
        </w:rPr>
        <w:footnoteRef/>
      </w:r>
      <w:r>
        <w:rPr>
          <w:szCs w:val="22"/>
        </w:rPr>
        <w:t xml:space="preserve"> </w:t>
      </w:r>
      <w:r w:rsidRPr="003C402A">
        <w:t>In addition to the on-grid capacity, a further 134MW of installed capacity</w:t>
      </w:r>
      <w:r w:rsidRPr="0039258F">
        <w:t xml:space="preserve"> </w:t>
      </w:r>
      <w:r w:rsidRPr="003C402A">
        <w:t>is operating off-grid, of which 115MW is available.</w:t>
      </w:r>
      <w:r>
        <w:t xml:space="preserve">  As l</w:t>
      </w:r>
      <w:r>
        <w:rPr>
          <w:szCs w:val="22"/>
        </w:rPr>
        <w:t>oad shedding is not monitored, it is not possible to estimate the amount of load not served, but anecdotal evidence suggests that there is considerably higher demand than currently supplied.</w:t>
      </w:r>
      <w:r w:rsidRPr="003C402A">
        <w:t xml:space="preserve">  </w:t>
      </w:r>
    </w:p>
  </w:footnote>
  <w:footnote w:id="81">
    <w:p w:rsidR="00FE3E5A" w:rsidRDefault="00FE3E5A" w:rsidP="002C070F">
      <w:pPr>
        <w:pStyle w:val="FootnoteText"/>
      </w:pPr>
      <w:r>
        <w:rPr>
          <w:rStyle w:val="FootnoteReference"/>
        </w:rPr>
        <w:footnoteRef/>
      </w:r>
      <w:r>
        <w:t xml:space="preserve"> Afghanistan Ministry of Energy &amp; Water. 2007. </w:t>
      </w:r>
      <w:r w:rsidRPr="005E08AB">
        <w:rPr>
          <w:i/>
        </w:rPr>
        <w:t>Power Sector Strategy for the Afghanistan National Development Strategy</w:t>
      </w:r>
      <w:r>
        <w:t>.</w:t>
      </w:r>
    </w:p>
  </w:footnote>
  <w:footnote w:id="82">
    <w:p w:rsidR="00FE3E5A" w:rsidRPr="0039258F" w:rsidRDefault="00FE3E5A" w:rsidP="002C070F">
      <w:pPr>
        <w:spacing w:before="240"/>
        <w:rPr>
          <w:sz w:val="18"/>
        </w:rPr>
      </w:pPr>
      <w:r>
        <w:rPr>
          <w:rStyle w:val="FootnoteReference"/>
        </w:rPr>
        <w:footnoteRef/>
      </w:r>
      <w:r>
        <w:t xml:space="preserve"> </w:t>
      </w:r>
      <w:r w:rsidRPr="0039258F">
        <w:rPr>
          <w:sz w:val="18"/>
        </w:rPr>
        <w:t>Technical losses refers to losses in generation, in the transformation of electricity from one voltage to another, in the power lines that move the electricity from generator to consumer, and reactive power losses that result from the nature of the load being served.  These are highest in systems with ageing or underperforming equipment.  Non-technical losses arise mainly from theft, poor equipment maintenance (especially measuring equipment), calculation errors and accounting mistakes.</w:t>
      </w:r>
    </w:p>
    <w:p w:rsidR="00FE3E5A" w:rsidRDefault="00FE3E5A" w:rsidP="002C070F">
      <w:pPr>
        <w:pStyle w:val="FootnoteText"/>
      </w:pPr>
    </w:p>
  </w:footnote>
  <w:footnote w:id="83">
    <w:p w:rsidR="00FE3E5A" w:rsidRDefault="00FE3E5A" w:rsidP="002C070F">
      <w:pPr>
        <w:pStyle w:val="FootnoteText"/>
      </w:pPr>
      <w:r>
        <w:rPr>
          <w:rStyle w:val="FootnoteReference"/>
        </w:rPr>
        <w:footnoteRef/>
      </w:r>
      <w:r>
        <w:t xml:space="preserve"> ADB Report No. 42094. </w:t>
      </w:r>
    </w:p>
  </w:footnote>
  <w:footnote w:id="84">
    <w:p w:rsidR="00FE3E5A" w:rsidRDefault="00FE3E5A" w:rsidP="002C070F">
      <w:pPr>
        <w:pStyle w:val="FootnoteText"/>
      </w:pPr>
      <w:r>
        <w:rPr>
          <w:rStyle w:val="FootnoteReference"/>
        </w:rPr>
        <w:footnoteRef/>
      </w:r>
      <w:r>
        <w:t xml:space="preserve"> ADB Report No. 42094.</w:t>
      </w:r>
    </w:p>
  </w:footnote>
  <w:footnote w:id="85">
    <w:p w:rsidR="00FE3E5A" w:rsidRDefault="00FE3E5A" w:rsidP="002C070F">
      <w:pPr>
        <w:pStyle w:val="FootnoteText"/>
      </w:pPr>
      <w:r>
        <w:rPr>
          <w:rStyle w:val="FootnoteReference"/>
        </w:rPr>
        <w:footnoteRef/>
      </w:r>
      <w:r>
        <w:t xml:space="preserve"> ADB</w:t>
      </w:r>
      <w:r w:rsidRPr="00A11D45">
        <w:t xml:space="preserve"> </w:t>
      </w:r>
      <w:r>
        <w:t xml:space="preserve">Report No. 42094. </w:t>
      </w:r>
    </w:p>
  </w:footnote>
  <w:footnote w:id="86">
    <w:p w:rsidR="00FE3E5A" w:rsidRPr="00972EB8" w:rsidRDefault="00FE3E5A" w:rsidP="002C070F">
      <w:pPr>
        <w:spacing w:after="0"/>
        <w:rPr>
          <w:rFonts w:asciiTheme="majorBidi" w:hAnsiTheme="majorBidi" w:cstheme="majorBidi"/>
          <w:noProof/>
          <w:sz w:val="18"/>
        </w:rPr>
      </w:pPr>
      <w:r>
        <w:rPr>
          <w:rStyle w:val="FootnoteReference"/>
        </w:rPr>
        <w:footnoteRef/>
      </w:r>
      <w:r>
        <w:t xml:space="preserve"> </w:t>
      </w:r>
      <w:r w:rsidRPr="00351C41">
        <w:rPr>
          <w:sz w:val="18"/>
        </w:rPr>
        <w:t>World Bank, Transition in Afghanistan: Looking Beyond 2014, 2012</w:t>
      </w:r>
    </w:p>
  </w:footnote>
  <w:footnote w:id="87">
    <w:p w:rsidR="00FE3E5A" w:rsidRPr="0014252E" w:rsidRDefault="00FE3E5A" w:rsidP="002C070F">
      <w:pPr>
        <w:pStyle w:val="FootnoteText"/>
        <w:rPr>
          <w:rFonts w:asciiTheme="majorBidi" w:hAnsiTheme="majorBidi" w:cstheme="majorBidi"/>
        </w:rPr>
      </w:pPr>
      <w:r w:rsidRPr="0014252E">
        <w:rPr>
          <w:rStyle w:val="FootnoteReference"/>
          <w:rFonts w:asciiTheme="majorBidi" w:hAnsiTheme="majorBidi" w:cstheme="majorBidi"/>
        </w:rPr>
        <w:footnoteRef/>
      </w:r>
      <w:r w:rsidRPr="0014252E">
        <w:rPr>
          <w:rFonts w:asciiTheme="majorBidi" w:hAnsiTheme="majorBidi" w:cstheme="majorBidi"/>
        </w:rPr>
        <w:t xml:space="preserve"> </w:t>
      </w:r>
      <w:r w:rsidRPr="00351C41">
        <w:t>Altai Consulting, 2011, p. 11</w:t>
      </w:r>
    </w:p>
  </w:footnote>
  <w:footnote w:id="88">
    <w:p w:rsidR="00FE3E5A" w:rsidRPr="0014252E" w:rsidRDefault="00FE3E5A" w:rsidP="002C070F">
      <w:pPr>
        <w:pStyle w:val="FootnoteText"/>
        <w:rPr>
          <w:rFonts w:asciiTheme="majorBidi" w:hAnsiTheme="majorBidi" w:cstheme="majorBidi"/>
        </w:rPr>
      </w:pPr>
      <w:r w:rsidRPr="0014252E">
        <w:rPr>
          <w:rStyle w:val="FootnoteReference"/>
          <w:rFonts w:asciiTheme="majorBidi" w:hAnsiTheme="majorBidi" w:cstheme="majorBidi"/>
        </w:rPr>
        <w:footnoteRef/>
      </w:r>
      <w:r w:rsidRPr="0014252E">
        <w:rPr>
          <w:rFonts w:asciiTheme="majorBidi" w:hAnsiTheme="majorBidi" w:cstheme="majorBidi"/>
        </w:rPr>
        <w:t xml:space="preserve"> </w:t>
      </w:r>
      <w:r w:rsidRPr="00351C41">
        <w:t>SIGAR, 2010, p. 5</w:t>
      </w:r>
    </w:p>
  </w:footnote>
  <w:footnote w:id="89">
    <w:p w:rsidR="00FE3E5A" w:rsidRPr="0014252E" w:rsidRDefault="00FE3E5A" w:rsidP="002C070F">
      <w:pPr>
        <w:pStyle w:val="FootnoteText"/>
        <w:rPr>
          <w:rFonts w:asciiTheme="majorBidi" w:hAnsiTheme="majorBidi" w:cstheme="majorBidi"/>
        </w:rPr>
      </w:pPr>
      <w:r w:rsidRPr="0014252E">
        <w:rPr>
          <w:rStyle w:val="FootnoteReference"/>
          <w:rFonts w:asciiTheme="majorBidi" w:hAnsiTheme="majorBidi" w:cstheme="majorBidi"/>
        </w:rPr>
        <w:footnoteRef/>
      </w:r>
      <w:r w:rsidRPr="0014252E">
        <w:rPr>
          <w:rFonts w:asciiTheme="majorBidi" w:hAnsiTheme="majorBidi" w:cstheme="majorBidi"/>
        </w:rPr>
        <w:t xml:space="preserve"> </w:t>
      </w:r>
      <w:r>
        <w:t>Altai Consulting, 2011, p. 11</w:t>
      </w:r>
    </w:p>
  </w:footnote>
  <w:footnote w:id="90">
    <w:p w:rsidR="00FE3E5A" w:rsidRPr="00351C41" w:rsidRDefault="00FE3E5A" w:rsidP="002C070F">
      <w:pPr>
        <w:pStyle w:val="FootnoteText"/>
      </w:pPr>
      <w:r w:rsidRPr="0014252E">
        <w:rPr>
          <w:rStyle w:val="FootnoteReference"/>
          <w:rFonts w:asciiTheme="majorBidi" w:hAnsiTheme="majorBidi" w:cstheme="majorBidi"/>
        </w:rPr>
        <w:footnoteRef/>
      </w:r>
      <w:r w:rsidRPr="0014252E">
        <w:rPr>
          <w:rFonts w:asciiTheme="majorBidi" w:hAnsiTheme="majorBidi" w:cstheme="majorBidi"/>
        </w:rPr>
        <w:t xml:space="preserve"> </w:t>
      </w:r>
      <w:r w:rsidRPr="00351C41">
        <w:t>Domestic hydroelectric generation has the lowest operational costs, ceteris paribus, estimated at $0.03 / kWh (</w:t>
      </w:r>
      <w:sdt>
        <w:sdtPr>
          <w:id w:val="1239372352"/>
          <w:citation/>
        </w:sdtPr>
        <w:sdtEndPr/>
        <w:sdtContent>
          <w:r w:rsidRPr="00351C41">
            <w:fldChar w:fldCharType="begin"/>
          </w:r>
          <w:r w:rsidRPr="00351C41">
            <w:instrText xml:space="preserve"> CITATION Yar10 \l 1033  </w:instrText>
          </w:r>
          <w:r w:rsidRPr="00351C41">
            <w:fldChar w:fldCharType="separate"/>
          </w:r>
          <w:r w:rsidRPr="00351C41">
            <w:t xml:space="preserve"> (Trofimov, 2010)</w:t>
          </w:r>
          <w:r w:rsidRPr="00351C41">
            <w:fldChar w:fldCharType="end"/>
          </w:r>
        </w:sdtContent>
      </w:sdt>
      <w:r w:rsidRPr="00351C41">
        <w:t xml:space="preserve">, but the remote locations of large-scale hydroelectric facilities, combined with the poor state of Afghanistan’s transport infrastructure and the lack of security in many rural areas, results in high costs of construction, operation, and maintenance. Efforts to rehabilitate the Kajaki Dam, summarized in </w:t>
      </w:r>
      <w:sdt>
        <w:sdtPr>
          <w:id w:val="-1104339151"/>
          <w:citation/>
        </w:sdtPr>
        <w:sdtEndPr/>
        <w:sdtContent>
          <w:r w:rsidRPr="00351C41">
            <w:fldChar w:fldCharType="begin"/>
          </w:r>
          <w:r w:rsidRPr="00351C41">
            <w:instrText xml:space="preserve"> CITATION Gle11 \l 1033 </w:instrText>
          </w:r>
          <w:r w:rsidRPr="00351C41">
            <w:fldChar w:fldCharType="separate"/>
          </w:r>
          <w:r w:rsidRPr="00351C41">
            <w:t>(Zorpette, 2011)</w:t>
          </w:r>
          <w:r w:rsidRPr="00351C41">
            <w:fldChar w:fldCharType="end"/>
          </w:r>
        </w:sdtContent>
      </w:sdt>
      <w:r w:rsidRPr="00351C41">
        <w:t>, are a case in point.</w:t>
      </w:r>
    </w:p>
  </w:footnote>
  <w:footnote w:id="91">
    <w:p w:rsidR="00FE3E5A" w:rsidRDefault="00FE3E5A" w:rsidP="002C070F">
      <w:pPr>
        <w:pStyle w:val="FootnoteText"/>
      </w:pPr>
      <w:r>
        <w:rPr>
          <w:rStyle w:val="FootnoteReference"/>
        </w:rPr>
        <w:footnoteRef/>
      </w:r>
      <w:r>
        <w:t xml:space="preserve"> Afghanistan Ministry of Energy and Water. 2007. </w:t>
      </w:r>
      <w:r w:rsidRPr="0021191A">
        <w:rPr>
          <w:i/>
        </w:rPr>
        <w:t>Afghanistan National Development Strategy: Power Sector Strategy</w:t>
      </w:r>
      <w:r>
        <w:t xml:space="preserve">. </w:t>
      </w:r>
    </w:p>
  </w:footnote>
  <w:footnote w:id="92">
    <w:p w:rsidR="00FE3E5A" w:rsidRDefault="00FE3E5A" w:rsidP="002C070F">
      <w:pPr>
        <w:pStyle w:val="FootnoteText"/>
      </w:pPr>
      <w:r>
        <w:rPr>
          <w:rStyle w:val="FootnoteReference"/>
        </w:rPr>
        <w:footnoteRef/>
      </w:r>
      <w:r>
        <w:t xml:space="preserve"> GTZ. 2010. </w:t>
      </w:r>
      <w:r w:rsidRPr="0021191A">
        <w:rPr>
          <w:i/>
        </w:rPr>
        <w:t>Survey Report on Micro Hydro Power Plants: Takhar Province, Afghanistan</w:t>
      </w:r>
      <w:r>
        <w:t>.</w:t>
      </w:r>
    </w:p>
  </w:footnote>
  <w:footnote w:id="93">
    <w:p w:rsidR="00FE3E5A" w:rsidRPr="00DD535E" w:rsidRDefault="00FE3E5A" w:rsidP="002C070F">
      <w:pPr>
        <w:autoSpaceDE w:val="0"/>
        <w:autoSpaceDN w:val="0"/>
        <w:adjustRightInd w:val="0"/>
        <w:spacing w:after="0" w:line="240" w:lineRule="auto"/>
        <w:rPr>
          <w:sz w:val="18"/>
        </w:rPr>
      </w:pPr>
      <w:r>
        <w:rPr>
          <w:rStyle w:val="FootnoteReference"/>
        </w:rPr>
        <w:footnoteRef/>
      </w:r>
      <w:r>
        <w:t xml:space="preserve"> </w:t>
      </w:r>
      <w:r w:rsidRPr="00DD535E">
        <w:rPr>
          <w:sz w:val="18"/>
        </w:rPr>
        <w:t>Several projects have been proposed to bring electricity generated in the Central Asian States to Pakistan with some proportion made available to Afghanistan. The “Uzbekistan-Afghanistan-Pakistan Electricity Supply and Trade Project” would aim to deliver 100MW (915 GWh) to DABS at a substation North of Kabul and 900 MW to Pakistan in the Peshawar area. Another proposal would deliver surplus hydro power from Tajikistan and Kyrgyzstan.</w:t>
      </w:r>
      <w:r>
        <w:rPr>
          <w:sz w:val="18"/>
        </w:rPr>
        <w:t xml:space="preserve">  Afghanistan Resource Corridor Report 2012</w:t>
      </w:r>
      <w:r w:rsidRPr="00DD535E">
        <w:rPr>
          <w:sz w:val="18"/>
        </w:rPr>
        <w:t xml:space="preserve">  </w:t>
      </w:r>
    </w:p>
    <w:p w:rsidR="00FE3E5A" w:rsidRPr="00DD535E" w:rsidRDefault="00FE3E5A" w:rsidP="002C070F">
      <w:pPr>
        <w:autoSpaceDE w:val="0"/>
        <w:autoSpaceDN w:val="0"/>
        <w:adjustRightInd w:val="0"/>
        <w:spacing w:after="0" w:line="240" w:lineRule="auto"/>
        <w:jc w:val="left"/>
        <w:rPr>
          <w:sz w:val="18"/>
        </w:rPr>
      </w:pPr>
    </w:p>
  </w:footnote>
  <w:footnote w:id="94">
    <w:p w:rsidR="00FE3E5A" w:rsidRDefault="00FE3E5A" w:rsidP="002C070F">
      <w:pPr>
        <w:spacing w:before="240" w:line="240" w:lineRule="auto"/>
      </w:pPr>
      <w:r>
        <w:rPr>
          <w:rStyle w:val="FootnoteReference"/>
        </w:rPr>
        <w:footnoteRef/>
      </w:r>
      <w:r>
        <w:t xml:space="preserve"> </w:t>
      </w:r>
      <w:r>
        <w:rPr>
          <w:sz w:val="18"/>
        </w:rPr>
        <w:t>Jansen and Norda</w:t>
      </w:r>
      <w:r w:rsidRPr="00A00DF8">
        <w:rPr>
          <w:sz w:val="18"/>
        </w:rPr>
        <w:t xml:space="preserve">s, 2004, found a positive correlation between trade flows and telecom.  They establish a relationship between mobile plus fixed telephone lines per 1,000 inhabitants and openness when controlling for market size, own and trading partners’ tariffs, with dummy variables for islands and landlocked countries respectively, and the distance from the equator is included as a proxy for distance to major markets.  Their estimated regression explains 35 per cent of the variation coefficient on telephone density is significant at a one percent </w:t>
      </w:r>
      <w:r>
        <w:rPr>
          <w:sz w:val="18"/>
        </w:rPr>
        <w:t>level.</w:t>
      </w:r>
    </w:p>
  </w:footnote>
  <w:footnote w:id="95">
    <w:p w:rsidR="00FE3E5A" w:rsidRDefault="00FE3E5A" w:rsidP="002C070F">
      <w:pPr>
        <w:pStyle w:val="FootnoteText"/>
      </w:pPr>
      <w:r>
        <w:rPr>
          <w:rStyle w:val="FootnoteReference"/>
        </w:rPr>
        <w:footnoteRef/>
      </w:r>
      <w:r>
        <w:t xml:space="preserve"> WTO, Trade Report, 2004. </w:t>
      </w:r>
      <w:r w:rsidRPr="00EC745C">
        <w:t xml:space="preserve"> </w:t>
      </w:r>
      <w:r>
        <w:t>Freund and Weinhold, 2002</w:t>
      </w:r>
      <w:r w:rsidRPr="00EC745C">
        <w:t xml:space="preserve"> </w:t>
      </w:r>
    </w:p>
  </w:footnote>
  <w:footnote w:id="96">
    <w:p w:rsidR="00FE3E5A" w:rsidRDefault="00FE3E5A" w:rsidP="002C070F">
      <w:pPr>
        <w:pStyle w:val="FootnoteText"/>
      </w:pPr>
      <w:r>
        <w:rPr>
          <w:rStyle w:val="FootnoteReference"/>
        </w:rPr>
        <w:footnoteRef/>
      </w:r>
      <w:r>
        <w:t xml:space="preserve"> MCIT, </w:t>
      </w:r>
      <w:hyperlink r:id="rId2" w:history="1">
        <w:r w:rsidRPr="001C31F2">
          <w:rPr>
            <w:rStyle w:val="Hyperlink"/>
          </w:rPr>
          <w:t>http://mcit.gov.af/en</w:t>
        </w:r>
      </w:hyperlink>
    </w:p>
  </w:footnote>
  <w:footnote w:id="97">
    <w:p w:rsidR="00FE3E5A" w:rsidRDefault="00FE3E5A" w:rsidP="002C070F">
      <w:pPr>
        <w:pStyle w:val="FootnoteText"/>
      </w:pPr>
      <w:r>
        <w:rPr>
          <w:rStyle w:val="FootnoteReference"/>
        </w:rPr>
        <w:footnoteRef/>
      </w:r>
      <w:r>
        <w:t xml:space="preserve"> Asia Foundation, 2011</w:t>
      </w:r>
    </w:p>
  </w:footnote>
  <w:footnote w:id="98">
    <w:p w:rsidR="00FE3E5A" w:rsidRDefault="00FE3E5A" w:rsidP="002C070F">
      <w:pPr>
        <w:pStyle w:val="FootnoteText"/>
      </w:pPr>
      <w:r>
        <w:rPr>
          <w:rStyle w:val="FootnoteReference"/>
        </w:rPr>
        <w:footnoteRef/>
      </w:r>
      <w:r>
        <w:t xml:space="preserve"> According to the Wireless Intelligence database, the monthly rate of use per user is 100 minutes in Sri Lanka, 200 minutes in Pakistan, 230 minutes in Bangladesh, and 360 minutes in India. </w:t>
      </w:r>
    </w:p>
  </w:footnote>
  <w:footnote w:id="99">
    <w:p w:rsidR="00FE3E5A" w:rsidRDefault="00FE3E5A" w:rsidP="002C070F">
      <w:pPr>
        <w:pStyle w:val="FootnoteText"/>
      </w:pPr>
      <w:r>
        <w:rPr>
          <w:rStyle w:val="FootnoteReference"/>
        </w:rPr>
        <w:footnoteRef/>
      </w:r>
      <w:r>
        <w:t xml:space="preserve"> TeleGeography. 2011. </w:t>
      </w:r>
      <w:r w:rsidRPr="006A4F07">
        <w:rPr>
          <w:i/>
        </w:rPr>
        <w:t>GlobalComms Database: Afghanistan</w:t>
      </w:r>
      <w:r>
        <w:t xml:space="preserve">. </w:t>
      </w:r>
    </w:p>
  </w:footnote>
  <w:footnote w:id="100">
    <w:p w:rsidR="00FE3E5A" w:rsidRDefault="00FE3E5A" w:rsidP="002C070F">
      <w:pPr>
        <w:pStyle w:val="FootnoteText"/>
      </w:pPr>
      <w:r>
        <w:rPr>
          <w:rStyle w:val="FootnoteReference"/>
        </w:rPr>
        <w:footnoteRef/>
      </w:r>
      <w:r>
        <w:t xml:space="preserve"> TeleGeography. 2011. </w:t>
      </w:r>
      <w:r w:rsidRPr="002E3539">
        <w:rPr>
          <w:i/>
        </w:rPr>
        <w:t>GlobalComms Database: Afghanistan</w:t>
      </w:r>
      <w:r>
        <w:t>.</w:t>
      </w:r>
    </w:p>
  </w:footnote>
  <w:footnote w:id="101">
    <w:p w:rsidR="00FE3E5A" w:rsidRDefault="00FE3E5A" w:rsidP="002C070F">
      <w:pPr>
        <w:pStyle w:val="FootnoteText"/>
      </w:pPr>
      <w:r>
        <w:rPr>
          <w:rStyle w:val="FootnoteReference"/>
        </w:rPr>
        <w:footnoteRef/>
      </w:r>
      <w:r>
        <w:t xml:space="preserve"> TeleGeography. 2011. </w:t>
      </w:r>
      <w:r w:rsidRPr="00897C73">
        <w:rPr>
          <w:i/>
        </w:rPr>
        <w:t>GlobalComms Database: Afghanistan</w:t>
      </w:r>
      <w:r>
        <w:t xml:space="preserve">. </w:t>
      </w:r>
    </w:p>
  </w:footnote>
  <w:footnote w:id="102">
    <w:p w:rsidR="00FE3E5A" w:rsidRDefault="00FE3E5A" w:rsidP="002C070F">
      <w:pPr>
        <w:pStyle w:val="FootnoteText"/>
      </w:pPr>
      <w:r>
        <w:rPr>
          <w:rStyle w:val="FootnoteReference"/>
        </w:rPr>
        <w:footnoteRef/>
      </w:r>
      <w:r>
        <w:t xml:space="preserve"> </w:t>
      </w:r>
      <w:r w:rsidRPr="000B7C61">
        <w:t>European Commission (INFSO/B</w:t>
      </w:r>
      <w:r>
        <w:t>), 2010</w:t>
      </w:r>
    </w:p>
  </w:footnote>
  <w:footnote w:id="103">
    <w:p w:rsidR="00FE3E5A" w:rsidRDefault="00FE3E5A" w:rsidP="002C070F">
      <w:pPr>
        <w:pStyle w:val="FootnoteText"/>
      </w:pPr>
      <w:r>
        <w:rPr>
          <w:rStyle w:val="FootnoteReference"/>
        </w:rPr>
        <w:footnoteRef/>
      </w:r>
      <w:r>
        <w:t xml:space="preserve"> In Europe, for instance, t</w:t>
      </w:r>
      <w:r w:rsidRPr="00CF54B4">
        <w:t xml:space="preserve">he norm of </w:t>
      </w:r>
      <w:r>
        <w:t>interconnection charges for call termination on mobile networks is 0.05-0.08 euros</w:t>
      </w:r>
      <w:r w:rsidRPr="00CF54B4">
        <w:t xml:space="preserve"> per minute</w:t>
      </w:r>
      <w:r>
        <w:t>, compared to an equivalent fixed termination rate of about 0.008 euros per minute (</w:t>
      </w:r>
      <w:r w:rsidRPr="0070493E">
        <w:t xml:space="preserve">European Commission </w:t>
      </w:r>
      <w:r>
        <w:t>(</w:t>
      </w:r>
      <w:r w:rsidRPr="0070493E">
        <w:t>INFSO/B</w:t>
      </w:r>
      <w:r>
        <w:t xml:space="preserve">), 2010). </w:t>
      </w:r>
      <w:r w:rsidRPr="00CF54B4">
        <w:t xml:space="preserve">  </w:t>
      </w:r>
    </w:p>
  </w:footnote>
  <w:footnote w:id="104">
    <w:p w:rsidR="00FE3E5A" w:rsidRDefault="00FE3E5A" w:rsidP="002C070F">
      <w:pPr>
        <w:pStyle w:val="FootnoteText"/>
      </w:pPr>
      <w:r>
        <w:rPr>
          <w:rStyle w:val="FootnoteReference"/>
        </w:rPr>
        <w:footnoteRef/>
      </w:r>
      <w:r>
        <w:t xml:space="preserve"> TeleGeography. 2011. </w:t>
      </w:r>
      <w:r w:rsidRPr="00FB47FD">
        <w:rPr>
          <w:i/>
        </w:rPr>
        <w:t>Globa</w:t>
      </w:r>
      <w:r>
        <w:rPr>
          <w:i/>
        </w:rPr>
        <w:t>l</w:t>
      </w:r>
      <w:r w:rsidRPr="00FB47FD">
        <w:rPr>
          <w:i/>
        </w:rPr>
        <w:t>Comms Database: Afghanistan</w:t>
      </w:r>
      <w:r>
        <w:t>.</w:t>
      </w:r>
    </w:p>
  </w:footnote>
  <w:footnote w:id="105">
    <w:p w:rsidR="00FE3E5A" w:rsidRDefault="00FE3E5A" w:rsidP="002C070F">
      <w:pPr>
        <w:pStyle w:val="FootnoteText"/>
      </w:pPr>
      <w:r>
        <w:rPr>
          <w:rStyle w:val="FootnoteReference"/>
        </w:rPr>
        <w:footnoteRef/>
      </w:r>
      <w:r>
        <w:t xml:space="preserve"> The Afghan government’s spending on goods and service purchases is about 3 percent of GDP. In addition, its development expenditure accounts for 8-10 percent of GDP (</w:t>
      </w:r>
      <w:r w:rsidRPr="00556D54">
        <w:t>IMF Country Report No. 10/22</w:t>
      </w:r>
      <w:r>
        <w:t xml:space="preserve">). </w:t>
      </w:r>
    </w:p>
  </w:footnote>
  <w:footnote w:id="106">
    <w:p w:rsidR="00FE3E5A" w:rsidRPr="00105DF8" w:rsidRDefault="00FE3E5A" w:rsidP="002C070F">
      <w:pPr>
        <w:pStyle w:val="FootnoteText"/>
      </w:pPr>
      <w:r w:rsidRPr="00995D48">
        <w:rPr>
          <w:rStyle w:val="FootnoteReference"/>
        </w:rPr>
        <w:footnoteRef/>
      </w:r>
      <w:r w:rsidRPr="00995D48">
        <w:rPr>
          <w:rStyle w:val="FootnoteReference"/>
        </w:rPr>
        <w:t xml:space="preserve"> </w:t>
      </w:r>
      <w:r w:rsidRPr="00105DF8">
        <w:t>I</w:t>
      </w:r>
      <w:r>
        <w:t>nformation sources for this sub</w:t>
      </w:r>
      <w:r w:rsidRPr="00105DF8">
        <w:t>section include USAID</w:t>
      </w:r>
      <w:r>
        <w:t xml:space="preserve"> (2010 and 2011, b)</w:t>
      </w:r>
      <w:r w:rsidRPr="00105DF8">
        <w:t xml:space="preserve"> and Altai Consulting (2011). </w:t>
      </w:r>
    </w:p>
  </w:footnote>
  <w:footnote w:id="107">
    <w:p w:rsidR="00FE3E5A" w:rsidRDefault="00FE3E5A" w:rsidP="002C070F">
      <w:pPr>
        <w:pStyle w:val="FootnoteText"/>
      </w:pPr>
      <w:r>
        <w:rPr>
          <w:rStyle w:val="FootnoteReference"/>
        </w:rPr>
        <w:footnoteRef/>
      </w:r>
      <w:r>
        <w:t xml:space="preserve"> </w:t>
      </w:r>
      <w:r w:rsidRPr="00EC1737">
        <w:t xml:space="preserve">Roads are </w:t>
      </w:r>
      <w:r>
        <w:t>categorized</w:t>
      </w:r>
      <w:r w:rsidRPr="00EC1737">
        <w:t xml:space="preserve"> three</w:t>
      </w:r>
      <w:r>
        <w:t xml:space="preserve"> ways</w:t>
      </w:r>
      <w:r w:rsidRPr="00EC1737">
        <w:t>: primary, secondary and tertiary, based on frequency of use and construction materials. Primary roads include national and regional highways and urban roads, secondary roads include all provincial roads and tertiary roads include all rural roads.</w:t>
      </w:r>
    </w:p>
  </w:footnote>
  <w:footnote w:id="108">
    <w:p w:rsidR="00FE3E5A" w:rsidRDefault="00FE3E5A" w:rsidP="002C070F">
      <w:pPr>
        <w:pStyle w:val="FootnoteText"/>
      </w:pPr>
      <w:r>
        <w:rPr>
          <w:rStyle w:val="FootnoteReference"/>
        </w:rPr>
        <w:footnoteRef/>
      </w:r>
      <w:r>
        <w:t xml:space="preserve"> PID Report No. AB3278. </w:t>
      </w:r>
      <w:r w:rsidRPr="007D2AA3">
        <w:rPr>
          <w:i/>
        </w:rPr>
        <w:t>Afghanistan National Emergency Rural Access Project</w:t>
      </w:r>
      <w:r>
        <w:t>.</w:t>
      </w:r>
    </w:p>
  </w:footnote>
  <w:footnote w:id="109">
    <w:p w:rsidR="00FE3E5A" w:rsidRPr="003E43BB" w:rsidRDefault="00FE3E5A" w:rsidP="002C070F">
      <w:pPr>
        <w:tabs>
          <w:tab w:val="left" w:pos="540"/>
        </w:tabs>
        <w:spacing w:after="0"/>
        <w:rPr>
          <w:sz w:val="18"/>
        </w:rPr>
      </w:pPr>
      <w:r>
        <w:rPr>
          <w:rStyle w:val="FootnoteReference"/>
        </w:rPr>
        <w:footnoteRef/>
      </w:r>
      <w:r>
        <w:t xml:space="preserve"> </w:t>
      </w:r>
      <w:r w:rsidRPr="003E43BB">
        <w:rPr>
          <w:sz w:val="18"/>
        </w:rPr>
        <w:t>The National Rural Access Program (NRAP)</w:t>
      </w:r>
      <w:r>
        <w:rPr>
          <w:sz w:val="18"/>
        </w:rPr>
        <w:t xml:space="preserve"> – run </w:t>
      </w:r>
      <w:r w:rsidRPr="003E43BB">
        <w:rPr>
          <w:sz w:val="18"/>
        </w:rPr>
        <w:t xml:space="preserve">jointly by the Ministry of Public Works (MPW) and Ministry of Rural Rehabilitation and Development </w:t>
      </w:r>
      <w:r>
        <w:rPr>
          <w:sz w:val="18"/>
        </w:rPr>
        <w:t>(</w:t>
      </w:r>
      <w:r w:rsidRPr="003E43BB">
        <w:rPr>
          <w:sz w:val="18"/>
        </w:rPr>
        <w:t>MRRD</w:t>
      </w:r>
      <w:r>
        <w:rPr>
          <w:sz w:val="18"/>
        </w:rPr>
        <w:t xml:space="preserve">) – </w:t>
      </w:r>
      <w:r w:rsidRPr="003E43BB">
        <w:rPr>
          <w:sz w:val="18"/>
        </w:rPr>
        <w:t>has served as the primary means for rehabilitating sub-primary roads. Road construction, rehabilitation, and resurfacing on secondary and tertiary roads are implemented by international and local private contractors through the MPW and MRRD, or by donors directly and off-budget. Works on tertiary roads are generally carried out by community-based contracting</w:t>
      </w:r>
      <w:r>
        <w:rPr>
          <w:sz w:val="18"/>
        </w:rPr>
        <w:t>,</w:t>
      </w:r>
      <w:r w:rsidRPr="003E43BB">
        <w:rPr>
          <w:sz w:val="18"/>
        </w:rPr>
        <w:t xml:space="preserve"> using community development councils, through the National Solidarity Program.</w:t>
      </w:r>
    </w:p>
    <w:p w:rsidR="00FE3E5A" w:rsidRDefault="00FE3E5A" w:rsidP="002C070F">
      <w:pPr>
        <w:pStyle w:val="FootnoteText"/>
      </w:pPr>
    </w:p>
  </w:footnote>
  <w:footnote w:id="110">
    <w:p w:rsidR="00FE3E5A" w:rsidRDefault="00FE3E5A" w:rsidP="002C070F">
      <w:pPr>
        <w:pStyle w:val="FootnoteText"/>
      </w:pPr>
      <w:r>
        <w:rPr>
          <w:rStyle w:val="FootnoteReference"/>
        </w:rPr>
        <w:footnoteRef/>
      </w:r>
      <w:r>
        <w:t xml:space="preserve"> The project costs would vary depending on local conditions and project specifications. Table 3.12 shows the simple average costs per km according to the </w:t>
      </w:r>
      <w:r w:rsidRPr="00515057">
        <w:t>Road Costs Knowledge System (ROCKS)</w:t>
      </w:r>
      <w:r>
        <w:t xml:space="preserve"> database. </w:t>
      </w:r>
    </w:p>
  </w:footnote>
  <w:footnote w:id="111">
    <w:p w:rsidR="00FE3E5A" w:rsidRDefault="00FE3E5A" w:rsidP="002C070F">
      <w:pPr>
        <w:pStyle w:val="FootnoteText"/>
      </w:pPr>
      <w:r>
        <w:rPr>
          <w:rStyle w:val="FootnoteReference"/>
        </w:rPr>
        <w:footnoteRef/>
      </w:r>
      <w:r>
        <w:t xml:space="preserve"> PID Report No. AB3278. </w:t>
      </w:r>
      <w:r w:rsidRPr="00FC3DF8">
        <w:rPr>
          <w:i/>
        </w:rPr>
        <w:t>Afghanistan National Emergency Rural Access Project</w:t>
      </w:r>
      <w:r>
        <w:t xml:space="preserve">. </w:t>
      </w:r>
    </w:p>
  </w:footnote>
  <w:footnote w:id="112">
    <w:p w:rsidR="00FE3E5A" w:rsidRPr="003001C8" w:rsidRDefault="00FE3E5A" w:rsidP="0014667F">
      <w:pPr>
        <w:tabs>
          <w:tab w:val="left" w:pos="0"/>
        </w:tabs>
        <w:autoSpaceDE w:val="0"/>
        <w:autoSpaceDN w:val="0"/>
        <w:adjustRightInd w:val="0"/>
        <w:spacing w:after="0" w:line="240" w:lineRule="auto"/>
        <w:rPr>
          <w:rFonts w:cstheme="minorHAnsi"/>
          <w:b/>
          <w:sz w:val="18"/>
          <w:szCs w:val="18"/>
        </w:rPr>
      </w:pPr>
      <w:r>
        <w:rPr>
          <w:rStyle w:val="FootnoteReference"/>
        </w:rPr>
        <w:footnoteRef/>
      </w:r>
      <w:r>
        <w:t xml:space="preserve"> </w:t>
      </w:r>
      <w:r w:rsidRPr="003001C8">
        <w:rPr>
          <w:rFonts w:cstheme="minorHAnsi"/>
          <w:sz w:val="18"/>
          <w:szCs w:val="18"/>
        </w:rPr>
        <w:t xml:space="preserve">The Regional Cooperation Strategy of the ANDS discusses </w:t>
      </w:r>
      <w:r>
        <w:rPr>
          <w:rFonts w:cstheme="minorHAnsi"/>
          <w:sz w:val="18"/>
          <w:szCs w:val="18"/>
        </w:rPr>
        <w:t>k</w:t>
      </w:r>
      <w:r w:rsidRPr="003001C8">
        <w:rPr>
          <w:rFonts w:cstheme="minorHAnsi"/>
          <w:sz w:val="18"/>
          <w:szCs w:val="18"/>
        </w:rPr>
        <w:t>ey priority policies and objectives</w:t>
      </w:r>
      <w:r>
        <w:rPr>
          <w:rFonts w:cstheme="minorHAnsi"/>
          <w:sz w:val="18"/>
          <w:szCs w:val="18"/>
        </w:rPr>
        <w:t xml:space="preserve"> that</w:t>
      </w:r>
      <w:r w:rsidRPr="003001C8">
        <w:rPr>
          <w:rFonts w:cstheme="minorHAnsi"/>
          <w:sz w:val="18"/>
          <w:szCs w:val="18"/>
        </w:rPr>
        <w:t xml:space="preserve"> includ</w:t>
      </w:r>
      <w:r>
        <w:rPr>
          <w:rFonts w:cstheme="minorHAnsi"/>
          <w:sz w:val="18"/>
          <w:szCs w:val="18"/>
        </w:rPr>
        <w:t>e</w:t>
      </w:r>
      <w:r w:rsidRPr="003001C8">
        <w:rPr>
          <w:rFonts w:cstheme="minorHAnsi"/>
          <w:sz w:val="18"/>
          <w:szCs w:val="18"/>
        </w:rPr>
        <w:t xml:space="preserve"> (</w:t>
      </w:r>
      <w:r>
        <w:rPr>
          <w:rFonts w:cstheme="minorHAnsi"/>
          <w:sz w:val="18"/>
          <w:szCs w:val="18"/>
        </w:rPr>
        <w:t>i</w:t>
      </w:r>
      <w:r w:rsidRPr="003001C8">
        <w:rPr>
          <w:rFonts w:cstheme="minorHAnsi"/>
          <w:sz w:val="18"/>
          <w:szCs w:val="18"/>
        </w:rPr>
        <w:t xml:space="preserve">) establishing the uniqueness of Afghanistan´s region, </w:t>
      </w:r>
      <w:r>
        <w:rPr>
          <w:rFonts w:cstheme="minorHAnsi"/>
          <w:sz w:val="18"/>
          <w:szCs w:val="18"/>
        </w:rPr>
        <w:t>with</w:t>
      </w:r>
      <w:r w:rsidRPr="003001C8">
        <w:rPr>
          <w:rFonts w:cstheme="minorHAnsi"/>
          <w:sz w:val="18"/>
          <w:szCs w:val="18"/>
        </w:rPr>
        <w:t xml:space="preserve"> parts of South Asia, Central Asia, the Far East and the Middle East, (</w:t>
      </w:r>
      <w:r>
        <w:rPr>
          <w:rFonts w:cstheme="minorHAnsi"/>
          <w:sz w:val="18"/>
          <w:szCs w:val="18"/>
        </w:rPr>
        <w:t>ii</w:t>
      </w:r>
      <w:r w:rsidRPr="003001C8">
        <w:rPr>
          <w:rFonts w:cstheme="minorHAnsi"/>
          <w:sz w:val="18"/>
          <w:szCs w:val="18"/>
        </w:rPr>
        <w:t>) pursuing pro-active and creative regional cooperation, (</w:t>
      </w:r>
      <w:r>
        <w:rPr>
          <w:rFonts w:cstheme="minorHAnsi"/>
          <w:sz w:val="18"/>
          <w:szCs w:val="18"/>
        </w:rPr>
        <w:t>iii</w:t>
      </w:r>
      <w:r w:rsidRPr="003001C8">
        <w:rPr>
          <w:rFonts w:cstheme="minorHAnsi"/>
          <w:sz w:val="18"/>
          <w:szCs w:val="18"/>
        </w:rPr>
        <w:t>) turning development (as opposed to politics) into a primary axis of regional cooperation, (</w:t>
      </w:r>
      <w:r>
        <w:rPr>
          <w:rFonts w:cstheme="minorHAnsi"/>
          <w:sz w:val="18"/>
          <w:szCs w:val="18"/>
        </w:rPr>
        <w:t>iv</w:t>
      </w:r>
      <w:r w:rsidRPr="003001C8">
        <w:rPr>
          <w:rFonts w:cstheme="minorHAnsi"/>
          <w:sz w:val="18"/>
          <w:szCs w:val="18"/>
        </w:rPr>
        <w:t>) working through regional and sub-regional organizations, (</w:t>
      </w:r>
      <w:r>
        <w:rPr>
          <w:rFonts w:cstheme="minorHAnsi"/>
          <w:sz w:val="18"/>
          <w:szCs w:val="18"/>
        </w:rPr>
        <w:t>v</w:t>
      </w:r>
      <w:r w:rsidRPr="003001C8">
        <w:rPr>
          <w:rFonts w:cstheme="minorHAnsi"/>
          <w:sz w:val="18"/>
          <w:szCs w:val="18"/>
        </w:rPr>
        <w:t>) shifting from a refugee orientation towards economically-motivated flows of labor and the need for well-functioning regional labor markets, (</w:t>
      </w:r>
      <w:r>
        <w:rPr>
          <w:rFonts w:cstheme="minorHAnsi"/>
          <w:sz w:val="18"/>
          <w:szCs w:val="18"/>
        </w:rPr>
        <w:t>vi</w:t>
      </w:r>
      <w:r w:rsidRPr="003001C8">
        <w:rPr>
          <w:rFonts w:cstheme="minorHAnsi"/>
          <w:sz w:val="18"/>
          <w:szCs w:val="18"/>
        </w:rPr>
        <w:t>) building institutional and human capacities for regional cooperation, and (</w:t>
      </w:r>
      <w:r>
        <w:rPr>
          <w:rFonts w:cstheme="minorHAnsi"/>
          <w:sz w:val="18"/>
          <w:szCs w:val="18"/>
        </w:rPr>
        <w:t>vii</w:t>
      </w:r>
      <w:r w:rsidRPr="003001C8">
        <w:rPr>
          <w:rFonts w:cstheme="minorHAnsi"/>
          <w:sz w:val="18"/>
          <w:szCs w:val="18"/>
        </w:rPr>
        <w:t>) developing annual plans of action for regional cooperation initiatives.</w:t>
      </w:r>
    </w:p>
    <w:p w:rsidR="00FE3E5A" w:rsidRPr="003001C8" w:rsidRDefault="00FE3E5A" w:rsidP="0014667F">
      <w:pPr>
        <w:pStyle w:val="FootnoteText"/>
        <w:rPr>
          <w:szCs w:val="18"/>
        </w:rPr>
      </w:pPr>
    </w:p>
  </w:footnote>
  <w:footnote w:id="113">
    <w:p w:rsidR="00FE3E5A" w:rsidRPr="00051533" w:rsidRDefault="00FE3E5A" w:rsidP="0014667F">
      <w:pPr>
        <w:pStyle w:val="ListParagraph"/>
        <w:spacing w:after="0" w:line="240" w:lineRule="auto"/>
        <w:ind w:left="0"/>
      </w:pPr>
      <w:r>
        <w:rPr>
          <w:rStyle w:val="FootnoteReference"/>
        </w:rPr>
        <w:footnoteRef/>
      </w:r>
      <w:r>
        <w:t xml:space="preserve"> </w:t>
      </w:r>
      <w:r w:rsidRPr="00573479">
        <w:rPr>
          <w:sz w:val="18"/>
          <w:szCs w:val="18"/>
        </w:rPr>
        <w:t>ECOTA member countries</w:t>
      </w:r>
      <w:r>
        <w:rPr>
          <w:sz w:val="18"/>
          <w:szCs w:val="18"/>
        </w:rPr>
        <w:t xml:space="preserve"> are</w:t>
      </w:r>
      <w:r w:rsidRPr="00573479">
        <w:rPr>
          <w:sz w:val="18"/>
          <w:szCs w:val="18"/>
        </w:rPr>
        <w:t xml:space="preserve"> Iran, Pakistan, Turkey, </w:t>
      </w:r>
      <w:hyperlink r:id="rId3" w:tooltip="Afghanistan" w:history="1">
        <w:r w:rsidRPr="00573479">
          <w:rPr>
            <w:sz w:val="18"/>
            <w:szCs w:val="18"/>
          </w:rPr>
          <w:t>Afghanistan</w:t>
        </w:r>
      </w:hyperlink>
      <w:r w:rsidRPr="00573479">
        <w:rPr>
          <w:sz w:val="18"/>
          <w:szCs w:val="18"/>
        </w:rPr>
        <w:t xml:space="preserve">, </w:t>
      </w:r>
      <w:hyperlink r:id="rId4" w:tooltip="Azerbaijan" w:history="1">
        <w:r w:rsidRPr="00573479">
          <w:rPr>
            <w:sz w:val="18"/>
            <w:szCs w:val="18"/>
          </w:rPr>
          <w:t>Azerbaijan</w:t>
        </w:r>
      </w:hyperlink>
      <w:r w:rsidRPr="00573479">
        <w:rPr>
          <w:sz w:val="18"/>
          <w:szCs w:val="18"/>
        </w:rPr>
        <w:t xml:space="preserve">, </w:t>
      </w:r>
      <w:hyperlink r:id="rId5" w:tooltip="Kazakhstan" w:history="1">
        <w:r w:rsidRPr="00573479">
          <w:rPr>
            <w:sz w:val="18"/>
            <w:szCs w:val="18"/>
          </w:rPr>
          <w:t>Kazakhstan</w:t>
        </w:r>
      </w:hyperlink>
      <w:r w:rsidRPr="00573479">
        <w:rPr>
          <w:sz w:val="18"/>
          <w:szCs w:val="18"/>
        </w:rPr>
        <w:t xml:space="preserve">, </w:t>
      </w:r>
      <w:hyperlink r:id="rId6" w:tooltip="Kyrgyzstan" w:history="1">
        <w:r w:rsidRPr="00573479">
          <w:rPr>
            <w:sz w:val="18"/>
            <w:szCs w:val="18"/>
          </w:rPr>
          <w:t>Kyrgyzstan</w:t>
        </w:r>
      </w:hyperlink>
      <w:r w:rsidRPr="00573479">
        <w:rPr>
          <w:sz w:val="18"/>
          <w:szCs w:val="18"/>
        </w:rPr>
        <w:t xml:space="preserve">, </w:t>
      </w:r>
      <w:hyperlink r:id="rId7" w:tooltip="Tajikistan" w:history="1">
        <w:r w:rsidRPr="00573479">
          <w:rPr>
            <w:sz w:val="18"/>
            <w:szCs w:val="18"/>
          </w:rPr>
          <w:t>Tajikistan</w:t>
        </w:r>
      </w:hyperlink>
      <w:r w:rsidRPr="00573479">
        <w:rPr>
          <w:sz w:val="18"/>
          <w:szCs w:val="18"/>
        </w:rPr>
        <w:t xml:space="preserve">, </w:t>
      </w:r>
      <w:hyperlink r:id="rId8" w:tooltip="Turkmenistan" w:history="1">
        <w:r w:rsidRPr="00573479">
          <w:rPr>
            <w:sz w:val="18"/>
            <w:szCs w:val="18"/>
          </w:rPr>
          <w:t>Turkmenistan</w:t>
        </w:r>
      </w:hyperlink>
      <w:r w:rsidRPr="00573479">
        <w:rPr>
          <w:sz w:val="18"/>
          <w:szCs w:val="18"/>
        </w:rPr>
        <w:t xml:space="preserve"> and </w:t>
      </w:r>
      <w:hyperlink r:id="rId9" w:tooltip="Uzbekistan" w:history="1">
        <w:r w:rsidRPr="00573479">
          <w:rPr>
            <w:sz w:val="18"/>
            <w:szCs w:val="18"/>
          </w:rPr>
          <w:t>Uzbekistan</w:t>
        </w:r>
      </w:hyperlink>
      <w:r>
        <w:rPr>
          <w:sz w:val="18"/>
          <w:szCs w:val="18"/>
        </w:rPr>
        <w:t>.</w:t>
      </w:r>
    </w:p>
    <w:p w:rsidR="00FE3E5A" w:rsidRDefault="00FE3E5A" w:rsidP="0014667F">
      <w:pPr>
        <w:pStyle w:val="FootnoteText"/>
      </w:pPr>
    </w:p>
  </w:footnote>
  <w:footnote w:id="114">
    <w:p w:rsidR="00FE3E5A" w:rsidRPr="00EC3C09" w:rsidRDefault="00FE3E5A" w:rsidP="0014667F">
      <w:pPr>
        <w:pStyle w:val="FootnoteText"/>
        <w:rPr>
          <w:rFonts w:eastAsia="Times New Roman" w:cstheme="minorHAnsi"/>
          <w:szCs w:val="18"/>
        </w:rPr>
      </w:pPr>
      <w:r>
        <w:rPr>
          <w:rStyle w:val="FootnoteReference"/>
        </w:rPr>
        <w:footnoteRef/>
      </w:r>
      <w:r>
        <w:t xml:space="preserve"> </w:t>
      </w:r>
      <w:r w:rsidRPr="00EC3C09">
        <w:rPr>
          <w:rFonts w:eastAsia="Times New Roman" w:cstheme="minorHAnsi"/>
          <w:szCs w:val="18"/>
        </w:rPr>
        <w:t>This simulation is based on customs administration data for fiscal 1389 (fiscal 2010), including transactions at the tariff line level for 87,657 usable records (based on the Harmonized System nomenclature, 2007).</w:t>
      </w:r>
    </w:p>
  </w:footnote>
  <w:footnote w:id="115">
    <w:p w:rsidR="00FE3E5A" w:rsidRPr="00BB4303" w:rsidRDefault="00FE3E5A" w:rsidP="00BB4303">
      <w:pPr>
        <w:autoSpaceDE w:val="0"/>
        <w:autoSpaceDN w:val="0"/>
        <w:adjustRightInd w:val="0"/>
        <w:spacing w:after="0" w:line="240" w:lineRule="auto"/>
        <w:rPr>
          <w:rFonts w:cstheme="minorHAnsi"/>
          <w:sz w:val="18"/>
          <w:szCs w:val="18"/>
        </w:rPr>
      </w:pPr>
      <w:r w:rsidRPr="00BB4303">
        <w:rPr>
          <w:rStyle w:val="FootnoteReference"/>
          <w:sz w:val="18"/>
          <w:szCs w:val="18"/>
        </w:rPr>
        <w:footnoteRef/>
      </w:r>
      <w:r w:rsidRPr="00BB4303">
        <w:rPr>
          <w:sz w:val="18"/>
          <w:szCs w:val="18"/>
        </w:rPr>
        <w:t xml:space="preserve"> </w:t>
      </w:r>
      <w:r w:rsidRPr="00BB4303">
        <w:rPr>
          <w:rFonts w:eastAsia="Times New Roman" w:cstheme="minorHAnsi"/>
          <w:sz w:val="18"/>
          <w:szCs w:val="18"/>
        </w:rPr>
        <w:t>The model relies on the following key assumptions: (i) it is derived from standard consumer theory, and elasticities play a central role in determining the magnitude of demand response to price changes; (2) there is imperfect substitution between imports of any given product from various countries (Armington), but no substitution between various products; and (3) the considered country is a so-called price taker, i.e., its economy is so small that changes in domestic demand do not affect world prices.</w:t>
      </w:r>
    </w:p>
  </w:footnote>
  <w:footnote w:id="116">
    <w:p w:rsidR="00FE3E5A" w:rsidRPr="00BB4303" w:rsidRDefault="00FE3E5A" w:rsidP="00BB4303">
      <w:pPr>
        <w:autoSpaceDE w:val="0"/>
        <w:autoSpaceDN w:val="0"/>
        <w:adjustRightInd w:val="0"/>
        <w:spacing w:after="0" w:line="240" w:lineRule="auto"/>
        <w:rPr>
          <w:rFonts w:eastAsia="Times New Roman" w:cstheme="minorHAnsi"/>
          <w:sz w:val="18"/>
          <w:szCs w:val="18"/>
        </w:rPr>
      </w:pPr>
      <w:r w:rsidRPr="00BB4303">
        <w:rPr>
          <w:rStyle w:val="FootnoteReference"/>
          <w:sz w:val="18"/>
          <w:szCs w:val="18"/>
        </w:rPr>
        <w:footnoteRef/>
      </w:r>
      <w:r w:rsidRPr="00BB4303">
        <w:rPr>
          <w:sz w:val="18"/>
          <w:szCs w:val="18"/>
        </w:rPr>
        <w:t xml:space="preserve"> </w:t>
      </w:r>
      <w:r w:rsidRPr="00BB4303">
        <w:rPr>
          <w:rFonts w:eastAsia="Times New Roman" w:cstheme="minorHAnsi"/>
          <w:sz w:val="18"/>
          <w:szCs w:val="18"/>
        </w:rPr>
        <w:t>SAFTA Member countries: Nepal, Bhutan, Bangladesh, Afghanistan, Maldives, India, Pakistan and Sri Lanka.</w:t>
      </w:r>
    </w:p>
  </w:footnote>
  <w:footnote w:id="117">
    <w:p w:rsidR="00FE3E5A" w:rsidRPr="00F351B8" w:rsidRDefault="00FE3E5A" w:rsidP="00BB4303">
      <w:pPr>
        <w:autoSpaceDE w:val="0"/>
        <w:autoSpaceDN w:val="0"/>
        <w:adjustRightInd w:val="0"/>
        <w:spacing w:after="0" w:line="240" w:lineRule="auto"/>
        <w:rPr>
          <w:rFonts w:eastAsia="Times New Roman" w:cstheme="minorHAnsi"/>
          <w:sz w:val="18"/>
          <w:szCs w:val="18"/>
        </w:rPr>
      </w:pPr>
      <w:r w:rsidRPr="00BB4303">
        <w:rPr>
          <w:rFonts w:eastAsia="Times New Roman" w:cstheme="minorHAnsi"/>
          <w:sz w:val="18"/>
          <w:szCs w:val="18"/>
        </w:rPr>
        <w:footnoteRef/>
      </w:r>
      <w:r w:rsidRPr="00BB4303">
        <w:rPr>
          <w:rFonts w:eastAsia="Times New Roman" w:cstheme="minorHAnsi"/>
          <w:sz w:val="18"/>
          <w:szCs w:val="18"/>
        </w:rPr>
        <w:t xml:space="preserve"> Under the SAFTA agreement, Afghanistan is a Least Developed Contracting State (LDCS), and as such is subject to several tariff adjustments: (i) a reduction from existing tariff rates to 30 percent within two years from the date of coming into force. If actual tariff rates on the date of coming into force of the agreement are below 30 percent, there will be an annual reduction,</w:t>
      </w:r>
      <w:r w:rsidRPr="00F351B8">
        <w:rPr>
          <w:rFonts w:eastAsia="Times New Roman" w:cstheme="minorHAnsi"/>
          <w:sz w:val="18"/>
          <w:szCs w:val="18"/>
        </w:rPr>
        <w:t xml:space="preserve"> on a </w:t>
      </w:r>
      <w:r>
        <w:rPr>
          <w:rFonts w:eastAsia="Times New Roman" w:cstheme="minorHAnsi"/>
          <w:sz w:val="18"/>
          <w:szCs w:val="18"/>
        </w:rPr>
        <w:t>m</w:t>
      </w:r>
      <w:r w:rsidRPr="00F351B8">
        <w:rPr>
          <w:rFonts w:eastAsia="Times New Roman" w:cstheme="minorHAnsi"/>
          <w:sz w:val="18"/>
          <w:szCs w:val="18"/>
        </w:rPr>
        <w:t xml:space="preserve">argin of </w:t>
      </w:r>
      <w:r>
        <w:rPr>
          <w:rFonts w:eastAsia="Times New Roman" w:cstheme="minorHAnsi"/>
          <w:sz w:val="18"/>
          <w:szCs w:val="18"/>
        </w:rPr>
        <w:t>p</w:t>
      </w:r>
      <w:r w:rsidRPr="00F351B8">
        <w:rPr>
          <w:rFonts w:eastAsia="Times New Roman" w:cstheme="minorHAnsi"/>
          <w:sz w:val="18"/>
          <w:szCs w:val="18"/>
        </w:rPr>
        <w:t>reference basis</w:t>
      </w:r>
      <w:r>
        <w:rPr>
          <w:rFonts w:eastAsia="Times New Roman" w:cstheme="minorHAnsi"/>
          <w:sz w:val="18"/>
          <w:szCs w:val="18"/>
        </w:rPr>
        <w:t>,</w:t>
      </w:r>
      <w:r w:rsidRPr="00F351B8">
        <w:rPr>
          <w:rFonts w:eastAsia="Times New Roman" w:cstheme="minorHAnsi"/>
          <w:sz w:val="18"/>
          <w:szCs w:val="18"/>
        </w:rPr>
        <w:t xml:space="preserve"> of 5</w:t>
      </w:r>
      <w:r>
        <w:rPr>
          <w:rFonts w:eastAsia="Times New Roman" w:cstheme="minorHAnsi"/>
          <w:sz w:val="18"/>
          <w:szCs w:val="18"/>
        </w:rPr>
        <w:t xml:space="preserve"> percent</w:t>
      </w:r>
      <w:r w:rsidRPr="00F351B8">
        <w:rPr>
          <w:rFonts w:eastAsia="Times New Roman" w:cstheme="minorHAnsi"/>
          <w:sz w:val="18"/>
          <w:szCs w:val="18"/>
        </w:rPr>
        <w:t xml:space="preserve"> on actual tariff rates for each of the two years; </w:t>
      </w:r>
      <w:r>
        <w:rPr>
          <w:rFonts w:eastAsia="Times New Roman" w:cstheme="minorHAnsi"/>
          <w:sz w:val="18"/>
          <w:szCs w:val="18"/>
        </w:rPr>
        <w:t>(</w:t>
      </w:r>
      <w:r w:rsidRPr="00F351B8">
        <w:rPr>
          <w:rFonts w:eastAsia="Times New Roman" w:cstheme="minorHAnsi"/>
          <w:sz w:val="18"/>
          <w:szCs w:val="18"/>
        </w:rPr>
        <w:t>ii) a subsequent tariff reduction by the LDC</w:t>
      </w:r>
      <w:r>
        <w:rPr>
          <w:rFonts w:eastAsia="Times New Roman" w:cstheme="minorHAnsi"/>
          <w:sz w:val="18"/>
          <w:szCs w:val="18"/>
        </w:rPr>
        <w:t>S</w:t>
      </w:r>
      <w:r w:rsidRPr="00F351B8">
        <w:rPr>
          <w:rFonts w:eastAsia="Times New Roman" w:cstheme="minorHAnsi"/>
          <w:sz w:val="18"/>
          <w:szCs w:val="18"/>
        </w:rPr>
        <w:t xml:space="preserve"> from 30</w:t>
      </w:r>
      <w:r>
        <w:rPr>
          <w:rFonts w:eastAsia="Times New Roman" w:cstheme="minorHAnsi"/>
          <w:sz w:val="18"/>
          <w:szCs w:val="18"/>
        </w:rPr>
        <w:t xml:space="preserve"> percent</w:t>
      </w:r>
      <w:r w:rsidRPr="00F351B8">
        <w:rPr>
          <w:rFonts w:eastAsia="Times New Roman" w:cstheme="minorHAnsi"/>
          <w:sz w:val="18"/>
          <w:szCs w:val="18"/>
        </w:rPr>
        <w:t xml:space="preserve"> or below to 0-5</w:t>
      </w:r>
      <w:r>
        <w:rPr>
          <w:rFonts w:eastAsia="Times New Roman" w:cstheme="minorHAnsi"/>
          <w:sz w:val="18"/>
          <w:szCs w:val="18"/>
        </w:rPr>
        <w:t xml:space="preserve"> percent</w:t>
      </w:r>
      <w:r w:rsidRPr="00F351B8">
        <w:rPr>
          <w:rFonts w:eastAsia="Times New Roman" w:cstheme="minorHAnsi"/>
          <w:sz w:val="18"/>
          <w:szCs w:val="18"/>
        </w:rPr>
        <w:t xml:space="preserve"> within a period of years.  Thus, the </w:t>
      </w:r>
      <w:r>
        <w:rPr>
          <w:rFonts w:eastAsia="Times New Roman" w:cstheme="minorHAnsi"/>
          <w:sz w:val="18"/>
          <w:szCs w:val="18"/>
        </w:rPr>
        <w:t>LDCSs</w:t>
      </w:r>
      <w:r w:rsidRPr="00F351B8">
        <w:rPr>
          <w:rFonts w:eastAsia="Times New Roman" w:cstheme="minorHAnsi"/>
          <w:sz w:val="18"/>
          <w:szCs w:val="18"/>
        </w:rPr>
        <w:t xml:space="preserve"> are encouraged to adopt reductions in equal annual installments, not less than 10</w:t>
      </w:r>
      <w:r>
        <w:rPr>
          <w:rFonts w:eastAsia="Times New Roman" w:cstheme="minorHAnsi"/>
          <w:sz w:val="18"/>
          <w:szCs w:val="18"/>
        </w:rPr>
        <w:t xml:space="preserve"> percent</w:t>
      </w:r>
      <w:r w:rsidRPr="00F351B8">
        <w:rPr>
          <w:rFonts w:eastAsia="Times New Roman" w:cstheme="minorHAnsi"/>
          <w:sz w:val="18"/>
          <w:szCs w:val="18"/>
        </w:rPr>
        <w:t xml:space="preserve"> annually. The </w:t>
      </w:r>
      <w:r>
        <w:rPr>
          <w:rFonts w:eastAsia="Times New Roman" w:cstheme="minorHAnsi"/>
          <w:sz w:val="18"/>
          <w:szCs w:val="18"/>
        </w:rPr>
        <w:t xml:space="preserve">World Bank’s </w:t>
      </w:r>
      <w:r w:rsidRPr="00F351B8">
        <w:rPr>
          <w:rFonts w:eastAsia="Times New Roman" w:cstheme="minorHAnsi"/>
          <w:sz w:val="18"/>
          <w:szCs w:val="18"/>
        </w:rPr>
        <w:t xml:space="preserve">TRIST simulation translates these terms for Afghanistan over a </w:t>
      </w:r>
      <w:r>
        <w:rPr>
          <w:rFonts w:eastAsia="Times New Roman" w:cstheme="minorHAnsi"/>
          <w:sz w:val="18"/>
          <w:szCs w:val="18"/>
        </w:rPr>
        <w:t>ten–</w:t>
      </w:r>
      <w:r w:rsidRPr="00F351B8">
        <w:rPr>
          <w:rFonts w:eastAsia="Times New Roman" w:cstheme="minorHAnsi"/>
          <w:sz w:val="18"/>
          <w:szCs w:val="18"/>
        </w:rPr>
        <w:t>year period according to the profile below, with the exception of products under the sensitive list:</w:t>
      </w:r>
    </w:p>
    <w:p w:rsidR="00FE3E5A" w:rsidRPr="00F351B8" w:rsidRDefault="00FE3E5A" w:rsidP="00F351B8">
      <w:pPr>
        <w:autoSpaceDE w:val="0"/>
        <w:autoSpaceDN w:val="0"/>
        <w:adjustRightInd w:val="0"/>
        <w:spacing w:after="0" w:line="240" w:lineRule="auto"/>
        <w:rPr>
          <w:rFonts w:eastAsia="Times New Roman" w:cstheme="minorHAnsi"/>
          <w:sz w:val="18"/>
          <w:szCs w:val="18"/>
        </w:rPr>
      </w:pPr>
      <w:r w:rsidRPr="00F351B8">
        <w:rPr>
          <w:rFonts w:eastAsia="Times New Roman" w:cstheme="minorHAnsi"/>
          <w:sz w:val="18"/>
          <w:szCs w:val="18"/>
        </w:rPr>
        <w:t>Year 1: A 5</w:t>
      </w:r>
      <w:r>
        <w:rPr>
          <w:rFonts w:eastAsia="Times New Roman" w:cstheme="minorHAnsi"/>
          <w:sz w:val="18"/>
          <w:szCs w:val="18"/>
        </w:rPr>
        <w:t xml:space="preserve"> percent</w:t>
      </w:r>
      <w:r w:rsidRPr="00F351B8">
        <w:rPr>
          <w:rFonts w:eastAsia="Times New Roman" w:cstheme="minorHAnsi"/>
          <w:sz w:val="18"/>
          <w:szCs w:val="18"/>
        </w:rPr>
        <w:t xml:space="preserve"> cut for tariffs strictly below 30</w:t>
      </w:r>
      <w:r>
        <w:rPr>
          <w:rFonts w:eastAsia="Times New Roman" w:cstheme="minorHAnsi"/>
          <w:sz w:val="18"/>
          <w:szCs w:val="18"/>
        </w:rPr>
        <w:t xml:space="preserve"> percent</w:t>
      </w:r>
      <w:r w:rsidRPr="00F351B8">
        <w:rPr>
          <w:rFonts w:eastAsia="Times New Roman" w:cstheme="minorHAnsi"/>
          <w:sz w:val="18"/>
          <w:szCs w:val="18"/>
        </w:rPr>
        <w:t>; remaining products unchanged.</w:t>
      </w:r>
    </w:p>
    <w:p w:rsidR="00FE3E5A" w:rsidRPr="00F351B8" w:rsidRDefault="00FE3E5A" w:rsidP="00F96BFA">
      <w:pPr>
        <w:numPr>
          <w:ilvl w:val="0"/>
          <w:numId w:val="6"/>
        </w:numPr>
        <w:tabs>
          <w:tab w:val="clear" w:pos="720"/>
          <w:tab w:val="num" w:pos="180"/>
        </w:tabs>
        <w:autoSpaceDE w:val="0"/>
        <w:autoSpaceDN w:val="0"/>
        <w:adjustRightInd w:val="0"/>
        <w:spacing w:after="0" w:line="240" w:lineRule="auto"/>
        <w:ind w:left="0" w:firstLine="0"/>
        <w:rPr>
          <w:rFonts w:cstheme="minorHAnsi"/>
          <w:color w:val="000000"/>
          <w:sz w:val="18"/>
          <w:szCs w:val="18"/>
        </w:rPr>
      </w:pPr>
      <w:r w:rsidRPr="00F351B8">
        <w:rPr>
          <w:rFonts w:cstheme="minorHAnsi"/>
          <w:color w:val="000000"/>
          <w:sz w:val="18"/>
          <w:szCs w:val="18"/>
        </w:rPr>
        <w:t>Year 2: A 5</w:t>
      </w:r>
      <w:r>
        <w:rPr>
          <w:rFonts w:cstheme="minorHAnsi"/>
          <w:color w:val="000000"/>
          <w:sz w:val="18"/>
          <w:szCs w:val="18"/>
        </w:rPr>
        <w:t xml:space="preserve"> percent</w:t>
      </w:r>
      <w:r w:rsidRPr="00F351B8">
        <w:rPr>
          <w:rFonts w:cstheme="minorHAnsi"/>
          <w:color w:val="000000"/>
          <w:sz w:val="18"/>
          <w:szCs w:val="18"/>
        </w:rPr>
        <w:t xml:space="preserve"> cut for tariffs strictly below 30</w:t>
      </w:r>
      <w:r>
        <w:rPr>
          <w:rFonts w:cstheme="minorHAnsi"/>
          <w:color w:val="000000"/>
          <w:sz w:val="18"/>
          <w:szCs w:val="18"/>
        </w:rPr>
        <w:t xml:space="preserve"> percent</w:t>
      </w:r>
      <w:r w:rsidRPr="00F351B8">
        <w:rPr>
          <w:rFonts w:cstheme="minorHAnsi"/>
          <w:color w:val="000000"/>
          <w:sz w:val="18"/>
          <w:szCs w:val="18"/>
        </w:rPr>
        <w:t>; 30</w:t>
      </w:r>
      <w:r>
        <w:rPr>
          <w:rFonts w:cstheme="minorHAnsi"/>
          <w:color w:val="000000"/>
          <w:sz w:val="18"/>
          <w:szCs w:val="18"/>
        </w:rPr>
        <w:t xml:space="preserve"> percent</w:t>
      </w:r>
      <w:r w:rsidRPr="00F351B8">
        <w:rPr>
          <w:rFonts w:cstheme="minorHAnsi"/>
          <w:color w:val="000000"/>
          <w:sz w:val="18"/>
          <w:szCs w:val="18"/>
        </w:rPr>
        <w:t xml:space="preserve"> cap for the remaining products (tariffs ≥ 30</w:t>
      </w:r>
      <w:r>
        <w:rPr>
          <w:rFonts w:cstheme="minorHAnsi"/>
          <w:color w:val="000000"/>
          <w:sz w:val="18"/>
          <w:szCs w:val="18"/>
        </w:rPr>
        <w:t xml:space="preserve"> percent</w:t>
      </w:r>
      <w:r w:rsidRPr="00F351B8">
        <w:rPr>
          <w:rFonts w:cstheme="minorHAnsi"/>
          <w:color w:val="000000"/>
          <w:sz w:val="18"/>
          <w:szCs w:val="18"/>
        </w:rPr>
        <w:t>).</w:t>
      </w:r>
    </w:p>
    <w:p w:rsidR="00FE3E5A" w:rsidRPr="00F351B8" w:rsidRDefault="00FE3E5A" w:rsidP="00F96BFA">
      <w:pPr>
        <w:numPr>
          <w:ilvl w:val="0"/>
          <w:numId w:val="6"/>
        </w:numPr>
        <w:tabs>
          <w:tab w:val="clear" w:pos="720"/>
          <w:tab w:val="num" w:pos="180"/>
        </w:tabs>
        <w:autoSpaceDE w:val="0"/>
        <w:autoSpaceDN w:val="0"/>
        <w:adjustRightInd w:val="0"/>
        <w:spacing w:after="0" w:line="240" w:lineRule="auto"/>
        <w:ind w:left="0" w:firstLine="0"/>
        <w:rPr>
          <w:rFonts w:cstheme="minorHAnsi"/>
          <w:color w:val="000000"/>
          <w:sz w:val="18"/>
          <w:szCs w:val="18"/>
        </w:rPr>
      </w:pPr>
      <w:r w:rsidRPr="00F351B8">
        <w:rPr>
          <w:rFonts w:cstheme="minorHAnsi"/>
          <w:color w:val="000000"/>
          <w:sz w:val="18"/>
          <w:szCs w:val="18"/>
        </w:rPr>
        <w:t>Year 3 to 9:  An annual 10</w:t>
      </w:r>
      <w:r>
        <w:rPr>
          <w:rFonts w:cstheme="minorHAnsi"/>
          <w:color w:val="000000"/>
          <w:sz w:val="18"/>
          <w:szCs w:val="18"/>
        </w:rPr>
        <w:t xml:space="preserve"> percent</w:t>
      </w:r>
      <w:r w:rsidRPr="00F351B8">
        <w:rPr>
          <w:rFonts w:cstheme="minorHAnsi"/>
          <w:color w:val="000000"/>
          <w:sz w:val="18"/>
          <w:szCs w:val="18"/>
        </w:rPr>
        <w:t xml:space="preserve"> cut for all other products. </w:t>
      </w:r>
    </w:p>
    <w:p w:rsidR="00FE3E5A" w:rsidRPr="00F351B8" w:rsidRDefault="00FE3E5A" w:rsidP="00F96BFA">
      <w:pPr>
        <w:numPr>
          <w:ilvl w:val="0"/>
          <w:numId w:val="6"/>
        </w:numPr>
        <w:tabs>
          <w:tab w:val="clear" w:pos="720"/>
          <w:tab w:val="num" w:pos="180"/>
        </w:tabs>
        <w:autoSpaceDE w:val="0"/>
        <w:autoSpaceDN w:val="0"/>
        <w:adjustRightInd w:val="0"/>
        <w:spacing w:after="0" w:line="240" w:lineRule="auto"/>
        <w:ind w:left="0" w:firstLine="0"/>
        <w:rPr>
          <w:rFonts w:cstheme="minorHAnsi"/>
          <w:color w:val="000000"/>
          <w:sz w:val="18"/>
          <w:szCs w:val="18"/>
        </w:rPr>
      </w:pPr>
      <w:r w:rsidRPr="00F351B8">
        <w:rPr>
          <w:rFonts w:cstheme="minorHAnsi"/>
          <w:color w:val="000000"/>
          <w:sz w:val="18"/>
          <w:szCs w:val="18"/>
        </w:rPr>
        <w:t>Year 10: A 10</w:t>
      </w:r>
      <w:r>
        <w:rPr>
          <w:rFonts w:cstheme="minorHAnsi"/>
          <w:color w:val="000000"/>
          <w:sz w:val="18"/>
          <w:szCs w:val="18"/>
        </w:rPr>
        <w:t xml:space="preserve"> percent</w:t>
      </w:r>
      <w:r w:rsidRPr="00F351B8">
        <w:rPr>
          <w:rFonts w:cstheme="minorHAnsi"/>
          <w:color w:val="000000"/>
          <w:sz w:val="18"/>
          <w:szCs w:val="18"/>
        </w:rPr>
        <w:t xml:space="preserve"> cut for all other products and tariffs still above 5</w:t>
      </w:r>
      <w:r>
        <w:rPr>
          <w:rFonts w:cstheme="minorHAnsi"/>
          <w:color w:val="000000"/>
          <w:sz w:val="18"/>
          <w:szCs w:val="18"/>
        </w:rPr>
        <w:t xml:space="preserve"> percent</w:t>
      </w:r>
      <w:r w:rsidRPr="00F351B8">
        <w:rPr>
          <w:rFonts w:cstheme="minorHAnsi"/>
          <w:color w:val="000000"/>
          <w:sz w:val="18"/>
          <w:szCs w:val="18"/>
        </w:rPr>
        <w:t xml:space="preserve"> are capped at 5</w:t>
      </w:r>
      <w:r>
        <w:rPr>
          <w:rFonts w:cstheme="minorHAnsi"/>
          <w:color w:val="000000"/>
          <w:sz w:val="18"/>
          <w:szCs w:val="18"/>
        </w:rPr>
        <w:t xml:space="preserve"> percent</w:t>
      </w:r>
      <w:r w:rsidRPr="00F351B8">
        <w:rPr>
          <w:rFonts w:cstheme="minorHAnsi"/>
          <w:color w:val="000000"/>
          <w:sz w:val="18"/>
          <w:szCs w:val="18"/>
        </w:rPr>
        <w:t>.</w:t>
      </w:r>
    </w:p>
    <w:p w:rsidR="00FE3E5A" w:rsidRDefault="00FE3E5A" w:rsidP="0014667F">
      <w:pPr>
        <w:pStyle w:val="FootnoteText"/>
      </w:pPr>
    </w:p>
  </w:footnote>
  <w:footnote w:id="118">
    <w:p w:rsidR="00FE3E5A" w:rsidRPr="00105913" w:rsidRDefault="00FE3E5A" w:rsidP="005506A5">
      <w:pPr>
        <w:pStyle w:val="FootnoteText"/>
      </w:pPr>
      <w:r>
        <w:rPr>
          <w:rStyle w:val="FootnoteReference"/>
        </w:rPr>
        <w:footnoteRef/>
      </w:r>
      <w:r>
        <w:t xml:space="preserve"> </w:t>
      </w:r>
      <w:r w:rsidRPr="00304F58">
        <w:rPr>
          <w:rFonts w:eastAsia="Times New Roman" w:cstheme="minorHAnsi"/>
          <w:szCs w:val="18"/>
        </w:rPr>
        <w:t>Database of Non-Tariff Measures of Islamic Republic of Afghanistan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E5A" w:rsidRDefault="00FE3E5A">
    <w:pPr>
      <w:pStyle w:val="Header"/>
    </w:pPr>
    <w:r>
      <w:rPr>
        <w:noProof/>
        <w:lang w:bidi="ar-SA"/>
      </w:rPr>
      <mc:AlternateContent>
        <mc:Choice Requires="wps">
          <w:drawing>
            <wp:anchor distT="0" distB="0" distL="114300" distR="114300" simplePos="0" relativeHeight="251657728" behindDoc="0" locked="0" layoutInCell="0" allowOverlap="1" wp14:anchorId="1CD71380" wp14:editId="0213D186">
              <wp:simplePos x="0" y="0"/>
              <wp:positionH relativeFrom="margin">
                <wp:posOffset>0</wp:posOffset>
              </wp:positionH>
              <wp:positionV relativeFrom="topMargin">
                <wp:posOffset>379730</wp:posOffset>
              </wp:positionV>
              <wp:extent cx="5943600" cy="239395"/>
              <wp:effectExtent l="0" t="0" r="0" b="825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rPr>
                            <w:alias w:val="Title"/>
                            <w:id w:val="587768"/>
                            <w:dataBinding w:prefixMappings="xmlns:ns0='http://schemas.openxmlformats.org/package/2006/metadata/core-properties' xmlns:ns1='http://purl.org/dc/elements/1.1/'" w:xpath="/ns0:coreProperties[1]/ns1:title[1]" w:storeItemID="{6C3C8BC8-F283-45AE-878A-BAB7291924A1}"/>
                            <w:text/>
                          </w:sdtPr>
                          <w:sdtEndPr/>
                          <w:sdtContent>
                            <w:p w:rsidR="00FE3E5A" w:rsidRPr="00437736" w:rsidRDefault="00FE3E5A" w:rsidP="009A1328">
                              <w:pPr>
                                <w:pBdr>
                                  <w:bottom w:val="single" w:sz="4" w:space="1" w:color="auto"/>
                                </w:pBdr>
                                <w:spacing w:after="0" w:line="240" w:lineRule="auto"/>
                                <w:rPr>
                                  <w:u w:val="single"/>
                                </w:rPr>
                              </w:pPr>
                              <w:r>
                                <w:rPr>
                                  <w:b/>
                                </w:rPr>
                                <w:t>Afghanistan Diagnostics Trade Integration Study (DTIS)</w:t>
                              </w:r>
                            </w:p>
                          </w:sdtContent>
                        </w:sdt>
                        <w:p w:rsidR="00FE3E5A" w:rsidRPr="009A1328" w:rsidRDefault="00FE3E5A" w:rsidP="009A1328"/>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97" type="#_x0000_t202" style="position:absolute;left:0;text-align:left;margin-left:0;margin-top:29.9pt;width:468pt;height:18.85pt;z-index:251657728;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" o:allowincell="f" filled="f" stroked="f">
              <v:textbox inset=",0,,0">
                <w:txbxContent>
                  <w:sdt>
                    <w:sdtPr>
                      <w:rPr>
                        <w:b/>
                      </w:rPr>
                      <w:alias w:val="Title"/>
                      <w:id w:val="587768"/>
                      <w:dataBinding w:prefixMappings="xmlns:ns0='http://schemas.openxmlformats.org/package/2006/metadata/core-properties' xmlns:ns1='http://purl.org/dc/elements/1.1/'" w:xpath="/ns0:coreProperties[1]/ns1:title[1]" w:storeItemID="{6C3C8BC8-F283-45AE-878A-BAB7291924A1}"/>
                      <w:text/>
                    </w:sdtPr>
                    <w:sdtContent>
                      <w:p w:rsidR="00FE3E5A" w:rsidRPr="00437736" w:rsidRDefault="00FE3E5A" w:rsidP="009A1328">
                        <w:pPr>
                          <w:pBdr>
                            <w:bottom w:val="single" w:sz="4" w:space="1" w:color="auto"/>
                          </w:pBdr>
                          <w:spacing w:after="0" w:line="240" w:lineRule="auto"/>
                          <w:rPr>
                            <w:u w:val="single"/>
                          </w:rPr>
                        </w:pPr>
                        <w:r>
                          <w:rPr>
                            <w:b/>
                          </w:rPr>
                          <w:t>Afghanistan Diagnostics Trade Integration Study (DTIS)</w:t>
                        </w:r>
                      </w:p>
                    </w:sdtContent>
                  </w:sdt>
                  <w:p w:rsidR="00FE3E5A" w:rsidRPr="009A1328" w:rsidRDefault="00FE3E5A" w:rsidP="009A1328"/>
                </w:txbxContent>
              </v:textbox>
              <w10:wrap anchorx="margin" anchory="margin"/>
            </v:shape>
          </w:pict>
        </mc:Fallback>
      </mc:AlternateContent>
    </w:r>
    <w:r>
      <w:rPr>
        <w:noProof/>
        <w:lang w:bidi="ar-SA"/>
      </w:rPr>
      <mc:AlternateContent>
        <mc:Choice Requires="wps">
          <w:drawing>
            <wp:anchor distT="0" distB="0" distL="114300" distR="114300" simplePos="0" relativeHeight="251656704" behindDoc="0" locked="0" layoutInCell="0" allowOverlap="1" wp14:anchorId="4D59A1C0" wp14:editId="029F12B4">
              <wp:simplePos x="0" y="0"/>
              <wp:positionH relativeFrom="page">
                <wp:align>left</wp:align>
              </wp:positionH>
              <wp:positionV relativeFrom="topMargin">
                <wp:align>center</wp:align>
              </wp:positionV>
              <wp:extent cx="914400" cy="170815"/>
              <wp:effectExtent l="0" t="0" r="0" b="635"/>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E5A" w:rsidRDefault="00FE3E5A">
                          <w:pPr>
                            <w:spacing w:after="0" w:line="240" w:lineRule="auto"/>
                            <w:jc w:val="right"/>
                            <w:rPr>
                              <w:color w:val="FFFFFF" w:themeColor="background1"/>
                            </w:rPr>
                          </w:pPr>
                          <w:r w:rsidRPr="009A1328">
                            <w:rPr>
                              <w:highlight w:val="darkCyan"/>
                            </w:rPr>
                            <w:fldChar w:fldCharType="begin"/>
                          </w:r>
                          <w:r w:rsidRPr="009A1328">
                            <w:rPr>
                              <w:highlight w:val="darkCyan"/>
                            </w:rPr>
                            <w:instrText xml:space="preserve"> PAGE   \* MERGEFORMAT </w:instrText>
                          </w:r>
                          <w:r w:rsidRPr="009A1328">
                            <w:rPr>
                              <w:highlight w:val="darkCyan"/>
                            </w:rPr>
                            <w:fldChar w:fldCharType="separate"/>
                          </w:r>
                          <w:r w:rsidR="00D4318B" w:rsidRPr="00D4318B">
                            <w:rPr>
                              <w:noProof/>
                              <w:color w:val="FFFFFF" w:themeColor="background1"/>
                              <w:highlight w:val="darkCyan"/>
                            </w:rPr>
                            <w:t>39</w:t>
                          </w:r>
                          <w:r w:rsidRPr="009A1328">
                            <w:rPr>
                              <w:highlight w:val="darkCyan"/>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98" type="#_x0000_t202" style="position:absolute;left:0;text-align:left;margin-left:0;margin-top:0;width:1in;height:13.45pt;z-index:25165670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" o:allowincell="f" fillcolor="#7d4d99 [3204]" stroked="f">
              <v:textbox style="mso-fit-shape-to-text:t" inset=",0,,0">
                <w:txbxContent>
                  <w:p w:rsidR="00FE3E5A" w:rsidRDefault="00FE3E5A">
                    <w:pPr>
                      <w:spacing w:after="0" w:line="240" w:lineRule="auto"/>
                      <w:jc w:val="right"/>
                      <w:rPr>
                        <w:color w:val="FFFFFF" w:themeColor="background1"/>
                      </w:rPr>
                    </w:pPr>
                    <w:r w:rsidRPr="009A1328">
                      <w:rPr>
                        <w:highlight w:val="darkCyan"/>
                      </w:rPr>
                      <w:fldChar w:fldCharType="begin"/>
                    </w:r>
                    <w:r w:rsidRPr="009A1328">
                      <w:rPr>
                        <w:highlight w:val="darkCyan"/>
                      </w:rPr>
                      <w:instrText xml:space="preserve"> PAGE   \* MERGEFORMAT </w:instrText>
                    </w:r>
                    <w:r w:rsidRPr="009A1328">
                      <w:rPr>
                        <w:highlight w:val="darkCyan"/>
                      </w:rPr>
                      <w:fldChar w:fldCharType="separate"/>
                    </w:r>
                    <w:r w:rsidR="00D4318B" w:rsidRPr="00D4318B">
                      <w:rPr>
                        <w:noProof/>
                        <w:color w:val="FFFFFF" w:themeColor="background1"/>
                        <w:highlight w:val="darkCyan"/>
                      </w:rPr>
                      <w:t>39</w:t>
                    </w:r>
                    <w:r w:rsidRPr="009A1328">
                      <w:rPr>
                        <w:highlight w:val="darkCyan"/>
                      </w:rPr>
                      <w:fldChar w:fldCharType="end"/>
                    </w:r>
                  </w:p>
                </w:txbxContent>
              </v:textbox>
              <w10:wrap anchorx="page"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E5A" w:rsidRDefault="00FE3E5A">
    <w:pPr>
      <w:pStyle w:val="Header"/>
      <w:jc w:val="center"/>
    </w:pPr>
  </w:p>
  <w:p w:rsidR="00FE3E5A" w:rsidRDefault="00FE3E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DB4A1A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A5593A"/>
    <w:multiLevelType w:val="hybridMultilevel"/>
    <w:tmpl w:val="8834AAD8"/>
    <w:lvl w:ilvl="0" w:tplc="C576D250">
      <w:start w:val="1"/>
      <w:numFmt w:val="decimal"/>
      <w:pStyle w:val="EPPformat"/>
      <w:lvlText w:val="%1."/>
      <w:lvlJc w:val="left"/>
      <w:pPr>
        <w:tabs>
          <w:tab w:val="num" w:pos="360"/>
        </w:tabs>
      </w:pPr>
      <w:rPr>
        <w:rFonts w:cs="Times New Roman" w:hint="default"/>
        <w:b w:val="0"/>
        <w:i w:val="0"/>
      </w:rPr>
    </w:lvl>
    <w:lvl w:ilvl="1" w:tplc="2A823154">
      <w:start w:val="1"/>
      <w:numFmt w:val="lowerLetter"/>
      <w:lvlText w:val="%2)"/>
      <w:lvlJc w:val="left"/>
      <w:pPr>
        <w:tabs>
          <w:tab w:val="num" w:pos="720"/>
        </w:tabs>
        <w:ind w:left="1080"/>
      </w:pPr>
      <w:rPr>
        <w:rFonts w:ascii="Times New Roman" w:eastAsia="Times New Roman" w:hAnsi="Times New Roman" w:cs="Times New Roman"/>
      </w:rPr>
    </w:lvl>
    <w:lvl w:ilvl="2" w:tplc="73C4CA50">
      <w:start w:val="1"/>
      <w:numFmt w:val="lowerRoman"/>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E521314"/>
    <w:multiLevelType w:val="hybridMultilevel"/>
    <w:tmpl w:val="F8A2E6FC"/>
    <w:lvl w:ilvl="0" w:tplc="004262E4">
      <w:start w:val="1"/>
      <w:numFmt w:val="bullet"/>
      <w:pStyle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1731B24"/>
    <w:multiLevelType w:val="hybridMultilevel"/>
    <w:tmpl w:val="B1A0CE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4105CA9"/>
    <w:multiLevelType w:val="hybridMultilevel"/>
    <w:tmpl w:val="31C02244"/>
    <w:lvl w:ilvl="0" w:tplc="3CF28AFA">
      <w:start w:val="1"/>
      <w:numFmt w:val="decimal"/>
      <w:pStyle w:val="ParagraphNumbering"/>
      <w:lvlText w:val="%1.     "/>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E5977F4"/>
    <w:multiLevelType w:val="hybridMultilevel"/>
    <w:tmpl w:val="5D9EE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7901A9"/>
    <w:multiLevelType w:val="hybridMultilevel"/>
    <w:tmpl w:val="AB788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BE79C5"/>
    <w:multiLevelType w:val="hybridMultilevel"/>
    <w:tmpl w:val="BBCAE264"/>
    <w:lvl w:ilvl="0" w:tplc="88081EF6">
      <w:start w:val="1"/>
      <w:numFmt w:val="lowerRoman"/>
      <w:lvlText w:val="%1)"/>
      <w:lvlJc w:val="left"/>
      <w:pPr>
        <w:tabs>
          <w:tab w:val="num" w:pos="915"/>
        </w:tabs>
        <w:ind w:left="915" w:hanging="825"/>
      </w:pPr>
      <w:rPr>
        <w:rFonts w:cs="Times New Roman"/>
      </w:rPr>
    </w:lvl>
    <w:lvl w:ilvl="1" w:tplc="CB4A84D8">
      <w:start w:val="3"/>
      <w:numFmt w:val="upperRoman"/>
      <w:lvlText w:val="%2."/>
      <w:lvlJc w:val="left"/>
      <w:pPr>
        <w:tabs>
          <w:tab w:val="num" w:pos="1620"/>
        </w:tabs>
        <w:ind w:left="1620" w:hanging="720"/>
      </w:pPr>
      <w:rPr>
        <w:rFonts w:cs="Times New Roman"/>
      </w:rPr>
    </w:lvl>
    <w:lvl w:ilvl="2" w:tplc="0409001B">
      <w:start w:val="1"/>
      <w:numFmt w:val="lowerRoman"/>
      <w:lvlText w:val="%3."/>
      <w:lvlJc w:val="right"/>
      <w:pPr>
        <w:tabs>
          <w:tab w:val="num" w:pos="1890"/>
        </w:tabs>
        <w:ind w:left="1890" w:hanging="180"/>
      </w:pPr>
      <w:rPr>
        <w:rFonts w:cs="Times New Roman"/>
      </w:rPr>
    </w:lvl>
    <w:lvl w:ilvl="3" w:tplc="0409000F">
      <w:start w:val="1"/>
      <w:numFmt w:val="decimal"/>
      <w:lvlText w:val="%4."/>
      <w:lvlJc w:val="left"/>
      <w:pPr>
        <w:tabs>
          <w:tab w:val="num" w:pos="2610"/>
        </w:tabs>
        <w:ind w:left="2610" w:hanging="360"/>
      </w:pPr>
      <w:rPr>
        <w:rFonts w:cs="Times New Roman"/>
      </w:rPr>
    </w:lvl>
    <w:lvl w:ilvl="4" w:tplc="04090019">
      <w:start w:val="1"/>
      <w:numFmt w:val="lowerLetter"/>
      <w:lvlText w:val="%5."/>
      <w:lvlJc w:val="left"/>
      <w:pPr>
        <w:tabs>
          <w:tab w:val="num" w:pos="3330"/>
        </w:tabs>
        <w:ind w:left="3330" w:hanging="360"/>
      </w:pPr>
      <w:rPr>
        <w:rFonts w:cs="Times New Roman"/>
      </w:rPr>
    </w:lvl>
    <w:lvl w:ilvl="5" w:tplc="0409001B">
      <w:start w:val="1"/>
      <w:numFmt w:val="lowerRoman"/>
      <w:lvlText w:val="%6."/>
      <w:lvlJc w:val="right"/>
      <w:pPr>
        <w:tabs>
          <w:tab w:val="num" w:pos="4050"/>
        </w:tabs>
        <w:ind w:left="4050" w:hanging="180"/>
      </w:pPr>
      <w:rPr>
        <w:rFonts w:cs="Times New Roman"/>
      </w:rPr>
    </w:lvl>
    <w:lvl w:ilvl="6" w:tplc="0409000F">
      <w:start w:val="1"/>
      <w:numFmt w:val="decimal"/>
      <w:lvlText w:val="%7."/>
      <w:lvlJc w:val="left"/>
      <w:pPr>
        <w:tabs>
          <w:tab w:val="num" w:pos="4770"/>
        </w:tabs>
        <w:ind w:left="4770" w:hanging="360"/>
      </w:pPr>
      <w:rPr>
        <w:rFonts w:cs="Times New Roman"/>
      </w:rPr>
    </w:lvl>
    <w:lvl w:ilvl="7" w:tplc="04090019">
      <w:start w:val="1"/>
      <w:numFmt w:val="lowerLetter"/>
      <w:lvlText w:val="%8."/>
      <w:lvlJc w:val="left"/>
      <w:pPr>
        <w:tabs>
          <w:tab w:val="num" w:pos="5490"/>
        </w:tabs>
        <w:ind w:left="5490" w:hanging="360"/>
      </w:pPr>
      <w:rPr>
        <w:rFonts w:cs="Times New Roman"/>
      </w:rPr>
    </w:lvl>
    <w:lvl w:ilvl="8" w:tplc="0409001B">
      <w:start w:val="1"/>
      <w:numFmt w:val="lowerRoman"/>
      <w:lvlText w:val="%9."/>
      <w:lvlJc w:val="right"/>
      <w:pPr>
        <w:tabs>
          <w:tab w:val="num" w:pos="6210"/>
        </w:tabs>
        <w:ind w:left="6210" w:hanging="180"/>
      </w:pPr>
      <w:rPr>
        <w:rFonts w:cs="Times New Roman"/>
      </w:rPr>
    </w:lvl>
  </w:abstractNum>
  <w:abstractNum w:abstractNumId="8">
    <w:nsid w:val="24255DDE"/>
    <w:multiLevelType w:val="hybridMultilevel"/>
    <w:tmpl w:val="773CC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6E7AE0"/>
    <w:multiLevelType w:val="hybridMultilevel"/>
    <w:tmpl w:val="7F1A7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F2103F"/>
    <w:multiLevelType w:val="hybridMultilevel"/>
    <w:tmpl w:val="F5DC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A9557F"/>
    <w:multiLevelType w:val="hybridMultilevel"/>
    <w:tmpl w:val="7CE60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2F30D6"/>
    <w:multiLevelType w:val="hybridMultilevel"/>
    <w:tmpl w:val="5E4ACA8E"/>
    <w:lvl w:ilvl="0" w:tplc="2862AAC4">
      <w:start w:val="1"/>
      <w:numFmt w:val="bullet"/>
      <w:pStyle w:val="Boxbullet"/>
      <w:lvlText w:val=""/>
      <w:lvlJc w:val="left"/>
      <w:pPr>
        <w:ind w:left="720" w:hanging="360"/>
      </w:pPr>
      <w:rPr>
        <w:rFonts w:ascii="Symbol" w:hAnsi="Symbol" w:hint="default"/>
      </w:rPr>
    </w:lvl>
    <w:lvl w:ilvl="1" w:tplc="E4A055CE">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3E12CC"/>
    <w:multiLevelType w:val="hybridMultilevel"/>
    <w:tmpl w:val="87B6C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0B533F"/>
    <w:multiLevelType w:val="hybridMultilevel"/>
    <w:tmpl w:val="C3B6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2B5D88"/>
    <w:multiLevelType w:val="hybridMultilevel"/>
    <w:tmpl w:val="0B02AB90"/>
    <w:lvl w:ilvl="0" w:tplc="D93C7ACA">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0F168C"/>
    <w:multiLevelType w:val="hybridMultilevel"/>
    <w:tmpl w:val="36C6A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374BFD"/>
    <w:multiLevelType w:val="multilevel"/>
    <w:tmpl w:val="10446D5E"/>
    <w:styleLink w:val="iimi"/>
    <w:lvl w:ilvl="0">
      <w:start w:val="2"/>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6E8A0438"/>
    <w:multiLevelType w:val="hybridMultilevel"/>
    <w:tmpl w:val="2FB80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C15477"/>
    <w:multiLevelType w:val="hybridMultilevel"/>
    <w:tmpl w:val="4F42FB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C620F6C"/>
    <w:multiLevelType w:val="hybridMultilevel"/>
    <w:tmpl w:val="8C8C5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0"/>
  </w:num>
  <w:num w:numId="4">
    <w:abstractNumId w:val="4"/>
  </w:num>
  <w:num w:numId="5">
    <w:abstractNumId w:val="17"/>
  </w:num>
  <w:num w:numId="6">
    <w:abstractNumId w:val="19"/>
  </w:num>
  <w:num w:numId="7">
    <w:abstractNumId w:val="8"/>
  </w:num>
  <w:num w:numId="8">
    <w:abstractNumId w:val="5"/>
  </w:num>
  <w:num w:numId="9">
    <w:abstractNumId w:val="15"/>
  </w:num>
  <w:num w:numId="10">
    <w:abstractNumId w:val="3"/>
  </w:num>
  <w:num w:numId="11">
    <w:abstractNumId w:val="14"/>
  </w:num>
  <w:num w:numId="12">
    <w:abstractNumId w:val="11"/>
  </w:num>
  <w:num w:numId="13">
    <w:abstractNumId w:val="18"/>
  </w:num>
  <w:num w:numId="14">
    <w:abstractNumId w:val="16"/>
  </w:num>
  <w:num w:numId="15">
    <w:abstractNumId w:val="1"/>
  </w:num>
  <w:num w:numId="16">
    <w:abstractNumId w:val="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9"/>
  </w:num>
  <w:num w:numId="19">
    <w:abstractNumId w:val="10"/>
  </w:num>
  <w:num w:numId="20">
    <w:abstractNumId w:val="13"/>
  </w:num>
  <w:num w:numId="21">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2C7"/>
    <w:rsid w:val="0000115D"/>
    <w:rsid w:val="00001334"/>
    <w:rsid w:val="0000338C"/>
    <w:rsid w:val="0000353B"/>
    <w:rsid w:val="00003A3C"/>
    <w:rsid w:val="0000418F"/>
    <w:rsid w:val="00004666"/>
    <w:rsid w:val="00005B07"/>
    <w:rsid w:val="0000721C"/>
    <w:rsid w:val="00010A6F"/>
    <w:rsid w:val="00010C9A"/>
    <w:rsid w:val="00011F20"/>
    <w:rsid w:val="00011F97"/>
    <w:rsid w:val="0001384C"/>
    <w:rsid w:val="0001424C"/>
    <w:rsid w:val="00014684"/>
    <w:rsid w:val="00014B8C"/>
    <w:rsid w:val="00015E11"/>
    <w:rsid w:val="000162BE"/>
    <w:rsid w:val="0001670C"/>
    <w:rsid w:val="00017498"/>
    <w:rsid w:val="00017617"/>
    <w:rsid w:val="00020DF2"/>
    <w:rsid w:val="00021175"/>
    <w:rsid w:val="00021686"/>
    <w:rsid w:val="000226BE"/>
    <w:rsid w:val="000246B3"/>
    <w:rsid w:val="00024CEA"/>
    <w:rsid w:val="0002514C"/>
    <w:rsid w:val="000255D0"/>
    <w:rsid w:val="000262E4"/>
    <w:rsid w:val="00026545"/>
    <w:rsid w:val="00026C90"/>
    <w:rsid w:val="00027112"/>
    <w:rsid w:val="000271F8"/>
    <w:rsid w:val="000306ED"/>
    <w:rsid w:val="000307E5"/>
    <w:rsid w:val="00030D65"/>
    <w:rsid w:val="000317C3"/>
    <w:rsid w:val="000319B1"/>
    <w:rsid w:val="00032378"/>
    <w:rsid w:val="00032511"/>
    <w:rsid w:val="00032905"/>
    <w:rsid w:val="00032AC2"/>
    <w:rsid w:val="00033EA1"/>
    <w:rsid w:val="000349B4"/>
    <w:rsid w:val="000350EB"/>
    <w:rsid w:val="00035F7A"/>
    <w:rsid w:val="00036053"/>
    <w:rsid w:val="00036D49"/>
    <w:rsid w:val="0003707B"/>
    <w:rsid w:val="00037282"/>
    <w:rsid w:val="0004028A"/>
    <w:rsid w:val="00040911"/>
    <w:rsid w:val="000410C2"/>
    <w:rsid w:val="000410DF"/>
    <w:rsid w:val="00041602"/>
    <w:rsid w:val="00041673"/>
    <w:rsid w:val="00042330"/>
    <w:rsid w:val="00042638"/>
    <w:rsid w:val="0004349D"/>
    <w:rsid w:val="000436CD"/>
    <w:rsid w:val="0004389A"/>
    <w:rsid w:val="00044696"/>
    <w:rsid w:val="000457F4"/>
    <w:rsid w:val="0004692B"/>
    <w:rsid w:val="000474D6"/>
    <w:rsid w:val="00047EB2"/>
    <w:rsid w:val="0005346D"/>
    <w:rsid w:val="00054828"/>
    <w:rsid w:val="00054A3F"/>
    <w:rsid w:val="000554A1"/>
    <w:rsid w:val="00056900"/>
    <w:rsid w:val="00057432"/>
    <w:rsid w:val="00057DFF"/>
    <w:rsid w:val="0006102D"/>
    <w:rsid w:val="00061369"/>
    <w:rsid w:val="00061832"/>
    <w:rsid w:val="000624CE"/>
    <w:rsid w:val="000628A1"/>
    <w:rsid w:val="00063454"/>
    <w:rsid w:val="000634D7"/>
    <w:rsid w:val="00063821"/>
    <w:rsid w:val="00063FB9"/>
    <w:rsid w:val="00064A31"/>
    <w:rsid w:val="0006505E"/>
    <w:rsid w:val="00065E29"/>
    <w:rsid w:val="00066085"/>
    <w:rsid w:val="000663B3"/>
    <w:rsid w:val="000667F7"/>
    <w:rsid w:val="0006716C"/>
    <w:rsid w:val="000678D6"/>
    <w:rsid w:val="00070FBB"/>
    <w:rsid w:val="000714DC"/>
    <w:rsid w:val="00071539"/>
    <w:rsid w:val="000726EA"/>
    <w:rsid w:val="0007419B"/>
    <w:rsid w:val="0007436F"/>
    <w:rsid w:val="00076419"/>
    <w:rsid w:val="00076492"/>
    <w:rsid w:val="0007651A"/>
    <w:rsid w:val="00080711"/>
    <w:rsid w:val="00080D6F"/>
    <w:rsid w:val="000810CF"/>
    <w:rsid w:val="00083A05"/>
    <w:rsid w:val="000845DD"/>
    <w:rsid w:val="00084729"/>
    <w:rsid w:val="000848D9"/>
    <w:rsid w:val="00084EE4"/>
    <w:rsid w:val="00084FAF"/>
    <w:rsid w:val="0008588A"/>
    <w:rsid w:val="00085AF0"/>
    <w:rsid w:val="00086299"/>
    <w:rsid w:val="00086CAA"/>
    <w:rsid w:val="00087BBF"/>
    <w:rsid w:val="00087DC0"/>
    <w:rsid w:val="00090613"/>
    <w:rsid w:val="0009273F"/>
    <w:rsid w:val="000934CE"/>
    <w:rsid w:val="000936C2"/>
    <w:rsid w:val="00095DA1"/>
    <w:rsid w:val="00096F7B"/>
    <w:rsid w:val="0009730D"/>
    <w:rsid w:val="0009777F"/>
    <w:rsid w:val="00097BA1"/>
    <w:rsid w:val="00097BAD"/>
    <w:rsid w:val="00097D48"/>
    <w:rsid w:val="000A1A38"/>
    <w:rsid w:val="000A1E86"/>
    <w:rsid w:val="000A20A0"/>
    <w:rsid w:val="000A2154"/>
    <w:rsid w:val="000A4282"/>
    <w:rsid w:val="000A4413"/>
    <w:rsid w:val="000A47A8"/>
    <w:rsid w:val="000A48EB"/>
    <w:rsid w:val="000A512E"/>
    <w:rsid w:val="000A5D0F"/>
    <w:rsid w:val="000A7052"/>
    <w:rsid w:val="000A7554"/>
    <w:rsid w:val="000A7598"/>
    <w:rsid w:val="000A7602"/>
    <w:rsid w:val="000A7B61"/>
    <w:rsid w:val="000B0B30"/>
    <w:rsid w:val="000B29B5"/>
    <w:rsid w:val="000B30D5"/>
    <w:rsid w:val="000B31EA"/>
    <w:rsid w:val="000B364F"/>
    <w:rsid w:val="000B3B93"/>
    <w:rsid w:val="000B3BEF"/>
    <w:rsid w:val="000B3ED0"/>
    <w:rsid w:val="000B5FDE"/>
    <w:rsid w:val="000B620D"/>
    <w:rsid w:val="000B73A8"/>
    <w:rsid w:val="000B77EE"/>
    <w:rsid w:val="000B7C61"/>
    <w:rsid w:val="000C088E"/>
    <w:rsid w:val="000C0B93"/>
    <w:rsid w:val="000C0E92"/>
    <w:rsid w:val="000C1BAC"/>
    <w:rsid w:val="000C29A5"/>
    <w:rsid w:val="000C2C06"/>
    <w:rsid w:val="000C2F1E"/>
    <w:rsid w:val="000C3068"/>
    <w:rsid w:val="000C3F93"/>
    <w:rsid w:val="000C401D"/>
    <w:rsid w:val="000C45D5"/>
    <w:rsid w:val="000C4760"/>
    <w:rsid w:val="000C6782"/>
    <w:rsid w:val="000C6EAD"/>
    <w:rsid w:val="000D18BC"/>
    <w:rsid w:val="000D1F4B"/>
    <w:rsid w:val="000D241D"/>
    <w:rsid w:val="000D320A"/>
    <w:rsid w:val="000D5245"/>
    <w:rsid w:val="000D5E56"/>
    <w:rsid w:val="000D618B"/>
    <w:rsid w:val="000D70AD"/>
    <w:rsid w:val="000D7274"/>
    <w:rsid w:val="000D7F13"/>
    <w:rsid w:val="000E0645"/>
    <w:rsid w:val="000E06EB"/>
    <w:rsid w:val="000E0CEE"/>
    <w:rsid w:val="000E1185"/>
    <w:rsid w:val="000E1504"/>
    <w:rsid w:val="000E1871"/>
    <w:rsid w:val="000E1B8F"/>
    <w:rsid w:val="000E2993"/>
    <w:rsid w:val="000E2CC7"/>
    <w:rsid w:val="000E3698"/>
    <w:rsid w:val="000E37EC"/>
    <w:rsid w:val="000E3800"/>
    <w:rsid w:val="000E3D22"/>
    <w:rsid w:val="000E3EA8"/>
    <w:rsid w:val="000E5A07"/>
    <w:rsid w:val="000E5B5B"/>
    <w:rsid w:val="000E65BA"/>
    <w:rsid w:val="000E71F2"/>
    <w:rsid w:val="000E79BD"/>
    <w:rsid w:val="000F0F2B"/>
    <w:rsid w:val="000F156B"/>
    <w:rsid w:val="000F1E5D"/>
    <w:rsid w:val="000F24BD"/>
    <w:rsid w:val="000F2A0B"/>
    <w:rsid w:val="000F37B8"/>
    <w:rsid w:val="000F3A63"/>
    <w:rsid w:val="000F4650"/>
    <w:rsid w:val="000F63C4"/>
    <w:rsid w:val="000F7092"/>
    <w:rsid w:val="000F71A2"/>
    <w:rsid w:val="000F7C15"/>
    <w:rsid w:val="0010028D"/>
    <w:rsid w:val="001013E9"/>
    <w:rsid w:val="00101989"/>
    <w:rsid w:val="00101A4B"/>
    <w:rsid w:val="0010220C"/>
    <w:rsid w:val="00102635"/>
    <w:rsid w:val="00102F02"/>
    <w:rsid w:val="00103C3D"/>
    <w:rsid w:val="00103F43"/>
    <w:rsid w:val="0010423B"/>
    <w:rsid w:val="00104F80"/>
    <w:rsid w:val="00105DF8"/>
    <w:rsid w:val="00106954"/>
    <w:rsid w:val="00106B01"/>
    <w:rsid w:val="00106D10"/>
    <w:rsid w:val="00107D63"/>
    <w:rsid w:val="001100F0"/>
    <w:rsid w:val="00111503"/>
    <w:rsid w:val="0011218A"/>
    <w:rsid w:val="00113235"/>
    <w:rsid w:val="0011447B"/>
    <w:rsid w:val="00114C78"/>
    <w:rsid w:val="00114DB2"/>
    <w:rsid w:val="00115786"/>
    <w:rsid w:val="0011630C"/>
    <w:rsid w:val="00117B92"/>
    <w:rsid w:val="001200A5"/>
    <w:rsid w:val="0012127D"/>
    <w:rsid w:val="00121D78"/>
    <w:rsid w:val="0012331A"/>
    <w:rsid w:val="00124747"/>
    <w:rsid w:val="0012514F"/>
    <w:rsid w:val="0012772C"/>
    <w:rsid w:val="00127971"/>
    <w:rsid w:val="00127A91"/>
    <w:rsid w:val="00127BB7"/>
    <w:rsid w:val="00130257"/>
    <w:rsid w:val="001305C0"/>
    <w:rsid w:val="00131431"/>
    <w:rsid w:val="00132782"/>
    <w:rsid w:val="001345FB"/>
    <w:rsid w:val="00134A4E"/>
    <w:rsid w:val="001358E4"/>
    <w:rsid w:val="00135BDE"/>
    <w:rsid w:val="00135E9B"/>
    <w:rsid w:val="00135F9A"/>
    <w:rsid w:val="001364D1"/>
    <w:rsid w:val="00137140"/>
    <w:rsid w:val="001377E2"/>
    <w:rsid w:val="00137D03"/>
    <w:rsid w:val="00137E7F"/>
    <w:rsid w:val="00140204"/>
    <w:rsid w:val="00140397"/>
    <w:rsid w:val="00140FF4"/>
    <w:rsid w:val="001425B1"/>
    <w:rsid w:val="001428CE"/>
    <w:rsid w:val="001429C2"/>
    <w:rsid w:val="00143500"/>
    <w:rsid w:val="00146447"/>
    <w:rsid w:val="0014667F"/>
    <w:rsid w:val="0014694C"/>
    <w:rsid w:val="00147559"/>
    <w:rsid w:val="001505A3"/>
    <w:rsid w:val="001505CE"/>
    <w:rsid w:val="00150B58"/>
    <w:rsid w:val="00151314"/>
    <w:rsid w:val="001514CD"/>
    <w:rsid w:val="001545F6"/>
    <w:rsid w:val="00155B8D"/>
    <w:rsid w:val="001563C8"/>
    <w:rsid w:val="0015652F"/>
    <w:rsid w:val="00157018"/>
    <w:rsid w:val="00157FCD"/>
    <w:rsid w:val="001613F9"/>
    <w:rsid w:val="00161D33"/>
    <w:rsid w:val="00162946"/>
    <w:rsid w:val="00162996"/>
    <w:rsid w:val="00162A15"/>
    <w:rsid w:val="00163CD0"/>
    <w:rsid w:val="00164772"/>
    <w:rsid w:val="0016498B"/>
    <w:rsid w:val="00164CBA"/>
    <w:rsid w:val="00165DFE"/>
    <w:rsid w:val="001660CA"/>
    <w:rsid w:val="00167426"/>
    <w:rsid w:val="001675C3"/>
    <w:rsid w:val="00167B4E"/>
    <w:rsid w:val="00170AC1"/>
    <w:rsid w:val="00170C67"/>
    <w:rsid w:val="0017167F"/>
    <w:rsid w:val="00171D11"/>
    <w:rsid w:val="001737FA"/>
    <w:rsid w:val="0017424C"/>
    <w:rsid w:val="00174B8F"/>
    <w:rsid w:val="00175282"/>
    <w:rsid w:val="00175456"/>
    <w:rsid w:val="00175CEA"/>
    <w:rsid w:val="00175DD3"/>
    <w:rsid w:val="001765BD"/>
    <w:rsid w:val="00176AB1"/>
    <w:rsid w:val="00176E30"/>
    <w:rsid w:val="00177B84"/>
    <w:rsid w:val="00177F85"/>
    <w:rsid w:val="00180067"/>
    <w:rsid w:val="00180D30"/>
    <w:rsid w:val="00180DD3"/>
    <w:rsid w:val="00180E16"/>
    <w:rsid w:val="001814CE"/>
    <w:rsid w:val="001835B9"/>
    <w:rsid w:val="001839A4"/>
    <w:rsid w:val="001862A2"/>
    <w:rsid w:val="00186A47"/>
    <w:rsid w:val="00186F9F"/>
    <w:rsid w:val="001878DB"/>
    <w:rsid w:val="001918D5"/>
    <w:rsid w:val="00192233"/>
    <w:rsid w:val="00193526"/>
    <w:rsid w:val="00194757"/>
    <w:rsid w:val="00194D29"/>
    <w:rsid w:val="00196B6A"/>
    <w:rsid w:val="00196C4A"/>
    <w:rsid w:val="00196D2D"/>
    <w:rsid w:val="001971E5"/>
    <w:rsid w:val="0019762F"/>
    <w:rsid w:val="001A04B2"/>
    <w:rsid w:val="001A0852"/>
    <w:rsid w:val="001A0CFC"/>
    <w:rsid w:val="001A1712"/>
    <w:rsid w:val="001A174D"/>
    <w:rsid w:val="001A265C"/>
    <w:rsid w:val="001A2700"/>
    <w:rsid w:val="001A2A03"/>
    <w:rsid w:val="001A2E38"/>
    <w:rsid w:val="001A3BEC"/>
    <w:rsid w:val="001A4069"/>
    <w:rsid w:val="001A52D3"/>
    <w:rsid w:val="001A56CF"/>
    <w:rsid w:val="001A5903"/>
    <w:rsid w:val="001A6089"/>
    <w:rsid w:val="001A60DA"/>
    <w:rsid w:val="001A6142"/>
    <w:rsid w:val="001A6830"/>
    <w:rsid w:val="001A6F1B"/>
    <w:rsid w:val="001A749F"/>
    <w:rsid w:val="001A7599"/>
    <w:rsid w:val="001B07DD"/>
    <w:rsid w:val="001B0EA6"/>
    <w:rsid w:val="001B10C0"/>
    <w:rsid w:val="001B138C"/>
    <w:rsid w:val="001B3650"/>
    <w:rsid w:val="001B3FC4"/>
    <w:rsid w:val="001B5995"/>
    <w:rsid w:val="001B603A"/>
    <w:rsid w:val="001B6E9D"/>
    <w:rsid w:val="001B7581"/>
    <w:rsid w:val="001B77F7"/>
    <w:rsid w:val="001C0136"/>
    <w:rsid w:val="001C0FAB"/>
    <w:rsid w:val="001C1029"/>
    <w:rsid w:val="001C1363"/>
    <w:rsid w:val="001C18ED"/>
    <w:rsid w:val="001C1B15"/>
    <w:rsid w:val="001C20C1"/>
    <w:rsid w:val="001C21A6"/>
    <w:rsid w:val="001C24AA"/>
    <w:rsid w:val="001C31B6"/>
    <w:rsid w:val="001C3443"/>
    <w:rsid w:val="001C3468"/>
    <w:rsid w:val="001C4610"/>
    <w:rsid w:val="001C486F"/>
    <w:rsid w:val="001C5198"/>
    <w:rsid w:val="001C65FA"/>
    <w:rsid w:val="001C7A1D"/>
    <w:rsid w:val="001D0215"/>
    <w:rsid w:val="001D0BBF"/>
    <w:rsid w:val="001D15D2"/>
    <w:rsid w:val="001D2274"/>
    <w:rsid w:val="001D3EF6"/>
    <w:rsid w:val="001D427B"/>
    <w:rsid w:val="001D4B57"/>
    <w:rsid w:val="001D4F5C"/>
    <w:rsid w:val="001D5270"/>
    <w:rsid w:val="001D638C"/>
    <w:rsid w:val="001D7E02"/>
    <w:rsid w:val="001E08DE"/>
    <w:rsid w:val="001E22E7"/>
    <w:rsid w:val="001E288C"/>
    <w:rsid w:val="001E3900"/>
    <w:rsid w:val="001E460A"/>
    <w:rsid w:val="001E541C"/>
    <w:rsid w:val="001E5B06"/>
    <w:rsid w:val="001E6D4A"/>
    <w:rsid w:val="001E6E53"/>
    <w:rsid w:val="001E6FA0"/>
    <w:rsid w:val="001E70B5"/>
    <w:rsid w:val="001E7E3B"/>
    <w:rsid w:val="001E7ED7"/>
    <w:rsid w:val="001F032B"/>
    <w:rsid w:val="001F058F"/>
    <w:rsid w:val="001F12C6"/>
    <w:rsid w:val="001F182B"/>
    <w:rsid w:val="001F1B43"/>
    <w:rsid w:val="001F3561"/>
    <w:rsid w:val="001F5087"/>
    <w:rsid w:val="001F5C0D"/>
    <w:rsid w:val="001F5F06"/>
    <w:rsid w:val="001F60B5"/>
    <w:rsid w:val="001F6223"/>
    <w:rsid w:val="001F6902"/>
    <w:rsid w:val="001F79EC"/>
    <w:rsid w:val="001F7C99"/>
    <w:rsid w:val="00200239"/>
    <w:rsid w:val="00200AD3"/>
    <w:rsid w:val="00200C46"/>
    <w:rsid w:val="002011BB"/>
    <w:rsid w:val="00201672"/>
    <w:rsid w:val="00201699"/>
    <w:rsid w:val="002029FB"/>
    <w:rsid w:val="00202AEA"/>
    <w:rsid w:val="00203C32"/>
    <w:rsid w:val="00203CAD"/>
    <w:rsid w:val="0020409C"/>
    <w:rsid w:val="00204C71"/>
    <w:rsid w:val="00204EB7"/>
    <w:rsid w:val="00206268"/>
    <w:rsid w:val="00206A94"/>
    <w:rsid w:val="002073C5"/>
    <w:rsid w:val="002075B6"/>
    <w:rsid w:val="00207B56"/>
    <w:rsid w:val="00207F15"/>
    <w:rsid w:val="0021079D"/>
    <w:rsid w:val="0021112F"/>
    <w:rsid w:val="002113C4"/>
    <w:rsid w:val="0021191A"/>
    <w:rsid w:val="0021196E"/>
    <w:rsid w:val="00211DB0"/>
    <w:rsid w:val="002128AC"/>
    <w:rsid w:val="00212988"/>
    <w:rsid w:val="00213B5C"/>
    <w:rsid w:val="00213D8E"/>
    <w:rsid w:val="00214056"/>
    <w:rsid w:val="00216A11"/>
    <w:rsid w:val="00217591"/>
    <w:rsid w:val="002209FE"/>
    <w:rsid w:val="002214AA"/>
    <w:rsid w:val="00222542"/>
    <w:rsid w:val="0022255D"/>
    <w:rsid w:val="00222ADB"/>
    <w:rsid w:val="00222F5B"/>
    <w:rsid w:val="00223157"/>
    <w:rsid w:val="0022401F"/>
    <w:rsid w:val="00225A46"/>
    <w:rsid w:val="00225A71"/>
    <w:rsid w:val="00226A21"/>
    <w:rsid w:val="00227DE3"/>
    <w:rsid w:val="00227F45"/>
    <w:rsid w:val="0023128B"/>
    <w:rsid w:val="0023143F"/>
    <w:rsid w:val="0023154C"/>
    <w:rsid w:val="00231838"/>
    <w:rsid w:val="00231EDB"/>
    <w:rsid w:val="002330AD"/>
    <w:rsid w:val="002337B1"/>
    <w:rsid w:val="002339C7"/>
    <w:rsid w:val="002341E7"/>
    <w:rsid w:val="002343EA"/>
    <w:rsid w:val="002344DE"/>
    <w:rsid w:val="002345A0"/>
    <w:rsid w:val="00234846"/>
    <w:rsid w:val="00234986"/>
    <w:rsid w:val="00234A9B"/>
    <w:rsid w:val="00234FC3"/>
    <w:rsid w:val="00235C26"/>
    <w:rsid w:val="00236518"/>
    <w:rsid w:val="002365F1"/>
    <w:rsid w:val="00240479"/>
    <w:rsid w:val="00240578"/>
    <w:rsid w:val="00242024"/>
    <w:rsid w:val="002427FC"/>
    <w:rsid w:val="002429B7"/>
    <w:rsid w:val="002457B7"/>
    <w:rsid w:val="00245DD4"/>
    <w:rsid w:val="002460FA"/>
    <w:rsid w:val="00246940"/>
    <w:rsid w:val="00246DC3"/>
    <w:rsid w:val="00246E67"/>
    <w:rsid w:val="00250977"/>
    <w:rsid w:val="00251513"/>
    <w:rsid w:val="00251801"/>
    <w:rsid w:val="00252647"/>
    <w:rsid w:val="00252748"/>
    <w:rsid w:val="00252C9D"/>
    <w:rsid w:val="002544C3"/>
    <w:rsid w:val="002545A8"/>
    <w:rsid w:val="00255526"/>
    <w:rsid w:val="002562E7"/>
    <w:rsid w:val="0026129F"/>
    <w:rsid w:val="002613D8"/>
    <w:rsid w:val="00261747"/>
    <w:rsid w:val="00261AFC"/>
    <w:rsid w:val="00262A61"/>
    <w:rsid w:val="00263078"/>
    <w:rsid w:val="002639F5"/>
    <w:rsid w:val="00264783"/>
    <w:rsid w:val="0026484B"/>
    <w:rsid w:val="00264DEF"/>
    <w:rsid w:val="00266427"/>
    <w:rsid w:val="002665AB"/>
    <w:rsid w:val="00267764"/>
    <w:rsid w:val="00271264"/>
    <w:rsid w:val="0027137C"/>
    <w:rsid w:val="00271972"/>
    <w:rsid w:val="00272D33"/>
    <w:rsid w:val="002739A5"/>
    <w:rsid w:val="00274415"/>
    <w:rsid w:val="002753E1"/>
    <w:rsid w:val="002757CF"/>
    <w:rsid w:val="002757F0"/>
    <w:rsid w:val="00275AE6"/>
    <w:rsid w:val="00276D57"/>
    <w:rsid w:val="002804D7"/>
    <w:rsid w:val="00280506"/>
    <w:rsid w:val="00280537"/>
    <w:rsid w:val="00280594"/>
    <w:rsid w:val="0028098B"/>
    <w:rsid w:val="00280A83"/>
    <w:rsid w:val="002814C0"/>
    <w:rsid w:val="00281B01"/>
    <w:rsid w:val="00281D12"/>
    <w:rsid w:val="00282044"/>
    <w:rsid w:val="002824B6"/>
    <w:rsid w:val="00282714"/>
    <w:rsid w:val="00282AA6"/>
    <w:rsid w:val="00282D3F"/>
    <w:rsid w:val="002830A1"/>
    <w:rsid w:val="0028399E"/>
    <w:rsid w:val="00284962"/>
    <w:rsid w:val="00284A25"/>
    <w:rsid w:val="00284FD8"/>
    <w:rsid w:val="00285B8F"/>
    <w:rsid w:val="00286358"/>
    <w:rsid w:val="00286847"/>
    <w:rsid w:val="00286957"/>
    <w:rsid w:val="00286BCE"/>
    <w:rsid w:val="00287569"/>
    <w:rsid w:val="00292518"/>
    <w:rsid w:val="00292F60"/>
    <w:rsid w:val="00292FE6"/>
    <w:rsid w:val="002945FD"/>
    <w:rsid w:val="0029476F"/>
    <w:rsid w:val="00294D9E"/>
    <w:rsid w:val="00294E5A"/>
    <w:rsid w:val="00296005"/>
    <w:rsid w:val="00296F32"/>
    <w:rsid w:val="00296FE6"/>
    <w:rsid w:val="002973BD"/>
    <w:rsid w:val="002A0A71"/>
    <w:rsid w:val="002A1E65"/>
    <w:rsid w:val="002A39DC"/>
    <w:rsid w:val="002A3CD8"/>
    <w:rsid w:val="002A45A9"/>
    <w:rsid w:val="002A4620"/>
    <w:rsid w:val="002A6431"/>
    <w:rsid w:val="002A6A34"/>
    <w:rsid w:val="002A7441"/>
    <w:rsid w:val="002A74B2"/>
    <w:rsid w:val="002A75D3"/>
    <w:rsid w:val="002B16E1"/>
    <w:rsid w:val="002B171A"/>
    <w:rsid w:val="002B174C"/>
    <w:rsid w:val="002B444B"/>
    <w:rsid w:val="002B4726"/>
    <w:rsid w:val="002B4B35"/>
    <w:rsid w:val="002B5638"/>
    <w:rsid w:val="002B69A2"/>
    <w:rsid w:val="002B7BD5"/>
    <w:rsid w:val="002C0551"/>
    <w:rsid w:val="002C070F"/>
    <w:rsid w:val="002C0A5F"/>
    <w:rsid w:val="002C0F8A"/>
    <w:rsid w:val="002C146A"/>
    <w:rsid w:val="002C1678"/>
    <w:rsid w:val="002C48CD"/>
    <w:rsid w:val="002C58C7"/>
    <w:rsid w:val="002C5B62"/>
    <w:rsid w:val="002C7182"/>
    <w:rsid w:val="002D0827"/>
    <w:rsid w:val="002D1130"/>
    <w:rsid w:val="002D156E"/>
    <w:rsid w:val="002D3611"/>
    <w:rsid w:val="002D3670"/>
    <w:rsid w:val="002D38CA"/>
    <w:rsid w:val="002D40ED"/>
    <w:rsid w:val="002D476F"/>
    <w:rsid w:val="002D56CE"/>
    <w:rsid w:val="002D5A9D"/>
    <w:rsid w:val="002D5C47"/>
    <w:rsid w:val="002D6079"/>
    <w:rsid w:val="002E1264"/>
    <w:rsid w:val="002E12BC"/>
    <w:rsid w:val="002E143B"/>
    <w:rsid w:val="002E3499"/>
    <w:rsid w:val="002E3539"/>
    <w:rsid w:val="002E35E0"/>
    <w:rsid w:val="002E36BB"/>
    <w:rsid w:val="002E36EC"/>
    <w:rsid w:val="002E36F0"/>
    <w:rsid w:val="002E3844"/>
    <w:rsid w:val="002E39DF"/>
    <w:rsid w:val="002E3AF3"/>
    <w:rsid w:val="002E415E"/>
    <w:rsid w:val="002E44F2"/>
    <w:rsid w:val="002E56C0"/>
    <w:rsid w:val="002E5A52"/>
    <w:rsid w:val="002E5E48"/>
    <w:rsid w:val="002E668E"/>
    <w:rsid w:val="002E6BA5"/>
    <w:rsid w:val="002E750D"/>
    <w:rsid w:val="002E77ED"/>
    <w:rsid w:val="002E7BA3"/>
    <w:rsid w:val="002F0387"/>
    <w:rsid w:val="002F05A6"/>
    <w:rsid w:val="002F09BF"/>
    <w:rsid w:val="002F1C12"/>
    <w:rsid w:val="002F20EB"/>
    <w:rsid w:val="002F2299"/>
    <w:rsid w:val="002F2846"/>
    <w:rsid w:val="002F541B"/>
    <w:rsid w:val="002F544F"/>
    <w:rsid w:val="002F576A"/>
    <w:rsid w:val="002F5DAE"/>
    <w:rsid w:val="002F6974"/>
    <w:rsid w:val="002F744F"/>
    <w:rsid w:val="003001C8"/>
    <w:rsid w:val="00300634"/>
    <w:rsid w:val="00300DBE"/>
    <w:rsid w:val="00300EA3"/>
    <w:rsid w:val="00300EFF"/>
    <w:rsid w:val="0030218F"/>
    <w:rsid w:val="003021AE"/>
    <w:rsid w:val="0030234A"/>
    <w:rsid w:val="00303719"/>
    <w:rsid w:val="003045E7"/>
    <w:rsid w:val="00304F58"/>
    <w:rsid w:val="00305CED"/>
    <w:rsid w:val="00307169"/>
    <w:rsid w:val="00307B43"/>
    <w:rsid w:val="0031060B"/>
    <w:rsid w:val="00310AA0"/>
    <w:rsid w:val="00311761"/>
    <w:rsid w:val="00311DA6"/>
    <w:rsid w:val="003125C0"/>
    <w:rsid w:val="003134B0"/>
    <w:rsid w:val="00313B93"/>
    <w:rsid w:val="003148D4"/>
    <w:rsid w:val="00314BED"/>
    <w:rsid w:val="00317487"/>
    <w:rsid w:val="00320963"/>
    <w:rsid w:val="00320E49"/>
    <w:rsid w:val="003217BB"/>
    <w:rsid w:val="00322CCB"/>
    <w:rsid w:val="003234EC"/>
    <w:rsid w:val="0032352E"/>
    <w:rsid w:val="003239F6"/>
    <w:rsid w:val="00323BB0"/>
    <w:rsid w:val="00323C9E"/>
    <w:rsid w:val="00324E4E"/>
    <w:rsid w:val="003253B3"/>
    <w:rsid w:val="00326D6C"/>
    <w:rsid w:val="003303F0"/>
    <w:rsid w:val="003306C3"/>
    <w:rsid w:val="003310E2"/>
    <w:rsid w:val="0033136F"/>
    <w:rsid w:val="003322E0"/>
    <w:rsid w:val="003332EF"/>
    <w:rsid w:val="00333B88"/>
    <w:rsid w:val="00334438"/>
    <w:rsid w:val="00334601"/>
    <w:rsid w:val="00335337"/>
    <w:rsid w:val="003359A5"/>
    <w:rsid w:val="00337D86"/>
    <w:rsid w:val="003401A3"/>
    <w:rsid w:val="00342F9C"/>
    <w:rsid w:val="003430A8"/>
    <w:rsid w:val="003431D6"/>
    <w:rsid w:val="003434A2"/>
    <w:rsid w:val="003445EF"/>
    <w:rsid w:val="0034488C"/>
    <w:rsid w:val="0034507B"/>
    <w:rsid w:val="00347522"/>
    <w:rsid w:val="00347872"/>
    <w:rsid w:val="00347FF0"/>
    <w:rsid w:val="00350566"/>
    <w:rsid w:val="003507D3"/>
    <w:rsid w:val="00350D44"/>
    <w:rsid w:val="00351C41"/>
    <w:rsid w:val="00352513"/>
    <w:rsid w:val="00352945"/>
    <w:rsid w:val="00352D70"/>
    <w:rsid w:val="003533EB"/>
    <w:rsid w:val="003546B4"/>
    <w:rsid w:val="00355E34"/>
    <w:rsid w:val="0035637C"/>
    <w:rsid w:val="00356DF1"/>
    <w:rsid w:val="00356E5C"/>
    <w:rsid w:val="00357601"/>
    <w:rsid w:val="00357D3B"/>
    <w:rsid w:val="0036017C"/>
    <w:rsid w:val="0036095F"/>
    <w:rsid w:val="00360B5C"/>
    <w:rsid w:val="00360F2B"/>
    <w:rsid w:val="00361080"/>
    <w:rsid w:val="00363202"/>
    <w:rsid w:val="003636A5"/>
    <w:rsid w:val="00363FF6"/>
    <w:rsid w:val="00364343"/>
    <w:rsid w:val="00364F44"/>
    <w:rsid w:val="0036681D"/>
    <w:rsid w:val="00366B87"/>
    <w:rsid w:val="00366E06"/>
    <w:rsid w:val="003671A9"/>
    <w:rsid w:val="0036778C"/>
    <w:rsid w:val="003678AD"/>
    <w:rsid w:val="003707D6"/>
    <w:rsid w:val="00371131"/>
    <w:rsid w:val="003717A2"/>
    <w:rsid w:val="00371AA1"/>
    <w:rsid w:val="0037205A"/>
    <w:rsid w:val="003732D1"/>
    <w:rsid w:val="00373938"/>
    <w:rsid w:val="0037415C"/>
    <w:rsid w:val="00374391"/>
    <w:rsid w:val="003744F4"/>
    <w:rsid w:val="00374814"/>
    <w:rsid w:val="00374BDD"/>
    <w:rsid w:val="00375358"/>
    <w:rsid w:val="003754ED"/>
    <w:rsid w:val="00376E92"/>
    <w:rsid w:val="0037777B"/>
    <w:rsid w:val="0038117D"/>
    <w:rsid w:val="00381BB7"/>
    <w:rsid w:val="003820C9"/>
    <w:rsid w:val="00382390"/>
    <w:rsid w:val="00382528"/>
    <w:rsid w:val="00383733"/>
    <w:rsid w:val="00383940"/>
    <w:rsid w:val="00383953"/>
    <w:rsid w:val="0038405C"/>
    <w:rsid w:val="003845C5"/>
    <w:rsid w:val="00384D9A"/>
    <w:rsid w:val="003864FE"/>
    <w:rsid w:val="00386F3F"/>
    <w:rsid w:val="0038700E"/>
    <w:rsid w:val="003870D9"/>
    <w:rsid w:val="00387645"/>
    <w:rsid w:val="00387FAB"/>
    <w:rsid w:val="00390EA8"/>
    <w:rsid w:val="00393AF6"/>
    <w:rsid w:val="003941A1"/>
    <w:rsid w:val="00394BCD"/>
    <w:rsid w:val="00395615"/>
    <w:rsid w:val="00395BC1"/>
    <w:rsid w:val="00395BC6"/>
    <w:rsid w:val="003965D2"/>
    <w:rsid w:val="00396C67"/>
    <w:rsid w:val="003972DE"/>
    <w:rsid w:val="003A0481"/>
    <w:rsid w:val="003A0913"/>
    <w:rsid w:val="003A1164"/>
    <w:rsid w:val="003A1632"/>
    <w:rsid w:val="003A1728"/>
    <w:rsid w:val="003A2BC7"/>
    <w:rsid w:val="003A4CCA"/>
    <w:rsid w:val="003A5A0D"/>
    <w:rsid w:val="003A5DE8"/>
    <w:rsid w:val="003A6E73"/>
    <w:rsid w:val="003A704F"/>
    <w:rsid w:val="003A7060"/>
    <w:rsid w:val="003A7465"/>
    <w:rsid w:val="003A76E9"/>
    <w:rsid w:val="003A773C"/>
    <w:rsid w:val="003A7946"/>
    <w:rsid w:val="003B124B"/>
    <w:rsid w:val="003B1CBA"/>
    <w:rsid w:val="003B1D27"/>
    <w:rsid w:val="003B1F8A"/>
    <w:rsid w:val="003B276A"/>
    <w:rsid w:val="003B3718"/>
    <w:rsid w:val="003B39F6"/>
    <w:rsid w:val="003B5A24"/>
    <w:rsid w:val="003B5BBC"/>
    <w:rsid w:val="003C0D79"/>
    <w:rsid w:val="003C140F"/>
    <w:rsid w:val="003C2984"/>
    <w:rsid w:val="003C2C53"/>
    <w:rsid w:val="003C3626"/>
    <w:rsid w:val="003C3E74"/>
    <w:rsid w:val="003C4AF6"/>
    <w:rsid w:val="003C50C3"/>
    <w:rsid w:val="003C53AE"/>
    <w:rsid w:val="003C55B7"/>
    <w:rsid w:val="003C5AAE"/>
    <w:rsid w:val="003D0687"/>
    <w:rsid w:val="003D0E08"/>
    <w:rsid w:val="003D10E7"/>
    <w:rsid w:val="003D1C65"/>
    <w:rsid w:val="003D2220"/>
    <w:rsid w:val="003D260A"/>
    <w:rsid w:val="003D2A4F"/>
    <w:rsid w:val="003D5542"/>
    <w:rsid w:val="003D57A0"/>
    <w:rsid w:val="003D6C60"/>
    <w:rsid w:val="003D6EF2"/>
    <w:rsid w:val="003D7081"/>
    <w:rsid w:val="003D768C"/>
    <w:rsid w:val="003D77A5"/>
    <w:rsid w:val="003D7895"/>
    <w:rsid w:val="003D7AE0"/>
    <w:rsid w:val="003D7F66"/>
    <w:rsid w:val="003E0119"/>
    <w:rsid w:val="003E07AA"/>
    <w:rsid w:val="003E10FF"/>
    <w:rsid w:val="003E27ED"/>
    <w:rsid w:val="003E3DE3"/>
    <w:rsid w:val="003E43BB"/>
    <w:rsid w:val="003E461A"/>
    <w:rsid w:val="003E4659"/>
    <w:rsid w:val="003E498E"/>
    <w:rsid w:val="003E4D1D"/>
    <w:rsid w:val="003E4D91"/>
    <w:rsid w:val="003E55BE"/>
    <w:rsid w:val="003E57CB"/>
    <w:rsid w:val="003E5C51"/>
    <w:rsid w:val="003E666F"/>
    <w:rsid w:val="003E69C5"/>
    <w:rsid w:val="003E6D95"/>
    <w:rsid w:val="003E7AEF"/>
    <w:rsid w:val="003F0C19"/>
    <w:rsid w:val="003F1B9E"/>
    <w:rsid w:val="003F3653"/>
    <w:rsid w:val="003F3C4F"/>
    <w:rsid w:val="003F512A"/>
    <w:rsid w:val="003F52EB"/>
    <w:rsid w:val="003F6BBC"/>
    <w:rsid w:val="00400655"/>
    <w:rsid w:val="00400C20"/>
    <w:rsid w:val="00400EF2"/>
    <w:rsid w:val="004018ED"/>
    <w:rsid w:val="004021D1"/>
    <w:rsid w:val="00402524"/>
    <w:rsid w:val="00402659"/>
    <w:rsid w:val="00402CDC"/>
    <w:rsid w:val="00403EDE"/>
    <w:rsid w:val="00404829"/>
    <w:rsid w:val="004056BA"/>
    <w:rsid w:val="00406738"/>
    <w:rsid w:val="0040681F"/>
    <w:rsid w:val="004071FB"/>
    <w:rsid w:val="0040728B"/>
    <w:rsid w:val="00407798"/>
    <w:rsid w:val="004077CE"/>
    <w:rsid w:val="00410ABA"/>
    <w:rsid w:val="00410B7B"/>
    <w:rsid w:val="00411023"/>
    <w:rsid w:val="0041107A"/>
    <w:rsid w:val="0041260E"/>
    <w:rsid w:val="00412E55"/>
    <w:rsid w:val="00413365"/>
    <w:rsid w:val="004140A1"/>
    <w:rsid w:val="0041496C"/>
    <w:rsid w:val="004155D3"/>
    <w:rsid w:val="00415A97"/>
    <w:rsid w:val="00415BA3"/>
    <w:rsid w:val="00417D08"/>
    <w:rsid w:val="0042036D"/>
    <w:rsid w:val="00422167"/>
    <w:rsid w:val="0042345D"/>
    <w:rsid w:val="0042355C"/>
    <w:rsid w:val="00423681"/>
    <w:rsid w:val="004236C4"/>
    <w:rsid w:val="00423E57"/>
    <w:rsid w:val="00424633"/>
    <w:rsid w:val="00424AB7"/>
    <w:rsid w:val="00424B6D"/>
    <w:rsid w:val="00426416"/>
    <w:rsid w:val="004265D1"/>
    <w:rsid w:val="004274E1"/>
    <w:rsid w:val="0042765D"/>
    <w:rsid w:val="00427816"/>
    <w:rsid w:val="0043055A"/>
    <w:rsid w:val="00430B70"/>
    <w:rsid w:val="004317F0"/>
    <w:rsid w:val="00432607"/>
    <w:rsid w:val="00432617"/>
    <w:rsid w:val="00433C4C"/>
    <w:rsid w:val="00433EB9"/>
    <w:rsid w:val="004349FB"/>
    <w:rsid w:val="00434E63"/>
    <w:rsid w:val="00435010"/>
    <w:rsid w:val="00435519"/>
    <w:rsid w:val="00436639"/>
    <w:rsid w:val="00436773"/>
    <w:rsid w:val="00436CE1"/>
    <w:rsid w:val="00436F75"/>
    <w:rsid w:val="0044005D"/>
    <w:rsid w:val="004428E2"/>
    <w:rsid w:val="00442E86"/>
    <w:rsid w:val="0044320A"/>
    <w:rsid w:val="00443455"/>
    <w:rsid w:val="004436B3"/>
    <w:rsid w:val="00444089"/>
    <w:rsid w:val="004440B2"/>
    <w:rsid w:val="0044413E"/>
    <w:rsid w:val="004457F3"/>
    <w:rsid w:val="00445FE5"/>
    <w:rsid w:val="0044605E"/>
    <w:rsid w:val="0044627A"/>
    <w:rsid w:val="00450824"/>
    <w:rsid w:val="00451022"/>
    <w:rsid w:val="00451043"/>
    <w:rsid w:val="00451213"/>
    <w:rsid w:val="004515E5"/>
    <w:rsid w:val="00451AC6"/>
    <w:rsid w:val="0045238E"/>
    <w:rsid w:val="00452B74"/>
    <w:rsid w:val="00453814"/>
    <w:rsid w:val="00454452"/>
    <w:rsid w:val="00455054"/>
    <w:rsid w:val="0045539F"/>
    <w:rsid w:val="00455DE2"/>
    <w:rsid w:val="00455F44"/>
    <w:rsid w:val="0046040E"/>
    <w:rsid w:val="00460870"/>
    <w:rsid w:val="004612B5"/>
    <w:rsid w:val="004627EE"/>
    <w:rsid w:val="004628E6"/>
    <w:rsid w:val="004635DA"/>
    <w:rsid w:val="004637EC"/>
    <w:rsid w:val="00464D29"/>
    <w:rsid w:val="0046555D"/>
    <w:rsid w:val="0046556F"/>
    <w:rsid w:val="004658FF"/>
    <w:rsid w:val="00465DBC"/>
    <w:rsid w:val="0046625A"/>
    <w:rsid w:val="00466612"/>
    <w:rsid w:val="0046698A"/>
    <w:rsid w:val="00466CB1"/>
    <w:rsid w:val="0046783E"/>
    <w:rsid w:val="00467F11"/>
    <w:rsid w:val="0047048F"/>
    <w:rsid w:val="00470B88"/>
    <w:rsid w:val="00471FDD"/>
    <w:rsid w:val="0047231F"/>
    <w:rsid w:val="004729DA"/>
    <w:rsid w:val="00473FD2"/>
    <w:rsid w:val="004744D3"/>
    <w:rsid w:val="00474528"/>
    <w:rsid w:val="00475E8D"/>
    <w:rsid w:val="00476422"/>
    <w:rsid w:val="00476A3D"/>
    <w:rsid w:val="00477F3C"/>
    <w:rsid w:val="004810CF"/>
    <w:rsid w:val="00481F12"/>
    <w:rsid w:val="00482119"/>
    <w:rsid w:val="00482765"/>
    <w:rsid w:val="0048276D"/>
    <w:rsid w:val="004828B1"/>
    <w:rsid w:val="00482CA3"/>
    <w:rsid w:val="004832E4"/>
    <w:rsid w:val="00483F95"/>
    <w:rsid w:val="004843FD"/>
    <w:rsid w:val="004866E6"/>
    <w:rsid w:val="0048682A"/>
    <w:rsid w:val="00486971"/>
    <w:rsid w:val="00486973"/>
    <w:rsid w:val="00487E40"/>
    <w:rsid w:val="0049012A"/>
    <w:rsid w:val="004919DA"/>
    <w:rsid w:val="004925A0"/>
    <w:rsid w:val="00492632"/>
    <w:rsid w:val="0049335D"/>
    <w:rsid w:val="0049342E"/>
    <w:rsid w:val="00493FB0"/>
    <w:rsid w:val="0049428A"/>
    <w:rsid w:val="00494A3B"/>
    <w:rsid w:val="0049539F"/>
    <w:rsid w:val="004955EA"/>
    <w:rsid w:val="00496B8D"/>
    <w:rsid w:val="004970FF"/>
    <w:rsid w:val="00497380"/>
    <w:rsid w:val="00497D04"/>
    <w:rsid w:val="004A0A83"/>
    <w:rsid w:val="004A0EAE"/>
    <w:rsid w:val="004A190F"/>
    <w:rsid w:val="004A1BB1"/>
    <w:rsid w:val="004A1C35"/>
    <w:rsid w:val="004A2C84"/>
    <w:rsid w:val="004A4CD9"/>
    <w:rsid w:val="004A4FA3"/>
    <w:rsid w:val="004A53AA"/>
    <w:rsid w:val="004A5A75"/>
    <w:rsid w:val="004A5D56"/>
    <w:rsid w:val="004A6688"/>
    <w:rsid w:val="004A781A"/>
    <w:rsid w:val="004A7D61"/>
    <w:rsid w:val="004B0C69"/>
    <w:rsid w:val="004B0E61"/>
    <w:rsid w:val="004B2063"/>
    <w:rsid w:val="004B2064"/>
    <w:rsid w:val="004B28AC"/>
    <w:rsid w:val="004B30E7"/>
    <w:rsid w:val="004B4AF9"/>
    <w:rsid w:val="004B4CE6"/>
    <w:rsid w:val="004B59A0"/>
    <w:rsid w:val="004B62D9"/>
    <w:rsid w:val="004B6529"/>
    <w:rsid w:val="004B699C"/>
    <w:rsid w:val="004B6E63"/>
    <w:rsid w:val="004B6E8C"/>
    <w:rsid w:val="004B7135"/>
    <w:rsid w:val="004B73D8"/>
    <w:rsid w:val="004B7A94"/>
    <w:rsid w:val="004C088D"/>
    <w:rsid w:val="004C0C20"/>
    <w:rsid w:val="004C0C23"/>
    <w:rsid w:val="004C0E99"/>
    <w:rsid w:val="004C0FD2"/>
    <w:rsid w:val="004C28E2"/>
    <w:rsid w:val="004C29CD"/>
    <w:rsid w:val="004C2CB8"/>
    <w:rsid w:val="004C2E4C"/>
    <w:rsid w:val="004C3371"/>
    <w:rsid w:val="004C3B2C"/>
    <w:rsid w:val="004C3E97"/>
    <w:rsid w:val="004C4876"/>
    <w:rsid w:val="004C5474"/>
    <w:rsid w:val="004C6078"/>
    <w:rsid w:val="004C6ECE"/>
    <w:rsid w:val="004C7AF3"/>
    <w:rsid w:val="004D05BE"/>
    <w:rsid w:val="004D07A3"/>
    <w:rsid w:val="004D0D6C"/>
    <w:rsid w:val="004D22A8"/>
    <w:rsid w:val="004D3503"/>
    <w:rsid w:val="004D3C02"/>
    <w:rsid w:val="004D3DB3"/>
    <w:rsid w:val="004D6EC5"/>
    <w:rsid w:val="004E063A"/>
    <w:rsid w:val="004E2385"/>
    <w:rsid w:val="004E25C9"/>
    <w:rsid w:val="004E3983"/>
    <w:rsid w:val="004E420A"/>
    <w:rsid w:val="004E438D"/>
    <w:rsid w:val="004E4554"/>
    <w:rsid w:val="004E4C12"/>
    <w:rsid w:val="004E543F"/>
    <w:rsid w:val="004E5800"/>
    <w:rsid w:val="004E6854"/>
    <w:rsid w:val="004E7C52"/>
    <w:rsid w:val="004E7D3D"/>
    <w:rsid w:val="004E7E92"/>
    <w:rsid w:val="004F00BE"/>
    <w:rsid w:val="004F12D8"/>
    <w:rsid w:val="004F15E5"/>
    <w:rsid w:val="004F2121"/>
    <w:rsid w:val="004F21E1"/>
    <w:rsid w:val="004F2F84"/>
    <w:rsid w:val="004F3933"/>
    <w:rsid w:val="004F3AE4"/>
    <w:rsid w:val="004F4181"/>
    <w:rsid w:val="004F50C2"/>
    <w:rsid w:val="004F5128"/>
    <w:rsid w:val="004F51F7"/>
    <w:rsid w:val="004F6224"/>
    <w:rsid w:val="004F6770"/>
    <w:rsid w:val="004F74CA"/>
    <w:rsid w:val="004F76B1"/>
    <w:rsid w:val="004F788E"/>
    <w:rsid w:val="004F7C96"/>
    <w:rsid w:val="00501D42"/>
    <w:rsid w:val="005032B4"/>
    <w:rsid w:val="00503B33"/>
    <w:rsid w:val="005046BB"/>
    <w:rsid w:val="00505518"/>
    <w:rsid w:val="005069A2"/>
    <w:rsid w:val="00506D0E"/>
    <w:rsid w:val="00506F8A"/>
    <w:rsid w:val="00507304"/>
    <w:rsid w:val="00507B80"/>
    <w:rsid w:val="00507BB3"/>
    <w:rsid w:val="00510970"/>
    <w:rsid w:val="00510CAF"/>
    <w:rsid w:val="005129A6"/>
    <w:rsid w:val="0051363E"/>
    <w:rsid w:val="005155D5"/>
    <w:rsid w:val="005177AD"/>
    <w:rsid w:val="00521C06"/>
    <w:rsid w:val="00522538"/>
    <w:rsid w:val="00523183"/>
    <w:rsid w:val="00523D90"/>
    <w:rsid w:val="00523EA3"/>
    <w:rsid w:val="00526061"/>
    <w:rsid w:val="0052663C"/>
    <w:rsid w:val="00526B18"/>
    <w:rsid w:val="0053003D"/>
    <w:rsid w:val="00530645"/>
    <w:rsid w:val="00530C68"/>
    <w:rsid w:val="00531958"/>
    <w:rsid w:val="00531D3A"/>
    <w:rsid w:val="00532C4B"/>
    <w:rsid w:val="00532C76"/>
    <w:rsid w:val="00534272"/>
    <w:rsid w:val="00534598"/>
    <w:rsid w:val="0053573E"/>
    <w:rsid w:val="005368DC"/>
    <w:rsid w:val="00537456"/>
    <w:rsid w:val="00540EF1"/>
    <w:rsid w:val="005419C3"/>
    <w:rsid w:val="00541B31"/>
    <w:rsid w:val="005431CD"/>
    <w:rsid w:val="005433AB"/>
    <w:rsid w:val="00545A17"/>
    <w:rsid w:val="00547510"/>
    <w:rsid w:val="00547605"/>
    <w:rsid w:val="005506A5"/>
    <w:rsid w:val="00550B96"/>
    <w:rsid w:val="00552100"/>
    <w:rsid w:val="00554C1F"/>
    <w:rsid w:val="00554E4E"/>
    <w:rsid w:val="00556169"/>
    <w:rsid w:val="0055715E"/>
    <w:rsid w:val="00557B81"/>
    <w:rsid w:val="00560870"/>
    <w:rsid w:val="005613FE"/>
    <w:rsid w:val="005614D4"/>
    <w:rsid w:val="005618BB"/>
    <w:rsid w:val="0056243C"/>
    <w:rsid w:val="00562B91"/>
    <w:rsid w:val="0056323C"/>
    <w:rsid w:val="005639D7"/>
    <w:rsid w:val="0056412F"/>
    <w:rsid w:val="00564332"/>
    <w:rsid w:val="005644E2"/>
    <w:rsid w:val="0056486C"/>
    <w:rsid w:val="00564F7D"/>
    <w:rsid w:val="00565277"/>
    <w:rsid w:val="005659E1"/>
    <w:rsid w:val="00565F93"/>
    <w:rsid w:val="00566FF5"/>
    <w:rsid w:val="0056717D"/>
    <w:rsid w:val="00570F31"/>
    <w:rsid w:val="005715AE"/>
    <w:rsid w:val="00571B27"/>
    <w:rsid w:val="0057250D"/>
    <w:rsid w:val="0057279A"/>
    <w:rsid w:val="005727A3"/>
    <w:rsid w:val="005730DD"/>
    <w:rsid w:val="00573224"/>
    <w:rsid w:val="00573479"/>
    <w:rsid w:val="00574403"/>
    <w:rsid w:val="00574739"/>
    <w:rsid w:val="00574941"/>
    <w:rsid w:val="00574EB7"/>
    <w:rsid w:val="0057581F"/>
    <w:rsid w:val="00576B7F"/>
    <w:rsid w:val="00577858"/>
    <w:rsid w:val="00577CA8"/>
    <w:rsid w:val="0058069A"/>
    <w:rsid w:val="00580E13"/>
    <w:rsid w:val="00581E98"/>
    <w:rsid w:val="00583557"/>
    <w:rsid w:val="00583802"/>
    <w:rsid w:val="00583A38"/>
    <w:rsid w:val="005841FF"/>
    <w:rsid w:val="005843FB"/>
    <w:rsid w:val="00584C63"/>
    <w:rsid w:val="00584C9D"/>
    <w:rsid w:val="00584DBC"/>
    <w:rsid w:val="0058556A"/>
    <w:rsid w:val="00586739"/>
    <w:rsid w:val="00586A4C"/>
    <w:rsid w:val="005875AF"/>
    <w:rsid w:val="00590524"/>
    <w:rsid w:val="00590B04"/>
    <w:rsid w:val="00591B37"/>
    <w:rsid w:val="0059241D"/>
    <w:rsid w:val="00593AEB"/>
    <w:rsid w:val="0059592E"/>
    <w:rsid w:val="00595CC4"/>
    <w:rsid w:val="00595D9C"/>
    <w:rsid w:val="005968C7"/>
    <w:rsid w:val="0059709B"/>
    <w:rsid w:val="005972E8"/>
    <w:rsid w:val="0059782F"/>
    <w:rsid w:val="00597A51"/>
    <w:rsid w:val="00597C6D"/>
    <w:rsid w:val="00597F28"/>
    <w:rsid w:val="005A0C29"/>
    <w:rsid w:val="005A14FA"/>
    <w:rsid w:val="005A1B3D"/>
    <w:rsid w:val="005A3932"/>
    <w:rsid w:val="005A3A13"/>
    <w:rsid w:val="005A3B66"/>
    <w:rsid w:val="005A3FA0"/>
    <w:rsid w:val="005A4E8F"/>
    <w:rsid w:val="005A4F46"/>
    <w:rsid w:val="005A63C3"/>
    <w:rsid w:val="005A6621"/>
    <w:rsid w:val="005A69A7"/>
    <w:rsid w:val="005A799F"/>
    <w:rsid w:val="005B0B85"/>
    <w:rsid w:val="005B13C7"/>
    <w:rsid w:val="005B1686"/>
    <w:rsid w:val="005B34F1"/>
    <w:rsid w:val="005B4830"/>
    <w:rsid w:val="005B4E04"/>
    <w:rsid w:val="005B5037"/>
    <w:rsid w:val="005B5856"/>
    <w:rsid w:val="005B656A"/>
    <w:rsid w:val="005B6B4C"/>
    <w:rsid w:val="005B7EA8"/>
    <w:rsid w:val="005C0131"/>
    <w:rsid w:val="005C02A6"/>
    <w:rsid w:val="005C0629"/>
    <w:rsid w:val="005C0F44"/>
    <w:rsid w:val="005C14D1"/>
    <w:rsid w:val="005C2188"/>
    <w:rsid w:val="005C2A4C"/>
    <w:rsid w:val="005C36DF"/>
    <w:rsid w:val="005C498B"/>
    <w:rsid w:val="005C55F4"/>
    <w:rsid w:val="005C5D8B"/>
    <w:rsid w:val="005C5EBA"/>
    <w:rsid w:val="005C711A"/>
    <w:rsid w:val="005C7388"/>
    <w:rsid w:val="005C73E5"/>
    <w:rsid w:val="005C784C"/>
    <w:rsid w:val="005C7AA9"/>
    <w:rsid w:val="005D086C"/>
    <w:rsid w:val="005D0A76"/>
    <w:rsid w:val="005D0FA5"/>
    <w:rsid w:val="005D10D8"/>
    <w:rsid w:val="005D1E74"/>
    <w:rsid w:val="005D2E74"/>
    <w:rsid w:val="005D370C"/>
    <w:rsid w:val="005D3E49"/>
    <w:rsid w:val="005D46B7"/>
    <w:rsid w:val="005D471E"/>
    <w:rsid w:val="005D5C68"/>
    <w:rsid w:val="005D5EDB"/>
    <w:rsid w:val="005D63A5"/>
    <w:rsid w:val="005D7F34"/>
    <w:rsid w:val="005E0116"/>
    <w:rsid w:val="005E0625"/>
    <w:rsid w:val="005E08AB"/>
    <w:rsid w:val="005E11B8"/>
    <w:rsid w:val="005E1846"/>
    <w:rsid w:val="005E1C9C"/>
    <w:rsid w:val="005E1D95"/>
    <w:rsid w:val="005E2503"/>
    <w:rsid w:val="005E2735"/>
    <w:rsid w:val="005E2AAE"/>
    <w:rsid w:val="005E2D30"/>
    <w:rsid w:val="005E395C"/>
    <w:rsid w:val="005E4AA5"/>
    <w:rsid w:val="005E4B18"/>
    <w:rsid w:val="005E4CA8"/>
    <w:rsid w:val="005E7071"/>
    <w:rsid w:val="005F0621"/>
    <w:rsid w:val="005F1729"/>
    <w:rsid w:val="005F3331"/>
    <w:rsid w:val="005F3491"/>
    <w:rsid w:val="005F48E8"/>
    <w:rsid w:val="005F4F76"/>
    <w:rsid w:val="005F5F8D"/>
    <w:rsid w:val="005F5FC0"/>
    <w:rsid w:val="005F68FA"/>
    <w:rsid w:val="005F7468"/>
    <w:rsid w:val="005F7CB7"/>
    <w:rsid w:val="006004B1"/>
    <w:rsid w:val="00600532"/>
    <w:rsid w:val="006008F4"/>
    <w:rsid w:val="0060153C"/>
    <w:rsid w:val="00601901"/>
    <w:rsid w:val="00603C03"/>
    <w:rsid w:val="006043DC"/>
    <w:rsid w:val="0060503D"/>
    <w:rsid w:val="00605A10"/>
    <w:rsid w:val="006062E3"/>
    <w:rsid w:val="00606A72"/>
    <w:rsid w:val="00606FDE"/>
    <w:rsid w:val="00606FEB"/>
    <w:rsid w:val="00610405"/>
    <w:rsid w:val="00611539"/>
    <w:rsid w:val="00612146"/>
    <w:rsid w:val="006128C0"/>
    <w:rsid w:val="00612E34"/>
    <w:rsid w:val="0061364C"/>
    <w:rsid w:val="00614602"/>
    <w:rsid w:val="00614AD2"/>
    <w:rsid w:val="006150FE"/>
    <w:rsid w:val="00617420"/>
    <w:rsid w:val="006209F8"/>
    <w:rsid w:val="00620DE0"/>
    <w:rsid w:val="00621AAC"/>
    <w:rsid w:val="006222F4"/>
    <w:rsid w:val="006225AE"/>
    <w:rsid w:val="006226D1"/>
    <w:rsid w:val="00623482"/>
    <w:rsid w:val="00623728"/>
    <w:rsid w:val="00623AA1"/>
    <w:rsid w:val="006245A5"/>
    <w:rsid w:val="00624C37"/>
    <w:rsid w:val="006252DF"/>
    <w:rsid w:val="00626CC7"/>
    <w:rsid w:val="00632224"/>
    <w:rsid w:val="00632BD0"/>
    <w:rsid w:val="00632CB9"/>
    <w:rsid w:val="00634A9A"/>
    <w:rsid w:val="006354D0"/>
    <w:rsid w:val="006363ED"/>
    <w:rsid w:val="006364E2"/>
    <w:rsid w:val="00636737"/>
    <w:rsid w:val="00636C05"/>
    <w:rsid w:val="006372FD"/>
    <w:rsid w:val="006378CF"/>
    <w:rsid w:val="00637A31"/>
    <w:rsid w:val="006401FA"/>
    <w:rsid w:val="006406E6"/>
    <w:rsid w:val="00641AD0"/>
    <w:rsid w:val="0064210D"/>
    <w:rsid w:val="0064219F"/>
    <w:rsid w:val="006439F0"/>
    <w:rsid w:val="00644A65"/>
    <w:rsid w:val="00644B8C"/>
    <w:rsid w:val="00644FF7"/>
    <w:rsid w:val="006454B4"/>
    <w:rsid w:val="00645B7A"/>
    <w:rsid w:val="00645BDD"/>
    <w:rsid w:val="00646623"/>
    <w:rsid w:val="00646C79"/>
    <w:rsid w:val="00646DE7"/>
    <w:rsid w:val="00647176"/>
    <w:rsid w:val="00647418"/>
    <w:rsid w:val="006501ED"/>
    <w:rsid w:val="00650203"/>
    <w:rsid w:val="00651A80"/>
    <w:rsid w:val="00651D02"/>
    <w:rsid w:val="00651FE2"/>
    <w:rsid w:val="0065267D"/>
    <w:rsid w:val="006527F0"/>
    <w:rsid w:val="00652EEE"/>
    <w:rsid w:val="006555A2"/>
    <w:rsid w:val="00656804"/>
    <w:rsid w:val="00657B88"/>
    <w:rsid w:val="0066006A"/>
    <w:rsid w:val="00660322"/>
    <w:rsid w:val="00660A02"/>
    <w:rsid w:val="00660FEC"/>
    <w:rsid w:val="006612DE"/>
    <w:rsid w:val="00661A62"/>
    <w:rsid w:val="0066214D"/>
    <w:rsid w:val="006628B5"/>
    <w:rsid w:val="00663532"/>
    <w:rsid w:val="00663BE0"/>
    <w:rsid w:val="00665908"/>
    <w:rsid w:val="0066733E"/>
    <w:rsid w:val="0067085F"/>
    <w:rsid w:val="00670D93"/>
    <w:rsid w:val="00670EC2"/>
    <w:rsid w:val="006714A9"/>
    <w:rsid w:val="006730C6"/>
    <w:rsid w:val="006730EC"/>
    <w:rsid w:val="00674F8E"/>
    <w:rsid w:val="006751B7"/>
    <w:rsid w:val="0067578E"/>
    <w:rsid w:val="006759CC"/>
    <w:rsid w:val="00675EB5"/>
    <w:rsid w:val="00676017"/>
    <w:rsid w:val="006760E5"/>
    <w:rsid w:val="006767CA"/>
    <w:rsid w:val="00677104"/>
    <w:rsid w:val="0067759E"/>
    <w:rsid w:val="0067799D"/>
    <w:rsid w:val="00677F5B"/>
    <w:rsid w:val="0068063C"/>
    <w:rsid w:val="00682D8F"/>
    <w:rsid w:val="00683EBE"/>
    <w:rsid w:val="0068521A"/>
    <w:rsid w:val="00686A4F"/>
    <w:rsid w:val="0068756B"/>
    <w:rsid w:val="00690253"/>
    <w:rsid w:val="0069026F"/>
    <w:rsid w:val="0069096A"/>
    <w:rsid w:val="00690B2A"/>
    <w:rsid w:val="00693724"/>
    <w:rsid w:val="0069795B"/>
    <w:rsid w:val="006A02DC"/>
    <w:rsid w:val="006A1156"/>
    <w:rsid w:val="006A1193"/>
    <w:rsid w:val="006A1896"/>
    <w:rsid w:val="006A1FC3"/>
    <w:rsid w:val="006A213F"/>
    <w:rsid w:val="006A31EA"/>
    <w:rsid w:val="006A35DE"/>
    <w:rsid w:val="006A4A9B"/>
    <w:rsid w:val="006A4F07"/>
    <w:rsid w:val="006A64B7"/>
    <w:rsid w:val="006A685A"/>
    <w:rsid w:val="006A6D09"/>
    <w:rsid w:val="006A71B4"/>
    <w:rsid w:val="006A7793"/>
    <w:rsid w:val="006A78F3"/>
    <w:rsid w:val="006A7BB8"/>
    <w:rsid w:val="006A7D8D"/>
    <w:rsid w:val="006B0041"/>
    <w:rsid w:val="006B0856"/>
    <w:rsid w:val="006B0F48"/>
    <w:rsid w:val="006B1857"/>
    <w:rsid w:val="006B510B"/>
    <w:rsid w:val="006B64A9"/>
    <w:rsid w:val="006B687E"/>
    <w:rsid w:val="006B7500"/>
    <w:rsid w:val="006C00AB"/>
    <w:rsid w:val="006C00D9"/>
    <w:rsid w:val="006C1940"/>
    <w:rsid w:val="006C27F8"/>
    <w:rsid w:val="006C2E8C"/>
    <w:rsid w:val="006C4391"/>
    <w:rsid w:val="006C44AF"/>
    <w:rsid w:val="006C51F9"/>
    <w:rsid w:val="006C53C5"/>
    <w:rsid w:val="006C5A65"/>
    <w:rsid w:val="006C647A"/>
    <w:rsid w:val="006C6E46"/>
    <w:rsid w:val="006C6F0F"/>
    <w:rsid w:val="006C74EF"/>
    <w:rsid w:val="006C766C"/>
    <w:rsid w:val="006C7B70"/>
    <w:rsid w:val="006C7C50"/>
    <w:rsid w:val="006D08EA"/>
    <w:rsid w:val="006D18D1"/>
    <w:rsid w:val="006D1F00"/>
    <w:rsid w:val="006D2070"/>
    <w:rsid w:val="006D350B"/>
    <w:rsid w:val="006D3EE4"/>
    <w:rsid w:val="006D474B"/>
    <w:rsid w:val="006D4913"/>
    <w:rsid w:val="006D4997"/>
    <w:rsid w:val="006D4E3F"/>
    <w:rsid w:val="006D5373"/>
    <w:rsid w:val="006D580B"/>
    <w:rsid w:val="006D5CAA"/>
    <w:rsid w:val="006D6268"/>
    <w:rsid w:val="006D62AD"/>
    <w:rsid w:val="006D668A"/>
    <w:rsid w:val="006D6ABC"/>
    <w:rsid w:val="006D77F1"/>
    <w:rsid w:val="006E2C73"/>
    <w:rsid w:val="006E30B9"/>
    <w:rsid w:val="006E4645"/>
    <w:rsid w:val="006E5ADA"/>
    <w:rsid w:val="006E5DCD"/>
    <w:rsid w:val="006E6F20"/>
    <w:rsid w:val="006E7379"/>
    <w:rsid w:val="006E79D4"/>
    <w:rsid w:val="006F02FC"/>
    <w:rsid w:val="006F068D"/>
    <w:rsid w:val="006F06E5"/>
    <w:rsid w:val="006F1502"/>
    <w:rsid w:val="006F1D00"/>
    <w:rsid w:val="006F2726"/>
    <w:rsid w:val="006F2EF8"/>
    <w:rsid w:val="006F33A3"/>
    <w:rsid w:val="006F45B8"/>
    <w:rsid w:val="006F4769"/>
    <w:rsid w:val="006F6125"/>
    <w:rsid w:val="006F6B47"/>
    <w:rsid w:val="006F6B82"/>
    <w:rsid w:val="006F77A3"/>
    <w:rsid w:val="006F79D0"/>
    <w:rsid w:val="006F7F73"/>
    <w:rsid w:val="00700544"/>
    <w:rsid w:val="007013AD"/>
    <w:rsid w:val="00701450"/>
    <w:rsid w:val="00703745"/>
    <w:rsid w:val="007038BB"/>
    <w:rsid w:val="00704B4F"/>
    <w:rsid w:val="0070567F"/>
    <w:rsid w:val="007066A9"/>
    <w:rsid w:val="007067ED"/>
    <w:rsid w:val="00707055"/>
    <w:rsid w:val="007071DD"/>
    <w:rsid w:val="0070757D"/>
    <w:rsid w:val="00707E57"/>
    <w:rsid w:val="00710BC0"/>
    <w:rsid w:val="00711F7E"/>
    <w:rsid w:val="0071201A"/>
    <w:rsid w:val="00714816"/>
    <w:rsid w:val="0071545D"/>
    <w:rsid w:val="00715981"/>
    <w:rsid w:val="00716DA2"/>
    <w:rsid w:val="0072010A"/>
    <w:rsid w:val="0072012C"/>
    <w:rsid w:val="00720E49"/>
    <w:rsid w:val="00722506"/>
    <w:rsid w:val="00723FCC"/>
    <w:rsid w:val="0072519A"/>
    <w:rsid w:val="007253E3"/>
    <w:rsid w:val="00725507"/>
    <w:rsid w:val="007275FB"/>
    <w:rsid w:val="00727823"/>
    <w:rsid w:val="00727B89"/>
    <w:rsid w:val="00731C66"/>
    <w:rsid w:val="00733388"/>
    <w:rsid w:val="0073384D"/>
    <w:rsid w:val="0073395E"/>
    <w:rsid w:val="0073438F"/>
    <w:rsid w:val="0073468A"/>
    <w:rsid w:val="00734BAC"/>
    <w:rsid w:val="00734EE0"/>
    <w:rsid w:val="0073539F"/>
    <w:rsid w:val="00735492"/>
    <w:rsid w:val="00735ED6"/>
    <w:rsid w:val="007367CF"/>
    <w:rsid w:val="00736CBD"/>
    <w:rsid w:val="007371D6"/>
    <w:rsid w:val="00740015"/>
    <w:rsid w:val="00740390"/>
    <w:rsid w:val="00740D10"/>
    <w:rsid w:val="00743026"/>
    <w:rsid w:val="00743508"/>
    <w:rsid w:val="00744C2C"/>
    <w:rsid w:val="0074557D"/>
    <w:rsid w:val="00745A42"/>
    <w:rsid w:val="00745A47"/>
    <w:rsid w:val="007460BB"/>
    <w:rsid w:val="00746159"/>
    <w:rsid w:val="007462B0"/>
    <w:rsid w:val="00746A3E"/>
    <w:rsid w:val="00747725"/>
    <w:rsid w:val="007502AE"/>
    <w:rsid w:val="00750871"/>
    <w:rsid w:val="007515DF"/>
    <w:rsid w:val="00751F94"/>
    <w:rsid w:val="00752F6E"/>
    <w:rsid w:val="00753333"/>
    <w:rsid w:val="007536A6"/>
    <w:rsid w:val="0075377D"/>
    <w:rsid w:val="0075445E"/>
    <w:rsid w:val="007546F6"/>
    <w:rsid w:val="007547DB"/>
    <w:rsid w:val="00755486"/>
    <w:rsid w:val="0076028F"/>
    <w:rsid w:val="00760506"/>
    <w:rsid w:val="00760CFE"/>
    <w:rsid w:val="007624F0"/>
    <w:rsid w:val="00762EAD"/>
    <w:rsid w:val="0076400A"/>
    <w:rsid w:val="00764530"/>
    <w:rsid w:val="00764B74"/>
    <w:rsid w:val="00764B7F"/>
    <w:rsid w:val="00764CD3"/>
    <w:rsid w:val="007650CB"/>
    <w:rsid w:val="0076527C"/>
    <w:rsid w:val="00765D3A"/>
    <w:rsid w:val="00766144"/>
    <w:rsid w:val="00766811"/>
    <w:rsid w:val="00770129"/>
    <w:rsid w:val="00770203"/>
    <w:rsid w:val="00771DA4"/>
    <w:rsid w:val="00774288"/>
    <w:rsid w:val="007766EF"/>
    <w:rsid w:val="00776778"/>
    <w:rsid w:val="007769FC"/>
    <w:rsid w:val="00780FC2"/>
    <w:rsid w:val="007817C0"/>
    <w:rsid w:val="0078289C"/>
    <w:rsid w:val="00782A84"/>
    <w:rsid w:val="00782EB5"/>
    <w:rsid w:val="00783697"/>
    <w:rsid w:val="00783765"/>
    <w:rsid w:val="007837DA"/>
    <w:rsid w:val="007844D1"/>
    <w:rsid w:val="0078458F"/>
    <w:rsid w:val="00785AE5"/>
    <w:rsid w:val="00786D98"/>
    <w:rsid w:val="007874D2"/>
    <w:rsid w:val="00787864"/>
    <w:rsid w:val="0079056A"/>
    <w:rsid w:val="00791143"/>
    <w:rsid w:val="0079159A"/>
    <w:rsid w:val="0079180C"/>
    <w:rsid w:val="00791E47"/>
    <w:rsid w:val="00791FA4"/>
    <w:rsid w:val="00792824"/>
    <w:rsid w:val="00792A1D"/>
    <w:rsid w:val="00793006"/>
    <w:rsid w:val="00793696"/>
    <w:rsid w:val="00794621"/>
    <w:rsid w:val="00794E7F"/>
    <w:rsid w:val="00795F8D"/>
    <w:rsid w:val="007963B9"/>
    <w:rsid w:val="00796A1E"/>
    <w:rsid w:val="00796CA6"/>
    <w:rsid w:val="007977CF"/>
    <w:rsid w:val="00797A97"/>
    <w:rsid w:val="00797CF6"/>
    <w:rsid w:val="00797F5B"/>
    <w:rsid w:val="007A0838"/>
    <w:rsid w:val="007A121F"/>
    <w:rsid w:val="007A279B"/>
    <w:rsid w:val="007A2A97"/>
    <w:rsid w:val="007A30BB"/>
    <w:rsid w:val="007A3A46"/>
    <w:rsid w:val="007A3AAF"/>
    <w:rsid w:val="007A4059"/>
    <w:rsid w:val="007A4C8A"/>
    <w:rsid w:val="007A57E6"/>
    <w:rsid w:val="007A58DF"/>
    <w:rsid w:val="007A5B9E"/>
    <w:rsid w:val="007A629C"/>
    <w:rsid w:val="007A635E"/>
    <w:rsid w:val="007A6451"/>
    <w:rsid w:val="007A64F0"/>
    <w:rsid w:val="007A6A22"/>
    <w:rsid w:val="007A7486"/>
    <w:rsid w:val="007B008C"/>
    <w:rsid w:val="007B05AA"/>
    <w:rsid w:val="007B12DF"/>
    <w:rsid w:val="007B136E"/>
    <w:rsid w:val="007B14D4"/>
    <w:rsid w:val="007B16C9"/>
    <w:rsid w:val="007B206A"/>
    <w:rsid w:val="007B3396"/>
    <w:rsid w:val="007B3570"/>
    <w:rsid w:val="007B3A96"/>
    <w:rsid w:val="007B3CC0"/>
    <w:rsid w:val="007B4733"/>
    <w:rsid w:val="007B4900"/>
    <w:rsid w:val="007B4950"/>
    <w:rsid w:val="007B5731"/>
    <w:rsid w:val="007B5EF9"/>
    <w:rsid w:val="007B5FDE"/>
    <w:rsid w:val="007B78B4"/>
    <w:rsid w:val="007C0E0E"/>
    <w:rsid w:val="007C12BB"/>
    <w:rsid w:val="007C1666"/>
    <w:rsid w:val="007C1C0D"/>
    <w:rsid w:val="007C1E08"/>
    <w:rsid w:val="007C2562"/>
    <w:rsid w:val="007C301E"/>
    <w:rsid w:val="007C3137"/>
    <w:rsid w:val="007C434D"/>
    <w:rsid w:val="007C4DCB"/>
    <w:rsid w:val="007C5E53"/>
    <w:rsid w:val="007C6262"/>
    <w:rsid w:val="007C6DDD"/>
    <w:rsid w:val="007C7A33"/>
    <w:rsid w:val="007C7B04"/>
    <w:rsid w:val="007C7F45"/>
    <w:rsid w:val="007D01C0"/>
    <w:rsid w:val="007D1383"/>
    <w:rsid w:val="007D2235"/>
    <w:rsid w:val="007D2AA3"/>
    <w:rsid w:val="007D2FFC"/>
    <w:rsid w:val="007D319F"/>
    <w:rsid w:val="007D3D0D"/>
    <w:rsid w:val="007D3F4E"/>
    <w:rsid w:val="007D4CE6"/>
    <w:rsid w:val="007D549A"/>
    <w:rsid w:val="007D5602"/>
    <w:rsid w:val="007D566F"/>
    <w:rsid w:val="007D5BD7"/>
    <w:rsid w:val="007D606C"/>
    <w:rsid w:val="007D65A4"/>
    <w:rsid w:val="007D794E"/>
    <w:rsid w:val="007D7A1A"/>
    <w:rsid w:val="007E09B5"/>
    <w:rsid w:val="007E0F57"/>
    <w:rsid w:val="007E1626"/>
    <w:rsid w:val="007E169F"/>
    <w:rsid w:val="007E1F6A"/>
    <w:rsid w:val="007E24C8"/>
    <w:rsid w:val="007E25D9"/>
    <w:rsid w:val="007E2EFB"/>
    <w:rsid w:val="007E300D"/>
    <w:rsid w:val="007E48AC"/>
    <w:rsid w:val="007E4A19"/>
    <w:rsid w:val="007E4F3B"/>
    <w:rsid w:val="007E622B"/>
    <w:rsid w:val="007E6641"/>
    <w:rsid w:val="007E67F4"/>
    <w:rsid w:val="007E7ABC"/>
    <w:rsid w:val="007F118C"/>
    <w:rsid w:val="007F29CE"/>
    <w:rsid w:val="007F2CFA"/>
    <w:rsid w:val="007F3407"/>
    <w:rsid w:val="007F3B35"/>
    <w:rsid w:val="007F43F6"/>
    <w:rsid w:val="007F4514"/>
    <w:rsid w:val="007F5B86"/>
    <w:rsid w:val="007F5D19"/>
    <w:rsid w:val="007F61CB"/>
    <w:rsid w:val="007F7B9D"/>
    <w:rsid w:val="00800146"/>
    <w:rsid w:val="008007B1"/>
    <w:rsid w:val="0080181F"/>
    <w:rsid w:val="008024E5"/>
    <w:rsid w:val="00802630"/>
    <w:rsid w:val="00803C50"/>
    <w:rsid w:val="00804FBF"/>
    <w:rsid w:val="0080539B"/>
    <w:rsid w:val="008056CD"/>
    <w:rsid w:val="0080663C"/>
    <w:rsid w:val="008068AA"/>
    <w:rsid w:val="008075AE"/>
    <w:rsid w:val="008103FE"/>
    <w:rsid w:val="008105D1"/>
    <w:rsid w:val="00810A44"/>
    <w:rsid w:val="00812412"/>
    <w:rsid w:val="00812684"/>
    <w:rsid w:val="00813435"/>
    <w:rsid w:val="00813E68"/>
    <w:rsid w:val="00815A60"/>
    <w:rsid w:val="008170CC"/>
    <w:rsid w:val="008170EB"/>
    <w:rsid w:val="00817AD2"/>
    <w:rsid w:val="00817D59"/>
    <w:rsid w:val="00817EDB"/>
    <w:rsid w:val="008202A6"/>
    <w:rsid w:val="00820B9C"/>
    <w:rsid w:val="0082178A"/>
    <w:rsid w:val="00821C31"/>
    <w:rsid w:val="008221EB"/>
    <w:rsid w:val="00822F2B"/>
    <w:rsid w:val="0082448A"/>
    <w:rsid w:val="00824AD4"/>
    <w:rsid w:val="008254E9"/>
    <w:rsid w:val="00826318"/>
    <w:rsid w:val="00826BF1"/>
    <w:rsid w:val="008273E7"/>
    <w:rsid w:val="00827EF6"/>
    <w:rsid w:val="00831599"/>
    <w:rsid w:val="00831609"/>
    <w:rsid w:val="00831793"/>
    <w:rsid w:val="008332E0"/>
    <w:rsid w:val="0083346D"/>
    <w:rsid w:val="00833DFE"/>
    <w:rsid w:val="00835A3A"/>
    <w:rsid w:val="00836BB7"/>
    <w:rsid w:val="0083728A"/>
    <w:rsid w:val="008375A5"/>
    <w:rsid w:val="0084110B"/>
    <w:rsid w:val="00841ABA"/>
    <w:rsid w:val="00841F18"/>
    <w:rsid w:val="0084253D"/>
    <w:rsid w:val="00843646"/>
    <w:rsid w:val="00843EF5"/>
    <w:rsid w:val="00844161"/>
    <w:rsid w:val="00845079"/>
    <w:rsid w:val="008461EB"/>
    <w:rsid w:val="0084690C"/>
    <w:rsid w:val="008476C6"/>
    <w:rsid w:val="0085105D"/>
    <w:rsid w:val="008517CC"/>
    <w:rsid w:val="0085257F"/>
    <w:rsid w:val="0085264A"/>
    <w:rsid w:val="008529E7"/>
    <w:rsid w:val="008539D2"/>
    <w:rsid w:val="00854F87"/>
    <w:rsid w:val="00856946"/>
    <w:rsid w:val="008600B8"/>
    <w:rsid w:val="00860498"/>
    <w:rsid w:val="00862201"/>
    <w:rsid w:val="00862492"/>
    <w:rsid w:val="008631A8"/>
    <w:rsid w:val="008638DD"/>
    <w:rsid w:val="0086409A"/>
    <w:rsid w:val="00864C17"/>
    <w:rsid w:val="00866285"/>
    <w:rsid w:val="008663AA"/>
    <w:rsid w:val="008701E0"/>
    <w:rsid w:val="008707F6"/>
    <w:rsid w:val="00870F7F"/>
    <w:rsid w:val="00871090"/>
    <w:rsid w:val="0087166F"/>
    <w:rsid w:val="008726F4"/>
    <w:rsid w:val="00872A6F"/>
    <w:rsid w:val="00873531"/>
    <w:rsid w:val="00873614"/>
    <w:rsid w:val="008746B6"/>
    <w:rsid w:val="00876BAE"/>
    <w:rsid w:val="00876DAA"/>
    <w:rsid w:val="00882970"/>
    <w:rsid w:val="00883185"/>
    <w:rsid w:val="0088375D"/>
    <w:rsid w:val="00884FC6"/>
    <w:rsid w:val="00885086"/>
    <w:rsid w:val="008850C4"/>
    <w:rsid w:val="008852A9"/>
    <w:rsid w:val="00885783"/>
    <w:rsid w:val="00885849"/>
    <w:rsid w:val="00885D03"/>
    <w:rsid w:val="00885EA7"/>
    <w:rsid w:val="00886469"/>
    <w:rsid w:val="00886483"/>
    <w:rsid w:val="00887250"/>
    <w:rsid w:val="008900D8"/>
    <w:rsid w:val="00890934"/>
    <w:rsid w:val="008916F2"/>
    <w:rsid w:val="00891CCF"/>
    <w:rsid w:val="00891FFA"/>
    <w:rsid w:val="00892DFF"/>
    <w:rsid w:val="00893A09"/>
    <w:rsid w:val="00893B1D"/>
    <w:rsid w:val="00893D15"/>
    <w:rsid w:val="00893D5D"/>
    <w:rsid w:val="008952D3"/>
    <w:rsid w:val="00895791"/>
    <w:rsid w:val="00895E7A"/>
    <w:rsid w:val="0089605C"/>
    <w:rsid w:val="00896A85"/>
    <w:rsid w:val="00896BA2"/>
    <w:rsid w:val="008976F2"/>
    <w:rsid w:val="00897C73"/>
    <w:rsid w:val="00897D2B"/>
    <w:rsid w:val="008A019D"/>
    <w:rsid w:val="008A0399"/>
    <w:rsid w:val="008A0616"/>
    <w:rsid w:val="008A0700"/>
    <w:rsid w:val="008A1010"/>
    <w:rsid w:val="008A13CA"/>
    <w:rsid w:val="008A23BB"/>
    <w:rsid w:val="008A23CB"/>
    <w:rsid w:val="008A25AB"/>
    <w:rsid w:val="008A41E8"/>
    <w:rsid w:val="008A4B5D"/>
    <w:rsid w:val="008A4F10"/>
    <w:rsid w:val="008A5201"/>
    <w:rsid w:val="008A629C"/>
    <w:rsid w:val="008A63F0"/>
    <w:rsid w:val="008A7934"/>
    <w:rsid w:val="008A7E82"/>
    <w:rsid w:val="008A7FBA"/>
    <w:rsid w:val="008B1292"/>
    <w:rsid w:val="008B1453"/>
    <w:rsid w:val="008B146E"/>
    <w:rsid w:val="008B24F8"/>
    <w:rsid w:val="008B491E"/>
    <w:rsid w:val="008B5551"/>
    <w:rsid w:val="008B5C45"/>
    <w:rsid w:val="008B672A"/>
    <w:rsid w:val="008B67C1"/>
    <w:rsid w:val="008B6DBB"/>
    <w:rsid w:val="008B6F5F"/>
    <w:rsid w:val="008B72C2"/>
    <w:rsid w:val="008C08EC"/>
    <w:rsid w:val="008C0D06"/>
    <w:rsid w:val="008C1536"/>
    <w:rsid w:val="008C1787"/>
    <w:rsid w:val="008C318F"/>
    <w:rsid w:val="008C398D"/>
    <w:rsid w:val="008C3DA8"/>
    <w:rsid w:val="008C402F"/>
    <w:rsid w:val="008C4B18"/>
    <w:rsid w:val="008C54D7"/>
    <w:rsid w:val="008C5D5A"/>
    <w:rsid w:val="008C5DDC"/>
    <w:rsid w:val="008C61C2"/>
    <w:rsid w:val="008C70EE"/>
    <w:rsid w:val="008C72CD"/>
    <w:rsid w:val="008C77A2"/>
    <w:rsid w:val="008D0074"/>
    <w:rsid w:val="008D0112"/>
    <w:rsid w:val="008D0C86"/>
    <w:rsid w:val="008D13C0"/>
    <w:rsid w:val="008D1529"/>
    <w:rsid w:val="008D19BE"/>
    <w:rsid w:val="008D1BDF"/>
    <w:rsid w:val="008D1D57"/>
    <w:rsid w:val="008D2600"/>
    <w:rsid w:val="008D4887"/>
    <w:rsid w:val="008D4D6A"/>
    <w:rsid w:val="008D51F3"/>
    <w:rsid w:val="008D5313"/>
    <w:rsid w:val="008D569D"/>
    <w:rsid w:val="008D58AA"/>
    <w:rsid w:val="008D5E4B"/>
    <w:rsid w:val="008D6121"/>
    <w:rsid w:val="008E064F"/>
    <w:rsid w:val="008E0683"/>
    <w:rsid w:val="008E0CEA"/>
    <w:rsid w:val="008E143C"/>
    <w:rsid w:val="008E17C2"/>
    <w:rsid w:val="008E2DCE"/>
    <w:rsid w:val="008E4E57"/>
    <w:rsid w:val="008E50AE"/>
    <w:rsid w:val="008E524D"/>
    <w:rsid w:val="008E5D23"/>
    <w:rsid w:val="008E6FFF"/>
    <w:rsid w:val="008E7D2A"/>
    <w:rsid w:val="008E7EFA"/>
    <w:rsid w:val="008F123C"/>
    <w:rsid w:val="008F1E1D"/>
    <w:rsid w:val="008F3286"/>
    <w:rsid w:val="008F3768"/>
    <w:rsid w:val="008F3B98"/>
    <w:rsid w:val="008F41BE"/>
    <w:rsid w:val="008F472B"/>
    <w:rsid w:val="008F4CA7"/>
    <w:rsid w:val="008F52DC"/>
    <w:rsid w:val="008F5920"/>
    <w:rsid w:val="008F7623"/>
    <w:rsid w:val="00900B8C"/>
    <w:rsid w:val="00901BCB"/>
    <w:rsid w:val="00902326"/>
    <w:rsid w:val="00902BD9"/>
    <w:rsid w:val="00902EA0"/>
    <w:rsid w:val="00902EE2"/>
    <w:rsid w:val="00903675"/>
    <w:rsid w:val="0090456C"/>
    <w:rsid w:val="00904678"/>
    <w:rsid w:val="00904B3B"/>
    <w:rsid w:val="00904D73"/>
    <w:rsid w:val="00904E68"/>
    <w:rsid w:val="00907C70"/>
    <w:rsid w:val="0091046B"/>
    <w:rsid w:val="00910B73"/>
    <w:rsid w:val="00910D3E"/>
    <w:rsid w:val="00910EBD"/>
    <w:rsid w:val="0091106F"/>
    <w:rsid w:val="00911926"/>
    <w:rsid w:val="0091203E"/>
    <w:rsid w:val="00912DD4"/>
    <w:rsid w:val="009144B8"/>
    <w:rsid w:val="00914C6D"/>
    <w:rsid w:val="00915262"/>
    <w:rsid w:val="0091569D"/>
    <w:rsid w:val="0091595C"/>
    <w:rsid w:val="00915E60"/>
    <w:rsid w:val="00916642"/>
    <w:rsid w:val="0091675A"/>
    <w:rsid w:val="009167E9"/>
    <w:rsid w:val="00917040"/>
    <w:rsid w:val="00921863"/>
    <w:rsid w:val="009228D3"/>
    <w:rsid w:val="00922F37"/>
    <w:rsid w:val="00923271"/>
    <w:rsid w:val="00923F9E"/>
    <w:rsid w:val="00925149"/>
    <w:rsid w:val="00926F4A"/>
    <w:rsid w:val="009270AE"/>
    <w:rsid w:val="0093046C"/>
    <w:rsid w:val="00930945"/>
    <w:rsid w:val="009312CC"/>
    <w:rsid w:val="00931EFD"/>
    <w:rsid w:val="009323D0"/>
    <w:rsid w:val="00933669"/>
    <w:rsid w:val="00934C18"/>
    <w:rsid w:val="009354B5"/>
    <w:rsid w:val="009364FB"/>
    <w:rsid w:val="009366EE"/>
    <w:rsid w:val="00936775"/>
    <w:rsid w:val="00936A97"/>
    <w:rsid w:val="009371F1"/>
    <w:rsid w:val="0093731B"/>
    <w:rsid w:val="009401E1"/>
    <w:rsid w:val="00940729"/>
    <w:rsid w:val="00940C32"/>
    <w:rsid w:val="00940F08"/>
    <w:rsid w:val="0094107D"/>
    <w:rsid w:val="009416AD"/>
    <w:rsid w:val="009419A9"/>
    <w:rsid w:val="009422A0"/>
    <w:rsid w:val="009431DE"/>
    <w:rsid w:val="00944F00"/>
    <w:rsid w:val="00945915"/>
    <w:rsid w:val="00945E6F"/>
    <w:rsid w:val="00945FE3"/>
    <w:rsid w:val="00946118"/>
    <w:rsid w:val="0094644D"/>
    <w:rsid w:val="0094694F"/>
    <w:rsid w:val="00946FB5"/>
    <w:rsid w:val="009475AD"/>
    <w:rsid w:val="009478CA"/>
    <w:rsid w:val="00947936"/>
    <w:rsid w:val="00947ED6"/>
    <w:rsid w:val="00951318"/>
    <w:rsid w:val="00952253"/>
    <w:rsid w:val="0095360A"/>
    <w:rsid w:val="0095592C"/>
    <w:rsid w:val="009559FB"/>
    <w:rsid w:val="009560C2"/>
    <w:rsid w:val="0095687A"/>
    <w:rsid w:val="009600BD"/>
    <w:rsid w:val="0096047F"/>
    <w:rsid w:val="0096079C"/>
    <w:rsid w:val="00960B76"/>
    <w:rsid w:val="0096188B"/>
    <w:rsid w:val="00962F5F"/>
    <w:rsid w:val="00963460"/>
    <w:rsid w:val="00964E40"/>
    <w:rsid w:val="00965569"/>
    <w:rsid w:val="0096561C"/>
    <w:rsid w:val="00966A4F"/>
    <w:rsid w:val="00967068"/>
    <w:rsid w:val="00967096"/>
    <w:rsid w:val="00967638"/>
    <w:rsid w:val="009704E6"/>
    <w:rsid w:val="0097110D"/>
    <w:rsid w:val="00971331"/>
    <w:rsid w:val="009723E1"/>
    <w:rsid w:val="009727B2"/>
    <w:rsid w:val="00972A67"/>
    <w:rsid w:val="00972B0F"/>
    <w:rsid w:val="00972D37"/>
    <w:rsid w:val="00973A90"/>
    <w:rsid w:val="00975550"/>
    <w:rsid w:val="009762FF"/>
    <w:rsid w:val="00976D9A"/>
    <w:rsid w:val="00977000"/>
    <w:rsid w:val="00980509"/>
    <w:rsid w:val="00980F33"/>
    <w:rsid w:val="00981F96"/>
    <w:rsid w:val="009820FF"/>
    <w:rsid w:val="00982FBA"/>
    <w:rsid w:val="00983F19"/>
    <w:rsid w:val="00984DE0"/>
    <w:rsid w:val="009854D8"/>
    <w:rsid w:val="00985AAC"/>
    <w:rsid w:val="00985E17"/>
    <w:rsid w:val="009860BD"/>
    <w:rsid w:val="0098612D"/>
    <w:rsid w:val="009878FC"/>
    <w:rsid w:val="00987A57"/>
    <w:rsid w:val="00990CA1"/>
    <w:rsid w:val="0099161B"/>
    <w:rsid w:val="00991C00"/>
    <w:rsid w:val="0099238E"/>
    <w:rsid w:val="00992E18"/>
    <w:rsid w:val="00992F62"/>
    <w:rsid w:val="00992FE6"/>
    <w:rsid w:val="00993A7B"/>
    <w:rsid w:val="00993E3D"/>
    <w:rsid w:val="00994FF5"/>
    <w:rsid w:val="00995D48"/>
    <w:rsid w:val="00995E46"/>
    <w:rsid w:val="009966C9"/>
    <w:rsid w:val="009A0138"/>
    <w:rsid w:val="009A0429"/>
    <w:rsid w:val="009A061B"/>
    <w:rsid w:val="009A1328"/>
    <w:rsid w:val="009A2FBC"/>
    <w:rsid w:val="009A3A24"/>
    <w:rsid w:val="009A423E"/>
    <w:rsid w:val="009A45D4"/>
    <w:rsid w:val="009A4752"/>
    <w:rsid w:val="009A5483"/>
    <w:rsid w:val="009A5EFF"/>
    <w:rsid w:val="009A6CB7"/>
    <w:rsid w:val="009A6CE4"/>
    <w:rsid w:val="009A7593"/>
    <w:rsid w:val="009A7657"/>
    <w:rsid w:val="009B0332"/>
    <w:rsid w:val="009B1264"/>
    <w:rsid w:val="009B19DF"/>
    <w:rsid w:val="009B1D2F"/>
    <w:rsid w:val="009B257E"/>
    <w:rsid w:val="009B2747"/>
    <w:rsid w:val="009B2B2E"/>
    <w:rsid w:val="009B3086"/>
    <w:rsid w:val="009B312F"/>
    <w:rsid w:val="009B45D1"/>
    <w:rsid w:val="009B47B2"/>
    <w:rsid w:val="009B521C"/>
    <w:rsid w:val="009B5305"/>
    <w:rsid w:val="009B54EC"/>
    <w:rsid w:val="009B578D"/>
    <w:rsid w:val="009B625C"/>
    <w:rsid w:val="009B7C6E"/>
    <w:rsid w:val="009C088D"/>
    <w:rsid w:val="009C1AC7"/>
    <w:rsid w:val="009C1BBD"/>
    <w:rsid w:val="009C1F5F"/>
    <w:rsid w:val="009C3047"/>
    <w:rsid w:val="009C38D3"/>
    <w:rsid w:val="009C3E33"/>
    <w:rsid w:val="009C3E96"/>
    <w:rsid w:val="009C466B"/>
    <w:rsid w:val="009C50B7"/>
    <w:rsid w:val="009C5F8F"/>
    <w:rsid w:val="009C641A"/>
    <w:rsid w:val="009C6FA8"/>
    <w:rsid w:val="009C70A6"/>
    <w:rsid w:val="009D00E7"/>
    <w:rsid w:val="009D07C8"/>
    <w:rsid w:val="009D1DDE"/>
    <w:rsid w:val="009D2DB2"/>
    <w:rsid w:val="009D454C"/>
    <w:rsid w:val="009D4948"/>
    <w:rsid w:val="009D59D2"/>
    <w:rsid w:val="009D5EC6"/>
    <w:rsid w:val="009D61E5"/>
    <w:rsid w:val="009D61FA"/>
    <w:rsid w:val="009D634D"/>
    <w:rsid w:val="009D710C"/>
    <w:rsid w:val="009D7EFC"/>
    <w:rsid w:val="009E0114"/>
    <w:rsid w:val="009E0232"/>
    <w:rsid w:val="009E1409"/>
    <w:rsid w:val="009E1D79"/>
    <w:rsid w:val="009E4748"/>
    <w:rsid w:val="009E599E"/>
    <w:rsid w:val="009E5B05"/>
    <w:rsid w:val="009E5C1A"/>
    <w:rsid w:val="009E6646"/>
    <w:rsid w:val="009E6CC2"/>
    <w:rsid w:val="009E7686"/>
    <w:rsid w:val="009E7786"/>
    <w:rsid w:val="009E7F3E"/>
    <w:rsid w:val="009F0629"/>
    <w:rsid w:val="009F0EE7"/>
    <w:rsid w:val="009F1929"/>
    <w:rsid w:val="009F1966"/>
    <w:rsid w:val="009F1A2A"/>
    <w:rsid w:val="009F2A5A"/>
    <w:rsid w:val="009F2D81"/>
    <w:rsid w:val="009F3003"/>
    <w:rsid w:val="009F3667"/>
    <w:rsid w:val="009F3B95"/>
    <w:rsid w:val="009F437A"/>
    <w:rsid w:val="009F4A2E"/>
    <w:rsid w:val="009F5E13"/>
    <w:rsid w:val="009F5F1E"/>
    <w:rsid w:val="009F5F28"/>
    <w:rsid w:val="009F6DDC"/>
    <w:rsid w:val="009F7436"/>
    <w:rsid w:val="00A001F7"/>
    <w:rsid w:val="00A006BA"/>
    <w:rsid w:val="00A00B73"/>
    <w:rsid w:val="00A00CFA"/>
    <w:rsid w:val="00A00DF8"/>
    <w:rsid w:val="00A0185F"/>
    <w:rsid w:val="00A01C4E"/>
    <w:rsid w:val="00A01FE2"/>
    <w:rsid w:val="00A026F8"/>
    <w:rsid w:val="00A02784"/>
    <w:rsid w:val="00A03724"/>
    <w:rsid w:val="00A042B1"/>
    <w:rsid w:val="00A04707"/>
    <w:rsid w:val="00A0481A"/>
    <w:rsid w:val="00A04F1B"/>
    <w:rsid w:val="00A05A93"/>
    <w:rsid w:val="00A05E7E"/>
    <w:rsid w:val="00A062DA"/>
    <w:rsid w:val="00A067CD"/>
    <w:rsid w:val="00A06946"/>
    <w:rsid w:val="00A06AAA"/>
    <w:rsid w:val="00A06DE8"/>
    <w:rsid w:val="00A07AFA"/>
    <w:rsid w:val="00A07C9B"/>
    <w:rsid w:val="00A07DD8"/>
    <w:rsid w:val="00A10B17"/>
    <w:rsid w:val="00A11388"/>
    <w:rsid w:val="00A11D45"/>
    <w:rsid w:val="00A12E1E"/>
    <w:rsid w:val="00A12FB9"/>
    <w:rsid w:val="00A13171"/>
    <w:rsid w:val="00A1326D"/>
    <w:rsid w:val="00A1366F"/>
    <w:rsid w:val="00A143A4"/>
    <w:rsid w:val="00A14436"/>
    <w:rsid w:val="00A15F0F"/>
    <w:rsid w:val="00A169E0"/>
    <w:rsid w:val="00A173F9"/>
    <w:rsid w:val="00A2007E"/>
    <w:rsid w:val="00A205A5"/>
    <w:rsid w:val="00A21763"/>
    <w:rsid w:val="00A21BA3"/>
    <w:rsid w:val="00A21E17"/>
    <w:rsid w:val="00A21FAD"/>
    <w:rsid w:val="00A221B8"/>
    <w:rsid w:val="00A22D87"/>
    <w:rsid w:val="00A23908"/>
    <w:rsid w:val="00A2470F"/>
    <w:rsid w:val="00A24DE9"/>
    <w:rsid w:val="00A250D5"/>
    <w:rsid w:val="00A2526F"/>
    <w:rsid w:val="00A26B66"/>
    <w:rsid w:val="00A2764B"/>
    <w:rsid w:val="00A27F29"/>
    <w:rsid w:val="00A30BA5"/>
    <w:rsid w:val="00A31296"/>
    <w:rsid w:val="00A316BA"/>
    <w:rsid w:val="00A31C69"/>
    <w:rsid w:val="00A32739"/>
    <w:rsid w:val="00A3286A"/>
    <w:rsid w:val="00A330EA"/>
    <w:rsid w:val="00A34963"/>
    <w:rsid w:val="00A34CBE"/>
    <w:rsid w:val="00A3655F"/>
    <w:rsid w:val="00A36E48"/>
    <w:rsid w:val="00A379D3"/>
    <w:rsid w:val="00A37A12"/>
    <w:rsid w:val="00A40E5F"/>
    <w:rsid w:val="00A421F7"/>
    <w:rsid w:val="00A421FC"/>
    <w:rsid w:val="00A422E3"/>
    <w:rsid w:val="00A42489"/>
    <w:rsid w:val="00A43C61"/>
    <w:rsid w:val="00A43DA6"/>
    <w:rsid w:val="00A441F7"/>
    <w:rsid w:val="00A4448B"/>
    <w:rsid w:val="00A444AB"/>
    <w:rsid w:val="00A44B73"/>
    <w:rsid w:val="00A44C62"/>
    <w:rsid w:val="00A4529B"/>
    <w:rsid w:val="00A462BD"/>
    <w:rsid w:val="00A46915"/>
    <w:rsid w:val="00A47248"/>
    <w:rsid w:val="00A474E2"/>
    <w:rsid w:val="00A50A47"/>
    <w:rsid w:val="00A50BFD"/>
    <w:rsid w:val="00A51AB2"/>
    <w:rsid w:val="00A52834"/>
    <w:rsid w:val="00A52B49"/>
    <w:rsid w:val="00A52E3E"/>
    <w:rsid w:val="00A531FD"/>
    <w:rsid w:val="00A53B12"/>
    <w:rsid w:val="00A542E0"/>
    <w:rsid w:val="00A543B0"/>
    <w:rsid w:val="00A54639"/>
    <w:rsid w:val="00A54A93"/>
    <w:rsid w:val="00A55B64"/>
    <w:rsid w:val="00A562F3"/>
    <w:rsid w:val="00A56755"/>
    <w:rsid w:val="00A5708A"/>
    <w:rsid w:val="00A57221"/>
    <w:rsid w:val="00A57C02"/>
    <w:rsid w:val="00A60A2B"/>
    <w:rsid w:val="00A60B43"/>
    <w:rsid w:val="00A60CA3"/>
    <w:rsid w:val="00A61235"/>
    <w:rsid w:val="00A61AD0"/>
    <w:rsid w:val="00A61EA2"/>
    <w:rsid w:val="00A623AC"/>
    <w:rsid w:val="00A62625"/>
    <w:rsid w:val="00A6393F"/>
    <w:rsid w:val="00A63DC8"/>
    <w:rsid w:val="00A63F7F"/>
    <w:rsid w:val="00A65051"/>
    <w:rsid w:val="00A6517D"/>
    <w:rsid w:val="00A65292"/>
    <w:rsid w:val="00A663CF"/>
    <w:rsid w:val="00A67297"/>
    <w:rsid w:val="00A70453"/>
    <w:rsid w:val="00A71222"/>
    <w:rsid w:val="00A72253"/>
    <w:rsid w:val="00A726E6"/>
    <w:rsid w:val="00A72C83"/>
    <w:rsid w:val="00A72F5C"/>
    <w:rsid w:val="00A731A7"/>
    <w:rsid w:val="00A7359C"/>
    <w:rsid w:val="00A7394A"/>
    <w:rsid w:val="00A75847"/>
    <w:rsid w:val="00A76A49"/>
    <w:rsid w:val="00A76EE1"/>
    <w:rsid w:val="00A778CA"/>
    <w:rsid w:val="00A80548"/>
    <w:rsid w:val="00A80691"/>
    <w:rsid w:val="00A80D1E"/>
    <w:rsid w:val="00A81643"/>
    <w:rsid w:val="00A81BDD"/>
    <w:rsid w:val="00A828C8"/>
    <w:rsid w:val="00A83EBA"/>
    <w:rsid w:val="00A847F1"/>
    <w:rsid w:val="00A849A6"/>
    <w:rsid w:val="00A858C0"/>
    <w:rsid w:val="00A85E9B"/>
    <w:rsid w:val="00A867AB"/>
    <w:rsid w:val="00A8697F"/>
    <w:rsid w:val="00A86E7A"/>
    <w:rsid w:val="00A873F6"/>
    <w:rsid w:val="00A8771D"/>
    <w:rsid w:val="00A90980"/>
    <w:rsid w:val="00A91DAD"/>
    <w:rsid w:val="00A91F27"/>
    <w:rsid w:val="00A92317"/>
    <w:rsid w:val="00A928FC"/>
    <w:rsid w:val="00A933B5"/>
    <w:rsid w:val="00A94192"/>
    <w:rsid w:val="00A94722"/>
    <w:rsid w:val="00A94C61"/>
    <w:rsid w:val="00A95071"/>
    <w:rsid w:val="00A95485"/>
    <w:rsid w:val="00A95A49"/>
    <w:rsid w:val="00A9692E"/>
    <w:rsid w:val="00AA25F9"/>
    <w:rsid w:val="00AA3231"/>
    <w:rsid w:val="00AA410F"/>
    <w:rsid w:val="00AA4BE9"/>
    <w:rsid w:val="00AA4E1F"/>
    <w:rsid w:val="00AA6210"/>
    <w:rsid w:val="00AA6412"/>
    <w:rsid w:val="00AA738F"/>
    <w:rsid w:val="00AA73D3"/>
    <w:rsid w:val="00AA75F2"/>
    <w:rsid w:val="00AA792A"/>
    <w:rsid w:val="00AA7955"/>
    <w:rsid w:val="00AA7A2A"/>
    <w:rsid w:val="00AA7FDF"/>
    <w:rsid w:val="00AB013F"/>
    <w:rsid w:val="00AB0931"/>
    <w:rsid w:val="00AB0A06"/>
    <w:rsid w:val="00AB0D2E"/>
    <w:rsid w:val="00AB1795"/>
    <w:rsid w:val="00AB1D50"/>
    <w:rsid w:val="00AB1E04"/>
    <w:rsid w:val="00AB2561"/>
    <w:rsid w:val="00AB264B"/>
    <w:rsid w:val="00AB412A"/>
    <w:rsid w:val="00AB4466"/>
    <w:rsid w:val="00AB582E"/>
    <w:rsid w:val="00AB5F7D"/>
    <w:rsid w:val="00AB6B04"/>
    <w:rsid w:val="00AB6ED7"/>
    <w:rsid w:val="00AB7B40"/>
    <w:rsid w:val="00AC147D"/>
    <w:rsid w:val="00AC190F"/>
    <w:rsid w:val="00AC2327"/>
    <w:rsid w:val="00AC3747"/>
    <w:rsid w:val="00AC424A"/>
    <w:rsid w:val="00AC45C9"/>
    <w:rsid w:val="00AC4944"/>
    <w:rsid w:val="00AC4A2E"/>
    <w:rsid w:val="00AC5DEC"/>
    <w:rsid w:val="00AC6493"/>
    <w:rsid w:val="00AC714B"/>
    <w:rsid w:val="00AC72A9"/>
    <w:rsid w:val="00AD149B"/>
    <w:rsid w:val="00AD2662"/>
    <w:rsid w:val="00AD2E18"/>
    <w:rsid w:val="00AD30FB"/>
    <w:rsid w:val="00AD4A9E"/>
    <w:rsid w:val="00AD60DC"/>
    <w:rsid w:val="00AD780B"/>
    <w:rsid w:val="00AE0375"/>
    <w:rsid w:val="00AE0B3F"/>
    <w:rsid w:val="00AE14A5"/>
    <w:rsid w:val="00AE175B"/>
    <w:rsid w:val="00AE1D31"/>
    <w:rsid w:val="00AE2FEC"/>
    <w:rsid w:val="00AE31DB"/>
    <w:rsid w:val="00AE4083"/>
    <w:rsid w:val="00AE5476"/>
    <w:rsid w:val="00AE5A51"/>
    <w:rsid w:val="00AE65C1"/>
    <w:rsid w:val="00AE704B"/>
    <w:rsid w:val="00AE790A"/>
    <w:rsid w:val="00AF0ABE"/>
    <w:rsid w:val="00AF233B"/>
    <w:rsid w:val="00AF3827"/>
    <w:rsid w:val="00AF4887"/>
    <w:rsid w:val="00AF5E98"/>
    <w:rsid w:val="00B002FE"/>
    <w:rsid w:val="00B042A2"/>
    <w:rsid w:val="00B04A54"/>
    <w:rsid w:val="00B06257"/>
    <w:rsid w:val="00B062E8"/>
    <w:rsid w:val="00B065F1"/>
    <w:rsid w:val="00B06CA1"/>
    <w:rsid w:val="00B06E11"/>
    <w:rsid w:val="00B07786"/>
    <w:rsid w:val="00B105AE"/>
    <w:rsid w:val="00B10B98"/>
    <w:rsid w:val="00B11279"/>
    <w:rsid w:val="00B12289"/>
    <w:rsid w:val="00B12CBD"/>
    <w:rsid w:val="00B12DD3"/>
    <w:rsid w:val="00B13B7F"/>
    <w:rsid w:val="00B13DE2"/>
    <w:rsid w:val="00B144F2"/>
    <w:rsid w:val="00B14585"/>
    <w:rsid w:val="00B14A60"/>
    <w:rsid w:val="00B15D1D"/>
    <w:rsid w:val="00B22404"/>
    <w:rsid w:val="00B22D5B"/>
    <w:rsid w:val="00B22FC8"/>
    <w:rsid w:val="00B232AD"/>
    <w:rsid w:val="00B23C50"/>
    <w:rsid w:val="00B24536"/>
    <w:rsid w:val="00B249A1"/>
    <w:rsid w:val="00B24C25"/>
    <w:rsid w:val="00B24ECA"/>
    <w:rsid w:val="00B259B3"/>
    <w:rsid w:val="00B25B94"/>
    <w:rsid w:val="00B26360"/>
    <w:rsid w:val="00B265F2"/>
    <w:rsid w:val="00B26AF9"/>
    <w:rsid w:val="00B26FBD"/>
    <w:rsid w:val="00B274BE"/>
    <w:rsid w:val="00B27E8F"/>
    <w:rsid w:val="00B305B2"/>
    <w:rsid w:val="00B30BCA"/>
    <w:rsid w:val="00B32ED7"/>
    <w:rsid w:val="00B33AA2"/>
    <w:rsid w:val="00B34064"/>
    <w:rsid w:val="00B34163"/>
    <w:rsid w:val="00B34467"/>
    <w:rsid w:val="00B345E7"/>
    <w:rsid w:val="00B34DFA"/>
    <w:rsid w:val="00B355CF"/>
    <w:rsid w:val="00B355EB"/>
    <w:rsid w:val="00B35955"/>
    <w:rsid w:val="00B36944"/>
    <w:rsid w:val="00B37FB8"/>
    <w:rsid w:val="00B41BB4"/>
    <w:rsid w:val="00B42098"/>
    <w:rsid w:val="00B42217"/>
    <w:rsid w:val="00B43C90"/>
    <w:rsid w:val="00B44050"/>
    <w:rsid w:val="00B444ED"/>
    <w:rsid w:val="00B45671"/>
    <w:rsid w:val="00B45AB8"/>
    <w:rsid w:val="00B47E80"/>
    <w:rsid w:val="00B50862"/>
    <w:rsid w:val="00B50D8E"/>
    <w:rsid w:val="00B52095"/>
    <w:rsid w:val="00B5282E"/>
    <w:rsid w:val="00B53543"/>
    <w:rsid w:val="00B535B7"/>
    <w:rsid w:val="00B543D1"/>
    <w:rsid w:val="00B54D61"/>
    <w:rsid w:val="00B54FC6"/>
    <w:rsid w:val="00B5602A"/>
    <w:rsid w:val="00B56066"/>
    <w:rsid w:val="00B56522"/>
    <w:rsid w:val="00B567B6"/>
    <w:rsid w:val="00B56BC7"/>
    <w:rsid w:val="00B56E9D"/>
    <w:rsid w:val="00B579B5"/>
    <w:rsid w:val="00B57FAE"/>
    <w:rsid w:val="00B604DA"/>
    <w:rsid w:val="00B60C2B"/>
    <w:rsid w:val="00B60D76"/>
    <w:rsid w:val="00B617DF"/>
    <w:rsid w:val="00B62142"/>
    <w:rsid w:val="00B6294F"/>
    <w:rsid w:val="00B62B51"/>
    <w:rsid w:val="00B62B67"/>
    <w:rsid w:val="00B62D2F"/>
    <w:rsid w:val="00B63F01"/>
    <w:rsid w:val="00B64172"/>
    <w:rsid w:val="00B64753"/>
    <w:rsid w:val="00B7030A"/>
    <w:rsid w:val="00B708C8"/>
    <w:rsid w:val="00B7097B"/>
    <w:rsid w:val="00B70AF4"/>
    <w:rsid w:val="00B713D2"/>
    <w:rsid w:val="00B7216D"/>
    <w:rsid w:val="00B722BA"/>
    <w:rsid w:val="00B7334E"/>
    <w:rsid w:val="00B737DB"/>
    <w:rsid w:val="00B75575"/>
    <w:rsid w:val="00B757E1"/>
    <w:rsid w:val="00B77D6E"/>
    <w:rsid w:val="00B807CE"/>
    <w:rsid w:val="00B80CED"/>
    <w:rsid w:val="00B8192C"/>
    <w:rsid w:val="00B81F55"/>
    <w:rsid w:val="00B842D3"/>
    <w:rsid w:val="00B85F1A"/>
    <w:rsid w:val="00B860D6"/>
    <w:rsid w:val="00B86223"/>
    <w:rsid w:val="00B86F97"/>
    <w:rsid w:val="00B87B30"/>
    <w:rsid w:val="00B908DC"/>
    <w:rsid w:val="00B91047"/>
    <w:rsid w:val="00B91B34"/>
    <w:rsid w:val="00B91B82"/>
    <w:rsid w:val="00B92E2D"/>
    <w:rsid w:val="00B953EA"/>
    <w:rsid w:val="00B9590D"/>
    <w:rsid w:val="00B96AF7"/>
    <w:rsid w:val="00B96FC5"/>
    <w:rsid w:val="00B97492"/>
    <w:rsid w:val="00BA0418"/>
    <w:rsid w:val="00BA0ADF"/>
    <w:rsid w:val="00BA1E9F"/>
    <w:rsid w:val="00BA2224"/>
    <w:rsid w:val="00BA2910"/>
    <w:rsid w:val="00BA33A3"/>
    <w:rsid w:val="00BA4E13"/>
    <w:rsid w:val="00BA4E58"/>
    <w:rsid w:val="00BA54CA"/>
    <w:rsid w:val="00BA5DCF"/>
    <w:rsid w:val="00BA683A"/>
    <w:rsid w:val="00BA68C0"/>
    <w:rsid w:val="00BA6B4C"/>
    <w:rsid w:val="00BB12BC"/>
    <w:rsid w:val="00BB1C24"/>
    <w:rsid w:val="00BB2CD3"/>
    <w:rsid w:val="00BB3BF9"/>
    <w:rsid w:val="00BB4303"/>
    <w:rsid w:val="00BB76CC"/>
    <w:rsid w:val="00BC19C8"/>
    <w:rsid w:val="00BC1DD8"/>
    <w:rsid w:val="00BC3404"/>
    <w:rsid w:val="00BC39AB"/>
    <w:rsid w:val="00BC3F08"/>
    <w:rsid w:val="00BC4B66"/>
    <w:rsid w:val="00BC5FE3"/>
    <w:rsid w:val="00BC6825"/>
    <w:rsid w:val="00BC7C5D"/>
    <w:rsid w:val="00BC7E13"/>
    <w:rsid w:val="00BD0091"/>
    <w:rsid w:val="00BD02ED"/>
    <w:rsid w:val="00BD0C07"/>
    <w:rsid w:val="00BD0C4D"/>
    <w:rsid w:val="00BD126A"/>
    <w:rsid w:val="00BD2882"/>
    <w:rsid w:val="00BD2A6C"/>
    <w:rsid w:val="00BD3974"/>
    <w:rsid w:val="00BD44F6"/>
    <w:rsid w:val="00BD4FE3"/>
    <w:rsid w:val="00BD5213"/>
    <w:rsid w:val="00BD5A41"/>
    <w:rsid w:val="00BD6175"/>
    <w:rsid w:val="00BD6C97"/>
    <w:rsid w:val="00BD6CEF"/>
    <w:rsid w:val="00BD6D9E"/>
    <w:rsid w:val="00BE2282"/>
    <w:rsid w:val="00BE23B9"/>
    <w:rsid w:val="00BE2C9A"/>
    <w:rsid w:val="00BE31A3"/>
    <w:rsid w:val="00BE34AD"/>
    <w:rsid w:val="00BE38F9"/>
    <w:rsid w:val="00BE3C6C"/>
    <w:rsid w:val="00BE4D1A"/>
    <w:rsid w:val="00BE4F8B"/>
    <w:rsid w:val="00BE5560"/>
    <w:rsid w:val="00BE5753"/>
    <w:rsid w:val="00BE643B"/>
    <w:rsid w:val="00BE6775"/>
    <w:rsid w:val="00BF0E05"/>
    <w:rsid w:val="00BF0F57"/>
    <w:rsid w:val="00BF1363"/>
    <w:rsid w:val="00BF21AB"/>
    <w:rsid w:val="00BF333C"/>
    <w:rsid w:val="00BF397C"/>
    <w:rsid w:val="00BF4A6E"/>
    <w:rsid w:val="00BF5C4E"/>
    <w:rsid w:val="00BF5D53"/>
    <w:rsid w:val="00BF6A1A"/>
    <w:rsid w:val="00C00711"/>
    <w:rsid w:val="00C008BC"/>
    <w:rsid w:val="00C00A2A"/>
    <w:rsid w:val="00C02896"/>
    <w:rsid w:val="00C028CB"/>
    <w:rsid w:val="00C02C24"/>
    <w:rsid w:val="00C0321A"/>
    <w:rsid w:val="00C0357C"/>
    <w:rsid w:val="00C04C57"/>
    <w:rsid w:val="00C05B9E"/>
    <w:rsid w:val="00C05EAA"/>
    <w:rsid w:val="00C06115"/>
    <w:rsid w:val="00C06210"/>
    <w:rsid w:val="00C06361"/>
    <w:rsid w:val="00C069D8"/>
    <w:rsid w:val="00C06D97"/>
    <w:rsid w:val="00C105BA"/>
    <w:rsid w:val="00C10AB7"/>
    <w:rsid w:val="00C113B5"/>
    <w:rsid w:val="00C11DB9"/>
    <w:rsid w:val="00C129C3"/>
    <w:rsid w:val="00C12E7D"/>
    <w:rsid w:val="00C1302C"/>
    <w:rsid w:val="00C13271"/>
    <w:rsid w:val="00C13D8C"/>
    <w:rsid w:val="00C14205"/>
    <w:rsid w:val="00C14C0F"/>
    <w:rsid w:val="00C14F84"/>
    <w:rsid w:val="00C151A7"/>
    <w:rsid w:val="00C156E7"/>
    <w:rsid w:val="00C15F47"/>
    <w:rsid w:val="00C16FEE"/>
    <w:rsid w:val="00C178D6"/>
    <w:rsid w:val="00C17A70"/>
    <w:rsid w:val="00C17DB9"/>
    <w:rsid w:val="00C17FAB"/>
    <w:rsid w:val="00C203B1"/>
    <w:rsid w:val="00C20A54"/>
    <w:rsid w:val="00C216AB"/>
    <w:rsid w:val="00C220B4"/>
    <w:rsid w:val="00C22704"/>
    <w:rsid w:val="00C22B73"/>
    <w:rsid w:val="00C23750"/>
    <w:rsid w:val="00C239C0"/>
    <w:rsid w:val="00C24178"/>
    <w:rsid w:val="00C25ADB"/>
    <w:rsid w:val="00C25FA8"/>
    <w:rsid w:val="00C26A23"/>
    <w:rsid w:val="00C272ED"/>
    <w:rsid w:val="00C276E4"/>
    <w:rsid w:val="00C304E7"/>
    <w:rsid w:val="00C30CA3"/>
    <w:rsid w:val="00C316C4"/>
    <w:rsid w:val="00C3230E"/>
    <w:rsid w:val="00C3300C"/>
    <w:rsid w:val="00C33A68"/>
    <w:rsid w:val="00C33BE1"/>
    <w:rsid w:val="00C33FC1"/>
    <w:rsid w:val="00C348A8"/>
    <w:rsid w:val="00C369EE"/>
    <w:rsid w:val="00C373F7"/>
    <w:rsid w:val="00C40E9C"/>
    <w:rsid w:val="00C41917"/>
    <w:rsid w:val="00C41C67"/>
    <w:rsid w:val="00C41F75"/>
    <w:rsid w:val="00C42E82"/>
    <w:rsid w:val="00C43248"/>
    <w:rsid w:val="00C43C23"/>
    <w:rsid w:val="00C4413E"/>
    <w:rsid w:val="00C4417B"/>
    <w:rsid w:val="00C444D1"/>
    <w:rsid w:val="00C44FD3"/>
    <w:rsid w:val="00C45CF5"/>
    <w:rsid w:val="00C45EFF"/>
    <w:rsid w:val="00C46599"/>
    <w:rsid w:val="00C46C4F"/>
    <w:rsid w:val="00C47CAD"/>
    <w:rsid w:val="00C5015C"/>
    <w:rsid w:val="00C50ACE"/>
    <w:rsid w:val="00C515ED"/>
    <w:rsid w:val="00C525B7"/>
    <w:rsid w:val="00C53499"/>
    <w:rsid w:val="00C53ECC"/>
    <w:rsid w:val="00C54B9C"/>
    <w:rsid w:val="00C54DB6"/>
    <w:rsid w:val="00C560A0"/>
    <w:rsid w:val="00C56217"/>
    <w:rsid w:val="00C57749"/>
    <w:rsid w:val="00C615F4"/>
    <w:rsid w:val="00C63FAA"/>
    <w:rsid w:val="00C6436D"/>
    <w:rsid w:val="00C64BE8"/>
    <w:rsid w:val="00C65D6C"/>
    <w:rsid w:val="00C66D2B"/>
    <w:rsid w:val="00C66EB1"/>
    <w:rsid w:val="00C67910"/>
    <w:rsid w:val="00C70BB1"/>
    <w:rsid w:val="00C71045"/>
    <w:rsid w:val="00C71263"/>
    <w:rsid w:val="00C714D8"/>
    <w:rsid w:val="00C71DC0"/>
    <w:rsid w:val="00C72F79"/>
    <w:rsid w:val="00C730F4"/>
    <w:rsid w:val="00C74CFF"/>
    <w:rsid w:val="00C74DB4"/>
    <w:rsid w:val="00C75279"/>
    <w:rsid w:val="00C75A77"/>
    <w:rsid w:val="00C760D4"/>
    <w:rsid w:val="00C7676D"/>
    <w:rsid w:val="00C80809"/>
    <w:rsid w:val="00C81D97"/>
    <w:rsid w:val="00C82FAC"/>
    <w:rsid w:val="00C835B8"/>
    <w:rsid w:val="00C83B57"/>
    <w:rsid w:val="00C84CA3"/>
    <w:rsid w:val="00C84E37"/>
    <w:rsid w:val="00C85E04"/>
    <w:rsid w:val="00C85EB2"/>
    <w:rsid w:val="00C900E3"/>
    <w:rsid w:val="00C900FA"/>
    <w:rsid w:val="00C906A1"/>
    <w:rsid w:val="00C90BCF"/>
    <w:rsid w:val="00C90CAB"/>
    <w:rsid w:val="00C91780"/>
    <w:rsid w:val="00C920D2"/>
    <w:rsid w:val="00C92408"/>
    <w:rsid w:val="00C93789"/>
    <w:rsid w:val="00C93FA4"/>
    <w:rsid w:val="00C94D4B"/>
    <w:rsid w:val="00C955A1"/>
    <w:rsid w:val="00C95C6B"/>
    <w:rsid w:val="00C96606"/>
    <w:rsid w:val="00C97247"/>
    <w:rsid w:val="00C97906"/>
    <w:rsid w:val="00CA0514"/>
    <w:rsid w:val="00CA0D0B"/>
    <w:rsid w:val="00CA0E41"/>
    <w:rsid w:val="00CA1112"/>
    <w:rsid w:val="00CA1531"/>
    <w:rsid w:val="00CA21EE"/>
    <w:rsid w:val="00CA23E9"/>
    <w:rsid w:val="00CA26D3"/>
    <w:rsid w:val="00CA2B6E"/>
    <w:rsid w:val="00CA34DD"/>
    <w:rsid w:val="00CA3EB5"/>
    <w:rsid w:val="00CA4A7C"/>
    <w:rsid w:val="00CA5154"/>
    <w:rsid w:val="00CA54C8"/>
    <w:rsid w:val="00CA7CC3"/>
    <w:rsid w:val="00CA7D27"/>
    <w:rsid w:val="00CB1623"/>
    <w:rsid w:val="00CB29F9"/>
    <w:rsid w:val="00CB2E42"/>
    <w:rsid w:val="00CB323D"/>
    <w:rsid w:val="00CB343F"/>
    <w:rsid w:val="00CB41A5"/>
    <w:rsid w:val="00CB4A81"/>
    <w:rsid w:val="00CB5416"/>
    <w:rsid w:val="00CB5988"/>
    <w:rsid w:val="00CB5C28"/>
    <w:rsid w:val="00CB668E"/>
    <w:rsid w:val="00CB6AC0"/>
    <w:rsid w:val="00CC0333"/>
    <w:rsid w:val="00CC0558"/>
    <w:rsid w:val="00CC0604"/>
    <w:rsid w:val="00CC076F"/>
    <w:rsid w:val="00CC0AA7"/>
    <w:rsid w:val="00CC15FA"/>
    <w:rsid w:val="00CC1CFC"/>
    <w:rsid w:val="00CC3B05"/>
    <w:rsid w:val="00CC3CBE"/>
    <w:rsid w:val="00CC4381"/>
    <w:rsid w:val="00CC4BED"/>
    <w:rsid w:val="00CC7427"/>
    <w:rsid w:val="00CD1EF1"/>
    <w:rsid w:val="00CD2A1F"/>
    <w:rsid w:val="00CD460A"/>
    <w:rsid w:val="00CD730A"/>
    <w:rsid w:val="00CD73A2"/>
    <w:rsid w:val="00CD772D"/>
    <w:rsid w:val="00CD78ED"/>
    <w:rsid w:val="00CE0C92"/>
    <w:rsid w:val="00CE16C5"/>
    <w:rsid w:val="00CE2FF7"/>
    <w:rsid w:val="00CE3E29"/>
    <w:rsid w:val="00CE492B"/>
    <w:rsid w:val="00CE572B"/>
    <w:rsid w:val="00CE5DAD"/>
    <w:rsid w:val="00CE5E7E"/>
    <w:rsid w:val="00CE623D"/>
    <w:rsid w:val="00CE667B"/>
    <w:rsid w:val="00CE7DB9"/>
    <w:rsid w:val="00CF1C60"/>
    <w:rsid w:val="00CF33CC"/>
    <w:rsid w:val="00CF38DB"/>
    <w:rsid w:val="00CF3E59"/>
    <w:rsid w:val="00CF3EB8"/>
    <w:rsid w:val="00CF406F"/>
    <w:rsid w:val="00CF4645"/>
    <w:rsid w:val="00CF4CBC"/>
    <w:rsid w:val="00CF4D36"/>
    <w:rsid w:val="00CF4D63"/>
    <w:rsid w:val="00CF671A"/>
    <w:rsid w:val="00CF67BC"/>
    <w:rsid w:val="00CF6AFD"/>
    <w:rsid w:val="00CF78D9"/>
    <w:rsid w:val="00CF794C"/>
    <w:rsid w:val="00CF7B42"/>
    <w:rsid w:val="00D01204"/>
    <w:rsid w:val="00D026EF"/>
    <w:rsid w:val="00D0293C"/>
    <w:rsid w:val="00D03308"/>
    <w:rsid w:val="00D0335F"/>
    <w:rsid w:val="00D0416E"/>
    <w:rsid w:val="00D04545"/>
    <w:rsid w:val="00D048C0"/>
    <w:rsid w:val="00D04C97"/>
    <w:rsid w:val="00D0527C"/>
    <w:rsid w:val="00D0678F"/>
    <w:rsid w:val="00D06A1D"/>
    <w:rsid w:val="00D077AF"/>
    <w:rsid w:val="00D07EF5"/>
    <w:rsid w:val="00D127A1"/>
    <w:rsid w:val="00D12C16"/>
    <w:rsid w:val="00D12F91"/>
    <w:rsid w:val="00D13097"/>
    <w:rsid w:val="00D137D4"/>
    <w:rsid w:val="00D13E4A"/>
    <w:rsid w:val="00D14429"/>
    <w:rsid w:val="00D14B9A"/>
    <w:rsid w:val="00D14BA9"/>
    <w:rsid w:val="00D14D60"/>
    <w:rsid w:val="00D164BE"/>
    <w:rsid w:val="00D17072"/>
    <w:rsid w:val="00D207D2"/>
    <w:rsid w:val="00D20A96"/>
    <w:rsid w:val="00D20D65"/>
    <w:rsid w:val="00D216E0"/>
    <w:rsid w:val="00D21DE8"/>
    <w:rsid w:val="00D232AB"/>
    <w:rsid w:val="00D238DA"/>
    <w:rsid w:val="00D2455E"/>
    <w:rsid w:val="00D24600"/>
    <w:rsid w:val="00D24B1E"/>
    <w:rsid w:val="00D266DB"/>
    <w:rsid w:val="00D272D3"/>
    <w:rsid w:val="00D30435"/>
    <w:rsid w:val="00D316C3"/>
    <w:rsid w:val="00D31770"/>
    <w:rsid w:val="00D317B5"/>
    <w:rsid w:val="00D31C1D"/>
    <w:rsid w:val="00D33EA8"/>
    <w:rsid w:val="00D34783"/>
    <w:rsid w:val="00D34937"/>
    <w:rsid w:val="00D35CEB"/>
    <w:rsid w:val="00D35F61"/>
    <w:rsid w:val="00D36294"/>
    <w:rsid w:val="00D376C7"/>
    <w:rsid w:val="00D376ED"/>
    <w:rsid w:val="00D37806"/>
    <w:rsid w:val="00D37937"/>
    <w:rsid w:val="00D37E39"/>
    <w:rsid w:val="00D414EF"/>
    <w:rsid w:val="00D415C0"/>
    <w:rsid w:val="00D4225B"/>
    <w:rsid w:val="00D42CA4"/>
    <w:rsid w:val="00D4318B"/>
    <w:rsid w:val="00D43195"/>
    <w:rsid w:val="00D44A94"/>
    <w:rsid w:val="00D44DC8"/>
    <w:rsid w:val="00D451A2"/>
    <w:rsid w:val="00D46670"/>
    <w:rsid w:val="00D46FB5"/>
    <w:rsid w:val="00D474D8"/>
    <w:rsid w:val="00D5016A"/>
    <w:rsid w:val="00D507D6"/>
    <w:rsid w:val="00D5168E"/>
    <w:rsid w:val="00D52F02"/>
    <w:rsid w:val="00D52FA3"/>
    <w:rsid w:val="00D543BB"/>
    <w:rsid w:val="00D54405"/>
    <w:rsid w:val="00D554DF"/>
    <w:rsid w:val="00D566FE"/>
    <w:rsid w:val="00D56D55"/>
    <w:rsid w:val="00D574FE"/>
    <w:rsid w:val="00D5791B"/>
    <w:rsid w:val="00D6063A"/>
    <w:rsid w:val="00D60FB8"/>
    <w:rsid w:val="00D61292"/>
    <w:rsid w:val="00D61466"/>
    <w:rsid w:val="00D6170D"/>
    <w:rsid w:val="00D6271C"/>
    <w:rsid w:val="00D6296C"/>
    <w:rsid w:val="00D63227"/>
    <w:rsid w:val="00D632A3"/>
    <w:rsid w:val="00D63593"/>
    <w:rsid w:val="00D63BC3"/>
    <w:rsid w:val="00D64546"/>
    <w:rsid w:val="00D64579"/>
    <w:rsid w:val="00D64984"/>
    <w:rsid w:val="00D64FD6"/>
    <w:rsid w:val="00D6534B"/>
    <w:rsid w:val="00D66379"/>
    <w:rsid w:val="00D66440"/>
    <w:rsid w:val="00D66D6D"/>
    <w:rsid w:val="00D67152"/>
    <w:rsid w:val="00D677D5"/>
    <w:rsid w:val="00D67C5C"/>
    <w:rsid w:val="00D72156"/>
    <w:rsid w:val="00D7269D"/>
    <w:rsid w:val="00D7288C"/>
    <w:rsid w:val="00D73911"/>
    <w:rsid w:val="00D743B6"/>
    <w:rsid w:val="00D74646"/>
    <w:rsid w:val="00D74A5F"/>
    <w:rsid w:val="00D76433"/>
    <w:rsid w:val="00D764F3"/>
    <w:rsid w:val="00D76E2E"/>
    <w:rsid w:val="00D77205"/>
    <w:rsid w:val="00D8001D"/>
    <w:rsid w:val="00D81565"/>
    <w:rsid w:val="00D817E5"/>
    <w:rsid w:val="00D819C2"/>
    <w:rsid w:val="00D82607"/>
    <w:rsid w:val="00D82B4B"/>
    <w:rsid w:val="00D832FD"/>
    <w:rsid w:val="00D839B9"/>
    <w:rsid w:val="00D83D9A"/>
    <w:rsid w:val="00D840C4"/>
    <w:rsid w:val="00D842C7"/>
    <w:rsid w:val="00D84B5C"/>
    <w:rsid w:val="00D870DA"/>
    <w:rsid w:val="00D871E5"/>
    <w:rsid w:val="00D8781D"/>
    <w:rsid w:val="00D879F0"/>
    <w:rsid w:val="00D87D88"/>
    <w:rsid w:val="00D91288"/>
    <w:rsid w:val="00D9184A"/>
    <w:rsid w:val="00D926A7"/>
    <w:rsid w:val="00D92E4A"/>
    <w:rsid w:val="00D93430"/>
    <w:rsid w:val="00D94189"/>
    <w:rsid w:val="00D953DC"/>
    <w:rsid w:val="00D960D5"/>
    <w:rsid w:val="00D96144"/>
    <w:rsid w:val="00D96439"/>
    <w:rsid w:val="00D9678F"/>
    <w:rsid w:val="00D96B54"/>
    <w:rsid w:val="00DA0084"/>
    <w:rsid w:val="00DA03CF"/>
    <w:rsid w:val="00DA04FB"/>
    <w:rsid w:val="00DA0CFE"/>
    <w:rsid w:val="00DA1057"/>
    <w:rsid w:val="00DA294C"/>
    <w:rsid w:val="00DA306E"/>
    <w:rsid w:val="00DA35C0"/>
    <w:rsid w:val="00DA4309"/>
    <w:rsid w:val="00DA489A"/>
    <w:rsid w:val="00DA490D"/>
    <w:rsid w:val="00DA5D6A"/>
    <w:rsid w:val="00DA637F"/>
    <w:rsid w:val="00DA73FF"/>
    <w:rsid w:val="00DA7B62"/>
    <w:rsid w:val="00DA7F39"/>
    <w:rsid w:val="00DB1115"/>
    <w:rsid w:val="00DB1539"/>
    <w:rsid w:val="00DB2817"/>
    <w:rsid w:val="00DB2AAE"/>
    <w:rsid w:val="00DB3171"/>
    <w:rsid w:val="00DB3506"/>
    <w:rsid w:val="00DB37D2"/>
    <w:rsid w:val="00DB43DF"/>
    <w:rsid w:val="00DB45AE"/>
    <w:rsid w:val="00DB4B59"/>
    <w:rsid w:val="00DB54C9"/>
    <w:rsid w:val="00DB6816"/>
    <w:rsid w:val="00DB7B42"/>
    <w:rsid w:val="00DC1EF7"/>
    <w:rsid w:val="00DC33BF"/>
    <w:rsid w:val="00DC3627"/>
    <w:rsid w:val="00DC44A6"/>
    <w:rsid w:val="00DC4D69"/>
    <w:rsid w:val="00DC7DF4"/>
    <w:rsid w:val="00DD0483"/>
    <w:rsid w:val="00DD0A1F"/>
    <w:rsid w:val="00DD0A71"/>
    <w:rsid w:val="00DD20C9"/>
    <w:rsid w:val="00DD212C"/>
    <w:rsid w:val="00DD275F"/>
    <w:rsid w:val="00DD2877"/>
    <w:rsid w:val="00DD34D7"/>
    <w:rsid w:val="00DD4B08"/>
    <w:rsid w:val="00DD5162"/>
    <w:rsid w:val="00DD56C5"/>
    <w:rsid w:val="00DD57CF"/>
    <w:rsid w:val="00DD5F00"/>
    <w:rsid w:val="00DD61F3"/>
    <w:rsid w:val="00DD6368"/>
    <w:rsid w:val="00DD7338"/>
    <w:rsid w:val="00DD7DCB"/>
    <w:rsid w:val="00DE066D"/>
    <w:rsid w:val="00DE1148"/>
    <w:rsid w:val="00DE1781"/>
    <w:rsid w:val="00DE2E05"/>
    <w:rsid w:val="00DE2E8F"/>
    <w:rsid w:val="00DE3CF2"/>
    <w:rsid w:val="00DE5896"/>
    <w:rsid w:val="00DE59EF"/>
    <w:rsid w:val="00DE6480"/>
    <w:rsid w:val="00DE6961"/>
    <w:rsid w:val="00DE6969"/>
    <w:rsid w:val="00DE78D5"/>
    <w:rsid w:val="00DE7F1D"/>
    <w:rsid w:val="00DF0FD8"/>
    <w:rsid w:val="00DF15A0"/>
    <w:rsid w:val="00DF18BE"/>
    <w:rsid w:val="00DF2AED"/>
    <w:rsid w:val="00DF2D91"/>
    <w:rsid w:val="00DF38D1"/>
    <w:rsid w:val="00DF39E4"/>
    <w:rsid w:val="00DF4668"/>
    <w:rsid w:val="00DF470F"/>
    <w:rsid w:val="00DF51E2"/>
    <w:rsid w:val="00DF74C1"/>
    <w:rsid w:val="00DF783C"/>
    <w:rsid w:val="00DF7DDD"/>
    <w:rsid w:val="00DF7FF9"/>
    <w:rsid w:val="00E0056B"/>
    <w:rsid w:val="00E01B00"/>
    <w:rsid w:val="00E03907"/>
    <w:rsid w:val="00E046C8"/>
    <w:rsid w:val="00E047AC"/>
    <w:rsid w:val="00E04E65"/>
    <w:rsid w:val="00E04E81"/>
    <w:rsid w:val="00E05198"/>
    <w:rsid w:val="00E060D6"/>
    <w:rsid w:val="00E07346"/>
    <w:rsid w:val="00E07D88"/>
    <w:rsid w:val="00E1075C"/>
    <w:rsid w:val="00E1093C"/>
    <w:rsid w:val="00E10BEC"/>
    <w:rsid w:val="00E10E1C"/>
    <w:rsid w:val="00E124C8"/>
    <w:rsid w:val="00E126FD"/>
    <w:rsid w:val="00E12FE7"/>
    <w:rsid w:val="00E13034"/>
    <w:rsid w:val="00E133A6"/>
    <w:rsid w:val="00E1356C"/>
    <w:rsid w:val="00E13DD8"/>
    <w:rsid w:val="00E14970"/>
    <w:rsid w:val="00E14E99"/>
    <w:rsid w:val="00E14F78"/>
    <w:rsid w:val="00E158E0"/>
    <w:rsid w:val="00E17589"/>
    <w:rsid w:val="00E1777A"/>
    <w:rsid w:val="00E17B2B"/>
    <w:rsid w:val="00E2091D"/>
    <w:rsid w:val="00E20D69"/>
    <w:rsid w:val="00E20E3E"/>
    <w:rsid w:val="00E20EB5"/>
    <w:rsid w:val="00E21339"/>
    <w:rsid w:val="00E21DA9"/>
    <w:rsid w:val="00E21E15"/>
    <w:rsid w:val="00E21E93"/>
    <w:rsid w:val="00E220E2"/>
    <w:rsid w:val="00E22F72"/>
    <w:rsid w:val="00E24A5F"/>
    <w:rsid w:val="00E26085"/>
    <w:rsid w:val="00E266E7"/>
    <w:rsid w:val="00E2692E"/>
    <w:rsid w:val="00E27351"/>
    <w:rsid w:val="00E27B97"/>
    <w:rsid w:val="00E31035"/>
    <w:rsid w:val="00E31154"/>
    <w:rsid w:val="00E3149B"/>
    <w:rsid w:val="00E316DE"/>
    <w:rsid w:val="00E31949"/>
    <w:rsid w:val="00E336F0"/>
    <w:rsid w:val="00E33885"/>
    <w:rsid w:val="00E36596"/>
    <w:rsid w:val="00E36DAA"/>
    <w:rsid w:val="00E374B6"/>
    <w:rsid w:val="00E40EE9"/>
    <w:rsid w:val="00E410BE"/>
    <w:rsid w:val="00E41A04"/>
    <w:rsid w:val="00E420E3"/>
    <w:rsid w:val="00E4228D"/>
    <w:rsid w:val="00E430A6"/>
    <w:rsid w:val="00E4354F"/>
    <w:rsid w:val="00E4374A"/>
    <w:rsid w:val="00E46C66"/>
    <w:rsid w:val="00E47BD6"/>
    <w:rsid w:val="00E52593"/>
    <w:rsid w:val="00E527F7"/>
    <w:rsid w:val="00E52CC0"/>
    <w:rsid w:val="00E5325A"/>
    <w:rsid w:val="00E53404"/>
    <w:rsid w:val="00E54138"/>
    <w:rsid w:val="00E548A2"/>
    <w:rsid w:val="00E54BF0"/>
    <w:rsid w:val="00E55195"/>
    <w:rsid w:val="00E55D6B"/>
    <w:rsid w:val="00E5668A"/>
    <w:rsid w:val="00E56DEB"/>
    <w:rsid w:val="00E575D9"/>
    <w:rsid w:val="00E57AC5"/>
    <w:rsid w:val="00E60136"/>
    <w:rsid w:val="00E602E1"/>
    <w:rsid w:val="00E60970"/>
    <w:rsid w:val="00E62E6B"/>
    <w:rsid w:val="00E64170"/>
    <w:rsid w:val="00E6427D"/>
    <w:rsid w:val="00E65047"/>
    <w:rsid w:val="00E652C0"/>
    <w:rsid w:val="00E65751"/>
    <w:rsid w:val="00E65D14"/>
    <w:rsid w:val="00E67F87"/>
    <w:rsid w:val="00E706D0"/>
    <w:rsid w:val="00E71B50"/>
    <w:rsid w:val="00E722C9"/>
    <w:rsid w:val="00E73602"/>
    <w:rsid w:val="00E73C55"/>
    <w:rsid w:val="00E73F34"/>
    <w:rsid w:val="00E73FFC"/>
    <w:rsid w:val="00E75145"/>
    <w:rsid w:val="00E75A1E"/>
    <w:rsid w:val="00E75F34"/>
    <w:rsid w:val="00E7639F"/>
    <w:rsid w:val="00E7656D"/>
    <w:rsid w:val="00E76F1F"/>
    <w:rsid w:val="00E770A1"/>
    <w:rsid w:val="00E7718D"/>
    <w:rsid w:val="00E77833"/>
    <w:rsid w:val="00E77A6C"/>
    <w:rsid w:val="00E77A97"/>
    <w:rsid w:val="00E80782"/>
    <w:rsid w:val="00E808CF"/>
    <w:rsid w:val="00E80BCA"/>
    <w:rsid w:val="00E82148"/>
    <w:rsid w:val="00E84BF4"/>
    <w:rsid w:val="00E86BE6"/>
    <w:rsid w:val="00E8720F"/>
    <w:rsid w:val="00E90724"/>
    <w:rsid w:val="00E90979"/>
    <w:rsid w:val="00E92EB4"/>
    <w:rsid w:val="00E92EDB"/>
    <w:rsid w:val="00E94999"/>
    <w:rsid w:val="00E94EE8"/>
    <w:rsid w:val="00E9529C"/>
    <w:rsid w:val="00E95900"/>
    <w:rsid w:val="00E95C4F"/>
    <w:rsid w:val="00E95CBB"/>
    <w:rsid w:val="00E95E8B"/>
    <w:rsid w:val="00E95F5C"/>
    <w:rsid w:val="00E970DF"/>
    <w:rsid w:val="00E978BC"/>
    <w:rsid w:val="00E979C1"/>
    <w:rsid w:val="00EA045E"/>
    <w:rsid w:val="00EA0D83"/>
    <w:rsid w:val="00EA1CEB"/>
    <w:rsid w:val="00EA24FD"/>
    <w:rsid w:val="00EA2549"/>
    <w:rsid w:val="00EA3AD6"/>
    <w:rsid w:val="00EA3BF7"/>
    <w:rsid w:val="00EA4429"/>
    <w:rsid w:val="00EA59A7"/>
    <w:rsid w:val="00EA6329"/>
    <w:rsid w:val="00EA66AF"/>
    <w:rsid w:val="00EA6831"/>
    <w:rsid w:val="00EA704C"/>
    <w:rsid w:val="00EA796F"/>
    <w:rsid w:val="00EA7A05"/>
    <w:rsid w:val="00EB0E2D"/>
    <w:rsid w:val="00EB13B1"/>
    <w:rsid w:val="00EB2A02"/>
    <w:rsid w:val="00EB2AC7"/>
    <w:rsid w:val="00EB3098"/>
    <w:rsid w:val="00EB3158"/>
    <w:rsid w:val="00EB3D98"/>
    <w:rsid w:val="00EB48B0"/>
    <w:rsid w:val="00EB5AA4"/>
    <w:rsid w:val="00EB5C09"/>
    <w:rsid w:val="00EB665D"/>
    <w:rsid w:val="00EB6D5A"/>
    <w:rsid w:val="00EB7258"/>
    <w:rsid w:val="00EB7FD8"/>
    <w:rsid w:val="00EC11B0"/>
    <w:rsid w:val="00EC159C"/>
    <w:rsid w:val="00EC27ED"/>
    <w:rsid w:val="00EC2C28"/>
    <w:rsid w:val="00EC32C3"/>
    <w:rsid w:val="00EC3669"/>
    <w:rsid w:val="00EC3C09"/>
    <w:rsid w:val="00EC3D61"/>
    <w:rsid w:val="00EC484A"/>
    <w:rsid w:val="00EC5326"/>
    <w:rsid w:val="00EC745C"/>
    <w:rsid w:val="00ED0682"/>
    <w:rsid w:val="00ED0E0A"/>
    <w:rsid w:val="00ED1402"/>
    <w:rsid w:val="00ED1424"/>
    <w:rsid w:val="00ED15B6"/>
    <w:rsid w:val="00ED1902"/>
    <w:rsid w:val="00ED1D40"/>
    <w:rsid w:val="00ED2314"/>
    <w:rsid w:val="00ED315B"/>
    <w:rsid w:val="00ED3254"/>
    <w:rsid w:val="00ED35A8"/>
    <w:rsid w:val="00ED3D0F"/>
    <w:rsid w:val="00ED3F1A"/>
    <w:rsid w:val="00ED3FC6"/>
    <w:rsid w:val="00ED4565"/>
    <w:rsid w:val="00ED4759"/>
    <w:rsid w:val="00ED4D32"/>
    <w:rsid w:val="00ED4E67"/>
    <w:rsid w:val="00ED5BAD"/>
    <w:rsid w:val="00ED6A37"/>
    <w:rsid w:val="00ED719A"/>
    <w:rsid w:val="00ED7CA2"/>
    <w:rsid w:val="00ED7FDE"/>
    <w:rsid w:val="00EE03B3"/>
    <w:rsid w:val="00EE1775"/>
    <w:rsid w:val="00EE17D7"/>
    <w:rsid w:val="00EE272D"/>
    <w:rsid w:val="00EE28FB"/>
    <w:rsid w:val="00EE3995"/>
    <w:rsid w:val="00EE3E25"/>
    <w:rsid w:val="00EE40B1"/>
    <w:rsid w:val="00EE459D"/>
    <w:rsid w:val="00EE4615"/>
    <w:rsid w:val="00EE4ABD"/>
    <w:rsid w:val="00EE5765"/>
    <w:rsid w:val="00EE6519"/>
    <w:rsid w:val="00EE6D76"/>
    <w:rsid w:val="00EE7716"/>
    <w:rsid w:val="00EE7DF7"/>
    <w:rsid w:val="00EF0313"/>
    <w:rsid w:val="00EF0AF5"/>
    <w:rsid w:val="00EF28C9"/>
    <w:rsid w:val="00EF4222"/>
    <w:rsid w:val="00EF4AC2"/>
    <w:rsid w:val="00EF4B19"/>
    <w:rsid w:val="00EF5313"/>
    <w:rsid w:val="00EF5A80"/>
    <w:rsid w:val="00EF5F8A"/>
    <w:rsid w:val="00EF68AE"/>
    <w:rsid w:val="00EF68EE"/>
    <w:rsid w:val="00EF6C3E"/>
    <w:rsid w:val="00EF715C"/>
    <w:rsid w:val="00EF7239"/>
    <w:rsid w:val="00EF7456"/>
    <w:rsid w:val="00EF78D9"/>
    <w:rsid w:val="00EF79E1"/>
    <w:rsid w:val="00EF7C8B"/>
    <w:rsid w:val="00F001C9"/>
    <w:rsid w:val="00F00261"/>
    <w:rsid w:val="00F010B8"/>
    <w:rsid w:val="00F0155E"/>
    <w:rsid w:val="00F016D3"/>
    <w:rsid w:val="00F02145"/>
    <w:rsid w:val="00F02187"/>
    <w:rsid w:val="00F037F6"/>
    <w:rsid w:val="00F03EDA"/>
    <w:rsid w:val="00F04981"/>
    <w:rsid w:val="00F04BDC"/>
    <w:rsid w:val="00F0547D"/>
    <w:rsid w:val="00F0615F"/>
    <w:rsid w:val="00F10408"/>
    <w:rsid w:val="00F10C65"/>
    <w:rsid w:val="00F10D4D"/>
    <w:rsid w:val="00F10D67"/>
    <w:rsid w:val="00F11324"/>
    <w:rsid w:val="00F11B59"/>
    <w:rsid w:val="00F11BEB"/>
    <w:rsid w:val="00F1219D"/>
    <w:rsid w:val="00F12370"/>
    <w:rsid w:val="00F139CA"/>
    <w:rsid w:val="00F14DDD"/>
    <w:rsid w:val="00F15422"/>
    <w:rsid w:val="00F15CE2"/>
    <w:rsid w:val="00F15E21"/>
    <w:rsid w:val="00F15ECA"/>
    <w:rsid w:val="00F16C77"/>
    <w:rsid w:val="00F17193"/>
    <w:rsid w:val="00F2285A"/>
    <w:rsid w:val="00F22DB7"/>
    <w:rsid w:val="00F23EE9"/>
    <w:rsid w:val="00F23EED"/>
    <w:rsid w:val="00F243ED"/>
    <w:rsid w:val="00F24FAF"/>
    <w:rsid w:val="00F25AE4"/>
    <w:rsid w:val="00F267AB"/>
    <w:rsid w:val="00F27283"/>
    <w:rsid w:val="00F3125A"/>
    <w:rsid w:val="00F31932"/>
    <w:rsid w:val="00F31B75"/>
    <w:rsid w:val="00F32DC0"/>
    <w:rsid w:val="00F33364"/>
    <w:rsid w:val="00F33E42"/>
    <w:rsid w:val="00F351B8"/>
    <w:rsid w:val="00F35A39"/>
    <w:rsid w:val="00F36240"/>
    <w:rsid w:val="00F36607"/>
    <w:rsid w:val="00F3731F"/>
    <w:rsid w:val="00F37463"/>
    <w:rsid w:val="00F37C12"/>
    <w:rsid w:val="00F37FBF"/>
    <w:rsid w:val="00F40346"/>
    <w:rsid w:val="00F40C45"/>
    <w:rsid w:val="00F42D50"/>
    <w:rsid w:val="00F42E4A"/>
    <w:rsid w:val="00F445DD"/>
    <w:rsid w:val="00F452D6"/>
    <w:rsid w:val="00F4635C"/>
    <w:rsid w:val="00F47DDE"/>
    <w:rsid w:val="00F503AD"/>
    <w:rsid w:val="00F50735"/>
    <w:rsid w:val="00F50F8A"/>
    <w:rsid w:val="00F512B9"/>
    <w:rsid w:val="00F520C5"/>
    <w:rsid w:val="00F52105"/>
    <w:rsid w:val="00F52388"/>
    <w:rsid w:val="00F52DDA"/>
    <w:rsid w:val="00F5408A"/>
    <w:rsid w:val="00F546D8"/>
    <w:rsid w:val="00F55942"/>
    <w:rsid w:val="00F56DCB"/>
    <w:rsid w:val="00F57E58"/>
    <w:rsid w:val="00F60794"/>
    <w:rsid w:val="00F60E23"/>
    <w:rsid w:val="00F61C32"/>
    <w:rsid w:val="00F626D3"/>
    <w:rsid w:val="00F62700"/>
    <w:rsid w:val="00F63639"/>
    <w:rsid w:val="00F6418B"/>
    <w:rsid w:val="00F66B9C"/>
    <w:rsid w:val="00F67996"/>
    <w:rsid w:val="00F67BD2"/>
    <w:rsid w:val="00F67CB4"/>
    <w:rsid w:val="00F702D4"/>
    <w:rsid w:val="00F70CBE"/>
    <w:rsid w:val="00F71015"/>
    <w:rsid w:val="00F71505"/>
    <w:rsid w:val="00F715AD"/>
    <w:rsid w:val="00F72305"/>
    <w:rsid w:val="00F7267F"/>
    <w:rsid w:val="00F73305"/>
    <w:rsid w:val="00F73BA3"/>
    <w:rsid w:val="00F758CF"/>
    <w:rsid w:val="00F75FC8"/>
    <w:rsid w:val="00F7642C"/>
    <w:rsid w:val="00F76FC9"/>
    <w:rsid w:val="00F80197"/>
    <w:rsid w:val="00F80592"/>
    <w:rsid w:val="00F82AAA"/>
    <w:rsid w:val="00F82DF5"/>
    <w:rsid w:val="00F833AE"/>
    <w:rsid w:val="00F84198"/>
    <w:rsid w:val="00F84B58"/>
    <w:rsid w:val="00F84E73"/>
    <w:rsid w:val="00F86FC6"/>
    <w:rsid w:val="00F87B60"/>
    <w:rsid w:val="00F91035"/>
    <w:rsid w:val="00F91038"/>
    <w:rsid w:val="00F91887"/>
    <w:rsid w:val="00F91BA3"/>
    <w:rsid w:val="00F91C01"/>
    <w:rsid w:val="00F91C1B"/>
    <w:rsid w:val="00F91D00"/>
    <w:rsid w:val="00F91EA4"/>
    <w:rsid w:val="00F91FB6"/>
    <w:rsid w:val="00F92FAA"/>
    <w:rsid w:val="00F93886"/>
    <w:rsid w:val="00F938EB"/>
    <w:rsid w:val="00F93AC3"/>
    <w:rsid w:val="00F958A7"/>
    <w:rsid w:val="00F96BFA"/>
    <w:rsid w:val="00F96FBD"/>
    <w:rsid w:val="00F9720E"/>
    <w:rsid w:val="00F9793D"/>
    <w:rsid w:val="00FA061A"/>
    <w:rsid w:val="00FA0888"/>
    <w:rsid w:val="00FA1918"/>
    <w:rsid w:val="00FA1FE1"/>
    <w:rsid w:val="00FA262F"/>
    <w:rsid w:val="00FA29AB"/>
    <w:rsid w:val="00FA2D9E"/>
    <w:rsid w:val="00FA2EDE"/>
    <w:rsid w:val="00FA4204"/>
    <w:rsid w:val="00FA4BA8"/>
    <w:rsid w:val="00FA4FB8"/>
    <w:rsid w:val="00FA53F0"/>
    <w:rsid w:val="00FA5686"/>
    <w:rsid w:val="00FA57CC"/>
    <w:rsid w:val="00FA5E2D"/>
    <w:rsid w:val="00FA749C"/>
    <w:rsid w:val="00FA775C"/>
    <w:rsid w:val="00FB065C"/>
    <w:rsid w:val="00FB0AF1"/>
    <w:rsid w:val="00FB19A3"/>
    <w:rsid w:val="00FB200D"/>
    <w:rsid w:val="00FB27D7"/>
    <w:rsid w:val="00FB2E3E"/>
    <w:rsid w:val="00FB2FD9"/>
    <w:rsid w:val="00FB3324"/>
    <w:rsid w:val="00FB3999"/>
    <w:rsid w:val="00FB45EF"/>
    <w:rsid w:val="00FB47FD"/>
    <w:rsid w:val="00FB4990"/>
    <w:rsid w:val="00FB4B58"/>
    <w:rsid w:val="00FB4BBE"/>
    <w:rsid w:val="00FB54B5"/>
    <w:rsid w:val="00FB56D4"/>
    <w:rsid w:val="00FB622B"/>
    <w:rsid w:val="00FB7426"/>
    <w:rsid w:val="00FB7438"/>
    <w:rsid w:val="00FB7445"/>
    <w:rsid w:val="00FB770A"/>
    <w:rsid w:val="00FB78E6"/>
    <w:rsid w:val="00FC0822"/>
    <w:rsid w:val="00FC131D"/>
    <w:rsid w:val="00FC1469"/>
    <w:rsid w:val="00FC1539"/>
    <w:rsid w:val="00FC18D5"/>
    <w:rsid w:val="00FC19A0"/>
    <w:rsid w:val="00FC2558"/>
    <w:rsid w:val="00FC2645"/>
    <w:rsid w:val="00FC2B34"/>
    <w:rsid w:val="00FC351F"/>
    <w:rsid w:val="00FC352B"/>
    <w:rsid w:val="00FC3DF8"/>
    <w:rsid w:val="00FC48D4"/>
    <w:rsid w:val="00FC5FF6"/>
    <w:rsid w:val="00FC613F"/>
    <w:rsid w:val="00FD050E"/>
    <w:rsid w:val="00FD08E8"/>
    <w:rsid w:val="00FD0B2C"/>
    <w:rsid w:val="00FD0E28"/>
    <w:rsid w:val="00FD1441"/>
    <w:rsid w:val="00FD27AB"/>
    <w:rsid w:val="00FD3722"/>
    <w:rsid w:val="00FD3E19"/>
    <w:rsid w:val="00FD3FDD"/>
    <w:rsid w:val="00FD41D0"/>
    <w:rsid w:val="00FD4518"/>
    <w:rsid w:val="00FD4F3A"/>
    <w:rsid w:val="00FD688B"/>
    <w:rsid w:val="00FD6914"/>
    <w:rsid w:val="00FD70B5"/>
    <w:rsid w:val="00FD73DE"/>
    <w:rsid w:val="00FD7B99"/>
    <w:rsid w:val="00FD7F27"/>
    <w:rsid w:val="00FE026F"/>
    <w:rsid w:val="00FE0AFE"/>
    <w:rsid w:val="00FE0B8C"/>
    <w:rsid w:val="00FE1127"/>
    <w:rsid w:val="00FE15A6"/>
    <w:rsid w:val="00FE177F"/>
    <w:rsid w:val="00FE2872"/>
    <w:rsid w:val="00FE3E5A"/>
    <w:rsid w:val="00FE3E7D"/>
    <w:rsid w:val="00FE441F"/>
    <w:rsid w:val="00FE44EA"/>
    <w:rsid w:val="00FE4847"/>
    <w:rsid w:val="00FE557D"/>
    <w:rsid w:val="00FE58B5"/>
    <w:rsid w:val="00FE68ED"/>
    <w:rsid w:val="00FE69B6"/>
    <w:rsid w:val="00FE7679"/>
    <w:rsid w:val="00FE77A4"/>
    <w:rsid w:val="00FF0B0A"/>
    <w:rsid w:val="00FF2CA2"/>
    <w:rsid w:val="00FF46F2"/>
    <w:rsid w:val="00FF60AD"/>
    <w:rsid w:val="00FF73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E34"/>
    <w:pPr>
      <w:jc w:val="both"/>
    </w:pPr>
    <w:rPr>
      <w:rFonts w:eastAsiaTheme="minorEastAsia"/>
      <w:szCs w:val="20"/>
      <w:lang w:bidi="en-US"/>
    </w:rPr>
  </w:style>
  <w:style w:type="paragraph" w:styleId="Heading1">
    <w:name w:val="heading 1"/>
    <w:basedOn w:val="Normal"/>
    <w:next w:val="Normal"/>
    <w:link w:val="Heading1Char"/>
    <w:uiPriority w:val="9"/>
    <w:qFormat/>
    <w:rsid w:val="0060503D"/>
    <w:pPr>
      <w:keepNext/>
      <w:keepLines/>
      <w:spacing w:before="720" w:after="240" w:line="240" w:lineRule="auto"/>
      <w:outlineLvl w:val="0"/>
    </w:pPr>
    <w:rPr>
      <w:rFonts w:eastAsiaTheme="majorEastAsia" w:cstheme="minorHAnsi"/>
      <w:b/>
      <w:bCs/>
      <w:sz w:val="32"/>
      <w:szCs w:val="32"/>
    </w:rPr>
  </w:style>
  <w:style w:type="paragraph" w:styleId="Heading2">
    <w:name w:val="heading 2"/>
    <w:basedOn w:val="Normal"/>
    <w:next w:val="Normal"/>
    <w:link w:val="Heading2Char"/>
    <w:uiPriority w:val="9"/>
    <w:unhideWhenUsed/>
    <w:qFormat/>
    <w:rsid w:val="00084729"/>
    <w:pPr>
      <w:keepNext/>
      <w:keepLines/>
      <w:spacing w:before="360" w:after="120" w:line="240" w:lineRule="auto"/>
      <w:outlineLvl w:val="1"/>
    </w:pPr>
    <w:rPr>
      <w:rFonts w:eastAsiaTheme="majorEastAsia" w:cstheme="minorHAnsi"/>
      <w:b/>
      <w:bCs/>
      <w:i/>
      <w:color w:val="300061" w:themeColor="accent3" w:themeShade="BF"/>
      <w:sz w:val="26"/>
      <w:szCs w:val="26"/>
    </w:rPr>
  </w:style>
  <w:style w:type="paragraph" w:styleId="Heading3">
    <w:name w:val="heading 3"/>
    <w:basedOn w:val="Normal"/>
    <w:next w:val="Normal"/>
    <w:link w:val="Heading3Char"/>
    <w:uiPriority w:val="9"/>
    <w:unhideWhenUsed/>
    <w:qFormat/>
    <w:rsid w:val="00F14DDD"/>
    <w:pPr>
      <w:keepNext/>
      <w:keepLines/>
      <w:spacing w:before="200" w:after="0" w:line="480" w:lineRule="auto"/>
      <w:outlineLvl w:val="2"/>
    </w:pPr>
    <w:rPr>
      <w:rFonts w:eastAsiaTheme="majorEastAsia" w:cstheme="majorBidi"/>
      <w:b/>
      <w:bCs/>
      <w:i/>
      <w:color w:val="410082" w:themeColor="text1"/>
    </w:rPr>
  </w:style>
  <w:style w:type="paragraph" w:styleId="Heading4">
    <w:name w:val="heading 4"/>
    <w:basedOn w:val="Normal"/>
    <w:next w:val="Normal"/>
    <w:link w:val="Heading4Char"/>
    <w:uiPriority w:val="9"/>
    <w:unhideWhenUsed/>
    <w:qFormat/>
    <w:rsid w:val="008B1292"/>
    <w:pPr>
      <w:keepNext/>
      <w:keepLines/>
      <w:spacing w:before="200" w:after="0"/>
      <w:outlineLvl w:val="3"/>
    </w:pPr>
    <w:rPr>
      <w:rFonts w:eastAsiaTheme="majorEastAsia" w:cstheme="majorBidi"/>
      <w:b/>
      <w:bCs/>
      <w:i/>
      <w:iCs/>
      <w:color w:val="7D4D99" w:themeColor="accent1"/>
      <w:sz w:val="20"/>
    </w:rPr>
  </w:style>
  <w:style w:type="paragraph" w:styleId="Heading5">
    <w:name w:val="heading 5"/>
    <w:basedOn w:val="Normal"/>
    <w:next w:val="Normal"/>
    <w:link w:val="Heading5Char"/>
    <w:uiPriority w:val="9"/>
    <w:unhideWhenUsed/>
    <w:qFormat/>
    <w:rsid w:val="0060503D"/>
    <w:pPr>
      <w:keepNext/>
      <w:keepLines/>
      <w:spacing w:before="200" w:after="0" w:line="240" w:lineRule="auto"/>
      <w:ind w:left="1008" w:hanging="1008"/>
      <w:outlineLvl w:val="4"/>
    </w:pPr>
    <w:rPr>
      <w:rFonts w:asciiTheme="majorHAnsi" w:eastAsiaTheme="majorEastAsia" w:hAnsiTheme="majorHAnsi" w:cstheme="majorBidi"/>
      <w:color w:val="3E264C" w:themeColor="accent1" w:themeShade="7F"/>
    </w:rPr>
  </w:style>
  <w:style w:type="paragraph" w:styleId="Heading6">
    <w:name w:val="heading 6"/>
    <w:basedOn w:val="Normal"/>
    <w:next w:val="Normal"/>
    <w:link w:val="Heading6Char"/>
    <w:uiPriority w:val="9"/>
    <w:unhideWhenUsed/>
    <w:qFormat/>
    <w:rsid w:val="0060503D"/>
    <w:pPr>
      <w:keepNext/>
      <w:keepLines/>
      <w:spacing w:before="200" w:after="0" w:line="240" w:lineRule="auto"/>
      <w:ind w:left="1152" w:hanging="1152"/>
      <w:outlineLvl w:val="5"/>
    </w:pPr>
    <w:rPr>
      <w:rFonts w:asciiTheme="majorHAnsi" w:eastAsiaTheme="majorEastAsia" w:hAnsiTheme="majorHAnsi" w:cstheme="majorBidi"/>
      <w:i/>
      <w:iCs/>
      <w:color w:val="3E264C" w:themeColor="accent1" w:themeShade="7F"/>
    </w:rPr>
  </w:style>
  <w:style w:type="paragraph" w:styleId="Heading7">
    <w:name w:val="heading 7"/>
    <w:basedOn w:val="Normal"/>
    <w:next w:val="Normal"/>
    <w:link w:val="Heading7Char"/>
    <w:uiPriority w:val="9"/>
    <w:unhideWhenUsed/>
    <w:qFormat/>
    <w:rsid w:val="0060503D"/>
    <w:pPr>
      <w:keepNext/>
      <w:keepLines/>
      <w:spacing w:before="200" w:after="0" w:line="240" w:lineRule="auto"/>
      <w:ind w:left="1296" w:hanging="1296"/>
      <w:outlineLvl w:val="6"/>
    </w:pPr>
    <w:rPr>
      <w:rFonts w:asciiTheme="majorHAnsi" w:eastAsiaTheme="majorEastAsia" w:hAnsiTheme="majorHAnsi" w:cstheme="majorBidi"/>
      <w:i/>
      <w:iCs/>
      <w:color w:val="7000E1" w:themeColor="text1" w:themeTint="BF"/>
    </w:rPr>
  </w:style>
  <w:style w:type="paragraph" w:styleId="Heading8">
    <w:name w:val="heading 8"/>
    <w:basedOn w:val="Normal"/>
    <w:next w:val="Normal"/>
    <w:link w:val="Heading8Char"/>
    <w:uiPriority w:val="9"/>
    <w:unhideWhenUsed/>
    <w:qFormat/>
    <w:rsid w:val="0060503D"/>
    <w:pPr>
      <w:keepNext/>
      <w:keepLines/>
      <w:spacing w:before="200" w:after="0" w:line="240" w:lineRule="auto"/>
      <w:ind w:left="1440" w:hanging="1440"/>
      <w:outlineLvl w:val="7"/>
    </w:pPr>
    <w:rPr>
      <w:rFonts w:asciiTheme="majorHAnsi" w:eastAsiaTheme="majorEastAsia" w:hAnsiTheme="majorHAnsi" w:cstheme="majorBidi"/>
      <w:color w:val="7000E1" w:themeColor="text1" w:themeTint="BF"/>
    </w:rPr>
  </w:style>
  <w:style w:type="paragraph" w:styleId="Heading9">
    <w:name w:val="heading 9"/>
    <w:basedOn w:val="Normal"/>
    <w:next w:val="Normal"/>
    <w:link w:val="Heading9Char"/>
    <w:uiPriority w:val="9"/>
    <w:unhideWhenUsed/>
    <w:qFormat/>
    <w:rsid w:val="0060503D"/>
    <w:pPr>
      <w:keepNext/>
      <w:keepLines/>
      <w:spacing w:before="200" w:after="0" w:line="240" w:lineRule="auto"/>
      <w:ind w:left="1584" w:hanging="1584"/>
      <w:outlineLvl w:val="8"/>
    </w:pPr>
    <w:rPr>
      <w:rFonts w:asciiTheme="majorHAnsi" w:eastAsiaTheme="majorEastAsia" w:hAnsiTheme="majorHAnsi" w:cstheme="majorBidi"/>
      <w:i/>
      <w:iCs/>
      <w:color w:val="7000E1"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
    <w:basedOn w:val="Normal"/>
    <w:link w:val="ListParagraphChar"/>
    <w:uiPriority w:val="34"/>
    <w:qFormat/>
    <w:rsid w:val="0060503D"/>
    <w:pPr>
      <w:ind w:left="720"/>
      <w:contextualSpacing/>
    </w:pPr>
  </w:style>
  <w:style w:type="paragraph" w:styleId="Header">
    <w:name w:val="header"/>
    <w:basedOn w:val="Normal"/>
    <w:link w:val="HeaderChar"/>
    <w:uiPriority w:val="99"/>
    <w:unhideWhenUsed/>
    <w:rsid w:val="006050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03D"/>
  </w:style>
  <w:style w:type="paragraph" w:styleId="Footer">
    <w:name w:val="footer"/>
    <w:basedOn w:val="Normal"/>
    <w:link w:val="FooterChar"/>
    <w:uiPriority w:val="99"/>
    <w:unhideWhenUsed/>
    <w:rsid w:val="006050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503D"/>
    <w:rPr>
      <w:rFonts w:eastAsiaTheme="minorEastAsia"/>
    </w:rPr>
  </w:style>
  <w:style w:type="paragraph" w:styleId="BalloonText">
    <w:name w:val="Balloon Text"/>
    <w:basedOn w:val="Normal"/>
    <w:link w:val="BalloonTextChar"/>
    <w:uiPriority w:val="99"/>
    <w:semiHidden/>
    <w:unhideWhenUsed/>
    <w:rsid w:val="00605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503D"/>
    <w:rPr>
      <w:rFonts w:ascii="Tahoma" w:hAnsi="Tahoma" w:cs="Tahoma"/>
      <w:sz w:val="16"/>
      <w:szCs w:val="16"/>
    </w:rPr>
  </w:style>
  <w:style w:type="table" w:styleId="TableGrid">
    <w:name w:val="Table Grid"/>
    <w:basedOn w:val="TableNormal"/>
    <w:uiPriority w:val="59"/>
    <w:rsid w:val="006050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6">
    <w:name w:val="Light Shading Accent 6"/>
    <w:basedOn w:val="TableNormal"/>
    <w:uiPriority w:val="60"/>
    <w:rsid w:val="0060503D"/>
    <w:pPr>
      <w:spacing w:after="0" w:line="240" w:lineRule="auto"/>
    </w:pPr>
    <w:rPr>
      <w:color w:val="7D4D98" w:themeColor="accent6" w:themeShade="BF"/>
    </w:rPr>
    <w:tblPr>
      <w:tblStyleRowBandSize w:val="1"/>
      <w:tblStyleColBandSize w:val="1"/>
      <w:tblInd w:w="0" w:type="dxa"/>
      <w:tblBorders>
        <w:top w:val="single" w:sz="8" w:space="0" w:color="A379BB" w:themeColor="accent6"/>
        <w:bottom w:val="single" w:sz="8" w:space="0" w:color="A379BB"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379BB" w:themeColor="accent6"/>
          <w:left w:val="nil"/>
          <w:bottom w:val="single" w:sz="8" w:space="0" w:color="A379BB" w:themeColor="accent6"/>
          <w:right w:val="nil"/>
          <w:insideH w:val="nil"/>
          <w:insideV w:val="nil"/>
        </w:tcBorders>
      </w:tcPr>
    </w:tblStylePr>
    <w:tblStylePr w:type="lastRow">
      <w:pPr>
        <w:spacing w:before="0" w:after="0" w:line="240" w:lineRule="auto"/>
      </w:pPr>
      <w:rPr>
        <w:b/>
        <w:bCs/>
      </w:rPr>
      <w:tblPr/>
      <w:tcPr>
        <w:tcBorders>
          <w:top w:val="single" w:sz="8" w:space="0" w:color="A379BB" w:themeColor="accent6"/>
          <w:left w:val="nil"/>
          <w:bottom w:val="single" w:sz="8" w:space="0" w:color="A379B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DDEE" w:themeFill="accent6" w:themeFillTint="3F"/>
      </w:tcPr>
    </w:tblStylePr>
    <w:tblStylePr w:type="band1Horz">
      <w:tblPr/>
      <w:tcPr>
        <w:tcBorders>
          <w:left w:val="nil"/>
          <w:right w:val="nil"/>
          <w:insideH w:val="nil"/>
          <w:insideV w:val="nil"/>
        </w:tcBorders>
        <w:shd w:val="clear" w:color="auto" w:fill="E8DDEE" w:themeFill="accent6" w:themeFillTint="3F"/>
      </w:tcPr>
    </w:tblStylePr>
  </w:style>
  <w:style w:type="character" w:customStyle="1" w:styleId="Heading2Char">
    <w:name w:val="Heading 2 Char"/>
    <w:basedOn w:val="DefaultParagraphFont"/>
    <w:link w:val="Heading2"/>
    <w:uiPriority w:val="9"/>
    <w:rsid w:val="00084729"/>
    <w:rPr>
      <w:rFonts w:eastAsiaTheme="majorEastAsia" w:cstheme="minorHAnsi"/>
      <w:b/>
      <w:bCs/>
      <w:i/>
      <w:color w:val="300061" w:themeColor="accent3" w:themeShade="BF"/>
      <w:sz w:val="26"/>
      <w:szCs w:val="26"/>
      <w:lang w:bidi="en-US"/>
    </w:rPr>
  </w:style>
  <w:style w:type="character" w:styleId="FootnoteReference">
    <w:name w:val="footnote reference"/>
    <w:aliases w:val="ftref,16 Point,Superscript 6 Point,BVI fnr,Знак сноски-FN,Footnote Reference Superscript,Footnote symbol,???? ??????-FN,Footnote Reference Number,Footnote Reference_LVL6,Footnote Reference_LVL61,Footnote Reference_LVL62"/>
    <w:basedOn w:val="DefaultParagraphFont"/>
    <w:uiPriority w:val="99"/>
    <w:unhideWhenUsed/>
    <w:qFormat/>
    <w:rsid w:val="00946FB5"/>
    <w:rPr>
      <w:rFonts w:asciiTheme="minorHAnsi" w:hAnsiTheme="minorHAnsi"/>
      <w:sz w:val="20"/>
      <w:vertAlign w:val="superscript"/>
    </w:rPr>
  </w:style>
  <w:style w:type="paragraph" w:styleId="FootnoteText">
    <w:name w:val="footnote text"/>
    <w:aliases w:val="single space,ft,fn,FOOTNOTES,ALTS FOOTNOTE,ADB,Footnote Text Char Char Char,Footnote Text1 Char,Footnote Text2,Footnote Text Char Char Char1 Char,Footnote Text Char Char Char1,footnote text,Geneva 9,Font: Geneva 9,Boston 10,f,Nbpage Moens"/>
    <w:basedOn w:val="Normal"/>
    <w:link w:val="FootnoteTextChar"/>
    <w:uiPriority w:val="99"/>
    <w:unhideWhenUsed/>
    <w:rsid w:val="0060503D"/>
    <w:pPr>
      <w:spacing w:after="0" w:line="240" w:lineRule="auto"/>
    </w:pPr>
    <w:rPr>
      <w:sz w:val="18"/>
    </w:rPr>
  </w:style>
  <w:style w:type="character" w:customStyle="1" w:styleId="FootnoteTextChar">
    <w:name w:val="Footnote Text Char"/>
    <w:aliases w:val="single space Char,ft Char,fn Char,FOOTNOTES Char,ALTS FOOTNOTE Char,ADB Char,Footnote Text Char Char Char Char,Footnote Text1 Char Char,Footnote Text2 Char,Footnote Text Char Char Char1 Char Char,Footnote Text Char Char Char1 Char1"/>
    <w:basedOn w:val="DefaultParagraphFont"/>
    <w:link w:val="FootnoteText"/>
    <w:uiPriority w:val="99"/>
    <w:rsid w:val="0060503D"/>
    <w:rPr>
      <w:sz w:val="18"/>
      <w:szCs w:val="20"/>
    </w:rPr>
  </w:style>
  <w:style w:type="character" w:styleId="CommentReference">
    <w:name w:val="annotation reference"/>
    <w:basedOn w:val="DefaultParagraphFont"/>
    <w:uiPriority w:val="99"/>
    <w:semiHidden/>
    <w:unhideWhenUsed/>
    <w:rsid w:val="0060503D"/>
    <w:rPr>
      <w:sz w:val="16"/>
      <w:szCs w:val="16"/>
    </w:rPr>
  </w:style>
  <w:style w:type="paragraph" w:styleId="CommentText">
    <w:name w:val="annotation text"/>
    <w:basedOn w:val="Normal"/>
    <w:link w:val="CommentTextChar"/>
    <w:uiPriority w:val="99"/>
    <w:unhideWhenUsed/>
    <w:rsid w:val="0060503D"/>
    <w:pPr>
      <w:spacing w:line="240" w:lineRule="auto"/>
    </w:pPr>
  </w:style>
  <w:style w:type="character" w:customStyle="1" w:styleId="CommentTextChar">
    <w:name w:val="Comment Text Char"/>
    <w:basedOn w:val="DefaultParagraphFont"/>
    <w:link w:val="CommentText"/>
    <w:uiPriority w:val="99"/>
    <w:rsid w:val="0060503D"/>
    <w:rPr>
      <w:sz w:val="20"/>
      <w:szCs w:val="20"/>
    </w:rPr>
  </w:style>
  <w:style w:type="paragraph" w:styleId="CommentSubject">
    <w:name w:val="annotation subject"/>
    <w:basedOn w:val="CommentText"/>
    <w:next w:val="CommentText"/>
    <w:link w:val="CommentSubjectChar"/>
    <w:uiPriority w:val="99"/>
    <w:semiHidden/>
    <w:unhideWhenUsed/>
    <w:rsid w:val="0060503D"/>
    <w:rPr>
      <w:b/>
      <w:bCs/>
    </w:rPr>
  </w:style>
  <w:style w:type="character" w:customStyle="1" w:styleId="CommentSubjectChar">
    <w:name w:val="Comment Subject Char"/>
    <w:basedOn w:val="CommentTextChar"/>
    <w:link w:val="CommentSubject"/>
    <w:uiPriority w:val="99"/>
    <w:semiHidden/>
    <w:rsid w:val="0060503D"/>
    <w:rPr>
      <w:b/>
      <w:bCs/>
      <w:sz w:val="20"/>
      <w:szCs w:val="20"/>
    </w:rPr>
  </w:style>
  <w:style w:type="paragraph" w:styleId="DocumentMap">
    <w:name w:val="Document Map"/>
    <w:basedOn w:val="Normal"/>
    <w:link w:val="DocumentMapChar"/>
    <w:uiPriority w:val="99"/>
    <w:semiHidden/>
    <w:unhideWhenUsed/>
    <w:rsid w:val="0060503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0503D"/>
    <w:rPr>
      <w:rFonts w:ascii="Tahoma" w:hAnsi="Tahoma" w:cs="Tahoma"/>
      <w:sz w:val="16"/>
      <w:szCs w:val="16"/>
    </w:rPr>
  </w:style>
  <w:style w:type="paragraph" w:styleId="Caption">
    <w:name w:val="caption"/>
    <w:basedOn w:val="Normal"/>
    <w:next w:val="Normal"/>
    <w:uiPriority w:val="35"/>
    <w:unhideWhenUsed/>
    <w:qFormat/>
    <w:rsid w:val="0060503D"/>
    <w:pPr>
      <w:spacing w:line="240" w:lineRule="auto"/>
    </w:pPr>
    <w:rPr>
      <w:b/>
      <w:bCs/>
      <w:color w:val="7D4D99" w:themeColor="accent1"/>
      <w:sz w:val="18"/>
      <w:szCs w:val="18"/>
    </w:rPr>
  </w:style>
  <w:style w:type="paragraph" w:styleId="NoSpacing">
    <w:name w:val="No Spacing"/>
    <w:link w:val="NoSpacingChar"/>
    <w:qFormat/>
    <w:rsid w:val="0060503D"/>
    <w:pPr>
      <w:spacing w:after="0" w:line="240" w:lineRule="auto"/>
    </w:pPr>
    <w:rPr>
      <w:rFonts w:eastAsiaTheme="minorEastAsia"/>
    </w:rPr>
  </w:style>
  <w:style w:type="character" w:customStyle="1" w:styleId="NoSpacingChar">
    <w:name w:val="No Spacing Char"/>
    <w:basedOn w:val="DefaultParagraphFont"/>
    <w:link w:val="NoSpacing"/>
    <w:rsid w:val="0060503D"/>
    <w:rPr>
      <w:rFonts w:eastAsiaTheme="minorEastAsia"/>
    </w:rPr>
  </w:style>
  <w:style w:type="paragraph" w:styleId="Revision">
    <w:name w:val="Revision"/>
    <w:hidden/>
    <w:uiPriority w:val="99"/>
    <w:rsid w:val="00F63639"/>
    <w:pPr>
      <w:spacing w:after="0" w:line="240" w:lineRule="auto"/>
    </w:pPr>
  </w:style>
  <w:style w:type="paragraph" w:customStyle="1" w:styleId="Default">
    <w:name w:val="Default"/>
    <w:rsid w:val="0060503D"/>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Emphasis">
    <w:name w:val="Emphasis"/>
    <w:basedOn w:val="DefaultParagraphFont"/>
    <w:uiPriority w:val="20"/>
    <w:qFormat/>
    <w:rsid w:val="0060503D"/>
    <w:rPr>
      <w:i/>
      <w:iCs/>
    </w:rPr>
  </w:style>
  <w:style w:type="character" w:styleId="Strong">
    <w:name w:val="Strong"/>
    <w:basedOn w:val="DefaultParagraphFont"/>
    <w:uiPriority w:val="22"/>
    <w:qFormat/>
    <w:rsid w:val="0060503D"/>
    <w:rPr>
      <w:b/>
      <w:bCs/>
    </w:rPr>
  </w:style>
  <w:style w:type="paragraph" w:styleId="ListBullet">
    <w:name w:val="List Bullet"/>
    <w:basedOn w:val="Normal"/>
    <w:uiPriority w:val="99"/>
    <w:unhideWhenUsed/>
    <w:rsid w:val="0060503D"/>
    <w:pPr>
      <w:numPr>
        <w:numId w:val="3"/>
      </w:numPr>
      <w:contextualSpacing/>
    </w:pPr>
  </w:style>
  <w:style w:type="character" w:customStyle="1" w:styleId="Heading1Char">
    <w:name w:val="Heading 1 Char"/>
    <w:basedOn w:val="DefaultParagraphFont"/>
    <w:link w:val="Heading1"/>
    <w:uiPriority w:val="9"/>
    <w:rsid w:val="0060503D"/>
    <w:rPr>
      <w:rFonts w:eastAsiaTheme="majorEastAsia" w:cstheme="minorHAnsi"/>
      <w:b/>
      <w:bCs/>
      <w:sz w:val="32"/>
      <w:szCs w:val="32"/>
      <w:lang w:bidi="en-US"/>
    </w:rPr>
  </w:style>
  <w:style w:type="character" w:customStyle="1" w:styleId="Heading3Char">
    <w:name w:val="Heading 3 Char"/>
    <w:basedOn w:val="DefaultParagraphFont"/>
    <w:link w:val="Heading3"/>
    <w:uiPriority w:val="9"/>
    <w:rsid w:val="00F14DDD"/>
    <w:rPr>
      <w:rFonts w:eastAsiaTheme="majorEastAsia" w:cstheme="majorBidi"/>
      <w:b/>
      <w:bCs/>
      <w:i/>
      <w:color w:val="410082" w:themeColor="text1"/>
      <w:szCs w:val="20"/>
      <w:lang w:bidi="en-US"/>
    </w:rPr>
  </w:style>
  <w:style w:type="character" w:customStyle="1" w:styleId="Heading4Char">
    <w:name w:val="Heading 4 Char"/>
    <w:basedOn w:val="DefaultParagraphFont"/>
    <w:link w:val="Heading4"/>
    <w:uiPriority w:val="9"/>
    <w:rsid w:val="008B1292"/>
    <w:rPr>
      <w:rFonts w:eastAsiaTheme="majorEastAsia" w:cstheme="majorBidi"/>
      <w:b/>
      <w:bCs/>
      <w:i/>
      <w:iCs/>
      <w:color w:val="7D4D99" w:themeColor="accent1"/>
      <w:sz w:val="20"/>
      <w:szCs w:val="20"/>
      <w:lang w:bidi="en-US"/>
    </w:rPr>
  </w:style>
  <w:style w:type="paragraph" w:styleId="EndnoteText">
    <w:name w:val="endnote text"/>
    <w:basedOn w:val="Normal"/>
    <w:link w:val="EndnoteTextChar"/>
    <w:uiPriority w:val="99"/>
    <w:unhideWhenUsed/>
    <w:rsid w:val="0060503D"/>
    <w:pPr>
      <w:spacing w:after="0" w:line="240" w:lineRule="auto"/>
    </w:pPr>
  </w:style>
  <w:style w:type="character" w:customStyle="1" w:styleId="EndnoteTextChar">
    <w:name w:val="Endnote Text Char"/>
    <w:basedOn w:val="DefaultParagraphFont"/>
    <w:link w:val="EndnoteText"/>
    <w:uiPriority w:val="99"/>
    <w:rsid w:val="0060503D"/>
    <w:rPr>
      <w:sz w:val="20"/>
      <w:szCs w:val="20"/>
    </w:rPr>
  </w:style>
  <w:style w:type="character" w:styleId="EndnoteReference">
    <w:name w:val="endnote reference"/>
    <w:basedOn w:val="DefaultParagraphFont"/>
    <w:uiPriority w:val="99"/>
    <w:unhideWhenUsed/>
    <w:rsid w:val="0060503D"/>
    <w:rPr>
      <w:vertAlign w:val="superscript"/>
    </w:rPr>
  </w:style>
  <w:style w:type="paragraph" w:styleId="Bibliography">
    <w:name w:val="Bibliography"/>
    <w:basedOn w:val="Normal"/>
    <w:next w:val="Normal"/>
    <w:uiPriority w:val="37"/>
    <w:unhideWhenUsed/>
    <w:rsid w:val="0060503D"/>
  </w:style>
  <w:style w:type="paragraph" w:customStyle="1" w:styleId="Bodytext">
    <w:name w:val="Bodytext"/>
    <w:basedOn w:val="Normal"/>
    <w:uiPriority w:val="99"/>
    <w:rsid w:val="0060503D"/>
    <w:pPr>
      <w:spacing w:after="120" w:line="240" w:lineRule="auto"/>
    </w:pPr>
    <w:rPr>
      <w:rFonts w:cstheme="minorHAnsi"/>
    </w:rPr>
  </w:style>
  <w:style w:type="paragraph" w:customStyle="1" w:styleId="Bodytextannex">
    <w:name w:val="Bodytextannex"/>
    <w:basedOn w:val="Normal"/>
    <w:rsid w:val="0060503D"/>
    <w:pPr>
      <w:spacing w:after="120" w:line="240" w:lineRule="auto"/>
    </w:pPr>
    <w:rPr>
      <w:rFonts w:ascii="Times New Roman" w:hAnsi="Times New Roman" w:cs="Times New Roman"/>
      <w:sz w:val="24"/>
      <w:szCs w:val="24"/>
    </w:rPr>
  </w:style>
  <w:style w:type="paragraph" w:customStyle="1" w:styleId="Boxtext">
    <w:name w:val="Boxtext"/>
    <w:basedOn w:val="Bodytext"/>
    <w:rsid w:val="0060503D"/>
    <w:pPr>
      <w:shd w:val="clear" w:color="auto" w:fill="D4DDF2" w:themeFill="accent5" w:themeFillTint="33"/>
    </w:pPr>
  </w:style>
  <w:style w:type="paragraph" w:customStyle="1" w:styleId="Boxbullet">
    <w:name w:val="Boxbullet"/>
    <w:basedOn w:val="Boxtext"/>
    <w:rsid w:val="0060503D"/>
    <w:pPr>
      <w:numPr>
        <w:numId w:val="1"/>
      </w:numPr>
      <w:contextualSpacing/>
    </w:pPr>
  </w:style>
  <w:style w:type="paragraph" w:customStyle="1" w:styleId="Boxtitle">
    <w:name w:val="Boxtitle"/>
    <w:basedOn w:val="Caption"/>
    <w:rsid w:val="0060503D"/>
    <w:pPr>
      <w:keepNext/>
      <w:shd w:val="clear" w:color="auto" w:fill="D4DDF2" w:themeFill="accent5" w:themeFillTint="33"/>
      <w:spacing w:before="240"/>
      <w:jc w:val="center"/>
    </w:pPr>
    <w:rPr>
      <w:rFonts w:cstheme="minorHAnsi"/>
      <w:color w:val="410082" w:themeColor="text1"/>
      <w:sz w:val="22"/>
      <w:szCs w:val="20"/>
    </w:rPr>
  </w:style>
  <w:style w:type="paragraph" w:customStyle="1" w:styleId="Bullet">
    <w:name w:val="Bullet"/>
    <w:basedOn w:val="ListParagraph"/>
    <w:rsid w:val="0060503D"/>
    <w:pPr>
      <w:numPr>
        <w:numId w:val="2"/>
      </w:numPr>
      <w:spacing w:after="120" w:line="240" w:lineRule="auto"/>
    </w:pPr>
    <w:rPr>
      <w:rFonts w:cstheme="minorHAnsi"/>
    </w:rPr>
  </w:style>
  <w:style w:type="paragraph" w:customStyle="1" w:styleId="Figtitle">
    <w:name w:val="Figtitle"/>
    <w:basedOn w:val="Caption"/>
    <w:rsid w:val="0060503D"/>
    <w:pPr>
      <w:keepNext/>
      <w:spacing w:before="240" w:after="60"/>
    </w:pPr>
    <w:rPr>
      <w:rFonts w:cstheme="minorHAnsi"/>
      <w:color w:val="410082" w:themeColor="text1"/>
      <w:sz w:val="22"/>
      <w:szCs w:val="22"/>
    </w:rPr>
  </w:style>
  <w:style w:type="paragraph" w:customStyle="1" w:styleId="Refs">
    <w:name w:val="Refs"/>
    <w:basedOn w:val="Normal"/>
    <w:rsid w:val="0060503D"/>
    <w:pPr>
      <w:spacing w:after="60" w:line="240" w:lineRule="auto"/>
      <w:ind w:left="720" w:hanging="720"/>
    </w:pPr>
    <w:rPr>
      <w:rFonts w:cstheme="minorHAnsi"/>
    </w:rPr>
  </w:style>
  <w:style w:type="paragraph" w:customStyle="1" w:styleId="Tabletitle">
    <w:name w:val="Tabletitle"/>
    <w:basedOn w:val="Normal"/>
    <w:uiPriority w:val="99"/>
    <w:rsid w:val="0060503D"/>
    <w:pPr>
      <w:keepNext/>
      <w:spacing w:before="240" w:after="60" w:line="240" w:lineRule="auto"/>
    </w:pPr>
    <w:rPr>
      <w:b/>
    </w:rPr>
  </w:style>
  <w:style w:type="paragraph" w:styleId="Title">
    <w:name w:val="Title"/>
    <w:basedOn w:val="Normal"/>
    <w:next w:val="Normal"/>
    <w:link w:val="TitleChar"/>
    <w:uiPriority w:val="10"/>
    <w:qFormat/>
    <w:rsid w:val="0060503D"/>
    <w:pPr>
      <w:pBdr>
        <w:bottom w:val="single" w:sz="8" w:space="4" w:color="7D4D99" w:themeColor="accent1"/>
      </w:pBdr>
      <w:spacing w:after="300" w:line="240" w:lineRule="auto"/>
      <w:contextualSpacing/>
    </w:pPr>
    <w:rPr>
      <w:rFonts w:eastAsiaTheme="majorEastAsia" w:cstheme="minorHAnsi"/>
      <w:color w:val="4E4D51" w:themeColor="text2" w:themeShade="BF"/>
      <w:spacing w:val="5"/>
      <w:kern w:val="28"/>
      <w:sz w:val="52"/>
      <w:szCs w:val="52"/>
    </w:rPr>
  </w:style>
  <w:style w:type="character" w:customStyle="1" w:styleId="TitleChar">
    <w:name w:val="Title Char"/>
    <w:basedOn w:val="DefaultParagraphFont"/>
    <w:link w:val="Title"/>
    <w:uiPriority w:val="10"/>
    <w:rsid w:val="0060503D"/>
    <w:rPr>
      <w:rFonts w:eastAsiaTheme="majorEastAsia" w:cstheme="minorHAnsi"/>
      <w:color w:val="4E4D51" w:themeColor="text2" w:themeShade="BF"/>
      <w:spacing w:val="5"/>
      <w:kern w:val="28"/>
      <w:sz w:val="52"/>
      <w:szCs w:val="52"/>
    </w:rPr>
  </w:style>
  <w:style w:type="paragraph" w:styleId="TOC1">
    <w:name w:val="toc 1"/>
    <w:basedOn w:val="Normal"/>
    <w:next w:val="Normal"/>
    <w:uiPriority w:val="39"/>
    <w:rsid w:val="0060503D"/>
    <w:pPr>
      <w:keepNext/>
      <w:tabs>
        <w:tab w:val="right" w:leader="dot" w:pos="9350"/>
      </w:tabs>
      <w:spacing w:before="240" w:after="120"/>
    </w:pPr>
    <w:rPr>
      <w:rFonts w:cstheme="minorHAnsi"/>
      <w:b/>
      <w:bCs/>
      <w:noProof/>
    </w:rPr>
  </w:style>
  <w:style w:type="paragraph" w:styleId="TOC2">
    <w:name w:val="toc 2"/>
    <w:basedOn w:val="Normal"/>
    <w:next w:val="Normal"/>
    <w:autoRedefine/>
    <w:uiPriority w:val="39"/>
    <w:unhideWhenUsed/>
    <w:rsid w:val="0060503D"/>
    <w:pPr>
      <w:spacing w:after="0" w:line="240" w:lineRule="auto"/>
      <w:ind w:left="216"/>
    </w:pPr>
  </w:style>
  <w:style w:type="paragraph" w:styleId="TOC3">
    <w:name w:val="toc 3"/>
    <w:basedOn w:val="Normal"/>
    <w:next w:val="Normal"/>
    <w:autoRedefine/>
    <w:uiPriority w:val="39"/>
    <w:unhideWhenUsed/>
    <w:rsid w:val="0060503D"/>
    <w:pPr>
      <w:spacing w:after="0"/>
      <w:ind w:left="440"/>
    </w:pPr>
    <w:rPr>
      <w:rFonts w:cstheme="minorHAnsi"/>
    </w:rPr>
  </w:style>
  <w:style w:type="paragraph" w:customStyle="1" w:styleId="Heading2notTOC">
    <w:name w:val="Heading 2notTOC"/>
    <w:basedOn w:val="Heading2"/>
    <w:rsid w:val="0060503D"/>
  </w:style>
  <w:style w:type="paragraph" w:styleId="TOCHeading">
    <w:name w:val="TOC Heading"/>
    <w:basedOn w:val="Heading1"/>
    <w:next w:val="Normal"/>
    <w:uiPriority w:val="39"/>
    <w:unhideWhenUsed/>
    <w:qFormat/>
    <w:rsid w:val="0060503D"/>
    <w:pPr>
      <w:spacing w:before="480" w:after="0" w:line="276" w:lineRule="auto"/>
      <w:outlineLvl w:val="9"/>
    </w:pPr>
    <w:rPr>
      <w:rFonts w:asciiTheme="majorHAnsi" w:hAnsiTheme="majorHAnsi" w:cstheme="majorBidi"/>
      <w:color w:val="5D3972" w:themeColor="accent1" w:themeShade="BF"/>
      <w:sz w:val="28"/>
      <w:szCs w:val="28"/>
      <w:lang w:eastAsia="ja-JP" w:bidi="ar-SA"/>
    </w:rPr>
  </w:style>
  <w:style w:type="character" w:styleId="Hyperlink">
    <w:name w:val="Hyperlink"/>
    <w:basedOn w:val="DefaultParagraphFont"/>
    <w:uiPriority w:val="99"/>
    <w:unhideWhenUsed/>
    <w:rsid w:val="0060503D"/>
    <w:rPr>
      <w:color w:val="410082" w:themeColor="hyperlink"/>
      <w:u w:val="single"/>
    </w:rPr>
  </w:style>
  <w:style w:type="character" w:customStyle="1" w:styleId="Heading5Char">
    <w:name w:val="Heading 5 Char"/>
    <w:basedOn w:val="DefaultParagraphFont"/>
    <w:link w:val="Heading5"/>
    <w:uiPriority w:val="9"/>
    <w:rsid w:val="0060503D"/>
    <w:rPr>
      <w:rFonts w:asciiTheme="majorHAnsi" w:eastAsiaTheme="majorEastAsia" w:hAnsiTheme="majorHAnsi" w:cstheme="majorBidi"/>
      <w:color w:val="3E264C" w:themeColor="accent1" w:themeShade="7F"/>
    </w:rPr>
  </w:style>
  <w:style w:type="character" w:customStyle="1" w:styleId="Heading6Char">
    <w:name w:val="Heading 6 Char"/>
    <w:basedOn w:val="DefaultParagraphFont"/>
    <w:link w:val="Heading6"/>
    <w:uiPriority w:val="9"/>
    <w:rsid w:val="0060503D"/>
    <w:rPr>
      <w:rFonts w:asciiTheme="majorHAnsi" w:eastAsiaTheme="majorEastAsia" w:hAnsiTheme="majorHAnsi" w:cstheme="majorBidi"/>
      <w:i/>
      <w:iCs/>
      <w:color w:val="3E264C" w:themeColor="accent1" w:themeShade="7F"/>
    </w:rPr>
  </w:style>
  <w:style w:type="character" w:customStyle="1" w:styleId="Heading7Char">
    <w:name w:val="Heading 7 Char"/>
    <w:basedOn w:val="DefaultParagraphFont"/>
    <w:link w:val="Heading7"/>
    <w:uiPriority w:val="9"/>
    <w:rsid w:val="0060503D"/>
    <w:rPr>
      <w:rFonts w:asciiTheme="majorHAnsi" w:eastAsiaTheme="majorEastAsia" w:hAnsiTheme="majorHAnsi" w:cstheme="majorBidi"/>
      <w:i/>
      <w:iCs/>
      <w:color w:val="7000E1" w:themeColor="text1" w:themeTint="BF"/>
    </w:rPr>
  </w:style>
  <w:style w:type="character" w:customStyle="1" w:styleId="Heading8Char">
    <w:name w:val="Heading 8 Char"/>
    <w:basedOn w:val="DefaultParagraphFont"/>
    <w:link w:val="Heading8"/>
    <w:uiPriority w:val="9"/>
    <w:rsid w:val="0060503D"/>
    <w:rPr>
      <w:rFonts w:asciiTheme="majorHAnsi" w:eastAsiaTheme="majorEastAsia" w:hAnsiTheme="majorHAnsi" w:cstheme="majorBidi"/>
      <w:color w:val="7000E1" w:themeColor="text1" w:themeTint="BF"/>
      <w:sz w:val="20"/>
      <w:szCs w:val="20"/>
    </w:rPr>
  </w:style>
  <w:style w:type="character" w:customStyle="1" w:styleId="Heading9Char">
    <w:name w:val="Heading 9 Char"/>
    <w:basedOn w:val="DefaultParagraphFont"/>
    <w:link w:val="Heading9"/>
    <w:uiPriority w:val="9"/>
    <w:rsid w:val="0060503D"/>
    <w:rPr>
      <w:rFonts w:asciiTheme="majorHAnsi" w:eastAsiaTheme="majorEastAsia" w:hAnsiTheme="majorHAnsi" w:cstheme="majorBidi"/>
      <w:i/>
      <w:iCs/>
      <w:color w:val="7000E1" w:themeColor="text1" w:themeTint="BF"/>
      <w:sz w:val="20"/>
      <w:szCs w:val="20"/>
    </w:rPr>
  </w:style>
  <w:style w:type="character" w:customStyle="1" w:styleId="BalloonTextChar2">
    <w:name w:val="Balloon Text Char2"/>
    <w:basedOn w:val="DefaultParagraphFont"/>
    <w:uiPriority w:val="99"/>
    <w:semiHidden/>
    <w:rsid w:val="0060503D"/>
    <w:rPr>
      <w:rFonts w:ascii="Lucida Grande" w:hAnsi="Lucida Grande"/>
      <w:sz w:val="18"/>
      <w:szCs w:val="18"/>
    </w:rPr>
  </w:style>
  <w:style w:type="character" w:customStyle="1" w:styleId="BalloonTextChar1">
    <w:name w:val="Balloon Text Char1"/>
    <w:basedOn w:val="DefaultParagraphFont"/>
    <w:uiPriority w:val="99"/>
    <w:semiHidden/>
    <w:rsid w:val="0060503D"/>
    <w:rPr>
      <w:rFonts w:ascii="Tahoma" w:hAnsi="Tahoma" w:cs="Tahoma"/>
      <w:sz w:val="16"/>
      <w:szCs w:val="16"/>
    </w:rPr>
  </w:style>
  <w:style w:type="table" w:customStyle="1" w:styleId="LightShading-Accent12">
    <w:name w:val="Light Shading - Accent 12"/>
    <w:basedOn w:val="TableNormal"/>
    <w:uiPriority w:val="60"/>
    <w:rsid w:val="0060503D"/>
    <w:pPr>
      <w:spacing w:after="0" w:line="240" w:lineRule="auto"/>
    </w:pPr>
    <w:rPr>
      <w:color w:val="5D3972" w:themeColor="accent1" w:themeShade="BF"/>
    </w:rPr>
    <w:tblPr>
      <w:tblStyleRowBandSize w:val="1"/>
      <w:tblStyleColBandSize w:val="1"/>
      <w:tblInd w:w="0" w:type="dxa"/>
      <w:tblBorders>
        <w:top w:val="single" w:sz="8" w:space="0" w:color="7D4D99" w:themeColor="accent1"/>
        <w:bottom w:val="single" w:sz="8" w:space="0" w:color="7D4D9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D4D99" w:themeColor="accent1"/>
          <w:left w:val="nil"/>
          <w:bottom w:val="single" w:sz="8" w:space="0" w:color="7D4D99" w:themeColor="accent1"/>
          <w:right w:val="nil"/>
          <w:insideH w:val="nil"/>
          <w:insideV w:val="nil"/>
        </w:tcBorders>
      </w:tcPr>
    </w:tblStylePr>
    <w:tblStylePr w:type="lastRow">
      <w:pPr>
        <w:spacing w:before="0" w:after="0" w:line="240" w:lineRule="auto"/>
      </w:pPr>
      <w:rPr>
        <w:b/>
        <w:bCs/>
      </w:rPr>
      <w:tblPr/>
      <w:tcPr>
        <w:tcBorders>
          <w:top w:val="single" w:sz="8" w:space="0" w:color="7D4D99" w:themeColor="accent1"/>
          <w:left w:val="nil"/>
          <w:bottom w:val="single" w:sz="8" w:space="0" w:color="7D4D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0E7" w:themeFill="accent1" w:themeFillTint="3F"/>
      </w:tcPr>
    </w:tblStylePr>
    <w:tblStylePr w:type="band1Horz">
      <w:tblPr/>
      <w:tcPr>
        <w:tcBorders>
          <w:left w:val="nil"/>
          <w:right w:val="nil"/>
          <w:insideH w:val="nil"/>
          <w:insideV w:val="nil"/>
        </w:tcBorders>
        <w:shd w:val="clear" w:color="auto" w:fill="DFD0E7" w:themeFill="accent1" w:themeFillTint="3F"/>
      </w:tcPr>
    </w:tblStylePr>
  </w:style>
  <w:style w:type="table" w:styleId="LightGrid-Accent6">
    <w:name w:val="Light Grid Accent 6"/>
    <w:basedOn w:val="TableNormal"/>
    <w:uiPriority w:val="62"/>
    <w:rsid w:val="0060503D"/>
    <w:pPr>
      <w:spacing w:after="0" w:line="240" w:lineRule="auto"/>
    </w:pPr>
    <w:tblPr>
      <w:tblStyleRowBandSize w:val="1"/>
      <w:tblStyleColBandSize w:val="1"/>
      <w:tblInd w:w="0" w:type="dxa"/>
      <w:tblBorders>
        <w:top w:val="single" w:sz="8" w:space="0" w:color="A379BB" w:themeColor="accent6"/>
        <w:left w:val="single" w:sz="8" w:space="0" w:color="A379BB" w:themeColor="accent6"/>
        <w:bottom w:val="single" w:sz="8" w:space="0" w:color="A379BB" w:themeColor="accent6"/>
        <w:right w:val="single" w:sz="8" w:space="0" w:color="A379BB" w:themeColor="accent6"/>
        <w:insideH w:val="single" w:sz="8" w:space="0" w:color="A379BB" w:themeColor="accent6"/>
        <w:insideV w:val="single" w:sz="8" w:space="0" w:color="A379BB"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379BB" w:themeColor="accent6"/>
          <w:left w:val="single" w:sz="8" w:space="0" w:color="A379BB" w:themeColor="accent6"/>
          <w:bottom w:val="single" w:sz="18" w:space="0" w:color="A379BB" w:themeColor="accent6"/>
          <w:right w:val="single" w:sz="8" w:space="0" w:color="A379BB" w:themeColor="accent6"/>
          <w:insideH w:val="nil"/>
          <w:insideV w:val="single" w:sz="8" w:space="0" w:color="A379B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379BB" w:themeColor="accent6"/>
          <w:left w:val="single" w:sz="8" w:space="0" w:color="A379BB" w:themeColor="accent6"/>
          <w:bottom w:val="single" w:sz="8" w:space="0" w:color="A379BB" w:themeColor="accent6"/>
          <w:right w:val="single" w:sz="8" w:space="0" w:color="A379BB" w:themeColor="accent6"/>
          <w:insideH w:val="nil"/>
          <w:insideV w:val="single" w:sz="8" w:space="0" w:color="A379B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379BB" w:themeColor="accent6"/>
          <w:left w:val="single" w:sz="8" w:space="0" w:color="A379BB" w:themeColor="accent6"/>
          <w:bottom w:val="single" w:sz="8" w:space="0" w:color="A379BB" w:themeColor="accent6"/>
          <w:right w:val="single" w:sz="8" w:space="0" w:color="A379BB" w:themeColor="accent6"/>
        </w:tcBorders>
      </w:tcPr>
    </w:tblStylePr>
    <w:tblStylePr w:type="band1Vert">
      <w:tblPr/>
      <w:tcPr>
        <w:tcBorders>
          <w:top w:val="single" w:sz="8" w:space="0" w:color="A379BB" w:themeColor="accent6"/>
          <w:left w:val="single" w:sz="8" w:space="0" w:color="A379BB" w:themeColor="accent6"/>
          <w:bottom w:val="single" w:sz="8" w:space="0" w:color="A379BB" w:themeColor="accent6"/>
          <w:right w:val="single" w:sz="8" w:space="0" w:color="A379BB" w:themeColor="accent6"/>
        </w:tcBorders>
        <w:shd w:val="clear" w:color="auto" w:fill="E8DDEE" w:themeFill="accent6" w:themeFillTint="3F"/>
      </w:tcPr>
    </w:tblStylePr>
    <w:tblStylePr w:type="band1Horz">
      <w:tblPr/>
      <w:tcPr>
        <w:tcBorders>
          <w:top w:val="single" w:sz="8" w:space="0" w:color="A379BB" w:themeColor="accent6"/>
          <w:left w:val="single" w:sz="8" w:space="0" w:color="A379BB" w:themeColor="accent6"/>
          <w:bottom w:val="single" w:sz="8" w:space="0" w:color="A379BB" w:themeColor="accent6"/>
          <w:right w:val="single" w:sz="8" w:space="0" w:color="A379BB" w:themeColor="accent6"/>
          <w:insideV w:val="single" w:sz="8" w:space="0" w:color="A379BB" w:themeColor="accent6"/>
        </w:tcBorders>
        <w:shd w:val="clear" w:color="auto" w:fill="E8DDEE" w:themeFill="accent6" w:themeFillTint="3F"/>
      </w:tcPr>
    </w:tblStylePr>
    <w:tblStylePr w:type="band2Horz">
      <w:tblPr/>
      <w:tcPr>
        <w:tcBorders>
          <w:top w:val="single" w:sz="8" w:space="0" w:color="A379BB" w:themeColor="accent6"/>
          <w:left w:val="single" w:sz="8" w:space="0" w:color="A379BB" w:themeColor="accent6"/>
          <w:bottom w:val="single" w:sz="8" w:space="0" w:color="A379BB" w:themeColor="accent6"/>
          <w:right w:val="single" w:sz="8" w:space="0" w:color="A379BB" w:themeColor="accent6"/>
          <w:insideV w:val="single" w:sz="8" w:space="0" w:color="A379BB" w:themeColor="accent6"/>
        </w:tcBorders>
      </w:tcPr>
    </w:tblStylePr>
  </w:style>
  <w:style w:type="paragraph" w:customStyle="1" w:styleId="ParagraphNumbering">
    <w:name w:val="Paragraph Numbering"/>
    <w:basedOn w:val="Normal"/>
    <w:qFormat/>
    <w:rsid w:val="0060503D"/>
    <w:pPr>
      <w:numPr>
        <w:numId w:val="4"/>
      </w:numPr>
      <w:spacing w:after="240" w:line="264" w:lineRule="auto"/>
    </w:pPr>
    <w:rPr>
      <w:rFonts w:ascii="Times New Roman" w:eastAsia="Times New Roman" w:hAnsi="Times New Roman" w:cs="Times New Roman"/>
      <w:sz w:val="24"/>
    </w:rPr>
  </w:style>
  <w:style w:type="character" w:customStyle="1" w:styleId="ListParagraphChar">
    <w:name w:val="List Paragraph Char"/>
    <w:aliases w:val="List Paragraph (numbered (a)) Char"/>
    <w:basedOn w:val="DefaultParagraphFont"/>
    <w:link w:val="ListParagraph"/>
    <w:uiPriority w:val="34"/>
    <w:locked/>
    <w:rsid w:val="0060503D"/>
  </w:style>
  <w:style w:type="paragraph" w:customStyle="1" w:styleId="Source">
    <w:name w:val="Source"/>
    <w:basedOn w:val="Normal"/>
    <w:uiPriority w:val="99"/>
    <w:rsid w:val="00980509"/>
    <w:pPr>
      <w:contextualSpacing/>
    </w:pPr>
    <w:rPr>
      <w:sz w:val="18"/>
      <w:szCs w:val="18"/>
    </w:rPr>
  </w:style>
  <w:style w:type="paragraph" w:customStyle="1" w:styleId="Sourcetop">
    <w:name w:val="Sourcetop"/>
    <w:basedOn w:val="Normal"/>
    <w:rsid w:val="0060503D"/>
    <w:pPr>
      <w:spacing w:after="0"/>
    </w:pPr>
    <w:rPr>
      <w:sz w:val="18"/>
      <w:szCs w:val="18"/>
    </w:rPr>
  </w:style>
  <w:style w:type="paragraph" w:customStyle="1" w:styleId="Heading1nottoc">
    <w:name w:val="Heading 1nottoc"/>
    <w:basedOn w:val="Heading1"/>
    <w:rsid w:val="0060503D"/>
  </w:style>
  <w:style w:type="paragraph" w:styleId="NormalWeb">
    <w:name w:val="Normal (Web)"/>
    <w:basedOn w:val="Normal"/>
    <w:uiPriority w:val="99"/>
    <w:semiHidden/>
    <w:unhideWhenUsed/>
    <w:rsid w:val="006050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s">
    <w:name w:val="References"/>
    <w:basedOn w:val="Normal"/>
    <w:link w:val="ReferencesChar"/>
    <w:qFormat/>
    <w:rsid w:val="00307B43"/>
    <w:pPr>
      <w:spacing w:after="100" w:line="240" w:lineRule="auto"/>
      <w:ind w:left="720" w:hanging="720"/>
    </w:pPr>
  </w:style>
  <w:style w:type="paragraph" w:styleId="BodyTextIndent3">
    <w:name w:val="Body Text Indent 3"/>
    <w:basedOn w:val="Normal"/>
    <w:link w:val="BodyTextIndent3Char"/>
    <w:uiPriority w:val="99"/>
    <w:unhideWhenUsed/>
    <w:rsid w:val="00B345E7"/>
    <w:pPr>
      <w:spacing w:after="120"/>
      <w:ind w:left="360"/>
    </w:pPr>
    <w:rPr>
      <w:sz w:val="16"/>
      <w:szCs w:val="16"/>
    </w:rPr>
  </w:style>
  <w:style w:type="character" w:customStyle="1" w:styleId="ReferencesChar">
    <w:name w:val="References Char"/>
    <w:basedOn w:val="DefaultParagraphFont"/>
    <w:link w:val="References"/>
    <w:rsid w:val="00307B43"/>
  </w:style>
  <w:style w:type="character" w:customStyle="1" w:styleId="BodyTextIndent3Char">
    <w:name w:val="Body Text Indent 3 Char"/>
    <w:basedOn w:val="DefaultParagraphFont"/>
    <w:link w:val="BodyTextIndent3"/>
    <w:uiPriority w:val="99"/>
    <w:rsid w:val="00B345E7"/>
    <w:rPr>
      <w:sz w:val="16"/>
      <w:szCs w:val="16"/>
    </w:rPr>
  </w:style>
  <w:style w:type="table" w:styleId="LightShading-Accent4">
    <w:name w:val="Light Shading Accent 4"/>
    <w:basedOn w:val="TableNormal"/>
    <w:uiPriority w:val="60"/>
    <w:rsid w:val="0014667F"/>
    <w:pPr>
      <w:spacing w:after="0" w:line="240" w:lineRule="auto"/>
      <w:jc w:val="both"/>
    </w:pPr>
    <w:rPr>
      <w:rFonts w:eastAsiaTheme="minorEastAsia"/>
      <w:color w:val="7D4D98" w:themeColor="accent4" w:themeShade="BF"/>
      <w:sz w:val="20"/>
      <w:szCs w:val="20"/>
      <w:lang w:bidi="en-US"/>
    </w:rPr>
    <w:tblPr>
      <w:tblStyleRowBandSize w:val="1"/>
      <w:tblStyleColBandSize w:val="1"/>
      <w:tblInd w:w="0" w:type="dxa"/>
      <w:tblBorders>
        <w:top w:val="single" w:sz="8" w:space="0" w:color="A379BB" w:themeColor="accent4"/>
        <w:bottom w:val="single" w:sz="8" w:space="0" w:color="A379BB"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379BB" w:themeColor="accent4"/>
          <w:left w:val="nil"/>
          <w:bottom w:val="single" w:sz="8" w:space="0" w:color="A379BB" w:themeColor="accent4"/>
          <w:right w:val="nil"/>
          <w:insideH w:val="nil"/>
          <w:insideV w:val="nil"/>
        </w:tcBorders>
      </w:tcPr>
    </w:tblStylePr>
    <w:tblStylePr w:type="lastRow">
      <w:pPr>
        <w:spacing w:before="0" w:after="0" w:line="240" w:lineRule="auto"/>
      </w:pPr>
      <w:rPr>
        <w:b/>
        <w:bCs/>
      </w:rPr>
      <w:tblPr/>
      <w:tcPr>
        <w:tcBorders>
          <w:top w:val="single" w:sz="8" w:space="0" w:color="A379BB" w:themeColor="accent4"/>
          <w:left w:val="nil"/>
          <w:bottom w:val="single" w:sz="8" w:space="0" w:color="A379B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DDEE" w:themeFill="accent4" w:themeFillTint="3F"/>
      </w:tcPr>
    </w:tblStylePr>
    <w:tblStylePr w:type="band1Horz">
      <w:tblPr/>
      <w:tcPr>
        <w:tcBorders>
          <w:left w:val="nil"/>
          <w:right w:val="nil"/>
          <w:insideH w:val="nil"/>
          <w:insideV w:val="nil"/>
        </w:tcBorders>
        <w:shd w:val="clear" w:color="auto" w:fill="E8DDEE" w:themeFill="accent4" w:themeFillTint="3F"/>
      </w:tcPr>
    </w:tblStylePr>
  </w:style>
  <w:style w:type="paragraph" w:styleId="BodyText3">
    <w:name w:val="Body Text 3"/>
    <w:basedOn w:val="Normal"/>
    <w:link w:val="BodyText3Char"/>
    <w:rsid w:val="0014667F"/>
    <w:pPr>
      <w:spacing w:after="0" w:line="240" w:lineRule="auto"/>
      <w:jc w:val="center"/>
    </w:pPr>
    <w:rPr>
      <w:rFonts w:ascii="Times New Roman" w:eastAsia="Times New Roman" w:hAnsi="Times New Roman" w:cs="Times New Roman"/>
      <w:b/>
      <w:lang w:val="fr-FR"/>
    </w:rPr>
  </w:style>
  <w:style w:type="character" w:customStyle="1" w:styleId="BodyText3Char">
    <w:name w:val="Body Text 3 Char"/>
    <w:basedOn w:val="DefaultParagraphFont"/>
    <w:link w:val="BodyText3"/>
    <w:rsid w:val="0014667F"/>
    <w:rPr>
      <w:rFonts w:ascii="Times New Roman" w:eastAsia="Times New Roman" w:hAnsi="Times New Roman" w:cs="Times New Roman"/>
      <w:b/>
      <w:sz w:val="20"/>
      <w:szCs w:val="20"/>
      <w:lang w:val="fr-FR" w:bidi="en-US"/>
    </w:rPr>
  </w:style>
  <w:style w:type="paragraph" w:styleId="BodyText2">
    <w:name w:val="Body Text 2"/>
    <w:basedOn w:val="Normal"/>
    <w:link w:val="BodyText2Char"/>
    <w:rsid w:val="0014667F"/>
    <w:pPr>
      <w:spacing w:after="0" w:line="240" w:lineRule="auto"/>
    </w:pPr>
    <w:rPr>
      <w:rFonts w:ascii="Times New Roman" w:eastAsia="Times New Roman" w:hAnsi="Times New Roman" w:cs="Times New Roman"/>
      <w:lang w:val="fr-FR"/>
    </w:rPr>
  </w:style>
  <w:style w:type="character" w:customStyle="1" w:styleId="BodyText2Char">
    <w:name w:val="Body Text 2 Char"/>
    <w:basedOn w:val="DefaultParagraphFont"/>
    <w:link w:val="BodyText2"/>
    <w:rsid w:val="0014667F"/>
    <w:rPr>
      <w:rFonts w:ascii="Times New Roman" w:eastAsia="Times New Roman" w:hAnsi="Times New Roman" w:cs="Times New Roman"/>
      <w:sz w:val="20"/>
      <w:szCs w:val="20"/>
      <w:lang w:val="fr-FR" w:bidi="en-US"/>
    </w:rPr>
  </w:style>
  <w:style w:type="paragraph" w:customStyle="1" w:styleId="Referencestyle">
    <w:name w:val="Reference style"/>
    <w:basedOn w:val="Normal"/>
    <w:rsid w:val="0014667F"/>
    <w:pPr>
      <w:spacing w:after="0" w:line="240" w:lineRule="auto"/>
    </w:pPr>
    <w:rPr>
      <w:rFonts w:ascii="Times New Roman" w:eastAsia="Times New Roman" w:hAnsi="Times New Roman" w:cs="Times New Roman"/>
      <w:sz w:val="24"/>
    </w:rPr>
  </w:style>
  <w:style w:type="table" w:customStyle="1" w:styleId="LightShading-Accent11">
    <w:name w:val="Light Shading - Accent 11"/>
    <w:basedOn w:val="TableNormal"/>
    <w:uiPriority w:val="60"/>
    <w:rsid w:val="0014667F"/>
    <w:pPr>
      <w:spacing w:after="0" w:line="240" w:lineRule="auto"/>
      <w:jc w:val="both"/>
    </w:pPr>
    <w:rPr>
      <w:rFonts w:eastAsiaTheme="minorEastAsia"/>
      <w:color w:val="5D3972" w:themeColor="accent1" w:themeShade="BF"/>
      <w:sz w:val="20"/>
      <w:szCs w:val="20"/>
      <w:lang w:bidi="en-US"/>
    </w:rPr>
    <w:tblPr>
      <w:tblStyleRowBandSize w:val="1"/>
      <w:tblStyleColBandSize w:val="1"/>
      <w:tblInd w:w="0" w:type="dxa"/>
      <w:tblBorders>
        <w:top w:val="single" w:sz="8" w:space="0" w:color="7D4D99" w:themeColor="accent1"/>
        <w:bottom w:val="single" w:sz="8" w:space="0" w:color="7D4D9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D4D99" w:themeColor="accent1"/>
          <w:left w:val="nil"/>
          <w:bottom w:val="single" w:sz="8" w:space="0" w:color="7D4D99" w:themeColor="accent1"/>
          <w:right w:val="nil"/>
          <w:insideH w:val="nil"/>
          <w:insideV w:val="nil"/>
        </w:tcBorders>
      </w:tcPr>
    </w:tblStylePr>
    <w:tblStylePr w:type="lastRow">
      <w:pPr>
        <w:spacing w:before="0" w:after="0" w:line="240" w:lineRule="auto"/>
      </w:pPr>
      <w:rPr>
        <w:b/>
        <w:bCs/>
      </w:rPr>
      <w:tblPr/>
      <w:tcPr>
        <w:tcBorders>
          <w:top w:val="single" w:sz="8" w:space="0" w:color="7D4D99" w:themeColor="accent1"/>
          <w:left w:val="nil"/>
          <w:bottom w:val="single" w:sz="8" w:space="0" w:color="7D4D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0E7" w:themeFill="accent1" w:themeFillTint="3F"/>
      </w:tcPr>
    </w:tblStylePr>
    <w:tblStylePr w:type="band1Horz">
      <w:tblPr/>
      <w:tcPr>
        <w:tcBorders>
          <w:left w:val="nil"/>
          <w:right w:val="nil"/>
          <w:insideH w:val="nil"/>
          <w:insideV w:val="nil"/>
        </w:tcBorders>
        <w:shd w:val="clear" w:color="auto" w:fill="DFD0E7" w:themeFill="accent1" w:themeFillTint="3F"/>
      </w:tcPr>
    </w:tblStylePr>
  </w:style>
  <w:style w:type="numbering" w:customStyle="1" w:styleId="iimi">
    <w:name w:val="iimi"/>
    <w:uiPriority w:val="99"/>
    <w:rsid w:val="0014667F"/>
    <w:pPr>
      <w:numPr>
        <w:numId w:val="5"/>
      </w:numPr>
    </w:pPr>
  </w:style>
  <w:style w:type="character" w:styleId="LineNumber">
    <w:name w:val="line number"/>
    <w:basedOn w:val="DefaultParagraphFont"/>
    <w:uiPriority w:val="99"/>
    <w:semiHidden/>
    <w:unhideWhenUsed/>
    <w:rsid w:val="0014667F"/>
  </w:style>
  <w:style w:type="paragraph" w:customStyle="1" w:styleId="TableTitle0">
    <w:name w:val="Table Title"/>
    <w:basedOn w:val="Normal"/>
    <w:rsid w:val="0014667F"/>
    <w:pPr>
      <w:keepNext/>
      <w:spacing w:before="240" w:after="120"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14667F"/>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14667F"/>
    <w:rPr>
      <w:rFonts w:asciiTheme="majorHAnsi" w:eastAsiaTheme="majorEastAsia" w:hAnsiTheme="majorHAnsi" w:cstheme="majorBidi"/>
      <w:sz w:val="20"/>
      <w:lang w:bidi="en-US"/>
    </w:rPr>
  </w:style>
  <w:style w:type="paragraph" w:styleId="Quote">
    <w:name w:val="Quote"/>
    <w:basedOn w:val="Normal"/>
    <w:next w:val="Normal"/>
    <w:link w:val="QuoteChar"/>
    <w:uiPriority w:val="29"/>
    <w:qFormat/>
    <w:rsid w:val="0014667F"/>
    <w:rPr>
      <w:i/>
    </w:rPr>
  </w:style>
  <w:style w:type="character" w:customStyle="1" w:styleId="QuoteChar">
    <w:name w:val="Quote Char"/>
    <w:basedOn w:val="DefaultParagraphFont"/>
    <w:link w:val="Quote"/>
    <w:uiPriority w:val="29"/>
    <w:rsid w:val="0014667F"/>
    <w:rPr>
      <w:rFonts w:eastAsiaTheme="minorEastAsia"/>
      <w:i/>
      <w:sz w:val="20"/>
      <w:szCs w:val="20"/>
      <w:lang w:bidi="en-US"/>
    </w:rPr>
  </w:style>
  <w:style w:type="paragraph" w:styleId="IntenseQuote">
    <w:name w:val="Intense Quote"/>
    <w:basedOn w:val="Normal"/>
    <w:next w:val="Normal"/>
    <w:link w:val="IntenseQuoteChar"/>
    <w:uiPriority w:val="30"/>
    <w:qFormat/>
    <w:rsid w:val="0014667F"/>
    <w:pPr>
      <w:pBdr>
        <w:top w:val="single" w:sz="8" w:space="10" w:color="3C65C2" w:themeColor="accent2" w:themeShade="BF"/>
        <w:left w:val="single" w:sz="8" w:space="10" w:color="3C65C2" w:themeColor="accent2" w:themeShade="BF"/>
        <w:bottom w:val="single" w:sz="8" w:space="10" w:color="3C65C2" w:themeColor="accent2" w:themeShade="BF"/>
        <w:right w:val="single" w:sz="8" w:space="10" w:color="3C65C2" w:themeColor="accent2" w:themeShade="BF"/>
      </w:pBdr>
      <w:shd w:val="clear" w:color="auto" w:fill="7E99D7"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14667F"/>
    <w:rPr>
      <w:rFonts w:eastAsiaTheme="minorEastAsia"/>
      <w:b/>
      <w:i/>
      <w:color w:val="FFFFFF" w:themeColor="background1"/>
      <w:sz w:val="20"/>
      <w:szCs w:val="20"/>
      <w:shd w:val="clear" w:color="auto" w:fill="7E99D7" w:themeFill="accent2"/>
      <w:lang w:bidi="en-US"/>
    </w:rPr>
  </w:style>
  <w:style w:type="character" w:styleId="SubtleEmphasis">
    <w:name w:val="Subtle Emphasis"/>
    <w:uiPriority w:val="19"/>
    <w:qFormat/>
    <w:rsid w:val="0014667F"/>
    <w:rPr>
      <w:i/>
    </w:rPr>
  </w:style>
  <w:style w:type="character" w:styleId="IntenseEmphasis">
    <w:name w:val="Intense Emphasis"/>
    <w:uiPriority w:val="21"/>
    <w:qFormat/>
    <w:rsid w:val="0014667F"/>
    <w:rPr>
      <w:b/>
      <w:i/>
      <w:color w:val="7E99D7" w:themeColor="accent2"/>
      <w:spacing w:val="10"/>
    </w:rPr>
  </w:style>
  <w:style w:type="character" w:styleId="SubtleReference">
    <w:name w:val="Subtle Reference"/>
    <w:uiPriority w:val="31"/>
    <w:qFormat/>
    <w:rsid w:val="0014667F"/>
    <w:rPr>
      <w:b/>
    </w:rPr>
  </w:style>
  <w:style w:type="character" w:styleId="IntenseReference">
    <w:name w:val="Intense Reference"/>
    <w:uiPriority w:val="32"/>
    <w:qFormat/>
    <w:rsid w:val="0014667F"/>
    <w:rPr>
      <w:b/>
      <w:bCs/>
      <w:smallCaps/>
      <w:spacing w:val="5"/>
      <w:sz w:val="22"/>
      <w:szCs w:val="22"/>
      <w:u w:val="single"/>
    </w:rPr>
  </w:style>
  <w:style w:type="character" w:styleId="BookTitle">
    <w:name w:val="Book Title"/>
    <w:uiPriority w:val="33"/>
    <w:qFormat/>
    <w:rsid w:val="0014667F"/>
    <w:rPr>
      <w:rFonts w:asciiTheme="majorHAnsi" w:eastAsiaTheme="majorEastAsia" w:hAnsiTheme="majorHAnsi" w:cstheme="majorBidi"/>
      <w:i/>
      <w:iCs/>
      <w:sz w:val="20"/>
      <w:szCs w:val="20"/>
    </w:rPr>
  </w:style>
  <w:style w:type="character" w:customStyle="1" w:styleId="apple-converted-space">
    <w:name w:val="apple-converted-space"/>
    <w:basedOn w:val="DefaultParagraphFont"/>
    <w:rsid w:val="00AA4E1F"/>
  </w:style>
  <w:style w:type="paragraph" w:customStyle="1" w:styleId="EPPformat">
    <w:name w:val="EPP format"/>
    <w:basedOn w:val="Normal"/>
    <w:uiPriority w:val="99"/>
    <w:qFormat/>
    <w:rsid w:val="00282714"/>
    <w:pPr>
      <w:numPr>
        <w:numId w:val="15"/>
      </w:numPr>
      <w:spacing w:after="240" w:line="240" w:lineRule="auto"/>
    </w:pPr>
    <w:rPr>
      <w:rFonts w:ascii="Times New Roman" w:eastAsia="Times New Roman" w:hAnsi="Times New Roman" w:cs="Times New Roman"/>
      <w:sz w:val="24"/>
      <w:szCs w:val="24"/>
      <w:lang w:bidi="ar-SA"/>
    </w:rPr>
  </w:style>
  <w:style w:type="character" w:customStyle="1" w:styleId="headingno2Char">
    <w:name w:val="heading no.2 Char"/>
    <w:basedOn w:val="DefaultParagraphFont"/>
    <w:link w:val="headingno2"/>
    <w:locked/>
    <w:rsid w:val="00282714"/>
    <w:rPr>
      <w:rFonts w:asciiTheme="majorHAnsi" w:eastAsia="Times New Roman" w:hAnsiTheme="majorHAnsi" w:cs="Times New Roman"/>
      <w:bCs/>
      <w:i/>
      <w:iCs/>
      <w:color w:val="7D4D99" w:themeColor="accent1"/>
      <w:sz w:val="24"/>
      <w:szCs w:val="28"/>
      <w:lang w:eastAsia="ja-JP"/>
    </w:rPr>
  </w:style>
  <w:style w:type="paragraph" w:customStyle="1" w:styleId="headingno2">
    <w:name w:val="heading no.2"/>
    <w:basedOn w:val="Heading2"/>
    <w:link w:val="headingno2Char"/>
    <w:qFormat/>
    <w:rsid w:val="00282714"/>
    <w:pPr>
      <w:keepLines w:val="0"/>
      <w:spacing w:before="120"/>
      <w:ind w:left="720" w:hanging="720"/>
      <w:jc w:val="left"/>
    </w:pPr>
    <w:rPr>
      <w:rFonts w:asciiTheme="majorHAnsi" w:eastAsia="Times New Roman" w:hAnsiTheme="majorHAnsi" w:cs="Times New Roman"/>
      <w:b w:val="0"/>
      <w:iCs/>
      <w:color w:val="7D4D99" w:themeColor="accent1"/>
      <w:sz w:val="24"/>
      <w:szCs w:val="28"/>
      <w:lang w:eastAsia="ja-JP" w:bidi="ar-SA"/>
    </w:rPr>
  </w:style>
  <w:style w:type="character" w:customStyle="1" w:styleId="GG2Char">
    <w:name w:val="GG2 Char"/>
    <w:basedOn w:val="DefaultParagraphFont"/>
    <w:link w:val="GG2"/>
    <w:locked/>
    <w:rsid w:val="00282714"/>
    <w:rPr>
      <w:rFonts w:ascii="Calibri" w:hAnsi="Calibri" w:cs="Calibri"/>
      <w:b/>
      <w:bCs/>
      <w:kern w:val="32"/>
      <w:sz w:val="28"/>
      <w:szCs w:val="28"/>
    </w:rPr>
  </w:style>
  <w:style w:type="paragraph" w:customStyle="1" w:styleId="GG2">
    <w:name w:val="GG2"/>
    <w:basedOn w:val="Heading1"/>
    <w:link w:val="GG2Char"/>
    <w:rsid w:val="00282714"/>
    <w:pPr>
      <w:keepLines w:val="0"/>
      <w:spacing w:before="240" w:after="60" w:line="276" w:lineRule="auto"/>
      <w:jc w:val="left"/>
    </w:pPr>
    <w:rPr>
      <w:rFonts w:ascii="Calibri" w:eastAsiaTheme="minorHAnsi" w:hAnsi="Calibri" w:cs="Calibri"/>
      <w:kern w:val="32"/>
      <w:sz w:val="28"/>
      <w:szCs w:val="28"/>
      <w:lang w:bidi="ar-SA"/>
    </w:rPr>
  </w:style>
  <w:style w:type="table" w:styleId="LightShading-Accent1">
    <w:name w:val="Light Shading Accent 1"/>
    <w:basedOn w:val="TableNormal"/>
    <w:uiPriority w:val="60"/>
    <w:rsid w:val="009D61FA"/>
    <w:pPr>
      <w:spacing w:after="0" w:line="240" w:lineRule="auto"/>
    </w:pPr>
    <w:rPr>
      <w:color w:val="5D3972" w:themeColor="accent1" w:themeShade="BF"/>
    </w:rPr>
    <w:tblPr>
      <w:tblStyleRowBandSize w:val="1"/>
      <w:tblStyleColBandSize w:val="1"/>
      <w:tblInd w:w="0" w:type="dxa"/>
      <w:tblBorders>
        <w:top w:val="single" w:sz="8" w:space="0" w:color="7D4D99" w:themeColor="accent1"/>
        <w:bottom w:val="single" w:sz="8" w:space="0" w:color="7D4D9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D4D99" w:themeColor="accent1"/>
          <w:left w:val="nil"/>
          <w:bottom w:val="single" w:sz="8" w:space="0" w:color="7D4D99" w:themeColor="accent1"/>
          <w:right w:val="nil"/>
          <w:insideH w:val="nil"/>
          <w:insideV w:val="nil"/>
        </w:tcBorders>
      </w:tcPr>
    </w:tblStylePr>
    <w:tblStylePr w:type="lastRow">
      <w:pPr>
        <w:spacing w:before="0" w:after="0" w:line="240" w:lineRule="auto"/>
      </w:pPr>
      <w:rPr>
        <w:b/>
        <w:bCs/>
      </w:rPr>
      <w:tblPr/>
      <w:tcPr>
        <w:tcBorders>
          <w:top w:val="single" w:sz="8" w:space="0" w:color="7D4D99" w:themeColor="accent1"/>
          <w:left w:val="nil"/>
          <w:bottom w:val="single" w:sz="8" w:space="0" w:color="7D4D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0E7" w:themeFill="accent1" w:themeFillTint="3F"/>
      </w:tcPr>
    </w:tblStylePr>
    <w:tblStylePr w:type="band1Horz">
      <w:tblPr/>
      <w:tcPr>
        <w:tcBorders>
          <w:left w:val="nil"/>
          <w:right w:val="nil"/>
          <w:insideH w:val="nil"/>
          <w:insideV w:val="nil"/>
        </w:tcBorders>
        <w:shd w:val="clear" w:color="auto" w:fill="DFD0E7" w:themeFill="accent1" w:themeFillTint="3F"/>
      </w:tcPr>
    </w:tblStylePr>
  </w:style>
  <w:style w:type="table" w:styleId="LightShading-Accent3">
    <w:name w:val="Light Shading Accent 3"/>
    <w:basedOn w:val="TableNormal"/>
    <w:uiPriority w:val="60"/>
    <w:rsid w:val="00A63F7F"/>
    <w:pPr>
      <w:spacing w:after="0" w:line="240" w:lineRule="auto"/>
    </w:pPr>
    <w:rPr>
      <w:color w:val="300061" w:themeColor="accent3" w:themeShade="BF"/>
    </w:rPr>
    <w:tblPr>
      <w:tblStyleRowBandSize w:val="1"/>
      <w:tblStyleColBandSize w:val="1"/>
      <w:tblInd w:w="0" w:type="dxa"/>
      <w:tblBorders>
        <w:top w:val="single" w:sz="8" w:space="0" w:color="410082" w:themeColor="accent3"/>
        <w:bottom w:val="single" w:sz="8" w:space="0" w:color="410082"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10082" w:themeColor="accent3"/>
          <w:left w:val="nil"/>
          <w:bottom w:val="single" w:sz="8" w:space="0" w:color="410082" w:themeColor="accent3"/>
          <w:right w:val="nil"/>
          <w:insideH w:val="nil"/>
          <w:insideV w:val="nil"/>
        </w:tcBorders>
      </w:tcPr>
    </w:tblStylePr>
    <w:tblStylePr w:type="lastRow">
      <w:pPr>
        <w:spacing w:before="0" w:after="0" w:line="240" w:lineRule="auto"/>
      </w:pPr>
      <w:rPr>
        <w:b/>
        <w:bCs/>
      </w:rPr>
      <w:tblPr/>
      <w:tcPr>
        <w:tcBorders>
          <w:top w:val="single" w:sz="8" w:space="0" w:color="410082" w:themeColor="accent3"/>
          <w:left w:val="nil"/>
          <w:bottom w:val="single" w:sz="8" w:space="0" w:color="41008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A1FF" w:themeFill="accent3" w:themeFillTint="3F"/>
      </w:tcPr>
    </w:tblStylePr>
    <w:tblStylePr w:type="band1Horz">
      <w:tblPr/>
      <w:tcPr>
        <w:tcBorders>
          <w:left w:val="nil"/>
          <w:right w:val="nil"/>
          <w:insideH w:val="nil"/>
          <w:insideV w:val="nil"/>
        </w:tcBorders>
        <w:shd w:val="clear" w:color="auto" w:fill="CFA1FF" w:themeFill="accent3" w:themeFillTint="3F"/>
      </w:tcPr>
    </w:tblStylePr>
  </w:style>
  <w:style w:type="table" w:customStyle="1" w:styleId="TableGrid1">
    <w:name w:val="Table Grid1"/>
    <w:basedOn w:val="TableNormal"/>
    <w:next w:val="TableGrid"/>
    <w:uiPriority w:val="59"/>
    <w:rsid w:val="00A312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61">
    <w:name w:val="Light Shading - Accent 61"/>
    <w:basedOn w:val="TableNormal"/>
    <w:next w:val="LightShading-Accent6"/>
    <w:uiPriority w:val="60"/>
    <w:rsid w:val="00A31296"/>
    <w:pPr>
      <w:spacing w:after="0" w:line="240" w:lineRule="auto"/>
    </w:pPr>
    <w:rPr>
      <w:color w:val="7D4D98"/>
    </w:rPr>
    <w:tblPr>
      <w:tblStyleRowBandSize w:val="1"/>
      <w:tblStyleColBandSize w:val="1"/>
      <w:tblInd w:w="0" w:type="dxa"/>
      <w:tblBorders>
        <w:top w:val="single" w:sz="8" w:space="0" w:color="A379BB"/>
        <w:bottom w:val="single" w:sz="8" w:space="0" w:color="A379BB"/>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379BB"/>
          <w:left w:val="nil"/>
          <w:bottom w:val="single" w:sz="8" w:space="0" w:color="A379BB"/>
          <w:right w:val="nil"/>
          <w:insideH w:val="nil"/>
          <w:insideV w:val="nil"/>
        </w:tcBorders>
      </w:tcPr>
    </w:tblStylePr>
    <w:tblStylePr w:type="lastRow">
      <w:pPr>
        <w:spacing w:before="0" w:after="0" w:line="240" w:lineRule="auto"/>
      </w:pPr>
      <w:rPr>
        <w:b/>
        <w:bCs/>
      </w:rPr>
      <w:tblPr/>
      <w:tcPr>
        <w:tcBorders>
          <w:top w:val="single" w:sz="8" w:space="0" w:color="A379BB"/>
          <w:left w:val="nil"/>
          <w:bottom w:val="single" w:sz="8" w:space="0" w:color="A379B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DDEE"/>
      </w:tcPr>
    </w:tblStylePr>
    <w:tblStylePr w:type="band1Horz">
      <w:tblPr/>
      <w:tcPr>
        <w:tcBorders>
          <w:left w:val="nil"/>
          <w:right w:val="nil"/>
          <w:insideH w:val="nil"/>
          <w:insideV w:val="nil"/>
        </w:tcBorders>
        <w:shd w:val="clear" w:color="auto" w:fill="E8DDEE"/>
      </w:tcPr>
    </w:tblStylePr>
  </w:style>
  <w:style w:type="character" w:customStyle="1" w:styleId="FootnoteReferenceLVL621">
    <w:name w:val="Footnote Reference_LVL621"/>
    <w:basedOn w:val="DefaultParagraphFont"/>
    <w:uiPriority w:val="99"/>
    <w:unhideWhenUsed/>
    <w:qFormat/>
    <w:rsid w:val="00A31296"/>
    <w:rPr>
      <w:rFonts w:ascii="Calibri" w:hAnsi="Calibri"/>
      <w:sz w:val="20"/>
      <w:vertAlign w:val="superscript"/>
    </w:rPr>
  </w:style>
  <w:style w:type="paragraph" w:customStyle="1" w:styleId="NbpageMoens1">
    <w:name w:val="Nbpage Moens1"/>
    <w:basedOn w:val="Normal"/>
    <w:next w:val="FootnoteText"/>
    <w:uiPriority w:val="99"/>
    <w:unhideWhenUsed/>
    <w:rsid w:val="00A31296"/>
    <w:pPr>
      <w:spacing w:after="0" w:line="240" w:lineRule="auto"/>
    </w:pPr>
    <w:rPr>
      <w:rFonts w:eastAsia="Times New Roman"/>
      <w:sz w:val="18"/>
    </w:rPr>
  </w:style>
  <w:style w:type="paragraph" w:customStyle="1" w:styleId="ListBullet1">
    <w:name w:val="List Bullet1"/>
    <w:basedOn w:val="Normal"/>
    <w:next w:val="ListBullet"/>
    <w:uiPriority w:val="99"/>
    <w:unhideWhenUsed/>
    <w:rsid w:val="00A31296"/>
    <w:pPr>
      <w:tabs>
        <w:tab w:val="num" w:pos="360"/>
      </w:tabs>
      <w:ind w:left="360" w:hanging="360"/>
      <w:contextualSpacing/>
    </w:pPr>
    <w:rPr>
      <w:rFonts w:eastAsia="Times New Roman"/>
    </w:rPr>
  </w:style>
  <w:style w:type="character" w:customStyle="1" w:styleId="Hyperlink1">
    <w:name w:val="Hyperlink1"/>
    <w:basedOn w:val="DefaultParagraphFont"/>
    <w:uiPriority w:val="99"/>
    <w:unhideWhenUsed/>
    <w:rsid w:val="00A31296"/>
    <w:rPr>
      <w:color w:val="410082"/>
      <w:u w:val="single"/>
    </w:rPr>
  </w:style>
  <w:style w:type="character" w:styleId="FollowedHyperlink">
    <w:name w:val="FollowedHyperlink"/>
    <w:basedOn w:val="DefaultParagraphFont"/>
    <w:uiPriority w:val="99"/>
    <w:semiHidden/>
    <w:unhideWhenUsed/>
    <w:rsid w:val="00EA3BF7"/>
    <w:rPr>
      <w:color w:val="932968"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E34"/>
    <w:pPr>
      <w:jc w:val="both"/>
    </w:pPr>
    <w:rPr>
      <w:rFonts w:eastAsiaTheme="minorEastAsia"/>
      <w:szCs w:val="20"/>
      <w:lang w:bidi="en-US"/>
    </w:rPr>
  </w:style>
  <w:style w:type="paragraph" w:styleId="Heading1">
    <w:name w:val="heading 1"/>
    <w:basedOn w:val="Normal"/>
    <w:next w:val="Normal"/>
    <w:link w:val="Heading1Char"/>
    <w:uiPriority w:val="9"/>
    <w:qFormat/>
    <w:rsid w:val="0060503D"/>
    <w:pPr>
      <w:keepNext/>
      <w:keepLines/>
      <w:spacing w:before="720" w:after="240" w:line="240" w:lineRule="auto"/>
      <w:outlineLvl w:val="0"/>
    </w:pPr>
    <w:rPr>
      <w:rFonts w:eastAsiaTheme="majorEastAsia" w:cstheme="minorHAnsi"/>
      <w:b/>
      <w:bCs/>
      <w:sz w:val="32"/>
      <w:szCs w:val="32"/>
    </w:rPr>
  </w:style>
  <w:style w:type="paragraph" w:styleId="Heading2">
    <w:name w:val="heading 2"/>
    <w:basedOn w:val="Normal"/>
    <w:next w:val="Normal"/>
    <w:link w:val="Heading2Char"/>
    <w:uiPriority w:val="9"/>
    <w:unhideWhenUsed/>
    <w:qFormat/>
    <w:rsid w:val="00084729"/>
    <w:pPr>
      <w:keepNext/>
      <w:keepLines/>
      <w:spacing w:before="360" w:after="120" w:line="240" w:lineRule="auto"/>
      <w:outlineLvl w:val="1"/>
    </w:pPr>
    <w:rPr>
      <w:rFonts w:eastAsiaTheme="majorEastAsia" w:cstheme="minorHAnsi"/>
      <w:b/>
      <w:bCs/>
      <w:i/>
      <w:color w:val="300061" w:themeColor="accent3" w:themeShade="BF"/>
      <w:sz w:val="26"/>
      <w:szCs w:val="26"/>
    </w:rPr>
  </w:style>
  <w:style w:type="paragraph" w:styleId="Heading3">
    <w:name w:val="heading 3"/>
    <w:basedOn w:val="Normal"/>
    <w:next w:val="Normal"/>
    <w:link w:val="Heading3Char"/>
    <w:uiPriority w:val="9"/>
    <w:unhideWhenUsed/>
    <w:qFormat/>
    <w:rsid w:val="00F14DDD"/>
    <w:pPr>
      <w:keepNext/>
      <w:keepLines/>
      <w:spacing w:before="200" w:after="0" w:line="480" w:lineRule="auto"/>
      <w:outlineLvl w:val="2"/>
    </w:pPr>
    <w:rPr>
      <w:rFonts w:eastAsiaTheme="majorEastAsia" w:cstheme="majorBidi"/>
      <w:b/>
      <w:bCs/>
      <w:i/>
      <w:color w:val="410082" w:themeColor="text1"/>
    </w:rPr>
  </w:style>
  <w:style w:type="paragraph" w:styleId="Heading4">
    <w:name w:val="heading 4"/>
    <w:basedOn w:val="Normal"/>
    <w:next w:val="Normal"/>
    <w:link w:val="Heading4Char"/>
    <w:uiPriority w:val="9"/>
    <w:unhideWhenUsed/>
    <w:qFormat/>
    <w:rsid w:val="008B1292"/>
    <w:pPr>
      <w:keepNext/>
      <w:keepLines/>
      <w:spacing w:before="200" w:after="0"/>
      <w:outlineLvl w:val="3"/>
    </w:pPr>
    <w:rPr>
      <w:rFonts w:eastAsiaTheme="majorEastAsia" w:cstheme="majorBidi"/>
      <w:b/>
      <w:bCs/>
      <w:i/>
      <w:iCs/>
      <w:color w:val="7D4D99" w:themeColor="accent1"/>
      <w:sz w:val="20"/>
    </w:rPr>
  </w:style>
  <w:style w:type="paragraph" w:styleId="Heading5">
    <w:name w:val="heading 5"/>
    <w:basedOn w:val="Normal"/>
    <w:next w:val="Normal"/>
    <w:link w:val="Heading5Char"/>
    <w:uiPriority w:val="9"/>
    <w:unhideWhenUsed/>
    <w:qFormat/>
    <w:rsid w:val="0060503D"/>
    <w:pPr>
      <w:keepNext/>
      <w:keepLines/>
      <w:spacing w:before="200" w:after="0" w:line="240" w:lineRule="auto"/>
      <w:ind w:left="1008" w:hanging="1008"/>
      <w:outlineLvl w:val="4"/>
    </w:pPr>
    <w:rPr>
      <w:rFonts w:asciiTheme="majorHAnsi" w:eastAsiaTheme="majorEastAsia" w:hAnsiTheme="majorHAnsi" w:cstheme="majorBidi"/>
      <w:color w:val="3E264C" w:themeColor="accent1" w:themeShade="7F"/>
    </w:rPr>
  </w:style>
  <w:style w:type="paragraph" w:styleId="Heading6">
    <w:name w:val="heading 6"/>
    <w:basedOn w:val="Normal"/>
    <w:next w:val="Normal"/>
    <w:link w:val="Heading6Char"/>
    <w:uiPriority w:val="9"/>
    <w:unhideWhenUsed/>
    <w:qFormat/>
    <w:rsid w:val="0060503D"/>
    <w:pPr>
      <w:keepNext/>
      <w:keepLines/>
      <w:spacing w:before="200" w:after="0" w:line="240" w:lineRule="auto"/>
      <w:ind w:left="1152" w:hanging="1152"/>
      <w:outlineLvl w:val="5"/>
    </w:pPr>
    <w:rPr>
      <w:rFonts w:asciiTheme="majorHAnsi" w:eastAsiaTheme="majorEastAsia" w:hAnsiTheme="majorHAnsi" w:cstheme="majorBidi"/>
      <w:i/>
      <w:iCs/>
      <w:color w:val="3E264C" w:themeColor="accent1" w:themeShade="7F"/>
    </w:rPr>
  </w:style>
  <w:style w:type="paragraph" w:styleId="Heading7">
    <w:name w:val="heading 7"/>
    <w:basedOn w:val="Normal"/>
    <w:next w:val="Normal"/>
    <w:link w:val="Heading7Char"/>
    <w:uiPriority w:val="9"/>
    <w:unhideWhenUsed/>
    <w:qFormat/>
    <w:rsid w:val="0060503D"/>
    <w:pPr>
      <w:keepNext/>
      <w:keepLines/>
      <w:spacing w:before="200" w:after="0" w:line="240" w:lineRule="auto"/>
      <w:ind w:left="1296" w:hanging="1296"/>
      <w:outlineLvl w:val="6"/>
    </w:pPr>
    <w:rPr>
      <w:rFonts w:asciiTheme="majorHAnsi" w:eastAsiaTheme="majorEastAsia" w:hAnsiTheme="majorHAnsi" w:cstheme="majorBidi"/>
      <w:i/>
      <w:iCs/>
      <w:color w:val="7000E1" w:themeColor="text1" w:themeTint="BF"/>
    </w:rPr>
  </w:style>
  <w:style w:type="paragraph" w:styleId="Heading8">
    <w:name w:val="heading 8"/>
    <w:basedOn w:val="Normal"/>
    <w:next w:val="Normal"/>
    <w:link w:val="Heading8Char"/>
    <w:uiPriority w:val="9"/>
    <w:unhideWhenUsed/>
    <w:qFormat/>
    <w:rsid w:val="0060503D"/>
    <w:pPr>
      <w:keepNext/>
      <w:keepLines/>
      <w:spacing w:before="200" w:after="0" w:line="240" w:lineRule="auto"/>
      <w:ind w:left="1440" w:hanging="1440"/>
      <w:outlineLvl w:val="7"/>
    </w:pPr>
    <w:rPr>
      <w:rFonts w:asciiTheme="majorHAnsi" w:eastAsiaTheme="majorEastAsia" w:hAnsiTheme="majorHAnsi" w:cstheme="majorBidi"/>
      <w:color w:val="7000E1" w:themeColor="text1" w:themeTint="BF"/>
    </w:rPr>
  </w:style>
  <w:style w:type="paragraph" w:styleId="Heading9">
    <w:name w:val="heading 9"/>
    <w:basedOn w:val="Normal"/>
    <w:next w:val="Normal"/>
    <w:link w:val="Heading9Char"/>
    <w:uiPriority w:val="9"/>
    <w:unhideWhenUsed/>
    <w:qFormat/>
    <w:rsid w:val="0060503D"/>
    <w:pPr>
      <w:keepNext/>
      <w:keepLines/>
      <w:spacing w:before="200" w:after="0" w:line="240" w:lineRule="auto"/>
      <w:ind w:left="1584" w:hanging="1584"/>
      <w:outlineLvl w:val="8"/>
    </w:pPr>
    <w:rPr>
      <w:rFonts w:asciiTheme="majorHAnsi" w:eastAsiaTheme="majorEastAsia" w:hAnsiTheme="majorHAnsi" w:cstheme="majorBidi"/>
      <w:i/>
      <w:iCs/>
      <w:color w:val="7000E1"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
    <w:basedOn w:val="Normal"/>
    <w:link w:val="ListParagraphChar"/>
    <w:uiPriority w:val="34"/>
    <w:qFormat/>
    <w:rsid w:val="0060503D"/>
    <w:pPr>
      <w:ind w:left="720"/>
      <w:contextualSpacing/>
    </w:pPr>
  </w:style>
  <w:style w:type="paragraph" w:styleId="Header">
    <w:name w:val="header"/>
    <w:basedOn w:val="Normal"/>
    <w:link w:val="HeaderChar"/>
    <w:uiPriority w:val="99"/>
    <w:unhideWhenUsed/>
    <w:rsid w:val="006050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03D"/>
  </w:style>
  <w:style w:type="paragraph" w:styleId="Footer">
    <w:name w:val="footer"/>
    <w:basedOn w:val="Normal"/>
    <w:link w:val="FooterChar"/>
    <w:uiPriority w:val="99"/>
    <w:unhideWhenUsed/>
    <w:rsid w:val="006050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503D"/>
    <w:rPr>
      <w:rFonts w:eastAsiaTheme="minorEastAsia"/>
    </w:rPr>
  </w:style>
  <w:style w:type="paragraph" w:styleId="BalloonText">
    <w:name w:val="Balloon Text"/>
    <w:basedOn w:val="Normal"/>
    <w:link w:val="BalloonTextChar"/>
    <w:uiPriority w:val="99"/>
    <w:semiHidden/>
    <w:unhideWhenUsed/>
    <w:rsid w:val="00605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503D"/>
    <w:rPr>
      <w:rFonts w:ascii="Tahoma" w:hAnsi="Tahoma" w:cs="Tahoma"/>
      <w:sz w:val="16"/>
      <w:szCs w:val="16"/>
    </w:rPr>
  </w:style>
  <w:style w:type="table" w:styleId="TableGrid">
    <w:name w:val="Table Grid"/>
    <w:basedOn w:val="TableNormal"/>
    <w:uiPriority w:val="59"/>
    <w:rsid w:val="006050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6">
    <w:name w:val="Light Shading Accent 6"/>
    <w:basedOn w:val="TableNormal"/>
    <w:uiPriority w:val="60"/>
    <w:rsid w:val="0060503D"/>
    <w:pPr>
      <w:spacing w:after="0" w:line="240" w:lineRule="auto"/>
    </w:pPr>
    <w:rPr>
      <w:color w:val="7D4D98" w:themeColor="accent6" w:themeShade="BF"/>
    </w:rPr>
    <w:tblPr>
      <w:tblStyleRowBandSize w:val="1"/>
      <w:tblStyleColBandSize w:val="1"/>
      <w:tblInd w:w="0" w:type="dxa"/>
      <w:tblBorders>
        <w:top w:val="single" w:sz="8" w:space="0" w:color="A379BB" w:themeColor="accent6"/>
        <w:bottom w:val="single" w:sz="8" w:space="0" w:color="A379BB"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379BB" w:themeColor="accent6"/>
          <w:left w:val="nil"/>
          <w:bottom w:val="single" w:sz="8" w:space="0" w:color="A379BB" w:themeColor="accent6"/>
          <w:right w:val="nil"/>
          <w:insideH w:val="nil"/>
          <w:insideV w:val="nil"/>
        </w:tcBorders>
      </w:tcPr>
    </w:tblStylePr>
    <w:tblStylePr w:type="lastRow">
      <w:pPr>
        <w:spacing w:before="0" w:after="0" w:line="240" w:lineRule="auto"/>
      </w:pPr>
      <w:rPr>
        <w:b/>
        <w:bCs/>
      </w:rPr>
      <w:tblPr/>
      <w:tcPr>
        <w:tcBorders>
          <w:top w:val="single" w:sz="8" w:space="0" w:color="A379BB" w:themeColor="accent6"/>
          <w:left w:val="nil"/>
          <w:bottom w:val="single" w:sz="8" w:space="0" w:color="A379B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DDEE" w:themeFill="accent6" w:themeFillTint="3F"/>
      </w:tcPr>
    </w:tblStylePr>
    <w:tblStylePr w:type="band1Horz">
      <w:tblPr/>
      <w:tcPr>
        <w:tcBorders>
          <w:left w:val="nil"/>
          <w:right w:val="nil"/>
          <w:insideH w:val="nil"/>
          <w:insideV w:val="nil"/>
        </w:tcBorders>
        <w:shd w:val="clear" w:color="auto" w:fill="E8DDEE" w:themeFill="accent6" w:themeFillTint="3F"/>
      </w:tcPr>
    </w:tblStylePr>
  </w:style>
  <w:style w:type="character" w:customStyle="1" w:styleId="Heading2Char">
    <w:name w:val="Heading 2 Char"/>
    <w:basedOn w:val="DefaultParagraphFont"/>
    <w:link w:val="Heading2"/>
    <w:uiPriority w:val="9"/>
    <w:rsid w:val="00084729"/>
    <w:rPr>
      <w:rFonts w:eastAsiaTheme="majorEastAsia" w:cstheme="minorHAnsi"/>
      <w:b/>
      <w:bCs/>
      <w:i/>
      <w:color w:val="300061" w:themeColor="accent3" w:themeShade="BF"/>
      <w:sz w:val="26"/>
      <w:szCs w:val="26"/>
      <w:lang w:bidi="en-US"/>
    </w:rPr>
  </w:style>
  <w:style w:type="character" w:styleId="FootnoteReference">
    <w:name w:val="footnote reference"/>
    <w:aliases w:val="ftref,16 Point,Superscript 6 Point,BVI fnr,Знак сноски-FN,Footnote Reference Superscript,Footnote symbol,???? ??????-FN,Footnote Reference Number,Footnote Reference_LVL6,Footnote Reference_LVL61,Footnote Reference_LVL62"/>
    <w:basedOn w:val="DefaultParagraphFont"/>
    <w:uiPriority w:val="99"/>
    <w:unhideWhenUsed/>
    <w:qFormat/>
    <w:rsid w:val="00946FB5"/>
    <w:rPr>
      <w:rFonts w:asciiTheme="minorHAnsi" w:hAnsiTheme="minorHAnsi"/>
      <w:sz w:val="20"/>
      <w:vertAlign w:val="superscript"/>
    </w:rPr>
  </w:style>
  <w:style w:type="paragraph" w:styleId="FootnoteText">
    <w:name w:val="footnote text"/>
    <w:aliases w:val="single space,ft,fn,FOOTNOTES,ALTS FOOTNOTE,ADB,Footnote Text Char Char Char,Footnote Text1 Char,Footnote Text2,Footnote Text Char Char Char1 Char,Footnote Text Char Char Char1,footnote text,Geneva 9,Font: Geneva 9,Boston 10,f,Nbpage Moens"/>
    <w:basedOn w:val="Normal"/>
    <w:link w:val="FootnoteTextChar"/>
    <w:uiPriority w:val="99"/>
    <w:unhideWhenUsed/>
    <w:rsid w:val="0060503D"/>
    <w:pPr>
      <w:spacing w:after="0" w:line="240" w:lineRule="auto"/>
    </w:pPr>
    <w:rPr>
      <w:sz w:val="18"/>
    </w:rPr>
  </w:style>
  <w:style w:type="character" w:customStyle="1" w:styleId="FootnoteTextChar">
    <w:name w:val="Footnote Text Char"/>
    <w:aliases w:val="single space Char,ft Char,fn Char,FOOTNOTES Char,ALTS FOOTNOTE Char,ADB Char,Footnote Text Char Char Char Char,Footnote Text1 Char Char,Footnote Text2 Char,Footnote Text Char Char Char1 Char Char,Footnote Text Char Char Char1 Char1"/>
    <w:basedOn w:val="DefaultParagraphFont"/>
    <w:link w:val="FootnoteText"/>
    <w:uiPriority w:val="99"/>
    <w:rsid w:val="0060503D"/>
    <w:rPr>
      <w:sz w:val="18"/>
      <w:szCs w:val="20"/>
    </w:rPr>
  </w:style>
  <w:style w:type="character" w:styleId="CommentReference">
    <w:name w:val="annotation reference"/>
    <w:basedOn w:val="DefaultParagraphFont"/>
    <w:uiPriority w:val="99"/>
    <w:semiHidden/>
    <w:unhideWhenUsed/>
    <w:rsid w:val="0060503D"/>
    <w:rPr>
      <w:sz w:val="16"/>
      <w:szCs w:val="16"/>
    </w:rPr>
  </w:style>
  <w:style w:type="paragraph" w:styleId="CommentText">
    <w:name w:val="annotation text"/>
    <w:basedOn w:val="Normal"/>
    <w:link w:val="CommentTextChar"/>
    <w:uiPriority w:val="99"/>
    <w:unhideWhenUsed/>
    <w:rsid w:val="0060503D"/>
    <w:pPr>
      <w:spacing w:line="240" w:lineRule="auto"/>
    </w:pPr>
  </w:style>
  <w:style w:type="character" w:customStyle="1" w:styleId="CommentTextChar">
    <w:name w:val="Comment Text Char"/>
    <w:basedOn w:val="DefaultParagraphFont"/>
    <w:link w:val="CommentText"/>
    <w:uiPriority w:val="99"/>
    <w:rsid w:val="0060503D"/>
    <w:rPr>
      <w:sz w:val="20"/>
      <w:szCs w:val="20"/>
    </w:rPr>
  </w:style>
  <w:style w:type="paragraph" w:styleId="CommentSubject">
    <w:name w:val="annotation subject"/>
    <w:basedOn w:val="CommentText"/>
    <w:next w:val="CommentText"/>
    <w:link w:val="CommentSubjectChar"/>
    <w:uiPriority w:val="99"/>
    <w:semiHidden/>
    <w:unhideWhenUsed/>
    <w:rsid w:val="0060503D"/>
    <w:rPr>
      <w:b/>
      <w:bCs/>
    </w:rPr>
  </w:style>
  <w:style w:type="character" w:customStyle="1" w:styleId="CommentSubjectChar">
    <w:name w:val="Comment Subject Char"/>
    <w:basedOn w:val="CommentTextChar"/>
    <w:link w:val="CommentSubject"/>
    <w:uiPriority w:val="99"/>
    <w:semiHidden/>
    <w:rsid w:val="0060503D"/>
    <w:rPr>
      <w:b/>
      <w:bCs/>
      <w:sz w:val="20"/>
      <w:szCs w:val="20"/>
    </w:rPr>
  </w:style>
  <w:style w:type="paragraph" w:styleId="DocumentMap">
    <w:name w:val="Document Map"/>
    <w:basedOn w:val="Normal"/>
    <w:link w:val="DocumentMapChar"/>
    <w:uiPriority w:val="99"/>
    <w:semiHidden/>
    <w:unhideWhenUsed/>
    <w:rsid w:val="0060503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0503D"/>
    <w:rPr>
      <w:rFonts w:ascii="Tahoma" w:hAnsi="Tahoma" w:cs="Tahoma"/>
      <w:sz w:val="16"/>
      <w:szCs w:val="16"/>
    </w:rPr>
  </w:style>
  <w:style w:type="paragraph" w:styleId="Caption">
    <w:name w:val="caption"/>
    <w:basedOn w:val="Normal"/>
    <w:next w:val="Normal"/>
    <w:uiPriority w:val="35"/>
    <w:unhideWhenUsed/>
    <w:qFormat/>
    <w:rsid w:val="0060503D"/>
    <w:pPr>
      <w:spacing w:line="240" w:lineRule="auto"/>
    </w:pPr>
    <w:rPr>
      <w:b/>
      <w:bCs/>
      <w:color w:val="7D4D99" w:themeColor="accent1"/>
      <w:sz w:val="18"/>
      <w:szCs w:val="18"/>
    </w:rPr>
  </w:style>
  <w:style w:type="paragraph" w:styleId="NoSpacing">
    <w:name w:val="No Spacing"/>
    <w:link w:val="NoSpacingChar"/>
    <w:qFormat/>
    <w:rsid w:val="0060503D"/>
    <w:pPr>
      <w:spacing w:after="0" w:line="240" w:lineRule="auto"/>
    </w:pPr>
    <w:rPr>
      <w:rFonts w:eastAsiaTheme="minorEastAsia"/>
    </w:rPr>
  </w:style>
  <w:style w:type="character" w:customStyle="1" w:styleId="NoSpacingChar">
    <w:name w:val="No Spacing Char"/>
    <w:basedOn w:val="DefaultParagraphFont"/>
    <w:link w:val="NoSpacing"/>
    <w:rsid w:val="0060503D"/>
    <w:rPr>
      <w:rFonts w:eastAsiaTheme="minorEastAsia"/>
    </w:rPr>
  </w:style>
  <w:style w:type="paragraph" w:styleId="Revision">
    <w:name w:val="Revision"/>
    <w:hidden/>
    <w:uiPriority w:val="99"/>
    <w:rsid w:val="00F63639"/>
    <w:pPr>
      <w:spacing w:after="0" w:line="240" w:lineRule="auto"/>
    </w:pPr>
  </w:style>
  <w:style w:type="paragraph" w:customStyle="1" w:styleId="Default">
    <w:name w:val="Default"/>
    <w:rsid w:val="0060503D"/>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Emphasis">
    <w:name w:val="Emphasis"/>
    <w:basedOn w:val="DefaultParagraphFont"/>
    <w:uiPriority w:val="20"/>
    <w:qFormat/>
    <w:rsid w:val="0060503D"/>
    <w:rPr>
      <w:i/>
      <w:iCs/>
    </w:rPr>
  </w:style>
  <w:style w:type="character" w:styleId="Strong">
    <w:name w:val="Strong"/>
    <w:basedOn w:val="DefaultParagraphFont"/>
    <w:uiPriority w:val="22"/>
    <w:qFormat/>
    <w:rsid w:val="0060503D"/>
    <w:rPr>
      <w:b/>
      <w:bCs/>
    </w:rPr>
  </w:style>
  <w:style w:type="paragraph" w:styleId="ListBullet">
    <w:name w:val="List Bullet"/>
    <w:basedOn w:val="Normal"/>
    <w:uiPriority w:val="99"/>
    <w:unhideWhenUsed/>
    <w:rsid w:val="0060503D"/>
    <w:pPr>
      <w:numPr>
        <w:numId w:val="3"/>
      </w:numPr>
      <w:contextualSpacing/>
    </w:pPr>
  </w:style>
  <w:style w:type="character" w:customStyle="1" w:styleId="Heading1Char">
    <w:name w:val="Heading 1 Char"/>
    <w:basedOn w:val="DefaultParagraphFont"/>
    <w:link w:val="Heading1"/>
    <w:uiPriority w:val="9"/>
    <w:rsid w:val="0060503D"/>
    <w:rPr>
      <w:rFonts w:eastAsiaTheme="majorEastAsia" w:cstheme="minorHAnsi"/>
      <w:b/>
      <w:bCs/>
      <w:sz w:val="32"/>
      <w:szCs w:val="32"/>
      <w:lang w:bidi="en-US"/>
    </w:rPr>
  </w:style>
  <w:style w:type="character" w:customStyle="1" w:styleId="Heading3Char">
    <w:name w:val="Heading 3 Char"/>
    <w:basedOn w:val="DefaultParagraphFont"/>
    <w:link w:val="Heading3"/>
    <w:uiPriority w:val="9"/>
    <w:rsid w:val="00F14DDD"/>
    <w:rPr>
      <w:rFonts w:eastAsiaTheme="majorEastAsia" w:cstheme="majorBidi"/>
      <w:b/>
      <w:bCs/>
      <w:i/>
      <w:color w:val="410082" w:themeColor="text1"/>
      <w:szCs w:val="20"/>
      <w:lang w:bidi="en-US"/>
    </w:rPr>
  </w:style>
  <w:style w:type="character" w:customStyle="1" w:styleId="Heading4Char">
    <w:name w:val="Heading 4 Char"/>
    <w:basedOn w:val="DefaultParagraphFont"/>
    <w:link w:val="Heading4"/>
    <w:uiPriority w:val="9"/>
    <w:rsid w:val="008B1292"/>
    <w:rPr>
      <w:rFonts w:eastAsiaTheme="majorEastAsia" w:cstheme="majorBidi"/>
      <w:b/>
      <w:bCs/>
      <w:i/>
      <w:iCs/>
      <w:color w:val="7D4D99" w:themeColor="accent1"/>
      <w:sz w:val="20"/>
      <w:szCs w:val="20"/>
      <w:lang w:bidi="en-US"/>
    </w:rPr>
  </w:style>
  <w:style w:type="paragraph" w:styleId="EndnoteText">
    <w:name w:val="endnote text"/>
    <w:basedOn w:val="Normal"/>
    <w:link w:val="EndnoteTextChar"/>
    <w:uiPriority w:val="99"/>
    <w:unhideWhenUsed/>
    <w:rsid w:val="0060503D"/>
    <w:pPr>
      <w:spacing w:after="0" w:line="240" w:lineRule="auto"/>
    </w:pPr>
  </w:style>
  <w:style w:type="character" w:customStyle="1" w:styleId="EndnoteTextChar">
    <w:name w:val="Endnote Text Char"/>
    <w:basedOn w:val="DefaultParagraphFont"/>
    <w:link w:val="EndnoteText"/>
    <w:uiPriority w:val="99"/>
    <w:rsid w:val="0060503D"/>
    <w:rPr>
      <w:sz w:val="20"/>
      <w:szCs w:val="20"/>
    </w:rPr>
  </w:style>
  <w:style w:type="character" w:styleId="EndnoteReference">
    <w:name w:val="endnote reference"/>
    <w:basedOn w:val="DefaultParagraphFont"/>
    <w:uiPriority w:val="99"/>
    <w:unhideWhenUsed/>
    <w:rsid w:val="0060503D"/>
    <w:rPr>
      <w:vertAlign w:val="superscript"/>
    </w:rPr>
  </w:style>
  <w:style w:type="paragraph" w:styleId="Bibliography">
    <w:name w:val="Bibliography"/>
    <w:basedOn w:val="Normal"/>
    <w:next w:val="Normal"/>
    <w:uiPriority w:val="37"/>
    <w:unhideWhenUsed/>
    <w:rsid w:val="0060503D"/>
  </w:style>
  <w:style w:type="paragraph" w:customStyle="1" w:styleId="Bodytext">
    <w:name w:val="Bodytext"/>
    <w:basedOn w:val="Normal"/>
    <w:uiPriority w:val="99"/>
    <w:rsid w:val="0060503D"/>
    <w:pPr>
      <w:spacing w:after="120" w:line="240" w:lineRule="auto"/>
    </w:pPr>
    <w:rPr>
      <w:rFonts w:cstheme="minorHAnsi"/>
    </w:rPr>
  </w:style>
  <w:style w:type="paragraph" w:customStyle="1" w:styleId="Bodytextannex">
    <w:name w:val="Bodytextannex"/>
    <w:basedOn w:val="Normal"/>
    <w:rsid w:val="0060503D"/>
    <w:pPr>
      <w:spacing w:after="120" w:line="240" w:lineRule="auto"/>
    </w:pPr>
    <w:rPr>
      <w:rFonts w:ascii="Times New Roman" w:hAnsi="Times New Roman" w:cs="Times New Roman"/>
      <w:sz w:val="24"/>
      <w:szCs w:val="24"/>
    </w:rPr>
  </w:style>
  <w:style w:type="paragraph" w:customStyle="1" w:styleId="Boxtext">
    <w:name w:val="Boxtext"/>
    <w:basedOn w:val="Bodytext"/>
    <w:rsid w:val="0060503D"/>
    <w:pPr>
      <w:shd w:val="clear" w:color="auto" w:fill="D4DDF2" w:themeFill="accent5" w:themeFillTint="33"/>
    </w:pPr>
  </w:style>
  <w:style w:type="paragraph" w:customStyle="1" w:styleId="Boxbullet">
    <w:name w:val="Boxbullet"/>
    <w:basedOn w:val="Boxtext"/>
    <w:rsid w:val="0060503D"/>
    <w:pPr>
      <w:numPr>
        <w:numId w:val="1"/>
      </w:numPr>
      <w:contextualSpacing/>
    </w:pPr>
  </w:style>
  <w:style w:type="paragraph" w:customStyle="1" w:styleId="Boxtitle">
    <w:name w:val="Boxtitle"/>
    <w:basedOn w:val="Caption"/>
    <w:rsid w:val="0060503D"/>
    <w:pPr>
      <w:keepNext/>
      <w:shd w:val="clear" w:color="auto" w:fill="D4DDF2" w:themeFill="accent5" w:themeFillTint="33"/>
      <w:spacing w:before="240"/>
      <w:jc w:val="center"/>
    </w:pPr>
    <w:rPr>
      <w:rFonts w:cstheme="minorHAnsi"/>
      <w:color w:val="410082" w:themeColor="text1"/>
      <w:sz w:val="22"/>
      <w:szCs w:val="20"/>
    </w:rPr>
  </w:style>
  <w:style w:type="paragraph" w:customStyle="1" w:styleId="Bullet">
    <w:name w:val="Bullet"/>
    <w:basedOn w:val="ListParagraph"/>
    <w:rsid w:val="0060503D"/>
    <w:pPr>
      <w:numPr>
        <w:numId w:val="2"/>
      </w:numPr>
      <w:spacing w:after="120" w:line="240" w:lineRule="auto"/>
    </w:pPr>
    <w:rPr>
      <w:rFonts w:cstheme="minorHAnsi"/>
    </w:rPr>
  </w:style>
  <w:style w:type="paragraph" w:customStyle="1" w:styleId="Figtitle">
    <w:name w:val="Figtitle"/>
    <w:basedOn w:val="Caption"/>
    <w:rsid w:val="0060503D"/>
    <w:pPr>
      <w:keepNext/>
      <w:spacing w:before="240" w:after="60"/>
    </w:pPr>
    <w:rPr>
      <w:rFonts w:cstheme="minorHAnsi"/>
      <w:color w:val="410082" w:themeColor="text1"/>
      <w:sz w:val="22"/>
      <w:szCs w:val="22"/>
    </w:rPr>
  </w:style>
  <w:style w:type="paragraph" w:customStyle="1" w:styleId="Refs">
    <w:name w:val="Refs"/>
    <w:basedOn w:val="Normal"/>
    <w:rsid w:val="0060503D"/>
    <w:pPr>
      <w:spacing w:after="60" w:line="240" w:lineRule="auto"/>
      <w:ind w:left="720" w:hanging="720"/>
    </w:pPr>
    <w:rPr>
      <w:rFonts w:cstheme="minorHAnsi"/>
    </w:rPr>
  </w:style>
  <w:style w:type="paragraph" w:customStyle="1" w:styleId="Tabletitle">
    <w:name w:val="Tabletitle"/>
    <w:basedOn w:val="Normal"/>
    <w:uiPriority w:val="99"/>
    <w:rsid w:val="0060503D"/>
    <w:pPr>
      <w:keepNext/>
      <w:spacing w:before="240" w:after="60" w:line="240" w:lineRule="auto"/>
    </w:pPr>
    <w:rPr>
      <w:b/>
    </w:rPr>
  </w:style>
  <w:style w:type="paragraph" w:styleId="Title">
    <w:name w:val="Title"/>
    <w:basedOn w:val="Normal"/>
    <w:next w:val="Normal"/>
    <w:link w:val="TitleChar"/>
    <w:uiPriority w:val="10"/>
    <w:qFormat/>
    <w:rsid w:val="0060503D"/>
    <w:pPr>
      <w:pBdr>
        <w:bottom w:val="single" w:sz="8" w:space="4" w:color="7D4D99" w:themeColor="accent1"/>
      </w:pBdr>
      <w:spacing w:after="300" w:line="240" w:lineRule="auto"/>
      <w:contextualSpacing/>
    </w:pPr>
    <w:rPr>
      <w:rFonts w:eastAsiaTheme="majorEastAsia" w:cstheme="minorHAnsi"/>
      <w:color w:val="4E4D51" w:themeColor="text2" w:themeShade="BF"/>
      <w:spacing w:val="5"/>
      <w:kern w:val="28"/>
      <w:sz w:val="52"/>
      <w:szCs w:val="52"/>
    </w:rPr>
  </w:style>
  <w:style w:type="character" w:customStyle="1" w:styleId="TitleChar">
    <w:name w:val="Title Char"/>
    <w:basedOn w:val="DefaultParagraphFont"/>
    <w:link w:val="Title"/>
    <w:uiPriority w:val="10"/>
    <w:rsid w:val="0060503D"/>
    <w:rPr>
      <w:rFonts w:eastAsiaTheme="majorEastAsia" w:cstheme="minorHAnsi"/>
      <w:color w:val="4E4D51" w:themeColor="text2" w:themeShade="BF"/>
      <w:spacing w:val="5"/>
      <w:kern w:val="28"/>
      <w:sz w:val="52"/>
      <w:szCs w:val="52"/>
    </w:rPr>
  </w:style>
  <w:style w:type="paragraph" w:styleId="TOC1">
    <w:name w:val="toc 1"/>
    <w:basedOn w:val="Normal"/>
    <w:next w:val="Normal"/>
    <w:uiPriority w:val="39"/>
    <w:rsid w:val="0060503D"/>
    <w:pPr>
      <w:keepNext/>
      <w:tabs>
        <w:tab w:val="right" w:leader="dot" w:pos="9350"/>
      </w:tabs>
      <w:spacing w:before="240" w:after="120"/>
    </w:pPr>
    <w:rPr>
      <w:rFonts w:cstheme="minorHAnsi"/>
      <w:b/>
      <w:bCs/>
      <w:noProof/>
    </w:rPr>
  </w:style>
  <w:style w:type="paragraph" w:styleId="TOC2">
    <w:name w:val="toc 2"/>
    <w:basedOn w:val="Normal"/>
    <w:next w:val="Normal"/>
    <w:autoRedefine/>
    <w:uiPriority w:val="39"/>
    <w:unhideWhenUsed/>
    <w:rsid w:val="0060503D"/>
    <w:pPr>
      <w:spacing w:after="0" w:line="240" w:lineRule="auto"/>
      <w:ind w:left="216"/>
    </w:pPr>
  </w:style>
  <w:style w:type="paragraph" w:styleId="TOC3">
    <w:name w:val="toc 3"/>
    <w:basedOn w:val="Normal"/>
    <w:next w:val="Normal"/>
    <w:autoRedefine/>
    <w:uiPriority w:val="39"/>
    <w:unhideWhenUsed/>
    <w:rsid w:val="0060503D"/>
    <w:pPr>
      <w:spacing w:after="0"/>
      <w:ind w:left="440"/>
    </w:pPr>
    <w:rPr>
      <w:rFonts w:cstheme="minorHAnsi"/>
    </w:rPr>
  </w:style>
  <w:style w:type="paragraph" w:customStyle="1" w:styleId="Heading2notTOC">
    <w:name w:val="Heading 2notTOC"/>
    <w:basedOn w:val="Heading2"/>
    <w:rsid w:val="0060503D"/>
  </w:style>
  <w:style w:type="paragraph" w:styleId="TOCHeading">
    <w:name w:val="TOC Heading"/>
    <w:basedOn w:val="Heading1"/>
    <w:next w:val="Normal"/>
    <w:uiPriority w:val="39"/>
    <w:unhideWhenUsed/>
    <w:qFormat/>
    <w:rsid w:val="0060503D"/>
    <w:pPr>
      <w:spacing w:before="480" w:after="0" w:line="276" w:lineRule="auto"/>
      <w:outlineLvl w:val="9"/>
    </w:pPr>
    <w:rPr>
      <w:rFonts w:asciiTheme="majorHAnsi" w:hAnsiTheme="majorHAnsi" w:cstheme="majorBidi"/>
      <w:color w:val="5D3972" w:themeColor="accent1" w:themeShade="BF"/>
      <w:sz w:val="28"/>
      <w:szCs w:val="28"/>
      <w:lang w:eastAsia="ja-JP" w:bidi="ar-SA"/>
    </w:rPr>
  </w:style>
  <w:style w:type="character" w:styleId="Hyperlink">
    <w:name w:val="Hyperlink"/>
    <w:basedOn w:val="DefaultParagraphFont"/>
    <w:uiPriority w:val="99"/>
    <w:unhideWhenUsed/>
    <w:rsid w:val="0060503D"/>
    <w:rPr>
      <w:color w:val="410082" w:themeColor="hyperlink"/>
      <w:u w:val="single"/>
    </w:rPr>
  </w:style>
  <w:style w:type="character" w:customStyle="1" w:styleId="Heading5Char">
    <w:name w:val="Heading 5 Char"/>
    <w:basedOn w:val="DefaultParagraphFont"/>
    <w:link w:val="Heading5"/>
    <w:uiPriority w:val="9"/>
    <w:rsid w:val="0060503D"/>
    <w:rPr>
      <w:rFonts w:asciiTheme="majorHAnsi" w:eastAsiaTheme="majorEastAsia" w:hAnsiTheme="majorHAnsi" w:cstheme="majorBidi"/>
      <w:color w:val="3E264C" w:themeColor="accent1" w:themeShade="7F"/>
    </w:rPr>
  </w:style>
  <w:style w:type="character" w:customStyle="1" w:styleId="Heading6Char">
    <w:name w:val="Heading 6 Char"/>
    <w:basedOn w:val="DefaultParagraphFont"/>
    <w:link w:val="Heading6"/>
    <w:uiPriority w:val="9"/>
    <w:rsid w:val="0060503D"/>
    <w:rPr>
      <w:rFonts w:asciiTheme="majorHAnsi" w:eastAsiaTheme="majorEastAsia" w:hAnsiTheme="majorHAnsi" w:cstheme="majorBidi"/>
      <w:i/>
      <w:iCs/>
      <w:color w:val="3E264C" w:themeColor="accent1" w:themeShade="7F"/>
    </w:rPr>
  </w:style>
  <w:style w:type="character" w:customStyle="1" w:styleId="Heading7Char">
    <w:name w:val="Heading 7 Char"/>
    <w:basedOn w:val="DefaultParagraphFont"/>
    <w:link w:val="Heading7"/>
    <w:uiPriority w:val="9"/>
    <w:rsid w:val="0060503D"/>
    <w:rPr>
      <w:rFonts w:asciiTheme="majorHAnsi" w:eastAsiaTheme="majorEastAsia" w:hAnsiTheme="majorHAnsi" w:cstheme="majorBidi"/>
      <w:i/>
      <w:iCs/>
      <w:color w:val="7000E1" w:themeColor="text1" w:themeTint="BF"/>
    </w:rPr>
  </w:style>
  <w:style w:type="character" w:customStyle="1" w:styleId="Heading8Char">
    <w:name w:val="Heading 8 Char"/>
    <w:basedOn w:val="DefaultParagraphFont"/>
    <w:link w:val="Heading8"/>
    <w:uiPriority w:val="9"/>
    <w:rsid w:val="0060503D"/>
    <w:rPr>
      <w:rFonts w:asciiTheme="majorHAnsi" w:eastAsiaTheme="majorEastAsia" w:hAnsiTheme="majorHAnsi" w:cstheme="majorBidi"/>
      <w:color w:val="7000E1" w:themeColor="text1" w:themeTint="BF"/>
      <w:sz w:val="20"/>
      <w:szCs w:val="20"/>
    </w:rPr>
  </w:style>
  <w:style w:type="character" w:customStyle="1" w:styleId="Heading9Char">
    <w:name w:val="Heading 9 Char"/>
    <w:basedOn w:val="DefaultParagraphFont"/>
    <w:link w:val="Heading9"/>
    <w:uiPriority w:val="9"/>
    <w:rsid w:val="0060503D"/>
    <w:rPr>
      <w:rFonts w:asciiTheme="majorHAnsi" w:eastAsiaTheme="majorEastAsia" w:hAnsiTheme="majorHAnsi" w:cstheme="majorBidi"/>
      <w:i/>
      <w:iCs/>
      <w:color w:val="7000E1" w:themeColor="text1" w:themeTint="BF"/>
      <w:sz w:val="20"/>
      <w:szCs w:val="20"/>
    </w:rPr>
  </w:style>
  <w:style w:type="character" w:customStyle="1" w:styleId="BalloonTextChar2">
    <w:name w:val="Balloon Text Char2"/>
    <w:basedOn w:val="DefaultParagraphFont"/>
    <w:uiPriority w:val="99"/>
    <w:semiHidden/>
    <w:rsid w:val="0060503D"/>
    <w:rPr>
      <w:rFonts w:ascii="Lucida Grande" w:hAnsi="Lucida Grande"/>
      <w:sz w:val="18"/>
      <w:szCs w:val="18"/>
    </w:rPr>
  </w:style>
  <w:style w:type="character" w:customStyle="1" w:styleId="BalloonTextChar1">
    <w:name w:val="Balloon Text Char1"/>
    <w:basedOn w:val="DefaultParagraphFont"/>
    <w:uiPriority w:val="99"/>
    <w:semiHidden/>
    <w:rsid w:val="0060503D"/>
    <w:rPr>
      <w:rFonts w:ascii="Tahoma" w:hAnsi="Tahoma" w:cs="Tahoma"/>
      <w:sz w:val="16"/>
      <w:szCs w:val="16"/>
    </w:rPr>
  </w:style>
  <w:style w:type="table" w:customStyle="1" w:styleId="LightShading-Accent12">
    <w:name w:val="Light Shading - Accent 12"/>
    <w:basedOn w:val="TableNormal"/>
    <w:uiPriority w:val="60"/>
    <w:rsid w:val="0060503D"/>
    <w:pPr>
      <w:spacing w:after="0" w:line="240" w:lineRule="auto"/>
    </w:pPr>
    <w:rPr>
      <w:color w:val="5D3972" w:themeColor="accent1" w:themeShade="BF"/>
    </w:rPr>
    <w:tblPr>
      <w:tblStyleRowBandSize w:val="1"/>
      <w:tblStyleColBandSize w:val="1"/>
      <w:tblInd w:w="0" w:type="dxa"/>
      <w:tblBorders>
        <w:top w:val="single" w:sz="8" w:space="0" w:color="7D4D99" w:themeColor="accent1"/>
        <w:bottom w:val="single" w:sz="8" w:space="0" w:color="7D4D9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D4D99" w:themeColor="accent1"/>
          <w:left w:val="nil"/>
          <w:bottom w:val="single" w:sz="8" w:space="0" w:color="7D4D99" w:themeColor="accent1"/>
          <w:right w:val="nil"/>
          <w:insideH w:val="nil"/>
          <w:insideV w:val="nil"/>
        </w:tcBorders>
      </w:tcPr>
    </w:tblStylePr>
    <w:tblStylePr w:type="lastRow">
      <w:pPr>
        <w:spacing w:before="0" w:after="0" w:line="240" w:lineRule="auto"/>
      </w:pPr>
      <w:rPr>
        <w:b/>
        <w:bCs/>
      </w:rPr>
      <w:tblPr/>
      <w:tcPr>
        <w:tcBorders>
          <w:top w:val="single" w:sz="8" w:space="0" w:color="7D4D99" w:themeColor="accent1"/>
          <w:left w:val="nil"/>
          <w:bottom w:val="single" w:sz="8" w:space="0" w:color="7D4D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0E7" w:themeFill="accent1" w:themeFillTint="3F"/>
      </w:tcPr>
    </w:tblStylePr>
    <w:tblStylePr w:type="band1Horz">
      <w:tblPr/>
      <w:tcPr>
        <w:tcBorders>
          <w:left w:val="nil"/>
          <w:right w:val="nil"/>
          <w:insideH w:val="nil"/>
          <w:insideV w:val="nil"/>
        </w:tcBorders>
        <w:shd w:val="clear" w:color="auto" w:fill="DFD0E7" w:themeFill="accent1" w:themeFillTint="3F"/>
      </w:tcPr>
    </w:tblStylePr>
  </w:style>
  <w:style w:type="table" w:styleId="LightGrid-Accent6">
    <w:name w:val="Light Grid Accent 6"/>
    <w:basedOn w:val="TableNormal"/>
    <w:uiPriority w:val="62"/>
    <w:rsid w:val="0060503D"/>
    <w:pPr>
      <w:spacing w:after="0" w:line="240" w:lineRule="auto"/>
    </w:pPr>
    <w:tblPr>
      <w:tblStyleRowBandSize w:val="1"/>
      <w:tblStyleColBandSize w:val="1"/>
      <w:tblInd w:w="0" w:type="dxa"/>
      <w:tblBorders>
        <w:top w:val="single" w:sz="8" w:space="0" w:color="A379BB" w:themeColor="accent6"/>
        <w:left w:val="single" w:sz="8" w:space="0" w:color="A379BB" w:themeColor="accent6"/>
        <w:bottom w:val="single" w:sz="8" w:space="0" w:color="A379BB" w:themeColor="accent6"/>
        <w:right w:val="single" w:sz="8" w:space="0" w:color="A379BB" w:themeColor="accent6"/>
        <w:insideH w:val="single" w:sz="8" w:space="0" w:color="A379BB" w:themeColor="accent6"/>
        <w:insideV w:val="single" w:sz="8" w:space="0" w:color="A379BB"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379BB" w:themeColor="accent6"/>
          <w:left w:val="single" w:sz="8" w:space="0" w:color="A379BB" w:themeColor="accent6"/>
          <w:bottom w:val="single" w:sz="18" w:space="0" w:color="A379BB" w:themeColor="accent6"/>
          <w:right w:val="single" w:sz="8" w:space="0" w:color="A379BB" w:themeColor="accent6"/>
          <w:insideH w:val="nil"/>
          <w:insideV w:val="single" w:sz="8" w:space="0" w:color="A379B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379BB" w:themeColor="accent6"/>
          <w:left w:val="single" w:sz="8" w:space="0" w:color="A379BB" w:themeColor="accent6"/>
          <w:bottom w:val="single" w:sz="8" w:space="0" w:color="A379BB" w:themeColor="accent6"/>
          <w:right w:val="single" w:sz="8" w:space="0" w:color="A379BB" w:themeColor="accent6"/>
          <w:insideH w:val="nil"/>
          <w:insideV w:val="single" w:sz="8" w:space="0" w:color="A379B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379BB" w:themeColor="accent6"/>
          <w:left w:val="single" w:sz="8" w:space="0" w:color="A379BB" w:themeColor="accent6"/>
          <w:bottom w:val="single" w:sz="8" w:space="0" w:color="A379BB" w:themeColor="accent6"/>
          <w:right w:val="single" w:sz="8" w:space="0" w:color="A379BB" w:themeColor="accent6"/>
        </w:tcBorders>
      </w:tcPr>
    </w:tblStylePr>
    <w:tblStylePr w:type="band1Vert">
      <w:tblPr/>
      <w:tcPr>
        <w:tcBorders>
          <w:top w:val="single" w:sz="8" w:space="0" w:color="A379BB" w:themeColor="accent6"/>
          <w:left w:val="single" w:sz="8" w:space="0" w:color="A379BB" w:themeColor="accent6"/>
          <w:bottom w:val="single" w:sz="8" w:space="0" w:color="A379BB" w:themeColor="accent6"/>
          <w:right w:val="single" w:sz="8" w:space="0" w:color="A379BB" w:themeColor="accent6"/>
        </w:tcBorders>
        <w:shd w:val="clear" w:color="auto" w:fill="E8DDEE" w:themeFill="accent6" w:themeFillTint="3F"/>
      </w:tcPr>
    </w:tblStylePr>
    <w:tblStylePr w:type="band1Horz">
      <w:tblPr/>
      <w:tcPr>
        <w:tcBorders>
          <w:top w:val="single" w:sz="8" w:space="0" w:color="A379BB" w:themeColor="accent6"/>
          <w:left w:val="single" w:sz="8" w:space="0" w:color="A379BB" w:themeColor="accent6"/>
          <w:bottom w:val="single" w:sz="8" w:space="0" w:color="A379BB" w:themeColor="accent6"/>
          <w:right w:val="single" w:sz="8" w:space="0" w:color="A379BB" w:themeColor="accent6"/>
          <w:insideV w:val="single" w:sz="8" w:space="0" w:color="A379BB" w:themeColor="accent6"/>
        </w:tcBorders>
        <w:shd w:val="clear" w:color="auto" w:fill="E8DDEE" w:themeFill="accent6" w:themeFillTint="3F"/>
      </w:tcPr>
    </w:tblStylePr>
    <w:tblStylePr w:type="band2Horz">
      <w:tblPr/>
      <w:tcPr>
        <w:tcBorders>
          <w:top w:val="single" w:sz="8" w:space="0" w:color="A379BB" w:themeColor="accent6"/>
          <w:left w:val="single" w:sz="8" w:space="0" w:color="A379BB" w:themeColor="accent6"/>
          <w:bottom w:val="single" w:sz="8" w:space="0" w:color="A379BB" w:themeColor="accent6"/>
          <w:right w:val="single" w:sz="8" w:space="0" w:color="A379BB" w:themeColor="accent6"/>
          <w:insideV w:val="single" w:sz="8" w:space="0" w:color="A379BB" w:themeColor="accent6"/>
        </w:tcBorders>
      </w:tcPr>
    </w:tblStylePr>
  </w:style>
  <w:style w:type="paragraph" w:customStyle="1" w:styleId="ParagraphNumbering">
    <w:name w:val="Paragraph Numbering"/>
    <w:basedOn w:val="Normal"/>
    <w:qFormat/>
    <w:rsid w:val="0060503D"/>
    <w:pPr>
      <w:numPr>
        <w:numId w:val="4"/>
      </w:numPr>
      <w:spacing w:after="240" w:line="264" w:lineRule="auto"/>
    </w:pPr>
    <w:rPr>
      <w:rFonts w:ascii="Times New Roman" w:eastAsia="Times New Roman" w:hAnsi="Times New Roman" w:cs="Times New Roman"/>
      <w:sz w:val="24"/>
    </w:rPr>
  </w:style>
  <w:style w:type="character" w:customStyle="1" w:styleId="ListParagraphChar">
    <w:name w:val="List Paragraph Char"/>
    <w:aliases w:val="List Paragraph (numbered (a)) Char"/>
    <w:basedOn w:val="DefaultParagraphFont"/>
    <w:link w:val="ListParagraph"/>
    <w:uiPriority w:val="34"/>
    <w:locked/>
    <w:rsid w:val="0060503D"/>
  </w:style>
  <w:style w:type="paragraph" w:customStyle="1" w:styleId="Source">
    <w:name w:val="Source"/>
    <w:basedOn w:val="Normal"/>
    <w:uiPriority w:val="99"/>
    <w:rsid w:val="00980509"/>
    <w:pPr>
      <w:contextualSpacing/>
    </w:pPr>
    <w:rPr>
      <w:sz w:val="18"/>
      <w:szCs w:val="18"/>
    </w:rPr>
  </w:style>
  <w:style w:type="paragraph" w:customStyle="1" w:styleId="Sourcetop">
    <w:name w:val="Sourcetop"/>
    <w:basedOn w:val="Normal"/>
    <w:rsid w:val="0060503D"/>
    <w:pPr>
      <w:spacing w:after="0"/>
    </w:pPr>
    <w:rPr>
      <w:sz w:val="18"/>
      <w:szCs w:val="18"/>
    </w:rPr>
  </w:style>
  <w:style w:type="paragraph" w:customStyle="1" w:styleId="Heading1nottoc">
    <w:name w:val="Heading 1nottoc"/>
    <w:basedOn w:val="Heading1"/>
    <w:rsid w:val="0060503D"/>
  </w:style>
  <w:style w:type="paragraph" w:styleId="NormalWeb">
    <w:name w:val="Normal (Web)"/>
    <w:basedOn w:val="Normal"/>
    <w:uiPriority w:val="99"/>
    <w:semiHidden/>
    <w:unhideWhenUsed/>
    <w:rsid w:val="006050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s">
    <w:name w:val="References"/>
    <w:basedOn w:val="Normal"/>
    <w:link w:val="ReferencesChar"/>
    <w:qFormat/>
    <w:rsid w:val="00307B43"/>
    <w:pPr>
      <w:spacing w:after="100" w:line="240" w:lineRule="auto"/>
      <w:ind w:left="720" w:hanging="720"/>
    </w:pPr>
  </w:style>
  <w:style w:type="paragraph" w:styleId="BodyTextIndent3">
    <w:name w:val="Body Text Indent 3"/>
    <w:basedOn w:val="Normal"/>
    <w:link w:val="BodyTextIndent3Char"/>
    <w:uiPriority w:val="99"/>
    <w:unhideWhenUsed/>
    <w:rsid w:val="00B345E7"/>
    <w:pPr>
      <w:spacing w:after="120"/>
      <w:ind w:left="360"/>
    </w:pPr>
    <w:rPr>
      <w:sz w:val="16"/>
      <w:szCs w:val="16"/>
    </w:rPr>
  </w:style>
  <w:style w:type="character" w:customStyle="1" w:styleId="ReferencesChar">
    <w:name w:val="References Char"/>
    <w:basedOn w:val="DefaultParagraphFont"/>
    <w:link w:val="References"/>
    <w:rsid w:val="00307B43"/>
  </w:style>
  <w:style w:type="character" w:customStyle="1" w:styleId="BodyTextIndent3Char">
    <w:name w:val="Body Text Indent 3 Char"/>
    <w:basedOn w:val="DefaultParagraphFont"/>
    <w:link w:val="BodyTextIndent3"/>
    <w:uiPriority w:val="99"/>
    <w:rsid w:val="00B345E7"/>
    <w:rPr>
      <w:sz w:val="16"/>
      <w:szCs w:val="16"/>
    </w:rPr>
  </w:style>
  <w:style w:type="table" w:styleId="LightShading-Accent4">
    <w:name w:val="Light Shading Accent 4"/>
    <w:basedOn w:val="TableNormal"/>
    <w:uiPriority w:val="60"/>
    <w:rsid w:val="0014667F"/>
    <w:pPr>
      <w:spacing w:after="0" w:line="240" w:lineRule="auto"/>
      <w:jc w:val="both"/>
    </w:pPr>
    <w:rPr>
      <w:rFonts w:eastAsiaTheme="minorEastAsia"/>
      <w:color w:val="7D4D98" w:themeColor="accent4" w:themeShade="BF"/>
      <w:sz w:val="20"/>
      <w:szCs w:val="20"/>
      <w:lang w:bidi="en-US"/>
    </w:rPr>
    <w:tblPr>
      <w:tblStyleRowBandSize w:val="1"/>
      <w:tblStyleColBandSize w:val="1"/>
      <w:tblInd w:w="0" w:type="dxa"/>
      <w:tblBorders>
        <w:top w:val="single" w:sz="8" w:space="0" w:color="A379BB" w:themeColor="accent4"/>
        <w:bottom w:val="single" w:sz="8" w:space="0" w:color="A379BB"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379BB" w:themeColor="accent4"/>
          <w:left w:val="nil"/>
          <w:bottom w:val="single" w:sz="8" w:space="0" w:color="A379BB" w:themeColor="accent4"/>
          <w:right w:val="nil"/>
          <w:insideH w:val="nil"/>
          <w:insideV w:val="nil"/>
        </w:tcBorders>
      </w:tcPr>
    </w:tblStylePr>
    <w:tblStylePr w:type="lastRow">
      <w:pPr>
        <w:spacing w:before="0" w:after="0" w:line="240" w:lineRule="auto"/>
      </w:pPr>
      <w:rPr>
        <w:b/>
        <w:bCs/>
      </w:rPr>
      <w:tblPr/>
      <w:tcPr>
        <w:tcBorders>
          <w:top w:val="single" w:sz="8" w:space="0" w:color="A379BB" w:themeColor="accent4"/>
          <w:left w:val="nil"/>
          <w:bottom w:val="single" w:sz="8" w:space="0" w:color="A379B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DDEE" w:themeFill="accent4" w:themeFillTint="3F"/>
      </w:tcPr>
    </w:tblStylePr>
    <w:tblStylePr w:type="band1Horz">
      <w:tblPr/>
      <w:tcPr>
        <w:tcBorders>
          <w:left w:val="nil"/>
          <w:right w:val="nil"/>
          <w:insideH w:val="nil"/>
          <w:insideV w:val="nil"/>
        </w:tcBorders>
        <w:shd w:val="clear" w:color="auto" w:fill="E8DDEE" w:themeFill="accent4" w:themeFillTint="3F"/>
      </w:tcPr>
    </w:tblStylePr>
  </w:style>
  <w:style w:type="paragraph" w:styleId="BodyText3">
    <w:name w:val="Body Text 3"/>
    <w:basedOn w:val="Normal"/>
    <w:link w:val="BodyText3Char"/>
    <w:rsid w:val="0014667F"/>
    <w:pPr>
      <w:spacing w:after="0" w:line="240" w:lineRule="auto"/>
      <w:jc w:val="center"/>
    </w:pPr>
    <w:rPr>
      <w:rFonts w:ascii="Times New Roman" w:eastAsia="Times New Roman" w:hAnsi="Times New Roman" w:cs="Times New Roman"/>
      <w:b/>
      <w:lang w:val="fr-FR"/>
    </w:rPr>
  </w:style>
  <w:style w:type="character" w:customStyle="1" w:styleId="BodyText3Char">
    <w:name w:val="Body Text 3 Char"/>
    <w:basedOn w:val="DefaultParagraphFont"/>
    <w:link w:val="BodyText3"/>
    <w:rsid w:val="0014667F"/>
    <w:rPr>
      <w:rFonts w:ascii="Times New Roman" w:eastAsia="Times New Roman" w:hAnsi="Times New Roman" w:cs="Times New Roman"/>
      <w:b/>
      <w:sz w:val="20"/>
      <w:szCs w:val="20"/>
      <w:lang w:val="fr-FR" w:bidi="en-US"/>
    </w:rPr>
  </w:style>
  <w:style w:type="paragraph" w:styleId="BodyText2">
    <w:name w:val="Body Text 2"/>
    <w:basedOn w:val="Normal"/>
    <w:link w:val="BodyText2Char"/>
    <w:rsid w:val="0014667F"/>
    <w:pPr>
      <w:spacing w:after="0" w:line="240" w:lineRule="auto"/>
    </w:pPr>
    <w:rPr>
      <w:rFonts w:ascii="Times New Roman" w:eastAsia="Times New Roman" w:hAnsi="Times New Roman" w:cs="Times New Roman"/>
      <w:lang w:val="fr-FR"/>
    </w:rPr>
  </w:style>
  <w:style w:type="character" w:customStyle="1" w:styleId="BodyText2Char">
    <w:name w:val="Body Text 2 Char"/>
    <w:basedOn w:val="DefaultParagraphFont"/>
    <w:link w:val="BodyText2"/>
    <w:rsid w:val="0014667F"/>
    <w:rPr>
      <w:rFonts w:ascii="Times New Roman" w:eastAsia="Times New Roman" w:hAnsi="Times New Roman" w:cs="Times New Roman"/>
      <w:sz w:val="20"/>
      <w:szCs w:val="20"/>
      <w:lang w:val="fr-FR" w:bidi="en-US"/>
    </w:rPr>
  </w:style>
  <w:style w:type="paragraph" w:customStyle="1" w:styleId="Referencestyle">
    <w:name w:val="Reference style"/>
    <w:basedOn w:val="Normal"/>
    <w:rsid w:val="0014667F"/>
    <w:pPr>
      <w:spacing w:after="0" w:line="240" w:lineRule="auto"/>
    </w:pPr>
    <w:rPr>
      <w:rFonts w:ascii="Times New Roman" w:eastAsia="Times New Roman" w:hAnsi="Times New Roman" w:cs="Times New Roman"/>
      <w:sz w:val="24"/>
    </w:rPr>
  </w:style>
  <w:style w:type="table" w:customStyle="1" w:styleId="LightShading-Accent11">
    <w:name w:val="Light Shading - Accent 11"/>
    <w:basedOn w:val="TableNormal"/>
    <w:uiPriority w:val="60"/>
    <w:rsid w:val="0014667F"/>
    <w:pPr>
      <w:spacing w:after="0" w:line="240" w:lineRule="auto"/>
      <w:jc w:val="both"/>
    </w:pPr>
    <w:rPr>
      <w:rFonts w:eastAsiaTheme="minorEastAsia"/>
      <w:color w:val="5D3972" w:themeColor="accent1" w:themeShade="BF"/>
      <w:sz w:val="20"/>
      <w:szCs w:val="20"/>
      <w:lang w:bidi="en-US"/>
    </w:rPr>
    <w:tblPr>
      <w:tblStyleRowBandSize w:val="1"/>
      <w:tblStyleColBandSize w:val="1"/>
      <w:tblInd w:w="0" w:type="dxa"/>
      <w:tblBorders>
        <w:top w:val="single" w:sz="8" w:space="0" w:color="7D4D99" w:themeColor="accent1"/>
        <w:bottom w:val="single" w:sz="8" w:space="0" w:color="7D4D9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D4D99" w:themeColor="accent1"/>
          <w:left w:val="nil"/>
          <w:bottom w:val="single" w:sz="8" w:space="0" w:color="7D4D99" w:themeColor="accent1"/>
          <w:right w:val="nil"/>
          <w:insideH w:val="nil"/>
          <w:insideV w:val="nil"/>
        </w:tcBorders>
      </w:tcPr>
    </w:tblStylePr>
    <w:tblStylePr w:type="lastRow">
      <w:pPr>
        <w:spacing w:before="0" w:after="0" w:line="240" w:lineRule="auto"/>
      </w:pPr>
      <w:rPr>
        <w:b/>
        <w:bCs/>
      </w:rPr>
      <w:tblPr/>
      <w:tcPr>
        <w:tcBorders>
          <w:top w:val="single" w:sz="8" w:space="0" w:color="7D4D99" w:themeColor="accent1"/>
          <w:left w:val="nil"/>
          <w:bottom w:val="single" w:sz="8" w:space="0" w:color="7D4D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0E7" w:themeFill="accent1" w:themeFillTint="3F"/>
      </w:tcPr>
    </w:tblStylePr>
    <w:tblStylePr w:type="band1Horz">
      <w:tblPr/>
      <w:tcPr>
        <w:tcBorders>
          <w:left w:val="nil"/>
          <w:right w:val="nil"/>
          <w:insideH w:val="nil"/>
          <w:insideV w:val="nil"/>
        </w:tcBorders>
        <w:shd w:val="clear" w:color="auto" w:fill="DFD0E7" w:themeFill="accent1" w:themeFillTint="3F"/>
      </w:tcPr>
    </w:tblStylePr>
  </w:style>
  <w:style w:type="numbering" w:customStyle="1" w:styleId="iimi">
    <w:name w:val="iimi"/>
    <w:uiPriority w:val="99"/>
    <w:rsid w:val="0014667F"/>
    <w:pPr>
      <w:numPr>
        <w:numId w:val="5"/>
      </w:numPr>
    </w:pPr>
  </w:style>
  <w:style w:type="character" w:styleId="LineNumber">
    <w:name w:val="line number"/>
    <w:basedOn w:val="DefaultParagraphFont"/>
    <w:uiPriority w:val="99"/>
    <w:semiHidden/>
    <w:unhideWhenUsed/>
    <w:rsid w:val="0014667F"/>
  </w:style>
  <w:style w:type="paragraph" w:customStyle="1" w:styleId="TableTitle0">
    <w:name w:val="Table Title"/>
    <w:basedOn w:val="Normal"/>
    <w:rsid w:val="0014667F"/>
    <w:pPr>
      <w:keepNext/>
      <w:spacing w:before="240" w:after="120"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14667F"/>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14667F"/>
    <w:rPr>
      <w:rFonts w:asciiTheme="majorHAnsi" w:eastAsiaTheme="majorEastAsia" w:hAnsiTheme="majorHAnsi" w:cstheme="majorBidi"/>
      <w:sz w:val="20"/>
      <w:lang w:bidi="en-US"/>
    </w:rPr>
  </w:style>
  <w:style w:type="paragraph" w:styleId="Quote">
    <w:name w:val="Quote"/>
    <w:basedOn w:val="Normal"/>
    <w:next w:val="Normal"/>
    <w:link w:val="QuoteChar"/>
    <w:uiPriority w:val="29"/>
    <w:qFormat/>
    <w:rsid w:val="0014667F"/>
    <w:rPr>
      <w:i/>
    </w:rPr>
  </w:style>
  <w:style w:type="character" w:customStyle="1" w:styleId="QuoteChar">
    <w:name w:val="Quote Char"/>
    <w:basedOn w:val="DefaultParagraphFont"/>
    <w:link w:val="Quote"/>
    <w:uiPriority w:val="29"/>
    <w:rsid w:val="0014667F"/>
    <w:rPr>
      <w:rFonts w:eastAsiaTheme="minorEastAsia"/>
      <w:i/>
      <w:sz w:val="20"/>
      <w:szCs w:val="20"/>
      <w:lang w:bidi="en-US"/>
    </w:rPr>
  </w:style>
  <w:style w:type="paragraph" w:styleId="IntenseQuote">
    <w:name w:val="Intense Quote"/>
    <w:basedOn w:val="Normal"/>
    <w:next w:val="Normal"/>
    <w:link w:val="IntenseQuoteChar"/>
    <w:uiPriority w:val="30"/>
    <w:qFormat/>
    <w:rsid w:val="0014667F"/>
    <w:pPr>
      <w:pBdr>
        <w:top w:val="single" w:sz="8" w:space="10" w:color="3C65C2" w:themeColor="accent2" w:themeShade="BF"/>
        <w:left w:val="single" w:sz="8" w:space="10" w:color="3C65C2" w:themeColor="accent2" w:themeShade="BF"/>
        <w:bottom w:val="single" w:sz="8" w:space="10" w:color="3C65C2" w:themeColor="accent2" w:themeShade="BF"/>
        <w:right w:val="single" w:sz="8" w:space="10" w:color="3C65C2" w:themeColor="accent2" w:themeShade="BF"/>
      </w:pBdr>
      <w:shd w:val="clear" w:color="auto" w:fill="7E99D7"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14667F"/>
    <w:rPr>
      <w:rFonts w:eastAsiaTheme="minorEastAsia"/>
      <w:b/>
      <w:i/>
      <w:color w:val="FFFFFF" w:themeColor="background1"/>
      <w:sz w:val="20"/>
      <w:szCs w:val="20"/>
      <w:shd w:val="clear" w:color="auto" w:fill="7E99D7" w:themeFill="accent2"/>
      <w:lang w:bidi="en-US"/>
    </w:rPr>
  </w:style>
  <w:style w:type="character" w:styleId="SubtleEmphasis">
    <w:name w:val="Subtle Emphasis"/>
    <w:uiPriority w:val="19"/>
    <w:qFormat/>
    <w:rsid w:val="0014667F"/>
    <w:rPr>
      <w:i/>
    </w:rPr>
  </w:style>
  <w:style w:type="character" w:styleId="IntenseEmphasis">
    <w:name w:val="Intense Emphasis"/>
    <w:uiPriority w:val="21"/>
    <w:qFormat/>
    <w:rsid w:val="0014667F"/>
    <w:rPr>
      <w:b/>
      <w:i/>
      <w:color w:val="7E99D7" w:themeColor="accent2"/>
      <w:spacing w:val="10"/>
    </w:rPr>
  </w:style>
  <w:style w:type="character" w:styleId="SubtleReference">
    <w:name w:val="Subtle Reference"/>
    <w:uiPriority w:val="31"/>
    <w:qFormat/>
    <w:rsid w:val="0014667F"/>
    <w:rPr>
      <w:b/>
    </w:rPr>
  </w:style>
  <w:style w:type="character" w:styleId="IntenseReference">
    <w:name w:val="Intense Reference"/>
    <w:uiPriority w:val="32"/>
    <w:qFormat/>
    <w:rsid w:val="0014667F"/>
    <w:rPr>
      <w:b/>
      <w:bCs/>
      <w:smallCaps/>
      <w:spacing w:val="5"/>
      <w:sz w:val="22"/>
      <w:szCs w:val="22"/>
      <w:u w:val="single"/>
    </w:rPr>
  </w:style>
  <w:style w:type="character" w:styleId="BookTitle">
    <w:name w:val="Book Title"/>
    <w:uiPriority w:val="33"/>
    <w:qFormat/>
    <w:rsid w:val="0014667F"/>
    <w:rPr>
      <w:rFonts w:asciiTheme="majorHAnsi" w:eastAsiaTheme="majorEastAsia" w:hAnsiTheme="majorHAnsi" w:cstheme="majorBidi"/>
      <w:i/>
      <w:iCs/>
      <w:sz w:val="20"/>
      <w:szCs w:val="20"/>
    </w:rPr>
  </w:style>
  <w:style w:type="character" w:customStyle="1" w:styleId="apple-converted-space">
    <w:name w:val="apple-converted-space"/>
    <w:basedOn w:val="DefaultParagraphFont"/>
    <w:rsid w:val="00AA4E1F"/>
  </w:style>
  <w:style w:type="paragraph" w:customStyle="1" w:styleId="EPPformat">
    <w:name w:val="EPP format"/>
    <w:basedOn w:val="Normal"/>
    <w:uiPriority w:val="99"/>
    <w:qFormat/>
    <w:rsid w:val="00282714"/>
    <w:pPr>
      <w:numPr>
        <w:numId w:val="15"/>
      </w:numPr>
      <w:spacing w:after="240" w:line="240" w:lineRule="auto"/>
    </w:pPr>
    <w:rPr>
      <w:rFonts w:ascii="Times New Roman" w:eastAsia="Times New Roman" w:hAnsi="Times New Roman" w:cs="Times New Roman"/>
      <w:sz w:val="24"/>
      <w:szCs w:val="24"/>
      <w:lang w:bidi="ar-SA"/>
    </w:rPr>
  </w:style>
  <w:style w:type="character" w:customStyle="1" w:styleId="headingno2Char">
    <w:name w:val="heading no.2 Char"/>
    <w:basedOn w:val="DefaultParagraphFont"/>
    <w:link w:val="headingno2"/>
    <w:locked/>
    <w:rsid w:val="00282714"/>
    <w:rPr>
      <w:rFonts w:asciiTheme="majorHAnsi" w:eastAsia="Times New Roman" w:hAnsiTheme="majorHAnsi" w:cs="Times New Roman"/>
      <w:bCs/>
      <w:i/>
      <w:iCs/>
      <w:color w:val="7D4D99" w:themeColor="accent1"/>
      <w:sz w:val="24"/>
      <w:szCs w:val="28"/>
      <w:lang w:eastAsia="ja-JP"/>
    </w:rPr>
  </w:style>
  <w:style w:type="paragraph" w:customStyle="1" w:styleId="headingno2">
    <w:name w:val="heading no.2"/>
    <w:basedOn w:val="Heading2"/>
    <w:link w:val="headingno2Char"/>
    <w:qFormat/>
    <w:rsid w:val="00282714"/>
    <w:pPr>
      <w:keepLines w:val="0"/>
      <w:spacing w:before="120"/>
      <w:ind w:left="720" w:hanging="720"/>
      <w:jc w:val="left"/>
    </w:pPr>
    <w:rPr>
      <w:rFonts w:asciiTheme="majorHAnsi" w:eastAsia="Times New Roman" w:hAnsiTheme="majorHAnsi" w:cs="Times New Roman"/>
      <w:b w:val="0"/>
      <w:iCs/>
      <w:color w:val="7D4D99" w:themeColor="accent1"/>
      <w:sz w:val="24"/>
      <w:szCs w:val="28"/>
      <w:lang w:eastAsia="ja-JP" w:bidi="ar-SA"/>
    </w:rPr>
  </w:style>
  <w:style w:type="character" w:customStyle="1" w:styleId="GG2Char">
    <w:name w:val="GG2 Char"/>
    <w:basedOn w:val="DefaultParagraphFont"/>
    <w:link w:val="GG2"/>
    <w:locked/>
    <w:rsid w:val="00282714"/>
    <w:rPr>
      <w:rFonts w:ascii="Calibri" w:hAnsi="Calibri" w:cs="Calibri"/>
      <w:b/>
      <w:bCs/>
      <w:kern w:val="32"/>
      <w:sz w:val="28"/>
      <w:szCs w:val="28"/>
    </w:rPr>
  </w:style>
  <w:style w:type="paragraph" w:customStyle="1" w:styleId="GG2">
    <w:name w:val="GG2"/>
    <w:basedOn w:val="Heading1"/>
    <w:link w:val="GG2Char"/>
    <w:rsid w:val="00282714"/>
    <w:pPr>
      <w:keepLines w:val="0"/>
      <w:spacing w:before="240" w:after="60" w:line="276" w:lineRule="auto"/>
      <w:jc w:val="left"/>
    </w:pPr>
    <w:rPr>
      <w:rFonts w:ascii="Calibri" w:eastAsiaTheme="minorHAnsi" w:hAnsi="Calibri" w:cs="Calibri"/>
      <w:kern w:val="32"/>
      <w:sz w:val="28"/>
      <w:szCs w:val="28"/>
      <w:lang w:bidi="ar-SA"/>
    </w:rPr>
  </w:style>
  <w:style w:type="table" w:styleId="LightShading-Accent1">
    <w:name w:val="Light Shading Accent 1"/>
    <w:basedOn w:val="TableNormal"/>
    <w:uiPriority w:val="60"/>
    <w:rsid w:val="009D61FA"/>
    <w:pPr>
      <w:spacing w:after="0" w:line="240" w:lineRule="auto"/>
    </w:pPr>
    <w:rPr>
      <w:color w:val="5D3972" w:themeColor="accent1" w:themeShade="BF"/>
    </w:rPr>
    <w:tblPr>
      <w:tblStyleRowBandSize w:val="1"/>
      <w:tblStyleColBandSize w:val="1"/>
      <w:tblInd w:w="0" w:type="dxa"/>
      <w:tblBorders>
        <w:top w:val="single" w:sz="8" w:space="0" w:color="7D4D99" w:themeColor="accent1"/>
        <w:bottom w:val="single" w:sz="8" w:space="0" w:color="7D4D9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D4D99" w:themeColor="accent1"/>
          <w:left w:val="nil"/>
          <w:bottom w:val="single" w:sz="8" w:space="0" w:color="7D4D99" w:themeColor="accent1"/>
          <w:right w:val="nil"/>
          <w:insideH w:val="nil"/>
          <w:insideV w:val="nil"/>
        </w:tcBorders>
      </w:tcPr>
    </w:tblStylePr>
    <w:tblStylePr w:type="lastRow">
      <w:pPr>
        <w:spacing w:before="0" w:after="0" w:line="240" w:lineRule="auto"/>
      </w:pPr>
      <w:rPr>
        <w:b/>
        <w:bCs/>
      </w:rPr>
      <w:tblPr/>
      <w:tcPr>
        <w:tcBorders>
          <w:top w:val="single" w:sz="8" w:space="0" w:color="7D4D99" w:themeColor="accent1"/>
          <w:left w:val="nil"/>
          <w:bottom w:val="single" w:sz="8" w:space="0" w:color="7D4D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0E7" w:themeFill="accent1" w:themeFillTint="3F"/>
      </w:tcPr>
    </w:tblStylePr>
    <w:tblStylePr w:type="band1Horz">
      <w:tblPr/>
      <w:tcPr>
        <w:tcBorders>
          <w:left w:val="nil"/>
          <w:right w:val="nil"/>
          <w:insideH w:val="nil"/>
          <w:insideV w:val="nil"/>
        </w:tcBorders>
        <w:shd w:val="clear" w:color="auto" w:fill="DFD0E7" w:themeFill="accent1" w:themeFillTint="3F"/>
      </w:tcPr>
    </w:tblStylePr>
  </w:style>
  <w:style w:type="table" w:styleId="LightShading-Accent3">
    <w:name w:val="Light Shading Accent 3"/>
    <w:basedOn w:val="TableNormal"/>
    <w:uiPriority w:val="60"/>
    <w:rsid w:val="00A63F7F"/>
    <w:pPr>
      <w:spacing w:after="0" w:line="240" w:lineRule="auto"/>
    </w:pPr>
    <w:rPr>
      <w:color w:val="300061" w:themeColor="accent3" w:themeShade="BF"/>
    </w:rPr>
    <w:tblPr>
      <w:tblStyleRowBandSize w:val="1"/>
      <w:tblStyleColBandSize w:val="1"/>
      <w:tblInd w:w="0" w:type="dxa"/>
      <w:tblBorders>
        <w:top w:val="single" w:sz="8" w:space="0" w:color="410082" w:themeColor="accent3"/>
        <w:bottom w:val="single" w:sz="8" w:space="0" w:color="410082"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10082" w:themeColor="accent3"/>
          <w:left w:val="nil"/>
          <w:bottom w:val="single" w:sz="8" w:space="0" w:color="410082" w:themeColor="accent3"/>
          <w:right w:val="nil"/>
          <w:insideH w:val="nil"/>
          <w:insideV w:val="nil"/>
        </w:tcBorders>
      </w:tcPr>
    </w:tblStylePr>
    <w:tblStylePr w:type="lastRow">
      <w:pPr>
        <w:spacing w:before="0" w:after="0" w:line="240" w:lineRule="auto"/>
      </w:pPr>
      <w:rPr>
        <w:b/>
        <w:bCs/>
      </w:rPr>
      <w:tblPr/>
      <w:tcPr>
        <w:tcBorders>
          <w:top w:val="single" w:sz="8" w:space="0" w:color="410082" w:themeColor="accent3"/>
          <w:left w:val="nil"/>
          <w:bottom w:val="single" w:sz="8" w:space="0" w:color="41008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A1FF" w:themeFill="accent3" w:themeFillTint="3F"/>
      </w:tcPr>
    </w:tblStylePr>
    <w:tblStylePr w:type="band1Horz">
      <w:tblPr/>
      <w:tcPr>
        <w:tcBorders>
          <w:left w:val="nil"/>
          <w:right w:val="nil"/>
          <w:insideH w:val="nil"/>
          <w:insideV w:val="nil"/>
        </w:tcBorders>
        <w:shd w:val="clear" w:color="auto" w:fill="CFA1FF" w:themeFill="accent3" w:themeFillTint="3F"/>
      </w:tcPr>
    </w:tblStylePr>
  </w:style>
  <w:style w:type="table" w:customStyle="1" w:styleId="TableGrid1">
    <w:name w:val="Table Grid1"/>
    <w:basedOn w:val="TableNormal"/>
    <w:next w:val="TableGrid"/>
    <w:uiPriority w:val="59"/>
    <w:rsid w:val="00A312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61">
    <w:name w:val="Light Shading - Accent 61"/>
    <w:basedOn w:val="TableNormal"/>
    <w:next w:val="LightShading-Accent6"/>
    <w:uiPriority w:val="60"/>
    <w:rsid w:val="00A31296"/>
    <w:pPr>
      <w:spacing w:after="0" w:line="240" w:lineRule="auto"/>
    </w:pPr>
    <w:rPr>
      <w:color w:val="7D4D98"/>
    </w:rPr>
    <w:tblPr>
      <w:tblStyleRowBandSize w:val="1"/>
      <w:tblStyleColBandSize w:val="1"/>
      <w:tblInd w:w="0" w:type="dxa"/>
      <w:tblBorders>
        <w:top w:val="single" w:sz="8" w:space="0" w:color="A379BB"/>
        <w:bottom w:val="single" w:sz="8" w:space="0" w:color="A379BB"/>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379BB"/>
          <w:left w:val="nil"/>
          <w:bottom w:val="single" w:sz="8" w:space="0" w:color="A379BB"/>
          <w:right w:val="nil"/>
          <w:insideH w:val="nil"/>
          <w:insideV w:val="nil"/>
        </w:tcBorders>
      </w:tcPr>
    </w:tblStylePr>
    <w:tblStylePr w:type="lastRow">
      <w:pPr>
        <w:spacing w:before="0" w:after="0" w:line="240" w:lineRule="auto"/>
      </w:pPr>
      <w:rPr>
        <w:b/>
        <w:bCs/>
      </w:rPr>
      <w:tblPr/>
      <w:tcPr>
        <w:tcBorders>
          <w:top w:val="single" w:sz="8" w:space="0" w:color="A379BB"/>
          <w:left w:val="nil"/>
          <w:bottom w:val="single" w:sz="8" w:space="0" w:color="A379B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DDEE"/>
      </w:tcPr>
    </w:tblStylePr>
    <w:tblStylePr w:type="band1Horz">
      <w:tblPr/>
      <w:tcPr>
        <w:tcBorders>
          <w:left w:val="nil"/>
          <w:right w:val="nil"/>
          <w:insideH w:val="nil"/>
          <w:insideV w:val="nil"/>
        </w:tcBorders>
        <w:shd w:val="clear" w:color="auto" w:fill="E8DDEE"/>
      </w:tcPr>
    </w:tblStylePr>
  </w:style>
  <w:style w:type="character" w:customStyle="1" w:styleId="FootnoteReferenceLVL621">
    <w:name w:val="Footnote Reference_LVL621"/>
    <w:basedOn w:val="DefaultParagraphFont"/>
    <w:uiPriority w:val="99"/>
    <w:unhideWhenUsed/>
    <w:qFormat/>
    <w:rsid w:val="00A31296"/>
    <w:rPr>
      <w:rFonts w:ascii="Calibri" w:hAnsi="Calibri"/>
      <w:sz w:val="20"/>
      <w:vertAlign w:val="superscript"/>
    </w:rPr>
  </w:style>
  <w:style w:type="paragraph" w:customStyle="1" w:styleId="NbpageMoens1">
    <w:name w:val="Nbpage Moens1"/>
    <w:basedOn w:val="Normal"/>
    <w:next w:val="FootnoteText"/>
    <w:uiPriority w:val="99"/>
    <w:unhideWhenUsed/>
    <w:rsid w:val="00A31296"/>
    <w:pPr>
      <w:spacing w:after="0" w:line="240" w:lineRule="auto"/>
    </w:pPr>
    <w:rPr>
      <w:rFonts w:eastAsia="Times New Roman"/>
      <w:sz w:val="18"/>
    </w:rPr>
  </w:style>
  <w:style w:type="paragraph" w:customStyle="1" w:styleId="ListBullet1">
    <w:name w:val="List Bullet1"/>
    <w:basedOn w:val="Normal"/>
    <w:next w:val="ListBullet"/>
    <w:uiPriority w:val="99"/>
    <w:unhideWhenUsed/>
    <w:rsid w:val="00A31296"/>
    <w:pPr>
      <w:tabs>
        <w:tab w:val="num" w:pos="360"/>
      </w:tabs>
      <w:ind w:left="360" w:hanging="360"/>
      <w:contextualSpacing/>
    </w:pPr>
    <w:rPr>
      <w:rFonts w:eastAsia="Times New Roman"/>
    </w:rPr>
  </w:style>
  <w:style w:type="character" w:customStyle="1" w:styleId="Hyperlink1">
    <w:name w:val="Hyperlink1"/>
    <w:basedOn w:val="DefaultParagraphFont"/>
    <w:uiPriority w:val="99"/>
    <w:unhideWhenUsed/>
    <w:rsid w:val="00A31296"/>
    <w:rPr>
      <w:color w:val="410082"/>
      <w:u w:val="single"/>
    </w:rPr>
  </w:style>
  <w:style w:type="character" w:styleId="FollowedHyperlink">
    <w:name w:val="FollowedHyperlink"/>
    <w:basedOn w:val="DefaultParagraphFont"/>
    <w:uiPriority w:val="99"/>
    <w:semiHidden/>
    <w:unhideWhenUsed/>
    <w:rsid w:val="00EA3BF7"/>
    <w:rPr>
      <w:color w:val="93296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39225">
      <w:bodyDiv w:val="1"/>
      <w:marLeft w:val="0"/>
      <w:marRight w:val="0"/>
      <w:marTop w:val="0"/>
      <w:marBottom w:val="0"/>
      <w:divBdr>
        <w:top w:val="none" w:sz="0" w:space="0" w:color="auto"/>
        <w:left w:val="none" w:sz="0" w:space="0" w:color="auto"/>
        <w:bottom w:val="none" w:sz="0" w:space="0" w:color="auto"/>
        <w:right w:val="none" w:sz="0" w:space="0" w:color="auto"/>
      </w:divBdr>
    </w:div>
    <w:div w:id="215244328">
      <w:bodyDiv w:val="1"/>
      <w:marLeft w:val="0"/>
      <w:marRight w:val="0"/>
      <w:marTop w:val="0"/>
      <w:marBottom w:val="0"/>
      <w:divBdr>
        <w:top w:val="none" w:sz="0" w:space="0" w:color="auto"/>
        <w:left w:val="none" w:sz="0" w:space="0" w:color="auto"/>
        <w:bottom w:val="none" w:sz="0" w:space="0" w:color="auto"/>
        <w:right w:val="none" w:sz="0" w:space="0" w:color="auto"/>
      </w:divBdr>
    </w:div>
    <w:div w:id="292908278">
      <w:bodyDiv w:val="1"/>
      <w:marLeft w:val="0"/>
      <w:marRight w:val="0"/>
      <w:marTop w:val="0"/>
      <w:marBottom w:val="0"/>
      <w:divBdr>
        <w:top w:val="none" w:sz="0" w:space="0" w:color="auto"/>
        <w:left w:val="none" w:sz="0" w:space="0" w:color="auto"/>
        <w:bottom w:val="none" w:sz="0" w:space="0" w:color="auto"/>
        <w:right w:val="none" w:sz="0" w:space="0" w:color="auto"/>
      </w:divBdr>
    </w:div>
    <w:div w:id="401486446">
      <w:bodyDiv w:val="1"/>
      <w:marLeft w:val="0"/>
      <w:marRight w:val="0"/>
      <w:marTop w:val="0"/>
      <w:marBottom w:val="0"/>
      <w:divBdr>
        <w:top w:val="none" w:sz="0" w:space="0" w:color="auto"/>
        <w:left w:val="none" w:sz="0" w:space="0" w:color="auto"/>
        <w:bottom w:val="none" w:sz="0" w:space="0" w:color="auto"/>
        <w:right w:val="none" w:sz="0" w:space="0" w:color="auto"/>
      </w:divBdr>
      <w:divsChild>
        <w:div w:id="1555241036">
          <w:marLeft w:val="0"/>
          <w:marRight w:val="0"/>
          <w:marTop w:val="0"/>
          <w:marBottom w:val="0"/>
          <w:divBdr>
            <w:top w:val="none" w:sz="0" w:space="0" w:color="auto"/>
            <w:left w:val="none" w:sz="0" w:space="0" w:color="auto"/>
            <w:bottom w:val="none" w:sz="0" w:space="0" w:color="auto"/>
            <w:right w:val="none" w:sz="0" w:space="0" w:color="auto"/>
          </w:divBdr>
          <w:divsChild>
            <w:div w:id="588002146">
              <w:marLeft w:val="0"/>
              <w:marRight w:val="0"/>
              <w:marTop w:val="0"/>
              <w:marBottom w:val="0"/>
              <w:divBdr>
                <w:top w:val="none" w:sz="0" w:space="0" w:color="auto"/>
                <w:left w:val="none" w:sz="0" w:space="0" w:color="auto"/>
                <w:bottom w:val="none" w:sz="0" w:space="0" w:color="auto"/>
                <w:right w:val="none" w:sz="0" w:space="0" w:color="auto"/>
              </w:divBdr>
              <w:divsChild>
                <w:div w:id="5447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065451">
      <w:bodyDiv w:val="1"/>
      <w:marLeft w:val="0"/>
      <w:marRight w:val="0"/>
      <w:marTop w:val="0"/>
      <w:marBottom w:val="0"/>
      <w:divBdr>
        <w:top w:val="none" w:sz="0" w:space="0" w:color="auto"/>
        <w:left w:val="none" w:sz="0" w:space="0" w:color="auto"/>
        <w:bottom w:val="none" w:sz="0" w:space="0" w:color="auto"/>
        <w:right w:val="none" w:sz="0" w:space="0" w:color="auto"/>
      </w:divBdr>
    </w:div>
    <w:div w:id="459539725">
      <w:bodyDiv w:val="1"/>
      <w:marLeft w:val="0"/>
      <w:marRight w:val="0"/>
      <w:marTop w:val="0"/>
      <w:marBottom w:val="0"/>
      <w:divBdr>
        <w:top w:val="none" w:sz="0" w:space="0" w:color="auto"/>
        <w:left w:val="none" w:sz="0" w:space="0" w:color="auto"/>
        <w:bottom w:val="none" w:sz="0" w:space="0" w:color="auto"/>
        <w:right w:val="none" w:sz="0" w:space="0" w:color="auto"/>
      </w:divBdr>
    </w:div>
    <w:div w:id="568223644">
      <w:bodyDiv w:val="1"/>
      <w:marLeft w:val="0"/>
      <w:marRight w:val="0"/>
      <w:marTop w:val="0"/>
      <w:marBottom w:val="0"/>
      <w:divBdr>
        <w:top w:val="none" w:sz="0" w:space="0" w:color="auto"/>
        <w:left w:val="none" w:sz="0" w:space="0" w:color="auto"/>
        <w:bottom w:val="none" w:sz="0" w:space="0" w:color="auto"/>
        <w:right w:val="none" w:sz="0" w:space="0" w:color="auto"/>
      </w:divBdr>
    </w:div>
    <w:div w:id="570963747">
      <w:bodyDiv w:val="1"/>
      <w:marLeft w:val="0"/>
      <w:marRight w:val="0"/>
      <w:marTop w:val="0"/>
      <w:marBottom w:val="0"/>
      <w:divBdr>
        <w:top w:val="none" w:sz="0" w:space="0" w:color="auto"/>
        <w:left w:val="none" w:sz="0" w:space="0" w:color="auto"/>
        <w:bottom w:val="none" w:sz="0" w:space="0" w:color="auto"/>
        <w:right w:val="none" w:sz="0" w:space="0" w:color="auto"/>
      </w:divBdr>
    </w:div>
    <w:div w:id="622225319">
      <w:bodyDiv w:val="1"/>
      <w:marLeft w:val="0"/>
      <w:marRight w:val="0"/>
      <w:marTop w:val="0"/>
      <w:marBottom w:val="0"/>
      <w:divBdr>
        <w:top w:val="none" w:sz="0" w:space="0" w:color="auto"/>
        <w:left w:val="none" w:sz="0" w:space="0" w:color="auto"/>
        <w:bottom w:val="none" w:sz="0" w:space="0" w:color="auto"/>
        <w:right w:val="none" w:sz="0" w:space="0" w:color="auto"/>
      </w:divBdr>
    </w:div>
    <w:div w:id="715736578">
      <w:bodyDiv w:val="1"/>
      <w:marLeft w:val="0"/>
      <w:marRight w:val="0"/>
      <w:marTop w:val="0"/>
      <w:marBottom w:val="0"/>
      <w:divBdr>
        <w:top w:val="none" w:sz="0" w:space="0" w:color="auto"/>
        <w:left w:val="none" w:sz="0" w:space="0" w:color="auto"/>
        <w:bottom w:val="none" w:sz="0" w:space="0" w:color="auto"/>
        <w:right w:val="none" w:sz="0" w:space="0" w:color="auto"/>
      </w:divBdr>
    </w:div>
    <w:div w:id="739522316">
      <w:bodyDiv w:val="1"/>
      <w:marLeft w:val="0"/>
      <w:marRight w:val="0"/>
      <w:marTop w:val="0"/>
      <w:marBottom w:val="0"/>
      <w:divBdr>
        <w:top w:val="none" w:sz="0" w:space="0" w:color="auto"/>
        <w:left w:val="none" w:sz="0" w:space="0" w:color="auto"/>
        <w:bottom w:val="none" w:sz="0" w:space="0" w:color="auto"/>
        <w:right w:val="none" w:sz="0" w:space="0" w:color="auto"/>
      </w:divBdr>
    </w:div>
    <w:div w:id="785544356">
      <w:bodyDiv w:val="1"/>
      <w:marLeft w:val="0"/>
      <w:marRight w:val="0"/>
      <w:marTop w:val="0"/>
      <w:marBottom w:val="0"/>
      <w:divBdr>
        <w:top w:val="none" w:sz="0" w:space="0" w:color="auto"/>
        <w:left w:val="none" w:sz="0" w:space="0" w:color="auto"/>
        <w:bottom w:val="none" w:sz="0" w:space="0" w:color="auto"/>
        <w:right w:val="none" w:sz="0" w:space="0" w:color="auto"/>
      </w:divBdr>
    </w:div>
    <w:div w:id="791248495">
      <w:bodyDiv w:val="1"/>
      <w:marLeft w:val="0"/>
      <w:marRight w:val="0"/>
      <w:marTop w:val="0"/>
      <w:marBottom w:val="0"/>
      <w:divBdr>
        <w:top w:val="none" w:sz="0" w:space="0" w:color="auto"/>
        <w:left w:val="none" w:sz="0" w:space="0" w:color="auto"/>
        <w:bottom w:val="none" w:sz="0" w:space="0" w:color="auto"/>
        <w:right w:val="none" w:sz="0" w:space="0" w:color="auto"/>
      </w:divBdr>
    </w:div>
    <w:div w:id="826946244">
      <w:bodyDiv w:val="1"/>
      <w:marLeft w:val="0"/>
      <w:marRight w:val="0"/>
      <w:marTop w:val="0"/>
      <w:marBottom w:val="0"/>
      <w:divBdr>
        <w:top w:val="none" w:sz="0" w:space="0" w:color="auto"/>
        <w:left w:val="none" w:sz="0" w:space="0" w:color="auto"/>
        <w:bottom w:val="none" w:sz="0" w:space="0" w:color="auto"/>
        <w:right w:val="none" w:sz="0" w:space="0" w:color="auto"/>
      </w:divBdr>
    </w:div>
    <w:div w:id="837961206">
      <w:bodyDiv w:val="1"/>
      <w:marLeft w:val="0"/>
      <w:marRight w:val="0"/>
      <w:marTop w:val="0"/>
      <w:marBottom w:val="0"/>
      <w:divBdr>
        <w:top w:val="none" w:sz="0" w:space="0" w:color="auto"/>
        <w:left w:val="none" w:sz="0" w:space="0" w:color="auto"/>
        <w:bottom w:val="none" w:sz="0" w:space="0" w:color="auto"/>
        <w:right w:val="none" w:sz="0" w:space="0" w:color="auto"/>
      </w:divBdr>
    </w:div>
    <w:div w:id="863129905">
      <w:bodyDiv w:val="1"/>
      <w:marLeft w:val="0"/>
      <w:marRight w:val="0"/>
      <w:marTop w:val="0"/>
      <w:marBottom w:val="0"/>
      <w:divBdr>
        <w:top w:val="none" w:sz="0" w:space="0" w:color="auto"/>
        <w:left w:val="none" w:sz="0" w:space="0" w:color="auto"/>
        <w:bottom w:val="none" w:sz="0" w:space="0" w:color="auto"/>
        <w:right w:val="none" w:sz="0" w:space="0" w:color="auto"/>
      </w:divBdr>
    </w:div>
    <w:div w:id="900794041">
      <w:bodyDiv w:val="1"/>
      <w:marLeft w:val="0"/>
      <w:marRight w:val="0"/>
      <w:marTop w:val="0"/>
      <w:marBottom w:val="0"/>
      <w:divBdr>
        <w:top w:val="none" w:sz="0" w:space="0" w:color="auto"/>
        <w:left w:val="none" w:sz="0" w:space="0" w:color="auto"/>
        <w:bottom w:val="none" w:sz="0" w:space="0" w:color="auto"/>
        <w:right w:val="none" w:sz="0" w:space="0" w:color="auto"/>
      </w:divBdr>
    </w:div>
    <w:div w:id="915094941">
      <w:bodyDiv w:val="1"/>
      <w:marLeft w:val="0"/>
      <w:marRight w:val="0"/>
      <w:marTop w:val="0"/>
      <w:marBottom w:val="0"/>
      <w:divBdr>
        <w:top w:val="none" w:sz="0" w:space="0" w:color="auto"/>
        <w:left w:val="none" w:sz="0" w:space="0" w:color="auto"/>
        <w:bottom w:val="none" w:sz="0" w:space="0" w:color="auto"/>
        <w:right w:val="none" w:sz="0" w:space="0" w:color="auto"/>
      </w:divBdr>
    </w:div>
    <w:div w:id="948246317">
      <w:bodyDiv w:val="1"/>
      <w:marLeft w:val="0"/>
      <w:marRight w:val="0"/>
      <w:marTop w:val="0"/>
      <w:marBottom w:val="0"/>
      <w:divBdr>
        <w:top w:val="none" w:sz="0" w:space="0" w:color="auto"/>
        <w:left w:val="none" w:sz="0" w:space="0" w:color="auto"/>
        <w:bottom w:val="none" w:sz="0" w:space="0" w:color="auto"/>
        <w:right w:val="none" w:sz="0" w:space="0" w:color="auto"/>
      </w:divBdr>
      <w:divsChild>
        <w:div w:id="463618592">
          <w:marLeft w:val="446"/>
          <w:marRight w:val="0"/>
          <w:marTop w:val="200"/>
          <w:marBottom w:val="0"/>
          <w:divBdr>
            <w:top w:val="none" w:sz="0" w:space="0" w:color="auto"/>
            <w:left w:val="none" w:sz="0" w:space="0" w:color="auto"/>
            <w:bottom w:val="none" w:sz="0" w:space="0" w:color="auto"/>
            <w:right w:val="none" w:sz="0" w:space="0" w:color="auto"/>
          </w:divBdr>
        </w:div>
        <w:div w:id="755437855">
          <w:marLeft w:val="446"/>
          <w:marRight w:val="0"/>
          <w:marTop w:val="200"/>
          <w:marBottom w:val="0"/>
          <w:divBdr>
            <w:top w:val="none" w:sz="0" w:space="0" w:color="auto"/>
            <w:left w:val="none" w:sz="0" w:space="0" w:color="auto"/>
            <w:bottom w:val="none" w:sz="0" w:space="0" w:color="auto"/>
            <w:right w:val="none" w:sz="0" w:space="0" w:color="auto"/>
          </w:divBdr>
        </w:div>
        <w:div w:id="823400140">
          <w:marLeft w:val="446"/>
          <w:marRight w:val="0"/>
          <w:marTop w:val="200"/>
          <w:marBottom w:val="0"/>
          <w:divBdr>
            <w:top w:val="none" w:sz="0" w:space="0" w:color="auto"/>
            <w:left w:val="none" w:sz="0" w:space="0" w:color="auto"/>
            <w:bottom w:val="none" w:sz="0" w:space="0" w:color="auto"/>
            <w:right w:val="none" w:sz="0" w:space="0" w:color="auto"/>
          </w:divBdr>
        </w:div>
        <w:div w:id="1411464827">
          <w:marLeft w:val="446"/>
          <w:marRight w:val="0"/>
          <w:marTop w:val="200"/>
          <w:marBottom w:val="0"/>
          <w:divBdr>
            <w:top w:val="none" w:sz="0" w:space="0" w:color="auto"/>
            <w:left w:val="none" w:sz="0" w:space="0" w:color="auto"/>
            <w:bottom w:val="none" w:sz="0" w:space="0" w:color="auto"/>
            <w:right w:val="none" w:sz="0" w:space="0" w:color="auto"/>
          </w:divBdr>
        </w:div>
        <w:div w:id="1853496343">
          <w:marLeft w:val="446"/>
          <w:marRight w:val="0"/>
          <w:marTop w:val="200"/>
          <w:marBottom w:val="0"/>
          <w:divBdr>
            <w:top w:val="none" w:sz="0" w:space="0" w:color="auto"/>
            <w:left w:val="none" w:sz="0" w:space="0" w:color="auto"/>
            <w:bottom w:val="none" w:sz="0" w:space="0" w:color="auto"/>
            <w:right w:val="none" w:sz="0" w:space="0" w:color="auto"/>
          </w:divBdr>
        </w:div>
        <w:div w:id="1915508737">
          <w:marLeft w:val="446"/>
          <w:marRight w:val="0"/>
          <w:marTop w:val="200"/>
          <w:marBottom w:val="0"/>
          <w:divBdr>
            <w:top w:val="none" w:sz="0" w:space="0" w:color="auto"/>
            <w:left w:val="none" w:sz="0" w:space="0" w:color="auto"/>
            <w:bottom w:val="none" w:sz="0" w:space="0" w:color="auto"/>
            <w:right w:val="none" w:sz="0" w:space="0" w:color="auto"/>
          </w:divBdr>
        </w:div>
      </w:divsChild>
    </w:div>
    <w:div w:id="975179067">
      <w:bodyDiv w:val="1"/>
      <w:marLeft w:val="0"/>
      <w:marRight w:val="0"/>
      <w:marTop w:val="0"/>
      <w:marBottom w:val="0"/>
      <w:divBdr>
        <w:top w:val="none" w:sz="0" w:space="0" w:color="auto"/>
        <w:left w:val="none" w:sz="0" w:space="0" w:color="auto"/>
        <w:bottom w:val="none" w:sz="0" w:space="0" w:color="auto"/>
        <w:right w:val="none" w:sz="0" w:space="0" w:color="auto"/>
      </w:divBdr>
      <w:divsChild>
        <w:div w:id="1395813071">
          <w:marLeft w:val="0"/>
          <w:marRight w:val="0"/>
          <w:marTop w:val="0"/>
          <w:marBottom w:val="0"/>
          <w:divBdr>
            <w:top w:val="none" w:sz="0" w:space="0" w:color="auto"/>
            <w:left w:val="none" w:sz="0" w:space="0" w:color="auto"/>
            <w:bottom w:val="none" w:sz="0" w:space="0" w:color="auto"/>
            <w:right w:val="none" w:sz="0" w:space="0" w:color="auto"/>
          </w:divBdr>
          <w:divsChild>
            <w:div w:id="1032799489">
              <w:marLeft w:val="0"/>
              <w:marRight w:val="0"/>
              <w:marTop w:val="0"/>
              <w:marBottom w:val="0"/>
              <w:divBdr>
                <w:top w:val="none" w:sz="0" w:space="0" w:color="auto"/>
                <w:left w:val="none" w:sz="0" w:space="0" w:color="auto"/>
                <w:bottom w:val="none" w:sz="0" w:space="0" w:color="auto"/>
                <w:right w:val="none" w:sz="0" w:space="0" w:color="auto"/>
              </w:divBdr>
              <w:divsChild>
                <w:div w:id="13632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677174">
      <w:bodyDiv w:val="1"/>
      <w:marLeft w:val="0"/>
      <w:marRight w:val="0"/>
      <w:marTop w:val="0"/>
      <w:marBottom w:val="0"/>
      <w:divBdr>
        <w:top w:val="none" w:sz="0" w:space="0" w:color="auto"/>
        <w:left w:val="none" w:sz="0" w:space="0" w:color="auto"/>
        <w:bottom w:val="none" w:sz="0" w:space="0" w:color="auto"/>
        <w:right w:val="none" w:sz="0" w:space="0" w:color="auto"/>
      </w:divBdr>
    </w:div>
    <w:div w:id="993795100">
      <w:bodyDiv w:val="1"/>
      <w:marLeft w:val="0"/>
      <w:marRight w:val="0"/>
      <w:marTop w:val="0"/>
      <w:marBottom w:val="0"/>
      <w:divBdr>
        <w:top w:val="none" w:sz="0" w:space="0" w:color="auto"/>
        <w:left w:val="none" w:sz="0" w:space="0" w:color="auto"/>
        <w:bottom w:val="none" w:sz="0" w:space="0" w:color="auto"/>
        <w:right w:val="none" w:sz="0" w:space="0" w:color="auto"/>
      </w:divBdr>
    </w:div>
    <w:div w:id="1095898918">
      <w:bodyDiv w:val="1"/>
      <w:marLeft w:val="0"/>
      <w:marRight w:val="0"/>
      <w:marTop w:val="0"/>
      <w:marBottom w:val="0"/>
      <w:divBdr>
        <w:top w:val="none" w:sz="0" w:space="0" w:color="auto"/>
        <w:left w:val="none" w:sz="0" w:space="0" w:color="auto"/>
        <w:bottom w:val="none" w:sz="0" w:space="0" w:color="auto"/>
        <w:right w:val="none" w:sz="0" w:space="0" w:color="auto"/>
      </w:divBdr>
    </w:div>
    <w:div w:id="1226334545">
      <w:bodyDiv w:val="1"/>
      <w:marLeft w:val="0"/>
      <w:marRight w:val="0"/>
      <w:marTop w:val="0"/>
      <w:marBottom w:val="0"/>
      <w:divBdr>
        <w:top w:val="none" w:sz="0" w:space="0" w:color="auto"/>
        <w:left w:val="none" w:sz="0" w:space="0" w:color="auto"/>
        <w:bottom w:val="none" w:sz="0" w:space="0" w:color="auto"/>
        <w:right w:val="none" w:sz="0" w:space="0" w:color="auto"/>
      </w:divBdr>
    </w:div>
    <w:div w:id="1262376814">
      <w:bodyDiv w:val="1"/>
      <w:marLeft w:val="0"/>
      <w:marRight w:val="0"/>
      <w:marTop w:val="0"/>
      <w:marBottom w:val="0"/>
      <w:divBdr>
        <w:top w:val="none" w:sz="0" w:space="0" w:color="auto"/>
        <w:left w:val="none" w:sz="0" w:space="0" w:color="auto"/>
        <w:bottom w:val="none" w:sz="0" w:space="0" w:color="auto"/>
        <w:right w:val="none" w:sz="0" w:space="0" w:color="auto"/>
      </w:divBdr>
    </w:div>
    <w:div w:id="1302727753">
      <w:bodyDiv w:val="1"/>
      <w:marLeft w:val="0"/>
      <w:marRight w:val="0"/>
      <w:marTop w:val="0"/>
      <w:marBottom w:val="0"/>
      <w:divBdr>
        <w:top w:val="none" w:sz="0" w:space="0" w:color="auto"/>
        <w:left w:val="none" w:sz="0" w:space="0" w:color="auto"/>
        <w:bottom w:val="none" w:sz="0" w:space="0" w:color="auto"/>
        <w:right w:val="none" w:sz="0" w:space="0" w:color="auto"/>
      </w:divBdr>
    </w:div>
    <w:div w:id="1329403324">
      <w:bodyDiv w:val="1"/>
      <w:marLeft w:val="0"/>
      <w:marRight w:val="0"/>
      <w:marTop w:val="0"/>
      <w:marBottom w:val="0"/>
      <w:divBdr>
        <w:top w:val="none" w:sz="0" w:space="0" w:color="auto"/>
        <w:left w:val="none" w:sz="0" w:space="0" w:color="auto"/>
        <w:bottom w:val="none" w:sz="0" w:space="0" w:color="auto"/>
        <w:right w:val="none" w:sz="0" w:space="0" w:color="auto"/>
      </w:divBdr>
    </w:div>
    <w:div w:id="1422484493">
      <w:bodyDiv w:val="1"/>
      <w:marLeft w:val="0"/>
      <w:marRight w:val="0"/>
      <w:marTop w:val="0"/>
      <w:marBottom w:val="0"/>
      <w:divBdr>
        <w:top w:val="none" w:sz="0" w:space="0" w:color="auto"/>
        <w:left w:val="none" w:sz="0" w:space="0" w:color="auto"/>
        <w:bottom w:val="none" w:sz="0" w:space="0" w:color="auto"/>
        <w:right w:val="none" w:sz="0" w:space="0" w:color="auto"/>
      </w:divBdr>
    </w:div>
    <w:div w:id="1455833122">
      <w:bodyDiv w:val="1"/>
      <w:marLeft w:val="0"/>
      <w:marRight w:val="0"/>
      <w:marTop w:val="0"/>
      <w:marBottom w:val="0"/>
      <w:divBdr>
        <w:top w:val="none" w:sz="0" w:space="0" w:color="auto"/>
        <w:left w:val="none" w:sz="0" w:space="0" w:color="auto"/>
        <w:bottom w:val="none" w:sz="0" w:space="0" w:color="auto"/>
        <w:right w:val="none" w:sz="0" w:space="0" w:color="auto"/>
      </w:divBdr>
    </w:div>
    <w:div w:id="1523203675">
      <w:bodyDiv w:val="1"/>
      <w:marLeft w:val="0"/>
      <w:marRight w:val="0"/>
      <w:marTop w:val="0"/>
      <w:marBottom w:val="0"/>
      <w:divBdr>
        <w:top w:val="none" w:sz="0" w:space="0" w:color="auto"/>
        <w:left w:val="none" w:sz="0" w:space="0" w:color="auto"/>
        <w:bottom w:val="none" w:sz="0" w:space="0" w:color="auto"/>
        <w:right w:val="none" w:sz="0" w:space="0" w:color="auto"/>
      </w:divBdr>
    </w:div>
    <w:div w:id="1546287763">
      <w:bodyDiv w:val="1"/>
      <w:marLeft w:val="0"/>
      <w:marRight w:val="0"/>
      <w:marTop w:val="0"/>
      <w:marBottom w:val="0"/>
      <w:divBdr>
        <w:top w:val="none" w:sz="0" w:space="0" w:color="auto"/>
        <w:left w:val="none" w:sz="0" w:space="0" w:color="auto"/>
        <w:bottom w:val="none" w:sz="0" w:space="0" w:color="auto"/>
        <w:right w:val="none" w:sz="0" w:space="0" w:color="auto"/>
      </w:divBdr>
    </w:div>
    <w:div w:id="1674723037">
      <w:bodyDiv w:val="1"/>
      <w:marLeft w:val="0"/>
      <w:marRight w:val="0"/>
      <w:marTop w:val="0"/>
      <w:marBottom w:val="0"/>
      <w:divBdr>
        <w:top w:val="none" w:sz="0" w:space="0" w:color="auto"/>
        <w:left w:val="none" w:sz="0" w:space="0" w:color="auto"/>
        <w:bottom w:val="none" w:sz="0" w:space="0" w:color="auto"/>
        <w:right w:val="none" w:sz="0" w:space="0" w:color="auto"/>
      </w:divBdr>
    </w:div>
    <w:div w:id="1679304424">
      <w:bodyDiv w:val="1"/>
      <w:marLeft w:val="0"/>
      <w:marRight w:val="0"/>
      <w:marTop w:val="0"/>
      <w:marBottom w:val="0"/>
      <w:divBdr>
        <w:top w:val="none" w:sz="0" w:space="0" w:color="auto"/>
        <w:left w:val="none" w:sz="0" w:space="0" w:color="auto"/>
        <w:bottom w:val="none" w:sz="0" w:space="0" w:color="auto"/>
        <w:right w:val="none" w:sz="0" w:space="0" w:color="auto"/>
      </w:divBdr>
    </w:div>
    <w:div w:id="1750732137">
      <w:bodyDiv w:val="1"/>
      <w:marLeft w:val="0"/>
      <w:marRight w:val="0"/>
      <w:marTop w:val="0"/>
      <w:marBottom w:val="0"/>
      <w:divBdr>
        <w:top w:val="none" w:sz="0" w:space="0" w:color="auto"/>
        <w:left w:val="none" w:sz="0" w:space="0" w:color="auto"/>
        <w:bottom w:val="none" w:sz="0" w:space="0" w:color="auto"/>
        <w:right w:val="none" w:sz="0" w:space="0" w:color="auto"/>
      </w:divBdr>
      <w:divsChild>
        <w:div w:id="799539529">
          <w:marLeft w:val="504"/>
          <w:marRight w:val="0"/>
          <w:marTop w:val="160"/>
          <w:marBottom w:val="160"/>
          <w:divBdr>
            <w:top w:val="none" w:sz="0" w:space="0" w:color="auto"/>
            <w:left w:val="none" w:sz="0" w:space="0" w:color="auto"/>
            <w:bottom w:val="none" w:sz="0" w:space="0" w:color="auto"/>
            <w:right w:val="none" w:sz="0" w:space="0" w:color="auto"/>
          </w:divBdr>
        </w:div>
        <w:div w:id="1489588542">
          <w:marLeft w:val="504"/>
          <w:marRight w:val="0"/>
          <w:marTop w:val="160"/>
          <w:marBottom w:val="160"/>
          <w:divBdr>
            <w:top w:val="none" w:sz="0" w:space="0" w:color="auto"/>
            <w:left w:val="none" w:sz="0" w:space="0" w:color="auto"/>
            <w:bottom w:val="none" w:sz="0" w:space="0" w:color="auto"/>
            <w:right w:val="none" w:sz="0" w:space="0" w:color="auto"/>
          </w:divBdr>
        </w:div>
        <w:div w:id="1668829216">
          <w:marLeft w:val="504"/>
          <w:marRight w:val="0"/>
          <w:marTop w:val="160"/>
          <w:marBottom w:val="160"/>
          <w:divBdr>
            <w:top w:val="none" w:sz="0" w:space="0" w:color="auto"/>
            <w:left w:val="none" w:sz="0" w:space="0" w:color="auto"/>
            <w:bottom w:val="none" w:sz="0" w:space="0" w:color="auto"/>
            <w:right w:val="none" w:sz="0" w:space="0" w:color="auto"/>
          </w:divBdr>
        </w:div>
        <w:div w:id="2004971323">
          <w:marLeft w:val="504"/>
          <w:marRight w:val="0"/>
          <w:marTop w:val="160"/>
          <w:marBottom w:val="160"/>
          <w:divBdr>
            <w:top w:val="none" w:sz="0" w:space="0" w:color="auto"/>
            <w:left w:val="none" w:sz="0" w:space="0" w:color="auto"/>
            <w:bottom w:val="none" w:sz="0" w:space="0" w:color="auto"/>
            <w:right w:val="none" w:sz="0" w:space="0" w:color="auto"/>
          </w:divBdr>
        </w:div>
      </w:divsChild>
    </w:div>
    <w:div w:id="1812477869">
      <w:bodyDiv w:val="1"/>
      <w:marLeft w:val="0"/>
      <w:marRight w:val="0"/>
      <w:marTop w:val="0"/>
      <w:marBottom w:val="0"/>
      <w:divBdr>
        <w:top w:val="none" w:sz="0" w:space="0" w:color="auto"/>
        <w:left w:val="none" w:sz="0" w:space="0" w:color="auto"/>
        <w:bottom w:val="none" w:sz="0" w:space="0" w:color="auto"/>
        <w:right w:val="none" w:sz="0" w:space="0" w:color="auto"/>
      </w:divBdr>
    </w:div>
    <w:div w:id="1879656725">
      <w:bodyDiv w:val="1"/>
      <w:marLeft w:val="0"/>
      <w:marRight w:val="0"/>
      <w:marTop w:val="0"/>
      <w:marBottom w:val="0"/>
      <w:divBdr>
        <w:top w:val="none" w:sz="0" w:space="0" w:color="auto"/>
        <w:left w:val="none" w:sz="0" w:space="0" w:color="auto"/>
        <w:bottom w:val="none" w:sz="0" w:space="0" w:color="auto"/>
        <w:right w:val="none" w:sz="0" w:space="0" w:color="auto"/>
      </w:divBdr>
    </w:div>
    <w:div w:id="1918586829">
      <w:bodyDiv w:val="1"/>
      <w:marLeft w:val="0"/>
      <w:marRight w:val="0"/>
      <w:marTop w:val="0"/>
      <w:marBottom w:val="0"/>
      <w:divBdr>
        <w:top w:val="none" w:sz="0" w:space="0" w:color="auto"/>
        <w:left w:val="none" w:sz="0" w:space="0" w:color="auto"/>
        <w:bottom w:val="none" w:sz="0" w:space="0" w:color="auto"/>
        <w:right w:val="none" w:sz="0" w:space="0" w:color="auto"/>
      </w:divBdr>
      <w:divsChild>
        <w:div w:id="483543178">
          <w:marLeft w:val="446"/>
          <w:marRight w:val="0"/>
          <w:marTop w:val="240"/>
          <w:marBottom w:val="0"/>
          <w:divBdr>
            <w:top w:val="none" w:sz="0" w:space="0" w:color="auto"/>
            <w:left w:val="none" w:sz="0" w:space="0" w:color="auto"/>
            <w:bottom w:val="none" w:sz="0" w:space="0" w:color="auto"/>
            <w:right w:val="none" w:sz="0" w:space="0" w:color="auto"/>
          </w:divBdr>
        </w:div>
        <w:div w:id="507253477">
          <w:marLeft w:val="446"/>
          <w:marRight w:val="0"/>
          <w:marTop w:val="240"/>
          <w:marBottom w:val="0"/>
          <w:divBdr>
            <w:top w:val="none" w:sz="0" w:space="0" w:color="auto"/>
            <w:left w:val="none" w:sz="0" w:space="0" w:color="auto"/>
            <w:bottom w:val="none" w:sz="0" w:space="0" w:color="auto"/>
            <w:right w:val="none" w:sz="0" w:space="0" w:color="auto"/>
          </w:divBdr>
        </w:div>
        <w:div w:id="1506869746">
          <w:marLeft w:val="1166"/>
          <w:marRight w:val="0"/>
          <w:marTop w:val="160"/>
          <w:marBottom w:val="0"/>
          <w:divBdr>
            <w:top w:val="none" w:sz="0" w:space="0" w:color="auto"/>
            <w:left w:val="none" w:sz="0" w:space="0" w:color="auto"/>
            <w:bottom w:val="none" w:sz="0" w:space="0" w:color="auto"/>
            <w:right w:val="none" w:sz="0" w:space="0" w:color="auto"/>
          </w:divBdr>
        </w:div>
        <w:div w:id="1605571915">
          <w:marLeft w:val="1166"/>
          <w:marRight w:val="0"/>
          <w:marTop w:val="160"/>
          <w:marBottom w:val="0"/>
          <w:divBdr>
            <w:top w:val="none" w:sz="0" w:space="0" w:color="auto"/>
            <w:left w:val="none" w:sz="0" w:space="0" w:color="auto"/>
            <w:bottom w:val="none" w:sz="0" w:space="0" w:color="auto"/>
            <w:right w:val="none" w:sz="0" w:space="0" w:color="auto"/>
          </w:divBdr>
        </w:div>
        <w:div w:id="1738361490">
          <w:marLeft w:val="446"/>
          <w:marRight w:val="0"/>
          <w:marTop w:val="240"/>
          <w:marBottom w:val="0"/>
          <w:divBdr>
            <w:top w:val="none" w:sz="0" w:space="0" w:color="auto"/>
            <w:left w:val="none" w:sz="0" w:space="0" w:color="auto"/>
            <w:bottom w:val="none" w:sz="0" w:space="0" w:color="auto"/>
            <w:right w:val="none" w:sz="0" w:space="0" w:color="auto"/>
          </w:divBdr>
        </w:div>
        <w:div w:id="1776362838">
          <w:marLeft w:val="446"/>
          <w:marRight w:val="0"/>
          <w:marTop w:val="240"/>
          <w:marBottom w:val="0"/>
          <w:divBdr>
            <w:top w:val="none" w:sz="0" w:space="0" w:color="auto"/>
            <w:left w:val="none" w:sz="0" w:space="0" w:color="auto"/>
            <w:bottom w:val="none" w:sz="0" w:space="0" w:color="auto"/>
            <w:right w:val="none" w:sz="0" w:space="0" w:color="auto"/>
          </w:divBdr>
        </w:div>
        <w:div w:id="2004359495">
          <w:marLeft w:val="1166"/>
          <w:marRight w:val="0"/>
          <w:marTop w:val="160"/>
          <w:marBottom w:val="0"/>
          <w:divBdr>
            <w:top w:val="none" w:sz="0" w:space="0" w:color="auto"/>
            <w:left w:val="none" w:sz="0" w:space="0" w:color="auto"/>
            <w:bottom w:val="none" w:sz="0" w:space="0" w:color="auto"/>
            <w:right w:val="none" w:sz="0" w:space="0" w:color="auto"/>
          </w:divBdr>
        </w:div>
      </w:divsChild>
    </w:div>
    <w:div w:id="2104721081">
      <w:bodyDiv w:val="1"/>
      <w:marLeft w:val="0"/>
      <w:marRight w:val="0"/>
      <w:marTop w:val="0"/>
      <w:marBottom w:val="0"/>
      <w:divBdr>
        <w:top w:val="none" w:sz="0" w:space="0" w:color="auto"/>
        <w:left w:val="none" w:sz="0" w:space="0" w:color="auto"/>
        <w:bottom w:val="none" w:sz="0" w:space="0" w:color="auto"/>
        <w:right w:val="none" w:sz="0" w:space="0" w:color="auto"/>
      </w:divBdr>
    </w:div>
    <w:div w:id="2128157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4.wmf"/><Relationship Id="rId39" Type="http://schemas.openxmlformats.org/officeDocument/2006/relationships/image" Target="media/image27.emf"/><Relationship Id="rId21" Type="http://schemas.openxmlformats.org/officeDocument/2006/relationships/image" Target="media/image10.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www.ppiaf.org/ppiaf/page/strategic-themes/universal-access/gender" TargetMode="External"/><Relationship Id="rId63" Type="http://schemas.openxmlformats.org/officeDocument/2006/relationships/image" Target="media/image50.emf"/><Relationship Id="rId68" Type="http://schemas.openxmlformats.org/officeDocument/2006/relationships/image" Target="media/image55.emf"/><Relationship Id="rId76" Type="http://schemas.openxmlformats.org/officeDocument/2006/relationships/hyperlink" Target="http://ideas.repec.org/s/aea/aecrev.html" TargetMode="External"/><Relationship Id="rId7" Type="http://schemas.openxmlformats.org/officeDocument/2006/relationships/webSettings" Target="webSetting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7.emf"/><Relationship Id="rId11" Type="http://schemas.openxmlformats.org/officeDocument/2006/relationships/footer" Target="footer1.xml"/><Relationship Id="rId24" Type="http://schemas.openxmlformats.org/officeDocument/2006/relationships/hyperlink" Target="http://www.growthcommission.org/index.php?Itemid=169&amp;id=96&amp;option=com_content&amp;task=view" TargetMode="External"/><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5.emf"/><Relationship Id="rId66" Type="http://schemas.openxmlformats.org/officeDocument/2006/relationships/image" Target="media/image53.png"/><Relationship Id="rId74" Type="http://schemas.openxmlformats.org/officeDocument/2006/relationships/footer" Target="footer3.xml"/><Relationship Id="rId79" Type="http://schemas.openxmlformats.org/officeDocument/2006/relationships/hyperlink" Target="http://mcit.gov.af/en" TargetMode="External"/><Relationship Id="rId5" Type="http://schemas.microsoft.com/office/2007/relationships/stylesWithEffects" Target="stylesWithEffects.xml"/><Relationship Id="rId61" Type="http://schemas.openxmlformats.org/officeDocument/2006/relationships/image" Target="media/image48.emf"/><Relationship Id="rId82"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ppiaf.org/ppiaf/page/strategic-themes/universal-access/gender" TargetMode="External"/><Relationship Id="rId31" Type="http://schemas.openxmlformats.org/officeDocument/2006/relationships/image" Target="media/image19.emf"/><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emf"/><Relationship Id="rId73" Type="http://schemas.openxmlformats.org/officeDocument/2006/relationships/header" Target="header2.xml"/><Relationship Id="rId78" Type="http://schemas.openxmlformats.org/officeDocument/2006/relationships/hyperlink" Target="http://ideas.repec.org/s/cpr/ceprdp.html" TargetMode="Externa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png"/><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hyperlink" Target="http://ideas.repec.org/p/cpr/ceprdp/4418.html" TargetMode="External"/><Relationship Id="rId8" Type="http://schemas.openxmlformats.org/officeDocument/2006/relationships/footnotes" Target="footnotes.xml"/><Relationship Id="rId51" Type="http://schemas.openxmlformats.org/officeDocument/2006/relationships/image" Target="media/image39.png"/><Relationship Id="rId72" Type="http://schemas.openxmlformats.org/officeDocument/2006/relationships/footer" Target="footer2.xml"/><Relationship Id="rId80" Type="http://schemas.openxmlformats.org/officeDocument/2006/relationships/hyperlink" Target="http://mcit.gov.af/en" TargetMode="Externa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png"/><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9.jpeg"/><Relationship Id="rId41" Type="http://schemas.openxmlformats.org/officeDocument/2006/relationships/image" Target="media/image29.emf"/><Relationship Id="rId54" Type="http://schemas.openxmlformats.org/officeDocument/2006/relationships/image" Target="media/image42.png"/><Relationship Id="rId62" Type="http://schemas.openxmlformats.org/officeDocument/2006/relationships/image" Target="media/image49.emf"/><Relationship Id="rId70" Type="http://schemas.openxmlformats.org/officeDocument/2006/relationships/hyperlink" Target="http://en.wikipedia.org/wiki/Least_developed_country" TargetMode="External"/><Relationship Id="rId75" Type="http://schemas.openxmlformats.org/officeDocument/2006/relationships/hyperlink" Target="http://ideas.repec.org/a/aea/aecrev/v92y2002i2p236-240.htm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png"/><Relationship Id="rId57" Type="http://schemas.openxmlformats.org/officeDocument/2006/relationships/image" Target="media/image44.emf"/></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Turkmenistan" TargetMode="External"/><Relationship Id="rId3" Type="http://schemas.openxmlformats.org/officeDocument/2006/relationships/hyperlink" Target="http://en.wikipedia.org/wiki/Afghanistan" TargetMode="External"/><Relationship Id="rId7" Type="http://schemas.openxmlformats.org/officeDocument/2006/relationships/hyperlink" Target="http://en.wikipedia.org/wiki/Tajikistan" TargetMode="External"/><Relationship Id="rId2" Type="http://schemas.openxmlformats.org/officeDocument/2006/relationships/hyperlink" Target="http://mcit.gov.af/en" TargetMode="External"/><Relationship Id="rId1" Type="http://schemas.openxmlformats.org/officeDocument/2006/relationships/hyperlink" Target="http://mcit.gov.af/en" TargetMode="External"/><Relationship Id="rId6" Type="http://schemas.openxmlformats.org/officeDocument/2006/relationships/hyperlink" Target="http://en.wikipedia.org/wiki/Kyrgyzstan" TargetMode="External"/><Relationship Id="rId5" Type="http://schemas.openxmlformats.org/officeDocument/2006/relationships/hyperlink" Target="http://en.wikipedia.org/wiki/Kazakhstan" TargetMode="External"/><Relationship Id="rId4" Type="http://schemas.openxmlformats.org/officeDocument/2006/relationships/hyperlink" Target="http://en.wikipedia.org/wiki/Azerbaijan" TargetMode="External"/><Relationship Id="rId9" Type="http://schemas.openxmlformats.org/officeDocument/2006/relationships/hyperlink" Target="http://en.wikipedia.org/wiki/Uzbekistan" TargetMode="External"/></Relationships>
</file>

<file path=word/theme/theme1.xml><?xml version="1.0" encoding="utf-8"?>
<a:theme xmlns:a="http://schemas.openxmlformats.org/drawingml/2006/main" name="Office Theme">
  <a:themeElements>
    <a:clrScheme name="Custom 1">
      <a:dk1>
        <a:srgbClr val="410082"/>
      </a:dk1>
      <a:lt1>
        <a:sysClr val="window" lastClr="FFFFFF"/>
      </a:lt1>
      <a:dk2>
        <a:srgbClr val="69676D"/>
      </a:dk2>
      <a:lt2>
        <a:srgbClr val="C9C2D1"/>
      </a:lt2>
      <a:accent1>
        <a:srgbClr val="7D4D99"/>
      </a:accent1>
      <a:accent2>
        <a:srgbClr val="7E99D7"/>
      </a:accent2>
      <a:accent3>
        <a:srgbClr val="410082"/>
      </a:accent3>
      <a:accent4>
        <a:srgbClr val="A379BB"/>
      </a:accent4>
      <a:accent5>
        <a:srgbClr val="365BB0"/>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2011-11-25T00:00:00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Bea111</b:Tag>
    <b:SourceType>Report</b:SourceType>
    <b:Guid>{BD9F2189-71F5-452D-BF2B-5C9EBC424CBC}</b:Guid>
    <b:LCID>en-029</b:LCID>
    <b:Author>
      <b:Author>
        <b:NameList>
          <b:Person>
            <b:Last>Beath</b:Last>
            <b:First>Andrew</b:First>
          </b:Person>
          <b:Person>
            <b:Last>Christia</b:Last>
            <b:First>Fotini</b:First>
          </b:Person>
          <b:Person>
            <b:Last>Enikolopov</b:Last>
            <b:First>Ruben</b:First>
          </b:Person>
        </b:NameList>
      </b:Author>
    </b:Author>
    <b:Title>Winning Hearts and Minds? Evidence from a Field Experiment in Afghanistan</b:Title>
    <b:Year>2011</b:Year>
    <b:Publisher>MIT Political Science Department Research Paper No. 2011-14 </b:Publisher>
    <b:City>Cambridge, MA</b:City>
    <b:RefOrder>1</b:RefOrder>
  </b:Source>
  <b:Source>
    <b:Tag>Ico09</b:Tag>
    <b:SourceType>Report</b:SourceType>
    <b:Guid>{CD4A1FD3-2421-49CC-8F66-770BF642CD8E}</b:Guid>
    <b:LCID>en-029</b:LCID>
    <b:Author>
      <b:Author>
        <b:Corporate>Icon Institute</b:Corporate>
      </b:Author>
    </b:Author>
    <b:Title>National Risk and Vulnerability Assessment 2007/08 - A Profile of Afghanistan</b:Title>
    <b:Year>2009</b:Year>
    <b:Publisher>Jehoon Printing Press</b:Publisher>
    <b:City>Kabul</b:City>
    <b:RefOrder>2</b:RefOrder>
  </b:Source>
  <b:Source>
    <b:Tag>Wor11</b:Tag>
    <b:SourceType>ElectronicSource</b:SourceType>
    <b:Guid>{A8FFB79D-FBEE-410D-9285-A35EBB79A254}</b:Guid>
    <b:LCID>en-029</b:LCID>
    <b:Author>
      <b:Author>
        <b:Corporate>World Bank</b:Corporate>
      </b:Author>
    </b:Author>
    <b:Title>World Development Indicators</b:Title>
    <b:Year>2011</b:Year>
    <b:City>Washington</b:City>
    <b:StateProvince>DC</b:StateProvince>
    <b:CountryRegion>2011</b:CountryRegion>
    <b:Month>September</b:Month>
    <b:Day>18</b:Day>
    <b:RefOrder>3</b:RefOrder>
  </b:Source>
  <b:Source>
    <b:Tag>Bel10</b:Tag>
    <b:SourceType>Book</b:SourceType>
    <b:Guid>{E9553A4A-C879-4012-9BEC-9FB46678DB6E}</b:Guid>
    <b:LCID>en-029</b:LCID>
    <b:Author>
      <b:Author>
        <b:NameList>
          <b:Person>
            <b:Last>Belay</b:Last>
            <b:First>Tekabe</b:First>
            <b:Middle>A. (ed.)</b:Middle>
          </b:Person>
        </b:NameList>
      </b:Author>
    </b:Author>
    <b:Title>Building on Early Gains in Afghanistan's Health, Nutrition, and Population Sector - Challenges and Options</b:Title>
    <b:Year>2010</b:Year>
    <b:Publisher>World Bank</b:Publisher>
    <b:City>Washington, D.C.</b:City>
    <b:RefOrder>4</b:RefOrder>
  </b:Source>
  <b:Source>
    <b:Tag>Ahm04</b:Tag>
    <b:SourceType>JournalArticle</b:SourceType>
    <b:Guid>{6FC5521F-D498-45AD-992F-1C78386CD2B6}</b:Guid>
    <b:LCID>en-029</b:LCID>
    <b:Author>
      <b:Author>
        <b:NameList>
          <b:Person>
            <b:Last>Ahmad</b:Last>
            <b:First>Khabir</b:First>
          </b:Person>
        </b:NameList>
      </b:Author>
    </b:Author>
    <b:Title>Health and Money in Afghanistan</b:Title>
    <b:Year>2004</b:Year>
    <b:JournalName>The Lancet</b:JournalName>
    <b:Pages>1301 - 2</b:Pages>
    <b:RefOrder>5</b:RefOrder>
  </b:Source>
  <b:Source>
    <b:Tag>Joh09</b:Tag>
    <b:SourceType>JournalArticle</b:SourceType>
    <b:Guid>{2E1B06A6-983C-4605-8508-34C12D6B6F43}</b:Guid>
    <b:LCID>en-029</b:LCID>
    <b:Author>
      <b:Author>
        <b:NameList>
          <b:Person>
            <b:Last>Acerra</b:Last>
            <b:First>John</b:First>
            <b:Middle>R.</b:Middle>
          </b:Person>
          <b:Person>
            <b:Last>Iskyan</b:Last>
            <b:First>Kara</b:First>
          </b:Person>
          <b:Person>
            <b:Last>Qureshi</b:Last>
            <b:First>Zubair</b:First>
            <b:Middle>A.</b:Middle>
          </b:Person>
          <b:Person>
            <b:Last>Sharma</b:Last>
            <b:First>Rahul</b:First>
            <b:Middle>K.</b:Middle>
          </b:Person>
        </b:NameList>
      </b:Author>
    </b:Author>
    <b:Title>Rebuilding the Health Care System in Afghanistan: An Overview of Primary Care and Emergency Services</b:Title>
    <b:Year>2009</b:Year>
    <b:JournalName>International Journal of Emergency Medicine</b:JournalName>
    <b:Pages>77 - 82</b:Pages>
    <b:RefOrder>6</b:RefOrder>
  </b:Source>
  <b:Source>
    <b:Tag>Rel08</b:Tag>
    <b:SourceType>DocumentFromInternetSite</b:SourceType>
    <b:Guid>{5A6FE840-9D00-4762-B80E-148DE6038576}</b:Guid>
    <b:LCID>en-029</b:LCID>
    <b:Author>
      <b:Author>
        <b:Corporate>ReliefWeb</b:Corporate>
      </b:Author>
    </b:Author>
    <b:Title>Afghanistan: Insurgency, insecurity threaten health progress</b:Title>
    <b:Year>2008</b:Year>
    <b:InternetSiteTitle>ReliefWeb</b:InternetSiteTitle>
    <b:Month>July</b:Month>
    <b:Day>23</b:Day>
    <b:YearAccessed>2011</b:YearAccessed>
    <b:MonthAccessed>September</b:MonthAccessed>
    <b:DayAccessed>23</b:DayAccessed>
    <b:URL>http://reliefweb.int/node/274088</b:URL>
    <b:RefOrder>7</b:RefOrder>
  </b:Source>
  <b:Source>
    <b:Tag>Wor111</b:Tag>
    <b:SourceType>DocumentFromInternetSite</b:SourceType>
    <b:Guid>{AE75269F-1489-46C6-A63D-72DE3D660437}</b:Guid>
    <b:LCID>en-029</b:LCID>
    <b:Author>
      <b:Author>
        <b:Corporate>World Health Organisation</b:Corporate>
      </b:Author>
    </b:Author>
    <b:Title>NHA Indicators</b:Title>
    <b:InternetSiteTitle>Global Health Expenditure Database</b:InternetSiteTitle>
    <b:Year>2011</b:Year>
    <b:YearAccessed>2011</b:YearAccessed>
    <b:MonthAccessed>September</b:MonthAccessed>
    <b:DayAccessed>23</b:DayAccessed>
    <b:URL>http://apps.who.int/nha/database/PreDataExplorer.aspx?d=1</b:URL>
    <b:RefOrder>8</b:RefOrder>
  </b:Source>
  <b:Source>
    <b:Tag>BSa07</b:Tag>
    <b:SourceType>JournalArticle</b:SourceType>
    <b:Guid>{A95E6BEA-D0DE-4E62-BEE0-1046BD0BC2B1}</b:Guid>
    <b:LCID>en-029</b:LCID>
    <b:Author>
      <b:Author>
        <b:NameList>
          <b:Person>
            <b:Last>Sabri</b:Last>
            <b:First>B.</b:First>
          </b:Person>
          <b:Person>
            <b:Last>Siddiqi</b:Last>
            <b:First>S.</b:First>
          </b:Person>
          <b:Person>
            <b:Last>Ahmed</b:Last>
            <b:First>A.</b:First>
            <b:Middle>M.</b:Middle>
          </b:Person>
          <b:Person>
            <b:Last>Kakar</b:Last>
            <b:First>F.</b:First>
            <b:Middle>K.</b:Middle>
          </b:Person>
          <b:Person>
            <b:Last>Perrot</b:Last>
            <b:First>J.</b:First>
          </b:Person>
        </b:NameList>
      </b:Author>
    </b:Author>
    <b:Title>Towards Sustainable Delivery of Health Services in Afghanistan: Options for the Future</b:Title>
    <b:Year>2007</b:Year>
    <b:JournalName>Bulletin of the World Health Organization</b:JournalName>
    <b:Pages>649 - 732</b:Pages>
    <b:RefOrder>9</b:RefOrder>
  </b:Source>
  <b:Source>
    <b:Tag>Ben08</b:Tag>
    <b:SourceType>JournalArticle</b:SourceType>
    <b:Guid>{64042AEB-5E9F-4BE4-8B09-B63592F3B7D7}</b:Guid>
    <b:LCID>en-029</b:LCID>
    <b:Author>
      <b:Author>
        <b:NameList>
          <b:Person>
            <b:Last>Loevinsohn</b:Last>
            <b:First>Benjamin</b:First>
          </b:Person>
          <b:Person>
            <b:Last>Sayed</b:Last>
            <b:First>Ghulam</b:First>
            <b:Middle>Dasatagir</b:Middle>
          </b:Person>
        </b:NameList>
      </b:Author>
    </b:Author>
    <b:Title>Lessons from the Health Sector in Afghanistan: How Progress Can Be Made in Challgening Circumstances</b:Title>
    <b:JournalName>Journal of the American Medical Association</b:JournalName>
    <b:Year>2008</b:Year>
    <b:Pages>724 - 726</b:Pages>
    <b:RefOrder>10</b:RefOrder>
  </b:Source>
  <b:Source>
    <b:Tag>Bea112</b:Tag>
    <b:SourceType>Report</b:SourceType>
    <b:Guid>{37B19D6F-707E-4EFF-8661-4EFD0AAC6BD3}</b:Guid>
    <b:LCID>en-029</b:LCID>
    <b:Author>
      <b:Author>
        <b:NameList>
          <b:Person>
            <b:Last>Beaston-Blaakman</b:Last>
            <b:First>Aaron</b:First>
          </b:Person>
          <b:Person>
            <b:Last>Cros</b:Last>
            <b:First>Marion</b:First>
          </b:Person>
        </b:NameList>
      </b:Author>
    </b:Author>
    <b:Title>A Cost-Efficiency Analysis of Two Alternative Models for Implementing the Basic Package of Health Services (BPHS) in Afghanistan</b:Title>
    <b:Year>2011</b:Year>
    <b:Publisher>Delegation of the European Commission to Afghanistan</b:Publisher>
    <b:City>Kabul</b:City>
    <b:RefOrder>11</b:RefOrder>
  </b:Source>
  <b:Source>
    <b:Tag>Way07</b:Tag>
    <b:SourceType>JournalArticle</b:SourceType>
    <b:Guid>{DE40ED38-D924-4735-A38F-58B47CF1C5CC}</b:Guid>
    <b:LCID>en-029</b:LCID>
    <b:Author>
      <b:Author>
        <b:NameList>
          <b:Person>
            <b:Last>Kondro</b:Last>
            <b:First>Wayne</b:First>
          </b:Person>
        </b:NameList>
      </b:Author>
    </b:Author>
    <b:Title>Afghanistan: Outside the Comfort Zone in a War Zone</b:Title>
    <b:Year>2007</b:Year>
    <b:JournalName>Canadian Medical Association Journal</b:JournalName>
    <b:Pages>131 - 134</b:Pages>
    <b:RefOrder>12</b:RefOrder>
  </b:Source>
  <b:Source>
    <b:Tag>Placeholder1</b:Tag>
    <b:SourceType>InternetSite</b:SourceType>
    <b:Guid>{0B677F86-32BE-4C0F-B701-39112C9575F8}</b:Guid>
    <b:LCID>en-029</b:LCID>
    <b:Author>
      <b:Author>
        <b:Corporate>World Bank</b:Corporate>
      </b:Author>
    </b:Author>
    <b:Title>Afghanistan Country Overview 2011</b:Title>
    <b:Year>2011</b:Year>
    <b:Month>August</b:Month>
    <b:YearAccessed>2011</b:YearAccessed>
    <b:MonthAccessed>September</b:MonthAccessed>
    <b:DayAccessed>20</b:DayAccessed>
    <b:URL>http://go.worldbank.org/1238X2WDR0</b:URL>
    <b:RefOrder>13</b:RefOrder>
  </b:Source>
  <b:Source>
    <b:Tag>Isl08</b:Tag>
    <b:SourceType>Report</b:SourceType>
    <b:Guid>{A0B175E6-3A5E-4535-8A7C-B367C1379115}</b:Guid>
    <b:LCID>en-029</b:LCID>
    <b:Author>
      <b:Author>
        <b:NameList>
          <b:Person>
            <b:Last>Mafizul</b:Last>
            <b:First>Islam</b:First>
            <b:Middle>Dr.</b:Middle>
          </b:Person>
          <b:Person>
            <b:Last>Wieland</b:Last>
            <b:First>Robert</b:First>
          </b:Person>
          <b:Person>
            <b:Last>Adiv</b:Last>
            <b:First>Roni</b:First>
          </b:Person>
        </b:NameList>
      </b:Author>
    </b:Author>
    <b:Title>Roads Socio-Economic Impact Assessment</b:Title>
    <b:Year>2008</b:Year>
    <b:Publisher>United States Agency for International Development</b:Publisher>
    <b:City>Kabul</b:City>
    <b:RefOrder>14</b:RefOrder>
  </b:Source>
  <b:Source>
    <b:Tag>Gle11</b:Tag>
    <b:SourceType>ArticleInAPeriodical</b:SourceType>
    <b:Guid>{2F84304A-EBCC-4233-AA19-B35140F41BEB}</b:Guid>
    <b:LCID>en-029</b:LCID>
    <b:Author>
      <b:Author>
        <b:NameList>
          <b:Person>
            <b:Last>Zorpette</b:Last>
            <b:First>Glenn</b:First>
          </b:Person>
        </b:NameList>
      </b:Author>
    </b:Author>
    <b:Title>Struggling for Power in Afghanistan</b:Title>
    <b:Year>2011</b:Year>
    <b:PeriodicalTitle>New York Times</b:PeriodicalTitle>
    <b:Month>July</b:Month>
    <b:Day>6</b:Day>
    <b:Pages>A21</b:Pages>
    <b:RefOrder>15</b:RefOrder>
  </b:Source>
  <b:Source>
    <b:Tag>USA10</b:Tag>
    <b:SourceType>DocumentFromInternetSite</b:SourceType>
    <b:Guid>{BC380772-4222-4F8D-8AA8-739DACBF5EB8}</b:Guid>
    <b:LCID>en-029</b:LCID>
    <b:Author>
      <b:Author>
        <b:Corporate>USAID</b:Corporate>
      </b:Author>
    </b:Author>
    <b:Title>Officials to Establish Road Authority</b:Title>
    <b:Year>2010</b:Year>
    <b:Month>September</b:Month>
    <b:Day>23</b:Day>
    <b:InternetSiteTitle>USAID Afghanistan</b:InternetSiteTitle>
    <b:YearAccessed>2011</b:YearAccessed>
    <b:MonthAccessed>September</b:MonthAccessed>
    <b:DayAccessed>26</b:DayAccessed>
    <b:URL>http://afghanistan.usaid.gov/en/USAID/Article/1304/Officials_to_Establish_Road_Authority</b:URL>
    <b:RefOrder>16</b:RefOrder>
  </b:Source>
  <b:Source>
    <b:Tag>USA11</b:Tag>
    <b:SourceType>DocumentFromInternetSite</b:SourceType>
    <b:Guid>{B010D943-B4EE-4E42-9C08-D88CF25F07B8}</b:Guid>
    <b:LCID>en-029</b:LCID>
    <b:Author>
      <b:Author>
        <b:Corporate>USAID</b:Corporate>
      </b:Author>
    </b:Author>
    <b:Title>Road Operation and Maintenance Capacity Building Project</b:Title>
    <b:InternetSiteTitle>USAID Afghanistan</b:InternetSiteTitle>
    <b:Year>2011</b:Year>
    <b:Month>September</b:Month>
    <b:Day>26</b:Day>
    <b:YearAccessed>2011</b:YearAccessed>
    <b:MonthAccessed>September</b:MonthAccessed>
    <b:DayAccessed>26</b:DayAccessed>
    <b:URL>http://afghanistan.usaid.gov/en/USAID/Activity/214/Road_Operation_and_Maintenance_Capacity_Building_Project</b:URL>
    <b:RefOrder>17</b:RefOrder>
  </b:Source>
  <b:Source>
    <b:Tag>Placeholder2</b:Tag>
    <b:SourceType>Report</b:SourceType>
    <b:Guid>{F5E7778F-63ED-4419-8690-9260A3C7A2E6}</b:Guid>
    <b:LCID>en-029</b:LCID>
    <b:Author>
      <b:Author>
        <b:NameList>
          <b:Person>
            <b:Last>USAID</b:Last>
          </b:Person>
        </b:NameList>
      </b:Author>
    </b:Author>
    <b:Title>The Road Authority – Road Fund Model</b:Title>
    <b:Year>2011</b:Year>
    <b:RefOrder>18</b:RefOrder>
  </b:Source>
  <b:Source>
    <b:Tag>Alt11</b:Tag>
    <b:SourceType>Report</b:SourceType>
    <b:Guid>{A4924E53-F20E-4491-B0AA-002C2E6EEA8D}</b:Guid>
    <b:LCID>en-029</b:LCID>
    <b:Author>
      <b:Author>
        <b:Corporate>Altai Consulting</b:Corporate>
      </b:Author>
    </b:Author>
    <b:Title>Public Expenditure Tracking Survey - Education</b:Title>
    <b:Year>2011</b:Year>
    <b:Publisher>Altai Consulting</b:Publisher>
    <b:City>Kabul</b:City>
    <b:RefOrder>19</b:RefOrder>
  </b:Source>
  <b:Source>
    <b:Tag>Wor10</b:Tag>
    <b:SourceType>Report</b:SourceType>
    <b:Guid>{7273DB2A-5742-4E5F-B471-8B7336F0E90E}</b:Guid>
    <b:LCID>en-029</b:LCID>
    <b:Author>
      <b:Author>
        <b:Corporate>World Bank</b:Corporate>
      </b:Author>
    </b:Author>
    <b:Title>Afghanistan: Public Expenditure Review</b:Title>
    <b:Year>2010</b:Year>
    <b:Publisher>World Bank</b:Publisher>
    <b:City>Washington, D.C.</b:City>
    <b:RefOrder>20</b:RefOrder>
  </b:Source>
  <b:Source>
    <b:Tag>USA111</b:Tag>
    <b:SourceType>Report</b:SourceType>
    <b:Guid>{864B3C86-D6BB-4546-B04C-213776E452C7}</b:Guid>
    <b:LCID>en-029</b:LCID>
    <b:Author>
      <b:Author>
        <b:Corporate>USAID / OIEE</b:Corporate>
      </b:Author>
    </b:Author>
    <b:Title>Power Transmission Expansion and Connectivity (PTEC) Concept Paper</b:Title>
    <b:Year>2011</b:Year>
    <b:Publisher>USAID / OIEE</b:Publisher>
    <b:City>Kabul</b:City>
    <b:RefOrder>21</b:RefOrder>
  </b:Source>
  <b:Source>
    <b:Tag>SIG10</b:Tag>
    <b:SourceType>Report</b:SourceType>
    <b:Guid>{0E9D844F-950E-44F8-BD17-2250AAAF755D}</b:Guid>
    <b:LCID>en-029</b:LCID>
    <b:Author>
      <b:Author>
        <b:Corporate>SIGAR</b:Corporate>
      </b:Author>
    </b:Author>
    <b:Title>Afghanistan Energy Supply Has Increased but An Updated Master Plan Is Needed and Delays and Sustainability Concerns Remain</b:Title>
    <b:Year>2010</b:Year>
    <b:Publisher>Office of the Special Inspector General for Afghanistan Reconstruction</b:Publisher>
    <b:City>Kabul</b:City>
    <b:RefOrder>22</b:RefOrder>
  </b:Source>
  <b:Source>
    <b:Tag>DaA11</b:Tag>
    <b:SourceType>Report</b:SourceType>
    <b:Guid>{23BCB4C9-5CC5-4E10-A544-EED239B6DBBA}</b:Guid>
    <b:LCID>en-029</b:LCID>
    <b:Author>
      <b:Author>
        <b:Corporate>Da Afghanistan Breshna Sherkat</b:Corporate>
      </b:Author>
    </b:Author>
    <b:Title>Energy Consumption and Available Energy Resources in Afghanistan</b:Title>
    <b:Year>2011</b:Year>
    <b:Publisher>Da Afghanistan Breshna Sherkat</b:Publisher>
    <b:City>Kabul</b:City>
    <b:RefOrder>23</b:RefOrder>
  </b:Source>
  <b:Source>
    <b:Tag>Isl111</b:Tag>
    <b:SourceType>Report</b:SourceType>
    <b:Guid>{BB7B3B58-1095-4EE7-9C82-32C03EEAEFA4}</b:Guid>
    <b:LCID>en-029</b:LCID>
    <b:Author>
      <b:Author>
        <b:Corporate>Ministry of Finance</b:Corporate>
      </b:Author>
    </b:Author>
    <b:Title>Annual Fiscal Report 1389</b:Title>
    <b:Year>2011</b:Year>
    <b:Publisher>Fiscal Policy Unit, Ministry of Finance</b:Publisher>
    <b:City>2011</b:City>
    <b:RefOrder>24</b:RefOrder>
  </b:Source>
  <b:Source>
    <b:Tag>Min07</b:Tag>
    <b:SourceType>Report</b:SourceType>
    <b:Guid>{A8258282-6C59-43FD-B977-16826C963378}</b:Guid>
    <b:LCID>en-029</b:LCID>
    <b:Author>
      <b:Author>
        <b:Corporate>Ministry of Energy and Water</b:Corporate>
      </b:Author>
    </b:Author>
    <b:Title>Power Sector Strategy for the Afghan National Development Strategy</b:Title>
    <b:Year>2007</b:Year>
    <b:Publisher>Ministry of Energy and Water</b:Publisher>
    <b:City>Kabul</b:City>
    <b:RefOrder>25</b:RefOrder>
  </b:Source>
  <b:Source>
    <b:Tag>Isl11</b:Tag>
    <b:SourceType>Report</b:SourceType>
    <b:Guid>{F9E1A19F-A010-481F-825E-7B99A7669D1C}</b:Guid>
    <b:LCID>en-029</b:LCID>
    <b:Author>
      <b:Author>
        <b:Corporate>Ministry of Education</b:Corporate>
      </b:Author>
    </b:Author>
    <b:Title>Education Interim Plan 2011 - 13 (Version 5)</b:Title>
    <b:Year>2011</b:Year>
    <b:Publisher>Ministry of Education</b:Publisher>
    <b:City>Kabul</b:City>
    <b:RefOrder>26</b:RefOrder>
  </b:Source>
  <b:Source>
    <b:Tag>Gov</b:Tag>
    <b:SourceType>Report</b:SourceType>
    <b:Guid>{8CF83392-4337-4D7D-A313-0FFBAEFA3F08}</b:Guid>
    <b:LCID>en-029</b:LCID>
    <b:Author>
      <b:Author>
        <b:Corporate>Ministry of Education</b:Corporate>
      </b:Author>
    </b:Author>
    <b:Title>Education Summary Report 1388</b:Title>
    <b:Year>2010</b:Year>
    <b:Publisher>Ministry of Education General Directorate of Planning and Evaluation</b:Publisher>
    <b:City>Kabul</b:City>
    <b:RefOrder>27</b:RefOrder>
  </b:Source>
  <b:Source>
    <b:Tag>Gov11</b:Tag>
    <b:SourceType>Report</b:SourceType>
    <b:Guid>{CC7CADFB-D45B-428E-872C-B114E0A06A81}</b:Guid>
    <b:LCID>en-029</b:LCID>
    <b:Author>
      <b:Author>
        <b:Corporate>GIRoA Health Resource Cluster</b:Corporate>
      </b:Author>
    </b:Author>
    <b:Title>Health for All Afghans - Second Draft for Consultation</b:Title>
    <b:Year>2011</b:Year>
    <b:Publisher>Government of the Islamic Republic of Afghanistan</b:Publisher>
    <b:City>2011</b:City>
    <b:RefOrder>28</b:RefOrder>
  </b:Source>
  <b:Source>
    <b:Tag>Ass10</b:Tag>
    <b:SourceType>DocumentFromInternetSite</b:SourceType>
    <b:Guid>{6D2406DB-F2B0-4279-821D-0D7DAB23BEDC}</b:Guid>
    <b:LCID>en-029</b:LCID>
    <b:Author>
      <b:Author>
        <b:Corporate>Associated Press</b:Corporate>
      </b:Author>
    </b:Author>
    <b:Title>In Afghanistan, Many Still Without Electricity</b:Title>
    <b:Year>2010</b:Year>
    <b:Month>July</b:Month>
    <b:Day>19</b:Day>
    <b:InternetSiteTitle>CBS News</b:InternetSiteTitle>
    <b:YearAccessed>2011</b:YearAccessed>
    <b:MonthAccessed>September</b:MonthAccessed>
    <b:DayAccessed>29</b:DayAccessed>
    <b:URL>http://www.cbsnews.com/stories/2010/07/19/politics/main6692261.shtml</b:URL>
    <b:RefOrder>29</b:RefOrder>
  </b:Source>
  <b:Source>
    <b:Tag>Int11</b:Tag>
    <b:SourceType>Report</b:SourceType>
    <b:Guid>{7723511A-1C4F-4B2E-8858-258E86E3F279}</b:Guid>
    <b:LCID>en-029</b:LCID>
    <b:Author>
      <b:Author>
        <b:Corporate>Inter-Ministerial Commission for Energy</b:Corporate>
      </b:Author>
    </b:Author>
    <b:Title>Energy Sector Status Report: April - June 2011</b:Title>
    <b:Year>2011</b:Year>
    <b:Publisher>Ministry of Economy</b:Publisher>
    <b:City>Kabul</b:City>
    <b:RefOrder>30</b:RefOrder>
  </b:Source>
  <b:Source>
    <b:Tag>Alt111</b:Tag>
    <b:SourceType>Report</b:SourceType>
    <b:Guid>{D6C53633-0DF5-4E13-854E-DBFC4869D688}</b:Guid>
    <b:LCID>en-029</b:LCID>
    <b:Author>
      <b:Author>
        <b:Corporate>Altai Consulting</b:Corporate>
      </b:Author>
    </b:Author>
    <b:Title>Assessing O&amp;M of Key Assets in Afghan Provinces</b:Title>
    <b:Year>2011</b:Year>
    <b:Publisher>World Bank</b:Publisher>
    <b:City>Kabul</b:City>
    <b:RefOrder>31</b:RefOrder>
  </b:Source>
  <b:Source>
    <b:Tag>Int10</b:Tag>
    <b:SourceType>Report</b:SourceType>
    <b:Guid>{8C34F42A-AFBA-444A-A740-009C47EA1120}</b:Guid>
    <b:LCID>en-029</b:LCID>
    <b:Author>
      <b:Author>
        <b:Corporate>Inter-Ministerial Commission for Energy</b:Corporate>
      </b:Author>
    </b:Author>
    <b:Title>Energy Sector Status Report: July-September 2010</b:Title>
    <b:Year>2010</b:Year>
    <b:Publisher>Ministry of Economy</b:Publisher>
    <b:City>Kabul</b:City>
    <b:RefOrder>32</b:RefOrder>
  </b:Source>
  <b:Source>
    <b:Tag>Agr11</b:Tag>
    <b:SourceType>Report</b:SourceType>
    <b:Guid>{4CA1DB17-D19C-4EEC-8319-EC80D344B262}</b:Guid>
    <b:LCID>en-029</b:LCID>
    <b:Author>
      <b:Author>
        <b:Corporate>Agriculture and Rural Development Cluster</b:Corporate>
      </b:Author>
    </b:Author>
    <b:Title>National Rural Access Program (NRAP) Draft Proposal for Consultation</b:Title>
    <b:Year>2011</b:Year>
    <b:Publisher>Government of the Islamic Republic of Afghanistan</b:Publisher>
    <b:City>Kabul</b:City>
    <b:RefOrder>33</b:RefOrder>
  </b:Source>
  <b:Source>
    <b:Tag>Gov111</b:Tag>
    <b:SourceType>Report</b:SourceType>
    <b:Guid>{9B31DE74-27A3-4BD9-8E17-311A4BEAB729}</b:Guid>
    <b:LCID>en-029</b:LCID>
    <b:Author>
      <b:Author>
        <b:Corporate>Ministry of Education</b:Corporate>
      </b:Author>
    </b:Author>
    <b:Title>Education for All - Draft for Consultation</b:Title>
    <b:Year>2011</b:Year>
    <b:Publisher>Ministry of Education</b:Publisher>
    <b:City>Kabul</b:City>
    <b:RefOrder>34</b:RefOrder>
  </b:Source>
  <b:Source>
    <b:Tag>NSP11</b:Tag>
    <b:SourceType>Report</b:SourceType>
    <b:Guid>{4790A3A5-017B-4C1E-90A8-83B0AF98E3A1}</b:Guid>
    <b:LCID>en-029</b:LCID>
    <b:Author>
      <b:Author>
        <b:Corporate>NSP</b:Corporate>
      </b:Author>
    </b:Author>
    <b:Title>Weekly Status Report: 9th –15th July 2011</b:Title>
    <b:Year>2011</b:Year>
    <b:Publisher>Ministry of Rural Rehabilitation and Development</b:Publisher>
    <b:City>Kabul</b:City>
    <b:RefOrder>35</b:RefOrder>
  </b:Source>
  <b:Source>
    <b:Tag>Min11</b:Tag>
    <b:SourceType>Report</b:SourceType>
    <b:Guid>{127EE539-87B4-457B-926D-4D63285AC7E7}</b:Guid>
    <b:LCID>en-029</b:LCID>
    <b:Author>
      <b:Author>
        <b:Corporate>Ministry of Finance</b:Corporate>
      </b:Author>
    </b:Author>
    <b:Title>1390 National Budget</b:Title>
    <b:Year>2011</b:Year>
    <b:Publisher>Government of the Islamic Republic of Afghanistan</b:Publisher>
    <b:City>Kabul</b:City>
    <b:RefOrder>36</b:RefOrder>
  </b:Source>
  <b:Source>
    <b:Tag>ABD08</b:Tag>
    <b:SourceType>Report</b:SourceType>
    <b:Guid>{4D828F73-E224-46ED-A9F4-E60BD2190A90}</b:Guid>
    <b:LCID>en-029</b:LCID>
    <b:Author>
      <b:Author>
        <b:Corporate>ADB</b:Corporate>
      </b:Author>
    </b:Author>
    <b:Title>Report and Recommendation of the President to the Board of Directors: Proposed Multitranche Finance Facility and Administration of Grant to the Islamic Republic of Afghanistan for the Energy Sector Development Investment Program</b:Title>
    <b:Year>2008</b:Year>
    <b:Publisher>ADB</b:Publisher>
    <b:City>Manila</b:City>
    <b:RefOrder>37</b:RefOrder>
  </b:Source>
  <b:Source>
    <b:Tag>Placeholder3</b:Tag>
    <b:SourceType>Report</b:SourceType>
    <b:Guid>{4AF55EA6-DEE7-4057-A22D-1BEEA64F5E22}</b:Guid>
    <b:LCID>en-029</b:LCID>
    <b:Author>
      <b:Author>
        <b:Corporate>SIGAR</b:Corporate>
      </b:Author>
    </b:Author>
    <b:Title>Afghanistan Energy Supply Has Increased but An Updated Master Plan Is Needed and Delays and Sustainability Concerns Remain</b:Title>
    <b:Year>2010</b:Year>
    <b:Publisher>Office of the Special Inspector General for Afghanistan Reconstruction</b:Publisher>
    <b:City>Kabul</b:City>
    <b:RefOrder>38</b:RefOrder>
  </b:Source>
  <b:Source>
    <b:Tag>Yar10</b:Tag>
    <b:SourceType>ArticleInAPeriodical</b:SourceType>
    <b:Guid>{B530558E-B315-4F9A-9F9C-3B50BC6688BA}</b:Guid>
    <b:LCID>en-029</b:LCID>
    <b:Author>
      <b:Author>
        <b:NameList>
          <b:Person>
            <b:Last>Trofimov</b:Last>
            <b:First>Yaroslave</b:First>
          </b:Person>
        </b:NameList>
      </b:Author>
    </b:Author>
    <b:Title>U.S. Rebuilds Power Plant, Taliban Reap a Windfall</b:Title>
    <b:Year>2010</b:Year>
    <b:PeriodicalTitle>Wall Street Journal</b:PeriodicalTitle>
    <b:Month>July</b:Month>
    <b:Day>13</b:Day>
    <b:RefOrder>39</b:RefOrder>
  </b:Source>
  <b:Source>
    <b:Tag>Bea101</b:Tag>
    <b:SourceType>Report</b:SourceType>
    <b:Guid>{20DF2253-66FA-4A93-A2DF-B344E479143A}</b:Guid>
    <b:LCID>en-029</b:LCID>
    <b:Author>
      <b:Author>
        <b:NameList>
          <b:Person>
            <b:Last>Beath</b:Last>
            <b:First>Andrew</b:First>
          </b:Person>
          <b:Person>
            <b:Last>Christia</b:Last>
            <b:First>Fotini</b:First>
          </b:Person>
          <b:Person>
            <b:Last>Enikolopov</b:Last>
            <b:First>Ruben</b:First>
          </b:Person>
          <b:Person>
            <b:Last>Kabuli</b:Last>
            <b:First>Shahim</b:First>
          </b:Person>
        </b:NameList>
      </b:Author>
    </b:Author>
    <b:Title>Estimates of Interim Impact from First Follow-Up Survey - Randomized Impact Evaluation of Phase-II of Afghanistan’s National Solidarity Programme (NSP)</b:Title>
    <b:Year>2010</b:Year>
    <b:Publisher>World Bank</b:Publisher>
    <b:City>Kabul</b:City>
    <b:RefOrder>40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EFF45A-84BD-461B-A396-DBA2C22F9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44984</Words>
  <Characters>256414</Characters>
  <Application>Microsoft Office Word</Application>
  <DocSecurity>0</DocSecurity>
  <Lines>2136</Lines>
  <Paragraphs>601</Paragraphs>
  <ScaleCrop>false</ScaleCrop>
  <HeadingPairs>
    <vt:vector size="2" baseType="variant">
      <vt:variant>
        <vt:lpstr>Title</vt:lpstr>
      </vt:variant>
      <vt:variant>
        <vt:i4>1</vt:i4>
      </vt:variant>
    </vt:vector>
  </HeadingPairs>
  <TitlesOfParts>
    <vt:vector size="1" baseType="lpstr">
      <vt:lpstr>Afghanistan Diagnostics Trade Integration Study (DTIS)</vt:lpstr>
    </vt:vector>
  </TitlesOfParts>
  <Company>Hewlett-Packard</Company>
  <LinksUpToDate>false</LinksUpToDate>
  <CharactersWithSpaces>300797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Afghanistan Diagnostics Trade Integration Study (DTIS)</dc:title>
  <dc:subject>Overview</dc:subject>
  <dc:creator>Bill</dc:creator>
  <cp:lastModifiedBy>Andre E. Russo</cp:lastModifiedBy>
  <cp:revision>2</cp:revision>
  <cp:lastPrinted>2013-01-17T04:42:00Z</cp:lastPrinted>
  <dcterms:created xsi:type="dcterms:W3CDTF">2013-02-12T15:02:00Z</dcterms:created>
  <dcterms:modified xsi:type="dcterms:W3CDTF">2013-02-12T15:02:00Z</dcterms:modified>
</cp:coreProperties>
</file>