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D9D" w:rsidRPr="003D109F" w:rsidRDefault="008F6D9D" w:rsidP="008F6D9D">
      <w:pPr>
        <w:spacing w:after="0" w:line="360" w:lineRule="auto"/>
        <w:jc w:val="center"/>
        <w:rPr>
          <w:rFonts w:ascii="Times New Roman" w:hAnsi="Times New Roman" w:cs="Times New Roman"/>
          <w:smallCaps/>
          <w:sz w:val="24"/>
          <w:szCs w:val="24"/>
        </w:rPr>
      </w:pPr>
      <w:bookmarkStart w:id="0" w:name="_GoBack"/>
      <w:bookmarkEnd w:id="0"/>
      <w:r w:rsidRPr="003D109F">
        <w:rPr>
          <w:rFonts w:ascii="Times New Roman" w:hAnsi="Times New Roman" w:cs="Times New Roman"/>
          <w:smallCaps/>
          <w:sz w:val="24"/>
          <w:szCs w:val="24"/>
        </w:rPr>
        <w:t>International Bank for Reconstruction and Development</w:t>
      </w:r>
    </w:p>
    <w:p w:rsidR="008F6D9D" w:rsidRPr="003D109F" w:rsidRDefault="008F6D9D" w:rsidP="008F6D9D">
      <w:pPr>
        <w:spacing w:after="0" w:line="360" w:lineRule="auto"/>
        <w:jc w:val="center"/>
        <w:rPr>
          <w:rFonts w:ascii="Times New Roman" w:hAnsi="Times New Roman" w:cs="Times New Roman"/>
          <w:smallCaps/>
          <w:sz w:val="24"/>
          <w:szCs w:val="24"/>
        </w:rPr>
      </w:pPr>
      <w:r w:rsidRPr="003D109F">
        <w:rPr>
          <w:rFonts w:ascii="Times New Roman" w:hAnsi="Times New Roman" w:cs="Times New Roman"/>
          <w:smallCaps/>
          <w:sz w:val="24"/>
          <w:szCs w:val="24"/>
        </w:rPr>
        <w:t>International Development Association</w:t>
      </w:r>
    </w:p>
    <w:p w:rsidR="009B6337" w:rsidRPr="003D109F" w:rsidRDefault="009B6337">
      <w:pPr>
        <w:rPr>
          <w:rFonts w:ascii="Times New Roman" w:hAnsi="Times New Roman" w:cs="Times New Roman"/>
          <w:sz w:val="24"/>
          <w:szCs w:val="24"/>
        </w:rPr>
      </w:pPr>
    </w:p>
    <w:p w:rsidR="008F6D9D" w:rsidRPr="003D109F" w:rsidRDefault="008F6D9D">
      <w:pPr>
        <w:rPr>
          <w:rFonts w:ascii="Times New Roman" w:hAnsi="Times New Roman" w:cs="Times New Roman"/>
          <w:sz w:val="24"/>
          <w:szCs w:val="24"/>
        </w:rPr>
      </w:pPr>
    </w:p>
    <w:p w:rsidR="008F6D9D" w:rsidRPr="003D109F" w:rsidRDefault="008F6D9D">
      <w:pPr>
        <w:rPr>
          <w:rFonts w:ascii="Times New Roman" w:hAnsi="Times New Roman" w:cs="Times New Roman"/>
          <w:sz w:val="24"/>
          <w:szCs w:val="24"/>
        </w:rPr>
      </w:pPr>
    </w:p>
    <w:p w:rsidR="0064732B" w:rsidRPr="003D109F" w:rsidRDefault="0064732B">
      <w:pPr>
        <w:rPr>
          <w:rFonts w:ascii="Times New Roman" w:hAnsi="Times New Roman" w:cs="Times New Roman"/>
          <w:sz w:val="24"/>
          <w:szCs w:val="24"/>
        </w:rPr>
      </w:pPr>
    </w:p>
    <w:p w:rsidR="0064732B" w:rsidRPr="003D109F" w:rsidRDefault="0064732B">
      <w:pPr>
        <w:rPr>
          <w:rFonts w:ascii="Times New Roman" w:hAnsi="Times New Roman" w:cs="Times New Roman"/>
          <w:sz w:val="24"/>
          <w:szCs w:val="24"/>
        </w:rPr>
      </w:pPr>
    </w:p>
    <w:p w:rsidR="0064732B" w:rsidRPr="003D109F" w:rsidRDefault="0064732B">
      <w:pPr>
        <w:rPr>
          <w:rFonts w:ascii="Times New Roman" w:hAnsi="Times New Roman" w:cs="Times New Roman"/>
          <w:sz w:val="24"/>
          <w:szCs w:val="24"/>
        </w:rPr>
      </w:pPr>
    </w:p>
    <w:p w:rsidR="008F6D9D" w:rsidRPr="003D109F" w:rsidRDefault="008F6D9D">
      <w:pPr>
        <w:rPr>
          <w:rFonts w:ascii="Times New Roman" w:hAnsi="Times New Roman" w:cs="Times New Roman"/>
          <w:sz w:val="24"/>
          <w:szCs w:val="24"/>
        </w:rPr>
      </w:pPr>
    </w:p>
    <w:p w:rsidR="008F6D9D" w:rsidRPr="003D109F" w:rsidRDefault="008F6D9D">
      <w:pPr>
        <w:rPr>
          <w:rFonts w:ascii="Times New Roman" w:hAnsi="Times New Roman" w:cs="Times New Roman"/>
          <w:sz w:val="24"/>
          <w:szCs w:val="24"/>
        </w:rPr>
      </w:pPr>
    </w:p>
    <w:p w:rsidR="008F6D9D" w:rsidRPr="003D109F" w:rsidRDefault="008F6D9D">
      <w:pPr>
        <w:rPr>
          <w:rFonts w:ascii="Times New Roman" w:hAnsi="Times New Roman" w:cs="Times New Roman"/>
          <w:sz w:val="24"/>
          <w:szCs w:val="24"/>
        </w:rPr>
      </w:pPr>
    </w:p>
    <w:p w:rsidR="008F6D9D" w:rsidRPr="003D109F" w:rsidRDefault="008F6D9D" w:rsidP="008F6D9D">
      <w:pPr>
        <w:spacing w:after="0" w:line="360" w:lineRule="auto"/>
        <w:jc w:val="center"/>
        <w:rPr>
          <w:rFonts w:ascii="Times New Roman" w:hAnsi="Times New Roman" w:cs="Times New Roman"/>
          <w:b/>
          <w:bCs/>
          <w:smallCaps/>
          <w:sz w:val="24"/>
          <w:szCs w:val="24"/>
        </w:rPr>
      </w:pPr>
      <w:r w:rsidRPr="003D109F">
        <w:rPr>
          <w:rFonts w:ascii="Times New Roman" w:hAnsi="Times New Roman" w:cs="Times New Roman"/>
          <w:b/>
          <w:bCs/>
          <w:smallCaps/>
          <w:sz w:val="24"/>
          <w:szCs w:val="24"/>
        </w:rPr>
        <w:t xml:space="preserve">PROGRESS REPORT No. </w:t>
      </w:r>
      <w:r w:rsidR="007E3C3F">
        <w:rPr>
          <w:rFonts w:ascii="Times New Roman" w:hAnsi="Times New Roman" w:cs="Times New Roman"/>
          <w:b/>
          <w:bCs/>
          <w:smallCaps/>
          <w:sz w:val="24"/>
          <w:szCs w:val="24"/>
        </w:rPr>
        <w:t>3</w:t>
      </w:r>
    </w:p>
    <w:p w:rsidR="00FA3473" w:rsidRPr="003D109F" w:rsidRDefault="00FA3473" w:rsidP="008F6D9D">
      <w:pPr>
        <w:spacing w:after="0" w:line="360" w:lineRule="auto"/>
        <w:jc w:val="center"/>
        <w:rPr>
          <w:rFonts w:ascii="Times New Roman" w:hAnsi="Times New Roman" w:cs="Times New Roman"/>
          <w:b/>
          <w:bCs/>
          <w:smallCaps/>
          <w:sz w:val="24"/>
          <w:szCs w:val="24"/>
        </w:rPr>
      </w:pPr>
    </w:p>
    <w:p w:rsidR="008F6D9D" w:rsidRPr="003D109F" w:rsidRDefault="008F6D9D" w:rsidP="008F6D9D">
      <w:pPr>
        <w:spacing w:after="0" w:line="360" w:lineRule="auto"/>
        <w:jc w:val="center"/>
        <w:rPr>
          <w:rFonts w:ascii="Times New Roman" w:hAnsi="Times New Roman" w:cs="Times New Roman"/>
          <w:b/>
          <w:bCs/>
          <w:smallCaps/>
          <w:sz w:val="24"/>
          <w:szCs w:val="24"/>
        </w:rPr>
      </w:pPr>
      <w:r w:rsidRPr="003D109F">
        <w:rPr>
          <w:rFonts w:ascii="Times New Roman" w:hAnsi="Times New Roman" w:cs="Times New Roman"/>
          <w:b/>
          <w:bCs/>
          <w:smallCaps/>
          <w:sz w:val="24"/>
          <w:szCs w:val="24"/>
        </w:rPr>
        <w:t>on the Implementation of Management’s Action Plan in Response to</w:t>
      </w:r>
    </w:p>
    <w:p w:rsidR="008F6D9D" w:rsidRPr="003D109F" w:rsidRDefault="008F6D9D" w:rsidP="008F6D9D">
      <w:pPr>
        <w:spacing w:after="0" w:line="360" w:lineRule="auto"/>
        <w:jc w:val="center"/>
        <w:rPr>
          <w:rFonts w:ascii="Times New Roman" w:hAnsi="Times New Roman" w:cs="Times New Roman"/>
          <w:b/>
          <w:bCs/>
          <w:smallCaps/>
          <w:sz w:val="24"/>
          <w:szCs w:val="24"/>
        </w:rPr>
      </w:pPr>
      <w:r w:rsidRPr="003D109F">
        <w:rPr>
          <w:rFonts w:ascii="Times New Roman" w:hAnsi="Times New Roman" w:cs="Times New Roman"/>
          <w:b/>
          <w:bCs/>
          <w:smallCaps/>
          <w:sz w:val="24"/>
          <w:szCs w:val="24"/>
        </w:rPr>
        <w:t>the Inspection Pane</w:t>
      </w:r>
      <w:r w:rsidR="0064732B" w:rsidRPr="003D109F">
        <w:rPr>
          <w:rFonts w:ascii="Times New Roman" w:hAnsi="Times New Roman" w:cs="Times New Roman"/>
          <w:b/>
          <w:bCs/>
          <w:smallCaps/>
          <w:sz w:val="24"/>
          <w:szCs w:val="24"/>
        </w:rPr>
        <w:t>l Investigation Report (Report No. 918</w:t>
      </w:r>
      <w:r w:rsidR="004D6E8F">
        <w:rPr>
          <w:rFonts w:ascii="Times New Roman" w:hAnsi="Times New Roman" w:cs="Times New Roman"/>
          <w:b/>
          <w:bCs/>
          <w:smallCaps/>
          <w:sz w:val="24"/>
          <w:szCs w:val="24"/>
        </w:rPr>
        <w:t>5</w:t>
      </w:r>
      <w:r w:rsidR="0064732B" w:rsidRPr="003D109F">
        <w:rPr>
          <w:rFonts w:ascii="Times New Roman" w:hAnsi="Times New Roman" w:cs="Times New Roman"/>
          <w:b/>
          <w:bCs/>
          <w:smallCaps/>
          <w:sz w:val="24"/>
          <w:szCs w:val="24"/>
        </w:rPr>
        <w:t>4-ET</w:t>
      </w:r>
      <w:r w:rsidRPr="003D109F">
        <w:rPr>
          <w:rFonts w:ascii="Times New Roman" w:hAnsi="Times New Roman" w:cs="Times New Roman"/>
          <w:b/>
          <w:bCs/>
          <w:smallCaps/>
          <w:sz w:val="24"/>
          <w:szCs w:val="24"/>
        </w:rPr>
        <w:t>) on the</w:t>
      </w:r>
    </w:p>
    <w:p w:rsidR="00FA3473" w:rsidRPr="003D109F" w:rsidRDefault="00FA3473" w:rsidP="003168DD">
      <w:pPr>
        <w:spacing w:after="0" w:line="360" w:lineRule="auto"/>
        <w:jc w:val="center"/>
        <w:rPr>
          <w:rFonts w:ascii="Times New Roman" w:hAnsi="Times New Roman" w:cs="Times New Roman"/>
          <w:b/>
          <w:smallCaps/>
          <w:sz w:val="24"/>
          <w:szCs w:val="24"/>
        </w:rPr>
      </w:pPr>
    </w:p>
    <w:p w:rsidR="003168DD" w:rsidRPr="003D109F" w:rsidRDefault="003168DD" w:rsidP="003168DD">
      <w:pPr>
        <w:spacing w:after="0" w:line="360" w:lineRule="auto"/>
        <w:jc w:val="center"/>
        <w:rPr>
          <w:rFonts w:ascii="Times New Roman" w:hAnsi="Times New Roman" w:cs="Times New Roman"/>
          <w:b/>
          <w:smallCaps/>
          <w:sz w:val="24"/>
          <w:szCs w:val="24"/>
        </w:rPr>
      </w:pPr>
      <w:r w:rsidRPr="003D109F">
        <w:rPr>
          <w:rFonts w:ascii="Times New Roman" w:hAnsi="Times New Roman" w:cs="Times New Roman"/>
          <w:b/>
          <w:smallCaps/>
          <w:sz w:val="24"/>
          <w:szCs w:val="24"/>
        </w:rPr>
        <w:t>ETHIOPIA</w:t>
      </w:r>
    </w:p>
    <w:p w:rsidR="003168DD" w:rsidRPr="003D109F" w:rsidRDefault="003168DD" w:rsidP="003168DD">
      <w:pPr>
        <w:spacing w:after="0" w:line="360" w:lineRule="auto"/>
        <w:jc w:val="center"/>
        <w:rPr>
          <w:rFonts w:ascii="Times New Roman" w:hAnsi="Times New Roman" w:cs="Times New Roman"/>
          <w:b/>
          <w:smallCaps/>
          <w:sz w:val="24"/>
          <w:szCs w:val="24"/>
        </w:rPr>
      </w:pPr>
      <w:r w:rsidRPr="003D109F">
        <w:rPr>
          <w:rFonts w:ascii="Times New Roman" w:hAnsi="Times New Roman" w:cs="Times New Roman"/>
          <w:b/>
          <w:smallCaps/>
          <w:sz w:val="24"/>
          <w:szCs w:val="24"/>
        </w:rPr>
        <w:t xml:space="preserve">PROMOTING BASIC SERVICES </w:t>
      </w:r>
      <w:r w:rsidR="00FF5841">
        <w:rPr>
          <w:rFonts w:ascii="Times New Roman" w:hAnsi="Times New Roman" w:cs="Times New Roman"/>
          <w:b/>
          <w:smallCaps/>
          <w:sz w:val="24"/>
          <w:szCs w:val="24"/>
        </w:rPr>
        <w:t xml:space="preserve">PHASE III </w:t>
      </w:r>
      <w:r w:rsidRPr="003D109F">
        <w:rPr>
          <w:rFonts w:ascii="Times New Roman" w:hAnsi="Times New Roman" w:cs="Times New Roman"/>
          <w:b/>
          <w:smallCaps/>
          <w:sz w:val="24"/>
          <w:szCs w:val="24"/>
        </w:rPr>
        <w:t xml:space="preserve">PROJECT (CREDIT NO 51620) </w:t>
      </w:r>
    </w:p>
    <w:p w:rsidR="008F6D9D" w:rsidRPr="003D109F" w:rsidRDefault="0018430F" w:rsidP="008F6D9D">
      <w:pPr>
        <w:tabs>
          <w:tab w:val="left" w:pos="5205"/>
        </w:tabs>
        <w:spacing w:after="240"/>
        <w:rPr>
          <w:rFonts w:ascii="Times New Roman" w:hAnsi="Times New Roman" w:cs="Times New Roman"/>
          <w:b/>
          <w:sz w:val="24"/>
          <w:szCs w:val="24"/>
        </w:rPr>
      </w:pPr>
      <w:r w:rsidRPr="003D109F">
        <w:rPr>
          <w:rFonts w:ascii="Times New Roman" w:hAnsi="Times New Roman" w:cs="Times New Roman"/>
          <w:b/>
          <w:sz w:val="24"/>
          <w:szCs w:val="24"/>
        </w:rPr>
        <w:t xml:space="preserve"> </w:t>
      </w:r>
    </w:p>
    <w:p w:rsidR="008F6D9D" w:rsidRPr="003D109F" w:rsidRDefault="008F6D9D" w:rsidP="008F6D9D">
      <w:pPr>
        <w:spacing w:after="240"/>
        <w:jc w:val="center"/>
        <w:rPr>
          <w:rFonts w:ascii="Times New Roman" w:hAnsi="Times New Roman" w:cs="Times New Roman"/>
          <w:b/>
          <w:sz w:val="24"/>
          <w:szCs w:val="24"/>
        </w:rPr>
      </w:pPr>
    </w:p>
    <w:p w:rsidR="008F6D9D" w:rsidRPr="003D109F" w:rsidRDefault="008F6D9D" w:rsidP="008F6D9D">
      <w:pPr>
        <w:spacing w:after="240"/>
        <w:jc w:val="center"/>
        <w:rPr>
          <w:rFonts w:ascii="Times New Roman" w:hAnsi="Times New Roman" w:cs="Times New Roman"/>
          <w:b/>
          <w:sz w:val="24"/>
          <w:szCs w:val="24"/>
        </w:rPr>
      </w:pPr>
    </w:p>
    <w:p w:rsidR="008F6D9D" w:rsidRPr="003D109F" w:rsidRDefault="008F6D9D" w:rsidP="008F6D9D">
      <w:pPr>
        <w:spacing w:after="240"/>
        <w:jc w:val="center"/>
        <w:rPr>
          <w:rFonts w:ascii="Times New Roman" w:hAnsi="Times New Roman" w:cs="Times New Roman"/>
          <w:b/>
          <w:sz w:val="24"/>
          <w:szCs w:val="24"/>
        </w:rPr>
      </w:pPr>
    </w:p>
    <w:p w:rsidR="00DF6F63" w:rsidRPr="003D109F" w:rsidRDefault="00DF6F63" w:rsidP="008F6D9D">
      <w:pPr>
        <w:spacing w:after="240"/>
        <w:jc w:val="center"/>
        <w:rPr>
          <w:rFonts w:ascii="Times New Roman" w:hAnsi="Times New Roman" w:cs="Times New Roman"/>
          <w:b/>
          <w:smallCaps/>
          <w:sz w:val="24"/>
          <w:szCs w:val="24"/>
        </w:rPr>
      </w:pPr>
    </w:p>
    <w:p w:rsidR="008F6D9D" w:rsidRPr="003D109F" w:rsidRDefault="000B7051" w:rsidP="008F6D9D">
      <w:pPr>
        <w:spacing w:after="0" w:line="360" w:lineRule="auto"/>
        <w:jc w:val="center"/>
        <w:rPr>
          <w:rFonts w:ascii="Times New Roman" w:hAnsi="Times New Roman" w:cs="Times New Roman"/>
          <w:b/>
          <w:smallCaps/>
          <w:sz w:val="24"/>
          <w:szCs w:val="24"/>
        </w:rPr>
      </w:pPr>
      <w:r w:rsidRPr="003D109F">
        <w:rPr>
          <w:rFonts w:ascii="Times New Roman" w:hAnsi="Times New Roman" w:cs="Times New Roman"/>
          <w:b/>
          <w:smallCaps/>
          <w:sz w:val="24"/>
          <w:szCs w:val="24"/>
        </w:rPr>
        <w:fldChar w:fldCharType="begin"/>
      </w:r>
      <w:r w:rsidRPr="003D109F">
        <w:rPr>
          <w:rFonts w:ascii="Times New Roman" w:hAnsi="Times New Roman" w:cs="Times New Roman"/>
          <w:b/>
          <w:smallCaps/>
          <w:sz w:val="24"/>
          <w:szCs w:val="24"/>
        </w:rPr>
        <w:instrText xml:space="preserve"> DATE  \@ "MMMM d, yyyy" </w:instrText>
      </w:r>
      <w:r w:rsidRPr="003D109F">
        <w:rPr>
          <w:rFonts w:ascii="Times New Roman" w:hAnsi="Times New Roman" w:cs="Times New Roman"/>
          <w:b/>
          <w:smallCaps/>
          <w:sz w:val="24"/>
          <w:szCs w:val="24"/>
        </w:rPr>
        <w:fldChar w:fldCharType="separate"/>
      </w:r>
      <w:r w:rsidR="00CD5E6A">
        <w:rPr>
          <w:rFonts w:ascii="Times New Roman" w:hAnsi="Times New Roman" w:cs="Times New Roman"/>
          <w:b/>
          <w:smallCaps/>
          <w:noProof/>
          <w:sz w:val="24"/>
          <w:szCs w:val="24"/>
        </w:rPr>
        <w:t>January 26, 2018</w:t>
      </w:r>
      <w:r w:rsidRPr="003D109F">
        <w:rPr>
          <w:rFonts w:ascii="Times New Roman" w:hAnsi="Times New Roman" w:cs="Times New Roman"/>
          <w:b/>
          <w:smallCaps/>
          <w:sz w:val="24"/>
          <w:szCs w:val="24"/>
        </w:rPr>
        <w:fldChar w:fldCharType="end"/>
      </w:r>
    </w:p>
    <w:p w:rsidR="00681461" w:rsidRPr="003D109F" w:rsidRDefault="00681461">
      <w:pPr>
        <w:spacing w:after="160" w:line="259" w:lineRule="auto"/>
        <w:rPr>
          <w:rFonts w:ascii="Times New Roman" w:hAnsi="Times New Roman" w:cs="Times New Roman"/>
          <w:b/>
          <w:smallCaps/>
          <w:sz w:val="24"/>
          <w:szCs w:val="24"/>
        </w:rPr>
      </w:pPr>
      <w:r w:rsidRPr="003D109F">
        <w:rPr>
          <w:rFonts w:ascii="Times New Roman" w:hAnsi="Times New Roman" w:cs="Times New Roman"/>
          <w:b/>
          <w:smallCaps/>
          <w:sz w:val="24"/>
          <w:szCs w:val="24"/>
        </w:rPr>
        <w:br w:type="page"/>
      </w:r>
    </w:p>
    <w:p w:rsidR="004F6840" w:rsidRPr="003D109F" w:rsidRDefault="004F6840" w:rsidP="0010439D">
      <w:pPr>
        <w:pStyle w:val="IP-HEADING1"/>
        <w:numPr>
          <w:ilvl w:val="0"/>
          <w:numId w:val="0"/>
        </w:numPr>
        <w:tabs>
          <w:tab w:val="clear" w:pos="1170"/>
        </w:tabs>
        <w:ind w:left="360"/>
        <w:rPr>
          <w:szCs w:val="24"/>
        </w:rPr>
      </w:pPr>
      <w:bookmarkStart w:id="1" w:name="_Toc501554679"/>
      <w:r w:rsidRPr="004C08E0">
        <w:rPr>
          <w:bCs/>
          <w:smallCaps/>
          <w:szCs w:val="24"/>
        </w:rPr>
        <w:lastRenderedPageBreak/>
        <w:t>Abbreviations</w:t>
      </w:r>
      <w:r w:rsidR="002523A1" w:rsidRPr="003D109F">
        <w:rPr>
          <w:szCs w:val="24"/>
        </w:rPr>
        <w:t xml:space="preserve"> and Acronyms</w:t>
      </w:r>
      <w:bookmarkEnd w:id="1"/>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290"/>
      </w:tblGrid>
      <w:tr w:rsidR="003D109F" w:rsidRPr="004C08E0" w:rsidTr="00D100BF">
        <w:tc>
          <w:tcPr>
            <w:tcW w:w="1890" w:type="dxa"/>
            <w:tcBorders>
              <w:top w:val="single" w:sz="4" w:space="0" w:color="auto"/>
              <w:left w:val="single" w:sz="4" w:space="0" w:color="auto"/>
              <w:bottom w:val="single" w:sz="4" w:space="0" w:color="auto"/>
              <w:right w:val="single" w:sz="4" w:space="0" w:color="auto"/>
            </w:tcBorders>
          </w:tcPr>
          <w:p w:rsidR="004F6840" w:rsidRPr="004C08E0" w:rsidRDefault="00FD5C88"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 xml:space="preserve">CDP </w:t>
            </w:r>
          </w:p>
        </w:tc>
        <w:tc>
          <w:tcPr>
            <w:tcW w:w="7290" w:type="dxa"/>
            <w:tcBorders>
              <w:top w:val="single" w:sz="4" w:space="0" w:color="auto"/>
              <w:left w:val="single" w:sz="4" w:space="0" w:color="auto"/>
              <w:bottom w:val="single" w:sz="4" w:space="0" w:color="auto"/>
              <w:right w:val="single" w:sz="4" w:space="0" w:color="auto"/>
            </w:tcBorders>
          </w:tcPr>
          <w:p w:rsidR="004F6840" w:rsidRPr="004C08E0" w:rsidRDefault="00FD5C88"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Commune Development Program</w:t>
            </w:r>
          </w:p>
        </w:tc>
      </w:tr>
      <w:tr w:rsidR="003D109F" w:rsidRPr="004C08E0" w:rsidTr="00D100BF">
        <w:tc>
          <w:tcPr>
            <w:tcW w:w="1890" w:type="dxa"/>
            <w:tcBorders>
              <w:top w:val="single" w:sz="4" w:space="0" w:color="auto"/>
              <w:left w:val="single" w:sz="4" w:space="0" w:color="auto"/>
              <w:bottom w:val="single" w:sz="4" w:space="0" w:color="auto"/>
              <w:right w:val="single" w:sz="4" w:space="0" w:color="auto"/>
            </w:tcBorders>
          </w:tcPr>
          <w:p w:rsidR="00FD5C88" w:rsidRPr="004C08E0" w:rsidRDefault="00FD5C88"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EIO</w:t>
            </w:r>
          </w:p>
        </w:tc>
        <w:tc>
          <w:tcPr>
            <w:tcW w:w="7290" w:type="dxa"/>
            <w:tcBorders>
              <w:top w:val="single" w:sz="4" w:space="0" w:color="auto"/>
              <w:left w:val="single" w:sz="4" w:space="0" w:color="auto"/>
              <w:bottom w:val="single" w:sz="4" w:space="0" w:color="auto"/>
              <w:right w:val="single" w:sz="4" w:space="0" w:color="auto"/>
            </w:tcBorders>
          </w:tcPr>
          <w:p w:rsidR="00FD5C88" w:rsidRPr="004C08E0" w:rsidRDefault="00FD5C88"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Ethiopian Institution of the Ombudsman</w:t>
            </w:r>
          </w:p>
        </w:tc>
      </w:tr>
      <w:tr w:rsidR="00E44A7D" w:rsidRPr="004C08E0" w:rsidTr="00D100BF">
        <w:tc>
          <w:tcPr>
            <w:tcW w:w="1890" w:type="dxa"/>
            <w:tcBorders>
              <w:top w:val="single" w:sz="4" w:space="0" w:color="auto"/>
              <w:left w:val="single" w:sz="4" w:space="0" w:color="auto"/>
              <w:bottom w:val="single" w:sz="4" w:space="0" w:color="auto"/>
              <w:right w:val="single" w:sz="4" w:space="0" w:color="auto"/>
            </w:tcBorders>
          </w:tcPr>
          <w:p w:rsidR="00E44A7D" w:rsidRPr="004C08E0" w:rsidRDefault="00E44A7D" w:rsidP="004F6840">
            <w:pPr>
              <w:spacing w:after="0" w:line="240" w:lineRule="auto"/>
              <w:rPr>
                <w:rFonts w:ascii="Times New Roman" w:hAnsi="Times New Roman" w:cs="Times New Roman"/>
                <w:sz w:val="24"/>
                <w:szCs w:val="24"/>
              </w:rPr>
            </w:pPr>
            <w:r>
              <w:rPr>
                <w:rFonts w:ascii="Times New Roman" w:hAnsi="Times New Roman" w:cs="Times New Roman"/>
                <w:sz w:val="24"/>
                <w:szCs w:val="24"/>
              </w:rPr>
              <w:t>ESAP</w:t>
            </w:r>
          </w:p>
        </w:tc>
        <w:tc>
          <w:tcPr>
            <w:tcW w:w="7290" w:type="dxa"/>
            <w:tcBorders>
              <w:top w:val="single" w:sz="4" w:space="0" w:color="auto"/>
              <w:left w:val="single" w:sz="4" w:space="0" w:color="auto"/>
              <w:bottom w:val="single" w:sz="4" w:space="0" w:color="auto"/>
              <w:right w:val="single" w:sz="4" w:space="0" w:color="auto"/>
            </w:tcBorders>
          </w:tcPr>
          <w:p w:rsidR="00E44A7D" w:rsidRPr="004C08E0" w:rsidRDefault="00E44A7D" w:rsidP="004F6840">
            <w:pPr>
              <w:spacing w:after="0" w:line="240" w:lineRule="auto"/>
              <w:rPr>
                <w:rFonts w:ascii="Times New Roman" w:hAnsi="Times New Roman" w:cs="Times New Roman"/>
                <w:sz w:val="24"/>
                <w:szCs w:val="24"/>
              </w:rPr>
            </w:pPr>
            <w:r>
              <w:rPr>
                <w:rFonts w:ascii="Times New Roman" w:hAnsi="Times New Roman" w:cs="Times New Roman"/>
                <w:sz w:val="24"/>
                <w:szCs w:val="24"/>
              </w:rPr>
              <w:t>Ethiopia Social Accountability Program</w:t>
            </w:r>
          </w:p>
        </w:tc>
      </w:tr>
      <w:tr w:rsidR="003D109F" w:rsidRPr="004C08E0" w:rsidTr="00D100BF">
        <w:tc>
          <w:tcPr>
            <w:tcW w:w="1890" w:type="dxa"/>
            <w:tcBorders>
              <w:top w:val="single" w:sz="4" w:space="0" w:color="auto"/>
              <w:left w:val="single" w:sz="4" w:space="0" w:color="auto"/>
              <w:bottom w:val="single" w:sz="4" w:space="0" w:color="auto"/>
              <w:right w:val="single" w:sz="4" w:space="0" w:color="auto"/>
            </w:tcBorders>
          </w:tcPr>
          <w:p w:rsidR="00D111BE" w:rsidRPr="004C08E0" w:rsidRDefault="00D111BE"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GRM</w:t>
            </w:r>
          </w:p>
        </w:tc>
        <w:tc>
          <w:tcPr>
            <w:tcW w:w="7290" w:type="dxa"/>
            <w:tcBorders>
              <w:top w:val="single" w:sz="4" w:space="0" w:color="auto"/>
              <w:left w:val="single" w:sz="4" w:space="0" w:color="auto"/>
              <w:bottom w:val="single" w:sz="4" w:space="0" w:color="auto"/>
              <w:right w:val="single" w:sz="4" w:space="0" w:color="auto"/>
            </w:tcBorders>
          </w:tcPr>
          <w:p w:rsidR="00D111BE" w:rsidRPr="004C08E0" w:rsidRDefault="00D111BE"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Grievance Redress Mechanism</w:t>
            </w:r>
          </w:p>
        </w:tc>
      </w:tr>
      <w:tr w:rsidR="003D109F" w:rsidRPr="004C08E0" w:rsidTr="00D100BF">
        <w:tc>
          <w:tcPr>
            <w:tcW w:w="1890" w:type="dxa"/>
            <w:tcBorders>
              <w:top w:val="single" w:sz="4" w:space="0" w:color="auto"/>
              <w:left w:val="single" w:sz="4" w:space="0" w:color="auto"/>
              <w:bottom w:val="single" w:sz="4" w:space="0" w:color="auto"/>
              <w:right w:val="single" w:sz="4" w:space="0" w:color="auto"/>
            </w:tcBorders>
          </w:tcPr>
          <w:p w:rsidR="00D111BE" w:rsidRPr="004C08E0" w:rsidRDefault="00E44A7D" w:rsidP="004F6840">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111BE" w:rsidRPr="004C08E0">
              <w:rPr>
                <w:rFonts w:ascii="Times New Roman" w:hAnsi="Times New Roman" w:cs="Times New Roman"/>
                <w:sz w:val="24"/>
                <w:szCs w:val="24"/>
              </w:rPr>
              <w:t>BEX</w:t>
            </w:r>
          </w:p>
        </w:tc>
        <w:tc>
          <w:tcPr>
            <w:tcW w:w="7290" w:type="dxa"/>
            <w:tcBorders>
              <w:top w:val="single" w:sz="4" w:space="0" w:color="auto"/>
              <w:left w:val="single" w:sz="4" w:space="0" w:color="auto"/>
              <w:bottom w:val="single" w:sz="4" w:space="0" w:color="auto"/>
              <w:right w:val="single" w:sz="4" w:space="0" w:color="auto"/>
            </w:tcBorders>
          </w:tcPr>
          <w:p w:rsidR="00D111BE" w:rsidRPr="004C08E0" w:rsidRDefault="003D494B"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Integrated Budget and Expenditure</w:t>
            </w:r>
          </w:p>
        </w:tc>
      </w:tr>
      <w:tr w:rsidR="003D109F" w:rsidRPr="004C08E0" w:rsidTr="00D100BF">
        <w:tc>
          <w:tcPr>
            <w:tcW w:w="1890" w:type="dxa"/>
            <w:tcBorders>
              <w:top w:val="single" w:sz="4" w:space="0" w:color="auto"/>
              <w:left w:val="single" w:sz="4" w:space="0" w:color="auto"/>
              <w:bottom w:val="single" w:sz="4" w:space="0" w:color="auto"/>
              <w:right w:val="single" w:sz="4" w:space="0" w:color="auto"/>
            </w:tcBorders>
          </w:tcPr>
          <w:p w:rsidR="00681461" w:rsidRPr="004C08E0" w:rsidRDefault="00681461"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IDA</w:t>
            </w:r>
          </w:p>
        </w:tc>
        <w:tc>
          <w:tcPr>
            <w:tcW w:w="7290" w:type="dxa"/>
            <w:tcBorders>
              <w:top w:val="single" w:sz="4" w:space="0" w:color="auto"/>
              <w:left w:val="single" w:sz="4" w:space="0" w:color="auto"/>
              <w:bottom w:val="single" w:sz="4" w:space="0" w:color="auto"/>
              <w:right w:val="single" w:sz="4" w:space="0" w:color="auto"/>
            </w:tcBorders>
          </w:tcPr>
          <w:p w:rsidR="00681461" w:rsidRPr="004C08E0" w:rsidRDefault="00681461"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International Development Association</w:t>
            </w:r>
          </w:p>
        </w:tc>
      </w:tr>
      <w:tr w:rsidR="003D109F" w:rsidRPr="004C08E0" w:rsidTr="00D100BF">
        <w:tc>
          <w:tcPr>
            <w:tcW w:w="1890" w:type="dxa"/>
            <w:tcBorders>
              <w:top w:val="single" w:sz="4" w:space="0" w:color="auto"/>
              <w:left w:val="single" w:sz="4" w:space="0" w:color="auto"/>
              <w:bottom w:val="single" w:sz="4" w:space="0" w:color="auto"/>
              <w:right w:val="single" w:sz="4" w:space="0" w:color="auto"/>
            </w:tcBorders>
          </w:tcPr>
          <w:p w:rsidR="00D111BE" w:rsidRPr="004C08E0" w:rsidRDefault="00D111BE"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MAP</w:t>
            </w:r>
          </w:p>
        </w:tc>
        <w:tc>
          <w:tcPr>
            <w:tcW w:w="7290" w:type="dxa"/>
            <w:tcBorders>
              <w:top w:val="single" w:sz="4" w:space="0" w:color="auto"/>
              <w:left w:val="single" w:sz="4" w:space="0" w:color="auto"/>
              <w:bottom w:val="single" w:sz="4" w:space="0" w:color="auto"/>
              <w:right w:val="single" w:sz="4" w:space="0" w:color="auto"/>
            </w:tcBorders>
          </w:tcPr>
          <w:p w:rsidR="00D111BE" w:rsidRPr="004C08E0" w:rsidRDefault="00D111BE"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Management Action Plan</w:t>
            </w:r>
          </w:p>
        </w:tc>
      </w:tr>
      <w:tr w:rsidR="003D109F" w:rsidRPr="004C08E0" w:rsidTr="00D100BF">
        <w:tc>
          <w:tcPr>
            <w:tcW w:w="1890" w:type="dxa"/>
            <w:tcBorders>
              <w:top w:val="single" w:sz="4" w:space="0" w:color="auto"/>
              <w:left w:val="single" w:sz="4" w:space="0" w:color="auto"/>
              <w:bottom w:val="single" w:sz="4" w:space="0" w:color="auto"/>
              <w:right w:val="single" w:sz="4" w:space="0" w:color="auto"/>
            </w:tcBorders>
          </w:tcPr>
          <w:p w:rsidR="00D111BE" w:rsidRPr="004C08E0" w:rsidRDefault="00D111BE"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OFAG</w:t>
            </w:r>
          </w:p>
        </w:tc>
        <w:tc>
          <w:tcPr>
            <w:tcW w:w="7290" w:type="dxa"/>
            <w:tcBorders>
              <w:top w:val="single" w:sz="4" w:space="0" w:color="auto"/>
              <w:left w:val="single" w:sz="4" w:space="0" w:color="auto"/>
              <w:bottom w:val="single" w:sz="4" w:space="0" w:color="auto"/>
              <w:right w:val="single" w:sz="4" w:space="0" w:color="auto"/>
            </w:tcBorders>
          </w:tcPr>
          <w:p w:rsidR="00D111BE" w:rsidRPr="004C08E0" w:rsidRDefault="00D111BE"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Office of the Federal Auditor General of Ethiopia</w:t>
            </w:r>
          </w:p>
        </w:tc>
      </w:tr>
      <w:tr w:rsidR="003D109F" w:rsidRPr="004C08E0" w:rsidTr="00D100BF">
        <w:tc>
          <w:tcPr>
            <w:tcW w:w="1890" w:type="dxa"/>
            <w:tcBorders>
              <w:top w:val="single" w:sz="4" w:space="0" w:color="auto"/>
              <w:left w:val="single" w:sz="4" w:space="0" w:color="auto"/>
              <w:bottom w:val="single" w:sz="4" w:space="0" w:color="auto"/>
              <w:right w:val="single" w:sz="4" w:space="0" w:color="auto"/>
            </w:tcBorders>
          </w:tcPr>
          <w:p w:rsidR="00D111BE" w:rsidRPr="004C08E0" w:rsidRDefault="00D111BE" w:rsidP="00964C0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PBS</w:t>
            </w:r>
            <w:r w:rsidR="007F5A6D" w:rsidRPr="004C08E0">
              <w:rPr>
                <w:rFonts w:ascii="Times New Roman" w:hAnsi="Times New Roman" w:cs="Times New Roman"/>
                <w:sz w:val="24"/>
                <w:szCs w:val="24"/>
              </w:rPr>
              <w:t xml:space="preserve"> </w:t>
            </w:r>
            <w:r w:rsidRPr="004C08E0">
              <w:rPr>
                <w:rFonts w:ascii="Times New Roman" w:hAnsi="Times New Roman" w:cs="Times New Roman"/>
                <w:sz w:val="24"/>
                <w:szCs w:val="24"/>
              </w:rPr>
              <w:t>3</w:t>
            </w:r>
          </w:p>
        </w:tc>
        <w:tc>
          <w:tcPr>
            <w:tcW w:w="7290" w:type="dxa"/>
            <w:tcBorders>
              <w:top w:val="single" w:sz="4" w:space="0" w:color="auto"/>
              <w:left w:val="single" w:sz="4" w:space="0" w:color="auto"/>
              <w:bottom w:val="single" w:sz="4" w:space="0" w:color="auto"/>
              <w:right w:val="single" w:sz="4" w:space="0" w:color="auto"/>
            </w:tcBorders>
          </w:tcPr>
          <w:p w:rsidR="00D111BE" w:rsidRPr="004C08E0" w:rsidRDefault="00D111BE"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Promoting Basic Services Project Phase III</w:t>
            </w:r>
          </w:p>
        </w:tc>
      </w:tr>
      <w:tr w:rsidR="003D109F" w:rsidRPr="004C08E0" w:rsidTr="00D100BF">
        <w:tc>
          <w:tcPr>
            <w:tcW w:w="1890" w:type="dxa"/>
            <w:tcBorders>
              <w:top w:val="single" w:sz="4" w:space="0" w:color="auto"/>
              <w:left w:val="single" w:sz="4" w:space="0" w:color="auto"/>
              <w:bottom w:val="single" w:sz="4" w:space="0" w:color="auto"/>
              <w:right w:val="single" w:sz="4" w:space="0" w:color="auto"/>
            </w:tcBorders>
          </w:tcPr>
          <w:p w:rsidR="00D111BE" w:rsidRPr="004C08E0" w:rsidRDefault="00D111BE" w:rsidP="00964C0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PFM</w:t>
            </w:r>
          </w:p>
        </w:tc>
        <w:tc>
          <w:tcPr>
            <w:tcW w:w="7290" w:type="dxa"/>
            <w:tcBorders>
              <w:top w:val="single" w:sz="4" w:space="0" w:color="auto"/>
              <w:left w:val="single" w:sz="4" w:space="0" w:color="auto"/>
              <w:bottom w:val="single" w:sz="4" w:space="0" w:color="auto"/>
              <w:right w:val="single" w:sz="4" w:space="0" w:color="auto"/>
            </w:tcBorders>
          </w:tcPr>
          <w:p w:rsidR="00D111BE" w:rsidRPr="004C08E0" w:rsidRDefault="00D111BE"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Public Financial Management</w:t>
            </w:r>
          </w:p>
        </w:tc>
      </w:tr>
      <w:tr w:rsidR="003D109F" w:rsidRPr="004C08E0" w:rsidTr="00D100BF">
        <w:tc>
          <w:tcPr>
            <w:tcW w:w="1890" w:type="dxa"/>
            <w:tcBorders>
              <w:top w:val="single" w:sz="4" w:space="0" w:color="auto"/>
              <w:left w:val="single" w:sz="4" w:space="0" w:color="auto"/>
              <w:bottom w:val="single" w:sz="4" w:space="0" w:color="auto"/>
              <w:right w:val="single" w:sz="4" w:space="0" w:color="auto"/>
            </w:tcBorders>
          </w:tcPr>
          <w:p w:rsidR="002523A1" w:rsidRPr="004C08E0" w:rsidRDefault="002523A1" w:rsidP="00964C0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SA</w:t>
            </w:r>
          </w:p>
        </w:tc>
        <w:tc>
          <w:tcPr>
            <w:tcW w:w="7290" w:type="dxa"/>
            <w:tcBorders>
              <w:top w:val="single" w:sz="4" w:space="0" w:color="auto"/>
              <w:left w:val="single" w:sz="4" w:space="0" w:color="auto"/>
              <w:bottom w:val="single" w:sz="4" w:space="0" w:color="auto"/>
              <w:right w:val="single" w:sz="4" w:space="0" w:color="auto"/>
            </w:tcBorders>
          </w:tcPr>
          <w:p w:rsidR="002523A1" w:rsidRPr="004C08E0" w:rsidRDefault="002523A1" w:rsidP="004F6840">
            <w:pPr>
              <w:spacing w:after="0" w:line="240" w:lineRule="auto"/>
              <w:rPr>
                <w:rFonts w:ascii="Times New Roman" w:hAnsi="Times New Roman" w:cs="Times New Roman"/>
                <w:sz w:val="24"/>
                <w:szCs w:val="24"/>
              </w:rPr>
            </w:pPr>
            <w:r w:rsidRPr="004C08E0">
              <w:rPr>
                <w:rFonts w:ascii="Times New Roman" w:hAnsi="Times New Roman" w:cs="Times New Roman"/>
                <w:sz w:val="24"/>
                <w:szCs w:val="24"/>
              </w:rPr>
              <w:t>Social Accountability</w:t>
            </w:r>
          </w:p>
        </w:tc>
      </w:tr>
    </w:tbl>
    <w:p w:rsidR="004F6840" w:rsidRPr="004C08E0" w:rsidRDefault="004F6840" w:rsidP="004F6840">
      <w:pPr>
        <w:spacing w:after="160" w:line="259" w:lineRule="auto"/>
        <w:rPr>
          <w:rFonts w:ascii="Times New Roman" w:hAnsi="Times New Roman" w:cs="Times New Roman"/>
          <w:sz w:val="24"/>
          <w:szCs w:val="24"/>
        </w:rPr>
      </w:pPr>
    </w:p>
    <w:p w:rsidR="00FA3473" w:rsidRPr="004C08E0" w:rsidRDefault="00355B76" w:rsidP="00FA3473">
      <w:pPr>
        <w:spacing w:after="160" w:line="259" w:lineRule="auto"/>
        <w:jc w:val="center"/>
        <w:rPr>
          <w:rFonts w:ascii="Times New Roman" w:hAnsi="Times New Roman" w:cs="Times New Roman"/>
          <w:b/>
          <w:sz w:val="24"/>
          <w:szCs w:val="24"/>
        </w:rPr>
      </w:pPr>
      <w:r w:rsidRPr="004C08E0">
        <w:rPr>
          <w:rFonts w:ascii="Times New Roman" w:hAnsi="Times New Roman" w:cs="Times New Roman"/>
          <w:b/>
          <w:sz w:val="24"/>
          <w:szCs w:val="24"/>
        </w:rPr>
        <w:t xml:space="preserve">Fiscal </w:t>
      </w:r>
      <w:r w:rsidR="00FA3473" w:rsidRPr="004C08E0">
        <w:rPr>
          <w:rFonts w:ascii="Times New Roman" w:hAnsi="Times New Roman" w:cs="Times New Roman"/>
          <w:b/>
          <w:sz w:val="24"/>
          <w:szCs w:val="24"/>
        </w:rPr>
        <w:t>Year</w:t>
      </w:r>
      <w:r w:rsidR="00F411CD" w:rsidRPr="004C08E0">
        <w:rPr>
          <w:rFonts w:ascii="Times New Roman" w:hAnsi="Times New Roman" w:cs="Times New Roman"/>
          <w:b/>
          <w:sz w:val="24"/>
          <w:szCs w:val="24"/>
        </w:rPr>
        <w:t>:</w:t>
      </w:r>
      <w:r w:rsidR="00FA3473" w:rsidRPr="004C08E0">
        <w:rPr>
          <w:rFonts w:ascii="Times New Roman" w:hAnsi="Times New Roman" w:cs="Times New Roman"/>
          <w:b/>
          <w:sz w:val="24"/>
          <w:szCs w:val="24"/>
        </w:rPr>
        <w:tab/>
        <w:t>July 8 to July 7</w:t>
      </w:r>
    </w:p>
    <w:p w:rsidR="00681461" w:rsidRPr="004C08E0" w:rsidRDefault="00681461">
      <w:pPr>
        <w:spacing w:after="160" w:line="259" w:lineRule="auto"/>
        <w:rPr>
          <w:rFonts w:ascii="Times New Roman" w:hAnsi="Times New Roman" w:cs="Times New Roman"/>
          <w:b/>
          <w:sz w:val="24"/>
          <w:szCs w:val="24"/>
        </w:rPr>
      </w:pPr>
      <w:r w:rsidRPr="004C08E0">
        <w:rPr>
          <w:rFonts w:ascii="Times New Roman" w:hAnsi="Times New Roman" w:cs="Times New Roman"/>
          <w:b/>
          <w:sz w:val="24"/>
          <w:szCs w:val="24"/>
        </w:rPr>
        <w:br w:type="page"/>
      </w:r>
    </w:p>
    <w:p w:rsidR="008F6D9D" w:rsidRPr="004C08E0" w:rsidRDefault="003168DD" w:rsidP="002746FA">
      <w:pPr>
        <w:spacing w:after="160" w:line="259" w:lineRule="auto"/>
        <w:jc w:val="center"/>
        <w:rPr>
          <w:rFonts w:ascii="Times New Roman" w:hAnsi="Times New Roman" w:cs="Times New Roman"/>
          <w:sz w:val="24"/>
          <w:szCs w:val="24"/>
        </w:rPr>
      </w:pPr>
      <w:r w:rsidRPr="004C08E0">
        <w:rPr>
          <w:rFonts w:ascii="Times New Roman" w:hAnsi="Times New Roman" w:cs="Times New Roman"/>
          <w:b/>
          <w:sz w:val="24"/>
          <w:szCs w:val="24"/>
        </w:rPr>
        <w:t>Ethiopia</w:t>
      </w:r>
    </w:p>
    <w:p w:rsidR="008F6D9D" w:rsidRPr="004C08E0" w:rsidRDefault="003168DD" w:rsidP="00D100BF">
      <w:pPr>
        <w:spacing w:after="120" w:line="240" w:lineRule="auto"/>
        <w:jc w:val="center"/>
        <w:rPr>
          <w:rFonts w:ascii="Times New Roman" w:hAnsi="Times New Roman" w:cs="Times New Roman"/>
          <w:b/>
          <w:sz w:val="24"/>
          <w:szCs w:val="24"/>
        </w:rPr>
      </w:pPr>
      <w:r w:rsidRPr="004C08E0">
        <w:rPr>
          <w:rFonts w:ascii="Times New Roman" w:hAnsi="Times New Roman" w:cs="Times New Roman"/>
          <w:b/>
          <w:sz w:val="24"/>
          <w:szCs w:val="24"/>
        </w:rPr>
        <w:t>Promoting Basic Services</w:t>
      </w:r>
    </w:p>
    <w:p w:rsidR="008F6D9D" w:rsidRPr="004C08E0" w:rsidRDefault="008F6D9D" w:rsidP="00D100BF">
      <w:pPr>
        <w:spacing w:after="120" w:line="240" w:lineRule="auto"/>
        <w:jc w:val="center"/>
        <w:rPr>
          <w:rFonts w:ascii="Times New Roman" w:hAnsi="Times New Roman" w:cs="Times New Roman"/>
          <w:b/>
          <w:sz w:val="24"/>
          <w:szCs w:val="24"/>
        </w:rPr>
      </w:pPr>
      <w:r w:rsidRPr="004C08E0">
        <w:rPr>
          <w:rFonts w:ascii="Times New Roman" w:hAnsi="Times New Roman" w:cs="Times New Roman"/>
          <w:b/>
          <w:sz w:val="24"/>
          <w:szCs w:val="24"/>
        </w:rPr>
        <w:t>(</w:t>
      </w:r>
      <w:r w:rsidR="003168DD" w:rsidRPr="004C08E0">
        <w:rPr>
          <w:rFonts w:ascii="Times New Roman" w:hAnsi="Times New Roman" w:cs="Times New Roman"/>
          <w:b/>
          <w:sz w:val="24"/>
          <w:szCs w:val="24"/>
        </w:rPr>
        <w:t>Credit No 51620)</w:t>
      </w:r>
    </w:p>
    <w:p w:rsidR="008F6D9D" w:rsidRPr="004C08E0" w:rsidRDefault="008F6D9D" w:rsidP="00D100BF">
      <w:pPr>
        <w:spacing w:after="120" w:line="240" w:lineRule="auto"/>
        <w:jc w:val="center"/>
        <w:rPr>
          <w:rFonts w:ascii="Times New Roman" w:hAnsi="Times New Roman" w:cs="Times New Roman"/>
          <w:b/>
          <w:sz w:val="24"/>
          <w:szCs w:val="24"/>
        </w:rPr>
      </w:pPr>
      <w:r w:rsidRPr="004C08E0">
        <w:rPr>
          <w:rFonts w:ascii="Times New Roman" w:hAnsi="Times New Roman" w:cs="Times New Roman"/>
          <w:b/>
          <w:sz w:val="24"/>
          <w:szCs w:val="24"/>
        </w:rPr>
        <w:t>Progress Report No.</w:t>
      </w:r>
      <w:r w:rsidR="00DF6F63">
        <w:rPr>
          <w:rFonts w:ascii="Times New Roman" w:hAnsi="Times New Roman" w:cs="Times New Roman"/>
          <w:b/>
          <w:sz w:val="24"/>
          <w:szCs w:val="24"/>
        </w:rPr>
        <w:t xml:space="preserve"> </w:t>
      </w:r>
      <w:r w:rsidR="007E3C3F">
        <w:rPr>
          <w:rFonts w:ascii="Times New Roman" w:hAnsi="Times New Roman" w:cs="Times New Roman"/>
          <w:b/>
          <w:sz w:val="24"/>
          <w:szCs w:val="24"/>
        </w:rPr>
        <w:t>3</w:t>
      </w:r>
    </w:p>
    <w:p w:rsidR="008F6D9D" w:rsidRPr="004C08E0" w:rsidRDefault="008F6D9D" w:rsidP="00D100BF">
      <w:pPr>
        <w:spacing w:after="120" w:line="240" w:lineRule="auto"/>
        <w:jc w:val="center"/>
        <w:rPr>
          <w:rFonts w:ascii="Times New Roman" w:hAnsi="Times New Roman" w:cs="Times New Roman"/>
          <w:b/>
          <w:sz w:val="24"/>
          <w:szCs w:val="24"/>
        </w:rPr>
      </w:pPr>
      <w:r w:rsidRPr="004C08E0">
        <w:rPr>
          <w:rFonts w:ascii="Times New Roman" w:hAnsi="Times New Roman" w:cs="Times New Roman"/>
          <w:b/>
          <w:sz w:val="24"/>
          <w:szCs w:val="24"/>
        </w:rPr>
        <w:t xml:space="preserve">Implementation of Management Action Plan </w:t>
      </w:r>
    </w:p>
    <w:sdt>
      <w:sdtPr>
        <w:rPr>
          <w:rFonts w:ascii="Times New Roman" w:eastAsiaTheme="minorHAnsi" w:hAnsi="Times New Roman" w:cs="Times New Roman"/>
          <w:color w:val="auto"/>
          <w:sz w:val="24"/>
          <w:szCs w:val="24"/>
        </w:rPr>
        <w:id w:val="-180975928"/>
        <w:docPartObj>
          <w:docPartGallery w:val="Table of Contents"/>
          <w:docPartUnique/>
        </w:docPartObj>
      </w:sdtPr>
      <w:sdtEndPr>
        <w:rPr>
          <w:b/>
          <w:bCs/>
          <w:noProof/>
        </w:rPr>
      </w:sdtEndPr>
      <w:sdtContent>
        <w:p w:rsidR="0016036D" w:rsidRPr="004C08E0" w:rsidRDefault="0016036D">
          <w:pPr>
            <w:pStyle w:val="TOCHeading"/>
            <w:rPr>
              <w:rFonts w:ascii="Times New Roman" w:hAnsi="Times New Roman" w:cs="Times New Roman"/>
              <w:color w:val="auto"/>
              <w:sz w:val="24"/>
              <w:szCs w:val="24"/>
            </w:rPr>
          </w:pPr>
        </w:p>
        <w:p w:rsidR="00827BC7" w:rsidRDefault="0016036D">
          <w:pPr>
            <w:pStyle w:val="TOC1"/>
            <w:rPr>
              <w:rFonts w:asciiTheme="minorHAnsi" w:eastAsiaTheme="minorEastAsia" w:hAnsiTheme="minorHAnsi" w:cstheme="minorBidi"/>
              <w:bCs w:val="0"/>
              <w:sz w:val="22"/>
              <w:szCs w:val="22"/>
            </w:rPr>
          </w:pPr>
          <w:r w:rsidRPr="003D109F">
            <w:rPr>
              <w:rFonts w:ascii="Times New Roman" w:hAnsi="Times New Roman"/>
            </w:rPr>
            <w:fldChar w:fldCharType="begin"/>
          </w:r>
          <w:r w:rsidRPr="004C08E0">
            <w:rPr>
              <w:rFonts w:ascii="Times New Roman" w:hAnsi="Times New Roman"/>
            </w:rPr>
            <w:instrText xml:space="preserve"> TOC \o "1-3" \h \z \u </w:instrText>
          </w:r>
          <w:r w:rsidRPr="003D109F">
            <w:rPr>
              <w:rFonts w:ascii="Times New Roman" w:hAnsi="Times New Roman"/>
            </w:rPr>
            <w:fldChar w:fldCharType="separate"/>
          </w:r>
          <w:hyperlink w:anchor="_Toc501554679" w:history="1">
            <w:r w:rsidR="00827BC7" w:rsidRPr="004C62B4">
              <w:rPr>
                <w:rStyle w:val="Hyperlink"/>
              </w:rPr>
              <w:t>Abbreviations and Acronyms</w:t>
            </w:r>
            <w:r w:rsidR="00827BC7">
              <w:rPr>
                <w:webHidden/>
              </w:rPr>
              <w:tab/>
            </w:r>
            <w:r w:rsidR="00827BC7">
              <w:rPr>
                <w:webHidden/>
              </w:rPr>
              <w:fldChar w:fldCharType="begin"/>
            </w:r>
            <w:r w:rsidR="00827BC7">
              <w:rPr>
                <w:webHidden/>
              </w:rPr>
              <w:instrText xml:space="preserve"> PAGEREF _Toc501554679 \h </w:instrText>
            </w:r>
            <w:r w:rsidR="00827BC7">
              <w:rPr>
                <w:webHidden/>
              </w:rPr>
            </w:r>
            <w:r w:rsidR="00827BC7">
              <w:rPr>
                <w:webHidden/>
              </w:rPr>
              <w:fldChar w:fldCharType="separate"/>
            </w:r>
            <w:r w:rsidR="00CD5E6A">
              <w:rPr>
                <w:webHidden/>
              </w:rPr>
              <w:t>ii</w:t>
            </w:r>
            <w:r w:rsidR="00827BC7">
              <w:rPr>
                <w:webHidden/>
              </w:rPr>
              <w:fldChar w:fldCharType="end"/>
            </w:r>
          </w:hyperlink>
        </w:p>
        <w:p w:rsidR="00827BC7" w:rsidRDefault="000E0644">
          <w:pPr>
            <w:pStyle w:val="TOC1"/>
            <w:rPr>
              <w:rFonts w:asciiTheme="minorHAnsi" w:eastAsiaTheme="minorEastAsia" w:hAnsiTheme="minorHAnsi" w:cstheme="minorBidi"/>
              <w:bCs w:val="0"/>
              <w:sz w:val="22"/>
              <w:szCs w:val="22"/>
            </w:rPr>
          </w:pPr>
          <w:hyperlink w:anchor="_Toc501554681" w:history="1">
            <w:r w:rsidR="00827BC7" w:rsidRPr="004C62B4">
              <w:rPr>
                <w:rStyle w:val="Hyperlink"/>
              </w:rPr>
              <w:t>I.</w:t>
            </w:r>
            <w:r w:rsidR="00827BC7">
              <w:rPr>
                <w:rFonts w:asciiTheme="minorHAnsi" w:eastAsiaTheme="minorEastAsia" w:hAnsiTheme="minorHAnsi" w:cstheme="minorBidi"/>
                <w:bCs w:val="0"/>
                <w:sz w:val="22"/>
                <w:szCs w:val="22"/>
              </w:rPr>
              <w:tab/>
            </w:r>
            <w:r w:rsidR="00827BC7" w:rsidRPr="004C62B4">
              <w:rPr>
                <w:rStyle w:val="Hyperlink"/>
              </w:rPr>
              <w:t>Introduction</w:t>
            </w:r>
            <w:r w:rsidR="00827BC7">
              <w:rPr>
                <w:webHidden/>
              </w:rPr>
              <w:tab/>
            </w:r>
            <w:r w:rsidR="00827BC7">
              <w:rPr>
                <w:webHidden/>
              </w:rPr>
              <w:fldChar w:fldCharType="begin"/>
            </w:r>
            <w:r w:rsidR="00827BC7">
              <w:rPr>
                <w:webHidden/>
              </w:rPr>
              <w:instrText xml:space="preserve"> PAGEREF _Toc501554681 \h </w:instrText>
            </w:r>
            <w:r w:rsidR="00827BC7">
              <w:rPr>
                <w:webHidden/>
              </w:rPr>
            </w:r>
            <w:r w:rsidR="00827BC7">
              <w:rPr>
                <w:webHidden/>
              </w:rPr>
              <w:fldChar w:fldCharType="separate"/>
            </w:r>
            <w:r w:rsidR="00CD5E6A">
              <w:rPr>
                <w:webHidden/>
              </w:rPr>
              <w:t>1</w:t>
            </w:r>
            <w:r w:rsidR="00827BC7">
              <w:rPr>
                <w:webHidden/>
              </w:rPr>
              <w:fldChar w:fldCharType="end"/>
            </w:r>
          </w:hyperlink>
        </w:p>
        <w:p w:rsidR="00827BC7" w:rsidRDefault="000E0644">
          <w:pPr>
            <w:pStyle w:val="TOC1"/>
            <w:rPr>
              <w:rFonts w:asciiTheme="minorHAnsi" w:eastAsiaTheme="minorEastAsia" w:hAnsiTheme="minorHAnsi" w:cstheme="minorBidi"/>
              <w:bCs w:val="0"/>
              <w:sz w:val="22"/>
              <w:szCs w:val="22"/>
            </w:rPr>
          </w:pPr>
          <w:hyperlink w:anchor="_Toc501554682" w:history="1">
            <w:r w:rsidR="00827BC7" w:rsidRPr="004C62B4">
              <w:rPr>
                <w:rStyle w:val="Hyperlink"/>
              </w:rPr>
              <w:t xml:space="preserve">II. </w:t>
            </w:r>
            <w:r w:rsidR="00827BC7">
              <w:rPr>
                <w:rFonts w:asciiTheme="minorHAnsi" w:eastAsiaTheme="minorEastAsia" w:hAnsiTheme="minorHAnsi" w:cstheme="minorBidi"/>
                <w:bCs w:val="0"/>
                <w:sz w:val="22"/>
                <w:szCs w:val="22"/>
              </w:rPr>
              <w:tab/>
            </w:r>
            <w:r w:rsidR="00827BC7" w:rsidRPr="004C62B4">
              <w:rPr>
                <w:rStyle w:val="Hyperlink"/>
              </w:rPr>
              <w:t>Progress of Management Action Plan Implementation</w:t>
            </w:r>
            <w:r w:rsidR="00827BC7">
              <w:rPr>
                <w:webHidden/>
              </w:rPr>
              <w:tab/>
            </w:r>
            <w:r w:rsidR="00827BC7">
              <w:rPr>
                <w:webHidden/>
              </w:rPr>
              <w:fldChar w:fldCharType="begin"/>
            </w:r>
            <w:r w:rsidR="00827BC7">
              <w:rPr>
                <w:webHidden/>
              </w:rPr>
              <w:instrText xml:space="preserve"> PAGEREF _Toc501554682 \h </w:instrText>
            </w:r>
            <w:r w:rsidR="00827BC7">
              <w:rPr>
                <w:webHidden/>
              </w:rPr>
            </w:r>
            <w:r w:rsidR="00827BC7">
              <w:rPr>
                <w:webHidden/>
              </w:rPr>
              <w:fldChar w:fldCharType="separate"/>
            </w:r>
            <w:r w:rsidR="00CD5E6A">
              <w:rPr>
                <w:webHidden/>
              </w:rPr>
              <w:t>1</w:t>
            </w:r>
            <w:r w:rsidR="00827BC7">
              <w:rPr>
                <w:webHidden/>
              </w:rPr>
              <w:fldChar w:fldCharType="end"/>
            </w:r>
          </w:hyperlink>
        </w:p>
        <w:p w:rsidR="00827BC7" w:rsidRDefault="000E0644">
          <w:pPr>
            <w:pStyle w:val="TOC1"/>
            <w:rPr>
              <w:rFonts w:asciiTheme="minorHAnsi" w:eastAsiaTheme="minorEastAsia" w:hAnsiTheme="minorHAnsi" w:cstheme="minorBidi"/>
              <w:bCs w:val="0"/>
              <w:sz w:val="22"/>
              <w:szCs w:val="22"/>
            </w:rPr>
          </w:pPr>
          <w:hyperlink w:anchor="_Toc501554683" w:history="1">
            <w:r w:rsidR="00827BC7" w:rsidRPr="004C62B4">
              <w:rPr>
                <w:rStyle w:val="Hyperlink"/>
              </w:rPr>
              <w:t>III.</w:t>
            </w:r>
            <w:r w:rsidR="00827BC7">
              <w:rPr>
                <w:rFonts w:asciiTheme="minorHAnsi" w:eastAsiaTheme="minorEastAsia" w:hAnsiTheme="minorHAnsi" w:cstheme="minorBidi"/>
                <w:bCs w:val="0"/>
                <w:sz w:val="22"/>
                <w:szCs w:val="22"/>
              </w:rPr>
              <w:tab/>
            </w:r>
            <w:r w:rsidR="00827BC7" w:rsidRPr="004C62B4">
              <w:rPr>
                <w:rStyle w:val="Hyperlink"/>
              </w:rPr>
              <w:t xml:space="preserve">Next </w:t>
            </w:r>
            <w:r w:rsidR="00827BC7">
              <w:rPr>
                <w:rStyle w:val="Hyperlink"/>
              </w:rPr>
              <w:t>Steps</w:t>
            </w:r>
            <w:r w:rsidR="00827BC7">
              <w:rPr>
                <w:webHidden/>
              </w:rPr>
              <w:tab/>
            </w:r>
            <w:r w:rsidR="00827BC7">
              <w:rPr>
                <w:webHidden/>
              </w:rPr>
              <w:fldChar w:fldCharType="begin"/>
            </w:r>
            <w:r w:rsidR="00827BC7">
              <w:rPr>
                <w:webHidden/>
              </w:rPr>
              <w:instrText xml:space="preserve"> PAGEREF _Toc501554683 \h </w:instrText>
            </w:r>
            <w:r w:rsidR="00827BC7">
              <w:rPr>
                <w:webHidden/>
              </w:rPr>
            </w:r>
            <w:r w:rsidR="00827BC7">
              <w:rPr>
                <w:webHidden/>
              </w:rPr>
              <w:fldChar w:fldCharType="separate"/>
            </w:r>
            <w:r w:rsidR="00CD5E6A">
              <w:rPr>
                <w:webHidden/>
              </w:rPr>
              <w:t>6</w:t>
            </w:r>
            <w:r w:rsidR="00827BC7">
              <w:rPr>
                <w:webHidden/>
              </w:rPr>
              <w:fldChar w:fldCharType="end"/>
            </w:r>
          </w:hyperlink>
        </w:p>
        <w:p w:rsidR="0016036D" w:rsidRPr="003D109F" w:rsidRDefault="0016036D">
          <w:pPr>
            <w:rPr>
              <w:rFonts w:ascii="Times New Roman" w:hAnsi="Times New Roman" w:cs="Times New Roman"/>
              <w:sz w:val="24"/>
              <w:szCs w:val="24"/>
            </w:rPr>
          </w:pPr>
          <w:r w:rsidRPr="003D109F">
            <w:rPr>
              <w:rFonts w:ascii="Times New Roman" w:hAnsi="Times New Roman" w:cs="Times New Roman"/>
              <w:b/>
              <w:bCs/>
              <w:noProof/>
              <w:sz w:val="24"/>
              <w:szCs w:val="24"/>
            </w:rPr>
            <w:fldChar w:fldCharType="end"/>
          </w:r>
        </w:p>
      </w:sdtContent>
    </w:sdt>
    <w:p w:rsidR="00681461" w:rsidRPr="004C08E0" w:rsidRDefault="00681461">
      <w:pPr>
        <w:spacing w:after="160" w:line="259" w:lineRule="auto"/>
        <w:rPr>
          <w:rFonts w:ascii="Times New Roman" w:eastAsia="MS Mincho" w:hAnsi="Times New Roman" w:cs="Times New Roman"/>
          <w:b/>
          <w:bCs/>
          <w:caps/>
          <w:smallCaps/>
          <w:sz w:val="24"/>
          <w:szCs w:val="24"/>
        </w:rPr>
      </w:pPr>
      <w:r w:rsidRPr="004C08E0">
        <w:rPr>
          <w:bCs/>
          <w:smallCaps/>
          <w:szCs w:val="24"/>
        </w:rPr>
        <w:br w:type="page"/>
      </w:r>
    </w:p>
    <w:p w:rsidR="00656A0C" w:rsidRDefault="00656A0C">
      <w:pPr>
        <w:spacing w:after="160" w:line="259" w:lineRule="auto"/>
        <w:rPr>
          <w:rFonts w:ascii="Times New Roman" w:eastAsia="MS Mincho" w:hAnsi="Times New Roman" w:cs="Times New Roman"/>
          <w:sz w:val="24"/>
          <w:szCs w:val="24"/>
        </w:rPr>
        <w:sectPr w:rsidR="00656A0C" w:rsidSect="00377FC8">
          <w:footerReference w:type="default" r:id="rId8"/>
          <w:pgSz w:w="12240" w:h="15840"/>
          <w:pgMar w:top="1440" w:right="1440" w:bottom="1440" w:left="1440" w:header="720" w:footer="720" w:gutter="0"/>
          <w:pgNumType w:fmt="lowerRoman"/>
          <w:cols w:space="720"/>
          <w:titlePg/>
          <w:docGrid w:linePitch="360"/>
        </w:sectPr>
      </w:pPr>
    </w:p>
    <w:p w:rsidR="008F6D9D" w:rsidRPr="004C08E0" w:rsidRDefault="008F6D9D" w:rsidP="008F6D9D">
      <w:pPr>
        <w:pStyle w:val="IP-HEADING1"/>
        <w:tabs>
          <w:tab w:val="clear" w:pos="1170"/>
        </w:tabs>
        <w:rPr>
          <w:bCs/>
          <w:smallCaps/>
          <w:szCs w:val="24"/>
        </w:rPr>
      </w:pPr>
      <w:bookmarkStart w:id="2" w:name="_Toc438645312"/>
      <w:bookmarkStart w:id="3" w:name="_Toc501554681"/>
      <w:r w:rsidRPr="004C08E0">
        <w:rPr>
          <w:bCs/>
          <w:smallCaps/>
          <w:szCs w:val="24"/>
        </w:rPr>
        <w:t>Introduction</w:t>
      </w:r>
      <w:bookmarkEnd w:id="2"/>
      <w:bookmarkEnd w:id="3"/>
    </w:p>
    <w:p w:rsidR="00040AA4" w:rsidRPr="006E6A49" w:rsidRDefault="00040AA4" w:rsidP="00FB600C">
      <w:pPr>
        <w:pStyle w:val="ListParagraph"/>
        <w:numPr>
          <w:ilvl w:val="0"/>
          <w:numId w:val="29"/>
        </w:numPr>
        <w:autoSpaceDE w:val="0"/>
        <w:autoSpaceDN w:val="0"/>
        <w:adjustRightInd w:val="0"/>
        <w:ind w:left="0" w:firstLine="0"/>
        <w:jc w:val="both"/>
        <w:rPr>
          <w:szCs w:val="24"/>
        </w:rPr>
      </w:pPr>
      <w:r w:rsidRPr="006E6A49">
        <w:rPr>
          <w:szCs w:val="24"/>
        </w:rPr>
        <w:t xml:space="preserve">This is the third and final report to the Board on the implementation of the Management Action Plan (MAP) </w:t>
      </w:r>
      <w:r w:rsidR="00C32A29" w:rsidRPr="006E6A49">
        <w:rPr>
          <w:szCs w:val="24"/>
        </w:rPr>
        <w:t xml:space="preserve">in Response to the Inspection Panel investigation of the </w:t>
      </w:r>
      <w:r w:rsidRPr="006E6A49">
        <w:rPr>
          <w:szCs w:val="24"/>
        </w:rPr>
        <w:t xml:space="preserve">Ethiopia Promoting Basic Services Phase III </w:t>
      </w:r>
      <w:r w:rsidR="00FF5841">
        <w:rPr>
          <w:szCs w:val="24"/>
        </w:rPr>
        <w:t xml:space="preserve">Project </w:t>
      </w:r>
      <w:r w:rsidRPr="006E6A49">
        <w:rPr>
          <w:szCs w:val="24"/>
        </w:rPr>
        <w:t xml:space="preserve">(PBS 3). </w:t>
      </w:r>
      <w:r w:rsidR="00157121" w:rsidRPr="006E6A49">
        <w:rPr>
          <w:szCs w:val="24"/>
        </w:rPr>
        <w:t>T</w:t>
      </w:r>
      <w:r w:rsidRPr="006E6A49">
        <w:rPr>
          <w:szCs w:val="24"/>
        </w:rPr>
        <w:t xml:space="preserve">he MAP </w:t>
      </w:r>
      <w:r w:rsidR="00157121" w:rsidRPr="006E6A49">
        <w:rPr>
          <w:szCs w:val="24"/>
        </w:rPr>
        <w:t xml:space="preserve">has been fully implemented. </w:t>
      </w:r>
    </w:p>
    <w:p w:rsidR="00040AA4" w:rsidRDefault="00040AA4" w:rsidP="00FB600C">
      <w:pPr>
        <w:pStyle w:val="ListParagraph"/>
        <w:autoSpaceDE w:val="0"/>
        <w:autoSpaceDN w:val="0"/>
        <w:adjustRightInd w:val="0"/>
        <w:ind w:left="0"/>
        <w:jc w:val="both"/>
        <w:rPr>
          <w:rFonts w:eastAsia="MS Mincho"/>
          <w:szCs w:val="24"/>
        </w:rPr>
      </w:pPr>
    </w:p>
    <w:p w:rsidR="00DC068C" w:rsidRPr="004C08E0" w:rsidRDefault="00DC068C" w:rsidP="003927E4">
      <w:pPr>
        <w:pStyle w:val="ListParagraph"/>
        <w:numPr>
          <w:ilvl w:val="0"/>
          <w:numId w:val="29"/>
        </w:numPr>
        <w:autoSpaceDE w:val="0"/>
        <w:autoSpaceDN w:val="0"/>
        <w:adjustRightInd w:val="0"/>
        <w:ind w:left="0" w:firstLine="0"/>
        <w:jc w:val="both"/>
        <w:rPr>
          <w:rFonts w:eastAsia="MS Mincho"/>
          <w:szCs w:val="24"/>
        </w:rPr>
      </w:pPr>
      <w:r w:rsidRPr="003D109F">
        <w:rPr>
          <w:i/>
          <w:szCs w:val="24"/>
        </w:rPr>
        <w:t>The Project</w:t>
      </w:r>
      <w:r w:rsidR="00FC7CF2" w:rsidRPr="003D109F">
        <w:rPr>
          <w:szCs w:val="24"/>
        </w:rPr>
        <w:t>.</w:t>
      </w:r>
      <w:r w:rsidRPr="003D109F">
        <w:rPr>
          <w:szCs w:val="24"/>
        </w:rPr>
        <w:t xml:space="preserve"> The </w:t>
      </w:r>
      <w:r w:rsidR="005B53B6" w:rsidRPr="003D109F">
        <w:rPr>
          <w:szCs w:val="24"/>
        </w:rPr>
        <w:t xml:space="preserve">Ethiopia </w:t>
      </w:r>
      <w:r w:rsidRPr="004C08E0">
        <w:rPr>
          <w:szCs w:val="24"/>
        </w:rPr>
        <w:t xml:space="preserve">Promoting Basic Services Phase III </w:t>
      </w:r>
      <w:r w:rsidR="00FF5841">
        <w:rPr>
          <w:szCs w:val="24"/>
        </w:rPr>
        <w:t xml:space="preserve">Project </w:t>
      </w:r>
      <w:r w:rsidRPr="004C08E0">
        <w:rPr>
          <w:szCs w:val="24"/>
        </w:rPr>
        <w:t xml:space="preserve">(PBS 3), which operates nationwide, was approved by the </w:t>
      </w:r>
      <w:r w:rsidR="00FC7CF2" w:rsidRPr="004C08E0">
        <w:rPr>
          <w:szCs w:val="24"/>
        </w:rPr>
        <w:t xml:space="preserve">World Bank’s </w:t>
      </w:r>
      <w:r w:rsidRPr="004C08E0">
        <w:rPr>
          <w:szCs w:val="24"/>
        </w:rPr>
        <w:t xml:space="preserve">Board </w:t>
      </w:r>
      <w:r w:rsidR="00E51F59" w:rsidRPr="004C08E0">
        <w:rPr>
          <w:szCs w:val="24"/>
        </w:rPr>
        <w:t xml:space="preserve">of Executive Directors </w:t>
      </w:r>
      <w:r w:rsidRPr="004C08E0">
        <w:rPr>
          <w:szCs w:val="24"/>
        </w:rPr>
        <w:t xml:space="preserve">in September 2012, </w:t>
      </w:r>
      <w:r w:rsidR="00FC7CF2" w:rsidRPr="004C08E0">
        <w:rPr>
          <w:szCs w:val="24"/>
        </w:rPr>
        <w:t xml:space="preserve">with an IDA Credit of US$600 million </w:t>
      </w:r>
      <w:r w:rsidR="00FF5841">
        <w:rPr>
          <w:szCs w:val="24"/>
        </w:rPr>
        <w:t xml:space="preserve">equivalent </w:t>
      </w:r>
      <w:r w:rsidR="00FC7CF2" w:rsidRPr="004C08E0">
        <w:rPr>
          <w:szCs w:val="24"/>
        </w:rPr>
        <w:t xml:space="preserve">(total </w:t>
      </w:r>
      <w:r w:rsidR="00377FC8">
        <w:rPr>
          <w:szCs w:val="24"/>
        </w:rPr>
        <w:t>P</w:t>
      </w:r>
      <w:r w:rsidR="00FC7CF2" w:rsidRPr="004C08E0">
        <w:rPr>
          <w:szCs w:val="24"/>
        </w:rPr>
        <w:t>roject cost approximately US$</w:t>
      </w:r>
      <w:r w:rsidR="00377FC8" w:rsidRPr="004C08E0">
        <w:rPr>
          <w:szCs w:val="24"/>
        </w:rPr>
        <w:t>5</w:t>
      </w:r>
      <w:r w:rsidR="00377FC8">
        <w:rPr>
          <w:szCs w:val="24"/>
        </w:rPr>
        <w:t> </w:t>
      </w:r>
      <w:r w:rsidR="00FC7CF2" w:rsidRPr="004C08E0">
        <w:rPr>
          <w:szCs w:val="24"/>
        </w:rPr>
        <w:t xml:space="preserve">billion). The </w:t>
      </w:r>
      <w:r w:rsidR="00377FC8">
        <w:rPr>
          <w:szCs w:val="24"/>
        </w:rPr>
        <w:t>P</w:t>
      </w:r>
      <w:r w:rsidR="00FC7CF2" w:rsidRPr="004C08E0">
        <w:rPr>
          <w:szCs w:val="24"/>
        </w:rPr>
        <w:t xml:space="preserve">roject, which is </w:t>
      </w:r>
      <w:r w:rsidR="00E51F59" w:rsidRPr="004C08E0">
        <w:rPr>
          <w:szCs w:val="24"/>
        </w:rPr>
        <w:t xml:space="preserve">financed </w:t>
      </w:r>
      <w:r w:rsidR="00FC7CF2" w:rsidRPr="004C08E0">
        <w:rPr>
          <w:szCs w:val="24"/>
        </w:rPr>
        <w:t xml:space="preserve">by </w:t>
      </w:r>
      <w:r w:rsidR="00377FC8">
        <w:rPr>
          <w:szCs w:val="24"/>
        </w:rPr>
        <w:t xml:space="preserve">several </w:t>
      </w:r>
      <w:r w:rsidR="00FC7CF2" w:rsidRPr="004C08E0">
        <w:rPr>
          <w:szCs w:val="24"/>
        </w:rPr>
        <w:t xml:space="preserve">development partners, </w:t>
      </w:r>
      <w:r w:rsidRPr="004C08E0">
        <w:rPr>
          <w:szCs w:val="24"/>
        </w:rPr>
        <w:t xml:space="preserve">is the third in a series of projects supporting the improved quality and delivery of decentralized services in education, health, agriculture, water supply and rural roads in Ethiopia. The </w:t>
      </w:r>
      <w:r w:rsidR="00377FC8">
        <w:rPr>
          <w:szCs w:val="24"/>
        </w:rPr>
        <w:t>P</w:t>
      </w:r>
      <w:r w:rsidRPr="004C08E0">
        <w:rPr>
          <w:szCs w:val="24"/>
        </w:rPr>
        <w:t>roject also support</w:t>
      </w:r>
      <w:r w:rsidR="00E51F59" w:rsidRPr="004C08E0">
        <w:rPr>
          <w:szCs w:val="24"/>
        </w:rPr>
        <w:t>s</w:t>
      </w:r>
      <w:r w:rsidRPr="004C08E0">
        <w:rPr>
          <w:szCs w:val="24"/>
        </w:rPr>
        <w:t xml:space="preserve"> strengthening of fiduciary systems, citizen engagement and improving development data to allow results to be monitored. </w:t>
      </w:r>
      <w:r w:rsidR="00E51F59" w:rsidRPr="004C08E0">
        <w:rPr>
          <w:szCs w:val="24"/>
        </w:rPr>
        <w:t xml:space="preserve">The </w:t>
      </w:r>
      <w:r w:rsidR="00377FC8">
        <w:rPr>
          <w:szCs w:val="24"/>
        </w:rPr>
        <w:t>P</w:t>
      </w:r>
      <w:r w:rsidR="00E51F59" w:rsidRPr="004C08E0">
        <w:rPr>
          <w:szCs w:val="24"/>
        </w:rPr>
        <w:t xml:space="preserve">roject is about </w:t>
      </w:r>
      <w:r w:rsidR="00B8015C">
        <w:rPr>
          <w:szCs w:val="24"/>
        </w:rPr>
        <w:t>97</w:t>
      </w:r>
      <w:r w:rsidR="00B8015C" w:rsidRPr="004C08E0">
        <w:rPr>
          <w:szCs w:val="24"/>
        </w:rPr>
        <w:t xml:space="preserve"> </w:t>
      </w:r>
      <w:r w:rsidR="00E51F59" w:rsidRPr="004C08E0">
        <w:rPr>
          <w:szCs w:val="24"/>
        </w:rPr>
        <w:t>percent disbursed and the closing date is January 7, 2019.</w:t>
      </w:r>
    </w:p>
    <w:p w:rsidR="00DC068C" w:rsidRPr="004C08E0" w:rsidRDefault="00DC068C" w:rsidP="0010439D">
      <w:pPr>
        <w:pStyle w:val="ListParagraph"/>
        <w:autoSpaceDE w:val="0"/>
        <w:autoSpaceDN w:val="0"/>
        <w:adjustRightInd w:val="0"/>
        <w:ind w:left="0"/>
        <w:jc w:val="both"/>
        <w:rPr>
          <w:rFonts w:eastAsia="MS Mincho"/>
          <w:szCs w:val="24"/>
        </w:rPr>
      </w:pPr>
    </w:p>
    <w:p w:rsidR="00850378" w:rsidRPr="004C08E0" w:rsidRDefault="00FC7CF2" w:rsidP="00850378">
      <w:pPr>
        <w:pStyle w:val="ListParagraph"/>
        <w:numPr>
          <w:ilvl w:val="0"/>
          <w:numId w:val="29"/>
        </w:numPr>
        <w:autoSpaceDE w:val="0"/>
        <w:autoSpaceDN w:val="0"/>
        <w:adjustRightInd w:val="0"/>
        <w:ind w:left="0" w:firstLine="0"/>
        <w:jc w:val="both"/>
        <w:rPr>
          <w:rFonts w:eastAsia="MS Mincho"/>
          <w:szCs w:val="24"/>
        </w:rPr>
      </w:pPr>
      <w:r w:rsidRPr="004C08E0">
        <w:rPr>
          <w:rFonts w:eastAsia="MS Mincho"/>
          <w:i/>
          <w:szCs w:val="24"/>
        </w:rPr>
        <w:t>Inspection Panel Investigation.</w:t>
      </w:r>
      <w:r w:rsidRPr="004C08E0">
        <w:rPr>
          <w:rFonts w:eastAsia="MS Mincho"/>
          <w:szCs w:val="24"/>
        </w:rPr>
        <w:t xml:space="preserve"> </w:t>
      </w:r>
      <w:r w:rsidR="00850378" w:rsidRPr="004C08E0">
        <w:rPr>
          <w:rFonts w:eastAsia="MS Mincho"/>
          <w:szCs w:val="24"/>
        </w:rPr>
        <w:t xml:space="preserve">In July 2013, the Board authorized an Inspection Panel investigation following claims made by </w:t>
      </w:r>
      <w:proofErr w:type="spellStart"/>
      <w:r w:rsidR="00850378" w:rsidRPr="004C08E0">
        <w:rPr>
          <w:rFonts w:eastAsia="MS Mincho"/>
          <w:szCs w:val="24"/>
        </w:rPr>
        <w:t>Anuak</w:t>
      </w:r>
      <w:proofErr w:type="spellEnd"/>
      <w:r w:rsidR="00850378" w:rsidRPr="004C08E0">
        <w:rPr>
          <w:rFonts w:eastAsia="MS Mincho"/>
          <w:szCs w:val="24"/>
        </w:rPr>
        <w:t xml:space="preserve"> community members that PBS 3 was linked to human rights abuses that allegedly occurred under the </w:t>
      </w:r>
      <w:r w:rsidR="00377FC8">
        <w:rPr>
          <w:rFonts w:eastAsia="MS Mincho"/>
          <w:szCs w:val="24"/>
        </w:rPr>
        <w:t>g</w:t>
      </w:r>
      <w:r w:rsidR="00850378" w:rsidRPr="004C08E0">
        <w:rPr>
          <w:rFonts w:eastAsia="MS Mincho"/>
          <w:szCs w:val="24"/>
        </w:rPr>
        <w:t xml:space="preserve">overnment’s Commune Development Program (CDP) in </w:t>
      </w:r>
      <w:proofErr w:type="spellStart"/>
      <w:r w:rsidR="00850378" w:rsidRPr="004C08E0">
        <w:rPr>
          <w:rFonts w:eastAsia="MS Mincho"/>
          <w:szCs w:val="24"/>
        </w:rPr>
        <w:t>Gambella</w:t>
      </w:r>
      <w:proofErr w:type="spellEnd"/>
      <w:r w:rsidR="00850378" w:rsidRPr="004C08E0">
        <w:rPr>
          <w:rFonts w:eastAsia="MS Mincho"/>
          <w:szCs w:val="24"/>
        </w:rPr>
        <w:t xml:space="preserve">. The Panel’s </w:t>
      </w:r>
      <w:hyperlink r:id="rId9" w:history="1">
        <w:r w:rsidR="00850378" w:rsidRPr="003B6752">
          <w:rPr>
            <w:rStyle w:val="Hyperlink"/>
            <w:rFonts w:eastAsia="MS Mincho"/>
            <w:szCs w:val="24"/>
          </w:rPr>
          <w:t>Investigation Report</w:t>
        </w:r>
      </w:hyperlink>
      <w:r w:rsidR="00850378" w:rsidRPr="004C08E0">
        <w:rPr>
          <w:rFonts w:eastAsia="MS Mincho"/>
          <w:szCs w:val="24"/>
        </w:rPr>
        <w:t xml:space="preserve"> (No. 918</w:t>
      </w:r>
      <w:r w:rsidR="00FF5841">
        <w:rPr>
          <w:rFonts w:eastAsia="MS Mincho"/>
          <w:szCs w:val="24"/>
        </w:rPr>
        <w:t>5</w:t>
      </w:r>
      <w:r w:rsidR="00850378" w:rsidRPr="004C08E0">
        <w:rPr>
          <w:rFonts w:eastAsia="MS Mincho"/>
          <w:szCs w:val="24"/>
        </w:rPr>
        <w:t>4-ET), dated November 21, 2014, concluded that the alleged harm which the Panel had investigated did not stem from PBS</w:t>
      </w:r>
      <w:r w:rsidR="00377FC8">
        <w:rPr>
          <w:rFonts w:eastAsia="MS Mincho"/>
          <w:szCs w:val="24"/>
        </w:rPr>
        <w:t> </w:t>
      </w:r>
      <w:r w:rsidR="00850378" w:rsidRPr="004C08E0">
        <w:rPr>
          <w:rFonts w:eastAsia="MS Mincho"/>
          <w:szCs w:val="24"/>
        </w:rPr>
        <w:t xml:space="preserve">3. However, the Panel found that there was an operational interface, due to geographical and sectoral overlap, between the PBS and CDP, which the PBS 3 risk assessments did not adequately take into account. In </w:t>
      </w:r>
      <w:r w:rsidR="00D660A5">
        <w:rPr>
          <w:rFonts w:eastAsia="MS Mincho"/>
          <w:szCs w:val="24"/>
        </w:rPr>
        <w:t xml:space="preserve">its </w:t>
      </w:r>
      <w:hyperlink r:id="rId10" w:history="1">
        <w:r w:rsidR="00850378" w:rsidRPr="00011785">
          <w:rPr>
            <w:rStyle w:val="Hyperlink"/>
            <w:rFonts w:eastAsia="MS Mincho"/>
            <w:szCs w:val="24"/>
          </w:rPr>
          <w:t xml:space="preserve">Management </w:t>
        </w:r>
        <w:r w:rsidR="00011785" w:rsidRPr="00011785">
          <w:rPr>
            <w:rStyle w:val="Hyperlink"/>
            <w:rFonts w:eastAsia="MS Mincho"/>
            <w:szCs w:val="24"/>
          </w:rPr>
          <w:t>Report</w:t>
        </w:r>
      </w:hyperlink>
      <w:r w:rsidR="00D660A5">
        <w:rPr>
          <w:rStyle w:val="Hyperlink"/>
          <w:rFonts w:eastAsia="MS Mincho"/>
          <w:szCs w:val="24"/>
        </w:rPr>
        <w:t>,</w:t>
      </w:r>
      <w:r w:rsidR="00011785">
        <w:rPr>
          <w:rFonts w:eastAsia="MS Mincho"/>
          <w:szCs w:val="24"/>
        </w:rPr>
        <w:t xml:space="preserve"> </w:t>
      </w:r>
      <w:r w:rsidR="006A0B52">
        <w:rPr>
          <w:rFonts w:eastAsia="MS Mincho"/>
          <w:szCs w:val="24"/>
        </w:rPr>
        <w:t xml:space="preserve">Bank </w:t>
      </w:r>
      <w:r w:rsidR="00011785">
        <w:rPr>
          <w:rFonts w:eastAsia="MS Mincho"/>
          <w:szCs w:val="24"/>
        </w:rPr>
        <w:t>M</w:t>
      </w:r>
      <w:r w:rsidR="006A0B52">
        <w:rPr>
          <w:rFonts w:eastAsia="MS Mincho"/>
          <w:szCs w:val="24"/>
        </w:rPr>
        <w:t xml:space="preserve">anagement </w:t>
      </w:r>
      <w:r w:rsidR="00850378" w:rsidRPr="004C08E0">
        <w:rPr>
          <w:rFonts w:eastAsia="MS Mincho"/>
          <w:szCs w:val="24"/>
        </w:rPr>
        <w:t>submitted a Management Action Plan (MAP) to address concerns, in particular with regard to risk assessment, financial management, and livelihoods</w:t>
      </w:r>
      <w:r w:rsidR="00377FC8">
        <w:rPr>
          <w:rFonts w:eastAsia="MS Mincho"/>
          <w:szCs w:val="24"/>
        </w:rPr>
        <w:t>,</w:t>
      </w:r>
      <w:r w:rsidR="006A0B52">
        <w:rPr>
          <w:rFonts w:eastAsia="MS Mincho"/>
          <w:szCs w:val="24"/>
        </w:rPr>
        <w:t xml:space="preserve"> which the </w:t>
      </w:r>
      <w:hyperlink r:id="rId11" w:history="1">
        <w:r w:rsidR="006A0B52" w:rsidRPr="00011785">
          <w:rPr>
            <w:rStyle w:val="Hyperlink"/>
            <w:rFonts w:eastAsia="MS Mincho"/>
            <w:szCs w:val="24"/>
          </w:rPr>
          <w:t>Board approved</w:t>
        </w:r>
        <w:r w:rsidR="00011785" w:rsidRPr="00011785">
          <w:rPr>
            <w:rStyle w:val="Hyperlink"/>
            <w:rFonts w:eastAsia="MS Mincho"/>
            <w:szCs w:val="24"/>
          </w:rPr>
          <w:t xml:space="preserve"> on </w:t>
        </w:r>
        <w:r w:rsidR="003B6752">
          <w:rPr>
            <w:rStyle w:val="Hyperlink"/>
            <w:rFonts w:eastAsia="MS Mincho"/>
            <w:szCs w:val="24"/>
          </w:rPr>
          <w:t xml:space="preserve">February </w:t>
        </w:r>
        <w:r w:rsidR="00011785">
          <w:rPr>
            <w:rStyle w:val="Hyperlink"/>
            <w:rFonts w:eastAsia="MS Mincho"/>
            <w:szCs w:val="24"/>
          </w:rPr>
          <w:t>27</w:t>
        </w:r>
        <w:r w:rsidR="003B6752">
          <w:rPr>
            <w:rStyle w:val="Hyperlink"/>
            <w:rFonts w:eastAsia="MS Mincho"/>
            <w:szCs w:val="24"/>
          </w:rPr>
          <w:t xml:space="preserve">, </w:t>
        </w:r>
        <w:r w:rsidR="00011785">
          <w:rPr>
            <w:rStyle w:val="Hyperlink"/>
            <w:rFonts w:eastAsia="MS Mincho"/>
            <w:szCs w:val="24"/>
          </w:rPr>
          <w:t>2015</w:t>
        </w:r>
      </w:hyperlink>
      <w:r w:rsidR="00850378" w:rsidRPr="004C08E0">
        <w:rPr>
          <w:rFonts w:eastAsia="MS Mincho"/>
          <w:szCs w:val="24"/>
        </w:rPr>
        <w:t xml:space="preserve">. </w:t>
      </w:r>
    </w:p>
    <w:p w:rsidR="00850378" w:rsidRPr="004C08E0" w:rsidRDefault="00850378" w:rsidP="00850378">
      <w:pPr>
        <w:pStyle w:val="ListParagraph"/>
        <w:autoSpaceDE w:val="0"/>
        <w:autoSpaceDN w:val="0"/>
        <w:adjustRightInd w:val="0"/>
        <w:ind w:left="0"/>
        <w:jc w:val="both"/>
        <w:rPr>
          <w:rFonts w:eastAsia="MS Mincho"/>
          <w:szCs w:val="24"/>
        </w:rPr>
      </w:pPr>
    </w:p>
    <w:p w:rsidR="00740149" w:rsidRPr="004C08E0" w:rsidRDefault="00740149" w:rsidP="0010439D">
      <w:pPr>
        <w:pStyle w:val="IP-HEADING1"/>
        <w:numPr>
          <w:ilvl w:val="0"/>
          <w:numId w:val="0"/>
        </w:numPr>
        <w:tabs>
          <w:tab w:val="clear" w:pos="1170"/>
        </w:tabs>
        <w:rPr>
          <w:bCs/>
          <w:smallCaps/>
          <w:szCs w:val="24"/>
        </w:rPr>
      </w:pPr>
      <w:bookmarkStart w:id="4" w:name="_Toc501554682"/>
      <w:r w:rsidRPr="004C08E0">
        <w:rPr>
          <w:bCs/>
          <w:smallCaps/>
          <w:szCs w:val="24"/>
        </w:rPr>
        <w:t xml:space="preserve">II. </w:t>
      </w:r>
      <w:r w:rsidR="00C86BD4" w:rsidRPr="004C08E0">
        <w:rPr>
          <w:bCs/>
          <w:smallCaps/>
          <w:szCs w:val="24"/>
        </w:rPr>
        <w:tab/>
      </w:r>
      <w:r w:rsidRPr="004C08E0">
        <w:rPr>
          <w:bCs/>
          <w:smallCaps/>
          <w:szCs w:val="24"/>
        </w:rPr>
        <w:t>Progress of Management Action Plan Implementation</w:t>
      </w:r>
      <w:bookmarkEnd w:id="4"/>
    </w:p>
    <w:p w:rsidR="00310A74" w:rsidRDefault="00541E17" w:rsidP="00310A74">
      <w:pPr>
        <w:pStyle w:val="ListParagraph"/>
        <w:numPr>
          <w:ilvl w:val="0"/>
          <w:numId w:val="29"/>
        </w:numPr>
        <w:autoSpaceDE w:val="0"/>
        <w:autoSpaceDN w:val="0"/>
        <w:adjustRightInd w:val="0"/>
        <w:ind w:left="0" w:firstLine="0"/>
        <w:jc w:val="both"/>
        <w:rPr>
          <w:rFonts w:eastAsia="MS Mincho"/>
          <w:szCs w:val="24"/>
        </w:rPr>
      </w:pPr>
      <w:r w:rsidRPr="003D109F">
        <w:rPr>
          <w:rFonts w:eastAsia="MS Mincho"/>
          <w:szCs w:val="24"/>
        </w:rPr>
        <w:t xml:space="preserve">MAP actions completed </w:t>
      </w:r>
      <w:r w:rsidR="00157121">
        <w:rPr>
          <w:rFonts w:eastAsia="MS Mincho"/>
          <w:szCs w:val="24"/>
        </w:rPr>
        <w:t xml:space="preserve">earlier </w:t>
      </w:r>
      <w:r w:rsidRPr="003D109F">
        <w:rPr>
          <w:rFonts w:eastAsia="MS Mincho"/>
          <w:szCs w:val="24"/>
        </w:rPr>
        <w:t>were reported in the</w:t>
      </w:r>
      <w:r w:rsidR="004846A4">
        <w:rPr>
          <w:rFonts w:eastAsia="MS Mincho"/>
          <w:szCs w:val="24"/>
        </w:rPr>
        <w:t xml:space="preserve"> </w:t>
      </w:r>
      <w:hyperlink r:id="rId12" w:history="1">
        <w:r w:rsidR="004846A4" w:rsidRPr="004846A4">
          <w:rPr>
            <w:rStyle w:val="Hyperlink"/>
            <w:rFonts w:eastAsia="MS Mincho"/>
            <w:szCs w:val="24"/>
          </w:rPr>
          <w:t xml:space="preserve">First </w:t>
        </w:r>
      </w:hyperlink>
      <w:r w:rsidR="004846A4">
        <w:rPr>
          <w:rFonts w:eastAsia="MS Mincho"/>
          <w:szCs w:val="24"/>
        </w:rPr>
        <w:t xml:space="preserve">and </w:t>
      </w:r>
      <w:hyperlink r:id="rId13" w:history="1">
        <w:r w:rsidR="00E147DB" w:rsidRPr="004846A4">
          <w:rPr>
            <w:rStyle w:val="Hyperlink"/>
            <w:rFonts w:eastAsia="MS Mincho"/>
            <w:szCs w:val="24"/>
          </w:rPr>
          <w:t>Second Progress Report</w:t>
        </w:r>
      </w:hyperlink>
      <w:r w:rsidR="004846A4">
        <w:rPr>
          <w:rFonts w:eastAsia="MS Mincho"/>
          <w:szCs w:val="24"/>
        </w:rPr>
        <w:t>s, submitted to the Board in February 2016 and 2017, respectively</w:t>
      </w:r>
      <w:r w:rsidR="00146D94">
        <w:rPr>
          <w:rFonts w:eastAsia="MS Mincho"/>
          <w:szCs w:val="24"/>
        </w:rPr>
        <w:t>. T</w:t>
      </w:r>
      <w:r w:rsidR="00D660A5">
        <w:rPr>
          <w:rFonts w:eastAsia="MS Mincho"/>
          <w:szCs w:val="24"/>
        </w:rPr>
        <w:t xml:space="preserve">he remaining outstanding actions </w:t>
      </w:r>
      <w:r w:rsidR="00146D94">
        <w:rPr>
          <w:rFonts w:eastAsia="MS Mincho"/>
          <w:szCs w:val="24"/>
        </w:rPr>
        <w:t>are now complete.</w:t>
      </w:r>
      <w:r w:rsidR="00743855" w:rsidRPr="004C08E0">
        <w:rPr>
          <w:rFonts w:eastAsia="MS Mincho"/>
          <w:szCs w:val="24"/>
        </w:rPr>
        <w:t xml:space="preserve"> </w:t>
      </w:r>
      <w:r w:rsidR="0014099B">
        <w:rPr>
          <w:rFonts w:eastAsia="MS Mincho"/>
          <w:szCs w:val="24"/>
        </w:rPr>
        <w:t xml:space="preserve">Accordingly, this is the final </w:t>
      </w:r>
      <w:r w:rsidR="00377FC8">
        <w:rPr>
          <w:rFonts w:eastAsia="MS Mincho"/>
          <w:szCs w:val="24"/>
        </w:rPr>
        <w:t>P</w:t>
      </w:r>
      <w:r w:rsidR="0014099B">
        <w:rPr>
          <w:rFonts w:eastAsia="MS Mincho"/>
          <w:szCs w:val="24"/>
        </w:rPr>
        <w:t xml:space="preserve">rogress </w:t>
      </w:r>
      <w:r w:rsidR="00377FC8">
        <w:rPr>
          <w:rFonts w:eastAsia="MS Mincho"/>
          <w:szCs w:val="24"/>
        </w:rPr>
        <w:t>R</w:t>
      </w:r>
      <w:r w:rsidR="0014099B">
        <w:rPr>
          <w:rFonts w:eastAsia="MS Mincho"/>
          <w:szCs w:val="24"/>
        </w:rPr>
        <w:t xml:space="preserve">eport. </w:t>
      </w:r>
    </w:p>
    <w:p w:rsidR="003927E4" w:rsidRDefault="003927E4" w:rsidP="003927E4">
      <w:pPr>
        <w:pStyle w:val="ListParagraph"/>
        <w:autoSpaceDE w:val="0"/>
        <w:autoSpaceDN w:val="0"/>
        <w:adjustRightInd w:val="0"/>
        <w:ind w:left="0"/>
        <w:jc w:val="both"/>
        <w:rPr>
          <w:rFonts w:eastAsia="MS Mincho"/>
          <w:szCs w:val="24"/>
        </w:rPr>
      </w:pPr>
    </w:p>
    <w:p w:rsidR="000F169C" w:rsidRPr="00786510" w:rsidRDefault="00310A74" w:rsidP="00310A74">
      <w:pPr>
        <w:pStyle w:val="ListParagraph"/>
        <w:numPr>
          <w:ilvl w:val="0"/>
          <w:numId w:val="29"/>
        </w:numPr>
        <w:autoSpaceDE w:val="0"/>
        <w:autoSpaceDN w:val="0"/>
        <w:adjustRightInd w:val="0"/>
        <w:ind w:left="0" w:firstLine="0"/>
        <w:jc w:val="both"/>
        <w:rPr>
          <w:rFonts w:eastAsia="MS Mincho"/>
          <w:szCs w:val="24"/>
        </w:rPr>
      </w:pPr>
      <w:r w:rsidRPr="003D109F">
        <w:rPr>
          <w:i/>
          <w:szCs w:val="24"/>
        </w:rPr>
        <w:t>Progress During Current Reporting Period</w:t>
      </w:r>
      <w:r w:rsidRPr="003D109F">
        <w:rPr>
          <w:szCs w:val="24"/>
        </w:rPr>
        <w:t xml:space="preserve">. </w:t>
      </w:r>
      <w:r>
        <w:rPr>
          <w:szCs w:val="24"/>
        </w:rPr>
        <w:t xml:space="preserve">At the time of submission of the Second Progress Report, </w:t>
      </w:r>
      <w:r w:rsidR="004D6E8F">
        <w:rPr>
          <w:szCs w:val="24"/>
        </w:rPr>
        <w:t>two</w:t>
      </w:r>
      <w:r w:rsidR="00C933C0">
        <w:rPr>
          <w:szCs w:val="24"/>
        </w:rPr>
        <w:t xml:space="preserve"> </w:t>
      </w:r>
      <w:r>
        <w:rPr>
          <w:szCs w:val="24"/>
        </w:rPr>
        <w:t xml:space="preserve">action remained outstanding: </w:t>
      </w:r>
      <w:r w:rsidR="00607F43">
        <w:rPr>
          <w:szCs w:val="24"/>
        </w:rPr>
        <w:t xml:space="preserve">(i) </w:t>
      </w:r>
      <w:r>
        <w:rPr>
          <w:szCs w:val="24"/>
        </w:rPr>
        <w:t xml:space="preserve">securing funding for the third phase of </w:t>
      </w:r>
      <w:r w:rsidR="00B544E5">
        <w:rPr>
          <w:szCs w:val="24"/>
        </w:rPr>
        <w:t xml:space="preserve">the </w:t>
      </w:r>
      <w:r w:rsidR="00B544E5" w:rsidRPr="004C08E0">
        <w:rPr>
          <w:szCs w:val="24"/>
        </w:rPr>
        <w:t xml:space="preserve">Ethiopia Social Accountability Program </w:t>
      </w:r>
      <w:r w:rsidR="00B544E5">
        <w:rPr>
          <w:szCs w:val="24"/>
        </w:rPr>
        <w:t>(</w:t>
      </w:r>
      <w:r>
        <w:rPr>
          <w:szCs w:val="24"/>
        </w:rPr>
        <w:t>ESAP 3</w:t>
      </w:r>
      <w:r w:rsidR="00B544E5">
        <w:rPr>
          <w:szCs w:val="24"/>
        </w:rPr>
        <w:t>)</w:t>
      </w:r>
      <w:r>
        <w:rPr>
          <w:szCs w:val="24"/>
        </w:rPr>
        <w:t xml:space="preserve"> and </w:t>
      </w:r>
      <w:r w:rsidR="00607F43">
        <w:rPr>
          <w:szCs w:val="24"/>
        </w:rPr>
        <w:t xml:space="preserve">(ii) </w:t>
      </w:r>
      <w:r>
        <w:rPr>
          <w:szCs w:val="24"/>
        </w:rPr>
        <w:t xml:space="preserve">training of </w:t>
      </w:r>
      <w:r w:rsidR="00246852">
        <w:rPr>
          <w:szCs w:val="24"/>
        </w:rPr>
        <w:t>grievance redress</w:t>
      </w:r>
      <w:r w:rsidR="00E44A7D">
        <w:rPr>
          <w:szCs w:val="24"/>
        </w:rPr>
        <w:t xml:space="preserve"> mechanism</w:t>
      </w:r>
      <w:r w:rsidR="00246852">
        <w:rPr>
          <w:szCs w:val="24"/>
        </w:rPr>
        <w:t xml:space="preserve"> </w:t>
      </w:r>
      <w:r w:rsidR="00E44A7D">
        <w:rPr>
          <w:szCs w:val="24"/>
        </w:rPr>
        <w:t>(</w:t>
      </w:r>
      <w:r>
        <w:rPr>
          <w:szCs w:val="24"/>
        </w:rPr>
        <w:t>GRM</w:t>
      </w:r>
      <w:r w:rsidR="00E44A7D">
        <w:rPr>
          <w:szCs w:val="24"/>
        </w:rPr>
        <w:t>)</w:t>
      </w:r>
      <w:r>
        <w:rPr>
          <w:szCs w:val="24"/>
        </w:rPr>
        <w:t xml:space="preserve"> officers to cover all </w:t>
      </w:r>
      <w:proofErr w:type="spellStart"/>
      <w:r w:rsidRPr="00310A74">
        <w:rPr>
          <w:i/>
          <w:szCs w:val="24"/>
        </w:rPr>
        <w:t>woredas</w:t>
      </w:r>
      <w:proofErr w:type="spellEnd"/>
      <w:r>
        <w:rPr>
          <w:szCs w:val="24"/>
        </w:rPr>
        <w:t>. These actions are now completed</w:t>
      </w:r>
      <w:r w:rsidR="000F169C">
        <w:rPr>
          <w:szCs w:val="24"/>
        </w:rPr>
        <w:t>:</w:t>
      </w:r>
    </w:p>
    <w:p w:rsidR="000F169C" w:rsidRPr="00786510" w:rsidRDefault="000F169C" w:rsidP="00786510">
      <w:pPr>
        <w:pStyle w:val="ListParagraph"/>
        <w:rPr>
          <w:szCs w:val="24"/>
        </w:rPr>
      </w:pPr>
    </w:p>
    <w:p w:rsidR="000F169C" w:rsidRPr="00786510" w:rsidRDefault="00B11EF9" w:rsidP="00B11EF9">
      <w:pPr>
        <w:pStyle w:val="ListParagraph"/>
        <w:numPr>
          <w:ilvl w:val="0"/>
          <w:numId w:val="33"/>
        </w:numPr>
        <w:autoSpaceDE w:val="0"/>
        <w:autoSpaceDN w:val="0"/>
        <w:adjustRightInd w:val="0"/>
        <w:jc w:val="both"/>
        <w:rPr>
          <w:rFonts w:eastAsia="MS Mincho"/>
          <w:szCs w:val="24"/>
        </w:rPr>
      </w:pPr>
      <w:r>
        <w:rPr>
          <w:szCs w:val="24"/>
        </w:rPr>
        <w:t>T</w:t>
      </w:r>
      <w:r w:rsidRPr="00B11EF9">
        <w:rPr>
          <w:szCs w:val="24"/>
        </w:rPr>
        <w:t xml:space="preserve">he needed financial support </w:t>
      </w:r>
      <w:r>
        <w:rPr>
          <w:szCs w:val="24"/>
        </w:rPr>
        <w:t>for e</w:t>
      </w:r>
      <w:r w:rsidRPr="004C08E0">
        <w:rPr>
          <w:szCs w:val="24"/>
        </w:rPr>
        <w:t>xpand</w:t>
      </w:r>
      <w:r>
        <w:rPr>
          <w:szCs w:val="24"/>
        </w:rPr>
        <w:t>ing</w:t>
      </w:r>
      <w:r w:rsidRPr="004C08E0">
        <w:rPr>
          <w:szCs w:val="24"/>
        </w:rPr>
        <w:t xml:space="preserve"> social accountability programs and strengthening the link between social accountability and </w:t>
      </w:r>
      <w:r w:rsidR="000B230B" w:rsidRPr="004C08E0">
        <w:rPr>
          <w:szCs w:val="24"/>
        </w:rPr>
        <w:t xml:space="preserve">work on </w:t>
      </w:r>
      <w:r w:rsidRPr="004C08E0">
        <w:rPr>
          <w:szCs w:val="24"/>
        </w:rPr>
        <w:t>financial transparency</w:t>
      </w:r>
      <w:r>
        <w:rPr>
          <w:szCs w:val="24"/>
        </w:rPr>
        <w:t xml:space="preserve"> </w:t>
      </w:r>
      <w:r w:rsidRPr="00B11EF9">
        <w:rPr>
          <w:szCs w:val="24"/>
        </w:rPr>
        <w:t xml:space="preserve">is being provided under </w:t>
      </w:r>
      <w:r>
        <w:rPr>
          <w:szCs w:val="24"/>
        </w:rPr>
        <w:t>E</w:t>
      </w:r>
      <w:r w:rsidRPr="00B11EF9">
        <w:rPr>
          <w:szCs w:val="24"/>
        </w:rPr>
        <w:t>SAP3 through a US$20m AF approved by the Board in September 2017</w:t>
      </w:r>
      <w:r>
        <w:rPr>
          <w:szCs w:val="24"/>
        </w:rPr>
        <w:t xml:space="preserve">. </w:t>
      </w:r>
      <w:r w:rsidR="00865BBE">
        <w:rPr>
          <w:szCs w:val="24"/>
        </w:rPr>
        <w:t>This support will be augmented by</w:t>
      </w:r>
      <w:r w:rsidR="003E0965">
        <w:rPr>
          <w:szCs w:val="24"/>
        </w:rPr>
        <w:t xml:space="preserve"> </w:t>
      </w:r>
      <w:r w:rsidR="000F169C">
        <w:rPr>
          <w:szCs w:val="24"/>
        </w:rPr>
        <w:t>other development partners</w:t>
      </w:r>
      <w:r w:rsidR="00046E96">
        <w:rPr>
          <w:szCs w:val="24"/>
        </w:rPr>
        <w:t xml:space="preserve"> (Sweden, EU, DFID, Austria)</w:t>
      </w:r>
      <w:r w:rsidR="00865BBE">
        <w:rPr>
          <w:szCs w:val="24"/>
        </w:rPr>
        <w:t>, who</w:t>
      </w:r>
      <w:r w:rsidR="003E0965">
        <w:rPr>
          <w:szCs w:val="24"/>
        </w:rPr>
        <w:t xml:space="preserve"> </w:t>
      </w:r>
      <w:r w:rsidR="000F169C">
        <w:rPr>
          <w:szCs w:val="24"/>
        </w:rPr>
        <w:t>committed US$37 million</w:t>
      </w:r>
      <w:r w:rsidR="00B544E5">
        <w:rPr>
          <w:szCs w:val="24"/>
        </w:rPr>
        <w:t xml:space="preserve"> </w:t>
      </w:r>
      <w:r w:rsidR="000F169C">
        <w:rPr>
          <w:szCs w:val="24"/>
        </w:rPr>
        <w:t xml:space="preserve">to provide support to regional and </w:t>
      </w:r>
      <w:proofErr w:type="spellStart"/>
      <w:r w:rsidR="000F169C" w:rsidRPr="00881065">
        <w:rPr>
          <w:i/>
          <w:szCs w:val="24"/>
        </w:rPr>
        <w:t>woreda</w:t>
      </w:r>
      <w:proofErr w:type="spellEnd"/>
      <w:r w:rsidR="000F169C">
        <w:rPr>
          <w:szCs w:val="24"/>
        </w:rPr>
        <w:t xml:space="preserve"> authorities to conduct effective citizen consultations.</w:t>
      </w:r>
    </w:p>
    <w:p w:rsidR="00E44A7D" w:rsidRPr="00786510" w:rsidRDefault="00E44A7D" w:rsidP="00786510">
      <w:pPr>
        <w:pStyle w:val="ListParagraph"/>
        <w:autoSpaceDE w:val="0"/>
        <w:autoSpaceDN w:val="0"/>
        <w:adjustRightInd w:val="0"/>
        <w:ind w:left="810"/>
        <w:jc w:val="both"/>
        <w:rPr>
          <w:rFonts w:eastAsia="MS Mincho"/>
          <w:szCs w:val="24"/>
        </w:rPr>
      </w:pPr>
    </w:p>
    <w:p w:rsidR="00246852" w:rsidRDefault="00246852" w:rsidP="00786510">
      <w:pPr>
        <w:pStyle w:val="ListParagraph"/>
        <w:numPr>
          <w:ilvl w:val="0"/>
          <w:numId w:val="33"/>
        </w:numPr>
        <w:autoSpaceDE w:val="0"/>
        <w:autoSpaceDN w:val="0"/>
        <w:adjustRightInd w:val="0"/>
        <w:jc w:val="both"/>
        <w:rPr>
          <w:szCs w:val="24"/>
        </w:rPr>
      </w:pPr>
      <w:r>
        <w:rPr>
          <w:szCs w:val="24"/>
        </w:rPr>
        <w:t xml:space="preserve">Training of </w:t>
      </w:r>
      <w:r w:rsidR="00046E96">
        <w:rPr>
          <w:szCs w:val="24"/>
        </w:rPr>
        <w:t xml:space="preserve">enough </w:t>
      </w:r>
      <w:r>
        <w:rPr>
          <w:szCs w:val="24"/>
        </w:rPr>
        <w:t xml:space="preserve">grievance redress officers </w:t>
      </w:r>
      <w:r w:rsidR="00046E96">
        <w:rPr>
          <w:szCs w:val="24"/>
        </w:rPr>
        <w:t xml:space="preserve">to cover </w:t>
      </w:r>
      <w:r>
        <w:rPr>
          <w:szCs w:val="24"/>
        </w:rPr>
        <w:t xml:space="preserve">all </w:t>
      </w:r>
      <w:proofErr w:type="spellStart"/>
      <w:r w:rsidRPr="00F05F05">
        <w:rPr>
          <w:i/>
          <w:szCs w:val="24"/>
        </w:rPr>
        <w:t>woredas</w:t>
      </w:r>
      <w:proofErr w:type="spellEnd"/>
      <w:r>
        <w:rPr>
          <w:szCs w:val="24"/>
        </w:rPr>
        <w:t xml:space="preserve"> has been completed, with 1,099 additional GRM officers trained (264 officers from Amhara, 68 from Dire </w:t>
      </w:r>
      <w:proofErr w:type="spellStart"/>
      <w:r>
        <w:rPr>
          <w:szCs w:val="24"/>
        </w:rPr>
        <w:t>Dawa</w:t>
      </w:r>
      <w:proofErr w:type="spellEnd"/>
      <w:r>
        <w:rPr>
          <w:szCs w:val="24"/>
        </w:rPr>
        <w:t>, 64 from Harari, 295 from Oromia, 94 from Somali, and 314 from Tigray).</w:t>
      </w:r>
    </w:p>
    <w:p w:rsidR="00246852" w:rsidRDefault="00246852" w:rsidP="00786510">
      <w:pPr>
        <w:pStyle w:val="ListParagraph"/>
        <w:autoSpaceDE w:val="0"/>
        <w:autoSpaceDN w:val="0"/>
        <w:adjustRightInd w:val="0"/>
        <w:ind w:left="810"/>
        <w:jc w:val="both"/>
        <w:rPr>
          <w:szCs w:val="24"/>
        </w:rPr>
      </w:pPr>
    </w:p>
    <w:p w:rsidR="000F169C" w:rsidRPr="00246852" w:rsidRDefault="000F169C" w:rsidP="00786510">
      <w:pPr>
        <w:pStyle w:val="ListParagraph"/>
        <w:autoSpaceDE w:val="0"/>
        <w:autoSpaceDN w:val="0"/>
        <w:adjustRightInd w:val="0"/>
        <w:ind w:left="810"/>
        <w:jc w:val="both"/>
        <w:rPr>
          <w:szCs w:val="24"/>
        </w:rPr>
      </w:pPr>
      <w:r w:rsidRPr="00786510">
        <w:rPr>
          <w:szCs w:val="24"/>
        </w:rPr>
        <w:t>PBS 3 supported startup costs for branch offices of the Ethiopian Institution of the Ombudsman (EIO)</w:t>
      </w:r>
      <w:r w:rsidR="00246852">
        <w:rPr>
          <w:szCs w:val="24"/>
        </w:rPr>
        <w:t xml:space="preserve"> </w:t>
      </w:r>
      <w:r w:rsidRPr="00786510">
        <w:rPr>
          <w:szCs w:val="24"/>
        </w:rPr>
        <w:t xml:space="preserve">in the Afar and </w:t>
      </w:r>
      <w:proofErr w:type="spellStart"/>
      <w:r w:rsidRPr="00786510">
        <w:rPr>
          <w:szCs w:val="24"/>
        </w:rPr>
        <w:t>Benishangul</w:t>
      </w:r>
      <w:proofErr w:type="spellEnd"/>
      <w:r w:rsidRPr="00786510">
        <w:rPr>
          <w:szCs w:val="24"/>
        </w:rPr>
        <w:t xml:space="preserve"> </w:t>
      </w:r>
      <w:proofErr w:type="spellStart"/>
      <w:r w:rsidRPr="00786510">
        <w:rPr>
          <w:szCs w:val="24"/>
        </w:rPr>
        <w:t>Gumuz</w:t>
      </w:r>
      <w:proofErr w:type="spellEnd"/>
      <w:r w:rsidRPr="00786510">
        <w:rPr>
          <w:szCs w:val="24"/>
        </w:rPr>
        <w:t xml:space="preserve"> regions, improving EIO’s accessibility. The branch offices have been established with PBS 3 support for vehicles and office equipment. A series of awareness raising activities are underway on topics concerning complaints handling mechanisms through the regional television and radio as part of the ongoing capacity building support for GRM system strengthening. PBS 3 further supported two study tours for Ombudspersons, including the </w:t>
      </w:r>
      <w:proofErr w:type="spellStart"/>
      <w:r w:rsidRPr="00786510">
        <w:rPr>
          <w:szCs w:val="24"/>
        </w:rPr>
        <w:t>Gambella</w:t>
      </w:r>
      <w:proofErr w:type="spellEnd"/>
      <w:r w:rsidRPr="00786510">
        <w:rPr>
          <w:szCs w:val="24"/>
        </w:rPr>
        <w:t xml:space="preserve"> EIO head, </w:t>
      </w:r>
      <w:r w:rsidR="00246852">
        <w:rPr>
          <w:szCs w:val="24"/>
        </w:rPr>
        <w:t>to South Africa and India</w:t>
      </w:r>
      <w:r w:rsidRPr="00786510">
        <w:rPr>
          <w:szCs w:val="24"/>
        </w:rPr>
        <w:t xml:space="preserve">. </w:t>
      </w:r>
      <w:r w:rsidR="00C933C0">
        <w:rPr>
          <w:szCs w:val="24"/>
        </w:rPr>
        <w:t xml:space="preserve">After </w:t>
      </w:r>
      <w:r w:rsidRPr="00786510">
        <w:rPr>
          <w:szCs w:val="24"/>
        </w:rPr>
        <w:t>these tours, participants shared their experiences and lessons learned from their respective countries. A PBS 3-supported nationwide study, which assessed the strengths and weakness of the GRM system in the country and provided recommendations for improving the system, was also completed.</w:t>
      </w:r>
      <w:r w:rsidR="002F1B86">
        <w:rPr>
          <w:szCs w:val="24"/>
        </w:rPr>
        <w:t xml:space="preserve"> </w:t>
      </w:r>
      <w:r w:rsidRPr="00786510">
        <w:rPr>
          <w:szCs w:val="24"/>
        </w:rPr>
        <w:t xml:space="preserve">Study results were consulted on with senior EIO officials, regional GRM officers and development partners. Following one of the key recommendations from the Inspection Panel’s investigation report, a standardized GRM Operational Manual was developed, validated and disseminated for use by the regional and </w:t>
      </w:r>
      <w:proofErr w:type="spellStart"/>
      <w:r w:rsidRPr="00786510">
        <w:rPr>
          <w:szCs w:val="24"/>
        </w:rPr>
        <w:t>woreda</w:t>
      </w:r>
      <w:proofErr w:type="spellEnd"/>
      <w:r w:rsidRPr="00786510">
        <w:rPr>
          <w:szCs w:val="24"/>
        </w:rPr>
        <w:t>-level GRM offices in December 2016.</w:t>
      </w:r>
    </w:p>
    <w:p w:rsidR="000F169C" w:rsidRPr="00404871" w:rsidRDefault="000F169C" w:rsidP="00786510">
      <w:pPr>
        <w:pStyle w:val="ListParagraph"/>
        <w:rPr>
          <w:rFonts w:eastAsia="MS Mincho"/>
          <w:szCs w:val="24"/>
        </w:rPr>
      </w:pPr>
    </w:p>
    <w:p w:rsidR="00850378" w:rsidRPr="00310A74" w:rsidRDefault="00310A74" w:rsidP="00310A74">
      <w:pPr>
        <w:pStyle w:val="ListParagraph"/>
        <w:numPr>
          <w:ilvl w:val="0"/>
          <w:numId w:val="29"/>
        </w:numPr>
        <w:autoSpaceDE w:val="0"/>
        <w:autoSpaceDN w:val="0"/>
        <w:adjustRightInd w:val="0"/>
        <w:ind w:left="0" w:firstLine="0"/>
        <w:jc w:val="both"/>
        <w:rPr>
          <w:rFonts w:eastAsia="MS Mincho"/>
          <w:szCs w:val="24"/>
        </w:rPr>
      </w:pPr>
      <w:r>
        <w:rPr>
          <w:rFonts w:eastAsia="MS Mincho"/>
          <w:szCs w:val="24"/>
        </w:rPr>
        <w:t>Table 1 lists the complete MAP and status of agreed actions.</w:t>
      </w:r>
      <w:r w:rsidR="003927E4">
        <w:rPr>
          <w:rFonts w:eastAsia="MS Mincho"/>
          <w:szCs w:val="24"/>
        </w:rPr>
        <w:t xml:space="preserve"> </w:t>
      </w:r>
    </w:p>
    <w:p w:rsidR="00743855" w:rsidRDefault="00743855" w:rsidP="00743855">
      <w:pPr>
        <w:pStyle w:val="ListParagraph"/>
        <w:rPr>
          <w:rFonts w:eastAsia="MS Mincho"/>
          <w:szCs w:val="24"/>
        </w:rPr>
      </w:pPr>
    </w:p>
    <w:p w:rsidR="006E6A49" w:rsidRPr="004C08E0" w:rsidRDefault="006E6A49" w:rsidP="00743855">
      <w:pPr>
        <w:pStyle w:val="ListParagraph"/>
        <w:rPr>
          <w:rFonts w:eastAsia="MS Mincho"/>
          <w:szCs w:val="24"/>
        </w:rPr>
      </w:pPr>
    </w:p>
    <w:p w:rsidR="00743855" w:rsidRPr="004C08E0" w:rsidRDefault="00743855" w:rsidP="0010439D">
      <w:pPr>
        <w:keepNext/>
        <w:keepLines/>
        <w:spacing w:after="0"/>
        <w:jc w:val="center"/>
        <w:rPr>
          <w:rFonts w:ascii="Times New Roman" w:hAnsi="Times New Roman" w:cs="Times New Roman"/>
          <w:b/>
          <w:sz w:val="24"/>
          <w:szCs w:val="24"/>
        </w:rPr>
      </w:pPr>
      <w:r w:rsidRPr="004C08E0">
        <w:rPr>
          <w:rFonts w:ascii="Times New Roman" w:hAnsi="Times New Roman" w:cs="Times New Roman"/>
          <w:b/>
          <w:sz w:val="24"/>
          <w:szCs w:val="24"/>
        </w:rPr>
        <w:t>Table 1: Implementation of Management Action Plan</w:t>
      </w: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8" w:type="dxa"/>
          <w:left w:w="72" w:type="dxa"/>
          <w:bottom w:w="58" w:type="dxa"/>
          <w:right w:w="72" w:type="dxa"/>
        </w:tblCellMar>
        <w:tblLook w:val="01E0" w:firstRow="1" w:lastRow="1" w:firstColumn="1" w:lastColumn="1" w:noHBand="0" w:noVBand="0"/>
      </w:tblPr>
      <w:tblGrid>
        <w:gridCol w:w="4665"/>
        <w:gridCol w:w="5040"/>
      </w:tblGrid>
      <w:tr w:rsidR="003D109F" w:rsidRPr="004C08E0" w:rsidTr="00C86BD4">
        <w:trPr>
          <w:cantSplit/>
          <w:tblHeader/>
        </w:trPr>
        <w:tc>
          <w:tcPr>
            <w:tcW w:w="4665" w:type="dxa"/>
            <w:tcBorders>
              <w:top w:val="single" w:sz="12" w:space="0" w:color="auto"/>
            </w:tcBorders>
            <w:shd w:val="pct15" w:color="auto" w:fill="auto"/>
            <w:vAlign w:val="center"/>
          </w:tcPr>
          <w:p w:rsidR="00743855" w:rsidRPr="004C08E0" w:rsidRDefault="00743855" w:rsidP="0010439D">
            <w:pPr>
              <w:pStyle w:val="IPPARA"/>
              <w:keepNext/>
              <w:keepLines/>
              <w:numPr>
                <w:ilvl w:val="0"/>
                <w:numId w:val="0"/>
              </w:numPr>
              <w:suppressAutoHyphens/>
              <w:spacing w:after="0"/>
              <w:jc w:val="center"/>
              <w:rPr>
                <w:b/>
                <w:bCs/>
                <w:spacing w:val="1"/>
                <w:szCs w:val="24"/>
              </w:rPr>
            </w:pPr>
            <w:r w:rsidRPr="004C08E0">
              <w:rPr>
                <w:b/>
                <w:bCs/>
                <w:spacing w:val="1"/>
                <w:szCs w:val="24"/>
              </w:rPr>
              <w:t>ACTION</w:t>
            </w:r>
          </w:p>
        </w:tc>
        <w:tc>
          <w:tcPr>
            <w:tcW w:w="5040" w:type="dxa"/>
            <w:tcBorders>
              <w:top w:val="single" w:sz="12" w:space="0" w:color="auto"/>
            </w:tcBorders>
            <w:shd w:val="pct15" w:color="auto" w:fill="auto"/>
            <w:vAlign w:val="center"/>
          </w:tcPr>
          <w:p w:rsidR="00743855" w:rsidRPr="004C08E0" w:rsidRDefault="00743855" w:rsidP="0010439D">
            <w:pPr>
              <w:pStyle w:val="IPPARA"/>
              <w:keepNext/>
              <w:keepLines/>
              <w:numPr>
                <w:ilvl w:val="0"/>
                <w:numId w:val="0"/>
              </w:numPr>
              <w:suppressAutoHyphens/>
              <w:spacing w:after="0"/>
              <w:jc w:val="center"/>
              <w:rPr>
                <w:b/>
                <w:bCs/>
                <w:spacing w:val="1"/>
                <w:szCs w:val="24"/>
              </w:rPr>
            </w:pPr>
            <w:r w:rsidRPr="004C08E0">
              <w:rPr>
                <w:b/>
                <w:bCs/>
                <w:spacing w:val="1"/>
                <w:szCs w:val="24"/>
              </w:rPr>
              <w:t>STATUS</w:t>
            </w:r>
          </w:p>
        </w:tc>
      </w:tr>
      <w:tr w:rsidR="003D109F" w:rsidRPr="004C08E0" w:rsidTr="00743855">
        <w:trPr>
          <w:cantSplit/>
        </w:trPr>
        <w:tc>
          <w:tcPr>
            <w:tcW w:w="9705" w:type="dxa"/>
            <w:gridSpan w:val="2"/>
            <w:shd w:val="clear" w:color="auto" w:fill="FFD966" w:themeFill="accent4" w:themeFillTint="99"/>
          </w:tcPr>
          <w:p w:rsidR="00743855" w:rsidRPr="004C08E0" w:rsidRDefault="00743855" w:rsidP="0010439D">
            <w:pPr>
              <w:keepNext/>
              <w:keepLines/>
              <w:spacing w:after="0" w:line="240" w:lineRule="auto"/>
              <w:rPr>
                <w:rFonts w:ascii="Times New Roman" w:hAnsi="Times New Roman" w:cs="Times New Roman"/>
                <w:b/>
                <w:bCs/>
                <w:i/>
                <w:spacing w:val="1"/>
                <w:sz w:val="24"/>
                <w:szCs w:val="24"/>
              </w:rPr>
            </w:pPr>
            <w:r w:rsidRPr="004C08E0">
              <w:rPr>
                <w:rFonts w:ascii="Times New Roman" w:hAnsi="Times New Roman" w:cs="Times New Roman"/>
                <w:b/>
                <w:i/>
                <w:sz w:val="24"/>
                <w:szCs w:val="24"/>
              </w:rPr>
              <w:t>PBS 3 and CDP: Operational Interface</w:t>
            </w:r>
          </w:p>
        </w:tc>
      </w:tr>
      <w:tr w:rsidR="003D109F" w:rsidRPr="004C08E0" w:rsidTr="0010439D">
        <w:tc>
          <w:tcPr>
            <w:tcW w:w="4665" w:type="dxa"/>
            <w:shd w:val="clear" w:color="auto" w:fill="auto"/>
          </w:tcPr>
          <w:p w:rsidR="00BB7D1C" w:rsidRPr="004C08E0" w:rsidRDefault="00BB7D1C" w:rsidP="0010439D">
            <w:pPr>
              <w:spacing w:after="0" w:line="240" w:lineRule="auto"/>
              <w:rPr>
                <w:rFonts w:ascii="Times New Roman" w:hAnsi="Times New Roman" w:cs="Times New Roman"/>
                <w:b/>
                <w:bCs/>
                <w:spacing w:val="1"/>
                <w:sz w:val="24"/>
                <w:szCs w:val="24"/>
              </w:rPr>
            </w:pPr>
            <w:r w:rsidRPr="004C08E0">
              <w:rPr>
                <w:rFonts w:ascii="Times New Roman" w:hAnsi="Times New Roman" w:cs="Times New Roman"/>
                <w:b/>
                <w:bCs/>
                <w:spacing w:val="1"/>
                <w:sz w:val="24"/>
                <w:szCs w:val="24"/>
              </w:rPr>
              <w:t xml:space="preserve">Action #1 </w:t>
            </w:r>
            <w:r w:rsidRPr="004C08E0">
              <w:rPr>
                <w:rFonts w:ascii="Times New Roman" w:hAnsi="Times New Roman" w:cs="Times New Roman"/>
                <w:sz w:val="24"/>
                <w:szCs w:val="24"/>
              </w:rPr>
              <w:t xml:space="preserve">A screening tool, which will be used by District-level staff when preparing proposals for Bank financing of sub-projects under programmatic operations, in order to manage the risks from CDP as well as from other programs, has been developed. </w:t>
            </w:r>
            <w:r w:rsidRPr="004C08E0">
              <w:rPr>
                <w:rFonts w:ascii="Times New Roman" w:eastAsiaTheme="minorEastAsia" w:hAnsi="Times New Roman" w:cs="Times New Roman"/>
                <w:kern w:val="24"/>
                <w:sz w:val="24"/>
                <w:szCs w:val="24"/>
              </w:rPr>
              <w:t xml:space="preserve">The procedure will enable the Bank to support such sub-projects wherever possible, by: (a) managing the operational interface, (b) being able to demonstrate that it has taken all reasonable steps to consider the implications of the interface, and (c) avoiding involvement in non-viable or seriously deficient commune centers. </w:t>
            </w:r>
            <w:r w:rsidRPr="003D109F">
              <w:rPr>
                <w:rFonts w:ascii="Times New Roman" w:hAnsi="Times New Roman" w:cs="Times New Roman"/>
                <w:sz w:val="24"/>
                <w:szCs w:val="24"/>
              </w:rPr>
              <w:t xml:space="preserve">The procedure is simple and is designed to be embedded within the regular Environmental and Social Management Frameworks already in use by such sub-projects. It involves gathering basic </w:t>
            </w:r>
            <w:r w:rsidRPr="004C08E0">
              <w:rPr>
                <w:rFonts w:ascii="Times New Roman" w:hAnsi="Times New Roman" w:cs="Times New Roman"/>
                <w:sz w:val="24"/>
                <w:szCs w:val="24"/>
              </w:rPr>
              <w:t xml:space="preserve">data on the Commune Center and classifying it in terms of its viability. Based on the classification, the Bank determines whether, and how, the Bank-financed sub-project should proceed. </w:t>
            </w:r>
          </w:p>
        </w:tc>
        <w:tc>
          <w:tcPr>
            <w:tcW w:w="5040" w:type="dxa"/>
            <w:shd w:val="clear" w:color="auto" w:fill="auto"/>
          </w:tcPr>
          <w:p w:rsidR="00BB7D1C" w:rsidRPr="004C08E0" w:rsidRDefault="00DF4B7B" w:rsidP="0010439D">
            <w:pPr>
              <w:spacing w:after="0" w:line="240" w:lineRule="auto"/>
              <w:rPr>
                <w:rFonts w:ascii="Times New Roman" w:hAnsi="Times New Roman" w:cs="Times New Roman"/>
                <w:b/>
                <w:bCs/>
                <w:spacing w:val="1"/>
                <w:sz w:val="24"/>
                <w:szCs w:val="24"/>
              </w:rPr>
            </w:pPr>
            <w:r w:rsidRPr="00572896">
              <w:rPr>
                <w:rFonts w:ascii="Times New Roman" w:hAnsi="Times New Roman" w:cs="Times New Roman"/>
                <w:b/>
                <w:bCs/>
                <w:i/>
                <w:spacing w:val="1"/>
                <w:sz w:val="24"/>
                <w:szCs w:val="24"/>
              </w:rPr>
              <w:t>Completed before current reporting period</w:t>
            </w:r>
            <w:r w:rsidR="00BB7D1C" w:rsidRPr="00572896">
              <w:rPr>
                <w:rFonts w:ascii="Times New Roman" w:hAnsi="Times New Roman" w:cs="Times New Roman"/>
                <w:i/>
                <w:sz w:val="24"/>
                <w:szCs w:val="24"/>
              </w:rPr>
              <w:t>.</w:t>
            </w:r>
            <w:r w:rsidR="00BB7D1C" w:rsidRPr="004C08E0">
              <w:rPr>
                <w:rFonts w:ascii="Times New Roman" w:hAnsi="Times New Roman" w:cs="Times New Roman"/>
                <w:sz w:val="24"/>
                <w:szCs w:val="24"/>
              </w:rPr>
              <w:t xml:space="preserve"> Roll-out of the Alignment of Operations procedure, including the government</w:t>
            </w:r>
            <w:r w:rsidR="00740149" w:rsidRPr="004C08E0">
              <w:rPr>
                <w:rFonts w:ascii="Times New Roman" w:hAnsi="Times New Roman" w:cs="Times New Roman"/>
                <w:sz w:val="24"/>
                <w:szCs w:val="24"/>
              </w:rPr>
              <w:t>-</w:t>
            </w:r>
            <w:r w:rsidR="00BB7D1C" w:rsidRPr="004C08E0">
              <w:rPr>
                <w:rFonts w:ascii="Times New Roman" w:hAnsi="Times New Roman" w:cs="Times New Roman"/>
                <w:sz w:val="24"/>
                <w:szCs w:val="24"/>
              </w:rPr>
              <w:t>approved screening tool, was launched on July 16, 2015</w:t>
            </w:r>
            <w:r w:rsidR="00740149" w:rsidRPr="004C08E0">
              <w:rPr>
                <w:rFonts w:ascii="Times New Roman" w:hAnsi="Times New Roman" w:cs="Times New Roman"/>
                <w:sz w:val="24"/>
                <w:szCs w:val="24"/>
              </w:rPr>
              <w:t>.</w:t>
            </w:r>
            <w:r w:rsidR="00BB7D1C" w:rsidRPr="004C08E0">
              <w:rPr>
                <w:rFonts w:ascii="Times New Roman" w:hAnsi="Times New Roman" w:cs="Times New Roman"/>
                <w:sz w:val="24"/>
                <w:szCs w:val="24"/>
              </w:rPr>
              <w:t xml:space="preserve"> </w:t>
            </w:r>
            <w:r w:rsidR="0010439D" w:rsidRPr="004C08E0">
              <w:rPr>
                <w:rFonts w:ascii="Times New Roman" w:hAnsi="Times New Roman" w:cs="Times New Roman"/>
                <w:sz w:val="24"/>
                <w:szCs w:val="24"/>
              </w:rPr>
              <w:t>T</w:t>
            </w:r>
            <w:r w:rsidR="00BB7D1C" w:rsidRPr="004C08E0">
              <w:rPr>
                <w:rFonts w:ascii="Times New Roman" w:hAnsi="Times New Roman" w:cs="Times New Roman"/>
                <w:sz w:val="24"/>
                <w:szCs w:val="24"/>
              </w:rPr>
              <w:t xml:space="preserve">his is now included by the </w:t>
            </w:r>
            <w:r w:rsidR="00046E96">
              <w:rPr>
                <w:rFonts w:ascii="Times New Roman" w:hAnsi="Times New Roman" w:cs="Times New Roman"/>
                <w:sz w:val="24"/>
                <w:szCs w:val="24"/>
              </w:rPr>
              <w:t>Bank safeguard</w:t>
            </w:r>
            <w:r w:rsidR="00BB7D1C" w:rsidRPr="004C08E0">
              <w:rPr>
                <w:rFonts w:ascii="Times New Roman" w:hAnsi="Times New Roman" w:cs="Times New Roman"/>
                <w:sz w:val="24"/>
                <w:szCs w:val="24"/>
              </w:rPr>
              <w:t xml:space="preserve"> teams as part of safeguard implementation and </w:t>
            </w:r>
            <w:r w:rsidR="00740149" w:rsidRPr="004C08E0">
              <w:rPr>
                <w:rFonts w:ascii="Times New Roman" w:hAnsi="Times New Roman" w:cs="Times New Roman"/>
                <w:sz w:val="24"/>
                <w:szCs w:val="24"/>
              </w:rPr>
              <w:t xml:space="preserve">training of </w:t>
            </w:r>
            <w:r w:rsidR="00BB7D1C" w:rsidRPr="004C08E0">
              <w:rPr>
                <w:rFonts w:ascii="Times New Roman" w:hAnsi="Times New Roman" w:cs="Times New Roman"/>
                <w:sz w:val="24"/>
                <w:szCs w:val="24"/>
              </w:rPr>
              <w:t xml:space="preserve">task teams and government project teams. </w:t>
            </w:r>
          </w:p>
        </w:tc>
      </w:tr>
      <w:tr w:rsidR="003D109F" w:rsidRPr="004C08E0" w:rsidTr="00BB7D1C">
        <w:trPr>
          <w:cantSplit/>
        </w:trPr>
        <w:tc>
          <w:tcPr>
            <w:tcW w:w="4665" w:type="dxa"/>
            <w:shd w:val="clear" w:color="auto" w:fill="auto"/>
          </w:tcPr>
          <w:p w:rsidR="00BB7D1C" w:rsidRPr="004C08E0" w:rsidRDefault="00BB7D1C" w:rsidP="00BB7D1C">
            <w:pPr>
              <w:keepLines/>
              <w:spacing w:after="0" w:line="240" w:lineRule="auto"/>
              <w:rPr>
                <w:rFonts w:ascii="Times New Roman" w:hAnsi="Times New Roman" w:cs="Times New Roman"/>
                <w:b/>
                <w:bCs/>
                <w:spacing w:val="1"/>
                <w:sz w:val="24"/>
                <w:szCs w:val="24"/>
              </w:rPr>
            </w:pPr>
            <w:r w:rsidRPr="004C08E0">
              <w:rPr>
                <w:rFonts w:ascii="Times New Roman" w:hAnsi="Times New Roman" w:cs="Times New Roman"/>
                <w:b/>
                <w:bCs/>
                <w:spacing w:val="1"/>
                <w:sz w:val="24"/>
                <w:szCs w:val="24"/>
              </w:rPr>
              <w:t xml:space="preserve">Action #2 </w:t>
            </w:r>
            <w:r w:rsidRPr="004C08E0">
              <w:rPr>
                <w:rFonts w:ascii="Times New Roman" w:hAnsi="Times New Roman" w:cs="Times New Roman"/>
                <w:sz w:val="24"/>
                <w:szCs w:val="24"/>
              </w:rPr>
              <w:t>Study to help the Bank ensure that staff whose salary is partially funded through block grants under PBS 3 are employed as intended, and possibly help identify issues to watch for when preparing future projects.</w:t>
            </w:r>
          </w:p>
        </w:tc>
        <w:tc>
          <w:tcPr>
            <w:tcW w:w="5040" w:type="dxa"/>
            <w:shd w:val="clear" w:color="auto" w:fill="auto"/>
          </w:tcPr>
          <w:p w:rsidR="00BB7D1C" w:rsidRDefault="00DF4B7B" w:rsidP="00195996">
            <w:pPr>
              <w:keepLines/>
              <w:spacing w:after="0" w:line="240" w:lineRule="auto"/>
              <w:rPr>
                <w:rFonts w:ascii="Times New Roman" w:hAnsi="Times New Roman" w:cs="Times New Roman"/>
                <w:sz w:val="24"/>
                <w:szCs w:val="24"/>
              </w:rPr>
            </w:pPr>
            <w:r w:rsidRPr="00572896">
              <w:rPr>
                <w:rFonts w:ascii="Times New Roman" w:hAnsi="Times New Roman" w:cs="Times New Roman"/>
                <w:b/>
                <w:bCs/>
                <w:i/>
                <w:spacing w:val="1"/>
                <w:sz w:val="24"/>
                <w:szCs w:val="24"/>
              </w:rPr>
              <w:t>Completed before current reporting period</w:t>
            </w:r>
            <w:r w:rsidR="00BB7D1C" w:rsidRPr="00572896">
              <w:rPr>
                <w:rFonts w:ascii="Times New Roman" w:hAnsi="Times New Roman" w:cs="Times New Roman"/>
                <w:b/>
                <w:i/>
                <w:sz w:val="24"/>
                <w:szCs w:val="24"/>
              </w:rPr>
              <w:t>.</w:t>
            </w:r>
            <w:r w:rsidR="00BB7D1C" w:rsidRPr="00572896">
              <w:rPr>
                <w:rFonts w:ascii="Times New Roman" w:hAnsi="Times New Roman" w:cs="Times New Roman"/>
                <w:sz w:val="24"/>
                <w:szCs w:val="24"/>
              </w:rPr>
              <w:t xml:space="preserve"> T</w:t>
            </w:r>
            <w:r w:rsidR="00BB7D1C" w:rsidRPr="004C08E0">
              <w:rPr>
                <w:rFonts w:ascii="Times New Roman" w:hAnsi="Times New Roman" w:cs="Times New Roman"/>
                <w:sz w:val="24"/>
                <w:szCs w:val="24"/>
              </w:rPr>
              <w:t xml:space="preserve">he potential role of Development Agents </w:t>
            </w:r>
            <w:r w:rsidR="00195996" w:rsidRPr="004C08E0">
              <w:rPr>
                <w:rFonts w:ascii="Times New Roman" w:hAnsi="Times New Roman" w:cs="Times New Roman"/>
                <w:sz w:val="24"/>
                <w:szCs w:val="24"/>
              </w:rPr>
              <w:t xml:space="preserve">and </w:t>
            </w:r>
            <w:r w:rsidR="00BB7D1C" w:rsidRPr="004C08E0">
              <w:rPr>
                <w:rFonts w:ascii="Times New Roman" w:hAnsi="Times New Roman" w:cs="Times New Roman"/>
                <w:sz w:val="24"/>
                <w:szCs w:val="24"/>
              </w:rPr>
              <w:t xml:space="preserve">their time use was studied. The finalized DA Tracking Survey revealed that there was no evidence of </w:t>
            </w:r>
            <w:r w:rsidR="00246852">
              <w:rPr>
                <w:rFonts w:ascii="Times New Roman" w:hAnsi="Times New Roman" w:cs="Times New Roman"/>
                <w:sz w:val="24"/>
                <w:szCs w:val="24"/>
              </w:rPr>
              <w:t xml:space="preserve">Development Agents </w:t>
            </w:r>
            <w:r w:rsidR="00BB7D1C" w:rsidRPr="004C08E0">
              <w:rPr>
                <w:rFonts w:ascii="Times New Roman" w:hAnsi="Times New Roman" w:cs="Times New Roman"/>
                <w:sz w:val="24"/>
                <w:szCs w:val="24"/>
              </w:rPr>
              <w:t xml:space="preserve">doing work beyond their defined roles. However, as noted in the Management Response, activities carried out during </w:t>
            </w:r>
            <w:r w:rsidR="00801AD5" w:rsidRPr="004C08E0">
              <w:rPr>
                <w:rFonts w:ascii="Times New Roman" w:hAnsi="Times New Roman" w:cs="Times New Roman"/>
                <w:sz w:val="24"/>
                <w:szCs w:val="24"/>
              </w:rPr>
              <w:t xml:space="preserve">the </w:t>
            </w:r>
            <w:r w:rsidR="00246852">
              <w:rPr>
                <w:rFonts w:ascii="Times New Roman" w:hAnsi="Times New Roman" w:cs="Times New Roman"/>
                <w:sz w:val="24"/>
                <w:szCs w:val="24"/>
              </w:rPr>
              <w:t xml:space="preserve">Development Agents’ </w:t>
            </w:r>
            <w:r w:rsidR="00BB7D1C" w:rsidRPr="004C08E0">
              <w:rPr>
                <w:rFonts w:ascii="Times New Roman" w:hAnsi="Times New Roman" w:cs="Times New Roman"/>
                <w:sz w:val="24"/>
                <w:szCs w:val="24"/>
              </w:rPr>
              <w:t>own spare time cannot be verified.</w:t>
            </w:r>
          </w:p>
          <w:p w:rsidR="006E6A49" w:rsidRPr="004C08E0" w:rsidRDefault="006E6A49" w:rsidP="00195996">
            <w:pPr>
              <w:keepLines/>
              <w:spacing w:after="0" w:line="240" w:lineRule="auto"/>
              <w:rPr>
                <w:rFonts w:ascii="Times New Roman" w:hAnsi="Times New Roman" w:cs="Times New Roman"/>
                <w:b/>
                <w:i/>
                <w:sz w:val="24"/>
                <w:szCs w:val="24"/>
              </w:rPr>
            </w:pPr>
          </w:p>
        </w:tc>
      </w:tr>
      <w:tr w:rsidR="003D109F" w:rsidRPr="004C08E0" w:rsidTr="00743855">
        <w:trPr>
          <w:cantSplit/>
        </w:trPr>
        <w:tc>
          <w:tcPr>
            <w:tcW w:w="9705" w:type="dxa"/>
            <w:gridSpan w:val="2"/>
            <w:shd w:val="clear" w:color="auto" w:fill="FFD966" w:themeFill="accent4" w:themeFillTint="99"/>
          </w:tcPr>
          <w:p w:rsidR="00743855" w:rsidRPr="004C08E0" w:rsidRDefault="00743855" w:rsidP="00C86BD4">
            <w:pPr>
              <w:keepNext/>
              <w:keepLines/>
              <w:spacing w:after="0" w:line="240" w:lineRule="auto"/>
              <w:rPr>
                <w:rFonts w:ascii="Times New Roman" w:hAnsi="Times New Roman" w:cs="Times New Roman"/>
                <w:b/>
                <w:bCs/>
                <w:spacing w:val="1"/>
                <w:sz w:val="24"/>
                <w:szCs w:val="24"/>
              </w:rPr>
            </w:pPr>
            <w:r w:rsidRPr="004C08E0">
              <w:rPr>
                <w:rFonts w:ascii="Times New Roman" w:hAnsi="Times New Roman" w:cs="Times New Roman"/>
                <w:b/>
                <w:bCs/>
                <w:spacing w:val="1"/>
                <w:sz w:val="24"/>
                <w:szCs w:val="24"/>
              </w:rPr>
              <w:t>Reducing systematic social and environmental risks</w:t>
            </w:r>
          </w:p>
        </w:tc>
      </w:tr>
      <w:tr w:rsidR="003D109F" w:rsidRPr="004C08E0" w:rsidTr="00C86BD4">
        <w:trPr>
          <w:cantSplit/>
        </w:trPr>
        <w:tc>
          <w:tcPr>
            <w:tcW w:w="4665" w:type="dxa"/>
          </w:tcPr>
          <w:p w:rsidR="00743855" w:rsidRPr="004C08E0" w:rsidRDefault="00743855" w:rsidP="00C86BD4">
            <w:pPr>
              <w:keepLines/>
              <w:spacing w:after="0" w:line="240" w:lineRule="auto"/>
              <w:rPr>
                <w:rFonts w:ascii="Times New Roman" w:hAnsi="Times New Roman" w:cs="Times New Roman"/>
                <w:b/>
                <w:bCs/>
                <w:spacing w:val="1"/>
                <w:sz w:val="24"/>
                <w:szCs w:val="24"/>
              </w:rPr>
            </w:pPr>
            <w:r w:rsidRPr="004C08E0">
              <w:rPr>
                <w:rFonts w:ascii="Times New Roman" w:hAnsi="Times New Roman" w:cs="Times New Roman"/>
                <w:b/>
                <w:bCs/>
                <w:spacing w:val="1"/>
                <w:sz w:val="24"/>
                <w:szCs w:val="24"/>
              </w:rPr>
              <w:t xml:space="preserve">Action #3 </w:t>
            </w:r>
            <w:r w:rsidRPr="004C08E0">
              <w:rPr>
                <w:rFonts w:ascii="Times New Roman" w:hAnsi="Times New Roman" w:cs="Times New Roman"/>
                <w:bCs/>
                <w:spacing w:val="1"/>
                <w:sz w:val="24"/>
                <w:szCs w:val="24"/>
              </w:rPr>
              <w:t>Continue</w:t>
            </w:r>
            <w:r w:rsidRPr="004C08E0">
              <w:rPr>
                <w:rFonts w:ascii="Times New Roman" w:hAnsi="Times New Roman" w:cs="Times New Roman"/>
                <w:sz w:val="24"/>
                <w:szCs w:val="24"/>
              </w:rPr>
              <w:t xml:space="preserve"> to build the capacity of </w:t>
            </w:r>
            <w:proofErr w:type="spellStart"/>
            <w:r w:rsidRPr="004C08E0">
              <w:rPr>
                <w:rFonts w:ascii="Times New Roman" w:hAnsi="Times New Roman" w:cs="Times New Roman"/>
                <w:i/>
                <w:sz w:val="24"/>
                <w:szCs w:val="24"/>
              </w:rPr>
              <w:t>woreda</w:t>
            </w:r>
            <w:proofErr w:type="spellEnd"/>
            <w:r w:rsidRPr="004C08E0">
              <w:rPr>
                <w:rFonts w:ascii="Times New Roman" w:hAnsi="Times New Roman" w:cs="Times New Roman"/>
                <w:sz w:val="24"/>
                <w:szCs w:val="24"/>
              </w:rPr>
              <w:t xml:space="preserve">-level staff to implement the Bank’s safeguard policies, including through a </w:t>
            </w:r>
            <w:proofErr w:type="spellStart"/>
            <w:r w:rsidRPr="004C08E0">
              <w:rPr>
                <w:rFonts w:ascii="Times New Roman" w:hAnsi="Times New Roman" w:cs="Times New Roman"/>
                <w:i/>
                <w:sz w:val="24"/>
                <w:szCs w:val="24"/>
              </w:rPr>
              <w:t>woreda</w:t>
            </w:r>
            <w:proofErr w:type="spellEnd"/>
            <w:r w:rsidRPr="004C08E0">
              <w:rPr>
                <w:rFonts w:ascii="Times New Roman" w:hAnsi="Times New Roman" w:cs="Times New Roman"/>
                <w:sz w:val="24"/>
                <w:szCs w:val="24"/>
              </w:rPr>
              <w:t>-level safeguard manual that can be used across the country.</w:t>
            </w:r>
          </w:p>
        </w:tc>
        <w:tc>
          <w:tcPr>
            <w:tcW w:w="5040" w:type="dxa"/>
          </w:tcPr>
          <w:p w:rsidR="00743855" w:rsidRPr="004C08E0" w:rsidRDefault="00DF4B7B" w:rsidP="002D4E12">
            <w:pPr>
              <w:pStyle w:val="IPPARA"/>
              <w:keepLines/>
              <w:numPr>
                <w:ilvl w:val="0"/>
                <w:numId w:val="0"/>
              </w:numPr>
              <w:suppressAutoHyphens/>
              <w:spacing w:after="0"/>
              <w:jc w:val="left"/>
              <w:rPr>
                <w:bCs/>
                <w:spacing w:val="1"/>
                <w:szCs w:val="24"/>
              </w:rPr>
            </w:pPr>
            <w:r w:rsidRPr="004C08E0">
              <w:rPr>
                <w:b/>
                <w:bCs/>
                <w:i/>
                <w:spacing w:val="1"/>
                <w:szCs w:val="24"/>
              </w:rPr>
              <w:t xml:space="preserve">Completed </w:t>
            </w:r>
            <w:r>
              <w:rPr>
                <w:b/>
                <w:bCs/>
                <w:i/>
                <w:spacing w:val="1"/>
                <w:szCs w:val="24"/>
              </w:rPr>
              <w:t>before</w:t>
            </w:r>
            <w:r w:rsidRPr="004C08E0">
              <w:rPr>
                <w:b/>
                <w:bCs/>
                <w:i/>
                <w:spacing w:val="1"/>
                <w:szCs w:val="24"/>
              </w:rPr>
              <w:t xml:space="preserve"> current reporting period</w:t>
            </w:r>
            <w:r w:rsidR="00743855" w:rsidRPr="004C08E0">
              <w:rPr>
                <w:b/>
                <w:bCs/>
                <w:i/>
                <w:spacing w:val="1"/>
                <w:szCs w:val="24"/>
              </w:rPr>
              <w:t xml:space="preserve">. </w:t>
            </w:r>
            <w:r w:rsidR="00743855" w:rsidRPr="004C08E0">
              <w:rPr>
                <w:bCs/>
                <w:spacing w:val="1"/>
                <w:szCs w:val="24"/>
              </w:rPr>
              <w:t>T</w:t>
            </w:r>
            <w:r w:rsidR="00743855" w:rsidRPr="004C08E0">
              <w:rPr>
                <w:rFonts w:eastAsiaTheme="minorHAnsi"/>
                <w:bCs/>
                <w:spacing w:val="1"/>
                <w:szCs w:val="24"/>
              </w:rPr>
              <w:t xml:space="preserve">he safeguard management manual </w:t>
            </w:r>
            <w:r w:rsidR="002D4E12" w:rsidRPr="004C08E0">
              <w:rPr>
                <w:rFonts w:eastAsiaTheme="minorHAnsi"/>
                <w:bCs/>
                <w:spacing w:val="1"/>
                <w:szCs w:val="24"/>
              </w:rPr>
              <w:t>was</w:t>
            </w:r>
            <w:r w:rsidR="00743855" w:rsidRPr="004C08E0">
              <w:rPr>
                <w:rFonts w:eastAsiaTheme="minorHAnsi"/>
                <w:bCs/>
                <w:spacing w:val="1"/>
                <w:szCs w:val="24"/>
              </w:rPr>
              <w:t xml:space="preserve"> adopted, </w:t>
            </w:r>
            <w:r w:rsidR="00801AD5" w:rsidRPr="004C08E0">
              <w:rPr>
                <w:rFonts w:eastAsiaTheme="minorHAnsi"/>
                <w:bCs/>
                <w:spacing w:val="1"/>
                <w:szCs w:val="24"/>
              </w:rPr>
              <w:t xml:space="preserve">and </w:t>
            </w:r>
            <w:r w:rsidR="00743855" w:rsidRPr="004C08E0">
              <w:rPr>
                <w:rFonts w:eastAsiaTheme="minorHAnsi"/>
                <w:bCs/>
                <w:spacing w:val="1"/>
                <w:szCs w:val="24"/>
              </w:rPr>
              <w:t xml:space="preserve">this activity is deemed to be completed. </w:t>
            </w:r>
            <w:proofErr w:type="spellStart"/>
            <w:r w:rsidR="00743855" w:rsidRPr="004C08E0">
              <w:rPr>
                <w:rFonts w:eastAsiaTheme="minorHAnsi"/>
                <w:bCs/>
                <w:i/>
                <w:spacing w:val="1"/>
                <w:szCs w:val="24"/>
              </w:rPr>
              <w:t>Woreda</w:t>
            </w:r>
            <w:proofErr w:type="spellEnd"/>
            <w:r w:rsidR="00743855" w:rsidRPr="004C08E0">
              <w:rPr>
                <w:rFonts w:eastAsiaTheme="minorHAnsi"/>
                <w:bCs/>
                <w:spacing w:val="1"/>
                <w:szCs w:val="24"/>
              </w:rPr>
              <w:t xml:space="preserve"> staff are being trained continuously.</w:t>
            </w:r>
          </w:p>
        </w:tc>
      </w:tr>
      <w:tr w:rsidR="003D109F" w:rsidRPr="004C08E0" w:rsidTr="00C86BD4">
        <w:trPr>
          <w:cantSplit/>
        </w:trPr>
        <w:tc>
          <w:tcPr>
            <w:tcW w:w="4665" w:type="dxa"/>
          </w:tcPr>
          <w:p w:rsidR="00195996" w:rsidRPr="004C08E0" w:rsidRDefault="00195996" w:rsidP="00195996">
            <w:pPr>
              <w:keepLines/>
              <w:spacing w:after="0" w:line="240" w:lineRule="auto"/>
              <w:rPr>
                <w:rFonts w:ascii="Times New Roman" w:hAnsi="Times New Roman" w:cs="Times New Roman"/>
                <w:b/>
                <w:bCs/>
                <w:spacing w:val="1"/>
                <w:sz w:val="24"/>
                <w:szCs w:val="24"/>
              </w:rPr>
            </w:pPr>
            <w:r w:rsidRPr="004C08E0">
              <w:rPr>
                <w:rFonts w:ascii="Times New Roman" w:hAnsi="Times New Roman" w:cs="Times New Roman"/>
                <w:b/>
                <w:bCs/>
                <w:spacing w:val="1"/>
                <w:sz w:val="24"/>
                <w:szCs w:val="24"/>
              </w:rPr>
              <w:t xml:space="preserve">Action #4 </w:t>
            </w:r>
            <w:r w:rsidRPr="004C08E0">
              <w:rPr>
                <w:rFonts w:ascii="Times New Roman" w:hAnsi="Times New Roman" w:cs="Times New Roman"/>
                <w:bCs/>
                <w:spacing w:val="1"/>
                <w:sz w:val="24"/>
                <w:szCs w:val="24"/>
              </w:rPr>
              <w:t>Recruit</w:t>
            </w:r>
            <w:r w:rsidRPr="004C08E0">
              <w:rPr>
                <w:rFonts w:ascii="Times New Roman" w:hAnsi="Times New Roman" w:cs="Times New Roman"/>
                <w:sz w:val="24"/>
                <w:szCs w:val="24"/>
              </w:rPr>
              <w:t xml:space="preserve"> a Senior Operations Specialist within the PBS secretariat to help implement the safeguard policies and provide continuous support to </w:t>
            </w:r>
            <w:proofErr w:type="spellStart"/>
            <w:r w:rsidRPr="004C08E0">
              <w:rPr>
                <w:rFonts w:ascii="Times New Roman" w:hAnsi="Times New Roman" w:cs="Times New Roman"/>
                <w:i/>
                <w:sz w:val="24"/>
                <w:szCs w:val="24"/>
              </w:rPr>
              <w:t>woreda</w:t>
            </w:r>
            <w:proofErr w:type="spellEnd"/>
            <w:r w:rsidRPr="004C08E0">
              <w:rPr>
                <w:rFonts w:ascii="Times New Roman" w:hAnsi="Times New Roman" w:cs="Times New Roman"/>
                <w:sz w:val="24"/>
                <w:szCs w:val="24"/>
              </w:rPr>
              <w:t xml:space="preserve">-level staff. </w:t>
            </w:r>
          </w:p>
        </w:tc>
        <w:tc>
          <w:tcPr>
            <w:tcW w:w="5040" w:type="dxa"/>
          </w:tcPr>
          <w:p w:rsidR="00195996" w:rsidRDefault="00DF4B7B" w:rsidP="00195996">
            <w:pPr>
              <w:pStyle w:val="IPPARA"/>
              <w:keepLines/>
              <w:numPr>
                <w:ilvl w:val="0"/>
                <w:numId w:val="0"/>
              </w:numPr>
              <w:suppressAutoHyphens/>
              <w:spacing w:after="0"/>
              <w:jc w:val="left"/>
              <w:rPr>
                <w:szCs w:val="24"/>
              </w:rPr>
            </w:pPr>
            <w:r w:rsidRPr="004C08E0">
              <w:rPr>
                <w:b/>
                <w:bCs/>
                <w:i/>
                <w:spacing w:val="1"/>
                <w:szCs w:val="24"/>
              </w:rPr>
              <w:t xml:space="preserve">Completed </w:t>
            </w:r>
            <w:r>
              <w:rPr>
                <w:b/>
                <w:bCs/>
                <w:i/>
                <w:spacing w:val="1"/>
                <w:szCs w:val="24"/>
              </w:rPr>
              <w:t>before</w:t>
            </w:r>
            <w:r w:rsidRPr="004C08E0">
              <w:rPr>
                <w:b/>
                <w:bCs/>
                <w:i/>
                <w:spacing w:val="1"/>
                <w:szCs w:val="24"/>
              </w:rPr>
              <w:t xml:space="preserve"> current reporting period</w:t>
            </w:r>
            <w:r w:rsidR="00195996" w:rsidRPr="004C08E0">
              <w:rPr>
                <w:b/>
                <w:bCs/>
                <w:i/>
                <w:spacing w:val="1"/>
                <w:szCs w:val="24"/>
              </w:rPr>
              <w:t>.</w:t>
            </w:r>
            <w:r w:rsidR="00195996" w:rsidRPr="004C08E0">
              <w:rPr>
                <w:bCs/>
                <w:spacing w:val="1"/>
                <w:szCs w:val="24"/>
              </w:rPr>
              <w:t xml:space="preserve"> </w:t>
            </w:r>
            <w:r w:rsidR="00195996" w:rsidRPr="004C08E0">
              <w:rPr>
                <w:szCs w:val="24"/>
              </w:rPr>
              <w:t xml:space="preserve">The staff member came on board and has been providing support for safeguard management at all levels of </w:t>
            </w:r>
            <w:r w:rsidR="00377FC8">
              <w:rPr>
                <w:szCs w:val="24"/>
              </w:rPr>
              <w:t>g</w:t>
            </w:r>
            <w:r w:rsidR="00195996" w:rsidRPr="004C08E0">
              <w:rPr>
                <w:szCs w:val="24"/>
              </w:rPr>
              <w:t xml:space="preserve">overnment – </w:t>
            </w:r>
            <w:r w:rsidR="00801AD5" w:rsidRPr="004C08E0">
              <w:rPr>
                <w:szCs w:val="24"/>
              </w:rPr>
              <w:t>f</w:t>
            </w:r>
            <w:r w:rsidR="00195996" w:rsidRPr="004C08E0">
              <w:rPr>
                <w:szCs w:val="24"/>
              </w:rPr>
              <w:t xml:space="preserve">ederal, </w:t>
            </w:r>
            <w:r w:rsidR="00801AD5" w:rsidRPr="004C08E0">
              <w:rPr>
                <w:szCs w:val="24"/>
              </w:rPr>
              <w:t>r</w:t>
            </w:r>
            <w:r w:rsidR="00195996" w:rsidRPr="004C08E0">
              <w:rPr>
                <w:szCs w:val="24"/>
              </w:rPr>
              <w:t xml:space="preserve">egional and </w:t>
            </w:r>
            <w:proofErr w:type="spellStart"/>
            <w:r w:rsidR="00195996" w:rsidRPr="004C08E0">
              <w:rPr>
                <w:szCs w:val="24"/>
              </w:rPr>
              <w:t>w</w:t>
            </w:r>
            <w:r w:rsidR="00195996" w:rsidRPr="004C08E0">
              <w:rPr>
                <w:i/>
                <w:szCs w:val="24"/>
              </w:rPr>
              <w:t>oreda</w:t>
            </w:r>
            <w:proofErr w:type="spellEnd"/>
            <w:r w:rsidR="00195996" w:rsidRPr="004C08E0">
              <w:rPr>
                <w:szCs w:val="24"/>
              </w:rPr>
              <w:t xml:space="preserve"> </w:t>
            </w:r>
            <w:r w:rsidR="00801AD5" w:rsidRPr="004C08E0">
              <w:rPr>
                <w:szCs w:val="24"/>
              </w:rPr>
              <w:t xml:space="preserve">– </w:t>
            </w:r>
            <w:r w:rsidR="00195996" w:rsidRPr="004C08E0">
              <w:rPr>
                <w:szCs w:val="24"/>
              </w:rPr>
              <w:t>since May 2015.</w:t>
            </w:r>
          </w:p>
          <w:p w:rsidR="006E6A49" w:rsidRPr="004C08E0" w:rsidRDefault="006E6A49" w:rsidP="00195996">
            <w:pPr>
              <w:pStyle w:val="IPPARA"/>
              <w:keepLines/>
              <w:numPr>
                <w:ilvl w:val="0"/>
                <w:numId w:val="0"/>
              </w:numPr>
              <w:suppressAutoHyphens/>
              <w:spacing w:after="0"/>
              <w:jc w:val="left"/>
              <w:rPr>
                <w:b/>
                <w:bCs/>
                <w:i/>
                <w:spacing w:val="1"/>
                <w:szCs w:val="24"/>
              </w:rPr>
            </w:pPr>
          </w:p>
        </w:tc>
      </w:tr>
    </w:tbl>
    <w:p w:rsidR="006E6A49" w:rsidRDefault="006E6A49">
      <w:r>
        <w:br w:type="page"/>
      </w: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8" w:type="dxa"/>
          <w:left w:w="72" w:type="dxa"/>
          <w:bottom w:w="58" w:type="dxa"/>
          <w:right w:w="72" w:type="dxa"/>
        </w:tblCellMar>
        <w:tblLook w:val="01E0" w:firstRow="1" w:lastRow="1" w:firstColumn="1" w:lastColumn="1" w:noHBand="0" w:noVBand="0"/>
      </w:tblPr>
      <w:tblGrid>
        <w:gridCol w:w="4665"/>
        <w:gridCol w:w="5040"/>
      </w:tblGrid>
      <w:tr w:rsidR="003D109F" w:rsidRPr="004C08E0" w:rsidTr="00743855">
        <w:trPr>
          <w:cantSplit/>
        </w:trPr>
        <w:tc>
          <w:tcPr>
            <w:tcW w:w="9705" w:type="dxa"/>
            <w:gridSpan w:val="2"/>
            <w:shd w:val="clear" w:color="auto" w:fill="FFD966" w:themeFill="accent4" w:themeFillTint="99"/>
          </w:tcPr>
          <w:p w:rsidR="00743855" w:rsidRPr="004C08E0" w:rsidRDefault="00743855" w:rsidP="00C86BD4">
            <w:pPr>
              <w:pStyle w:val="IPPARA"/>
              <w:numPr>
                <w:ilvl w:val="0"/>
                <w:numId w:val="0"/>
              </w:numPr>
              <w:suppressAutoHyphens/>
              <w:spacing w:after="0"/>
              <w:jc w:val="left"/>
              <w:rPr>
                <w:b/>
                <w:bCs/>
                <w:i/>
                <w:spacing w:val="1"/>
                <w:szCs w:val="24"/>
              </w:rPr>
            </w:pPr>
            <w:r w:rsidRPr="004C08E0">
              <w:rPr>
                <w:b/>
                <w:bCs/>
                <w:spacing w:val="1"/>
                <w:szCs w:val="24"/>
              </w:rPr>
              <w:t>Improving Citizen Engagement</w:t>
            </w:r>
          </w:p>
        </w:tc>
      </w:tr>
      <w:tr w:rsidR="003D109F" w:rsidRPr="004C08E0" w:rsidTr="00C86BD4">
        <w:trPr>
          <w:cantSplit/>
        </w:trPr>
        <w:tc>
          <w:tcPr>
            <w:tcW w:w="4665" w:type="dxa"/>
          </w:tcPr>
          <w:p w:rsidR="00743855" w:rsidRPr="004C08E0" w:rsidRDefault="00743855" w:rsidP="00C86BD4">
            <w:pPr>
              <w:spacing w:after="0" w:line="240" w:lineRule="auto"/>
              <w:rPr>
                <w:rFonts w:ascii="Times New Roman" w:hAnsi="Times New Roman" w:cs="Times New Roman"/>
                <w:sz w:val="24"/>
                <w:szCs w:val="24"/>
              </w:rPr>
            </w:pPr>
            <w:r w:rsidRPr="004C08E0">
              <w:rPr>
                <w:rFonts w:ascii="Times New Roman" w:hAnsi="Times New Roman" w:cs="Times New Roman"/>
                <w:b/>
                <w:bCs/>
                <w:spacing w:val="1"/>
                <w:sz w:val="24"/>
                <w:szCs w:val="24"/>
              </w:rPr>
              <w:t xml:space="preserve">Action #5 </w:t>
            </w:r>
            <w:r w:rsidRPr="004C08E0">
              <w:rPr>
                <w:rFonts w:ascii="Times New Roman" w:hAnsi="Times New Roman" w:cs="Times New Roman"/>
                <w:sz w:val="24"/>
                <w:szCs w:val="24"/>
              </w:rPr>
              <w:t>Expand social accountability programs and strengthening the link between social accountability and work on financial transparency</w:t>
            </w:r>
            <w:r w:rsidRPr="004C08E0">
              <w:rPr>
                <w:rFonts w:ascii="Times New Roman" w:hAnsi="Times New Roman" w:cs="Times New Roman"/>
                <w:bCs/>
                <w:spacing w:val="1"/>
                <w:sz w:val="24"/>
                <w:szCs w:val="24"/>
              </w:rPr>
              <w:t xml:space="preserve"> </w:t>
            </w:r>
          </w:p>
        </w:tc>
        <w:tc>
          <w:tcPr>
            <w:tcW w:w="5040" w:type="dxa"/>
          </w:tcPr>
          <w:p w:rsidR="00743855" w:rsidRDefault="009223E1" w:rsidP="00572896">
            <w:pPr>
              <w:pStyle w:val="IPPARA"/>
              <w:numPr>
                <w:ilvl w:val="0"/>
                <w:numId w:val="0"/>
              </w:numPr>
              <w:suppressAutoHyphens/>
              <w:spacing w:after="0"/>
              <w:jc w:val="left"/>
              <w:rPr>
                <w:szCs w:val="24"/>
              </w:rPr>
            </w:pPr>
            <w:r>
              <w:rPr>
                <w:b/>
                <w:i/>
                <w:szCs w:val="24"/>
              </w:rPr>
              <w:t>Completed during this reporting period</w:t>
            </w:r>
            <w:r w:rsidR="00743855" w:rsidRPr="004C08E0">
              <w:rPr>
                <w:szCs w:val="24"/>
              </w:rPr>
              <w:t xml:space="preserve">. </w:t>
            </w:r>
            <w:r w:rsidR="003562F3">
              <w:rPr>
                <w:szCs w:val="24"/>
              </w:rPr>
              <w:t>T</w:t>
            </w:r>
            <w:r w:rsidR="003562F3" w:rsidRPr="00B11EF9">
              <w:rPr>
                <w:szCs w:val="24"/>
              </w:rPr>
              <w:t xml:space="preserve">he needed financial support </w:t>
            </w:r>
            <w:r w:rsidR="003562F3">
              <w:rPr>
                <w:szCs w:val="24"/>
              </w:rPr>
              <w:t>for e</w:t>
            </w:r>
            <w:r w:rsidR="003562F3" w:rsidRPr="004C08E0">
              <w:rPr>
                <w:szCs w:val="24"/>
              </w:rPr>
              <w:t>xpand</w:t>
            </w:r>
            <w:r w:rsidR="003562F3">
              <w:rPr>
                <w:szCs w:val="24"/>
              </w:rPr>
              <w:t>ing</w:t>
            </w:r>
            <w:r w:rsidR="003562F3" w:rsidRPr="004C08E0">
              <w:rPr>
                <w:szCs w:val="24"/>
              </w:rPr>
              <w:t xml:space="preserve"> social accountability programs and strengthening the link between social accountability and </w:t>
            </w:r>
            <w:r w:rsidR="000B230B" w:rsidRPr="004C08E0">
              <w:rPr>
                <w:szCs w:val="24"/>
              </w:rPr>
              <w:t xml:space="preserve">work on </w:t>
            </w:r>
            <w:r w:rsidR="003562F3" w:rsidRPr="004C08E0">
              <w:rPr>
                <w:szCs w:val="24"/>
              </w:rPr>
              <w:t>financial transparency</w:t>
            </w:r>
            <w:r w:rsidR="003562F3">
              <w:rPr>
                <w:szCs w:val="24"/>
              </w:rPr>
              <w:t xml:space="preserve"> </w:t>
            </w:r>
            <w:r w:rsidR="003562F3" w:rsidRPr="00B11EF9">
              <w:rPr>
                <w:szCs w:val="24"/>
              </w:rPr>
              <w:t xml:space="preserve">is being provided under </w:t>
            </w:r>
            <w:r w:rsidR="003562F3">
              <w:rPr>
                <w:szCs w:val="24"/>
              </w:rPr>
              <w:t>E</w:t>
            </w:r>
            <w:r w:rsidR="003562F3" w:rsidRPr="00B11EF9">
              <w:rPr>
                <w:szCs w:val="24"/>
              </w:rPr>
              <w:t>SAP3 through a US$20m AF approved by the Board in September 2017</w:t>
            </w:r>
            <w:r w:rsidR="003562F3">
              <w:rPr>
                <w:szCs w:val="24"/>
              </w:rPr>
              <w:t>. This support will be augmented by other development partners (Sweden, EU, DFID, Austria), who</w:t>
            </w:r>
            <w:r w:rsidR="003E0965">
              <w:rPr>
                <w:szCs w:val="24"/>
              </w:rPr>
              <w:t xml:space="preserve"> </w:t>
            </w:r>
            <w:r w:rsidR="003562F3">
              <w:rPr>
                <w:szCs w:val="24"/>
              </w:rPr>
              <w:t xml:space="preserve">committed US$37 million to provide support to regional and </w:t>
            </w:r>
            <w:proofErr w:type="spellStart"/>
            <w:r w:rsidR="003562F3" w:rsidRPr="00881065">
              <w:rPr>
                <w:i/>
                <w:szCs w:val="24"/>
              </w:rPr>
              <w:t>woreda</w:t>
            </w:r>
            <w:proofErr w:type="spellEnd"/>
            <w:r w:rsidR="003562F3">
              <w:rPr>
                <w:szCs w:val="24"/>
              </w:rPr>
              <w:t xml:space="preserve"> authorities to conduct effective citizen consultations.</w:t>
            </w:r>
            <w:r w:rsidR="003E0965">
              <w:rPr>
                <w:szCs w:val="24"/>
              </w:rPr>
              <w:t xml:space="preserve">  </w:t>
            </w:r>
            <w:r w:rsidR="004C3B97">
              <w:rPr>
                <w:szCs w:val="24"/>
              </w:rPr>
              <w:t xml:space="preserve"> </w:t>
            </w:r>
          </w:p>
          <w:p w:rsidR="006E6A49" w:rsidRPr="004C08E0" w:rsidRDefault="006E6A49" w:rsidP="00572896">
            <w:pPr>
              <w:pStyle w:val="IPPARA"/>
              <w:numPr>
                <w:ilvl w:val="0"/>
                <w:numId w:val="0"/>
              </w:numPr>
              <w:suppressAutoHyphens/>
              <w:spacing w:after="0"/>
              <w:jc w:val="left"/>
              <w:rPr>
                <w:bCs/>
                <w:spacing w:val="1"/>
                <w:szCs w:val="24"/>
              </w:rPr>
            </w:pPr>
          </w:p>
        </w:tc>
      </w:tr>
      <w:tr w:rsidR="003D109F" w:rsidRPr="004C08E0" w:rsidTr="00C86BD4">
        <w:trPr>
          <w:cantSplit/>
        </w:trPr>
        <w:tc>
          <w:tcPr>
            <w:tcW w:w="4665" w:type="dxa"/>
          </w:tcPr>
          <w:p w:rsidR="00195996" w:rsidRPr="004C08E0" w:rsidRDefault="00195996" w:rsidP="00195996">
            <w:pPr>
              <w:spacing w:after="0" w:line="240" w:lineRule="auto"/>
              <w:rPr>
                <w:rFonts w:ascii="Times New Roman" w:hAnsi="Times New Roman" w:cs="Times New Roman"/>
                <w:b/>
                <w:bCs/>
                <w:spacing w:val="1"/>
                <w:sz w:val="24"/>
                <w:szCs w:val="24"/>
              </w:rPr>
            </w:pPr>
            <w:r w:rsidRPr="004C08E0">
              <w:rPr>
                <w:rFonts w:ascii="Times New Roman" w:hAnsi="Times New Roman" w:cs="Times New Roman"/>
                <w:b/>
                <w:bCs/>
                <w:spacing w:val="1"/>
                <w:sz w:val="24"/>
                <w:szCs w:val="24"/>
              </w:rPr>
              <w:t xml:space="preserve">Action #6 </w:t>
            </w:r>
            <w:r w:rsidRPr="004C08E0">
              <w:rPr>
                <w:rFonts w:ascii="Times New Roman" w:hAnsi="Times New Roman" w:cs="Times New Roman"/>
                <w:bCs/>
                <w:spacing w:val="1"/>
                <w:sz w:val="24"/>
                <w:szCs w:val="24"/>
              </w:rPr>
              <w:t>Increase</w:t>
            </w:r>
            <w:r w:rsidRPr="004C08E0">
              <w:rPr>
                <w:rFonts w:ascii="Times New Roman" w:hAnsi="Times New Roman" w:cs="Times New Roman"/>
                <w:sz w:val="24"/>
                <w:szCs w:val="24"/>
              </w:rPr>
              <w:t xml:space="preserve"> citizen participation in budget decision making at </w:t>
            </w:r>
            <w:proofErr w:type="spellStart"/>
            <w:r w:rsidRPr="004C08E0">
              <w:rPr>
                <w:rFonts w:ascii="Times New Roman" w:hAnsi="Times New Roman" w:cs="Times New Roman"/>
                <w:i/>
                <w:sz w:val="24"/>
                <w:szCs w:val="24"/>
              </w:rPr>
              <w:t>woreda</w:t>
            </w:r>
            <w:proofErr w:type="spellEnd"/>
            <w:r w:rsidRPr="004C08E0">
              <w:rPr>
                <w:rFonts w:ascii="Times New Roman" w:hAnsi="Times New Roman" w:cs="Times New Roman"/>
                <w:sz w:val="24"/>
                <w:szCs w:val="24"/>
              </w:rPr>
              <w:t xml:space="preserve"> level</w:t>
            </w:r>
          </w:p>
        </w:tc>
        <w:tc>
          <w:tcPr>
            <w:tcW w:w="5040" w:type="dxa"/>
          </w:tcPr>
          <w:p w:rsidR="00195996" w:rsidRDefault="00DF4B7B" w:rsidP="0006053D">
            <w:pPr>
              <w:pStyle w:val="IPPARA"/>
              <w:numPr>
                <w:ilvl w:val="0"/>
                <w:numId w:val="0"/>
              </w:numPr>
              <w:suppressAutoHyphens/>
              <w:spacing w:after="0"/>
              <w:jc w:val="left"/>
              <w:rPr>
                <w:szCs w:val="24"/>
              </w:rPr>
            </w:pPr>
            <w:r w:rsidRPr="004C08E0">
              <w:rPr>
                <w:b/>
                <w:bCs/>
                <w:i/>
                <w:spacing w:val="1"/>
                <w:szCs w:val="24"/>
              </w:rPr>
              <w:t xml:space="preserve">Completed </w:t>
            </w:r>
            <w:r>
              <w:rPr>
                <w:b/>
                <w:bCs/>
                <w:i/>
                <w:spacing w:val="1"/>
                <w:szCs w:val="24"/>
              </w:rPr>
              <w:t>before</w:t>
            </w:r>
            <w:r w:rsidRPr="004C08E0">
              <w:rPr>
                <w:b/>
                <w:bCs/>
                <w:i/>
                <w:spacing w:val="1"/>
                <w:szCs w:val="24"/>
              </w:rPr>
              <w:t xml:space="preserve"> current reporting period</w:t>
            </w:r>
            <w:r w:rsidR="00195996" w:rsidRPr="004C08E0">
              <w:rPr>
                <w:b/>
                <w:i/>
                <w:szCs w:val="24"/>
              </w:rPr>
              <w:t>.</w:t>
            </w:r>
            <w:r w:rsidR="00195996" w:rsidRPr="004C08E0">
              <w:rPr>
                <w:szCs w:val="24"/>
              </w:rPr>
              <w:t xml:space="preserve"> The Finance Ministry issued a directive in September 2015 to require all </w:t>
            </w:r>
            <w:proofErr w:type="spellStart"/>
            <w:r w:rsidR="00195996" w:rsidRPr="004C08E0">
              <w:rPr>
                <w:i/>
                <w:szCs w:val="24"/>
              </w:rPr>
              <w:t>woredas</w:t>
            </w:r>
            <w:proofErr w:type="spellEnd"/>
            <w:r w:rsidR="00195996" w:rsidRPr="004C08E0">
              <w:rPr>
                <w:szCs w:val="24"/>
              </w:rPr>
              <w:t xml:space="preserve"> to carry out citizen consultations before budgets are approved. </w:t>
            </w:r>
            <w:r w:rsidR="00B56D7C">
              <w:rPr>
                <w:szCs w:val="24"/>
              </w:rPr>
              <w:t xml:space="preserve">This </w:t>
            </w:r>
            <w:r w:rsidR="00D36B04">
              <w:rPr>
                <w:szCs w:val="24"/>
              </w:rPr>
              <w:t xml:space="preserve">directive </w:t>
            </w:r>
            <w:r w:rsidR="00B56D7C">
              <w:rPr>
                <w:szCs w:val="24"/>
              </w:rPr>
              <w:t xml:space="preserve">is </w:t>
            </w:r>
            <w:r w:rsidR="00D36B04">
              <w:rPr>
                <w:szCs w:val="24"/>
              </w:rPr>
              <w:t>be</w:t>
            </w:r>
            <w:r w:rsidR="00B56D7C">
              <w:rPr>
                <w:szCs w:val="24"/>
              </w:rPr>
              <w:t xml:space="preserve">ing </w:t>
            </w:r>
            <w:r w:rsidR="00D36B04">
              <w:rPr>
                <w:szCs w:val="24"/>
              </w:rPr>
              <w:t xml:space="preserve">implemented </w:t>
            </w:r>
            <w:r w:rsidR="00B56D7C">
              <w:rPr>
                <w:szCs w:val="24"/>
              </w:rPr>
              <w:t xml:space="preserve">progressively in an increasing number of </w:t>
            </w:r>
            <w:proofErr w:type="spellStart"/>
            <w:r w:rsidR="00F074C7" w:rsidRPr="004C08E0">
              <w:rPr>
                <w:i/>
                <w:szCs w:val="24"/>
              </w:rPr>
              <w:t>woredas</w:t>
            </w:r>
            <w:proofErr w:type="spellEnd"/>
            <w:r w:rsidR="00B56D7C">
              <w:rPr>
                <w:szCs w:val="24"/>
              </w:rPr>
              <w:t xml:space="preserve">. </w:t>
            </w:r>
          </w:p>
          <w:p w:rsidR="006E6A49" w:rsidRPr="004C08E0" w:rsidRDefault="006E6A49" w:rsidP="0006053D">
            <w:pPr>
              <w:pStyle w:val="IPPARA"/>
              <w:numPr>
                <w:ilvl w:val="0"/>
                <w:numId w:val="0"/>
              </w:numPr>
              <w:suppressAutoHyphens/>
              <w:spacing w:after="0"/>
              <w:jc w:val="left"/>
              <w:rPr>
                <w:b/>
                <w:i/>
                <w:szCs w:val="24"/>
              </w:rPr>
            </w:pPr>
          </w:p>
        </w:tc>
      </w:tr>
      <w:tr w:rsidR="003D109F" w:rsidRPr="004C08E0" w:rsidTr="00C86BD4">
        <w:trPr>
          <w:cantSplit/>
        </w:trPr>
        <w:tc>
          <w:tcPr>
            <w:tcW w:w="4665" w:type="dxa"/>
          </w:tcPr>
          <w:p w:rsidR="00195996" w:rsidRPr="004C08E0" w:rsidRDefault="00195996" w:rsidP="00195996">
            <w:pPr>
              <w:spacing w:after="0" w:line="240" w:lineRule="auto"/>
              <w:rPr>
                <w:rFonts w:ascii="Times New Roman" w:hAnsi="Times New Roman" w:cs="Times New Roman"/>
                <w:b/>
                <w:bCs/>
                <w:spacing w:val="1"/>
                <w:sz w:val="24"/>
                <w:szCs w:val="24"/>
              </w:rPr>
            </w:pPr>
            <w:r w:rsidRPr="004C08E0">
              <w:rPr>
                <w:rFonts w:ascii="Times New Roman" w:hAnsi="Times New Roman" w:cs="Times New Roman"/>
                <w:b/>
                <w:bCs/>
                <w:spacing w:val="1"/>
                <w:sz w:val="24"/>
                <w:szCs w:val="24"/>
              </w:rPr>
              <w:t xml:space="preserve">Action #7 </w:t>
            </w:r>
            <w:r w:rsidRPr="004C08E0">
              <w:rPr>
                <w:rFonts w:ascii="Times New Roman" w:hAnsi="Times New Roman" w:cs="Times New Roman"/>
                <w:sz w:val="24"/>
                <w:szCs w:val="24"/>
              </w:rPr>
              <w:t xml:space="preserve">Support the effectiveness of the </w:t>
            </w:r>
            <w:r w:rsidR="00BE7378" w:rsidRPr="004C08E0">
              <w:rPr>
                <w:rFonts w:ascii="Times New Roman" w:hAnsi="Times New Roman" w:cs="Times New Roman"/>
                <w:sz w:val="24"/>
                <w:szCs w:val="24"/>
              </w:rPr>
              <w:t>Ethiopian Institution of the Ombudsman (</w:t>
            </w:r>
            <w:r w:rsidRPr="004C08E0">
              <w:rPr>
                <w:rFonts w:ascii="Times New Roman" w:hAnsi="Times New Roman" w:cs="Times New Roman"/>
                <w:sz w:val="24"/>
                <w:szCs w:val="24"/>
              </w:rPr>
              <w:t>EIO</w:t>
            </w:r>
            <w:r w:rsidR="00BE7378" w:rsidRPr="004C08E0">
              <w:rPr>
                <w:rFonts w:ascii="Times New Roman" w:hAnsi="Times New Roman" w:cs="Times New Roman"/>
                <w:sz w:val="24"/>
                <w:szCs w:val="24"/>
              </w:rPr>
              <w:t xml:space="preserve">) </w:t>
            </w:r>
            <w:r w:rsidRPr="004C08E0">
              <w:rPr>
                <w:rFonts w:ascii="Times New Roman" w:hAnsi="Times New Roman" w:cs="Times New Roman"/>
                <w:sz w:val="24"/>
                <w:szCs w:val="24"/>
              </w:rPr>
              <w:t>through training and opening of new regional branches.</w:t>
            </w:r>
          </w:p>
        </w:tc>
        <w:tc>
          <w:tcPr>
            <w:tcW w:w="5040" w:type="dxa"/>
          </w:tcPr>
          <w:p w:rsidR="00195996" w:rsidRDefault="00DF4B7B" w:rsidP="00195996">
            <w:pPr>
              <w:pStyle w:val="IPPARA"/>
              <w:numPr>
                <w:ilvl w:val="0"/>
                <w:numId w:val="0"/>
              </w:numPr>
              <w:suppressAutoHyphens/>
              <w:spacing w:after="0"/>
              <w:jc w:val="left"/>
              <w:rPr>
                <w:szCs w:val="24"/>
              </w:rPr>
            </w:pPr>
            <w:r w:rsidRPr="004C08E0">
              <w:rPr>
                <w:b/>
                <w:bCs/>
                <w:i/>
                <w:spacing w:val="1"/>
                <w:szCs w:val="24"/>
              </w:rPr>
              <w:t xml:space="preserve">Completed </w:t>
            </w:r>
            <w:r>
              <w:rPr>
                <w:b/>
                <w:bCs/>
                <w:i/>
                <w:spacing w:val="1"/>
                <w:szCs w:val="24"/>
              </w:rPr>
              <w:t>before</w:t>
            </w:r>
            <w:r w:rsidRPr="004C08E0">
              <w:rPr>
                <w:b/>
                <w:bCs/>
                <w:i/>
                <w:spacing w:val="1"/>
                <w:szCs w:val="24"/>
              </w:rPr>
              <w:t xml:space="preserve"> current reporting period</w:t>
            </w:r>
            <w:r w:rsidR="00195996" w:rsidRPr="004C08E0">
              <w:rPr>
                <w:b/>
                <w:i/>
                <w:szCs w:val="24"/>
              </w:rPr>
              <w:t>.</w:t>
            </w:r>
            <w:r w:rsidR="00195996" w:rsidRPr="004C08E0">
              <w:rPr>
                <w:szCs w:val="24"/>
              </w:rPr>
              <w:t xml:space="preserve"> The EIO has</w:t>
            </w:r>
            <w:r>
              <w:rPr>
                <w:szCs w:val="24"/>
              </w:rPr>
              <w:t xml:space="preserve"> branch offices covering all regions. </w:t>
            </w:r>
            <w:r w:rsidR="00195996" w:rsidRPr="004C08E0">
              <w:rPr>
                <w:szCs w:val="24"/>
              </w:rPr>
              <w:t xml:space="preserve">The regional office coordinators have been given the statutory position of Regional Ombudsman. A series of awareness raising study tours have been organized to sensitize EIO officials. In addition, administrative GRM (separate from EIO and part of the </w:t>
            </w:r>
            <w:r w:rsidR="00377FC8">
              <w:rPr>
                <w:szCs w:val="24"/>
              </w:rPr>
              <w:t>g</w:t>
            </w:r>
            <w:r w:rsidR="00195996" w:rsidRPr="004C08E0">
              <w:rPr>
                <w:szCs w:val="24"/>
              </w:rPr>
              <w:t>overnment) offices have been established in all 9 regions and two city administrations.</w:t>
            </w:r>
            <w:r w:rsidR="00E86141">
              <w:rPr>
                <w:szCs w:val="24"/>
              </w:rPr>
              <w:t xml:space="preserve"> A standardized GRM Operational Manual has been prepared and disseminated to all regions to help the</w:t>
            </w:r>
            <w:r w:rsidR="00054C6E">
              <w:rPr>
                <w:szCs w:val="24"/>
              </w:rPr>
              <w:t xml:space="preserve"> GRM offices </w:t>
            </w:r>
            <w:r w:rsidR="00E86141">
              <w:rPr>
                <w:szCs w:val="24"/>
              </w:rPr>
              <w:t xml:space="preserve">perform their duties effectively. </w:t>
            </w:r>
          </w:p>
          <w:p w:rsidR="00F77400" w:rsidRPr="004C08E0" w:rsidRDefault="00F77400" w:rsidP="00195996">
            <w:pPr>
              <w:pStyle w:val="IPPARA"/>
              <w:numPr>
                <w:ilvl w:val="0"/>
                <w:numId w:val="0"/>
              </w:numPr>
              <w:suppressAutoHyphens/>
              <w:spacing w:after="0"/>
              <w:jc w:val="left"/>
              <w:rPr>
                <w:b/>
                <w:i/>
                <w:szCs w:val="24"/>
              </w:rPr>
            </w:pPr>
          </w:p>
        </w:tc>
      </w:tr>
      <w:tr w:rsidR="003D109F" w:rsidRPr="004C08E0" w:rsidTr="00C86BD4">
        <w:trPr>
          <w:cantSplit/>
        </w:trPr>
        <w:tc>
          <w:tcPr>
            <w:tcW w:w="4665" w:type="dxa"/>
          </w:tcPr>
          <w:p w:rsidR="00743855" w:rsidRPr="004C08E0" w:rsidRDefault="00743855" w:rsidP="00C86BD4">
            <w:pPr>
              <w:pStyle w:val="IPPARA"/>
              <w:numPr>
                <w:ilvl w:val="0"/>
                <w:numId w:val="0"/>
              </w:numPr>
              <w:spacing w:after="0"/>
              <w:jc w:val="left"/>
              <w:rPr>
                <w:szCs w:val="24"/>
              </w:rPr>
            </w:pPr>
            <w:r w:rsidRPr="004C08E0">
              <w:rPr>
                <w:b/>
                <w:bCs/>
                <w:spacing w:val="1"/>
                <w:szCs w:val="24"/>
              </w:rPr>
              <w:t xml:space="preserve">Action #8 </w:t>
            </w:r>
            <w:r w:rsidRPr="004C08E0">
              <w:rPr>
                <w:bCs/>
                <w:spacing w:val="1"/>
                <w:szCs w:val="24"/>
              </w:rPr>
              <w:t>Train</w:t>
            </w:r>
            <w:r w:rsidRPr="004C08E0">
              <w:rPr>
                <w:szCs w:val="24"/>
              </w:rPr>
              <w:t xml:space="preserve"> grievance redress officers in </w:t>
            </w:r>
            <w:proofErr w:type="spellStart"/>
            <w:r w:rsidRPr="004C08E0">
              <w:rPr>
                <w:i/>
                <w:szCs w:val="24"/>
              </w:rPr>
              <w:t>woredas</w:t>
            </w:r>
            <w:proofErr w:type="spellEnd"/>
            <w:r w:rsidRPr="004C08E0">
              <w:rPr>
                <w:szCs w:val="24"/>
              </w:rPr>
              <w:t xml:space="preserve"> to become more effective.</w:t>
            </w:r>
          </w:p>
        </w:tc>
        <w:tc>
          <w:tcPr>
            <w:tcW w:w="5040" w:type="dxa"/>
          </w:tcPr>
          <w:p w:rsidR="00743855" w:rsidRDefault="009223E1" w:rsidP="00F05F05">
            <w:pPr>
              <w:pStyle w:val="IPPARA"/>
              <w:numPr>
                <w:ilvl w:val="0"/>
                <w:numId w:val="0"/>
              </w:numPr>
              <w:suppressAutoHyphens/>
              <w:spacing w:after="0"/>
              <w:jc w:val="left"/>
              <w:rPr>
                <w:szCs w:val="24"/>
              </w:rPr>
            </w:pPr>
            <w:r>
              <w:rPr>
                <w:b/>
                <w:i/>
                <w:szCs w:val="24"/>
              </w:rPr>
              <w:t>Completed</w:t>
            </w:r>
            <w:r w:rsidR="00DF4B7B">
              <w:rPr>
                <w:b/>
                <w:i/>
                <w:szCs w:val="24"/>
              </w:rPr>
              <w:t xml:space="preserve"> during this reporting period.</w:t>
            </w:r>
            <w:r w:rsidR="00743855" w:rsidRPr="004C08E0">
              <w:rPr>
                <w:szCs w:val="24"/>
              </w:rPr>
              <w:t xml:space="preserve"> </w:t>
            </w:r>
            <w:r w:rsidR="00F05F05">
              <w:rPr>
                <w:szCs w:val="24"/>
              </w:rPr>
              <w:t xml:space="preserve">Training of grievance redress officers in all relevant </w:t>
            </w:r>
            <w:proofErr w:type="spellStart"/>
            <w:r w:rsidR="00F05F05" w:rsidRPr="00F05F05">
              <w:rPr>
                <w:i/>
                <w:szCs w:val="24"/>
              </w:rPr>
              <w:t>woredas</w:t>
            </w:r>
            <w:proofErr w:type="spellEnd"/>
            <w:r w:rsidR="00F05F05">
              <w:rPr>
                <w:szCs w:val="24"/>
              </w:rPr>
              <w:t xml:space="preserve"> has been completed</w:t>
            </w:r>
            <w:r w:rsidR="000F169C">
              <w:rPr>
                <w:szCs w:val="24"/>
              </w:rPr>
              <w:t>,</w:t>
            </w:r>
            <w:r w:rsidR="00F05F05">
              <w:rPr>
                <w:szCs w:val="24"/>
              </w:rPr>
              <w:t xml:space="preserve"> with </w:t>
            </w:r>
            <w:r w:rsidR="002F20B0">
              <w:rPr>
                <w:szCs w:val="24"/>
              </w:rPr>
              <w:t xml:space="preserve">1,099 </w:t>
            </w:r>
            <w:r w:rsidR="00F05F05">
              <w:rPr>
                <w:szCs w:val="24"/>
              </w:rPr>
              <w:t>additional</w:t>
            </w:r>
            <w:r w:rsidR="00961D66">
              <w:rPr>
                <w:szCs w:val="24"/>
              </w:rPr>
              <w:t xml:space="preserve"> </w:t>
            </w:r>
            <w:r w:rsidR="002F20B0">
              <w:rPr>
                <w:szCs w:val="24"/>
              </w:rPr>
              <w:t xml:space="preserve">GRM officers trained (264 </w:t>
            </w:r>
            <w:r w:rsidR="00F05F05">
              <w:rPr>
                <w:szCs w:val="24"/>
              </w:rPr>
              <w:t xml:space="preserve">officers </w:t>
            </w:r>
            <w:r w:rsidR="002F20B0">
              <w:rPr>
                <w:szCs w:val="24"/>
              </w:rPr>
              <w:t>f</w:t>
            </w:r>
            <w:r w:rsidR="00F05F05">
              <w:rPr>
                <w:szCs w:val="24"/>
              </w:rPr>
              <w:t>r</w:t>
            </w:r>
            <w:r w:rsidR="002F20B0">
              <w:rPr>
                <w:szCs w:val="24"/>
              </w:rPr>
              <w:t xml:space="preserve">om Amhara, </w:t>
            </w:r>
            <w:r w:rsidR="000F169C">
              <w:rPr>
                <w:szCs w:val="24"/>
              </w:rPr>
              <w:t xml:space="preserve">68 from Dire </w:t>
            </w:r>
            <w:proofErr w:type="spellStart"/>
            <w:r w:rsidR="000F169C">
              <w:rPr>
                <w:szCs w:val="24"/>
              </w:rPr>
              <w:t>Dawa</w:t>
            </w:r>
            <w:proofErr w:type="spellEnd"/>
            <w:r w:rsidR="000F169C">
              <w:rPr>
                <w:szCs w:val="24"/>
              </w:rPr>
              <w:t xml:space="preserve">, 64 from Harari, </w:t>
            </w:r>
            <w:r w:rsidR="002F20B0">
              <w:rPr>
                <w:szCs w:val="24"/>
              </w:rPr>
              <w:t xml:space="preserve">295 from Oromia, </w:t>
            </w:r>
            <w:r w:rsidR="000F169C">
              <w:rPr>
                <w:szCs w:val="24"/>
              </w:rPr>
              <w:t xml:space="preserve">94 from Somali, and </w:t>
            </w:r>
            <w:r w:rsidR="002F20B0">
              <w:rPr>
                <w:szCs w:val="24"/>
              </w:rPr>
              <w:t>314 from Tigray</w:t>
            </w:r>
            <w:r w:rsidR="00D47473">
              <w:rPr>
                <w:szCs w:val="24"/>
              </w:rPr>
              <w:t>)</w:t>
            </w:r>
            <w:r w:rsidR="00CA3E3A">
              <w:rPr>
                <w:szCs w:val="24"/>
              </w:rPr>
              <w:t>.</w:t>
            </w:r>
            <w:r w:rsidR="00B727E0" w:rsidRPr="004C08E0">
              <w:rPr>
                <w:szCs w:val="24"/>
              </w:rPr>
              <w:t xml:space="preserve"> </w:t>
            </w:r>
          </w:p>
          <w:p w:rsidR="00F77400" w:rsidRPr="004C08E0" w:rsidRDefault="00F77400" w:rsidP="00F05F05">
            <w:pPr>
              <w:pStyle w:val="IPPARA"/>
              <w:numPr>
                <w:ilvl w:val="0"/>
                <w:numId w:val="0"/>
              </w:numPr>
              <w:suppressAutoHyphens/>
              <w:spacing w:after="0"/>
              <w:jc w:val="left"/>
              <w:rPr>
                <w:bCs/>
                <w:spacing w:val="1"/>
                <w:szCs w:val="24"/>
              </w:rPr>
            </w:pPr>
          </w:p>
        </w:tc>
      </w:tr>
      <w:tr w:rsidR="003D109F" w:rsidRPr="004C08E0" w:rsidTr="00743855">
        <w:trPr>
          <w:cantSplit/>
        </w:trPr>
        <w:tc>
          <w:tcPr>
            <w:tcW w:w="9705" w:type="dxa"/>
            <w:gridSpan w:val="2"/>
            <w:shd w:val="clear" w:color="auto" w:fill="FFD966" w:themeFill="accent4" w:themeFillTint="99"/>
          </w:tcPr>
          <w:p w:rsidR="00743855" w:rsidRPr="004C08E0" w:rsidRDefault="00743855" w:rsidP="0010439D">
            <w:pPr>
              <w:pStyle w:val="IPPARA"/>
              <w:keepNext/>
              <w:numPr>
                <w:ilvl w:val="0"/>
                <w:numId w:val="0"/>
              </w:numPr>
              <w:suppressAutoHyphens/>
              <w:spacing w:after="0"/>
              <w:jc w:val="left"/>
              <w:rPr>
                <w:b/>
                <w:bCs/>
                <w:i/>
                <w:spacing w:val="1"/>
                <w:szCs w:val="24"/>
              </w:rPr>
            </w:pPr>
            <w:r w:rsidRPr="004C08E0">
              <w:rPr>
                <w:b/>
                <w:bCs/>
                <w:spacing w:val="1"/>
                <w:szCs w:val="24"/>
              </w:rPr>
              <w:t xml:space="preserve">Improve Agriculture and Livelihoods in </w:t>
            </w:r>
            <w:proofErr w:type="spellStart"/>
            <w:r w:rsidRPr="004C08E0">
              <w:rPr>
                <w:b/>
                <w:bCs/>
                <w:spacing w:val="1"/>
                <w:szCs w:val="24"/>
              </w:rPr>
              <w:t>Gambella</w:t>
            </w:r>
            <w:proofErr w:type="spellEnd"/>
          </w:p>
        </w:tc>
      </w:tr>
      <w:tr w:rsidR="003D109F" w:rsidRPr="004C08E0" w:rsidTr="00C86BD4">
        <w:trPr>
          <w:cantSplit/>
        </w:trPr>
        <w:tc>
          <w:tcPr>
            <w:tcW w:w="4665" w:type="dxa"/>
          </w:tcPr>
          <w:p w:rsidR="00743855" w:rsidRPr="004C08E0" w:rsidRDefault="00743855" w:rsidP="00C86BD4">
            <w:pPr>
              <w:spacing w:after="0" w:line="240" w:lineRule="auto"/>
              <w:rPr>
                <w:rFonts w:ascii="Times New Roman" w:hAnsi="Times New Roman" w:cs="Times New Roman"/>
                <w:sz w:val="24"/>
                <w:szCs w:val="24"/>
              </w:rPr>
            </w:pPr>
            <w:r w:rsidRPr="004C08E0">
              <w:rPr>
                <w:rFonts w:ascii="Times New Roman" w:hAnsi="Times New Roman" w:cs="Times New Roman"/>
                <w:b/>
                <w:bCs/>
                <w:spacing w:val="1"/>
                <w:sz w:val="24"/>
                <w:szCs w:val="24"/>
              </w:rPr>
              <w:t xml:space="preserve">Action #9 </w:t>
            </w:r>
            <w:r w:rsidRPr="004C08E0">
              <w:rPr>
                <w:rFonts w:ascii="Times New Roman" w:eastAsia="MS Mincho" w:hAnsi="Times New Roman" w:cs="Times New Roman"/>
                <w:sz w:val="24"/>
                <w:szCs w:val="24"/>
              </w:rPr>
              <w:t xml:space="preserve">Explore to what extent the Government of Ethiopia would be interested in Bank support to address the challenges of agriculture and livelihoods in </w:t>
            </w:r>
            <w:proofErr w:type="spellStart"/>
            <w:r w:rsidRPr="004C08E0">
              <w:rPr>
                <w:rFonts w:ascii="Times New Roman" w:eastAsia="MS Mincho" w:hAnsi="Times New Roman" w:cs="Times New Roman"/>
                <w:sz w:val="24"/>
                <w:szCs w:val="24"/>
              </w:rPr>
              <w:t>Gambella</w:t>
            </w:r>
            <w:proofErr w:type="spellEnd"/>
            <w:r w:rsidRPr="004C08E0">
              <w:rPr>
                <w:rFonts w:ascii="Times New Roman" w:eastAsia="MS Mincho" w:hAnsi="Times New Roman" w:cs="Times New Roman"/>
                <w:sz w:val="24"/>
                <w:szCs w:val="24"/>
              </w:rPr>
              <w:t xml:space="preserve">, and other Developing Regional States of Ethiopia. Such support could be provided both through existing projects, such as the Pastoral Communities Development </w:t>
            </w:r>
            <w:r w:rsidR="00246852">
              <w:rPr>
                <w:rFonts w:ascii="Times New Roman" w:eastAsia="MS Mincho" w:hAnsi="Times New Roman" w:cs="Times New Roman"/>
                <w:sz w:val="24"/>
                <w:szCs w:val="24"/>
              </w:rPr>
              <w:t>p</w:t>
            </w:r>
            <w:r w:rsidRPr="004C08E0">
              <w:rPr>
                <w:rFonts w:ascii="Times New Roman" w:eastAsia="MS Mincho" w:hAnsi="Times New Roman" w:cs="Times New Roman"/>
                <w:sz w:val="24"/>
                <w:szCs w:val="24"/>
              </w:rPr>
              <w:t>roject and the Second Agricultural Growth Program, and as necessary through a separate operation.</w:t>
            </w:r>
            <w:r w:rsidRPr="004C08E0">
              <w:rPr>
                <w:rFonts w:ascii="Times New Roman" w:hAnsi="Times New Roman" w:cs="Times New Roman"/>
                <w:bCs/>
                <w:spacing w:val="1"/>
                <w:sz w:val="24"/>
                <w:szCs w:val="24"/>
              </w:rPr>
              <w:t xml:space="preserve"> </w:t>
            </w:r>
          </w:p>
        </w:tc>
        <w:tc>
          <w:tcPr>
            <w:tcW w:w="5040" w:type="dxa"/>
          </w:tcPr>
          <w:p w:rsidR="00743855" w:rsidRDefault="00DF4B7B" w:rsidP="00CE6A97">
            <w:pPr>
              <w:spacing w:after="0" w:line="240" w:lineRule="auto"/>
              <w:rPr>
                <w:rFonts w:ascii="Times New Roman" w:eastAsia="MS Mincho" w:hAnsi="Times New Roman" w:cs="Times New Roman"/>
                <w:sz w:val="24"/>
                <w:szCs w:val="24"/>
              </w:rPr>
            </w:pPr>
            <w:r w:rsidRPr="0053635D">
              <w:rPr>
                <w:rFonts w:ascii="Times New Roman" w:hAnsi="Times New Roman" w:cs="Times New Roman"/>
                <w:b/>
                <w:bCs/>
                <w:i/>
                <w:spacing w:val="1"/>
                <w:sz w:val="24"/>
                <w:szCs w:val="24"/>
              </w:rPr>
              <w:t>Completed before current reporting period</w:t>
            </w:r>
            <w:r w:rsidR="00743855" w:rsidRPr="0053635D">
              <w:rPr>
                <w:rFonts w:ascii="Times New Roman" w:eastAsia="MS Mincho" w:hAnsi="Times New Roman" w:cs="Times New Roman"/>
                <w:sz w:val="24"/>
                <w:szCs w:val="24"/>
              </w:rPr>
              <w:t xml:space="preserve">. </w:t>
            </w:r>
            <w:r w:rsidR="00743855" w:rsidRPr="004C08E0">
              <w:rPr>
                <w:rFonts w:ascii="Times New Roman" w:eastAsia="MS Mincho" w:hAnsi="Times New Roman" w:cs="Times New Roman"/>
                <w:sz w:val="24"/>
                <w:szCs w:val="24"/>
              </w:rPr>
              <w:t xml:space="preserve">With the Board approval on March 31, 2015, of the Second Agricultural Growth </w:t>
            </w:r>
            <w:r w:rsidR="000F169C">
              <w:rPr>
                <w:rFonts w:ascii="Times New Roman" w:eastAsia="MS Mincho" w:hAnsi="Times New Roman" w:cs="Times New Roman"/>
                <w:sz w:val="24"/>
                <w:szCs w:val="24"/>
              </w:rPr>
              <w:t>p</w:t>
            </w:r>
            <w:r w:rsidR="00743855" w:rsidRPr="004C08E0">
              <w:rPr>
                <w:rFonts w:ascii="Times New Roman" w:eastAsia="MS Mincho" w:hAnsi="Times New Roman" w:cs="Times New Roman"/>
                <w:sz w:val="24"/>
                <w:szCs w:val="24"/>
              </w:rPr>
              <w:t xml:space="preserve">roject, which was expanded to include </w:t>
            </w:r>
            <w:proofErr w:type="spellStart"/>
            <w:r w:rsidR="00743855" w:rsidRPr="004C08E0">
              <w:rPr>
                <w:rFonts w:ascii="Times New Roman" w:eastAsia="MS Mincho" w:hAnsi="Times New Roman" w:cs="Times New Roman"/>
                <w:sz w:val="24"/>
                <w:szCs w:val="24"/>
              </w:rPr>
              <w:t>Gambella</w:t>
            </w:r>
            <w:proofErr w:type="spellEnd"/>
            <w:r w:rsidR="00743855" w:rsidRPr="004C08E0">
              <w:rPr>
                <w:rFonts w:ascii="Times New Roman" w:eastAsia="MS Mincho" w:hAnsi="Times New Roman" w:cs="Times New Roman"/>
                <w:sz w:val="24"/>
                <w:szCs w:val="24"/>
              </w:rPr>
              <w:t xml:space="preserve">, the commitment to support smallholder agriculture in </w:t>
            </w:r>
            <w:proofErr w:type="spellStart"/>
            <w:r w:rsidR="00743855" w:rsidRPr="004C08E0">
              <w:rPr>
                <w:rFonts w:ascii="Times New Roman" w:eastAsia="MS Mincho" w:hAnsi="Times New Roman" w:cs="Times New Roman"/>
                <w:sz w:val="24"/>
                <w:szCs w:val="24"/>
              </w:rPr>
              <w:t>Gambella</w:t>
            </w:r>
            <w:proofErr w:type="spellEnd"/>
            <w:r w:rsidR="00743855" w:rsidRPr="004C08E0">
              <w:rPr>
                <w:rFonts w:ascii="Times New Roman" w:eastAsia="MS Mincho" w:hAnsi="Times New Roman" w:cs="Times New Roman"/>
                <w:sz w:val="24"/>
                <w:szCs w:val="24"/>
              </w:rPr>
              <w:t xml:space="preserve"> has been met. With regards to livelihoods, </w:t>
            </w:r>
            <w:proofErr w:type="spellStart"/>
            <w:r w:rsidR="00743855" w:rsidRPr="004C08E0">
              <w:rPr>
                <w:rFonts w:ascii="Times New Roman" w:eastAsia="MS Mincho" w:hAnsi="Times New Roman" w:cs="Times New Roman"/>
                <w:sz w:val="24"/>
                <w:szCs w:val="24"/>
              </w:rPr>
              <w:t>Gambella</w:t>
            </w:r>
            <w:proofErr w:type="spellEnd"/>
            <w:r w:rsidR="00743855" w:rsidRPr="004C08E0">
              <w:rPr>
                <w:rFonts w:ascii="Times New Roman" w:eastAsia="MS Mincho" w:hAnsi="Times New Roman" w:cs="Times New Roman"/>
                <w:sz w:val="24"/>
                <w:szCs w:val="24"/>
              </w:rPr>
              <w:t xml:space="preserve"> is now included in the Ethiopia component of the regional Development Responses to Displacement Impact in the Horn of Africa project, approved by the Board on May 31, 2016</w:t>
            </w:r>
            <w:r w:rsidR="00B64E01" w:rsidRPr="004C08E0">
              <w:rPr>
                <w:rFonts w:ascii="Times New Roman" w:eastAsia="MS Mincho" w:hAnsi="Times New Roman" w:cs="Times New Roman"/>
                <w:sz w:val="24"/>
                <w:szCs w:val="24"/>
              </w:rPr>
              <w:t xml:space="preserve">; this project will support livelihoods and community driven development in </w:t>
            </w:r>
            <w:proofErr w:type="spellStart"/>
            <w:r w:rsidR="00B64E01" w:rsidRPr="004C08E0">
              <w:rPr>
                <w:rFonts w:ascii="Times New Roman" w:eastAsia="MS Mincho" w:hAnsi="Times New Roman" w:cs="Times New Roman"/>
                <w:sz w:val="24"/>
                <w:szCs w:val="24"/>
              </w:rPr>
              <w:t>Gambella</w:t>
            </w:r>
            <w:proofErr w:type="spellEnd"/>
            <w:r w:rsidR="00B64E01" w:rsidRPr="004C08E0">
              <w:rPr>
                <w:rFonts w:ascii="Times New Roman" w:eastAsia="MS Mincho" w:hAnsi="Times New Roman" w:cs="Times New Roman"/>
                <w:sz w:val="24"/>
                <w:szCs w:val="24"/>
              </w:rPr>
              <w:t>, among other areas, subject to passing the requisite screening process for interface with the CDP</w:t>
            </w:r>
            <w:r w:rsidR="00743855" w:rsidRPr="004C08E0">
              <w:rPr>
                <w:rFonts w:ascii="Times New Roman" w:eastAsia="MS Mincho" w:hAnsi="Times New Roman" w:cs="Times New Roman"/>
                <w:sz w:val="24"/>
                <w:szCs w:val="24"/>
              </w:rPr>
              <w:t xml:space="preserve">. </w:t>
            </w:r>
          </w:p>
          <w:p w:rsidR="00054C6E" w:rsidRPr="004C08E0" w:rsidRDefault="00054C6E" w:rsidP="00CE6A97">
            <w:pPr>
              <w:spacing w:after="0" w:line="240" w:lineRule="auto"/>
              <w:rPr>
                <w:rFonts w:ascii="Times New Roman" w:eastAsia="MS Mincho" w:hAnsi="Times New Roman" w:cs="Times New Roman"/>
                <w:sz w:val="24"/>
                <w:szCs w:val="24"/>
              </w:rPr>
            </w:pPr>
          </w:p>
        </w:tc>
      </w:tr>
      <w:tr w:rsidR="003D109F" w:rsidRPr="004C08E0" w:rsidTr="00743855">
        <w:trPr>
          <w:cantSplit/>
        </w:trPr>
        <w:tc>
          <w:tcPr>
            <w:tcW w:w="9705" w:type="dxa"/>
            <w:gridSpan w:val="2"/>
            <w:shd w:val="clear" w:color="auto" w:fill="FFD966" w:themeFill="accent4" w:themeFillTint="99"/>
          </w:tcPr>
          <w:p w:rsidR="00743855" w:rsidRPr="004C08E0" w:rsidRDefault="00743855" w:rsidP="00C86BD4">
            <w:pPr>
              <w:pStyle w:val="IPPARA"/>
              <w:keepLines/>
              <w:numPr>
                <w:ilvl w:val="0"/>
                <w:numId w:val="0"/>
              </w:numPr>
              <w:suppressAutoHyphens/>
              <w:spacing w:after="0"/>
              <w:jc w:val="left"/>
              <w:rPr>
                <w:b/>
                <w:bCs/>
                <w:i/>
                <w:spacing w:val="1"/>
                <w:szCs w:val="24"/>
              </w:rPr>
            </w:pPr>
            <w:r w:rsidRPr="004C08E0">
              <w:rPr>
                <w:rFonts w:eastAsiaTheme="minorHAnsi"/>
                <w:b/>
                <w:bCs/>
                <w:spacing w:val="1"/>
                <w:szCs w:val="24"/>
              </w:rPr>
              <w:t>Reducing Systemic Risks relating to Financial</w:t>
            </w:r>
            <w:r w:rsidRPr="004C08E0">
              <w:rPr>
                <w:szCs w:val="24"/>
              </w:rPr>
              <w:t xml:space="preserve"> </w:t>
            </w:r>
            <w:r w:rsidRPr="004C08E0">
              <w:rPr>
                <w:rFonts w:eastAsiaTheme="minorHAnsi"/>
                <w:b/>
                <w:bCs/>
                <w:spacing w:val="1"/>
                <w:szCs w:val="24"/>
              </w:rPr>
              <w:t>Management</w:t>
            </w:r>
          </w:p>
        </w:tc>
      </w:tr>
      <w:tr w:rsidR="003D109F" w:rsidRPr="004C08E0" w:rsidTr="00C86BD4">
        <w:trPr>
          <w:cantSplit/>
        </w:trPr>
        <w:tc>
          <w:tcPr>
            <w:tcW w:w="4665" w:type="dxa"/>
          </w:tcPr>
          <w:p w:rsidR="00743855" w:rsidRPr="004C08E0" w:rsidRDefault="00743855" w:rsidP="00C86BD4">
            <w:pPr>
              <w:pStyle w:val="IPPARA"/>
              <w:keepLines/>
              <w:numPr>
                <w:ilvl w:val="0"/>
                <w:numId w:val="0"/>
              </w:numPr>
              <w:spacing w:after="0"/>
              <w:jc w:val="left"/>
              <w:rPr>
                <w:szCs w:val="24"/>
              </w:rPr>
            </w:pPr>
            <w:r w:rsidRPr="004C08E0">
              <w:rPr>
                <w:rFonts w:eastAsiaTheme="minorHAnsi"/>
                <w:b/>
                <w:bCs/>
                <w:spacing w:val="1"/>
                <w:szCs w:val="24"/>
              </w:rPr>
              <w:t>Action #10</w:t>
            </w:r>
            <w:r w:rsidRPr="004C08E0">
              <w:rPr>
                <w:szCs w:val="24"/>
              </w:rPr>
              <w:t xml:space="preserve"> </w:t>
            </w:r>
            <w:r w:rsidRPr="004C08E0">
              <w:rPr>
                <w:iCs/>
                <w:szCs w:val="24"/>
              </w:rPr>
              <w:t>Financial s</w:t>
            </w:r>
            <w:r w:rsidRPr="004C08E0">
              <w:rPr>
                <w:szCs w:val="24"/>
              </w:rPr>
              <w:t xml:space="preserve">ystem strengthening programs specific to the PBS will continue, including completing the roll-out of the </w:t>
            </w:r>
            <w:r w:rsidR="005B53B6" w:rsidRPr="004C08E0">
              <w:rPr>
                <w:szCs w:val="24"/>
              </w:rPr>
              <w:t>Integrated Budget and Expenditure (</w:t>
            </w:r>
            <w:r w:rsidRPr="004C08E0">
              <w:rPr>
                <w:szCs w:val="24"/>
              </w:rPr>
              <w:t>IBEX</w:t>
            </w:r>
            <w:r w:rsidR="005B53B6" w:rsidRPr="004C08E0">
              <w:rPr>
                <w:szCs w:val="24"/>
              </w:rPr>
              <w:t>)</w:t>
            </w:r>
            <w:r w:rsidRPr="004C08E0">
              <w:rPr>
                <w:szCs w:val="24"/>
              </w:rPr>
              <w:t xml:space="preserve"> management system to all </w:t>
            </w:r>
            <w:proofErr w:type="spellStart"/>
            <w:r w:rsidRPr="004C08E0">
              <w:rPr>
                <w:i/>
                <w:szCs w:val="24"/>
              </w:rPr>
              <w:t>woredas</w:t>
            </w:r>
            <w:proofErr w:type="spellEnd"/>
            <w:r w:rsidRPr="004C08E0">
              <w:rPr>
                <w:szCs w:val="24"/>
              </w:rPr>
              <w:t>.</w:t>
            </w:r>
          </w:p>
        </w:tc>
        <w:tc>
          <w:tcPr>
            <w:tcW w:w="5040" w:type="dxa"/>
          </w:tcPr>
          <w:p w:rsidR="00743855" w:rsidRDefault="00DF4B7B" w:rsidP="005B7636">
            <w:pPr>
              <w:pStyle w:val="IPPARA"/>
              <w:keepLines/>
              <w:numPr>
                <w:ilvl w:val="0"/>
                <w:numId w:val="0"/>
              </w:numPr>
              <w:suppressAutoHyphens/>
              <w:spacing w:after="0"/>
              <w:jc w:val="left"/>
              <w:rPr>
                <w:szCs w:val="24"/>
              </w:rPr>
            </w:pPr>
            <w:r w:rsidRPr="004C08E0">
              <w:rPr>
                <w:b/>
                <w:bCs/>
                <w:i/>
                <w:spacing w:val="1"/>
                <w:szCs w:val="24"/>
              </w:rPr>
              <w:t xml:space="preserve">Completed </w:t>
            </w:r>
            <w:r>
              <w:rPr>
                <w:b/>
                <w:bCs/>
                <w:i/>
                <w:spacing w:val="1"/>
                <w:szCs w:val="24"/>
              </w:rPr>
              <w:t>before</w:t>
            </w:r>
            <w:r w:rsidRPr="004C08E0">
              <w:rPr>
                <w:b/>
                <w:bCs/>
                <w:i/>
                <w:spacing w:val="1"/>
                <w:szCs w:val="24"/>
              </w:rPr>
              <w:t xml:space="preserve"> current reporting period</w:t>
            </w:r>
            <w:r w:rsidR="00743855" w:rsidRPr="004C08E0">
              <w:rPr>
                <w:b/>
                <w:bCs/>
                <w:i/>
                <w:spacing w:val="1"/>
                <w:szCs w:val="24"/>
              </w:rPr>
              <w:t>.</w:t>
            </w:r>
            <w:r w:rsidR="00743855" w:rsidRPr="004C08E0">
              <w:rPr>
                <w:bCs/>
                <w:spacing w:val="1"/>
                <w:szCs w:val="24"/>
              </w:rPr>
              <w:t xml:space="preserve"> </w:t>
            </w:r>
            <w:r w:rsidR="00743855" w:rsidRPr="004C08E0">
              <w:rPr>
                <w:szCs w:val="24"/>
              </w:rPr>
              <w:t xml:space="preserve">The PBS </w:t>
            </w:r>
            <w:r w:rsidR="00246852">
              <w:rPr>
                <w:szCs w:val="24"/>
              </w:rPr>
              <w:t>P</w:t>
            </w:r>
            <w:r w:rsidR="00743855" w:rsidRPr="004C08E0">
              <w:rPr>
                <w:szCs w:val="24"/>
              </w:rPr>
              <w:t xml:space="preserve">roject continues to support specific </w:t>
            </w:r>
            <w:r w:rsidR="00E44A7D">
              <w:rPr>
                <w:szCs w:val="24"/>
              </w:rPr>
              <w:t xml:space="preserve">public financial management (PFM) </w:t>
            </w:r>
            <w:r w:rsidR="00743855" w:rsidRPr="004C08E0">
              <w:rPr>
                <w:szCs w:val="24"/>
              </w:rPr>
              <w:t xml:space="preserve">interventions that are </w:t>
            </w:r>
            <w:proofErr w:type="spellStart"/>
            <w:r w:rsidR="00743855" w:rsidRPr="004C08E0">
              <w:rPr>
                <w:i/>
                <w:szCs w:val="24"/>
              </w:rPr>
              <w:t>woreda</w:t>
            </w:r>
            <w:proofErr w:type="spellEnd"/>
            <w:r w:rsidR="00743855" w:rsidRPr="004C08E0">
              <w:rPr>
                <w:szCs w:val="24"/>
              </w:rPr>
              <w:t>-focused</w:t>
            </w:r>
            <w:r w:rsidR="00B64E01" w:rsidRPr="004C08E0">
              <w:rPr>
                <w:szCs w:val="24"/>
              </w:rPr>
              <w:t>, with the support of approximately US$20 million towards improved PFM in all districts and regions;</w:t>
            </w:r>
            <w:r w:rsidR="00743855" w:rsidRPr="004C08E0">
              <w:rPr>
                <w:szCs w:val="24"/>
              </w:rPr>
              <w:t xml:space="preserve"> </w:t>
            </w:r>
            <w:r w:rsidR="00B64E01" w:rsidRPr="004C08E0">
              <w:rPr>
                <w:szCs w:val="24"/>
              </w:rPr>
              <w:t xml:space="preserve">this </w:t>
            </w:r>
            <w:r w:rsidR="00743855" w:rsidRPr="004C08E0">
              <w:rPr>
                <w:szCs w:val="24"/>
              </w:rPr>
              <w:t>include</w:t>
            </w:r>
            <w:r w:rsidR="00B64E01" w:rsidRPr="004C08E0">
              <w:rPr>
                <w:szCs w:val="24"/>
              </w:rPr>
              <w:t>s</w:t>
            </w:r>
            <w:r w:rsidR="00743855" w:rsidRPr="004C08E0">
              <w:rPr>
                <w:szCs w:val="24"/>
              </w:rPr>
              <w:t xml:space="preserve"> completing the roll-out of IBEX. Progress was reviewed </w:t>
            </w:r>
            <w:r w:rsidR="005B7636" w:rsidRPr="004C08E0">
              <w:rPr>
                <w:szCs w:val="24"/>
              </w:rPr>
              <w:t>in</w:t>
            </w:r>
            <w:r w:rsidR="00743855" w:rsidRPr="004C08E0">
              <w:rPr>
                <w:szCs w:val="24"/>
              </w:rPr>
              <w:t xml:space="preserve"> December 2016 and it was found </w:t>
            </w:r>
            <w:r w:rsidR="00BE7378" w:rsidRPr="004C08E0">
              <w:rPr>
                <w:szCs w:val="24"/>
              </w:rPr>
              <w:t xml:space="preserve">that </w:t>
            </w:r>
            <w:r w:rsidR="00743855" w:rsidRPr="004C08E0">
              <w:rPr>
                <w:szCs w:val="24"/>
              </w:rPr>
              <w:t xml:space="preserve">all </w:t>
            </w:r>
            <w:proofErr w:type="spellStart"/>
            <w:r w:rsidR="00743855" w:rsidRPr="004C08E0">
              <w:rPr>
                <w:i/>
                <w:szCs w:val="24"/>
              </w:rPr>
              <w:t>woredas</w:t>
            </w:r>
            <w:proofErr w:type="spellEnd"/>
            <w:r w:rsidR="00743855" w:rsidRPr="004C08E0">
              <w:rPr>
                <w:szCs w:val="24"/>
              </w:rPr>
              <w:t xml:space="preserve"> use IBEX or the next generation integrated financial management system.</w:t>
            </w:r>
          </w:p>
          <w:p w:rsidR="00054C6E" w:rsidRPr="004C08E0" w:rsidRDefault="00054C6E" w:rsidP="005B7636">
            <w:pPr>
              <w:pStyle w:val="IPPARA"/>
              <w:keepLines/>
              <w:numPr>
                <w:ilvl w:val="0"/>
                <w:numId w:val="0"/>
              </w:numPr>
              <w:suppressAutoHyphens/>
              <w:spacing w:after="0"/>
              <w:jc w:val="left"/>
              <w:rPr>
                <w:bCs/>
                <w:spacing w:val="1"/>
                <w:szCs w:val="24"/>
              </w:rPr>
            </w:pPr>
          </w:p>
        </w:tc>
      </w:tr>
      <w:tr w:rsidR="003D109F" w:rsidRPr="004C08E0" w:rsidTr="00C86BD4">
        <w:trPr>
          <w:cantSplit/>
        </w:trPr>
        <w:tc>
          <w:tcPr>
            <w:tcW w:w="4665" w:type="dxa"/>
          </w:tcPr>
          <w:p w:rsidR="00195996" w:rsidRPr="004C08E0" w:rsidRDefault="00195996" w:rsidP="00195996">
            <w:pPr>
              <w:pStyle w:val="IPPARA"/>
              <w:keepLines/>
              <w:numPr>
                <w:ilvl w:val="0"/>
                <w:numId w:val="0"/>
              </w:numPr>
              <w:spacing w:after="0"/>
              <w:jc w:val="left"/>
              <w:rPr>
                <w:rFonts w:eastAsiaTheme="minorHAnsi"/>
                <w:b/>
                <w:bCs/>
                <w:spacing w:val="1"/>
                <w:szCs w:val="24"/>
              </w:rPr>
            </w:pPr>
            <w:r w:rsidRPr="004C08E0">
              <w:rPr>
                <w:rFonts w:eastAsiaTheme="minorHAnsi"/>
                <w:b/>
                <w:bCs/>
                <w:spacing w:val="1"/>
                <w:szCs w:val="24"/>
              </w:rPr>
              <w:t xml:space="preserve">Action #11 </w:t>
            </w:r>
            <w:r w:rsidRPr="004C08E0">
              <w:rPr>
                <w:szCs w:val="24"/>
              </w:rPr>
              <w:t>Support for system strengthening will be supplemented through a stand-alone Public Financial Management project.</w:t>
            </w:r>
          </w:p>
        </w:tc>
        <w:tc>
          <w:tcPr>
            <w:tcW w:w="5040" w:type="dxa"/>
          </w:tcPr>
          <w:p w:rsidR="00195996" w:rsidRPr="004C08E0" w:rsidRDefault="00DF4B7B" w:rsidP="00195996">
            <w:pPr>
              <w:pStyle w:val="IPPARA"/>
              <w:keepLines/>
              <w:numPr>
                <w:ilvl w:val="0"/>
                <w:numId w:val="0"/>
              </w:numPr>
              <w:suppressAutoHyphens/>
              <w:spacing w:after="0"/>
              <w:jc w:val="left"/>
              <w:rPr>
                <w:b/>
                <w:bCs/>
                <w:i/>
                <w:spacing w:val="1"/>
                <w:szCs w:val="24"/>
              </w:rPr>
            </w:pPr>
            <w:r w:rsidRPr="004C08E0">
              <w:rPr>
                <w:b/>
                <w:bCs/>
                <w:i/>
                <w:spacing w:val="1"/>
                <w:szCs w:val="24"/>
              </w:rPr>
              <w:t xml:space="preserve">Completed </w:t>
            </w:r>
            <w:r>
              <w:rPr>
                <w:b/>
                <w:bCs/>
                <w:i/>
                <w:spacing w:val="1"/>
                <w:szCs w:val="24"/>
              </w:rPr>
              <w:t>before</w:t>
            </w:r>
            <w:r w:rsidRPr="004C08E0">
              <w:rPr>
                <w:b/>
                <w:bCs/>
                <w:i/>
                <w:spacing w:val="1"/>
                <w:szCs w:val="24"/>
              </w:rPr>
              <w:t xml:space="preserve"> current reporting period</w:t>
            </w:r>
            <w:r w:rsidR="00195996" w:rsidRPr="004C08E0">
              <w:rPr>
                <w:bCs/>
                <w:spacing w:val="1"/>
                <w:szCs w:val="24"/>
              </w:rPr>
              <w:t xml:space="preserve">. After a </w:t>
            </w:r>
            <w:r w:rsidR="00C1061C" w:rsidRPr="004C08E0">
              <w:rPr>
                <w:bCs/>
                <w:spacing w:val="1"/>
                <w:szCs w:val="24"/>
              </w:rPr>
              <w:t>delay,</w:t>
            </w:r>
            <w:r w:rsidR="00195996" w:rsidRPr="004C08E0">
              <w:rPr>
                <w:bCs/>
                <w:spacing w:val="1"/>
                <w:szCs w:val="24"/>
              </w:rPr>
              <w:t xml:space="preserve"> due to national elections and subsequent </w:t>
            </w:r>
            <w:r w:rsidR="00377FC8">
              <w:rPr>
                <w:bCs/>
                <w:spacing w:val="1"/>
                <w:szCs w:val="24"/>
              </w:rPr>
              <w:t>g</w:t>
            </w:r>
            <w:r w:rsidR="00195996" w:rsidRPr="004C08E0">
              <w:rPr>
                <w:bCs/>
                <w:spacing w:val="1"/>
                <w:szCs w:val="24"/>
              </w:rPr>
              <w:t xml:space="preserve">overnment formation, the </w:t>
            </w:r>
            <w:r w:rsidR="00B64E01" w:rsidRPr="004C08E0">
              <w:rPr>
                <w:szCs w:val="24"/>
              </w:rPr>
              <w:t xml:space="preserve">Ethiopia Public Financial Management </w:t>
            </w:r>
            <w:r w:rsidR="00246852">
              <w:rPr>
                <w:szCs w:val="24"/>
              </w:rPr>
              <w:t>p</w:t>
            </w:r>
            <w:r w:rsidR="00B64E01" w:rsidRPr="004C08E0">
              <w:rPr>
                <w:szCs w:val="24"/>
              </w:rPr>
              <w:t xml:space="preserve">roject </w:t>
            </w:r>
            <w:r w:rsidR="00F86DD4" w:rsidRPr="004C08E0">
              <w:rPr>
                <w:bCs/>
                <w:spacing w:val="1"/>
                <w:szCs w:val="24"/>
              </w:rPr>
              <w:t xml:space="preserve">was </w:t>
            </w:r>
            <w:r w:rsidR="00195996" w:rsidRPr="004C08E0">
              <w:rPr>
                <w:bCs/>
                <w:spacing w:val="1"/>
                <w:szCs w:val="24"/>
              </w:rPr>
              <w:t>submitted and approved by the Board on February 25, 2016.</w:t>
            </w:r>
            <w:r w:rsidR="00054C6E">
              <w:rPr>
                <w:bCs/>
                <w:spacing w:val="1"/>
                <w:szCs w:val="24"/>
              </w:rPr>
              <w:br/>
            </w:r>
          </w:p>
        </w:tc>
      </w:tr>
      <w:tr w:rsidR="003D109F" w:rsidRPr="004C08E0" w:rsidTr="00C86BD4">
        <w:trPr>
          <w:cantSplit/>
        </w:trPr>
        <w:tc>
          <w:tcPr>
            <w:tcW w:w="4665" w:type="dxa"/>
          </w:tcPr>
          <w:p w:rsidR="00195996" w:rsidRPr="004C08E0" w:rsidRDefault="00195996" w:rsidP="00195996">
            <w:pPr>
              <w:pStyle w:val="IPPARA"/>
              <w:keepLines/>
              <w:numPr>
                <w:ilvl w:val="0"/>
                <w:numId w:val="0"/>
              </w:numPr>
              <w:spacing w:after="0"/>
              <w:jc w:val="left"/>
              <w:rPr>
                <w:rFonts w:eastAsiaTheme="minorHAnsi"/>
                <w:b/>
                <w:bCs/>
                <w:spacing w:val="1"/>
                <w:szCs w:val="24"/>
              </w:rPr>
            </w:pPr>
            <w:r w:rsidRPr="004C08E0">
              <w:rPr>
                <w:rFonts w:eastAsiaTheme="minorHAnsi"/>
                <w:b/>
                <w:bCs/>
                <w:spacing w:val="1"/>
                <w:szCs w:val="24"/>
              </w:rPr>
              <w:t xml:space="preserve">Action #12 </w:t>
            </w:r>
            <w:r w:rsidRPr="004C08E0">
              <w:rPr>
                <w:szCs w:val="24"/>
              </w:rPr>
              <w:t>An action plan will be prepared by the</w:t>
            </w:r>
            <w:r w:rsidR="00F86DD4" w:rsidRPr="004C08E0">
              <w:rPr>
                <w:szCs w:val="24"/>
              </w:rPr>
              <w:t xml:space="preserve"> Office of the Federal Auditor General (</w:t>
            </w:r>
            <w:r w:rsidRPr="004C08E0">
              <w:rPr>
                <w:szCs w:val="24"/>
              </w:rPr>
              <w:t>OFAG</w:t>
            </w:r>
            <w:r w:rsidR="00F86DD4" w:rsidRPr="004C08E0">
              <w:rPr>
                <w:szCs w:val="24"/>
              </w:rPr>
              <w:t>)</w:t>
            </w:r>
            <w:r w:rsidRPr="004C08E0">
              <w:rPr>
                <w:szCs w:val="24"/>
              </w:rPr>
              <w:t xml:space="preserve"> to strengthen the effectiveness of all regional audit offices.</w:t>
            </w:r>
          </w:p>
        </w:tc>
        <w:tc>
          <w:tcPr>
            <w:tcW w:w="5040" w:type="dxa"/>
          </w:tcPr>
          <w:p w:rsidR="00195996" w:rsidRDefault="00DF4B7B" w:rsidP="00195996">
            <w:pPr>
              <w:pStyle w:val="IPPARA"/>
              <w:keepLines/>
              <w:numPr>
                <w:ilvl w:val="0"/>
                <w:numId w:val="0"/>
              </w:numPr>
              <w:suppressAutoHyphens/>
              <w:spacing w:after="0"/>
              <w:jc w:val="left"/>
              <w:rPr>
                <w:szCs w:val="24"/>
              </w:rPr>
            </w:pPr>
            <w:r w:rsidRPr="004C08E0">
              <w:rPr>
                <w:b/>
                <w:bCs/>
                <w:i/>
                <w:spacing w:val="1"/>
                <w:szCs w:val="24"/>
              </w:rPr>
              <w:t xml:space="preserve">Completed </w:t>
            </w:r>
            <w:r>
              <w:rPr>
                <w:b/>
                <w:bCs/>
                <w:i/>
                <w:spacing w:val="1"/>
                <w:szCs w:val="24"/>
              </w:rPr>
              <w:t>before</w:t>
            </w:r>
            <w:r w:rsidRPr="004C08E0">
              <w:rPr>
                <w:b/>
                <w:bCs/>
                <w:i/>
                <w:spacing w:val="1"/>
                <w:szCs w:val="24"/>
              </w:rPr>
              <w:t xml:space="preserve"> current reporting period</w:t>
            </w:r>
            <w:r w:rsidR="00195996" w:rsidRPr="004C08E0">
              <w:rPr>
                <w:b/>
                <w:bCs/>
                <w:i/>
                <w:spacing w:val="1"/>
                <w:szCs w:val="24"/>
              </w:rPr>
              <w:t>.</w:t>
            </w:r>
            <w:r w:rsidR="00195996" w:rsidRPr="004C08E0">
              <w:rPr>
                <w:bCs/>
                <w:spacing w:val="1"/>
                <w:szCs w:val="24"/>
              </w:rPr>
              <w:t xml:space="preserve"> </w:t>
            </w:r>
            <w:r w:rsidR="00195996" w:rsidRPr="004C08E0">
              <w:rPr>
                <w:szCs w:val="24"/>
              </w:rPr>
              <w:t xml:space="preserve">The action plan </w:t>
            </w:r>
            <w:r w:rsidR="00F86DD4" w:rsidRPr="004C08E0">
              <w:rPr>
                <w:szCs w:val="24"/>
              </w:rPr>
              <w:t xml:space="preserve">was </w:t>
            </w:r>
            <w:r w:rsidR="00195996" w:rsidRPr="004C08E0">
              <w:rPr>
                <w:szCs w:val="24"/>
              </w:rPr>
              <w:t xml:space="preserve">prepared </w:t>
            </w:r>
            <w:r w:rsidR="00F86DD4" w:rsidRPr="004C08E0">
              <w:rPr>
                <w:szCs w:val="24"/>
              </w:rPr>
              <w:t>in mid-</w:t>
            </w:r>
            <w:r w:rsidR="00195996" w:rsidRPr="004C08E0">
              <w:rPr>
                <w:szCs w:val="24"/>
              </w:rPr>
              <w:t>2016. While federal audit coverage has reached 98.5 percent</w:t>
            </w:r>
            <w:r w:rsidR="00D36B04">
              <w:rPr>
                <w:szCs w:val="24"/>
              </w:rPr>
              <w:t xml:space="preserve"> of </w:t>
            </w:r>
            <w:proofErr w:type="spellStart"/>
            <w:r w:rsidR="00D36B04">
              <w:rPr>
                <w:szCs w:val="24"/>
              </w:rPr>
              <w:t>woredas</w:t>
            </w:r>
            <w:proofErr w:type="spellEnd"/>
            <w:r w:rsidR="00195996" w:rsidRPr="004C08E0">
              <w:rPr>
                <w:szCs w:val="24"/>
              </w:rPr>
              <w:t xml:space="preserve">, there are regional variations. PBS 3 is supporting OFAG to improve regional coverage. </w:t>
            </w:r>
          </w:p>
          <w:p w:rsidR="00054C6E" w:rsidRPr="004C08E0" w:rsidRDefault="00054C6E" w:rsidP="00195996">
            <w:pPr>
              <w:pStyle w:val="IPPARA"/>
              <w:keepLines/>
              <w:numPr>
                <w:ilvl w:val="0"/>
                <w:numId w:val="0"/>
              </w:numPr>
              <w:suppressAutoHyphens/>
              <w:spacing w:after="0"/>
              <w:jc w:val="left"/>
              <w:rPr>
                <w:b/>
                <w:bCs/>
                <w:i/>
                <w:spacing w:val="1"/>
                <w:szCs w:val="24"/>
              </w:rPr>
            </w:pPr>
          </w:p>
        </w:tc>
      </w:tr>
      <w:tr w:rsidR="003D109F" w:rsidRPr="004C08E0" w:rsidTr="00C86BD4">
        <w:trPr>
          <w:cantSplit/>
        </w:trPr>
        <w:tc>
          <w:tcPr>
            <w:tcW w:w="4665" w:type="dxa"/>
          </w:tcPr>
          <w:p w:rsidR="00195996" w:rsidRPr="004C08E0" w:rsidRDefault="00195996" w:rsidP="00195996">
            <w:pPr>
              <w:pStyle w:val="IPPARA"/>
              <w:keepLines/>
              <w:numPr>
                <w:ilvl w:val="0"/>
                <w:numId w:val="0"/>
              </w:numPr>
              <w:spacing w:after="0"/>
              <w:jc w:val="left"/>
              <w:rPr>
                <w:rFonts w:eastAsiaTheme="minorHAnsi"/>
                <w:b/>
                <w:bCs/>
                <w:spacing w:val="1"/>
                <w:szCs w:val="24"/>
              </w:rPr>
            </w:pPr>
            <w:r w:rsidRPr="004C08E0">
              <w:rPr>
                <w:rFonts w:eastAsiaTheme="minorHAnsi"/>
                <w:b/>
                <w:bCs/>
                <w:spacing w:val="1"/>
                <w:szCs w:val="24"/>
              </w:rPr>
              <w:t xml:space="preserve">Action #13 </w:t>
            </w:r>
            <w:r w:rsidRPr="004C08E0">
              <w:rPr>
                <w:szCs w:val="24"/>
              </w:rPr>
              <w:t xml:space="preserve">The audit backlog in </w:t>
            </w:r>
            <w:proofErr w:type="spellStart"/>
            <w:r w:rsidRPr="004C08E0">
              <w:rPr>
                <w:szCs w:val="24"/>
              </w:rPr>
              <w:t>Gambella</w:t>
            </w:r>
            <w:proofErr w:type="spellEnd"/>
            <w:r w:rsidRPr="004C08E0">
              <w:rPr>
                <w:szCs w:val="24"/>
              </w:rPr>
              <w:t xml:space="preserve"> will be tackled directly, together with OFAG, with a specific timeline and benchmarks for doing so. </w:t>
            </w:r>
          </w:p>
        </w:tc>
        <w:tc>
          <w:tcPr>
            <w:tcW w:w="5040" w:type="dxa"/>
          </w:tcPr>
          <w:p w:rsidR="00195996" w:rsidRPr="004C08E0" w:rsidRDefault="00DF4B7B" w:rsidP="00195996">
            <w:pPr>
              <w:pStyle w:val="IPPARA"/>
              <w:keepLines/>
              <w:numPr>
                <w:ilvl w:val="0"/>
                <w:numId w:val="0"/>
              </w:numPr>
              <w:suppressAutoHyphens/>
              <w:spacing w:after="0"/>
              <w:jc w:val="left"/>
              <w:rPr>
                <w:b/>
                <w:bCs/>
                <w:i/>
                <w:spacing w:val="1"/>
                <w:szCs w:val="24"/>
              </w:rPr>
            </w:pPr>
            <w:r w:rsidRPr="004C08E0">
              <w:rPr>
                <w:b/>
                <w:bCs/>
                <w:i/>
                <w:spacing w:val="1"/>
                <w:szCs w:val="24"/>
              </w:rPr>
              <w:t xml:space="preserve">Completed </w:t>
            </w:r>
            <w:r>
              <w:rPr>
                <w:b/>
                <w:bCs/>
                <w:i/>
                <w:spacing w:val="1"/>
                <w:szCs w:val="24"/>
              </w:rPr>
              <w:t>before</w:t>
            </w:r>
            <w:r w:rsidRPr="004C08E0">
              <w:rPr>
                <w:b/>
                <w:bCs/>
                <w:i/>
                <w:spacing w:val="1"/>
                <w:szCs w:val="24"/>
              </w:rPr>
              <w:t xml:space="preserve"> current reporting period</w:t>
            </w:r>
            <w:r w:rsidR="00195996" w:rsidRPr="004C08E0">
              <w:rPr>
                <w:b/>
                <w:bCs/>
                <w:i/>
                <w:spacing w:val="1"/>
                <w:szCs w:val="24"/>
              </w:rPr>
              <w:t>.</w:t>
            </w:r>
            <w:r w:rsidR="00195996" w:rsidRPr="004C08E0">
              <w:rPr>
                <w:bCs/>
                <w:spacing w:val="1"/>
                <w:szCs w:val="24"/>
              </w:rPr>
              <w:t xml:space="preserve"> T</w:t>
            </w:r>
            <w:r w:rsidR="00195996" w:rsidRPr="004C08E0">
              <w:rPr>
                <w:szCs w:val="24"/>
              </w:rPr>
              <w:t xml:space="preserve">he audit backlog of the consolidated account of the </w:t>
            </w:r>
            <w:proofErr w:type="spellStart"/>
            <w:r w:rsidR="00195996" w:rsidRPr="004C08E0">
              <w:rPr>
                <w:szCs w:val="24"/>
              </w:rPr>
              <w:t>Gambella</w:t>
            </w:r>
            <w:proofErr w:type="spellEnd"/>
            <w:r w:rsidR="00195996" w:rsidRPr="004C08E0">
              <w:rPr>
                <w:szCs w:val="24"/>
              </w:rPr>
              <w:t xml:space="preserve"> region has been fully eliminated.</w:t>
            </w:r>
          </w:p>
        </w:tc>
      </w:tr>
      <w:tr w:rsidR="003D109F" w:rsidRPr="004C08E0" w:rsidTr="00C86BD4">
        <w:trPr>
          <w:cantSplit/>
        </w:trPr>
        <w:tc>
          <w:tcPr>
            <w:tcW w:w="4665" w:type="dxa"/>
          </w:tcPr>
          <w:p w:rsidR="00743855" w:rsidRPr="004C08E0" w:rsidRDefault="00743855" w:rsidP="00C86BD4">
            <w:pPr>
              <w:pStyle w:val="IPPARA"/>
              <w:numPr>
                <w:ilvl w:val="0"/>
                <w:numId w:val="0"/>
              </w:numPr>
              <w:spacing w:after="0"/>
              <w:jc w:val="left"/>
              <w:rPr>
                <w:rFonts w:eastAsiaTheme="minorHAnsi"/>
                <w:b/>
                <w:bCs/>
                <w:spacing w:val="1"/>
                <w:szCs w:val="24"/>
              </w:rPr>
            </w:pPr>
            <w:r w:rsidRPr="004C08E0">
              <w:rPr>
                <w:rFonts w:eastAsiaTheme="minorHAnsi"/>
                <w:b/>
                <w:bCs/>
                <w:spacing w:val="1"/>
                <w:szCs w:val="24"/>
              </w:rPr>
              <w:t xml:space="preserve">Action #14 </w:t>
            </w:r>
            <w:r w:rsidRPr="004C08E0">
              <w:rPr>
                <w:szCs w:val="24"/>
              </w:rPr>
              <w:t xml:space="preserve">There will be annual benchmarking of </w:t>
            </w:r>
            <w:r w:rsidR="00F86DD4" w:rsidRPr="004C08E0">
              <w:rPr>
                <w:szCs w:val="24"/>
              </w:rPr>
              <w:t xml:space="preserve">PFM </w:t>
            </w:r>
            <w:r w:rsidRPr="004C08E0">
              <w:rPr>
                <w:szCs w:val="24"/>
              </w:rPr>
              <w:t xml:space="preserve">performance for all </w:t>
            </w:r>
            <w:proofErr w:type="spellStart"/>
            <w:r w:rsidRPr="004C08E0">
              <w:rPr>
                <w:i/>
                <w:szCs w:val="24"/>
              </w:rPr>
              <w:t>woredas</w:t>
            </w:r>
            <w:proofErr w:type="spellEnd"/>
            <w:r w:rsidR="00CE6A97" w:rsidRPr="004C08E0">
              <w:rPr>
                <w:szCs w:val="24"/>
              </w:rPr>
              <w:t>.</w:t>
            </w:r>
          </w:p>
        </w:tc>
        <w:tc>
          <w:tcPr>
            <w:tcW w:w="5040" w:type="dxa"/>
          </w:tcPr>
          <w:p w:rsidR="00743855" w:rsidRDefault="00743855" w:rsidP="00CE6A97">
            <w:pPr>
              <w:pStyle w:val="IPPARA"/>
              <w:numPr>
                <w:ilvl w:val="0"/>
                <w:numId w:val="0"/>
              </w:numPr>
              <w:suppressAutoHyphens/>
              <w:spacing w:after="0"/>
              <w:jc w:val="left"/>
              <w:rPr>
                <w:bCs/>
                <w:spacing w:val="1"/>
                <w:szCs w:val="24"/>
              </w:rPr>
            </w:pPr>
            <w:r w:rsidRPr="004C08E0">
              <w:rPr>
                <w:b/>
                <w:bCs/>
                <w:i/>
                <w:spacing w:val="1"/>
                <w:szCs w:val="24"/>
              </w:rPr>
              <w:t xml:space="preserve">Completed </w:t>
            </w:r>
            <w:r w:rsidR="0020258A">
              <w:rPr>
                <w:b/>
                <w:bCs/>
                <w:i/>
                <w:spacing w:val="1"/>
                <w:szCs w:val="24"/>
              </w:rPr>
              <w:t>before</w:t>
            </w:r>
            <w:r w:rsidR="0020258A" w:rsidRPr="004C08E0">
              <w:rPr>
                <w:b/>
                <w:bCs/>
                <w:i/>
                <w:spacing w:val="1"/>
                <w:szCs w:val="24"/>
              </w:rPr>
              <w:t xml:space="preserve"> </w:t>
            </w:r>
            <w:r w:rsidR="00CE6A97" w:rsidRPr="004C08E0">
              <w:rPr>
                <w:b/>
                <w:bCs/>
                <w:i/>
                <w:spacing w:val="1"/>
                <w:szCs w:val="24"/>
              </w:rPr>
              <w:t>current</w:t>
            </w:r>
            <w:r w:rsidRPr="004C08E0">
              <w:rPr>
                <w:b/>
                <w:bCs/>
                <w:i/>
                <w:spacing w:val="1"/>
                <w:szCs w:val="24"/>
              </w:rPr>
              <w:t xml:space="preserve"> reporting period.</w:t>
            </w:r>
            <w:r w:rsidRPr="004C08E0">
              <w:rPr>
                <w:bCs/>
                <w:spacing w:val="1"/>
                <w:szCs w:val="24"/>
              </w:rPr>
              <w:t xml:space="preserve"> This </w:t>
            </w:r>
            <w:r w:rsidR="006A25B9" w:rsidRPr="004C08E0">
              <w:rPr>
                <w:bCs/>
                <w:spacing w:val="1"/>
                <w:szCs w:val="24"/>
              </w:rPr>
              <w:t xml:space="preserve">action, which was a Disbursement Linked Indicator in the new </w:t>
            </w:r>
            <w:r w:rsidR="006A25B9" w:rsidRPr="004C08E0">
              <w:rPr>
                <w:szCs w:val="24"/>
              </w:rPr>
              <w:t>Enhancing Shared Prosperity through Equitable Services Program for Results</w:t>
            </w:r>
            <w:r w:rsidR="006A25B9" w:rsidRPr="004C08E0">
              <w:rPr>
                <w:bCs/>
                <w:spacing w:val="1"/>
                <w:szCs w:val="24"/>
              </w:rPr>
              <w:t xml:space="preserve">, </w:t>
            </w:r>
            <w:r w:rsidR="000F169C">
              <w:rPr>
                <w:bCs/>
                <w:spacing w:val="1"/>
                <w:szCs w:val="24"/>
              </w:rPr>
              <w:t xml:space="preserve">was </w:t>
            </w:r>
            <w:r w:rsidRPr="004C08E0">
              <w:rPr>
                <w:bCs/>
                <w:spacing w:val="1"/>
                <w:szCs w:val="24"/>
              </w:rPr>
              <w:t>finalized in January 2017</w:t>
            </w:r>
            <w:r w:rsidR="00B64E01" w:rsidRPr="004C08E0">
              <w:rPr>
                <w:bCs/>
                <w:spacing w:val="1"/>
                <w:szCs w:val="24"/>
              </w:rPr>
              <w:t>, following a delay</w:t>
            </w:r>
            <w:r w:rsidRPr="004C08E0">
              <w:rPr>
                <w:bCs/>
                <w:spacing w:val="1"/>
                <w:szCs w:val="24"/>
              </w:rPr>
              <w:t>.</w:t>
            </w:r>
            <w:r w:rsidR="003A48BF" w:rsidRPr="004C08E0">
              <w:rPr>
                <w:bCs/>
                <w:spacing w:val="1"/>
                <w:szCs w:val="24"/>
              </w:rPr>
              <w:t xml:space="preserve"> The benchmarking system has been developed and has been tested. It is now being rolled out </w:t>
            </w:r>
            <w:r w:rsidR="00F86DD4" w:rsidRPr="004C08E0">
              <w:rPr>
                <w:bCs/>
                <w:spacing w:val="1"/>
                <w:szCs w:val="24"/>
              </w:rPr>
              <w:t xml:space="preserve">throughout </w:t>
            </w:r>
            <w:r w:rsidR="003A48BF" w:rsidRPr="004C08E0">
              <w:rPr>
                <w:bCs/>
                <w:spacing w:val="1"/>
                <w:szCs w:val="24"/>
              </w:rPr>
              <w:t>the country.</w:t>
            </w:r>
          </w:p>
          <w:p w:rsidR="00054C6E" w:rsidRPr="004C08E0" w:rsidRDefault="00054C6E" w:rsidP="00CE6A97">
            <w:pPr>
              <w:pStyle w:val="IPPARA"/>
              <w:numPr>
                <w:ilvl w:val="0"/>
                <w:numId w:val="0"/>
              </w:numPr>
              <w:suppressAutoHyphens/>
              <w:spacing w:after="0"/>
              <w:jc w:val="left"/>
              <w:rPr>
                <w:bCs/>
                <w:spacing w:val="1"/>
                <w:szCs w:val="24"/>
              </w:rPr>
            </w:pPr>
          </w:p>
        </w:tc>
      </w:tr>
      <w:tr w:rsidR="003D109F" w:rsidRPr="004C08E0" w:rsidTr="00C86BD4">
        <w:trPr>
          <w:cantSplit/>
        </w:trPr>
        <w:tc>
          <w:tcPr>
            <w:tcW w:w="9705" w:type="dxa"/>
            <w:gridSpan w:val="2"/>
            <w:shd w:val="clear" w:color="auto" w:fill="FFD966" w:themeFill="accent4" w:themeFillTint="99"/>
          </w:tcPr>
          <w:p w:rsidR="00195996" w:rsidRPr="004C08E0" w:rsidRDefault="00195996" w:rsidP="009961E0">
            <w:pPr>
              <w:pStyle w:val="IPPARA"/>
              <w:keepNext/>
              <w:numPr>
                <w:ilvl w:val="0"/>
                <w:numId w:val="0"/>
              </w:numPr>
              <w:spacing w:after="0"/>
              <w:jc w:val="left"/>
              <w:rPr>
                <w:rFonts w:eastAsiaTheme="minorHAnsi"/>
                <w:b/>
                <w:bCs/>
                <w:spacing w:val="1"/>
                <w:szCs w:val="24"/>
              </w:rPr>
            </w:pPr>
            <w:r w:rsidRPr="004C08E0">
              <w:rPr>
                <w:rFonts w:eastAsiaTheme="minorHAnsi"/>
                <w:b/>
                <w:bCs/>
                <w:spacing w:val="1"/>
                <w:szCs w:val="24"/>
              </w:rPr>
              <w:t>Improve Knowledge about Program and Its Impacts</w:t>
            </w:r>
          </w:p>
        </w:tc>
      </w:tr>
      <w:tr w:rsidR="00195996" w:rsidRPr="004C08E0" w:rsidTr="00C86BD4">
        <w:trPr>
          <w:cantSplit/>
        </w:trPr>
        <w:tc>
          <w:tcPr>
            <w:tcW w:w="4665" w:type="dxa"/>
          </w:tcPr>
          <w:p w:rsidR="00195996" w:rsidRPr="004C08E0" w:rsidRDefault="00195996" w:rsidP="00C86BD4">
            <w:pPr>
              <w:pStyle w:val="IPPARA"/>
              <w:numPr>
                <w:ilvl w:val="0"/>
                <w:numId w:val="0"/>
              </w:numPr>
              <w:spacing w:after="0"/>
              <w:jc w:val="left"/>
              <w:rPr>
                <w:szCs w:val="24"/>
              </w:rPr>
            </w:pPr>
            <w:r w:rsidRPr="004C08E0">
              <w:rPr>
                <w:rFonts w:eastAsiaTheme="minorHAnsi"/>
                <w:b/>
                <w:bCs/>
                <w:spacing w:val="1"/>
                <w:szCs w:val="24"/>
              </w:rPr>
              <w:t xml:space="preserve">Action #15 </w:t>
            </w:r>
            <w:r w:rsidRPr="004C08E0">
              <w:rPr>
                <w:szCs w:val="24"/>
              </w:rPr>
              <w:t>Enhancing</w:t>
            </w:r>
            <w:r w:rsidRPr="004C08E0">
              <w:rPr>
                <w:rFonts w:eastAsia="Times New Roman"/>
                <w:szCs w:val="24"/>
              </w:rPr>
              <w:t xml:space="preserve"> analytical efforts under the Managing for Results component.</w:t>
            </w:r>
          </w:p>
        </w:tc>
        <w:tc>
          <w:tcPr>
            <w:tcW w:w="5040" w:type="dxa"/>
          </w:tcPr>
          <w:p w:rsidR="00195996" w:rsidRDefault="00195996" w:rsidP="00C86BD4">
            <w:pPr>
              <w:pStyle w:val="IPPARA"/>
              <w:numPr>
                <w:ilvl w:val="0"/>
                <w:numId w:val="0"/>
              </w:numPr>
              <w:suppressAutoHyphens/>
              <w:spacing w:after="0"/>
              <w:jc w:val="left"/>
              <w:rPr>
                <w:bCs/>
                <w:spacing w:val="1"/>
                <w:szCs w:val="24"/>
              </w:rPr>
            </w:pPr>
            <w:r w:rsidRPr="004C08E0">
              <w:rPr>
                <w:b/>
                <w:bCs/>
                <w:i/>
                <w:spacing w:val="1"/>
                <w:szCs w:val="24"/>
              </w:rPr>
              <w:t>Completed</w:t>
            </w:r>
            <w:r w:rsidR="004F3501" w:rsidRPr="004C08E0">
              <w:rPr>
                <w:b/>
                <w:bCs/>
                <w:i/>
                <w:spacing w:val="1"/>
                <w:szCs w:val="24"/>
              </w:rPr>
              <w:t xml:space="preserve"> </w:t>
            </w:r>
            <w:r w:rsidR="004D6E8F">
              <w:rPr>
                <w:b/>
                <w:bCs/>
                <w:i/>
                <w:spacing w:val="1"/>
                <w:szCs w:val="24"/>
              </w:rPr>
              <w:t>before</w:t>
            </w:r>
            <w:r w:rsidR="004D6E8F" w:rsidRPr="004C08E0">
              <w:rPr>
                <w:b/>
                <w:bCs/>
                <w:i/>
                <w:spacing w:val="1"/>
                <w:szCs w:val="24"/>
              </w:rPr>
              <w:t xml:space="preserve"> </w:t>
            </w:r>
            <w:r w:rsidR="004F3501" w:rsidRPr="004C08E0">
              <w:rPr>
                <w:b/>
                <w:bCs/>
                <w:i/>
                <w:spacing w:val="1"/>
                <w:szCs w:val="24"/>
              </w:rPr>
              <w:t>current reporting period</w:t>
            </w:r>
            <w:r w:rsidRPr="004C08E0">
              <w:rPr>
                <w:bCs/>
                <w:spacing w:val="1"/>
                <w:szCs w:val="24"/>
              </w:rPr>
              <w:t xml:space="preserve">. Three analytical studies have been produced </w:t>
            </w:r>
            <w:r w:rsidR="00786510">
              <w:rPr>
                <w:bCs/>
                <w:spacing w:val="1"/>
                <w:szCs w:val="24"/>
              </w:rPr>
              <w:t xml:space="preserve">and published </w:t>
            </w:r>
            <w:r w:rsidRPr="004C08E0">
              <w:rPr>
                <w:bCs/>
                <w:spacing w:val="1"/>
                <w:szCs w:val="24"/>
              </w:rPr>
              <w:t xml:space="preserve">that look at the equity impact of basic services in Ethiopia. </w:t>
            </w:r>
          </w:p>
          <w:p w:rsidR="00054C6E" w:rsidRPr="004C08E0" w:rsidRDefault="00054C6E" w:rsidP="00C86BD4">
            <w:pPr>
              <w:pStyle w:val="IPPARA"/>
              <w:numPr>
                <w:ilvl w:val="0"/>
                <w:numId w:val="0"/>
              </w:numPr>
              <w:suppressAutoHyphens/>
              <w:spacing w:after="0"/>
              <w:jc w:val="left"/>
              <w:rPr>
                <w:bCs/>
                <w:spacing w:val="1"/>
                <w:szCs w:val="24"/>
              </w:rPr>
            </w:pPr>
          </w:p>
        </w:tc>
      </w:tr>
    </w:tbl>
    <w:p w:rsidR="00612DB1" w:rsidRPr="004C08E0" w:rsidRDefault="00612DB1" w:rsidP="009961E0">
      <w:pPr>
        <w:pStyle w:val="ListParagraph"/>
        <w:autoSpaceDE w:val="0"/>
        <w:autoSpaceDN w:val="0"/>
        <w:adjustRightInd w:val="0"/>
        <w:ind w:left="0"/>
        <w:jc w:val="both"/>
        <w:rPr>
          <w:szCs w:val="24"/>
        </w:rPr>
      </w:pPr>
      <w:bookmarkStart w:id="5" w:name="_Toc320276293"/>
      <w:bookmarkStart w:id="6" w:name="_Toc10808121"/>
      <w:bookmarkStart w:id="7" w:name="_Toc11136879"/>
      <w:bookmarkStart w:id="8" w:name="_Toc11203360"/>
    </w:p>
    <w:p w:rsidR="00540012" w:rsidRPr="004C08E0" w:rsidRDefault="00540012" w:rsidP="00EF0C24">
      <w:pPr>
        <w:pStyle w:val="ListParagraph"/>
        <w:autoSpaceDE w:val="0"/>
        <w:autoSpaceDN w:val="0"/>
        <w:adjustRightInd w:val="0"/>
        <w:spacing w:after="240"/>
        <w:ind w:left="0"/>
        <w:contextualSpacing w:val="0"/>
        <w:jc w:val="both"/>
        <w:rPr>
          <w:szCs w:val="24"/>
        </w:rPr>
      </w:pPr>
    </w:p>
    <w:p w:rsidR="00453E07" w:rsidRPr="004C08E0" w:rsidRDefault="00453E07" w:rsidP="00EF0C24">
      <w:pPr>
        <w:pStyle w:val="IP-HEADING1"/>
        <w:numPr>
          <w:ilvl w:val="0"/>
          <w:numId w:val="30"/>
        </w:numPr>
        <w:tabs>
          <w:tab w:val="clear" w:pos="1170"/>
        </w:tabs>
        <w:rPr>
          <w:bCs/>
          <w:smallCaps/>
          <w:szCs w:val="24"/>
        </w:rPr>
      </w:pPr>
      <w:bookmarkStart w:id="9" w:name="_Toc473122683"/>
      <w:bookmarkStart w:id="10" w:name="_Toc473122684"/>
      <w:bookmarkStart w:id="11" w:name="_Toc501554683"/>
      <w:bookmarkEnd w:id="9"/>
      <w:bookmarkEnd w:id="10"/>
      <w:r w:rsidRPr="004C08E0">
        <w:rPr>
          <w:bCs/>
          <w:smallCaps/>
          <w:szCs w:val="24"/>
        </w:rPr>
        <w:t>Next STEPs</w:t>
      </w:r>
      <w:bookmarkEnd w:id="11"/>
    </w:p>
    <w:bookmarkEnd w:id="5"/>
    <w:bookmarkEnd w:id="6"/>
    <w:bookmarkEnd w:id="7"/>
    <w:bookmarkEnd w:id="8"/>
    <w:p w:rsidR="00731EFA" w:rsidRPr="004C08E0" w:rsidRDefault="00DF4B7B" w:rsidP="00555F62">
      <w:pPr>
        <w:pStyle w:val="ListParagraph"/>
        <w:numPr>
          <w:ilvl w:val="0"/>
          <w:numId w:val="29"/>
        </w:numPr>
        <w:autoSpaceDE w:val="0"/>
        <w:autoSpaceDN w:val="0"/>
        <w:adjustRightInd w:val="0"/>
        <w:spacing w:after="240"/>
        <w:ind w:left="0" w:firstLine="0"/>
        <w:contextualSpacing w:val="0"/>
        <w:jc w:val="both"/>
        <w:rPr>
          <w:szCs w:val="24"/>
        </w:rPr>
      </w:pPr>
      <w:r>
        <w:rPr>
          <w:szCs w:val="24"/>
        </w:rPr>
        <w:t>All actions have been completed</w:t>
      </w:r>
      <w:r w:rsidR="00C32A29">
        <w:rPr>
          <w:szCs w:val="24"/>
        </w:rPr>
        <w:t>.</w:t>
      </w:r>
      <w:r w:rsidR="002F1B86">
        <w:rPr>
          <w:szCs w:val="24"/>
        </w:rPr>
        <w:t xml:space="preserve"> </w:t>
      </w:r>
      <w:r w:rsidR="003927E4">
        <w:rPr>
          <w:szCs w:val="24"/>
        </w:rPr>
        <w:t xml:space="preserve">Therefore, this is the final progress report submitted to the Board. </w:t>
      </w:r>
    </w:p>
    <w:sectPr w:rsidR="00731EFA" w:rsidRPr="004C08E0" w:rsidSect="002116B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44" w:rsidRDefault="000E0644">
      <w:pPr>
        <w:spacing w:after="0" w:line="240" w:lineRule="auto"/>
      </w:pPr>
      <w:r>
        <w:separator/>
      </w:r>
    </w:p>
  </w:endnote>
  <w:endnote w:type="continuationSeparator" w:id="0">
    <w:p w:rsidR="000E0644" w:rsidRDefault="000E0644">
      <w:pPr>
        <w:spacing w:after="0" w:line="240" w:lineRule="auto"/>
      </w:pPr>
      <w:r>
        <w:continuationSeparator/>
      </w:r>
    </w:p>
  </w:endnote>
  <w:endnote w:type="continuationNotice" w:id="1">
    <w:p w:rsidR="000E0644" w:rsidRDefault="000E0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2164"/>
      <w:docPartObj>
        <w:docPartGallery w:val="Page Numbers (Bottom of Page)"/>
        <w:docPartUnique/>
      </w:docPartObj>
    </w:sdtPr>
    <w:sdtEndPr>
      <w:rPr>
        <w:noProof/>
      </w:rPr>
    </w:sdtEndPr>
    <w:sdtContent>
      <w:p w:rsidR="00EB311D" w:rsidRDefault="00EB311D" w:rsidP="00E40A4B">
        <w:pPr>
          <w:pStyle w:val="Footer"/>
          <w:jc w:val="center"/>
        </w:pPr>
        <w:r>
          <w:fldChar w:fldCharType="begin"/>
        </w:r>
        <w:r>
          <w:instrText xml:space="preserve"> PAGE   \* MERGEFORMAT </w:instrText>
        </w:r>
        <w:r>
          <w:fldChar w:fldCharType="separate"/>
        </w:r>
        <w:r w:rsidR="00CD5E6A">
          <w:rPr>
            <w:noProof/>
          </w:rPr>
          <w:t>iii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44" w:rsidRDefault="000E0644">
      <w:pPr>
        <w:spacing w:after="0" w:line="240" w:lineRule="auto"/>
      </w:pPr>
      <w:r>
        <w:separator/>
      </w:r>
    </w:p>
  </w:footnote>
  <w:footnote w:type="continuationSeparator" w:id="0">
    <w:p w:rsidR="000E0644" w:rsidRDefault="000E0644">
      <w:pPr>
        <w:spacing w:after="0" w:line="240" w:lineRule="auto"/>
      </w:pPr>
      <w:r>
        <w:continuationSeparator/>
      </w:r>
    </w:p>
  </w:footnote>
  <w:footnote w:type="continuationNotice" w:id="1">
    <w:p w:rsidR="000E0644" w:rsidRDefault="000E06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840"/>
    <w:multiLevelType w:val="hybridMultilevel"/>
    <w:tmpl w:val="C1767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02DEF"/>
    <w:multiLevelType w:val="multilevel"/>
    <w:tmpl w:val="B2ACF244"/>
    <w:lvl w:ilvl="0">
      <w:start w:val="1"/>
      <w:numFmt w:val="upperRoman"/>
      <w:pStyle w:val="IP-HEADING1"/>
      <w:lvlText w:val="%1."/>
      <w:lvlJc w:val="left"/>
      <w:pPr>
        <w:tabs>
          <w:tab w:val="num" w:pos="720"/>
        </w:tabs>
        <w:ind w:left="360" w:hanging="360"/>
      </w:pPr>
      <w:rPr>
        <w:rFonts w:cs="Times New Roman" w:hint="default"/>
      </w:rPr>
    </w:lvl>
    <w:lvl w:ilvl="1">
      <w:start w:val="1"/>
      <w:numFmt w:val="none"/>
      <w:lvlText w:val=""/>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 w15:restartNumberingAfterBreak="0">
    <w:nsid w:val="18E77A9B"/>
    <w:multiLevelType w:val="hybridMultilevel"/>
    <w:tmpl w:val="9B4E6DC8"/>
    <w:lvl w:ilvl="0" w:tplc="0409001B">
      <w:start w:val="1"/>
      <w:numFmt w:val="lowerRoman"/>
      <w:lvlText w:val="%1."/>
      <w:lvlJc w:val="right"/>
      <w:pPr>
        <w:tabs>
          <w:tab w:val="num" w:pos="1170"/>
        </w:tabs>
      </w:pPr>
      <w:rPr>
        <w:rFonts w:hint="default"/>
        <w:b w:val="0"/>
        <w:i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6298DC16">
      <w:start w:val="7"/>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8552B8"/>
    <w:multiLevelType w:val="hybridMultilevel"/>
    <w:tmpl w:val="489277AA"/>
    <w:lvl w:ilvl="0" w:tplc="0868DCA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D769A"/>
    <w:multiLevelType w:val="multilevel"/>
    <w:tmpl w:val="9392B1F8"/>
    <w:lvl w:ilvl="0">
      <w:start w:val="2"/>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360"/>
        </w:tabs>
        <w:ind w:left="360" w:firstLine="0"/>
      </w:pPr>
      <w:rPr>
        <w:rFonts w:cs="Times New Roman" w:hint="default"/>
      </w:rPr>
    </w:lvl>
    <w:lvl w:ilvl="2">
      <w:start w:val="1"/>
      <w:numFmt w:val="lowerRoman"/>
      <w:lvlText w:val="%3."/>
      <w:lvlJc w:val="left"/>
      <w:pPr>
        <w:tabs>
          <w:tab w:val="num" w:pos="1080"/>
        </w:tabs>
        <w:ind w:left="1872"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29C716D"/>
    <w:multiLevelType w:val="hybridMultilevel"/>
    <w:tmpl w:val="251030B4"/>
    <w:lvl w:ilvl="0" w:tplc="ED043BBE">
      <w:start w:val="1"/>
      <w:numFmt w:val="decimal"/>
      <w:pStyle w:val="IPPARA"/>
      <w:lvlText w:val="%1."/>
      <w:lvlJc w:val="left"/>
      <w:pPr>
        <w:tabs>
          <w:tab w:val="num" w:pos="1170"/>
        </w:tabs>
      </w:pPr>
      <w:rPr>
        <w:rFonts w:ascii="Times New Roman" w:hAnsi="Times New Roman" w:cs="Times New Roman" w:hint="default"/>
        <w:b w:val="0"/>
        <w:i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6298DC16">
      <w:start w:val="7"/>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BD4C5C"/>
    <w:multiLevelType w:val="hybridMultilevel"/>
    <w:tmpl w:val="FCF4E20A"/>
    <w:lvl w:ilvl="0" w:tplc="896EE7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77A37"/>
    <w:multiLevelType w:val="hybridMultilevel"/>
    <w:tmpl w:val="E0EA13C4"/>
    <w:lvl w:ilvl="0" w:tplc="3F14760C">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DDD31B6"/>
    <w:multiLevelType w:val="hybridMultilevel"/>
    <w:tmpl w:val="BEF8E894"/>
    <w:lvl w:ilvl="0" w:tplc="4784FA2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3377C"/>
    <w:multiLevelType w:val="hybridMultilevel"/>
    <w:tmpl w:val="FA8A04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105E4F"/>
    <w:multiLevelType w:val="hybridMultilevel"/>
    <w:tmpl w:val="862CA8C6"/>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06E06E5"/>
    <w:multiLevelType w:val="hybridMultilevel"/>
    <w:tmpl w:val="6492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65423"/>
    <w:multiLevelType w:val="hybridMultilevel"/>
    <w:tmpl w:val="38F2F420"/>
    <w:lvl w:ilvl="0" w:tplc="7B3E79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1227A"/>
    <w:multiLevelType w:val="multilevel"/>
    <w:tmpl w:val="00A8870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60"/>
      </w:pPr>
      <w:rPr>
        <w:rFonts w:cs="Times New Roman" w:hint="default"/>
      </w:rPr>
    </w:lvl>
    <w:lvl w:ilvl="2">
      <w:start w:val="1"/>
      <w:numFmt w:val="lowerRoman"/>
      <w:lvlText w:val="%3."/>
      <w:lvlJc w:val="left"/>
      <w:pPr>
        <w:tabs>
          <w:tab w:val="num" w:pos="1080"/>
        </w:tabs>
        <w:ind w:left="1872"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F9D7226"/>
    <w:multiLevelType w:val="hybridMultilevel"/>
    <w:tmpl w:val="DDB64B96"/>
    <w:lvl w:ilvl="0" w:tplc="F9FC0100">
      <w:start w:val="1"/>
      <w:numFmt w:val="decimal"/>
      <w:lvlText w:val="%1."/>
      <w:lvlJc w:val="left"/>
      <w:pPr>
        <w:ind w:left="450" w:hanging="360"/>
      </w:pPr>
      <w:rPr>
        <w:rFonts w:ascii="Times New Roman" w:hAnsi="Times New Roman" w:cs="Times New Roman" w:hint="default"/>
        <w:b w:val="0"/>
        <w:color w:val="auto"/>
        <w:sz w:val="24"/>
      </w:rPr>
    </w:lvl>
    <w:lvl w:ilvl="1" w:tplc="6432349C">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03DF6"/>
    <w:multiLevelType w:val="hybridMultilevel"/>
    <w:tmpl w:val="82206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E00C9C"/>
    <w:multiLevelType w:val="hybridMultilevel"/>
    <w:tmpl w:val="A1BC112C"/>
    <w:lvl w:ilvl="0" w:tplc="CD6C1DD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5F3445"/>
    <w:multiLevelType w:val="hybridMultilevel"/>
    <w:tmpl w:val="C14290F6"/>
    <w:lvl w:ilvl="0" w:tplc="3F14760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D583338"/>
    <w:multiLevelType w:val="hybridMultilevel"/>
    <w:tmpl w:val="38B4B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C604F1"/>
    <w:multiLevelType w:val="hybridMultilevel"/>
    <w:tmpl w:val="B2E6B608"/>
    <w:lvl w:ilvl="0" w:tplc="F626A30E">
      <w:start w:val="1"/>
      <w:numFmt w:val="decimal"/>
      <w:lvlText w:val="%1."/>
      <w:lvlJc w:val="left"/>
      <w:pPr>
        <w:ind w:left="405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390C67"/>
    <w:multiLevelType w:val="hybridMultilevel"/>
    <w:tmpl w:val="1EA2A1CC"/>
    <w:lvl w:ilvl="0" w:tplc="2C540C4A">
      <w:start w:val="1"/>
      <w:numFmt w:val="bullet"/>
      <w:lvlText w:val=""/>
      <w:lvlJc w:val="left"/>
      <w:pPr>
        <w:tabs>
          <w:tab w:val="num" w:pos="720"/>
        </w:tabs>
        <w:ind w:left="720" w:hanging="360"/>
      </w:pPr>
      <w:rPr>
        <w:rFonts w:ascii="Wingdings 3" w:hAnsi="Wingdings 3" w:hint="default"/>
      </w:rPr>
    </w:lvl>
    <w:lvl w:ilvl="1" w:tplc="C82241F6">
      <w:start w:val="1"/>
      <w:numFmt w:val="bullet"/>
      <w:lvlText w:val=""/>
      <w:lvlJc w:val="left"/>
      <w:pPr>
        <w:tabs>
          <w:tab w:val="num" w:pos="1440"/>
        </w:tabs>
        <w:ind w:left="1440" w:hanging="360"/>
      </w:pPr>
      <w:rPr>
        <w:rFonts w:ascii="Symbol" w:hAnsi="Symbol" w:hint="default"/>
      </w:rPr>
    </w:lvl>
    <w:lvl w:ilvl="2" w:tplc="58ECDABA" w:tentative="1">
      <w:start w:val="1"/>
      <w:numFmt w:val="bullet"/>
      <w:lvlText w:val=""/>
      <w:lvlJc w:val="left"/>
      <w:pPr>
        <w:tabs>
          <w:tab w:val="num" w:pos="2160"/>
        </w:tabs>
        <w:ind w:left="2160" w:hanging="360"/>
      </w:pPr>
      <w:rPr>
        <w:rFonts w:ascii="Wingdings 3" w:hAnsi="Wingdings 3" w:hint="default"/>
      </w:rPr>
    </w:lvl>
    <w:lvl w:ilvl="3" w:tplc="C0503066" w:tentative="1">
      <w:start w:val="1"/>
      <w:numFmt w:val="bullet"/>
      <w:lvlText w:val=""/>
      <w:lvlJc w:val="left"/>
      <w:pPr>
        <w:tabs>
          <w:tab w:val="num" w:pos="2880"/>
        </w:tabs>
        <w:ind w:left="2880" w:hanging="360"/>
      </w:pPr>
      <w:rPr>
        <w:rFonts w:ascii="Wingdings 3" w:hAnsi="Wingdings 3" w:hint="default"/>
      </w:rPr>
    </w:lvl>
    <w:lvl w:ilvl="4" w:tplc="3F089602" w:tentative="1">
      <w:start w:val="1"/>
      <w:numFmt w:val="bullet"/>
      <w:lvlText w:val=""/>
      <w:lvlJc w:val="left"/>
      <w:pPr>
        <w:tabs>
          <w:tab w:val="num" w:pos="3600"/>
        </w:tabs>
        <w:ind w:left="3600" w:hanging="360"/>
      </w:pPr>
      <w:rPr>
        <w:rFonts w:ascii="Wingdings 3" w:hAnsi="Wingdings 3" w:hint="default"/>
      </w:rPr>
    </w:lvl>
    <w:lvl w:ilvl="5" w:tplc="73ACF594" w:tentative="1">
      <w:start w:val="1"/>
      <w:numFmt w:val="bullet"/>
      <w:lvlText w:val=""/>
      <w:lvlJc w:val="left"/>
      <w:pPr>
        <w:tabs>
          <w:tab w:val="num" w:pos="4320"/>
        </w:tabs>
        <w:ind w:left="4320" w:hanging="360"/>
      </w:pPr>
      <w:rPr>
        <w:rFonts w:ascii="Wingdings 3" w:hAnsi="Wingdings 3" w:hint="default"/>
      </w:rPr>
    </w:lvl>
    <w:lvl w:ilvl="6" w:tplc="C362FD56" w:tentative="1">
      <w:start w:val="1"/>
      <w:numFmt w:val="bullet"/>
      <w:lvlText w:val=""/>
      <w:lvlJc w:val="left"/>
      <w:pPr>
        <w:tabs>
          <w:tab w:val="num" w:pos="5040"/>
        </w:tabs>
        <w:ind w:left="5040" w:hanging="360"/>
      </w:pPr>
      <w:rPr>
        <w:rFonts w:ascii="Wingdings 3" w:hAnsi="Wingdings 3" w:hint="default"/>
      </w:rPr>
    </w:lvl>
    <w:lvl w:ilvl="7" w:tplc="843A2A54" w:tentative="1">
      <w:start w:val="1"/>
      <w:numFmt w:val="bullet"/>
      <w:lvlText w:val=""/>
      <w:lvlJc w:val="left"/>
      <w:pPr>
        <w:tabs>
          <w:tab w:val="num" w:pos="5760"/>
        </w:tabs>
        <w:ind w:left="5760" w:hanging="360"/>
      </w:pPr>
      <w:rPr>
        <w:rFonts w:ascii="Wingdings 3" w:hAnsi="Wingdings 3" w:hint="default"/>
      </w:rPr>
    </w:lvl>
    <w:lvl w:ilvl="8" w:tplc="2488C53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49C650D"/>
    <w:multiLevelType w:val="hybridMultilevel"/>
    <w:tmpl w:val="9B9056DA"/>
    <w:lvl w:ilvl="0" w:tplc="6936C024">
      <w:start w:val="1"/>
      <w:numFmt w:val="lowerRoman"/>
      <w:lvlText w:val="%1."/>
      <w:lvlJc w:val="right"/>
      <w:pPr>
        <w:ind w:left="720" w:hanging="360"/>
      </w:pPr>
      <w:rPr>
        <w:rFonts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63827"/>
    <w:multiLevelType w:val="hybridMultilevel"/>
    <w:tmpl w:val="DB501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5"/>
    <w:lvlOverride w:ilvl="0">
      <w:startOverride w:val="1"/>
    </w:lvlOverride>
  </w:num>
  <w:num w:numId="5">
    <w:abstractNumId w:val="13"/>
  </w:num>
  <w:num w:numId="6">
    <w:abstractNumId w:val="4"/>
  </w:num>
  <w:num w:numId="7">
    <w:abstractNumId w:val="6"/>
  </w:num>
  <w:num w:numId="8">
    <w:abstractNumId w:val="15"/>
  </w:num>
  <w:num w:numId="9">
    <w:abstractNumId w:val="5"/>
  </w:num>
  <w:num w:numId="10">
    <w:abstractNumId w:val="5"/>
  </w:num>
  <w:num w:numId="11">
    <w:abstractNumId w:val="21"/>
  </w:num>
  <w:num w:numId="12">
    <w:abstractNumId w:val="1"/>
  </w:num>
  <w:num w:numId="13">
    <w:abstractNumId w:val="1"/>
  </w:num>
  <w:num w:numId="14">
    <w:abstractNumId w:val="8"/>
  </w:num>
  <w:num w:numId="15">
    <w:abstractNumId w:val="3"/>
  </w:num>
  <w:num w:numId="16">
    <w:abstractNumId w:val="11"/>
  </w:num>
  <w:num w:numId="17">
    <w:abstractNumId w:val="0"/>
  </w:num>
  <w:num w:numId="18">
    <w:abstractNumId w:val="14"/>
  </w:num>
  <w:num w:numId="19">
    <w:abstractNumId w:val="18"/>
  </w:num>
  <w:num w:numId="20">
    <w:abstractNumId w:val="20"/>
  </w:num>
  <w:num w:numId="21">
    <w:abstractNumId w:val="5"/>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19"/>
  </w:num>
  <w:num w:numId="27">
    <w:abstractNumId w:val="5"/>
  </w:num>
  <w:num w:numId="28">
    <w:abstractNumId w:val="12"/>
  </w:num>
  <w:num w:numId="29">
    <w:abstractNumId w:val="17"/>
  </w:num>
  <w:num w:numId="30">
    <w:abstractNumId w:val="16"/>
  </w:num>
  <w:num w:numId="31">
    <w:abstractNumId w:val="1"/>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9D"/>
    <w:rsid w:val="00011785"/>
    <w:rsid w:val="00014E14"/>
    <w:rsid w:val="00017901"/>
    <w:rsid w:val="00021DA3"/>
    <w:rsid w:val="00034A32"/>
    <w:rsid w:val="00037C7B"/>
    <w:rsid w:val="00040AA4"/>
    <w:rsid w:val="00042FE8"/>
    <w:rsid w:val="000445A2"/>
    <w:rsid w:val="0004520E"/>
    <w:rsid w:val="00046E96"/>
    <w:rsid w:val="00054C6E"/>
    <w:rsid w:val="0006053D"/>
    <w:rsid w:val="0006210C"/>
    <w:rsid w:val="000622EA"/>
    <w:rsid w:val="00067DEC"/>
    <w:rsid w:val="00072A46"/>
    <w:rsid w:val="00075BA5"/>
    <w:rsid w:val="0007737C"/>
    <w:rsid w:val="000821A0"/>
    <w:rsid w:val="000874D7"/>
    <w:rsid w:val="000B08F6"/>
    <w:rsid w:val="000B230B"/>
    <w:rsid w:val="000B66C6"/>
    <w:rsid w:val="000B7051"/>
    <w:rsid w:val="000C4AC4"/>
    <w:rsid w:val="000C72CD"/>
    <w:rsid w:val="000D7C65"/>
    <w:rsid w:val="000D7F06"/>
    <w:rsid w:val="000E0644"/>
    <w:rsid w:val="000E2089"/>
    <w:rsid w:val="000E23DA"/>
    <w:rsid w:val="000F080E"/>
    <w:rsid w:val="000F169C"/>
    <w:rsid w:val="0010439D"/>
    <w:rsid w:val="001203E5"/>
    <w:rsid w:val="00124023"/>
    <w:rsid w:val="0014099B"/>
    <w:rsid w:val="00146D94"/>
    <w:rsid w:val="00150EBD"/>
    <w:rsid w:val="00157121"/>
    <w:rsid w:val="0016036D"/>
    <w:rsid w:val="00161321"/>
    <w:rsid w:val="00162A37"/>
    <w:rsid w:val="00166547"/>
    <w:rsid w:val="00173A97"/>
    <w:rsid w:val="0018430F"/>
    <w:rsid w:val="00186CD1"/>
    <w:rsid w:val="00195996"/>
    <w:rsid w:val="00197375"/>
    <w:rsid w:val="001A2947"/>
    <w:rsid w:val="001A583F"/>
    <w:rsid w:val="001B301A"/>
    <w:rsid w:val="001B41DE"/>
    <w:rsid w:val="001B4379"/>
    <w:rsid w:val="001B58A1"/>
    <w:rsid w:val="001C3A58"/>
    <w:rsid w:val="001D427C"/>
    <w:rsid w:val="001D5BC8"/>
    <w:rsid w:val="001E2613"/>
    <w:rsid w:val="001F2910"/>
    <w:rsid w:val="001F6BFE"/>
    <w:rsid w:val="001F752E"/>
    <w:rsid w:val="0020258A"/>
    <w:rsid w:val="0020731E"/>
    <w:rsid w:val="002116B0"/>
    <w:rsid w:val="00214B13"/>
    <w:rsid w:val="00233251"/>
    <w:rsid w:val="00237754"/>
    <w:rsid w:val="00237E90"/>
    <w:rsid w:val="00240FD9"/>
    <w:rsid w:val="002428EE"/>
    <w:rsid w:val="00246784"/>
    <w:rsid w:val="00246852"/>
    <w:rsid w:val="002523A1"/>
    <w:rsid w:val="00253501"/>
    <w:rsid w:val="00255413"/>
    <w:rsid w:val="002554F9"/>
    <w:rsid w:val="00255682"/>
    <w:rsid w:val="0025797E"/>
    <w:rsid w:val="00266F72"/>
    <w:rsid w:val="002746FA"/>
    <w:rsid w:val="002773F7"/>
    <w:rsid w:val="00280898"/>
    <w:rsid w:val="002A12E1"/>
    <w:rsid w:val="002A4556"/>
    <w:rsid w:val="002A4E2B"/>
    <w:rsid w:val="002B2CCC"/>
    <w:rsid w:val="002D0D3D"/>
    <w:rsid w:val="002D1397"/>
    <w:rsid w:val="002D1D6E"/>
    <w:rsid w:val="002D4E12"/>
    <w:rsid w:val="002E2E59"/>
    <w:rsid w:val="002F1B86"/>
    <w:rsid w:val="002F20B0"/>
    <w:rsid w:val="002F409F"/>
    <w:rsid w:val="002F5AB5"/>
    <w:rsid w:val="003010EB"/>
    <w:rsid w:val="00301396"/>
    <w:rsid w:val="00307909"/>
    <w:rsid w:val="00310A74"/>
    <w:rsid w:val="00311B47"/>
    <w:rsid w:val="003132EE"/>
    <w:rsid w:val="003155AD"/>
    <w:rsid w:val="003168DD"/>
    <w:rsid w:val="0034585F"/>
    <w:rsid w:val="00355B76"/>
    <w:rsid w:val="003562F3"/>
    <w:rsid w:val="00360845"/>
    <w:rsid w:val="00370726"/>
    <w:rsid w:val="00372B27"/>
    <w:rsid w:val="0037439C"/>
    <w:rsid w:val="00374BCA"/>
    <w:rsid w:val="00375046"/>
    <w:rsid w:val="00375FC2"/>
    <w:rsid w:val="00377FC8"/>
    <w:rsid w:val="003927E4"/>
    <w:rsid w:val="00394A8B"/>
    <w:rsid w:val="003977F2"/>
    <w:rsid w:val="003A48BF"/>
    <w:rsid w:val="003A59A3"/>
    <w:rsid w:val="003A639F"/>
    <w:rsid w:val="003A6ED8"/>
    <w:rsid w:val="003B586D"/>
    <w:rsid w:val="003B6645"/>
    <w:rsid w:val="003B6752"/>
    <w:rsid w:val="003B73F2"/>
    <w:rsid w:val="003C3A18"/>
    <w:rsid w:val="003D109F"/>
    <w:rsid w:val="003D494B"/>
    <w:rsid w:val="003E0965"/>
    <w:rsid w:val="003E1DCF"/>
    <w:rsid w:val="003E3E77"/>
    <w:rsid w:val="003F6C92"/>
    <w:rsid w:val="004012EA"/>
    <w:rsid w:val="004034DB"/>
    <w:rsid w:val="00404871"/>
    <w:rsid w:val="00405A60"/>
    <w:rsid w:val="00411943"/>
    <w:rsid w:val="00424097"/>
    <w:rsid w:val="004254D7"/>
    <w:rsid w:val="00431A77"/>
    <w:rsid w:val="00443178"/>
    <w:rsid w:val="00444C7B"/>
    <w:rsid w:val="004457B9"/>
    <w:rsid w:val="004462E9"/>
    <w:rsid w:val="0044723A"/>
    <w:rsid w:val="00447641"/>
    <w:rsid w:val="004505EA"/>
    <w:rsid w:val="00451E10"/>
    <w:rsid w:val="00453E07"/>
    <w:rsid w:val="00464771"/>
    <w:rsid w:val="00464A26"/>
    <w:rsid w:val="00481CA5"/>
    <w:rsid w:val="00482CE5"/>
    <w:rsid w:val="0048347A"/>
    <w:rsid w:val="004846A4"/>
    <w:rsid w:val="00485267"/>
    <w:rsid w:val="00490B06"/>
    <w:rsid w:val="00495FD3"/>
    <w:rsid w:val="004B3DAF"/>
    <w:rsid w:val="004B4AD4"/>
    <w:rsid w:val="004B630C"/>
    <w:rsid w:val="004B7675"/>
    <w:rsid w:val="004C08E0"/>
    <w:rsid w:val="004C3B97"/>
    <w:rsid w:val="004C7210"/>
    <w:rsid w:val="004D0441"/>
    <w:rsid w:val="004D6E8F"/>
    <w:rsid w:val="004E0336"/>
    <w:rsid w:val="004E094D"/>
    <w:rsid w:val="004E0D1E"/>
    <w:rsid w:val="004F161E"/>
    <w:rsid w:val="004F3501"/>
    <w:rsid w:val="004F4A3E"/>
    <w:rsid w:val="004F6840"/>
    <w:rsid w:val="00513B2D"/>
    <w:rsid w:val="00525D8F"/>
    <w:rsid w:val="00530308"/>
    <w:rsid w:val="005313E8"/>
    <w:rsid w:val="00533D31"/>
    <w:rsid w:val="0053635D"/>
    <w:rsid w:val="00540012"/>
    <w:rsid w:val="00541E17"/>
    <w:rsid w:val="0054369F"/>
    <w:rsid w:val="0054377D"/>
    <w:rsid w:val="00543DFA"/>
    <w:rsid w:val="00544498"/>
    <w:rsid w:val="00555F62"/>
    <w:rsid w:val="00571BFD"/>
    <w:rsid w:val="00572896"/>
    <w:rsid w:val="00592BD5"/>
    <w:rsid w:val="00594551"/>
    <w:rsid w:val="00594817"/>
    <w:rsid w:val="00594D6E"/>
    <w:rsid w:val="00596123"/>
    <w:rsid w:val="005968D0"/>
    <w:rsid w:val="005A1AF0"/>
    <w:rsid w:val="005A70FA"/>
    <w:rsid w:val="005B53B6"/>
    <w:rsid w:val="005B68D3"/>
    <w:rsid w:val="005B6DA0"/>
    <w:rsid w:val="005B7636"/>
    <w:rsid w:val="005D0F96"/>
    <w:rsid w:val="005E7998"/>
    <w:rsid w:val="005F4250"/>
    <w:rsid w:val="005F5220"/>
    <w:rsid w:val="006008E3"/>
    <w:rsid w:val="006011B7"/>
    <w:rsid w:val="0060261E"/>
    <w:rsid w:val="006035CF"/>
    <w:rsid w:val="00603B92"/>
    <w:rsid w:val="00603DE9"/>
    <w:rsid w:val="00607F43"/>
    <w:rsid w:val="00612DB1"/>
    <w:rsid w:val="00615BD8"/>
    <w:rsid w:val="006163B2"/>
    <w:rsid w:val="00617CAD"/>
    <w:rsid w:val="00622FC7"/>
    <w:rsid w:val="00623189"/>
    <w:rsid w:val="0062608B"/>
    <w:rsid w:val="0063325E"/>
    <w:rsid w:val="0064120E"/>
    <w:rsid w:val="00643F76"/>
    <w:rsid w:val="0064732B"/>
    <w:rsid w:val="0065299F"/>
    <w:rsid w:val="00652CAA"/>
    <w:rsid w:val="006567A3"/>
    <w:rsid w:val="00656A0C"/>
    <w:rsid w:val="006622BF"/>
    <w:rsid w:val="006665D4"/>
    <w:rsid w:val="00667FA5"/>
    <w:rsid w:val="00681461"/>
    <w:rsid w:val="00693458"/>
    <w:rsid w:val="00696A33"/>
    <w:rsid w:val="006A0B52"/>
    <w:rsid w:val="006A25B9"/>
    <w:rsid w:val="006A348A"/>
    <w:rsid w:val="006C6811"/>
    <w:rsid w:val="006D1704"/>
    <w:rsid w:val="006E0CAF"/>
    <w:rsid w:val="006E19EA"/>
    <w:rsid w:val="006E6A49"/>
    <w:rsid w:val="006E7D66"/>
    <w:rsid w:val="006F5C29"/>
    <w:rsid w:val="0070657F"/>
    <w:rsid w:val="00706F61"/>
    <w:rsid w:val="00712091"/>
    <w:rsid w:val="0072050C"/>
    <w:rsid w:val="00722278"/>
    <w:rsid w:val="00731EFA"/>
    <w:rsid w:val="00740149"/>
    <w:rsid w:val="0074371B"/>
    <w:rsid w:val="00743855"/>
    <w:rsid w:val="00745C9E"/>
    <w:rsid w:val="007477F9"/>
    <w:rsid w:val="0075056B"/>
    <w:rsid w:val="00774F63"/>
    <w:rsid w:val="00782D85"/>
    <w:rsid w:val="007830B8"/>
    <w:rsid w:val="00784925"/>
    <w:rsid w:val="00785D1F"/>
    <w:rsid w:val="00786510"/>
    <w:rsid w:val="007A00C0"/>
    <w:rsid w:val="007B72FE"/>
    <w:rsid w:val="007D52AE"/>
    <w:rsid w:val="007D7BBD"/>
    <w:rsid w:val="007E1A07"/>
    <w:rsid w:val="007E3C3F"/>
    <w:rsid w:val="007F37C6"/>
    <w:rsid w:val="007F5A6D"/>
    <w:rsid w:val="00800C06"/>
    <w:rsid w:val="00801AD5"/>
    <w:rsid w:val="00827BC7"/>
    <w:rsid w:val="00833B51"/>
    <w:rsid w:val="00850378"/>
    <w:rsid w:val="00861605"/>
    <w:rsid w:val="00865BBE"/>
    <w:rsid w:val="008714BB"/>
    <w:rsid w:val="00881065"/>
    <w:rsid w:val="008D2EB8"/>
    <w:rsid w:val="008D4C74"/>
    <w:rsid w:val="008E7FBD"/>
    <w:rsid w:val="008F0653"/>
    <w:rsid w:val="008F21B8"/>
    <w:rsid w:val="008F2418"/>
    <w:rsid w:val="008F6D9D"/>
    <w:rsid w:val="00901178"/>
    <w:rsid w:val="00902C84"/>
    <w:rsid w:val="00904A08"/>
    <w:rsid w:val="00916D3C"/>
    <w:rsid w:val="009223E1"/>
    <w:rsid w:val="00925671"/>
    <w:rsid w:val="009359C1"/>
    <w:rsid w:val="009466BD"/>
    <w:rsid w:val="00953FEA"/>
    <w:rsid w:val="0095546F"/>
    <w:rsid w:val="00957202"/>
    <w:rsid w:val="00961D66"/>
    <w:rsid w:val="0096379A"/>
    <w:rsid w:val="00964C00"/>
    <w:rsid w:val="009669A5"/>
    <w:rsid w:val="00966F5F"/>
    <w:rsid w:val="00972BA2"/>
    <w:rsid w:val="009931FC"/>
    <w:rsid w:val="009961E0"/>
    <w:rsid w:val="009A05FE"/>
    <w:rsid w:val="009B2268"/>
    <w:rsid w:val="009B3796"/>
    <w:rsid w:val="009B6337"/>
    <w:rsid w:val="009D17C3"/>
    <w:rsid w:val="009D5828"/>
    <w:rsid w:val="009E1BDE"/>
    <w:rsid w:val="009F6573"/>
    <w:rsid w:val="00A03AE7"/>
    <w:rsid w:val="00A0497E"/>
    <w:rsid w:val="00A1156F"/>
    <w:rsid w:val="00A15DEA"/>
    <w:rsid w:val="00A2602C"/>
    <w:rsid w:val="00A311AB"/>
    <w:rsid w:val="00A34247"/>
    <w:rsid w:val="00A363D6"/>
    <w:rsid w:val="00A366FF"/>
    <w:rsid w:val="00A37960"/>
    <w:rsid w:val="00A40CD2"/>
    <w:rsid w:val="00A4329E"/>
    <w:rsid w:val="00A4391B"/>
    <w:rsid w:val="00A60D10"/>
    <w:rsid w:val="00A63688"/>
    <w:rsid w:val="00A65442"/>
    <w:rsid w:val="00A673E8"/>
    <w:rsid w:val="00A926BD"/>
    <w:rsid w:val="00AA652A"/>
    <w:rsid w:val="00AB180D"/>
    <w:rsid w:val="00AB367B"/>
    <w:rsid w:val="00AB491D"/>
    <w:rsid w:val="00AB6044"/>
    <w:rsid w:val="00AC30F1"/>
    <w:rsid w:val="00AC63C7"/>
    <w:rsid w:val="00AD2585"/>
    <w:rsid w:val="00AD604E"/>
    <w:rsid w:val="00AE70C0"/>
    <w:rsid w:val="00AF0461"/>
    <w:rsid w:val="00AF0F2B"/>
    <w:rsid w:val="00AF160B"/>
    <w:rsid w:val="00AF2DB4"/>
    <w:rsid w:val="00AF3589"/>
    <w:rsid w:val="00AF3BFB"/>
    <w:rsid w:val="00AF67E4"/>
    <w:rsid w:val="00AF6D8E"/>
    <w:rsid w:val="00B018FA"/>
    <w:rsid w:val="00B04AA0"/>
    <w:rsid w:val="00B04E48"/>
    <w:rsid w:val="00B06BCD"/>
    <w:rsid w:val="00B11EF9"/>
    <w:rsid w:val="00B17F7B"/>
    <w:rsid w:val="00B25884"/>
    <w:rsid w:val="00B25C85"/>
    <w:rsid w:val="00B44D01"/>
    <w:rsid w:val="00B46EF6"/>
    <w:rsid w:val="00B509C5"/>
    <w:rsid w:val="00B51877"/>
    <w:rsid w:val="00B544E5"/>
    <w:rsid w:val="00B55855"/>
    <w:rsid w:val="00B56D7C"/>
    <w:rsid w:val="00B64E01"/>
    <w:rsid w:val="00B70AEA"/>
    <w:rsid w:val="00B727E0"/>
    <w:rsid w:val="00B77A17"/>
    <w:rsid w:val="00B8015C"/>
    <w:rsid w:val="00B91D0D"/>
    <w:rsid w:val="00B9593E"/>
    <w:rsid w:val="00B97B2A"/>
    <w:rsid w:val="00BA5B86"/>
    <w:rsid w:val="00BB7D1C"/>
    <w:rsid w:val="00BC0B3E"/>
    <w:rsid w:val="00BC3EF1"/>
    <w:rsid w:val="00BC42CB"/>
    <w:rsid w:val="00BC67D7"/>
    <w:rsid w:val="00BD294A"/>
    <w:rsid w:val="00BD6F51"/>
    <w:rsid w:val="00BE31D5"/>
    <w:rsid w:val="00BE3747"/>
    <w:rsid w:val="00BE5A68"/>
    <w:rsid w:val="00BE7378"/>
    <w:rsid w:val="00BF7B5C"/>
    <w:rsid w:val="00C00F56"/>
    <w:rsid w:val="00C06E96"/>
    <w:rsid w:val="00C1061C"/>
    <w:rsid w:val="00C139EE"/>
    <w:rsid w:val="00C16BCF"/>
    <w:rsid w:val="00C214BC"/>
    <w:rsid w:val="00C271C8"/>
    <w:rsid w:val="00C27BBF"/>
    <w:rsid w:val="00C314D5"/>
    <w:rsid w:val="00C32A29"/>
    <w:rsid w:val="00C37E24"/>
    <w:rsid w:val="00C43FC3"/>
    <w:rsid w:val="00C56A23"/>
    <w:rsid w:val="00C617A3"/>
    <w:rsid w:val="00C8628C"/>
    <w:rsid w:val="00C86BD4"/>
    <w:rsid w:val="00C933C0"/>
    <w:rsid w:val="00C97876"/>
    <w:rsid w:val="00CA3E3A"/>
    <w:rsid w:val="00CA4027"/>
    <w:rsid w:val="00CA68A3"/>
    <w:rsid w:val="00CA6D43"/>
    <w:rsid w:val="00CC2B1A"/>
    <w:rsid w:val="00CC638F"/>
    <w:rsid w:val="00CD5E6A"/>
    <w:rsid w:val="00CD78DD"/>
    <w:rsid w:val="00CE6A97"/>
    <w:rsid w:val="00CF441F"/>
    <w:rsid w:val="00CF72DF"/>
    <w:rsid w:val="00D03CCF"/>
    <w:rsid w:val="00D03E3E"/>
    <w:rsid w:val="00D100BF"/>
    <w:rsid w:val="00D111BE"/>
    <w:rsid w:val="00D13C66"/>
    <w:rsid w:val="00D16AD1"/>
    <w:rsid w:val="00D36B04"/>
    <w:rsid w:val="00D410FF"/>
    <w:rsid w:val="00D45A53"/>
    <w:rsid w:val="00D47473"/>
    <w:rsid w:val="00D50772"/>
    <w:rsid w:val="00D52EF6"/>
    <w:rsid w:val="00D56E02"/>
    <w:rsid w:val="00D65693"/>
    <w:rsid w:val="00D660A5"/>
    <w:rsid w:val="00D66205"/>
    <w:rsid w:val="00D67573"/>
    <w:rsid w:val="00D723BC"/>
    <w:rsid w:val="00D74F87"/>
    <w:rsid w:val="00D7591A"/>
    <w:rsid w:val="00D83AE1"/>
    <w:rsid w:val="00D9395C"/>
    <w:rsid w:val="00DA0535"/>
    <w:rsid w:val="00DA0F9C"/>
    <w:rsid w:val="00DB792D"/>
    <w:rsid w:val="00DC068C"/>
    <w:rsid w:val="00DC5093"/>
    <w:rsid w:val="00DC602D"/>
    <w:rsid w:val="00DD0EB9"/>
    <w:rsid w:val="00DD4927"/>
    <w:rsid w:val="00DD49F3"/>
    <w:rsid w:val="00DE21AF"/>
    <w:rsid w:val="00DE5527"/>
    <w:rsid w:val="00DE7686"/>
    <w:rsid w:val="00DF4B7B"/>
    <w:rsid w:val="00DF6F63"/>
    <w:rsid w:val="00E04913"/>
    <w:rsid w:val="00E05FDE"/>
    <w:rsid w:val="00E147DB"/>
    <w:rsid w:val="00E17C9C"/>
    <w:rsid w:val="00E262FB"/>
    <w:rsid w:val="00E40A4B"/>
    <w:rsid w:val="00E44A7D"/>
    <w:rsid w:val="00E46929"/>
    <w:rsid w:val="00E51F59"/>
    <w:rsid w:val="00E56629"/>
    <w:rsid w:val="00E643C8"/>
    <w:rsid w:val="00E6460C"/>
    <w:rsid w:val="00E66CF0"/>
    <w:rsid w:val="00E82865"/>
    <w:rsid w:val="00E86141"/>
    <w:rsid w:val="00E86905"/>
    <w:rsid w:val="00E92AA2"/>
    <w:rsid w:val="00EA687A"/>
    <w:rsid w:val="00EB039B"/>
    <w:rsid w:val="00EB311D"/>
    <w:rsid w:val="00EB7670"/>
    <w:rsid w:val="00ED56A8"/>
    <w:rsid w:val="00EE6631"/>
    <w:rsid w:val="00EE6E6E"/>
    <w:rsid w:val="00EE7838"/>
    <w:rsid w:val="00EE7A26"/>
    <w:rsid w:val="00EF0C24"/>
    <w:rsid w:val="00EF170A"/>
    <w:rsid w:val="00F051D6"/>
    <w:rsid w:val="00F05F05"/>
    <w:rsid w:val="00F074C7"/>
    <w:rsid w:val="00F1060C"/>
    <w:rsid w:val="00F22D2B"/>
    <w:rsid w:val="00F26FBB"/>
    <w:rsid w:val="00F35160"/>
    <w:rsid w:val="00F411CD"/>
    <w:rsid w:val="00F41B5C"/>
    <w:rsid w:val="00F4458B"/>
    <w:rsid w:val="00F544E7"/>
    <w:rsid w:val="00F551A5"/>
    <w:rsid w:val="00F6152C"/>
    <w:rsid w:val="00F62621"/>
    <w:rsid w:val="00F62CDD"/>
    <w:rsid w:val="00F641F7"/>
    <w:rsid w:val="00F77400"/>
    <w:rsid w:val="00F83FB4"/>
    <w:rsid w:val="00F86DD4"/>
    <w:rsid w:val="00F96EAA"/>
    <w:rsid w:val="00FA19E8"/>
    <w:rsid w:val="00FA3473"/>
    <w:rsid w:val="00FA3829"/>
    <w:rsid w:val="00FA4935"/>
    <w:rsid w:val="00FB10FD"/>
    <w:rsid w:val="00FB3021"/>
    <w:rsid w:val="00FB600C"/>
    <w:rsid w:val="00FC2FBD"/>
    <w:rsid w:val="00FC32C7"/>
    <w:rsid w:val="00FC7CF2"/>
    <w:rsid w:val="00FD5C88"/>
    <w:rsid w:val="00FD7031"/>
    <w:rsid w:val="00FE2522"/>
    <w:rsid w:val="00FE70B6"/>
    <w:rsid w:val="00FF0832"/>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5C14"/>
  <w15:chartTrackingRefBased/>
  <w15:docId w15:val="{95E31358-DB89-45A6-80F5-FB72DB9A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6D9D"/>
    <w:pPr>
      <w:spacing w:after="200" w:line="276" w:lineRule="auto"/>
    </w:pPr>
  </w:style>
  <w:style w:type="paragraph" w:styleId="Heading1">
    <w:name w:val="heading 1"/>
    <w:basedOn w:val="Normal"/>
    <w:next w:val="Normal"/>
    <w:link w:val="Heading1Char"/>
    <w:uiPriority w:val="9"/>
    <w:qFormat/>
    <w:rsid w:val="008F6D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D9D"/>
    <w:rPr>
      <w:color w:val="0563C1" w:themeColor="hyperlink"/>
      <w:u w:val="single"/>
    </w:rPr>
  </w:style>
  <w:style w:type="paragraph" w:customStyle="1" w:styleId="BankNormal">
    <w:name w:val="BankNormal"/>
    <w:basedOn w:val="Normal"/>
    <w:rsid w:val="008F6D9D"/>
    <w:pPr>
      <w:spacing w:after="240" w:line="240" w:lineRule="auto"/>
    </w:pPr>
    <w:rPr>
      <w:rFonts w:ascii="Times New Roman" w:eastAsia="Times New Roman" w:hAnsi="Times New Roman" w:cs="Times New Roman"/>
      <w:sz w:val="24"/>
      <w:szCs w:val="20"/>
    </w:rPr>
  </w:style>
  <w:style w:type="paragraph" w:styleId="TOC1">
    <w:name w:val="toc 1"/>
    <w:basedOn w:val="Normal"/>
    <w:next w:val="Normal"/>
    <w:uiPriority w:val="39"/>
    <w:rsid w:val="008F6D9D"/>
    <w:pPr>
      <w:tabs>
        <w:tab w:val="left" w:pos="720"/>
        <w:tab w:val="right" w:leader="dot" w:pos="8630"/>
      </w:tabs>
      <w:spacing w:before="120" w:after="120" w:line="240" w:lineRule="auto"/>
      <w:ind w:left="720" w:hanging="720"/>
    </w:pPr>
    <w:rPr>
      <w:rFonts w:ascii="Times New (W1)" w:eastAsia="Times New Roman" w:hAnsi="Times New (W1)" w:cs="Times New Roman"/>
      <w:bCs/>
      <w:noProof/>
      <w:sz w:val="24"/>
      <w:szCs w:val="24"/>
    </w:rPr>
  </w:style>
  <w:style w:type="paragraph" w:customStyle="1" w:styleId="IPPARA">
    <w:name w:val="IP PARA"/>
    <w:basedOn w:val="Normal"/>
    <w:link w:val="IPPARAChar"/>
    <w:rsid w:val="008F6D9D"/>
    <w:pPr>
      <w:numPr>
        <w:numId w:val="1"/>
      </w:numPr>
      <w:spacing w:after="240" w:line="240" w:lineRule="auto"/>
      <w:jc w:val="both"/>
    </w:pPr>
    <w:rPr>
      <w:rFonts w:ascii="Times New Roman" w:eastAsia="MS Mincho" w:hAnsi="Times New Roman" w:cs="Times New Roman"/>
      <w:sz w:val="24"/>
      <w:szCs w:val="20"/>
    </w:rPr>
  </w:style>
  <w:style w:type="character" w:customStyle="1" w:styleId="IPPARAChar">
    <w:name w:val="IP PARA Char"/>
    <w:basedOn w:val="DefaultParagraphFont"/>
    <w:link w:val="IPPARA"/>
    <w:locked/>
    <w:rsid w:val="008F6D9D"/>
    <w:rPr>
      <w:rFonts w:ascii="Times New Roman" w:eastAsia="MS Mincho" w:hAnsi="Times New Roman" w:cs="Times New Roman"/>
      <w:sz w:val="24"/>
      <w:szCs w:val="20"/>
    </w:rPr>
  </w:style>
  <w:style w:type="paragraph" w:customStyle="1" w:styleId="IP-HEADING1">
    <w:name w:val="IP-HEADING 1"/>
    <w:basedOn w:val="Heading1"/>
    <w:rsid w:val="008F6D9D"/>
    <w:pPr>
      <w:numPr>
        <w:numId w:val="3"/>
      </w:numPr>
      <w:tabs>
        <w:tab w:val="num" w:pos="1170"/>
      </w:tabs>
      <w:spacing w:before="480" w:after="240" w:line="240" w:lineRule="auto"/>
      <w:jc w:val="center"/>
    </w:pPr>
    <w:rPr>
      <w:rFonts w:ascii="Times New Roman" w:eastAsia="MS Mincho" w:hAnsi="Times New Roman" w:cs="Times New Roman"/>
      <w:b/>
      <w:caps/>
      <w:color w:val="auto"/>
      <w:sz w:val="24"/>
      <w:szCs w:val="20"/>
    </w:rPr>
  </w:style>
  <w:style w:type="character" w:customStyle="1" w:styleId="Heading1Char">
    <w:name w:val="Heading 1 Char"/>
    <w:basedOn w:val="DefaultParagraphFont"/>
    <w:link w:val="Heading1"/>
    <w:uiPriority w:val="9"/>
    <w:rsid w:val="008F6D9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3168DD"/>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3168DD"/>
    <w:rPr>
      <w:rFonts w:ascii="Times New Roman" w:eastAsia="Times New Roman" w:hAnsi="Times New Roman" w:cs="Times New Roman"/>
      <w:snapToGrid w:val="0"/>
      <w:color w:val="000000"/>
      <w:sz w:val="24"/>
      <w:szCs w:val="20"/>
    </w:rPr>
  </w:style>
  <w:style w:type="paragraph" w:styleId="Header">
    <w:name w:val="header"/>
    <w:basedOn w:val="Normal"/>
    <w:link w:val="HeaderChar"/>
    <w:rsid w:val="003168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168DD"/>
    <w:rPr>
      <w:rFonts w:ascii="Times New Roman" w:eastAsia="Times New Roman" w:hAnsi="Times New Roman" w:cs="Times New Roman"/>
      <w:sz w:val="24"/>
      <w:szCs w:val="20"/>
    </w:rPr>
  </w:style>
  <w:style w:type="character" w:styleId="PageNumber">
    <w:name w:val="page number"/>
    <w:basedOn w:val="DefaultParagraphFont"/>
    <w:rsid w:val="003168DD"/>
  </w:style>
  <w:style w:type="paragraph" w:styleId="Footer">
    <w:name w:val="footer"/>
    <w:basedOn w:val="Normal"/>
    <w:link w:val="FooterChar"/>
    <w:uiPriority w:val="99"/>
    <w:rsid w:val="003168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168DD"/>
    <w:rPr>
      <w:rFonts w:ascii="Times New Roman" w:eastAsia="Times New Roman" w:hAnsi="Times New Roman" w:cs="Times New Roman"/>
      <w:sz w:val="24"/>
      <w:szCs w:val="20"/>
    </w:rPr>
  </w:style>
  <w:style w:type="paragraph" w:styleId="ListParagraph">
    <w:name w:val="List Paragraph"/>
    <w:aliases w:val="Bullets,Numbered List Paragraph,Colorful List - Accent 11,References,List Paragraph (numbered (a)),Main numbered paragraph,Liste 1,ReferencesCxSpLast,Medium Grid 1 - Accent 21,List Paragraph nowy,List_Paragraph,Multilevel para_II"/>
    <w:basedOn w:val="Normal"/>
    <w:link w:val="ListParagraphChar"/>
    <w:uiPriority w:val="34"/>
    <w:qFormat/>
    <w:rsid w:val="003168DD"/>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Bullets Char,Numbered List Paragraph Char,Colorful List - Accent 11 Char,References Char,List Paragraph (numbered (a)) Char,Main numbered paragraph Char,Liste 1 Char,ReferencesCxSpLast Char,Medium Grid 1 - Accent 21 Char"/>
    <w:basedOn w:val="DefaultParagraphFont"/>
    <w:link w:val="ListParagraph"/>
    <w:uiPriority w:val="34"/>
    <w:qFormat/>
    <w:rsid w:val="003168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53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501"/>
    <w:rPr>
      <w:rFonts w:ascii="Segoe UI" w:hAnsi="Segoe UI" w:cs="Segoe UI"/>
      <w:sz w:val="18"/>
      <w:szCs w:val="18"/>
    </w:rPr>
  </w:style>
  <w:style w:type="character" w:styleId="CommentReference">
    <w:name w:val="annotation reference"/>
    <w:basedOn w:val="DefaultParagraphFont"/>
    <w:uiPriority w:val="99"/>
    <w:semiHidden/>
    <w:unhideWhenUsed/>
    <w:rsid w:val="00833B51"/>
    <w:rPr>
      <w:sz w:val="16"/>
      <w:szCs w:val="16"/>
    </w:rPr>
  </w:style>
  <w:style w:type="paragraph" w:styleId="CommentText">
    <w:name w:val="annotation text"/>
    <w:basedOn w:val="Normal"/>
    <w:link w:val="CommentTextChar"/>
    <w:uiPriority w:val="99"/>
    <w:semiHidden/>
    <w:unhideWhenUsed/>
    <w:rsid w:val="00833B51"/>
    <w:pPr>
      <w:spacing w:line="240" w:lineRule="auto"/>
    </w:pPr>
    <w:rPr>
      <w:sz w:val="20"/>
      <w:szCs w:val="20"/>
    </w:rPr>
  </w:style>
  <w:style w:type="character" w:customStyle="1" w:styleId="CommentTextChar">
    <w:name w:val="Comment Text Char"/>
    <w:basedOn w:val="DefaultParagraphFont"/>
    <w:link w:val="CommentText"/>
    <w:uiPriority w:val="99"/>
    <w:semiHidden/>
    <w:rsid w:val="00833B51"/>
    <w:rPr>
      <w:sz w:val="20"/>
      <w:szCs w:val="20"/>
    </w:rPr>
  </w:style>
  <w:style w:type="paragraph" w:styleId="CommentSubject">
    <w:name w:val="annotation subject"/>
    <w:basedOn w:val="CommentText"/>
    <w:next w:val="CommentText"/>
    <w:link w:val="CommentSubjectChar"/>
    <w:uiPriority w:val="99"/>
    <w:semiHidden/>
    <w:unhideWhenUsed/>
    <w:rsid w:val="00833B51"/>
    <w:rPr>
      <w:b/>
      <w:bCs/>
    </w:rPr>
  </w:style>
  <w:style w:type="character" w:customStyle="1" w:styleId="CommentSubjectChar">
    <w:name w:val="Comment Subject Char"/>
    <w:basedOn w:val="CommentTextChar"/>
    <w:link w:val="CommentSubject"/>
    <w:uiPriority w:val="99"/>
    <w:semiHidden/>
    <w:rsid w:val="00833B51"/>
    <w:rPr>
      <w:b/>
      <w:bCs/>
      <w:sz w:val="20"/>
      <w:szCs w:val="20"/>
    </w:rPr>
  </w:style>
  <w:style w:type="table" w:styleId="TableGrid">
    <w:name w:val="Table Grid"/>
    <w:basedOn w:val="TableNormal"/>
    <w:uiPriority w:val="59"/>
    <w:rsid w:val="004F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6036D"/>
    <w:pPr>
      <w:spacing w:line="259" w:lineRule="auto"/>
      <w:outlineLvl w:val="9"/>
    </w:pPr>
  </w:style>
  <w:style w:type="paragraph" w:styleId="FootnoteText">
    <w:name w:val="footnote text"/>
    <w:aliases w:val="single space,footnote text,fn,FOOTNOTES,Footnote Text Char Char Char Char Char Char,Footnote Text Char Char Char Char1,Footnote Text Char Char Char Char Char1,Footnote Text Char Char Char Char Char,Footnote Text Char Char Char,FN,Geneva 9"/>
    <w:basedOn w:val="Normal"/>
    <w:link w:val="FootnoteTextChar"/>
    <w:unhideWhenUsed/>
    <w:qFormat/>
    <w:rsid w:val="00F641F7"/>
    <w:pPr>
      <w:spacing w:after="0" w:line="240" w:lineRule="auto"/>
    </w:pPr>
    <w:rPr>
      <w:rFonts w:ascii="Times New Roman" w:eastAsiaTheme="minorEastAsia" w:hAnsi="Times New Roman"/>
      <w:sz w:val="20"/>
      <w:szCs w:val="20"/>
    </w:r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Footnote Text Char Char Char Char"/>
    <w:basedOn w:val="DefaultParagraphFont"/>
    <w:link w:val="FootnoteText"/>
    <w:rsid w:val="00F641F7"/>
    <w:rPr>
      <w:rFonts w:ascii="Times New Roman" w:eastAsiaTheme="minorEastAsia" w:hAnsi="Times New Roman"/>
      <w:sz w:val="20"/>
      <w:szCs w:val="20"/>
    </w:rPr>
  </w:style>
  <w:style w:type="character" w:styleId="FootnoteReference">
    <w:name w:val="footnote reference"/>
    <w:aliases w:val="16 Point,Superscript 6 Point,ftref,referencia nota al pie,BVI fnr,Footnote,Car Car Char Car Char Car Car Char Car Char Char,Car Car Car Car Car Car Car Car Char Car Car Char Car Car Car Char Car Char Char Char,SUPERS,Знак сноски-FN,fr"/>
    <w:basedOn w:val="DefaultParagraphFont"/>
    <w:link w:val="ftrefChar"/>
    <w:unhideWhenUsed/>
    <w:rsid w:val="00F641F7"/>
    <w:rPr>
      <w:vertAlign w:val="superscript"/>
    </w:rPr>
  </w:style>
  <w:style w:type="paragraph" w:customStyle="1" w:styleId="ftrefChar">
    <w:name w:val="ftref Char"/>
    <w:aliases w:val="BVI fnr Char,Footnote Char,16 Point Char,Superscript 6 Point Char,referencia nota al pie Char,Car Car Char Car Char Car Car Char Car Char Char Char,BVI fnr Char Char Char Char Char Char1 Char Char Char Char Char Char Char"/>
    <w:basedOn w:val="Normal"/>
    <w:link w:val="FootnoteReference"/>
    <w:uiPriority w:val="99"/>
    <w:rsid w:val="00F641F7"/>
    <w:pPr>
      <w:spacing w:after="160" w:line="240" w:lineRule="exact"/>
    </w:pPr>
    <w:rPr>
      <w:vertAlign w:val="superscript"/>
    </w:rPr>
  </w:style>
  <w:style w:type="paragraph" w:styleId="Revision">
    <w:name w:val="Revision"/>
    <w:hidden/>
    <w:uiPriority w:val="99"/>
    <w:semiHidden/>
    <w:rsid w:val="00B97B2A"/>
    <w:pPr>
      <w:spacing w:after="0" w:line="240" w:lineRule="auto"/>
    </w:pPr>
  </w:style>
  <w:style w:type="paragraph" w:customStyle="1" w:styleId="Default">
    <w:name w:val="Default"/>
    <w:rsid w:val="00E643C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11785"/>
    <w:rPr>
      <w:color w:val="954F72" w:themeColor="followedHyperlink"/>
      <w:u w:val="single"/>
    </w:rPr>
  </w:style>
  <w:style w:type="character" w:styleId="Mention">
    <w:name w:val="Mention"/>
    <w:basedOn w:val="DefaultParagraphFont"/>
    <w:uiPriority w:val="99"/>
    <w:semiHidden/>
    <w:unhideWhenUsed/>
    <w:rsid w:val="004846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235242">
      <w:bodyDiv w:val="1"/>
      <w:marLeft w:val="0"/>
      <w:marRight w:val="0"/>
      <w:marTop w:val="0"/>
      <w:marBottom w:val="0"/>
      <w:divBdr>
        <w:top w:val="none" w:sz="0" w:space="0" w:color="auto"/>
        <w:left w:val="none" w:sz="0" w:space="0" w:color="auto"/>
        <w:bottom w:val="none" w:sz="0" w:space="0" w:color="auto"/>
        <w:right w:val="none" w:sz="0" w:space="0" w:color="auto"/>
      </w:divBdr>
    </w:div>
    <w:div w:id="20569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webapps.worldbank.org/apps/ip/PanelCases/82-Second%20Management%20Progress%20Report-23%20Feb%202017.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webapps.worldbank.org/apps/ip/PanelCases/82-First%20Management%20Progress%20Report.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webapps.worldbank.org/apps/ip/PanelCases/82-Press%20Release%20-%20World%20Bank%20Board%20Discusses%20Inspection%20Panel%20Case%20in%20Ethiopi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webapps.worldbank.org/apps/ip/PanelCases/82-Management%20Report%20and%20Recommendation%20-%20Ethiopia%20PBS%20-%20Phase%20III%20Project.pdf"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ewebapps.worldbank.org/apps/ip/PanelCases/82-%20Inspection%20Panel%20Investigation%20Report%20Ethiopia%20PBS%20Phase%20III%20Projec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ECENTER-17-2419</_dlc_DocId>
    <_dlc_DocIdUrl xmlns="abd7fad0-8e9a-4f24-82a0-e4a690a7a66d">
      <Url>https://ispan.worldbank.org/sites/BOS/_layouts/15/DocIdRedir.aspx?ID=ECENTER-17-2419</Url>
      <Description>ECENTER-17-2419</Description>
    </_dlc_DocIdUrl>
    <DocumentDate xmlns="1e565efc-c76f-4e3a-ad62-733aa42cc28d">2018-01-29T05:00:00+00:00</DocumentDate>
    <unid xmlns="1e565efc-c76f-4e3a-ad62-733aa42cc28d" xsi:nil="true"/>
    <Volume_x0020_Title xmlns="1e565efc-c76f-4e3a-ad62-733aa42cc28d">Third progress report on the Management Action Plan (MAP) - Ethiopia Promoting Basic Services Phase III Project (PBS 3)</Volume_x0020_Title>
    <Disclosure_x0020_Type xmlns="1e565efc-c76f-4e3a-ad62-733aa42cc28d" xsi:nil="true"/>
    <Unit_x0020_Owning_x0020_or_x0020_Responsible xmlns="1e565efc-c76f-4e3a-ad62-733aa42cc28d">OPSES;OPSPF</Unit_x0020_Owning_x0020_or_x0020_Responsible>
    <BOSWBdocsWebServiceStatus xmlns="1e565efc-c76f-4e3a-ad62-733aa42cc28d" xsi:nil="true"/>
    <RObjectID xmlns="1e565efc-c76f-4e3a-ad62-733aa42cc28d">090224b0855fe697</RObjectID>
    <Document_x0020_Type xmlns="1e565efc-c76f-4e3a-ad62-733aa42cc28d">Board Report</Document_x0020_Type>
    <Bank_x0020_Group_x0020_Institution xmlns="1e565efc-c76f-4e3a-ad62-733aa42cc28d">IDA</Bank_x0020_Group_x0020_Institution>
    <Project_x0020_ID xmlns="1e565efc-c76f-4e3a-ad62-733aa42cc28d" xsi:nil="true"/>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IDA/SecM2018-0009</Board_x0020_Document_x0020_Number>
    <Disclosure_x0020_Date xmlns="1e565efc-c76f-4e3a-ad62-733aa42cc28d" xsi:nil="true"/>
    <Board_x0020_Meeting_x0020_Type xmlns="1e565efc-c76f-4e3a-ad62-733aa42cc28d">Board Meeting</Board_x0020_Meeting_x0020_Type>
    <UpdateEntityID xmlns="1e565efc-c76f-4e3a-ad62-733aa42cc28d">307651f6-d102-e811-94e6-005056953af8</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InfolitePublishedDate xmlns="1e565efc-c76f-4e3a-ad62-733aa42cc28d">2018-02-02T16:15:49+00:00</InfolitePublishedDate>
    <Country_x0020_Region xmlns="1e565efc-c76f-4e3a-ad62-733aa42cc28d">Ethiopia</Country_x0020_Region>
    <IsImageBankURLUpdated xmlns="1e565efc-c76f-4e3a-ad62-733aa42cc28d">No</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 xsi:nil="true"/>
    <Archive xmlns="1e565efc-c76f-4e3a-ad62-733aa42cc28d">true</Archive>
    <ArchivedDate xmlns="1e565efc-c76f-4e3a-ad62-733aa42cc28d">2018-02-02T16:29:44+00:00</ArchivedDate>
    <PublicClassificationDecidedby xmlns="1e565efc-c76f-4e3a-ad62-733aa42cc28d">Qays Hamad</PublicClassificationDecidedby>
    <ArchiveButtonClick xmlns="1e565efc-c76f-4e3a-ad62-733aa42cc28d">true</ArchiveButtonClick>
    <Information_x0020_Classification xmlns="1e565efc-c76f-4e3a-ad62-733aa42cc28d">Public</Information_x0020_Classification>
    <AccessToInfoComments xmlns="1e565efc-c76f-4e3a-ad62-733aa42cc28d">6. Other Disclosure Regimes;</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C8F37-A1FF-481F-828C-C75F62303837}"/>
</file>

<file path=customXml/itemProps2.xml><?xml version="1.0" encoding="utf-8"?>
<ds:datastoreItem xmlns:ds="http://schemas.openxmlformats.org/officeDocument/2006/customXml" ds:itemID="{A0CBD5AD-FA3F-40F0-AF55-69C6B96BA32D}"/>
</file>

<file path=customXml/itemProps3.xml><?xml version="1.0" encoding="utf-8"?>
<ds:datastoreItem xmlns:ds="http://schemas.openxmlformats.org/officeDocument/2006/customXml" ds:itemID="{664449A3-7977-445F-B858-0C259DB5F319}"/>
</file>

<file path=customXml/itemProps4.xml><?xml version="1.0" encoding="utf-8"?>
<ds:datastoreItem xmlns:ds="http://schemas.openxmlformats.org/officeDocument/2006/customXml" ds:itemID="{5CE1CCB8-CDA0-4CE7-9F00-C6092CED3F38}"/>
</file>

<file path=customXml/itemProps5.xml><?xml version="1.0" encoding="utf-8"?>
<ds:datastoreItem xmlns:ds="http://schemas.openxmlformats.org/officeDocument/2006/customXml" ds:itemID="{708E5176-365F-4088-BBF6-C7A15758F990}"/>
</file>

<file path=docProps/app.xml><?xml version="1.0" encoding="utf-8"?>
<Properties xmlns="http://schemas.openxmlformats.org/officeDocument/2006/extended-properties" xmlns:vt="http://schemas.openxmlformats.org/officeDocument/2006/docPropsVTypes">
  <Template>Normal.dotm</Template>
  <TotalTime>0</TotalTime>
  <Pages>9</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progress report on the Management Action Plan (MAP) - Ethiopia Promoting Basic Services Phase III Project (PBS 3)</dc:title>
  <dc:subject/>
  <dc:creator>Qaiser M. Khan</dc:creator>
  <cp:keywords/>
  <dc:description/>
  <cp:lastModifiedBy>Qays Hamad</cp:lastModifiedBy>
  <cp:revision>2</cp:revision>
  <cp:lastPrinted>2018-01-26T19:19:00Z</cp:lastPrinted>
  <dcterms:created xsi:type="dcterms:W3CDTF">2018-01-26T19:19:00Z</dcterms:created>
  <dcterms:modified xsi:type="dcterms:W3CDTF">2018-01-26T19:19:00Z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0x0101008B7ED80168BFC54D8B2E9A470A96603D</vt:lpwstr>
  </property>
  <property fmtid="{D5CDD505-2E9C-101B-9397-08002B2CF9AE}" pid="3" name="_dlc_DocIdItemGuid">
    <vt:lpwstr>02dab68c-b0ae-41f4-bf6c-3760a7cdaa6e</vt:lpwstr>
  </property>
</Properties>
</file>