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2024234767"/>
        <w:docPartObj>
          <w:docPartGallery w:val="Cover Pages"/>
          <w:docPartUnique/>
        </w:docPartObj>
      </w:sdtPr>
      <w:sdtEndPr>
        <w:rPr>
          <w:rFonts w:eastAsiaTheme="minorEastAsia" w:hAnsi="Calibri"/>
          <w:color w:val="000000" w:themeColor="text1"/>
          <w:kern w:val="24"/>
          <w:sz w:val="64"/>
          <w:szCs w:val="64"/>
        </w:rPr>
      </w:sdtEndPr>
      <w:sdtContent>
        <w:tbl>
          <w:tblPr>
            <w:tblpPr w:leftFromText="187" w:rightFromText="187" w:bottomFromText="720" w:horzAnchor="margin" w:tblpYSpec="center"/>
            <w:tblW w:w="5000" w:type="pct"/>
            <w:tblLook w:val="04A0" w:firstRow="1" w:lastRow="0" w:firstColumn="1" w:lastColumn="0" w:noHBand="0" w:noVBand="1"/>
          </w:tblPr>
          <w:tblGrid>
            <w:gridCol w:w="9576"/>
          </w:tblGrid>
          <w:tr w:rsidR="001A1F05">
            <w:tc>
              <w:tcPr>
                <w:tcW w:w="10296" w:type="dxa"/>
              </w:tcPr>
              <w:p w:rsidR="001A1F05" w:rsidRDefault="00170E25" w:rsidP="00FA7532">
                <w:pPr>
                  <w:pStyle w:val="Title"/>
                  <w:spacing w:after="200" w:line="276" w:lineRule="auto"/>
                  <w:contextualSpacing w:val="0"/>
                  <w:jc w:val="center"/>
                  <w:rPr>
                    <w:sz w:val="140"/>
                    <w:szCs w:val="140"/>
                  </w:rPr>
                </w:pPr>
                <w:sdt>
                  <w:sdtPr>
                    <w:rPr>
                      <w:sz w:val="72"/>
                      <w:szCs w:val="140"/>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035E18">
                      <w:rPr>
                        <w:sz w:val="72"/>
                        <w:szCs w:val="140"/>
                      </w:rPr>
                      <w:t>ECOWAS Economic Partnership Agreement with the EU and Nigerian Trade and Development</w:t>
                    </w:r>
                  </w:sdtContent>
                </w:sdt>
              </w:p>
            </w:tc>
          </w:tr>
          <w:tr w:rsidR="001A1F05">
            <w:tc>
              <w:tcPr>
                <w:tcW w:w="0" w:type="auto"/>
                <w:vAlign w:val="bottom"/>
              </w:tcPr>
              <w:p w:rsidR="001A1F05" w:rsidRDefault="001A1F05" w:rsidP="00FA7532">
                <w:pPr>
                  <w:pStyle w:val="Subtitle"/>
                </w:pPr>
              </w:p>
            </w:tc>
          </w:tr>
          <w:tr w:rsidR="001A1F05">
            <w:trPr>
              <w:trHeight w:val="1152"/>
            </w:trPr>
            <w:tc>
              <w:tcPr>
                <w:tcW w:w="0" w:type="auto"/>
                <w:vAlign w:val="bottom"/>
              </w:tcPr>
              <w:p w:rsidR="001A1F05" w:rsidRDefault="001A1F05" w:rsidP="00FA7532">
                <w:pPr>
                  <w:rPr>
                    <w:color w:val="000000" w:themeColor="text1"/>
                    <w:sz w:val="24"/>
                    <w:szCs w:val="28"/>
                  </w:rPr>
                </w:pPr>
              </w:p>
            </w:tc>
          </w:tr>
        </w:tbl>
        <w:p w:rsidR="001A1F05" w:rsidRDefault="00170E25" w:rsidP="00FA7532">
          <w:pPr>
            <w:rPr>
              <w:rFonts w:eastAsiaTheme="minorEastAsia" w:hAnsi="Calibri"/>
              <w:color w:val="000000" w:themeColor="text1"/>
              <w:kern w:val="24"/>
              <w:sz w:val="64"/>
              <w:szCs w:val="64"/>
            </w:rPr>
          </w:pPr>
          <w:r w:rsidRPr="00170E25">
            <w:rPr>
              <w:rFonts w:eastAsiaTheme="minorEastAsia" w:hAnsi="Calibri"/>
              <w:noProof/>
              <w:color w:val="000000" w:themeColor="text1"/>
              <w:kern w:val="24"/>
              <w:sz w:val="64"/>
              <w:szCs w:val="64"/>
            </w:rPr>
            <mc:AlternateContent>
              <mc:Choice Requires="wps">
                <w:drawing>
                  <wp:anchor distT="0" distB="0" distL="114300" distR="114300" simplePos="0" relativeHeight="251669504" behindDoc="0" locked="0" layoutInCell="1" allowOverlap="1" wp14:anchorId="58F99BD3" wp14:editId="7ADBCEFB">
                    <wp:simplePos x="0" y="0"/>
                    <wp:positionH relativeFrom="column">
                      <wp:posOffset>4422775</wp:posOffset>
                    </wp:positionH>
                    <wp:positionV relativeFrom="paragraph">
                      <wp:posOffset>-875030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170E25" w:rsidRPr="00170E25" w:rsidRDefault="00170E25">
                                <w:pPr>
                                  <w:rPr>
                                    <w:rFonts w:ascii="Arial" w:hAnsi="Arial" w:cs="Arial"/>
                                    <w:sz w:val="44"/>
                                    <w:szCs w:val="44"/>
                                  </w:rPr>
                                </w:pPr>
                                <w:r>
                                  <w:rPr>
                                    <w:rFonts w:ascii="Arial" w:hAnsi="Arial" w:cs="Arial"/>
                                    <w:sz w:val="44"/>
                                    <w:szCs w:val="44"/>
                                  </w:rPr>
                                  <w:t xml:space="preserve">         </w:t>
                                </w:r>
                                <w:r w:rsidRPr="00170E25">
                                  <w:rPr>
                                    <w:rFonts w:ascii="Arial" w:hAnsi="Arial" w:cs="Arial"/>
                                    <w:sz w:val="44"/>
                                    <w:szCs w:val="44"/>
                                  </w:rPr>
                                  <w:t>93166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8.25pt;margin-top:-68.9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SGEgIAAPwDAAAOAAAAZHJzL2Uyb0RvYy54bWysU9uO2yAQfa/Uf0C8N3acZJNYcVbb3aaq&#10;tL1Iu/0AgnGMCgwFEjv9+h1wNr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" filled="f" stroked="f">
                    <v:textbox style="mso-fit-shape-to-text:t">
                      <w:txbxContent>
                        <w:p w:rsidR="00170E25" w:rsidRPr="00170E25" w:rsidRDefault="00170E25">
                          <w:pPr>
                            <w:rPr>
                              <w:rFonts w:ascii="Arial" w:hAnsi="Arial" w:cs="Arial"/>
                              <w:sz w:val="44"/>
                              <w:szCs w:val="44"/>
                            </w:rPr>
                          </w:pPr>
                          <w:r>
                            <w:rPr>
                              <w:rFonts w:ascii="Arial" w:hAnsi="Arial" w:cs="Arial"/>
                              <w:sz w:val="44"/>
                              <w:szCs w:val="44"/>
                            </w:rPr>
                            <w:t xml:space="preserve">         </w:t>
                          </w:r>
                          <w:r w:rsidRPr="00170E25">
                            <w:rPr>
                              <w:rFonts w:ascii="Arial" w:hAnsi="Arial" w:cs="Arial"/>
                              <w:sz w:val="44"/>
                              <w:szCs w:val="44"/>
                            </w:rPr>
                            <w:t>93166</w:t>
                          </w:r>
                        </w:p>
                      </w:txbxContent>
                    </v:textbox>
                  </v:shape>
                </w:pict>
              </mc:Fallback>
            </mc:AlternateContent>
          </w:r>
          <w:bookmarkStart w:id="0" w:name="_GoBack"/>
          <w:r>
            <w:rPr>
              <w:noProof/>
            </w:rPr>
            <mc:AlternateContent>
              <mc:Choice Requires="wps">
                <w:drawing>
                  <wp:anchor distT="0" distB="0" distL="114300" distR="114300" simplePos="0" relativeHeight="251662336" behindDoc="0" locked="0" layoutInCell="1" allowOverlap="1" wp14:anchorId="42C0702B" wp14:editId="6B9BF457">
                    <wp:simplePos x="0" y="0"/>
                    <wp:positionH relativeFrom="page">
                      <wp:posOffset>1057275</wp:posOffset>
                    </wp:positionH>
                    <wp:positionV relativeFrom="page">
                      <wp:posOffset>39370</wp:posOffset>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83.25pt;margin-top:3.1pt;width:468pt;height:162pt;z-index:251662336;visibility:visible;mso-wrap-style:square;mso-width-percent:1000;mso-height-percent:250;mso-wrap-distance-left:9pt;mso-wrap-distance-top:0;mso-wrap-distance-right:9pt;mso-wrap-distance-bottom:0;mso-position-horizontal:absolute;mso-position-horizontal-relative:page;mso-position-vertical:absolute;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" fillcolor="#4f81bd [3204]" stroked="f" strokeweight="2pt">
                    <w10:wrap anchorx="page" anchory="page"/>
                  </v:rect>
                </w:pict>
              </mc:Fallback>
            </mc:AlternateContent>
          </w:r>
          <w:bookmarkEnd w:id="0"/>
          <w:r w:rsidR="001A1F05">
            <w:rPr>
              <w:noProof/>
            </w:rPr>
            <mc:AlternateContent>
              <mc:Choice Requires="wps">
                <w:drawing>
                  <wp:anchor distT="0" distB="0" distL="114300" distR="114300" simplePos="0" relativeHeight="251663360" behindDoc="1" locked="0" layoutInCell="1" allowOverlap="1" wp14:anchorId="79BDACA8" wp14:editId="7C95AE07">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312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0" o:title="" recolor="t" rotate="t" type="frame"/>
                    <v:imagedata recolortarget="#3f3f3f [801]"/>
                    <w10:wrap anchorx="page" anchory="page"/>
                  </v:rect>
                </w:pict>
              </mc:Fallback>
            </mc:AlternateContent>
          </w:r>
          <w:r w:rsidR="001A1F05">
            <w:rPr>
              <w:noProof/>
            </w:rPr>
            <mc:AlternateContent>
              <mc:Choice Requires="wps">
                <w:drawing>
                  <wp:anchor distT="0" distB="0" distL="114300" distR="114300" simplePos="0" relativeHeight="251661312" behindDoc="0" locked="0" layoutInCell="1" allowOverlap="1" wp14:anchorId="15422C45" wp14:editId="26A911EF">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995072500"/>
                                  <w:date w:fullDate="2014-09-30T00:00:00Z">
                                    <w:dateFormat w:val="M/d/yyyy"/>
                                    <w:lid w:val="en-US"/>
                                    <w:storeMappedDataAs w:val="dateTime"/>
                                    <w:calendar w:val="gregorian"/>
                                  </w:date>
                                </w:sdtPr>
                                <w:sdtEndPr/>
                                <w:sdtContent>
                                  <w:p w:rsidR="007D2C92" w:rsidRDefault="007D2C92">
                                    <w:pPr>
                                      <w:pStyle w:val="Subtitle"/>
                                      <w:spacing w:after="0" w:line="240" w:lineRule="auto"/>
                                    </w:pPr>
                                    <w:r>
                                      <w:t>9/30/2014</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Text Box 53" o:spid="_x0000_s1027" type="#_x0000_t202" style="position:absolute;margin-left:0;margin-top:0;width:468pt;height:30.7pt;z-index:251661312;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995072500"/>
                            <w:date w:fullDate="2014-09-30T00:00:00Z">
                              <w:dateFormat w:val="M/d/yyyy"/>
                              <w:lid w:val="en-US"/>
                              <w:storeMappedDataAs w:val="dateTime"/>
                              <w:calendar w:val="gregorian"/>
                            </w:date>
                          </w:sdtPr>
                          <w:sdtEndPr/>
                          <w:sdtContent>
                            <w:p w:rsidR="007D2C92" w:rsidRDefault="007D2C92">
                              <w:pPr>
                                <w:pStyle w:val="Subtitle"/>
                                <w:spacing w:after="0" w:line="240" w:lineRule="auto"/>
                              </w:pPr>
                              <w:r>
                                <w:t>9/30/2014</w:t>
                              </w:r>
                            </w:p>
                          </w:sdtContent>
                        </w:sdt>
                      </w:txbxContent>
                    </v:textbox>
                    <w10:wrap anchorx="margin" anchory="margin"/>
                  </v:shape>
                </w:pict>
              </mc:Fallback>
            </mc:AlternateContent>
          </w:r>
          <w:r w:rsidR="001A1F05">
            <w:rPr>
              <w:noProof/>
            </w:rPr>
            <mc:AlternateContent>
              <mc:Choice Requires="wps">
                <w:drawing>
                  <wp:anchor distT="0" distB="0" distL="114300" distR="114300" simplePos="0" relativeHeight="251664384" behindDoc="0" locked="0" layoutInCell="1" allowOverlap="1" wp14:anchorId="06BDCDAE" wp14:editId="3A883905">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438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sidR="001A1F05">
            <w:rPr>
              <w:rFonts w:eastAsiaTheme="minorEastAsia" w:hAnsi="Calibri"/>
              <w:color w:val="000000" w:themeColor="text1"/>
              <w:kern w:val="24"/>
              <w:sz w:val="64"/>
              <w:szCs w:val="64"/>
            </w:rPr>
            <w:br w:type="page"/>
          </w:r>
        </w:p>
      </w:sdtContent>
    </w:sdt>
    <w:p w:rsidR="00747CE1" w:rsidRDefault="00747CE1" w:rsidP="00FA7532">
      <w:pPr>
        <w:pStyle w:val="Heading1"/>
        <w:spacing w:after="200"/>
      </w:pPr>
      <w:bookmarkStart w:id="1" w:name="_Toc399860628"/>
      <w:r>
        <w:lastRenderedPageBreak/>
        <w:t>Executive Summary</w:t>
      </w:r>
      <w:bookmarkEnd w:id="1"/>
    </w:p>
    <w:p w:rsidR="000358DE" w:rsidRDefault="006D205E" w:rsidP="00FA7532">
      <w:pPr>
        <w:jc w:val="both"/>
      </w:pPr>
      <w:r w:rsidRPr="00FD1E55">
        <w:t>The impact of an Economic Partnership Agreement (EPA) on Nigeria is analyzed against a baseline scenario where Nigeria has already fully aligned itself to the ECOWAS Common External Tariff.</w:t>
      </w:r>
      <w:r w:rsidR="000358DE">
        <w:t xml:space="preserve"> Compared </w:t>
      </w:r>
      <w:r w:rsidR="00286112">
        <w:t xml:space="preserve">to previous studies, the </w:t>
      </w:r>
      <w:r w:rsidR="000358DE">
        <w:t xml:space="preserve">methodology applied in this paper adds value by </w:t>
      </w:r>
      <w:r w:rsidR="00286112">
        <w:t xml:space="preserve">combining a simple and partial equilibrium approach with household and firm level data, thus </w:t>
      </w:r>
      <w:r w:rsidR="000358DE">
        <w:t xml:space="preserve">minimizing assumptions </w:t>
      </w:r>
      <w:r w:rsidR="00286112">
        <w:t xml:space="preserve">but deriving intuitive and policy relevant </w:t>
      </w:r>
      <w:r w:rsidR="000358DE">
        <w:t xml:space="preserve">results. Working at the detailed product and firm level, the analytical framework adds precision to the assessment of the potential short term effects of the EPA. </w:t>
      </w:r>
      <w:r w:rsidR="004B1441">
        <w:t>A simple dynamic extension of the model illustrates potential adjustment effects across firms.</w:t>
      </w:r>
      <w:r w:rsidR="000358DE">
        <w:t xml:space="preserve">  </w:t>
      </w:r>
    </w:p>
    <w:p w:rsidR="006D205E" w:rsidRPr="00FD1E55" w:rsidRDefault="000358DE" w:rsidP="00FA7532">
      <w:pPr>
        <w:jc w:val="both"/>
      </w:pPr>
      <w:r>
        <w:t>At its final stage, i</w:t>
      </w:r>
      <w:r w:rsidR="006D205E" w:rsidRPr="00FD1E55">
        <w:t xml:space="preserve">mplementing the EPA would lead to a moderate reduction in </w:t>
      </w:r>
      <w:r w:rsidR="009E2B68">
        <w:t xml:space="preserve">overall </w:t>
      </w:r>
      <w:r w:rsidR="006D205E" w:rsidRPr="00FD1E55">
        <w:t xml:space="preserve">tariff protection from 11.3 to 9.2 percent and thus a limited increase in imports between 0.8 and 1.8 percent. </w:t>
      </w:r>
      <w:r w:rsidR="009E2B68">
        <w:t xml:space="preserve">This </w:t>
      </w:r>
      <w:r w:rsidR="006E0CA8">
        <w:t xml:space="preserve">moderate reaction </w:t>
      </w:r>
      <w:r w:rsidR="009E2B68">
        <w:t xml:space="preserve">is explained by </w:t>
      </w:r>
      <w:r w:rsidR="006E0CA8">
        <w:t xml:space="preserve">the EU’s relatively low share in imports (23 percent) and </w:t>
      </w:r>
      <w:r w:rsidR="009E2B68">
        <w:t xml:space="preserve">protection being maintained on an important number of sensitive tariff lines. </w:t>
      </w:r>
      <w:r w:rsidR="006D205E" w:rsidRPr="00FD1E55">
        <w:t>However, some trade diversion is likely to occur in favor of the EU at the expense of other trading partners. Fiscal losses</w:t>
      </w:r>
      <w:r w:rsidR="006745EF">
        <w:t>, as far as they could be assessed in the absence of actual tax collection information,</w:t>
      </w:r>
      <w:r w:rsidR="006D205E" w:rsidRPr="00FD1E55">
        <w:t xml:space="preserve"> could be expected in the magnitude of 0.8 percent of total fiscal revenue, equivalent to 3.3 percent of non-oil revenue, once the EPA is fully implemented. </w:t>
      </w:r>
    </w:p>
    <w:p w:rsidR="006D205E" w:rsidRPr="00FD1E55" w:rsidRDefault="006D205E" w:rsidP="00FA7532">
      <w:pPr>
        <w:jc w:val="both"/>
      </w:pPr>
      <w:r w:rsidRPr="00FD1E55">
        <w:t>Households can expect to benefit from a</w:t>
      </w:r>
      <w:r w:rsidR="004B1441">
        <w:t xml:space="preserve"> small</w:t>
      </w:r>
      <w:r w:rsidRPr="00FD1E55">
        <w:t xml:space="preserve"> reduction in the price of the average consumptio</w:t>
      </w:r>
      <w:r w:rsidR="004B1441">
        <w:t>n bundle in the magnitude of up to 0.3</w:t>
      </w:r>
      <w:r w:rsidRPr="00FD1E55">
        <w:t xml:space="preserve"> percent. The net effect is </w:t>
      </w:r>
      <w:r w:rsidR="004B1441">
        <w:t>slightly progressive, favoring higher income households more than low income ones</w:t>
      </w:r>
      <w:r w:rsidRPr="00FD1E55">
        <w:t xml:space="preserve">. </w:t>
      </w:r>
    </w:p>
    <w:p w:rsidR="004B1441" w:rsidRPr="00FD1E55" w:rsidRDefault="006D1FCC" w:rsidP="00FA7532">
      <w:pPr>
        <w:jc w:val="both"/>
      </w:pPr>
      <w:r>
        <w:t xml:space="preserve">A simple assessment of </w:t>
      </w:r>
      <w:r w:rsidR="006E0CA8">
        <w:t xml:space="preserve">the </w:t>
      </w:r>
      <w:r>
        <w:t xml:space="preserve">potential impact </w:t>
      </w:r>
      <w:r w:rsidR="006E0CA8">
        <w:t xml:space="preserve">of the EPA </w:t>
      </w:r>
      <w:r>
        <w:t>on competitiveness suggests that t</w:t>
      </w:r>
      <w:r w:rsidRPr="00FD1E55">
        <w:t xml:space="preserve">wo </w:t>
      </w:r>
      <w:r w:rsidR="006D205E" w:rsidRPr="00FD1E55">
        <w:t>third</w:t>
      </w:r>
      <w:r w:rsidR="00191B3C">
        <w:t>s</w:t>
      </w:r>
      <w:r w:rsidR="006D205E" w:rsidRPr="00FD1E55">
        <w:t xml:space="preserve"> of manufacturing firms (and workers) are likely to experience a net increase in profitability due to the EPA, mainly due to lower input prices. The remaining one third of firms </w:t>
      </w:r>
      <w:r w:rsidR="00AE1AC4">
        <w:t xml:space="preserve">may </w:t>
      </w:r>
      <w:r w:rsidR="006D205E" w:rsidRPr="00FD1E55">
        <w:t>lose some profit</w:t>
      </w:r>
      <w:r>
        <w:t xml:space="preserve"> because of increased competition from imports</w:t>
      </w:r>
      <w:r w:rsidR="006D205E" w:rsidRPr="00FD1E55">
        <w:t xml:space="preserve">, but only very few (0.5 percent) become unprofitable as losses are small compared to </w:t>
      </w:r>
      <w:r>
        <w:t xml:space="preserve">actual </w:t>
      </w:r>
      <w:r w:rsidR="006D205E" w:rsidRPr="00FD1E55">
        <w:t>profit levels. Losses are concentrated in four sectors (Wood products, Non-metallic mineral products, Basic Metals, and Metal products other than machinery), but most firms in these sectors currently have above average profitability and will continue to do so with the EPA.</w:t>
      </w:r>
      <w:r w:rsidR="004B1441">
        <w:t xml:space="preserve"> </w:t>
      </w:r>
    </w:p>
    <w:p w:rsidR="00FD1E55" w:rsidRPr="00FD1E55" w:rsidRDefault="006D205E" w:rsidP="00FA7532">
      <w:pPr>
        <w:jc w:val="both"/>
      </w:pPr>
      <w:r w:rsidRPr="00FD1E55">
        <w:t xml:space="preserve">The </w:t>
      </w:r>
      <w:r w:rsidR="006D1FCC">
        <w:t xml:space="preserve">estimated </w:t>
      </w:r>
      <w:r w:rsidRPr="00FD1E55">
        <w:t xml:space="preserve">effects of the EPA </w:t>
      </w:r>
      <w:r w:rsidR="006D1FCC">
        <w:t xml:space="preserve">on firms </w:t>
      </w:r>
      <w:r w:rsidRPr="00FD1E55">
        <w:t>are small compared to the potential impact of an accompanying competitiveness agenda that would boost productivity growth</w:t>
      </w:r>
      <w:r w:rsidR="00FD1E55" w:rsidRPr="00FD1E55">
        <w:t>, for example by reducing the number of power outages or the cost of transportation</w:t>
      </w:r>
      <w:r w:rsidRPr="00FD1E55">
        <w:t>. Such measures could help firms negatively affected cope with the EPA, but would have the added benefit of strengthening all Nigerian firms.</w:t>
      </w:r>
      <w:r w:rsidR="00FD1E55" w:rsidRPr="00FD1E55">
        <w:t xml:space="preserve"> </w:t>
      </w:r>
    </w:p>
    <w:p w:rsidR="006D205E" w:rsidRPr="00FD1E55" w:rsidRDefault="00FD1E55" w:rsidP="006E63BF">
      <w:pPr>
        <w:jc w:val="both"/>
      </w:pPr>
      <w:r w:rsidRPr="00FD1E55">
        <w:t>T</w:t>
      </w:r>
      <w:r w:rsidR="006D205E" w:rsidRPr="00FD1E55">
        <w:t xml:space="preserve">hough not a long term solution, EPA Trade Defense Measures can be effective in </w:t>
      </w:r>
      <w:r w:rsidR="006E0CA8">
        <w:t xml:space="preserve">temporarily </w:t>
      </w:r>
      <w:r w:rsidR="006D205E" w:rsidRPr="00FD1E55">
        <w:t xml:space="preserve">mitigating negative impacts on </w:t>
      </w:r>
      <w:r w:rsidR="006745EF">
        <w:t xml:space="preserve">a limited number of </w:t>
      </w:r>
      <w:r w:rsidR="006D205E" w:rsidRPr="00FD1E55">
        <w:t xml:space="preserve">domestic </w:t>
      </w:r>
      <w:r w:rsidR="006745EF" w:rsidRPr="00FD1E55">
        <w:t>industr</w:t>
      </w:r>
      <w:r w:rsidR="006745EF">
        <w:t>ies</w:t>
      </w:r>
      <w:r w:rsidR="006745EF" w:rsidRPr="00FD1E55">
        <w:t xml:space="preserve"> </w:t>
      </w:r>
      <w:r w:rsidR="006D205E" w:rsidRPr="00FD1E55">
        <w:t>if needed.</w:t>
      </w:r>
      <w:r w:rsidR="006745EF">
        <w:t xml:space="preserve"> However</w:t>
      </w:r>
      <w:r w:rsidR="006E0CA8">
        <w:t>, unlike an accompanying competitiveness agenda, t</w:t>
      </w:r>
      <w:r w:rsidR="006745EF">
        <w:t>his policy option</w:t>
      </w:r>
      <w:r w:rsidR="006E0CA8">
        <w:t xml:space="preserve"> would not promote productivity growth of affected firms, and would impose a burden on consumers through higher prices</w:t>
      </w:r>
      <w:r w:rsidR="004E3586">
        <w:t>.</w:t>
      </w:r>
    </w:p>
    <w:p w:rsidR="006D205E" w:rsidRPr="003D0BD3" w:rsidRDefault="006D205E" w:rsidP="00FA7532">
      <w:pPr>
        <w:jc w:val="both"/>
        <w:rPr>
          <w:b/>
        </w:rPr>
      </w:pPr>
    </w:p>
    <w:p w:rsidR="00747CE1" w:rsidRDefault="00747CE1" w:rsidP="00FA7532">
      <w:pPr>
        <w:rPr>
          <w:rFonts w:asciiTheme="majorHAnsi" w:eastAsiaTheme="majorEastAsia" w:hAnsiTheme="majorHAnsi" w:cstheme="majorBidi"/>
          <w:b/>
          <w:bCs/>
          <w:color w:val="365F91" w:themeColor="accent1" w:themeShade="BF"/>
          <w:sz w:val="28"/>
          <w:szCs w:val="28"/>
        </w:rPr>
      </w:pPr>
      <w:r>
        <w:br w:type="page"/>
      </w:r>
    </w:p>
    <w:p w:rsidR="00747CE1" w:rsidRDefault="00747CE1" w:rsidP="00FA7532">
      <w:pPr>
        <w:pStyle w:val="Heading1"/>
        <w:spacing w:after="200"/>
      </w:pPr>
      <w:bookmarkStart w:id="2" w:name="_Toc399860629"/>
      <w:r>
        <w:lastRenderedPageBreak/>
        <w:t>Acknowledgements</w:t>
      </w:r>
      <w:bookmarkEnd w:id="2"/>
      <w:r>
        <w:t xml:space="preserve"> </w:t>
      </w:r>
    </w:p>
    <w:p w:rsidR="001A1F05" w:rsidRDefault="00FD1E55" w:rsidP="00FA7532">
      <w:pPr>
        <w:jc w:val="both"/>
      </w:pPr>
      <w:r w:rsidRPr="00FD1E55">
        <w:t xml:space="preserve">This </w:t>
      </w:r>
      <w:r w:rsidR="00D44D3E">
        <w:t>paper</w:t>
      </w:r>
      <w:r>
        <w:t xml:space="preserve"> </w:t>
      </w:r>
      <w:r w:rsidRPr="00FD1E55">
        <w:t xml:space="preserve">was prepared by a World Bank team comprising Mr. Erik von </w:t>
      </w:r>
      <w:proofErr w:type="spellStart"/>
      <w:r w:rsidRPr="00FD1E55">
        <w:t>Uexkull</w:t>
      </w:r>
      <w:proofErr w:type="spellEnd"/>
      <w:r w:rsidRPr="00FD1E55">
        <w:t xml:space="preserve"> (Country Economist, </w:t>
      </w:r>
      <w:r w:rsidR="007D2C92">
        <w:t>GMFDR</w:t>
      </w:r>
      <w:r w:rsidRPr="00FD1E55">
        <w:t xml:space="preserve">, and corresponding author </w:t>
      </w:r>
      <w:hyperlink r:id="rId11" w:history="1">
        <w:r w:rsidRPr="00FD1E55">
          <w:t>jvonuexkull@worldbank.org</w:t>
        </w:r>
      </w:hyperlink>
      <w:r w:rsidRPr="00FD1E55">
        <w:t xml:space="preserve">), Mr. Dominique </w:t>
      </w:r>
      <w:proofErr w:type="spellStart"/>
      <w:r w:rsidRPr="00FD1E55">
        <w:t>Njinkeu</w:t>
      </w:r>
      <w:proofErr w:type="spellEnd"/>
      <w:r w:rsidRPr="00FD1E55">
        <w:t xml:space="preserve"> (Program Coordinator, AFTPM), Mr. Jean-Christophe </w:t>
      </w:r>
      <w:proofErr w:type="spellStart"/>
      <w:r w:rsidRPr="00FD1E55">
        <w:t>Maur</w:t>
      </w:r>
      <w:proofErr w:type="spellEnd"/>
      <w:r w:rsidRPr="00FD1E55">
        <w:t xml:space="preserve"> (Senior Econ</w:t>
      </w:r>
      <w:r w:rsidR="00B155CB">
        <w:t>o</w:t>
      </w:r>
      <w:r w:rsidRPr="00FD1E55">
        <w:t xml:space="preserve">mist, </w:t>
      </w:r>
      <w:r w:rsidR="00461B64">
        <w:t>GTCDR</w:t>
      </w:r>
      <w:r w:rsidRPr="00FD1E55">
        <w:t xml:space="preserve">), Mr. Antoine </w:t>
      </w:r>
      <w:proofErr w:type="spellStart"/>
      <w:r w:rsidRPr="00FD1E55">
        <w:t>Coste</w:t>
      </w:r>
      <w:proofErr w:type="spellEnd"/>
      <w:r w:rsidRPr="00FD1E55">
        <w:t xml:space="preserve"> (Consultant, </w:t>
      </w:r>
      <w:r w:rsidR="00461B64">
        <w:t>GTCDR</w:t>
      </w:r>
      <w:r w:rsidRPr="00FD1E55">
        <w:t xml:space="preserve">) and Ms. Lulu </w:t>
      </w:r>
      <w:proofErr w:type="spellStart"/>
      <w:r w:rsidRPr="00FD1E55">
        <w:t>Shui</w:t>
      </w:r>
      <w:proofErr w:type="spellEnd"/>
      <w:r w:rsidRPr="00FD1E55">
        <w:t xml:space="preserve"> (Consultant, </w:t>
      </w:r>
      <w:r w:rsidR="00461B64">
        <w:t>GMFDR</w:t>
      </w:r>
      <w:r w:rsidRPr="00FD1E55">
        <w:t xml:space="preserve">) </w:t>
      </w:r>
      <w:r w:rsidR="00D44D3E">
        <w:t xml:space="preserve">with </w:t>
      </w:r>
      <w:r w:rsidRPr="00FD1E55">
        <w:t>guidance from Ms. Marie Francoise Marie-Nelly (Country Director for Nigeria)</w:t>
      </w:r>
      <w:r w:rsidR="00C26D44">
        <w:t xml:space="preserve">, </w:t>
      </w:r>
      <w:r w:rsidRPr="00FD1E55">
        <w:t>Mr. Francisco Ferreira (Chief Economist, Africa Region</w:t>
      </w:r>
      <w:r w:rsidR="00C26D44">
        <w:t>), and Mr.</w:t>
      </w:r>
      <w:r w:rsidR="00C26D44" w:rsidRPr="00C26D44">
        <w:t xml:space="preserve"> </w:t>
      </w:r>
      <w:r w:rsidR="00C26D44">
        <w:t>Mark Thomas (</w:t>
      </w:r>
      <w:r w:rsidR="00461B64">
        <w:t>Practice</w:t>
      </w:r>
      <w:r w:rsidR="00C26D44">
        <w:t xml:space="preserve"> Manager, </w:t>
      </w:r>
      <w:r w:rsidR="00461B64">
        <w:t>GMFDR</w:t>
      </w:r>
      <w:r w:rsidRPr="00FD1E55">
        <w:t>)</w:t>
      </w:r>
      <w:r w:rsidR="00461B64">
        <w:t xml:space="preserve"> and</w:t>
      </w:r>
      <w:r w:rsidRPr="00FD1E55">
        <w:t xml:space="preserve"> </w:t>
      </w:r>
      <w:r w:rsidR="00461B64">
        <w:t xml:space="preserve">research assistance from Ms. Nadia Costanzo (Consultant, GMFDR). </w:t>
      </w:r>
      <w:r w:rsidR="00956D05">
        <w:t>H</w:t>
      </w:r>
      <w:r w:rsidRPr="00FD1E55">
        <w:t>elpful comments</w:t>
      </w:r>
      <w:r w:rsidR="00956D05">
        <w:t xml:space="preserve"> were received</w:t>
      </w:r>
      <w:r w:rsidRPr="00FD1E55">
        <w:t xml:space="preserve"> from Ms. Indira </w:t>
      </w:r>
      <w:proofErr w:type="spellStart"/>
      <w:r w:rsidRPr="00FD1E55">
        <w:t>Konjhodzic</w:t>
      </w:r>
      <w:proofErr w:type="spellEnd"/>
      <w:r w:rsidRPr="00FD1E55">
        <w:t xml:space="preserve"> (Country Program Coordinator for Nigeria),</w:t>
      </w:r>
      <w:r w:rsidR="00C26D44">
        <w:t xml:space="preserve"> Ms. </w:t>
      </w:r>
      <w:r w:rsidR="00C26D44" w:rsidRPr="00C26D44">
        <w:t>Marion Jansen and</w:t>
      </w:r>
      <w:r w:rsidR="00C26D44">
        <w:t xml:space="preserve"> Mr.</w:t>
      </w:r>
      <w:r w:rsidR="00C26D44" w:rsidRPr="00C26D44">
        <w:t xml:space="preserve"> </w:t>
      </w:r>
      <w:proofErr w:type="spellStart"/>
      <w:r w:rsidR="00C26D44" w:rsidRPr="00C26D44">
        <w:t>Yvan</w:t>
      </w:r>
      <w:proofErr w:type="spellEnd"/>
      <w:r w:rsidR="00C26D44" w:rsidRPr="00C26D44">
        <w:t xml:space="preserve"> </w:t>
      </w:r>
      <w:proofErr w:type="spellStart"/>
      <w:r w:rsidR="00C26D44" w:rsidRPr="00C26D44">
        <w:t>Decreux</w:t>
      </w:r>
      <w:proofErr w:type="spellEnd"/>
      <w:r w:rsidR="00C26D44" w:rsidRPr="00C26D44">
        <w:t xml:space="preserve"> (respectively Chief Economist and Senior Market Analyst, International Trade Center),</w:t>
      </w:r>
      <w:r w:rsidR="00C26D44">
        <w:t xml:space="preserve"> Mr.</w:t>
      </w:r>
      <w:r w:rsidR="00C26D44" w:rsidRPr="00C26D44">
        <w:t xml:space="preserve"> Michael </w:t>
      </w:r>
      <w:proofErr w:type="spellStart"/>
      <w:r w:rsidR="00C26D44" w:rsidRPr="00C26D44">
        <w:t>Ferrantino</w:t>
      </w:r>
      <w:proofErr w:type="spellEnd"/>
      <w:r w:rsidR="00C26D44" w:rsidRPr="00C26D44">
        <w:t xml:space="preserve"> (Lead Economist, GTCDR)</w:t>
      </w:r>
      <w:r w:rsidR="00C26D44">
        <w:t>, Mr.</w:t>
      </w:r>
      <w:r w:rsidR="00C26D44" w:rsidRPr="00C26D44">
        <w:t xml:space="preserve"> Leonardo </w:t>
      </w:r>
      <w:proofErr w:type="spellStart"/>
      <w:r w:rsidR="00C26D44" w:rsidRPr="00C26D44">
        <w:t>Iacovone</w:t>
      </w:r>
      <w:proofErr w:type="spellEnd"/>
      <w:r w:rsidR="00C26D44" w:rsidRPr="00C26D44">
        <w:t xml:space="preserve"> (Senior Economist, GTCDR)</w:t>
      </w:r>
      <w:r w:rsidR="00C26D44">
        <w:t>,</w:t>
      </w:r>
      <w:r w:rsidR="00C26D44" w:rsidRPr="00C26D44">
        <w:t xml:space="preserve"> </w:t>
      </w:r>
      <w:r w:rsidRPr="00FD1E55">
        <w:t xml:space="preserve">Mr. John </w:t>
      </w:r>
      <w:proofErr w:type="spellStart"/>
      <w:r w:rsidRPr="00FD1E55">
        <w:t>Litwack</w:t>
      </w:r>
      <w:proofErr w:type="spellEnd"/>
      <w:r w:rsidRPr="00FD1E55">
        <w:t xml:space="preserve"> (</w:t>
      </w:r>
      <w:r w:rsidR="00461B64">
        <w:t>Lead Economist</w:t>
      </w:r>
      <w:r w:rsidRPr="00FD1E55">
        <w:t xml:space="preserve">, </w:t>
      </w:r>
      <w:r w:rsidR="00461B64">
        <w:t>GMFDR</w:t>
      </w:r>
      <w:r w:rsidRPr="00FD1E55">
        <w:t xml:space="preserve">), </w:t>
      </w:r>
      <w:r w:rsidR="00956D05">
        <w:t xml:space="preserve">Mr. Paul Brenton (Lead Economist, </w:t>
      </w:r>
      <w:r w:rsidR="00461B64">
        <w:t>GCTDR</w:t>
      </w:r>
      <w:r w:rsidR="00956D05">
        <w:t xml:space="preserve">), </w:t>
      </w:r>
      <w:r w:rsidRPr="00FD1E55">
        <w:t xml:space="preserve">Ms. Nora </w:t>
      </w:r>
      <w:proofErr w:type="spellStart"/>
      <w:r w:rsidRPr="00FD1E55">
        <w:t>Dihel</w:t>
      </w:r>
      <w:proofErr w:type="spellEnd"/>
      <w:r w:rsidRPr="00FD1E55">
        <w:t xml:space="preserve"> (Se</w:t>
      </w:r>
      <w:r w:rsidR="00956D05">
        <w:t xml:space="preserve">nior Trade Economist, </w:t>
      </w:r>
      <w:r w:rsidR="00461B64">
        <w:t>GCTDR</w:t>
      </w:r>
      <w:r w:rsidR="00956D05">
        <w:t>)</w:t>
      </w:r>
      <w:r w:rsidR="00C26D44">
        <w:t xml:space="preserve">, </w:t>
      </w:r>
      <w:r w:rsidRPr="00FD1E55">
        <w:t xml:space="preserve"> Mr. </w:t>
      </w:r>
      <w:proofErr w:type="spellStart"/>
      <w:r w:rsidRPr="00FD1E55">
        <w:t>Mombert</w:t>
      </w:r>
      <w:proofErr w:type="spellEnd"/>
      <w:r w:rsidRPr="00FD1E55">
        <w:t xml:space="preserve"> Hoppe (Economist, </w:t>
      </w:r>
      <w:r w:rsidR="00461B64">
        <w:t>GCTDR</w:t>
      </w:r>
      <w:r w:rsidRPr="00FD1E55">
        <w:t>)</w:t>
      </w:r>
      <w:r w:rsidR="00C26D44">
        <w:t xml:space="preserve"> and Ms. Elisa </w:t>
      </w:r>
      <w:proofErr w:type="spellStart"/>
      <w:r w:rsidR="00C26D44">
        <w:t>Gamberoni</w:t>
      </w:r>
      <w:proofErr w:type="spellEnd"/>
      <w:r w:rsidR="00C26D44">
        <w:t xml:space="preserve"> (Economist,</w:t>
      </w:r>
      <w:r w:rsidR="00461B64">
        <w:t xml:space="preserve"> GMFDR)</w:t>
      </w:r>
      <w:r w:rsidRPr="00FD1E55">
        <w:t xml:space="preserve">. </w:t>
      </w:r>
    </w:p>
    <w:p w:rsidR="00FD1E55" w:rsidRDefault="00FD1E55" w:rsidP="00FA7532">
      <w:pPr>
        <w:jc w:val="both"/>
      </w:pPr>
      <w:r w:rsidRPr="00FD1E55">
        <w:t xml:space="preserve">The authors are </w:t>
      </w:r>
      <w:r w:rsidR="00956D05">
        <w:t xml:space="preserve">also </w:t>
      </w:r>
      <w:r w:rsidRPr="00FD1E55">
        <w:t xml:space="preserve">grateful for </w:t>
      </w:r>
      <w:r w:rsidR="00C26D44">
        <w:t xml:space="preserve">valuable inputs and comments from </w:t>
      </w:r>
      <w:r w:rsidRPr="00FD1E55">
        <w:t xml:space="preserve">Mr. Hamid Ahmed, ECOWAS Commissioner for Trade, Industry, Customs, and Free Movement, Mr. </w:t>
      </w:r>
      <w:proofErr w:type="spellStart"/>
      <w:r w:rsidRPr="00FD1E55">
        <w:t>Kolawole</w:t>
      </w:r>
      <w:proofErr w:type="spellEnd"/>
      <w:r w:rsidRPr="00FD1E55">
        <w:t xml:space="preserve"> </w:t>
      </w:r>
      <w:proofErr w:type="spellStart"/>
      <w:r w:rsidRPr="00FD1E55">
        <w:t>Sofola</w:t>
      </w:r>
      <w:proofErr w:type="spellEnd"/>
      <w:r w:rsidRPr="00FD1E55">
        <w:t>, Principal Program Officer for Multila</w:t>
      </w:r>
      <w:r>
        <w:t xml:space="preserve">teral Trade, ECOWAS Commission, Mr. Sunday </w:t>
      </w:r>
      <w:proofErr w:type="spellStart"/>
      <w:r>
        <w:t>Oghayei</w:t>
      </w:r>
      <w:proofErr w:type="spellEnd"/>
      <w:r>
        <w:t>, Department of Trade, Federal Ministry of Trade and Investment of the Federal Republic of Nigeria</w:t>
      </w:r>
      <w:r w:rsidR="005D37E9">
        <w:t>,</w:t>
      </w:r>
      <w:r w:rsidR="005D37E9" w:rsidRPr="005D37E9">
        <w:t xml:space="preserve"> </w:t>
      </w:r>
      <w:r w:rsidR="005D37E9">
        <w:t xml:space="preserve">Mr. Guido Porto (Professor of Economics, Universidad </w:t>
      </w:r>
      <w:proofErr w:type="spellStart"/>
      <w:r w:rsidR="005D37E9">
        <w:t>Nacional</w:t>
      </w:r>
      <w:proofErr w:type="spellEnd"/>
      <w:r w:rsidR="005D37E9">
        <w:t xml:space="preserve"> de la Plata), and Mr. Massimo de Luca (Head </w:t>
      </w:r>
      <w:r w:rsidR="005D37E9" w:rsidRPr="005D37E9">
        <w:t>of Trade and Economics Section</w:t>
      </w:r>
      <w:r w:rsidR="005D37E9">
        <w:t xml:space="preserve">) and several of his colleagues at the EU Delegation to Nigeria.   </w:t>
      </w:r>
      <w:r w:rsidR="005D37E9" w:rsidRPr="005D37E9">
        <w:t xml:space="preserve"> </w:t>
      </w:r>
      <w:r w:rsidR="005D37E9">
        <w:t xml:space="preserve"> </w:t>
      </w:r>
    </w:p>
    <w:p w:rsidR="001A1F05" w:rsidRPr="001A1F05" w:rsidRDefault="00E92AED" w:rsidP="00FA7532">
      <w:pPr>
        <w:jc w:val="both"/>
      </w:pPr>
      <w:r>
        <w:t xml:space="preserve">This paper is intended to inform the discussions around the EPA between West Africa and Europe. </w:t>
      </w:r>
      <w:r w:rsidR="001A1F05" w:rsidRPr="001A1F05">
        <w:t>The findings, interpretations, and conclusions are those of the authors and do not necessarily reflect the views of the Executive Directors of The World Bank or the governments they represent</w:t>
      </w:r>
      <w:r>
        <w:t xml:space="preserve">, nor the views of the ECOWAS Commission </w:t>
      </w:r>
      <w:r w:rsidR="00C25647">
        <w:t>or</w:t>
      </w:r>
      <w:r>
        <w:t xml:space="preserve"> the Federal Republic of Nigeria</w:t>
      </w:r>
      <w:r w:rsidR="001A1F05" w:rsidRPr="001A1F05">
        <w:t xml:space="preserve">. The World Bank does not guarantee the accuracy of the data included in this work. </w:t>
      </w:r>
    </w:p>
    <w:p w:rsidR="001A1F05" w:rsidRPr="00FD1E55" w:rsidRDefault="001A1F05" w:rsidP="00FA7532">
      <w:pPr>
        <w:jc w:val="both"/>
      </w:pPr>
    </w:p>
    <w:p w:rsidR="00F3774C" w:rsidRDefault="00F3774C" w:rsidP="00FA7532">
      <w:r>
        <w:br w:type="page"/>
      </w:r>
    </w:p>
    <w:sdt>
      <w:sdtPr>
        <w:rPr>
          <w:rFonts w:asciiTheme="minorHAnsi" w:eastAsiaTheme="minorHAnsi" w:hAnsiTheme="minorHAnsi" w:cstheme="minorBidi"/>
          <w:b w:val="0"/>
          <w:bCs w:val="0"/>
          <w:color w:val="auto"/>
          <w:sz w:val="22"/>
          <w:szCs w:val="22"/>
          <w:lang w:eastAsia="en-US"/>
        </w:rPr>
        <w:id w:val="734827051"/>
        <w:docPartObj>
          <w:docPartGallery w:val="Table of Contents"/>
          <w:docPartUnique/>
        </w:docPartObj>
      </w:sdtPr>
      <w:sdtEndPr>
        <w:rPr>
          <w:noProof/>
        </w:rPr>
      </w:sdtEndPr>
      <w:sdtContent>
        <w:p w:rsidR="00F3774C" w:rsidRDefault="00F3774C" w:rsidP="00FA7532">
          <w:pPr>
            <w:pStyle w:val="TOCHeading"/>
            <w:spacing w:after="200"/>
          </w:pPr>
          <w:r>
            <w:t>Contents</w:t>
          </w:r>
        </w:p>
        <w:p w:rsidR="00C25647" w:rsidRDefault="00F3774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9860628" w:history="1">
            <w:r w:rsidR="00C25647" w:rsidRPr="001808D2">
              <w:rPr>
                <w:rStyle w:val="Hyperlink"/>
                <w:noProof/>
              </w:rPr>
              <w:t>Executive Summary</w:t>
            </w:r>
            <w:r w:rsidR="00C25647">
              <w:rPr>
                <w:noProof/>
                <w:webHidden/>
              </w:rPr>
              <w:tab/>
            </w:r>
            <w:r w:rsidR="00C25647">
              <w:rPr>
                <w:noProof/>
                <w:webHidden/>
              </w:rPr>
              <w:fldChar w:fldCharType="begin"/>
            </w:r>
            <w:r w:rsidR="00C25647">
              <w:rPr>
                <w:noProof/>
                <w:webHidden/>
              </w:rPr>
              <w:instrText xml:space="preserve"> PAGEREF _Toc399860628 \h </w:instrText>
            </w:r>
            <w:r w:rsidR="00C25647">
              <w:rPr>
                <w:noProof/>
                <w:webHidden/>
              </w:rPr>
            </w:r>
            <w:r w:rsidR="00C25647">
              <w:rPr>
                <w:noProof/>
                <w:webHidden/>
              </w:rPr>
              <w:fldChar w:fldCharType="separate"/>
            </w:r>
            <w:r w:rsidR="00C25647">
              <w:rPr>
                <w:noProof/>
                <w:webHidden/>
              </w:rPr>
              <w:t>1</w:t>
            </w:r>
            <w:r w:rsidR="00C25647">
              <w:rPr>
                <w:noProof/>
                <w:webHidden/>
              </w:rPr>
              <w:fldChar w:fldCharType="end"/>
            </w:r>
          </w:hyperlink>
        </w:p>
        <w:p w:rsidR="00C25647" w:rsidRDefault="00170E25">
          <w:pPr>
            <w:pStyle w:val="TOC1"/>
            <w:tabs>
              <w:tab w:val="right" w:leader="dot" w:pos="9350"/>
            </w:tabs>
            <w:rPr>
              <w:rFonts w:eastAsiaTheme="minorEastAsia"/>
              <w:noProof/>
            </w:rPr>
          </w:pPr>
          <w:hyperlink w:anchor="_Toc399860629" w:history="1">
            <w:r w:rsidR="00C25647" w:rsidRPr="001808D2">
              <w:rPr>
                <w:rStyle w:val="Hyperlink"/>
                <w:noProof/>
              </w:rPr>
              <w:t>Acknowledgements</w:t>
            </w:r>
            <w:r w:rsidR="00C25647">
              <w:rPr>
                <w:noProof/>
                <w:webHidden/>
              </w:rPr>
              <w:tab/>
            </w:r>
            <w:r w:rsidR="00C25647">
              <w:rPr>
                <w:noProof/>
                <w:webHidden/>
              </w:rPr>
              <w:fldChar w:fldCharType="begin"/>
            </w:r>
            <w:r w:rsidR="00C25647">
              <w:rPr>
                <w:noProof/>
                <w:webHidden/>
              </w:rPr>
              <w:instrText xml:space="preserve"> PAGEREF _Toc399860629 \h </w:instrText>
            </w:r>
            <w:r w:rsidR="00C25647">
              <w:rPr>
                <w:noProof/>
                <w:webHidden/>
              </w:rPr>
            </w:r>
            <w:r w:rsidR="00C25647">
              <w:rPr>
                <w:noProof/>
                <w:webHidden/>
              </w:rPr>
              <w:fldChar w:fldCharType="separate"/>
            </w:r>
            <w:r w:rsidR="00C25647">
              <w:rPr>
                <w:noProof/>
                <w:webHidden/>
              </w:rPr>
              <w:t>2</w:t>
            </w:r>
            <w:r w:rsidR="00C25647">
              <w:rPr>
                <w:noProof/>
                <w:webHidden/>
              </w:rPr>
              <w:fldChar w:fldCharType="end"/>
            </w:r>
          </w:hyperlink>
        </w:p>
        <w:p w:rsidR="00C25647" w:rsidRDefault="00170E25">
          <w:pPr>
            <w:pStyle w:val="TOC1"/>
            <w:tabs>
              <w:tab w:val="left" w:pos="440"/>
              <w:tab w:val="right" w:leader="dot" w:pos="9350"/>
            </w:tabs>
            <w:rPr>
              <w:rFonts w:eastAsiaTheme="minorEastAsia"/>
              <w:noProof/>
            </w:rPr>
          </w:pPr>
          <w:hyperlink w:anchor="_Toc399860630" w:history="1">
            <w:r w:rsidR="00C25647" w:rsidRPr="001808D2">
              <w:rPr>
                <w:rStyle w:val="Hyperlink"/>
                <w:noProof/>
              </w:rPr>
              <w:t>1.</w:t>
            </w:r>
            <w:r w:rsidR="00C25647">
              <w:rPr>
                <w:rFonts w:eastAsiaTheme="minorEastAsia"/>
                <w:noProof/>
              </w:rPr>
              <w:tab/>
            </w:r>
            <w:r w:rsidR="00C25647" w:rsidRPr="001808D2">
              <w:rPr>
                <w:rStyle w:val="Hyperlink"/>
                <w:noProof/>
              </w:rPr>
              <w:t>Introduction</w:t>
            </w:r>
            <w:r w:rsidR="00C25647">
              <w:rPr>
                <w:noProof/>
                <w:webHidden/>
              </w:rPr>
              <w:tab/>
            </w:r>
            <w:r w:rsidR="00C25647">
              <w:rPr>
                <w:noProof/>
                <w:webHidden/>
              </w:rPr>
              <w:fldChar w:fldCharType="begin"/>
            </w:r>
            <w:r w:rsidR="00C25647">
              <w:rPr>
                <w:noProof/>
                <w:webHidden/>
              </w:rPr>
              <w:instrText xml:space="preserve"> PAGEREF _Toc399860630 \h </w:instrText>
            </w:r>
            <w:r w:rsidR="00C25647">
              <w:rPr>
                <w:noProof/>
                <w:webHidden/>
              </w:rPr>
            </w:r>
            <w:r w:rsidR="00C25647">
              <w:rPr>
                <w:noProof/>
                <w:webHidden/>
              </w:rPr>
              <w:fldChar w:fldCharType="separate"/>
            </w:r>
            <w:r w:rsidR="00C25647">
              <w:rPr>
                <w:noProof/>
                <w:webHidden/>
              </w:rPr>
              <w:t>5</w:t>
            </w:r>
            <w:r w:rsidR="00C25647">
              <w:rPr>
                <w:noProof/>
                <w:webHidden/>
              </w:rPr>
              <w:fldChar w:fldCharType="end"/>
            </w:r>
          </w:hyperlink>
        </w:p>
        <w:p w:rsidR="00C25647" w:rsidRDefault="00170E25">
          <w:pPr>
            <w:pStyle w:val="TOC1"/>
            <w:tabs>
              <w:tab w:val="left" w:pos="440"/>
              <w:tab w:val="right" w:leader="dot" w:pos="9350"/>
            </w:tabs>
            <w:rPr>
              <w:rFonts w:eastAsiaTheme="minorEastAsia"/>
              <w:noProof/>
            </w:rPr>
          </w:pPr>
          <w:hyperlink w:anchor="_Toc399860631" w:history="1">
            <w:r w:rsidR="00C25647" w:rsidRPr="001808D2">
              <w:rPr>
                <w:rStyle w:val="Hyperlink"/>
                <w:noProof/>
              </w:rPr>
              <w:t>2.</w:t>
            </w:r>
            <w:r w:rsidR="00C25647">
              <w:rPr>
                <w:rFonts w:eastAsiaTheme="minorEastAsia"/>
                <w:noProof/>
              </w:rPr>
              <w:tab/>
            </w:r>
            <w:r w:rsidR="00C25647" w:rsidRPr="001808D2">
              <w:rPr>
                <w:rStyle w:val="Hyperlink"/>
                <w:noProof/>
              </w:rPr>
              <w:t>Literature Review</w:t>
            </w:r>
            <w:r w:rsidR="00C25647">
              <w:rPr>
                <w:noProof/>
                <w:webHidden/>
              </w:rPr>
              <w:tab/>
            </w:r>
            <w:r w:rsidR="00C25647">
              <w:rPr>
                <w:noProof/>
                <w:webHidden/>
              </w:rPr>
              <w:fldChar w:fldCharType="begin"/>
            </w:r>
            <w:r w:rsidR="00C25647">
              <w:rPr>
                <w:noProof/>
                <w:webHidden/>
              </w:rPr>
              <w:instrText xml:space="preserve"> PAGEREF _Toc399860631 \h </w:instrText>
            </w:r>
            <w:r w:rsidR="00C25647">
              <w:rPr>
                <w:noProof/>
                <w:webHidden/>
              </w:rPr>
            </w:r>
            <w:r w:rsidR="00C25647">
              <w:rPr>
                <w:noProof/>
                <w:webHidden/>
              </w:rPr>
              <w:fldChar w:fldCharType="separate"/>
            </w:r>
            <w:r w:rsidR="00C25647">
              <w:rPr>
                <w:noProof/>
                <w:webHidden/>
              </w:rPr>
              <w:t>6</w:t>
            </w:r>
            <w:r w:rsidR="00C25647">
              <w:rPr>
                <w:noProof/>
                <w:webHidden/>
              </w:rPr>
              <w:fldChar w:fldCharType="end"/>
            </w:r>
          </w:hyperlink>
        </w:p>
        <w:p w:rsidR="00C25647" w:rsidRDefault="00170E25">
          <w:pPr>
            <w:pStyle w:val="TOC1"/>
            <w:tabs>
              <w:tab w:val="left" w:pos="440"/>
              <w:tab w:val="right" w:leader="dot" w:pos="9350"/>
            </w:tabs>
            <w:rPr>
              <w:rFonts w:eastAsiaTheme="minorEastAsia"/>
              <w:noProof/>
            </w:rPr>
          </w:pPr>
          <w:hyperlink w:anchor="_Toc399860632" w:history="1">
            <w:r w:rsidR="00C25647" w:rsidRPr="001808D2">
              <w:rPr>
                <w:rStyle w:val="Hyperlink"/>
                <w:noProof/>
              </w:rPr>
              <w:t>3.</w:t>
            </w:r>
            <w:r w:rsidR="00C25647">
              <w:rPr>
                <w:rFonts w:eastAsiaTheme="minorEastAsia"/>
                <w:noProof/>
              </w:rPr>
              <w:tab/>
            </w:r>
            <w:r w:rsidR="00C25647" w:rsidRPr="001808D2">
              <w:rPr>
                <w:rStyle w:val="Hyperlink"/>
                <w:noProof/>
              </w:rPr>
              <w:t>Methodology</w:t>
            </w:r>
            <w:r w:rsidR="00C25647">
              <w:rPr>
                <w:noProof/>
                <w:webHidden/>
              </w:rPr>
              <w:tab/>
            </w:r>
            <w:r w:rsidR="00C25647">
              <w:rPr>
                <w:noProof/>
                <w:webHidden/>
              </w:rPr>
              <w:fldChar w:fldCharType="begin"/>
            </w:r>
            <w:r w:rsidR="00C25647">
              <w:rPr>
                <w:noProof/>
                <w:webHidden/>
              </w:rPr>
              <w:instrText xml:space="preserve"> PAGEREF _Toc399860632 \h </w:instrText>
            </w:r>
            <w:r w:rsidR="00C25647">
              <w:rPr>
                <w:noProof/>
                <w:webHidden/>
              </w:rPr>
            </w:r>
            <w:r w:rsidR="00C25647">
              <w:rPr>
                <w:noProof/>
                <w:webHidden/>
              </w:rPr>
              <w:fldChar w:fldCharType="separate"/>
            </w:r>
            <w:r w:rsidR="00C25647">
              <w:rPr>
                <w:noProof/>
                <w:webHidden/>
              </w:rPr>
              <w:t>8</w:t>
            </w:r>
            <w:r w:rsidR="00C25647">
              <w:rPr>
                <w:noProof/>
                <w:webHidden/>
              </w:rPr>
              <w:fldChar w:fldCharType="end"/>
            </w:r>
          </w:hyperlink>
        </w:p>
        <w:p w:rsidR="00C25647" w:rsidRDefault="00170E25">
          <w:pPr>
            <w:pStyle w:val="TOC2"/>
            <w:tabs>
              <w:tab w:val="right" w:leader="dot" w:pos="9350"/>
            </w:tabs>
            <w:rPr>
              <w:rFonts w:eastAsiaTheme="minorEastAsia"/>
              <w:noProof/>
            </w:rPr>
          </w:pPr>
          <w:hyperlink w:anchor="_Toc399860633" w:history="1">
            <w:r w:rsidR="00C25647" w:rsidRPr="001808D2">
              <w:rPr>
                <w:rStyle w:val="Hyperlink"/>
                <w:noProof/>
              </w:rPr>
              <w:t xml:space="preserve">3.1. </w:t>
            </w:r>
            <w:r w:rsidR="00C25647">
              <w:rPr>
                <w:rStyle w:val="Hyperlink"/>
                <w:noProof/>
              </w:rPr>
              <w:t xml:space="preserve">    </w:t>
            </w:r>
            <w:r w:rsidR="00C25647" w:rsidRPr="001808D2">
              <w:rPr>
                <w:rStyle w:val="Hyperlink"/>
                <w:noProof/>
              </w:rPr>
              <w:t>Advantages and shortcoming</w:t>
            </w:r>
            <w:r w:rsidR="00C25647">
              <w:rPr>
                <w:noProof/>
                <w:webHidden/>
              </w:rPr>
              <w:tab/>
            </w:r>
            <w:r w:rsidR="00C25647">
              <w:rPr>
                <w:noProof/>
                <w:webHidden/>
              </w:rPr>
              <w:fldChar w:fldCharType="begin"/>
            </w:r>
            <w:r w:rsidR="00C25647">
              <w:rPr>
                <w:noProof/>
                <w:webHidden/>
              </w:rPr>
              <w:instrText xml:space="preserve"> PAGEREF _Toc399860633 \h </w:instrText>
            </w:r>
            <w:r w:rsidR="00C25647">
              <w:rPr>
                <w:noProof/>
                <w:webHidden/>
              </w:rPr>
            </w:r>
            <w:r w:rsidR="00C25647">
              <w:rPr>
                <w:noProof/>
                <w:webHidden/>
              </w:rPr>
              <w:fldChar w:fldCharType="separate"/>
            </w:r>
            <w:r w:rsidR="00C25647">
              <w:rPr>
                <w:noProof/>
                <w:webHidden/>
              </w:rPr>
              <w:t>8</w:t>
            </w:r>
            <w:r w:rsidR="00C25647">
              <w:rPr>
                <w:noProof/>
                <w:webHidden/>
              </w:rPr>
              <w:fldChar w:fldCharType="end"/>
            </w:r>
          </w:hyperlink>
        </w:p>
        <w:p w:rsidR="00C25647" w:rsidRDefault="00170E25">
          <w:pPr>
            <w:pStyle w:val="TOC2"/>
            <w:tabs>
              <w:tab w:val="right" w:leader="dot" w:pos="9350"/>
            </w:tabs>
            <w:rPr>
              <w:rFonts w:eastAsiaTheme="minorEastAsia"/>
              <w:noProof/>
            </w:rPr>
          </w:pPr>
          <w:hyperlink w:anchor="_Toc399860634" w:history="1">
            <w:r w:rsidR="00C25647" w:rsidRPr="001808D2">
              <w:rPr>
                <w:rStyle w:val="Hyperlink"/>
                <w:noProof/>
              </w:rPr>
              <w:t>3.2.</w:t>
            </w:r>
            <w:r w:rsidR="00C25647">
              <w:rPr>
                <w:rStyle w:val="Hyperlink"/>
                <w:noProof/>
              </w:rPr>
              <w:t xml:space="preserve">    </w:t>
            </w:r>
            <w:r w:rsidR="00C25647" w:rsidRPr="001808D2">
              <w:rPr>
                <w:rStyle w:val="Hyperlink"/>
                <w:noProof/>
              </w:rPr>
              <w:t xml:space="preserve"> The Tariff Reform Impact Simulation Tool (TRIST)</w:t>
            </w:r>
            <w:r w:rsidR="00C25647">
              <w:rPr>
                <w:noProof/>
                <w:webHidden/>
              </w:rPr>
              <w:tab/>
            </w:r>
            <w:r w:rsidR="00C25647">
              <w:rPr>
                <w:noProof/>
                <w:webHidden/>
              </w:rPr>
              <w:fldChar w:fldCharType="begin"/>
            </w:r>
            <w:r w:rsidR="00C25647">
              <w:rPr>
                <w:noProof/>
                <w:webHidden/>
              </w:rPr>
              <w:instrText xml:space="preserve"> PAGEREF _Toc399860634 \h </w:instrText>
            </w:r>
            <w:r w:rsidR="00C25647">
              <w:rPr>
                <w:noProof/>
                <w:webHidden/>
              </w:rPr>
            </w:r>
            <w:r w:rsidR="00C25647">
              <w:rPr>
                <w:noProof/>
                <w:webHidden/>
              </w:rPr>
              <w:fldChar w:fldCharType="separate"/>
            </w:r>
            <w:r w:rsidR="00C25647">
              <w:rPr>
                <w:noProof/>
                <w:webHidden/>
              </w:rPr>
              <w:t>8</w:t>
            </w:r>
            <w:r w:rsidR="00C25647">
              <w:rPr>
                <w:noProof/>
                <w:webHidden/>
              </w:rPr>
              <w:fldChar w:fldCharType="end"/>
            </w:r>
          </w:hyperlink>
        </w:p>
        <w:p w:rsidR="00C25647" w:rsidRDefault="00170E25">
          <w:pPr>
            <w:pStyle w:val="TOC2"/>
            <w:tabs>
              <w:tab w:val="right" w:leader="dot" w:pos="9350"/>
            </w:tabs>
            <w:rPr>
              <w:rFonts w:eastAsiaTheme="minorEastAsia"/>
              <w:noProof/>
            </w:rPr>
          </w:pPr>
          <w:hyperlink w:anchor="_Toc399860635" w:history="1">
            <w:r w:rsidR="00C25647" w:rsidRPr="001808D2">
              <w:rPr>
                <w:rStyle w:val="Hyperlink"/>
                <w:noProof/>
              </w:rPr>
              <w:t xml:space="preserve">3.3. </w:t>
            </w:r>
            <w:r w:rsidR="00C25647">
              <w:rPr>
                <w:rStyle w:val="Hyperlink"/>
                <w:noProof/>
              </w:rPr>
              <w:t xml:space="preserve">    </w:t>
            </w:r>
            <w:r w:rsidR="00C25647" w:rsidRPr="001808D2">
              <w:rPr>
                <w:rStyle w:val="Hyperlink"/>
                <w:noProof/>
              </w:rPr>
              <w:t>Methodology for revenue results</w:t>
            </w:r>
            <w:r w:rsidR="00C25647">
              <w:rPr>
                <w:noProof/>
                <w:webHidden/>
              </w:rPr>
              <w:tab/>
            </w:r>
            <w:r w:rsidR="00C25647">
              <w:rPr>
                <w:noProof/>
                <w:webHidden/>
              </w:rPr>
              <w:fldChar w:fldCharType="begin"/>
            </w:r>
            <w:r w:rsidR="00C25647">
              <w:rPr>
                <w:noProof/>
                <w:webHidden/>
              </w:rPr>
              <w:instrText xml:space="preserve"> PAGEREF _Toc399860635 \h </w:instrText>
            </w:r>
            <w:r w:rsidR="00C25647">
              <w:rPr>
                <w:noProof/>
                <w:webHidden/>
              </w:rPr>
            </w:r>
            <w:r w:rsidR="00C25647">
              <w:rPr>
                <w:noProof/>
                <w:webHidden/>
              </w:rPr>
              <w:fldChar w:fldCharType="separate"/>
            </w:r>
            <w:r w:rsidR="00C25647">
              <w:rPr>
                <w:noProof/>
                <w:webHidden/>
              </w:rPr>
              <w:t>11</w:t>
            </w:r>
            <w:r w:rsidR="00C25647">
              <w:rPr>
                <w:noProof/>
                <w:webHidden/>
              </w:rPr>
              <w:fldChar w:fldCharType="end"/>
            </w:r>
          </w:hyperlink>
        </w:p>
        <w:p w:rsidR="00C25647" w:rsidRDefault="00170E25">
          <w:pPr>
            <w:pStyle w:val="TOC2"/>
            <w:tabs>
              <w:tab w:val="left" w:pos="880"/>
              <w:tab w:val="right" w:leader="dot" w:pos="9350"/>
            </w:tabs>
            <w:rPr>
              <w:rFonts w:eastAsiaTheme="minorEastAsia"/>
              <w:noProof/>
            </w:rPr>
          </w:pPr>
          <w:hyperlink w:anchor="_Toc399860636" w:history="1">
            <w:r w:rsidR="00C25647" w:rsidRPr="001808D2">
              <w:rPr>
                <w:rStyle w:val="Hyperlink"/>
                <w:noProof/>
              </w:rPr>
              <w:t>3.4.</w:t>
            </w:r>
            <w:r w:rsidR="00C25647">
              <w:rPr>
                <w:rFonts w:eastAsiaTheme="minorEastAsia"/>
                <w:noProof/>
              </w:rPr>
              <w:tab/>
            </w:r>
            <w:r w:rsidR="00C25647" w:rsidRPr="001808D2">
              <w:rPr>
                <w:rStyle w:val="Hyperlink"/>
                <w:noProof/>
              </w:rPr>
              <w:t>Methodology for household price results</w:t>
            </w:r>
            <w:r w:rsidR="00C25647">
              <w:rPr>
                <w:noProof/>
                <w:webHidden/>
              </w:rPr>
              <w:tab/>
            </w:r>
            <w:r w:rsidR="00C25647">
              <w:rPr>
                <w:noProof/>
                <w:webHidden/>
              </w:rPr>
              <w:fldChar w:fldCharType="begin"/>
            </w:r>
            <w:r w:rsidR="00C25647">
              <w:rPr>
                <w:noProof/>
                <w:webHidden/>
              </w:rPr>
              <w:instrText xml:space="preserve"> PAGEREF _Toc399860636 \h </w:instrText>
            </w:r>
            <w:r w:rsidR="00C25647">
              <w:rPr>
                <w:noProof/>
                <w:webHidden/>
              </w:rPr>
            </w:r>
            <w:r w:rsidR="00C25647">
              <w:rPr>
                <w:noProof/>
                <w:webHidden/>
              </w:rPr>
              <w:fldChar w:fldCharType="separate"/>
            </w:r>
            <w:r w:rsidR="00C25647">
              <w:rPr>
                <w:noProof/>
                <w:webHidden/>
              </w:rPr>
              <w:t>11</w:t>
            </w:r>
            <w:r w:rsidR="00C25647">
              <w:rPr>
                <w:noProof/>
                <w:webHidden/>
              </w:rPr>
              <w:fldChar w:fldCharType="end"/>
            </w:r>
          </w:hyperlink>
        </w:p>
        <w:p w:rsidR="00C25647" w:rsidRDefault="00170E25">
          <w:pPr>
            <w:pStyle w:val="TOC2"/>
            <w:tabs>
              <w:tab w:val="left" w:pos="880"/>
              <w:tab w:val="right" w:leader="dot" w:pos="9350"/>
            </w:tabs>
            <w:rPr>
              <w:rFonts w:eastAsiaTheme="minorEastAsia"/>
              <w:noProof/>
            </w:rPr>
          </w:pPr>
          <w:hyperlink w:anchor="_Toc399860637" w:history="1">
            <w:r w:rsidR="00C25647" w:rsidRPr="001808D2">
              <w:rPr>
                <w:rStyle w:val="Hyperlink"/>
                <w:noProof/>
              </w:rPr>
              <w:t>3.5.</w:t>
            </w:r>
            <w:r w:rsidR="00C25647">
              <w:rPr>
                <w:rFonts w:eastAsiaTheme="minorEastAsia"/>
                <w:noProof/>
              </w:rPr>
              <w:tab/>
            </w:r>
            <w:r w:rsidR="00C25647" w:rsidRPr="001808D2">
              <w:rPr>
                <w:rStyle w:val="Hyperlink"/>
                <w:noProof/>
              </w:rPr>
              <w:t>Methodology for firm level results</w:t>
            </w:r>
            <w:r w:rsidR="00C25647">
              <w:rPr>
                <w:noProof/>
                <w:webHidden/>
              </w:rPr>
              <w:tab/>
            </w:r>
            <w:r w:rsidR="00C25647">
              <w:rPr>
                <w:noProof/>
                <w:webHidden/>
              </w:rPr>
              <w:fldChar w:fldCharType="begin"/>
            </w:r>
            <w:r w:rsidR="00C25647">
              <w:rPr>
                <w:noProof/>
                <w:webHidden/>
              </w:rPr>
              <w:instrText xml:space="preserve"> PAGEREF _Toc399860637 \h </w:instrText>
            </w:r>
            <w:r w:rsidR="00C25647">
              <w:rPr>
                <w:noProof/>
                <w:webHidden/>
              </w:rPr>
            </w:r>
            <w:r w:rsidR="00C25647">
              <w:rPr>
                <w:noProof/>
                <w:webHidden/>
              </w:rPr>
              <w:fldChar w:fldCharType="separate"/>
            </w:r>
            <w:r w:rsidR="00C25647">
              <w:rPr>
                <w:noProof/>
                <w:webHidden/>
              </w:rPr>
              <w:t>12</w:t>
            </w:r>
            <w:r w:rsidR="00C25647">
              <w:rPr>
                <w:noProof/>
                <w:webHidden/>
              </w:rPr>
              <w:fldChar w:fldCharType="end"/>
            </w:r>
          </w:hyperlink>
        </w:p>
        <w:p w:rsidR="00C25647" w:rsidRDefault="00170E25">
          <w:pPr>
            <w:pStyle w:val="TOC2"/>
            <w:tabs>
              <w:tab w:val="right" w:leader="dot" w:pos="9350"/>
            </w:tabs>
            <w:rPr>
              <w:rFonts w:eastAsiaTheme="minorEastAsia"/>
              <w:noProof/>
            </w:rPr>
          </w:pPr>
          <w:hyperlink w:anchor="_Toc399860638" w:history="1">
            <w:r w:rsidR="00C25647" w:rsidRPr="001808D2">
              <w:rPr>
                <w:rStyle w:val="Hyperlink"/>
                <w:noProof/>
              </w:rPr>
              <w:t xml:space="preserve">3.6. </w:t>
            </w:r>
            <w:r w:rsidR="00C25647">
              <w:rPr>
                <w:rStyle w:val="Hyperlink"/>
                <w:noProof/>
              </w:rPr>
              <w:t xml:space="preserve">     </w:t>
            </w:r>
            <w:r w:rsidR="00C25647" w:rsidRPr="001808D2">
              <w:rPr>
                <w:rStyle w:val="Hyperlink"/>
                <w:noProof/>
              </w:rPr>
              <w:t>Baseline Scenario and Reform Stages</w:t>
            </w:r>
            <w:r w:rsidR="00C25647">
              <w:rPr>
                <w:noProof/>
                <w:webHidden/>
              </w:rPr>
              <w:tab/>
            </w:r>
            <w:r w:rsidR="00C25647">
              <w:rPr>
                <w:noProof/>
                <w:webHidden/>
              </w:rPr>
              <w:fldChar w:fldCharType="begin"/>
            </w:r>
            <w:r w:rsidR="00C25647">
              <w:rPr>
                <w:noProof/>
                <w:webHidden/>
              </w:rPr>
              <w:instrText xml:space="preserve"> PAGEREF _Toc399860638 \h </w:instrText>
            </w:r>
            <w:r w:rsidR="00C25647">
              <w:rPr>
                <w:noProof/>
                <w:webHidden/>
              </w:rPr>
            </w:r>
            <w:r w:rsidR="00C25647">
              <w:rPr>
                <w:noProof/>
                <w:webHidden/>
              </w:rPr>
              <w:fldChar w:fldCharType="separate"/>
            </w:r>
            <w:r w:rsidR="00C25647">
              <w:rPr>
                <w:noProof/>
                <w:webHidden/>
              </w:rPr>
              <w:t>13</w:t>
            </w:r>
            <w:r w:rsidR="00C25647">
              <w:rPr>
                <w:noProof/>
                <w:webHidden/>
              </w:rPr>
              <w:fldChar w:fldCharType="end"/>
            </w:r>
          </w:hyperlink>
        </w:p>
        <w:p w:rsidR="00C25647" w:rsidRDefault="00170E25">
          <w:pPr>
            <w:pStyle w:val="TOC1"/>
            <w:tabs>
              <w:tab w:val="left" w:pos="440"/>
              <w:tab w:val="right" w:leader="dot" w:pos="9350"/>
            </w:tabs>
            <w:rPr>
              <w:rFonts w:eastAsiaTheme="minorEastAsia"/>
              <w:noProof/>
            </w:rPr>
          </w:pPr>
          <w:hyperlink w:anchor="_Toc399860639" w:history="1">
            <w:r w:rsidR="00C25647" w:rsidRPr="001808D2">
              <w:rPr>
                <w:rStyle w:val="Hyperlink"/>
                <w:noProof/>
              </w:rPr>
              <w:t>4.</w:t>
            </w:r>
            <w:r w:rsidR="00C25647">
              <w:rPr>
                <w:rFonts w:eastAsiaTheme="minorEastAsia"/>
                <w:noProof/>
              </w:rPr>
              <w:tab/>
            </w:r>
            <w:r w:rsidR="00C25647" w:rsidRPr="001808D2">
              <w:rPr>
                <w:rStyle w:val="Hyperlink"/>
                <w:noProof/>
              </w:rPr>
              <w:t>Impact of EPA Implementation</w:t>
            </w:r>
            <w:r w:rsidR="00C25647">
              <w:rPr>
                <w:noProof/>
                <w:webHidden/>
              </w:rPr>
              <w:tab/>
            </w:r>
            <w:r w:rsidR="00C25647">
              <w:rPr>
                <w:noProof/>
                <w:webHidden/>
              </w:rPr>
              <w:fldChar w:fldCharType="begin"/>
            </w:r>
            <w:r w:rsidR="00C25647">
              <w:rPr>
                <w:noProof/>
                <w:webHidden/>
              </w:rPr>
              <w:instrText xml:space="preserve"> PAGEREF _Toc399860639 \h </w:instrText>
            </w:r>
            <w:r w:rsidR="00C25647">
              <w:rPr>
                <w:noProof/>
                <w:webHidden/>
              </w:rPr>
            </w:r>
            <w:r w:rsidR="00C25647">
              <w:rPr>
                <w:noProof/>
                <w:webHidden/>
              </w:rPr>
              <w:fldChar w:fldCharType="separate"/>
            </w:r>
            <w:r w:rsidR="00C25647">
              <w:rPr>
                <w:noProof/>
                <w:webHidden/>
              </w:rPr>
              <w:t>14</w:t>
            </w:r>
            <w:r w:rsidR="00C25647">
              <w:rPr>
                <w:noProof/>
                <w:webHidden/>
              </w:rPr>
              <w:fldChar w:fldCharType="end"/>
            </w:r>
          </w:hyperlink>
        </w:p>
        <w:p w:rsidR="00C25647" w:rsidRDefault="00170E25">
          <w:pPr>
            <w:pStyle w:val="TOC2"/>
            <w:tabs>
              <w:tab w:val="right" w:leader="dot" w:pos="9350"/>
            </w:tabs>
            <w:rPr>
              <w:rFonts w:eastAsiaTheme="minorEastAsia"/>
              <w:noProof/>
            </w:rPr>
          </w:pPr>
          <w:hyperlink w:anchor="_Toc399860640" w:history="1">
            <w:r w:rsidR="00C25647" w:rsidRPr="001808D2">
              <w:rPr>
                <w:rStyle w:val="Hyperlink"/>
                <w:noProof/>
              </w:rPr>
              <w:t xml:space="preserve">4.1. </w:t>
            </w:r>
            <w:r w:rsidR="00C25647">
              <w:rPr>
                <w:rStyle w:val="Hyperlink"/>
                <w:noProof/>
              </w:rPr>
              <w:t xml:space="preserve">     </w:t>
            </w:r>
            <w:r w:rsidR="00C25647" w:rsidRPr="001808D2">
              <w:rPr>
                <w:rStyle w:val="Hyperlink"/>
                <w:noProof/>
              </w:rPr>
              <w:t>Impact on Tariff Protection, Trade and Revenue</w:t>
            </w:r>
            <w:r w:rsidR="00C25647">
              <w:rPr>
                <w:noProof/>
                <w:webHidden/>
              </w:rPr>
              <w:tab/>
            </w:r>
            <w:r w:rsidR="00C25647">
              <w:rPr>
                <w:noProof/>
                <w:webHidden/>
              </w:rPr>
              <w:fldChar w:fldCharType="begin"/>
            </w:r>
            <w:r w:rsidR="00C25647">
              <w:rPr>
                <w:noProof/>
                <w:webHidden/>
              </w:rPr>
              <w:instrText xml:space="preserve"> PAGEREF _Toc399860640 \h </w:instrText>
            </w:r>
            <w:r w:rsidR="00C25647">
              <w:rPr>
                <w:noProof/>
                <w:webHidden/>
              </w:rPr>
            </w:r>
            <w:r w:rsidR="00C25647">
              <w:rPr>
                <w:noProof/>
                <w:webHidden/>
              </w:rPr>
              <w:fldChar w:fldCharType="separate"/>
            </w:r>
            <w:r w:rsidR="00C25647">
              <w:rPr>
                <w:noProof/>
                <w:webHidden/>
              </w:rPr>
              <w:t>14</w:t>
            </w:r>
            <w:r w:rsidR="00C25647">
              <w:rPr>
                <w:noProof/>
                <w:webHidden/>
              </w:rPr>
              <w:fldChar w:fldCharType="end"/>
            </w:r>
          </w:hyperlink>
        </w:p>
        <w:p w:rsidR="00C25647" w:rsidRDefault="00170E25">
          <w:pPr>
            <w:pStyle w:val="TOC2"/>
            <w:tabs>
              <w:tab w:val="left" w:pos="880"/>
              <w:tab w:val="right" w:leader="dot" w:pos="9350"/>
            </w:tabs>
            <w:rPr>
              <w:rFonts w:eastAsiaTheme="minorEastAsia"/>
              <w:noProof/>
            </w:rPr>
          </w:pPr>
          <w:hyperlink w:anchor="_Toc399860641" w:history="1">
            <w:r w:rsidR="00C25647" w:rsidRPr="001808D2">
              <w:rPr>
                <w:rStyle w:val="Hyperlink"/>
                <w:noProof/>
              </w:rPr>
              <w:t>4.2.</w:t>
            </w:r>
            <w:r w:rsidR="00C25647">
              <w:rPr>
                <w:rFonts w:eastAsiaTheme="minorEastAsia"/>
                <w:noProof/>
              </w:rPr>
              <w:tab/>
            </w:r>
            <w:r w:rsidR="00C25647" w:rsidRPr="001808D2">
              <w:rPr>
                <w:rStyle w:val="Hyperlink"/>
                <w:noProof/>
              </w:rPr>
              <w:t>Impact on Household Consumption</w:t>
            </w:r>
            <w:r w:rsidR="00C25647">
              <w:rPr>
                <w:noProof/>
                <w:webHidden/>
              </w:rPr>
              <w:tab/>
            </w:r>
            <w:r w:rsidR="00C25647">
              <w:rPr>
                <w:noProof/>
                <w:webHidden/>
              </w:rPr>
              <w:fldChar w:fldCharType="begin"/>
            </w:r>
            <w:r w:rsidR="00C25647">
              <w:rPr>
                <w:noProof/>
                <w:webHidden/>
              </w:rPr>
              <w:instrText xml:space="preserve"> PAGEREF _Toc399860641 \h </w:instrText>
            </w:r>
            <w:r w:rsidR="00C25647">
              <w:rPr>
                <w:noProof/>
                <w:webHidden/>
              </w:rPr>
            </w:r>
            <w:r w:rsidR="00C25647">
              <w:rPr>
                <w:noProof/>
                <w:webHidden/>
              </w:rPr>
              <w:fldChar w:fldCharType="separate"/>
            </w:r>
            <w:r w:rsidR="00C25647">
              <w:rPr>
                <w:noProof/>
                <w:webHidden/>
              </w:rPr>
              <w:t>17</w:t>
            </w:r>
            <w:r w:rsidR="00C25647">
              <w:rPr>
                <w:noProof/>
                <w:webHidden/>
              </w:rPr>
              <w:fldChar w:fldCharType="end"/>
            </w:r>
          </w:hyperlink>
        </w:p>
        <w:p w:rsidR="00C25647" w:rsidRDefault="00170E25">
          <w:pPr>
            <w:pStyle w:val="TOC2"/>
            <w:tabs>
              <w:tab w:val="right" w:leader="dot" w:pos="9350"/>
            </w:tabs>
            <w:rPr>
              <w:rFonts w:eastAsiaTheme="minorEastAsia"/>
              <w:noProof/>
            </w:rPr>
          </w:pPr>
          <w:hyperlink w:anchor="_Toc399860642" w:history="1">
            <w:r w:rsidR="00C25647" w:rsidRPr="001808D2">
              <w:rPr>
                <w:rStyle w:val="Hyperlink"/>
                <w:noProof/>
              </w:rPr>
              <w:t xml:space="preserve">4.3. </w:t>
            </w:r>
            <w:r w:rsidR="00C25647">
              <w:rPr>
                <w:rStyle w:val="Hyperlink"/>
                <w:noProof/>
              </w:rPr>
              <w:t xml:space="preserve">     </w:t>
            </w:r>
            <w:r w:rsidR="00C25647" w:rsidRPr="001808D2">
              <w:rPr>
                <w:rStyle w:val="Hyperlink"/>
                <w:noProof/>
              </w:rPr>
              <w:t>Impact on Firms and Jobs</w:t>
            </w:r>
            <w:r w:rsidR="00C25647">
              <w:rPr>
                <w:noProof/>
                <w:webHidden/>
              </w:rPr>
              <w:tab/>
            </w:r>
            <w:r w:rsidR="00C25647">
              <w:rPr>
                <w:noProof/>
                <w:webHidden/>
              </w:rPr>
              <w:fldChar w:fldCharType="begin"/>
            </w:r>
            <w:r w:rsidR="00C25647">
              <w:rPr>
                <w:noProof/>
                <w:webHidden/>
              </w:rPr>
              <w:instrText xml:space="preserve"> PAGEREF _Toc399860642 \h </w:instrText>
            </w:r>
            <w:r w:rsidR="00C25647">
              <w:rPr>
                <w:noProof/>
                <w:webHidden/>
              </w:rPr>
            </w:r>
            <w:r w:rsidR="00C25647">
              <w:rPr>
                <w:noProof/>
                <w:webHidden/>
              </w:rPr>
              <w:fldChar w:fldCharType="separate"/>
            </w:r>
            <w:r w:rsidR="00C25647">
              <w:rPr>
                <w:noProof/>
                <w:webHidden/>
              </w:rPr>
              <w:t>18</w:t>
            </w:r>
            <w:r w:rsidR="00C25647">
              <w:rPr>
                <w:noProof/>
                <w:webHidden/>
              </w:rPr>
              <w:fldChar w:fldCharType="end"/>
            </w:r>
          </w:hyperlink>
        </w:p>
        <w:p w:rsidR="00C25647" w:rsidRDefault="00170E25">
          <w:pPr>
            <w:pStyle w:val="TOC2"/>
            <w:tabs>
              <w:tab w:val="left" w:pos="880"/>
              <w:tab w:val="right" w:leader="dot" w:pos="9350"/>
            </w:tabs>
            <w:rPr>
              <w:rFonts w:eastAsiaTheme="minorEastAsia"/>
              <w:noProof/>
            </w:rPr>
          </w:pPr>
          <w:hyperlink w:anchor="_Toc399860643" w:history="1">
            <w:r w:rsidR="00C25647" w:rsidRPr="001808D2">
              <w:rPr>
                <w:rStyle w:val="Hyperlink"/>
                <w:noProof/>
              </w:rPr>
              <w:t>4.4.</w:t>
            </w:r>
            <w:r w:rsidR="00C25647">
              <w:rPr>
                <w:rFonts w:eastAsiaTheme="minorEastAsia"/>
                <w:noProof/>
              </w:rPr>
              <w:tab/>
            </w:r>
            <w:r w:rsidR="00C25647" w:rsidRPr="001808D2">
              <w:rPr>
                <w:rStyle w:val="Hyperlink"/>
                <w:noProof/>
              </w:rPr>
              <w:t>Dynamic adjustment of firms to the EPA</w:t>
            </w:r>
            <w:r w:rsidR="00C25647">
              <w:rPr>
                <w:noProof/>
                <w:webHidden/>
              </w:rPr>
              <w:tab/>
            </w:r>
            <w:r w:rsidR="00C25647">
              <w:rPr>
                <w:noProof/>
                <w:webHidden/>
              </w:rPr>
              <w:fldChar w:fldCharType="begin"/>
            </w:r>
            <w:r w:rsidR="00C25647">
              <w:rPr>
                <w:noProof/>
                <w:webHidden/>
              </w:rPr>
              <w:instrText xml:space="preserve"> PAGEREF _Toc399860643 \h </w:instrText>
            </w:r>
            <w:r w:rsidR="00C25647">
              <w:rPr>
                <w:noProof/>
                <w:webHidden/>
              </w:rPr>
            </w:r>
            <w:r w:rsidR="00C25647">
              <w:rPr>
                <w:noProof/>
                <w:webHidden/>
              </w:rPr>
              <w:fldChar w:fldCharType="separate"/>
            </w:r>
            <w:r w:rsidR="00C25647">
              <w:rPr>
                <w:noProof/>
                <w:webHidden/>
              </w:rPr>
              <w:t>26</w:t>
            </w:r>
            <w:r w:rsidR="00C25647">
              <w:rPr>
                <w:noProof/>
                <w:webHidden/>
              </w:rPr>
              <w:fldChar w:fldCharType="end"/>
            </w:r>
          </w:hyperlink>
        </w:p>
        <w:p w:rsidR="00C25647" w:rsidRDefault="00170E25">
          <w:pPr>
            <w:pStyle w:val="TOC1"/>
            <w:tabs>
              <w:tab w:val="left" w:pos="440"/>
              <w:tab w:val="right" w:leader="dot" w:pos="9350"/>
            </w:tabs>
            <w:rPr>
              <w:rFonts w:eastAsiaTheme="minorEastAsia"/>
              <w:noProof/>
            </w:rPr>
          </w:pPr>
          <w:hyperlink w:anchor="_Toc399860644" w:history="1">
            <w:r w:rsidR="00C25647" w:rsidRPr="001808D2">
              <w:rPr>
                <w:rStyle w:val="Hyperlink"/>
                <w:noProof/>
              </w:rPr>
              <w:t>5.</w:t>
            </w:r>
            <w:r w:rsidR="00C25647">
              <w:rPr>
                <w:rFonts w:eastAsiaTheme="minorEastAsia"/>
                <w:noProof/>
              </w:rPr>
              <w:tab/>
            </w:r>
            <w:r w:rsidR="00C25647" w:rsidRPr="001808D2">
              <w:rPr>
                <w:rStyle w:val="Hyperlink"/>
                <w:noProof/>
              </w:rPr>
              <w:t>Potential for Accompanying Policies</w:t>
            </w:r>
            <w:r w:rsidR="00C25647">
              <w:rPr>
                <w:noProof/>
                <w:webHidden/>
              </w:rPr>
              <w:tab/>
            </w:r>
            <w:r w:rsidR="00C25647">
              <w:rPr>
                <w:noProof/>
                <w:webHidden/>
              </w:rPr>
              <w:fldChar w:fldCharType="begin"/>
            </w:r>
            <w:r w:rsidR="00C25647">
              <w:rPr>
                <w:noProof/>
                <w:webHidden/>
              </w:rPr>
              <w:instrText xml:space="preserve"> PAGEREF _Toc399860644 \h </w:instrText>
            </w:r>
            <w:r w:rsidR="00C25647">
              <w:rPr>
                <w:noProof/>
                <w:webHidden/>
              </w:rPr>
            </w:r>
            <w:r w:rsidR="00C25647">
              <w:rPr>
                <w:noProof/>
                <w:webHidden/>
              </w:rPr>
              <w:fldChar w:fldCharType="separate"/>
            </w:r>
            <w:r w:rsidR="00C25647">
              <w:rPr>
                <w:noProof/>
                <w:webHidden/>
              </w:rPr>
              <w:t>29</w:t>
            </w:r>
            <w:r w:rsidR="00C25647">
              <w:rPr>
                <w:noProof/>
                <w:webHidden/>
              </w:rPr>
              <w:fldChar w:fldCharType="end"/>
            </w:r>
          </w:hyperlink>
        </w:p>
        <w:p w:rsidR="00C25647" w:rsidRDefault="00170E25">
          <w:pPr>
            <w:pStyle w:val="TOC2"/>
            <w:tabs>
              <w:tab w:val="right" w:leader="dot" w:pos="9350"/>
            </w:tabs>
            <w:rPr>
              <w:rFonts w:eastAsiaTheme="minorEastAsia"/>
              <w:noProof/>
            </w:rPr>
          </w:pPr>
          <w:hyperlink w:anchor="_Toc399860645" w:history="1">
            <w:r w:rsidR="00C25647" w:rsidRPr="001808D2">
              <w:rPr>
                <w:rStyle w:val="Hyperlink"/>
                <w:noProof/>
              </w:rPr>
              <w:t xml:space="preserve">5.1. </w:t>
            </w:r>
            <w:r w:rsidR="00C25647">
              <w:rPr>
                <w:rStyle w:val="Hyperlink"/>
                <w:noProof/>
              </w:rPr>
              <w:t xml:space="preserve">    </w:t>
            </w:r>
            <w:r w:rsidR="00C25647" w:rsidRPr="001808D2">
              <w:rPr>
                <w:rStyle w:val="Hyperlink"/>
                <w:noProof/>
              </w:rPr>
              <w:t>A Competitiveness Agenda</w:t>
            </w:r>
            <w:r w:rsidR="00C25647">
              <w:rPr>
                <w:noProof/>
                <w:webHidden/>
              </w:rPr>
              <w:tab/>
            </w:r>
            <w:r w:rsidR="00C25647">
              <w:rPr>
                <w:noProof/>
                <w:webHidden/>
              </w:rPr>
              <w:fldChar w:fldCharType="begin"/>
            </w:r>
            <w:r w:rsidR="00C25647">
              <w:rPr>
                <w:noProof/>
                <w:webHidden/>
              </w:rPr>
              <w:instrText xml:space="preserve"> PAGEREF _Toc399860645 \h </w:instrText>
            </w:r>
            <w:r w:rsidR="00C25647">
              <w:rPr>
                <w:noProof/>
                <w:webHidden/>
              </w:rPr>
            </w:r>
            <w:r w:rsidR="00C25647">
              <w:rPr>
                <w:noProof/>
                <w:webHidden/>
              </w:rPr>
              <w:fldChar w:fldCharType="separate"/>
            </w:r>
            <w:r w:rsidR="00C25647">
              <w:rPr>
                <w:noProof/>
                <w:webHidden/>
              </w:rPr>
              <w:t>29</w:t>
            </w:r>
            <w:r w:rsidR="00C25647">
              <w:rPr>
                <w:noProof/>
                <w:webHidden/>
              </w:rPr>
              <w:fldChar w:fldCharType="end"/>
            </w:r>
          </w:hyperlink>
        </w:p>
        <w:p w:rsidR="00C25647" w:rsidRDefault="00170E25">
          <w:pPr>
            <w:pStyle w:val="TOC2"/>
            <w:tabs>
              <w:tab w:val="right" w:leader="dot" w:pos="9350"/>
            </w:tabs>
            <w:rPr>
              <w:rFonts w:eastAsiaTheme="minorEastAsia"/>
              <w:noProof/>
            </w:rPr>
          </w:pPr>
          <w:hyperlink w:anchor="_Toc399860646" w:history="1">
            <w:r w:rsidR="00C25647" w:rsidRPr="001808D2">
              <w:rPr>
                <w:rStyle w:val="Hyperlink"/>
                <w:noProof/>
              </w:rPr>
              <w:t>5.2.</w:t>
            </w:r>
            <w:r w:rsidR="00C25647">
              <w:rPr>
                <w:rStyle w:val="Hyperlink"/>
                <w:noProof/>
              </w:rPr>
              <w:t xml:space="preserve">     </w:t>
            </w:r>
            <w:r w:rsidR="00C25647" w:rsidRPr="001808D2">
              <w:rPr>
                <w:rStyle w:val="Hyperlink"/>
                <w:noProof/>
              </w:rPr>
              <w:t xml:space="preserve"> Trade Defense Measures</w:t>
            </w:r>
            <w:r w:rsidR="00C25647">
              <w:rPr>
                <w:noProof/>
                <w:webHidden/>
              </w:rPr>
              <w:tab/>
            </w:r>
            <w:r w:rsidR="00C25647">
              <w:rPr>
                <w:noProof/>
                <w:webHidden/>
              </w:rPr>
              <w:fldChar w:fldCharType="begin"/>
            </w:r>
            <w:r w:rsidR="00C25647">
              <w:rPr>
                <w:noProof/>
                <w:webHidden/>
              </w:rPr>
              <w:instrText xml:space="preserve"> PAGEREF _Toc399860646 \h </w:instrText>
            </w:r>
            <w:r w:rsidR="00C25647">
              <w:rPr>
                <w:noProof/>
                <w:webHidden/>
              </w:rPr>
            </w:r>
            <w:r w:rsidR="00C25647">
              <w:rPr>
                <w:noProof/>
                <w:webHidden/>
              </w:rPr>
              <w:fldChar w:fldCharType="separate"/>
            </w:r>
            <w:r w:rsidR="00C25647">
              <w:rPr>
                <w:noProof/>
                <w:webHidden/>
              </w:rPr>
              <w:t>31</w:t>
            </w:r>
            <w:r w:rsidR="00C25647">
              <w:rPr>
                <w:noProof/>
                <w:webHidden/>
              </w:rPr>
              <w:fldChar w:fldCharType="end"/>
            </w:r>
          </w:hyperlink>
        </w:p>
        <w:p w:rsidR="00C25647" w:rsidRDefault="00170E25">
          <w:pPr>
            <w:pStyle w:val="TOC1"/>
            <w:tabs>
              <w:tab w:val="left" w:pos="440"/>
              <w:tab w:val="right" w:leader="dot" w:pos="9350"/>
            </w:tabs>
            <w:rPr>
              <w:rFonts w:eastAsiaTheme="minorEastAsia"/>
              <w:noProof/>
            </w:rPr>
          </w:pPr>
          <w:hyperlink w:anchor="_Toc399860647" w:history="1">
            <w:r w:rsidR="00C25647" w:rsidRPr="001808D2">
              <w:rPr>
                <w:rStyle w:val="Hyperlink"/>
                <w:noProof/>
              </w:rPr>
              <w:t>6.</w:t>
            </w:r>
            <w:r w:rsidR="00C25647">
              <w:rPr>
                <w:rFonts w:eastAsiaTheme="minorEastAsia"/>
                <w:noProof/>
              </w:rPr>
              <w:tab/>
            </w:r>
            <w:r w:rsidR="00C25647" w:rsidRPr="001808D2">
              <w:rPr>
                <w:rStyle w:val="Hyperlink"/>
                <w:noProof/>
              </w:rPr>
              <w:t>Conclusions</w:t>
            </w:r>
            <w:r w:rsidR="00C25647">
              <w:rPr>
                <w:noProof/>
                <w:webHidden/>
              </w:rPr>
              <w:tab/>
            </w:r>
            <w:r w:rsidR="00C25647">
              <w:rPr>
                <w:noProof/>
                <w:webHidden/>
              </w:rPr>
              <w:fldChar w:fldCharType="begin"/>
            </w:r>
            <w:r w:rsidR="00C25647">
              <w:rPr>
                <w:noProof/>
                <w:webHidden/>
              </w:rPr>
              <w:instrText xml:space="preserve"> PAGEREF _Toc399860647 \h </w:instrText>
            </w:r>
            <w:r w:rsidR="00C25647">
              <w:rPr>
                <w:noProof/>
                <w:webHidden/>
              </w:rPr>
            </w:r>
            <w:r w:rsidR="00C25647">
              <w:rPr>
                <w:noProof/>
                <w:webHidden/>
              </w:rPr>
              <w:fldChar w:fldCharType="separate"/>
            </w:r>
            <w:r w:rsidR="00C25647">
              <w:rPr>
                <w:noProof/>
                <w:webHidden/>
              </w:rPr>
              <w:t>31</w:t>
            </w:r>
            <w:r w:rsidR="00C25647">
              <w:rPr>
                <w:noProof/>
                <w:webHidden/>
              </w:rPr>
              <w:fldChar w:fldCharType="end"/>
            </w:r>
          </w:hyperlink>
        </w:p>
        <w:p w:rsidR="00C25647" w:rsidRDefault="00170E25">
          <w:pPr>
            <w:pStyle w:val="TOC1"/>
            <w:tabs>
              <w:tab w:val="right" w:leader="dot" w:pos="9350"/>
            </w:tabs>
            <w:rPr>
              <w:rFonts w:eastAsiaTheme="minorEastAsia"/>
              <w:noProof/>
            </w:rPr>
          </w:pPr>
          <w:hyperlink w:anchor="_Toc399860648" w:history="1">
            <w:r w:rsidR="00C25647" w:rsidRPr="001808D2">
              <w:rPr>
                <w:rStyle w:val="Hyperlink"/>
                <w:noProof/>
              </w:rPr>
              <w:t>References</w:t>
            </w:r>
            <w:r w:rsidR="00C25647">
              <w:rPr>
                <w:noProof/>
                <w:webHidden/>
              </w:rPr>
              <w:tab/>
            </w:r>
            <w:r w:rsidR="00C25647">
              <w:rPr>
                <w:noProof/>
                <w:webHidden/>
              </w:rPr>
              <w:fldChar w:fldCharType="begin"/>
            </w:r>
            <w:r w:rsidR="00C25647">
              <w:rPr>
                <w:noProof/>
                <w:webHidden/>
              </w:rPr>
              <w:instrText xml:space="preserve"> PAGEREF _Toc399860648 \h </w:instrText>
            </w:r>
            <w:r w:rsidR="00C25647">
              <w:rPr>
                <w:noProof/>
                <w:webHidden/>
              </w:rPr>
            </w:r>
            <w:r w:rsidR="00C25647">
              <w:rPr>
                <w:noProof/>
                <w:webHidden/>
              </w:rPr>
              <w:fldChar w:fldCharType="separate"/>
            </w:r>
            <w:r w:rsidR="00C25647">
              <w:rPr>
                <w:noProof/>
                <w:webHidden/>
              </w:rPr>
              <w:t>34</w:t>
            </w:r>
            <w:r w:rsidR="00C25647">
              <w:rPr>
                <w:noProof/>
                <w:webHidden/>
              </w:rPr>
              <w:fldChar w:fldCharType="end"/>
            </w:r>
          </w:hyperlink>
        </w:p>
        <w:p w:rsidR="00C25647" w:rsidRDefault="00170E25">
          <w:pPr>
            <w:pStyle w:val="TOC1"/>
            <w:tabs>
              <w:tab w:val="right" w:leader="dot" w:pos="9350"/>
            </w:tabs>
            <w:rPr>
              <w:rFonts w:eastAsiaTheme="minorEastAsia"/>
              <w:noProof/>
            </w:rPr>
          </w:pPr>
          <w:hyperlink w:anchor="_Toc399860649" w:history="1">
            <w:r w:rsidR="00C25647" w:rsidRPr="001808D2">
              <w:rPr>
                <w:rStyle w:val="Hyperlink"/>
                <w:noProof/>
              </w:rPr>
              <w:t>Annex 1: Calculation Steps for Projected Loss in Fiscal Revenue from EPA</w:t>
            </w:r>
            <w:r w:rsidR="00C25647">
              <w:rPr>
                <w:noProof/>
                <w:webHidden/>
              </w:rPr>
              <w:tab/>
            </w:r>
            <w:r w:rsidR="00C25647">
              <w:rPr>
                <w:noProof/>
                <w:webHidden/>
              </w:rPr>
              <w:fldChar w:fldCharType="begin"/>
            </w:r>
            <w:r w:rsidR="00C25647">
              <w:rPr>
                <w:noProof/>
                <w:webHidden/>
              </w:rPr>
              <w:instrText xml:space="preserve"> PAGEREF _Toc399860649 \h </w:instrText>
            </w:r>
            <w:r w:rsidR="00C25647">
              <w:rPr>
                <w:noProof/>
                <w:webHidden/>
              </w:rPr>
            </w:r>
            <w:r w:rsidR="00C25647">
              <w:rPr>
                <w:noProof/>
                <w:webHidden/>
              </w:rPr>
              <w:fldChar w:fldCharType="separate"/>
            </w:r>
            <w:r w:rsidR="00C25647">
              <w:rPr>
                <w:noProof/>
                <w:webHidden/>
              </w:rPr>
              <w:t>35</w:t>
            </w:r>
            <w:r w:rsidR="00C25647">
              <w:rPr>
                <w:noProof/>
                <w:webHidden/>
              </w:rPr>
              <w:fldChar w:fldCharType="end"/>
            </w:r>
          </w:hyperlink>
        </w:p>
        <w:p w:rsidR="00C25647" w:rsidRDefault="00170E25">
          <w:pPr>
            <w:pStyle w:val="TOC1"/>
            <w:tabs>
              <w:tab w:val="right" w:leader="dot" w:pos="9350"/>
            </w:tabs>
            <w:rPr>
              <w:rFonts w:eastAsiaTheme="minorEastAsia"/>
              <w:noProof/>
            </w:rPr>
          </w:pPr>
          <w:hyperlink w:anchor="_Toc399860650" w:history="1">
            <w:r w:rsidR="00C25647" w:rsidRPr="001808D2">
              <w:rPr>
                <w:rStyle w:val="Hyperlink"/>
                <w:noProof/>
              </w:rPr>
              <w:t>Annex 2: Price Changes at Household Consumption Category Level</w:t>
            </w:r>
            <w:r w:rsidR="00C25647">
              <w:rPr>
                <w:noProof/>
                <w:webHidden/>
              </w:rPr>
              <w:tab/>
            </w:r>
            <w:r w:rsidR="00C25647">
              <w:rPr>
                <w:noProof/>
                <w:webHidden/>
              </w:rPr>
              <w:fldChar w:fldCharType="begin"/>
            </w:r>
            <w:r w:rsidR="00C25647">
              <w:rPr>
                <w:noProof/>
                <w:webHidden/>
              </w:rPr>
              <w:instrText xml:space="preserve"> PAGEREF _Toc399860650 \h </w:instrText>
            </w:r>
            <w:r w:rsidR="00C25647">
              <w:rPr>
                <w:noProof/>
                <w:webHidden/>
              </w:rPr>
            </w:r>
            <w:r w:rsidR="00C25647">
              <w:rPr>
                <w:noProof/>
                <w:webHidden/>
              </w:rPr>
              <w:fldChar w:fldCharType="separate"/>
            </w:r>
            <w:r w:rsidR="00C25647">
              <w:rPr>
                <w:noProof/>
                <w:webHidden/>
              </w:rPr>
              <w:t>36</w:t>
            </w:r>
            <w:r w:rsidR="00C25647">
              <w:rPr>
                <w:noProof/>
                <w:webHidden/>
              </w:rPr>
              <w:fldChar w:fldCharType="end"/>
            </w:r>
          </w:hyperlink>
        </w:p>
        <w:p w:rsidR="00C25647" w:rsidRDefault="00170E25">
          <w:pPr>
            <w:pStyle w:val="TOC1"/>
            <w:tabs>
              <w:tab w:val="right" w:leader="dot" w:pos="9350"/>
            </w:tabs>
            <w:rPr>
              <w:rFonts w:eastAsiaTheme="minorEastAsia"/>
              <w:noProof/>
            </w:rPr>
          </w:pPr>
          <w:hyperlink w:anchor="_Toc399860651" w:history="1">
            <w:r w:rsidR="00C25647" w:rsidRPr="001808D2">
              <w:rPr>
                <w:rStyle w:val="Hyperlink"/>
                <w:noProof/>
              </w:rPr>
              <w:t>Annex 3: Summary Statistics on Manufacturing Firms in World Bank Enterprise Survey</w:t>
            </w:r>
            <w:r w:rsidR="00C25647">
              <w:rPr>
                <w:noProof/>
                <w:webHidden/>
              </w:rPr>
              <w:tab/>
            </w:r>
            <w:r w:rsidR="00C25647">
              <w:rPr>
                <w:noProof/>
                <w:webHidden/>
              </w:rPr>
              <w:fldChar w:fldCharType="begin"/>
            </w:r>
            <w:r w:rsidR="00C25647">
              <w:rPr>
                <w:noProof/>
                <w:webHidden/>
              </w:rPr>
              <w:instrText xml:space="preserve"> PAGEREF _Toc399860651 \h </w:instrText>
            </w:r>
            <w:r w:rsidR="00C25647">
              <w:rPr>
                <w:noProof/>
                <w:webHidden/>
              </w:rPr>
            </w:r>
            <w:r w:rsidR="00C25647">
              <w:rPr>
                <w:noProof/>
                <w:webHidden/>
              </w:rPr>
              <w:fldChar w:fldCharType="separate"/>
            </w:r>
            <w:r w:rsidR="00C25647">
              <w:rPr>
                <w:noProof/>
                <w:webHidden/>
              </w:rPr>
              <w:t>37</w:t>
            </w:r>
            <w:r w:rsidR="00C25647">
              <w:rPr>
                <w:noProof/>
                <w:webHidden/>
              </w:rPr>
              <w:fldChar w:fldCharType="end"/>
            </w:r>
          </w:hyperlink>
        </w:p>
        <w:p w:rsidR="00C25647" w:rsidRDefault="00170E25">
          <w:pPr>
            <w:pStyle w:val="TOC1"/>
            <w:tabs>
              <w:tab w:val="right" w:leader="dot" w:pos="9350"/>
            </w:tabs>
            <w:rPr>
              <w:rFonts w:eastAsiaTheme="minorEastAsia"/>
              <w:noProof/>
            </w:rPr>
          </w:pPr>
          <w:hyperlink w:anchor="_Toc399860652" w:history="1">
            <w:r w:rsidR="00C25647" w:rsidRPr="001808D2">
              <w:rPr>
                <w:rStyle w:val="Hyperlink"/>
                <w:noProof/>
              </w:rPr>
              <w:t>Annex 4: Data Sources for Firm Level Calculations</w:t>
            </w:r>
            <w:r w:rsidR="00C25647">
              <w:rPr>
                <w:noProof/>
                <w:webHidden/>
              </w:rPr>
              <w:tab/>
            </w:r>
            <w:r w:rsidR="00C25647">
              <w:rPr>
                <w:noProof/>
                <w:webHidden/>
              </w:rPr>
              <w:fldChar w:fldCharType="begin"/>
            </w:r>
            <w:r w:rsidR="00C25647">
              <w:rPr>
                <w:noProof/>
                <w:webHidden/>
              </w:rPr>
              <w:instrText xml:space="preserve"> PAGEREF _Toc399860652 \h </w:instrText>
            </w:r>
            <w:r w:rsidR="00C25647">
              <w:rPr>
                <w:noProof/>
                <w:webHidden/>
              </w:rPr>
            </w:r>
            <w:r w:rsidR="00C25647">
              <w:rPr>
                <w:noProof/>
                <w:webHidden/>
              </w:rPr>
              <w:fldChar w:fldCharType="separate"/>
            </w:r>
            <w:r w:rsidR="00C25647">
              <w:rPr>
                <w:noProof/>
                <w:webHidden/>
              </w:rPr>
              <w:t>38</w:t>
            </w:r>
            <w:r w:rsidR="00C25647">
              <w:rPr>
                <w:noProof/>
                <w:webHidden/>
              </w:rPr>
              <w:fldChar w:fldCharType="end"/>
            </w:r>
          </w:hyperlink>
        </w:p>
        <w:p w:rsidR="00C25647" w:rsidRDefault="00170E25">
          <w:pPr>
            <w:pStyle w:val="TOC1"/>
            <w:tabs>
              <w:tab w:val="right" w:leader="dot" w:pos="9350"/>
            </w:tabs>
            <w:rPr>
              <w:rFonts w:eastAsiaTheme="minorEastAsia"/>
              <w:noProof/>
            </w:rPr>
          </w:pPr>
          <w:hyperlink w:anchor="_Toc399860653" w:history="1">
            <w:r w:rsidR="00C25647" w:rsidRPr="001808D2">
              <w:rPr>
                <w:rStyle w:val="Hyperlink"/>
                <w:noProof/>
              </w:rPr>
              <w:t>Annex 5: TRIST predicted price changes by ISIC, GTAP and BEC categories</w:t>
            </w:r>
            <w:r w:rsidR="00C25647">
              <w:rPr>
                <w:noProof/>
                <w:webHidden/>
              </w:rPr>
              <w:tab/>
            </w:r>
            <w:r w:rsidR="00C25647">
              <w:rPr>
                <w:noProof/>
                <w:webHidden/>
              </w:rPr>
              <w:fldChar w:fldCharType="begin"/>
            </w:r>
            <w:r w:rsidR="00C25647">
              <w:rPr>
                <w:noProof/>
                <w:webHidden/>
              </w:rPr>
              <w:instrText xml:space="preserve"> PAGEREF _Toc399860653 \h </w:instrText>
            </w:r>
            <w:r w:rsidR="00C25647">
              <w:rPr>
                <w:noProof/>
                <w:webHidden/>
              </w:rPr>
            </w:r>
            <w:r w:rsidR="00C25647">
              <w:rPr>
                <w:noProof/>
                <w:webHidden/>
              </w:rPr>
              <w:fldChar w:fldCharType="separate"/>
            </w:r>
            <w:r w:rsidR="00C25647">
              <w:rPr>
                <w:noProof/>
                <w:webHidden/>
              </w:rPr>
              <w:t>39</w:t>
            </w:r>
            <w:r w:rsidR="00C25647">
              <w:rPr>
                <w:noProof/>
                <w:webHidden/>
              </w:rPr>
              <w:fldChar w:fldCharType="end"/>
            </w:r>
          </w:hyperlink>
        </w:p>
        <w:p w:rsidR="00C25647" w:rsidRDefault="00170E25">
          <w:pPr>
            <w:pStyle w:val="TOC1"/>
            <w:tabs>
              <w:tab w:val="right" w:leader="dot" w:pos="9350"/>
            </w:tabs>
            <w:rPr>
              <w:rFonts w:eastAsiaTheme="minorEastAsia"/>
              <w:noProof/>
            </w:rPr>
          </w:pPr>
          <w:hyperlink w:anchor="_Toc399860654" w:history="1">
            <w:r w:rsidR="00C25647" w:rsidRPr="001808D2">
              <w:rPr>
                <w:rStyle w:val="Hyperlink"/>
                <w:noProof/>
              </w:rPr>
              <w:t>Annex 6: Key findings of von Uexkull and Shui (2014) on the Effect of Implementing the ECOWAS Common External Tariff on Nigeria</w:t>
            </w:r>
            <w:r w:rsidR="00C25647">
              <w:rPr>
                <w:noProof/>
                <w:webHidden/>
              </w:rPr>
              <w:tab/>
            </w:r>
            <w:r w:rsidR="00C25647">
              <w:rPr>
                <w:noProof/>
                <w:webHidden/>
              </w:rPr>
              <w:fldChar w:fldCharType="begin"/>
            </w:r>
            <w:r w:rsidR="00C25647">
              <w:rPr>
                <w:noProof/>
                <w:webHidden/>
              </w:rPr>
              <w:instrText xml:space="preserve"> PAGEREF _Toc399860654 \h </w:instrText>
            </w:r>
            <w:r w:rsidR="00C25647">
              <w:rPr>
                <w:noProof/>
                <w:webHidden/>
              </w:rPr>
            </w:r>
            <w:r w:rsidR="00C25647">
              <w:rPr>
                <w:noProof/>
                <w:webHidden/>
              </w:rPr>
              <w:fldChar w:fldCharType="separate"/>
            </w:r>
            <w:r w:rsidR="00C25647">
              <w:rPr>
                <w:noProof/>
                <w:webHidden/>
              </w:rPr>
              <w:t>42</w:t>
            </w:r>
            <w:r w:rsidR="00C25647">
              <w:rPr>
                <w:noProof/>
                <w:webHidden/>
              </w:rPr>
              <w:fldChar w:fldCharType="end"/>
            </w:r>
          </w:hyperlink>
        </w:p>
        <w:p w:rsidR="00F3774C" w:rsidRDefault="00F3774C" w:rsidP="00FA7532">
          <w:r>
            <w:rPr>
              <w:b/>
              <w:bCs/>
              <w:noProof/>
            </w:rPr>
            <w:fldChar w:fldCharType="end"/>
          </w:r>
        </w:p>
      </w:sdtContent>
    </w:sdt>
    <w:p w:rsidR="00F3774C" w:rsidRPr="00747CE1" w:rsidRDefault="00F3774C" w:rsidP="00FA7532">
      <w:pPr>
        <w:jc w:val="both"/>
      </w:pPr>
    </w:p>
    <w:p w:rsidR="00747CE1" w:rsidRDefault="00747CE1" w:rsidP="00FA7532">
      <w:pPr>
        <w:pStyle w:val="Heading1"/>
        <w:numPr>
          <w:ilvl w:val="0"/>
          <w:numId w:val="1"/>
        </w:numPr>
        <w:spacing w:after="200"/>
      </w:pPr>
      <w:bookmarkStart w:id="3" w:name="_Toc399860630"/>
      <w:r>
        <w:lastRenderedPageBreak/>
        <w:t>Introduction</w:t>
      </w:r>
      <w:bookmarkEnd w:id="3"/>
    </w:p>
    <w:p w:rsidR="00094269" w:rsidRPr="00EB4F5C" w:rsidRDefault="00821E56" w:rsidP="00FA7532">
      <w:pPr>
        <w:jc w:val="both"/>
      </w:pPr>
      <w:r>
        <w:t xml:space="preserve">This </w:t>
      </w:r>
      <w:r w:rsidR="007C1876">
        <w:t xml:space="preserve">paper </w:t>
      </w:r>
      <w:r w:rsidR="00B155CB">
        <w:t xml:space="preserve">offers a simple way to </w:t>
      </w:r>
      <w:r>
        <w:t xml:space="preserve">assess the impact </w:t>
      </w:r>
      <w:r w:rsidR="00094269">
        <w:t xml:space="preserve">on the economy of Nigeria </w:t>
      </w:r>
      <w:r>
        <w:t xml:space="preserve">of an Economic Partnership Agreement (EPA) between the ECOWAS countries and the European </w:t>
      </w:r>
      <w:r w:rsidR="00094269">
        <w:t xml:space="preserve">Union, based on </w:t>
      </w:r>
      <w:r w:rsidR="005C26D5">
        <w:t>the</w:t>
      </w:r>
      <w:r w:rsidR="00094269">
        <w:t xml:space="preserve"> market access offer </w:t>
      </w:r>
      <w:r w:rsidR="005C26D5">
        <w:t xml:space="preserve">contained in the negotiation proposals in early </w:t>
      </w:r>
      <w:r w:rsidR="00094269">
        <w:t>2014</w:t>
      </w:r>
      <w:r w:rsidR="007C1876">
        <w:t xml:space="preserve"> with the </w:t>
      </w:r>
      <w:r w:rsidR="00117950" w:rsidRPr="00EB4F5C">
        <w:t xml:space="preserve">following </w:t>
      </w:r>
      <w:r w:rsidR="007C1876">
        <w:t>key elements</w:t>
      </w:r>
      <w:r w:rsidR="00117950" w:rsidRPr="00EB4F5C">
        <w:t xml:space="preserve">: </w:t>
      </w:r>
    </w:p>
    <w:p w:rsidR="002010F7" w:rsidRPr="00EB4F5C" w:rsidRDefault="002010F7" w:rsidP="00FA7532">
      <w:pPr>
        <w:pStyle w:val="ListParagraph"/>
        <w:numPr>
          <w:ilvl w:val="1"/>
          <w:numId w:val="31"/>
        </w:numPr>
        <w:contextualSpacing w:val="0"/>
        <w:jc w:val="both"/>
      </w:pPr>
      <w:r>
        <w:t>L</w:t>
      </w:r>
      <w:r w:rsidRPr="00EB4F5C">
        <w:t>iberalization</w:t>
      </w:r>
      <w:r>
        <w:t>,</w:t>
      </w:r>
      <w:r w:rsidRPr="00EB4F5C">
        <w:t xml:space="preserve"> </w:t>
      </w:r>
      <w:r>
        <w:t xml:space="preserve">to the benefit of the European Union (EU), </w:t>
      </w:r>
      <w:r w:rsidRPr="00EB4F5C">
        <w:t>of West African market access for 75</w:t>
      </w:r>
      <w:r>
        <w:t xml:space="preserve"> percent</w:t>
      </w:r>
      <w:r w:rsidRPr="00EB4F5C">
        <w:t xml:space="preserve"> of tariff lines over a period </w:t>
      </w:r>
      <w:r>
        <w:t xml:space="preserve">of </w:t>
      </w:r>
      <w:r w:rsidRPr="00EB4F5C">
        <w:t>20 years.</w:t>
      </w:r>
    </w:p>
    <w:p w:rsidR="002010F7" w:rsidRPr="00EB4F5C" w:rsidRDefault="002010F7" w:rsidP="00FA7532">
      <w:pPr>
        <w:numPr>
          <w:ilvl w:val="1"/>
          <w:numId w:val="31"/>
        </w:numPr>
        <w:jc w:val="both"/>
      </w:pPr>
      <w:r w:rsidRPr="00EB4F5C">
        <w:t>Three categories of products subject to gradual liberalization,</w:t>
      </w:r>
      <w:r>
        <w:t xml:space="preserve"> in four stages of five years each, </w:t>
      </w:r>
      <w:r w:rsidRPr="00EB4F5C">
        <w:t xml:space="preserve">starting </w:t>
      </w:r>
      <w:r>
        <w:t>on December 31, 2019</w:t>
      </w:r>
      <w:r w:rsidRPr="00EB4F5C">
        <w:t xml:space="preserve"> for the first category being liberalized and finishing in 2035 for the third category. The fourth category of product</w:t>
      </w:r>
      <w:r>
        <w:t xml:space="preserve">s, </w:t>
      </w:r>
      <w:r w:rsidRPr="00EB4F5C">
        <w:t xml:space="preserve">representing </w:t>
      </w:r>
      <w:r>
        <w:t>one quarter</w:t>
      </w:r>
      <w:r w:rsidRPr="00EB4F5C">
        <w:t xml:space="preserve"> of all tariff lines</w:t>
      </w:r>
      <w:r>
        <w:t>,</w:t>
      </w:r>
      <w:r w:rsidRPr="00EB4F5C">
        <w:t xml:space="preserve"> is not subject to liberalization.</w:t>
      </w:r>
    </w:p>
    <w:p w:rsidR="002010F7" w:rsidRPr="00EB4F5C" w:rsidRDefault="002010F7" w:rsidP="00FA7532">
      <w:pPr>
        <w:numPr>
          <w:ilvl w:val="1"/>
          <w:numId w:val="31"/>
        </w:numPr>
        <w:jc w:val="both"/>
      </w:pPr>
      <w:r>
        <w:t xml:space="preserve">Possibility of recourse to trade defense </w:t>
      </w:r>
      <w:r w:rsidRPr="00EB4F5C">
        <w:t>measures</w:t>
      </w:r>
      <w:r>
        <w:t xml:space="preserve">, including bilateral safeguard measures (Article 22) and an infant industry clause (Article 23).  </w:t>
      </w:r>
      <w:r w:rsidRPr="00EB4F5C">
        <w:t xml:space="preserve"> </w:t>
      </w:r>
    </w:p>
    <w:p w:rsidR="005C6204" w:rsidRDefault="001A6BB9" w:rsidP="00E36162">
      <w:pPr>
        <w:pStyle w:val="ListParagraph"/>
        <w:spacing w:before="240"/>
        <w:ind w:left="0"/>
        <w:contextualSpacing w:val="0"/>
        <w:jc w:val="both"/>
        <w:rPr>
          <w:color w:val="000000" w:themeColor="text1"/>
        </w:rPr>
      </w:pPr>
      <w:r>
        <w:t>The</w:t>
      </w:r>
      <w:r w:rsidR="0059106A">
        <w:t xml:space="preserve"> </w:t>
      </w:r>
      <w:r w:rsidR="00E36162">
        <w:t xml:space="preserve">main findings of this paper were first presented at an ECOWAS </w:t>
      </w:r>
      <w:proofErr w:type="spellStart"/>
      <w:r w:rsidR="00E36162">
        <w:t>A</w:t>
      </w:r>
      <w:r w:rsidR="00E36162">
        <w:rPr>
          <w:rFonts w:eastAsia="Times New Roman"/>
        </w:rPr>
        <w:t>dhoc</w:t>
      </w:r>
      <w:proofErr w:type="spellEnd"/>
      <w:r w:rsidR="00E36162">
        <w:rPr>
          <w:rFonts w:eastAsia="Times New Roman"/>
        </w:rPr>
        <w:t xml:space="preserve"> Committee meeting on April 28-29 2014. The purpose of this meeting was to review the concerns over the EPA raised by some member States during the 44th ECOWAS Heads of State summit, in particular with respect to </w:t>
      </w:r>
      <w:r w:rsidR="00E36162" w:rsidRPr="0059106A">
        <w:rPr>
          <w:color w:val="000000" w:themeColor="text1"/>
        </w:rPr>
        <w:t xml:space="preserve">the prospect of possible fiscal losses </w:t>
      </w:r>
      <w:r w:rsidR="00E36162">
        <w:rPr>
          <w:color w:val="000000" w:themeColor="text1"/>
        </w:rPr>
        <w:t>and the possibility of a negative</w:t>
      </w:r>
      <w:r w:rsidR="00E36162" w:rsidRPr="0059106A">
        <w:rPr>
          <w:color w:val="000000" w:themeColor="text1"/>
        </w:rPr>
        <w:t xml:space="preserve"> impact of the EPA on competitiveness and jobs in domestic industries</w:t>
      </w:r>
      <w:r w:rsidR="00E36162">
        <w:rPr>
          <w:color w:val="000000" w:themeColor="text1"/>
        </w:rPr>
        <w:t>.</w:t>
      </w:r>
      <w:r w:rsidR="00E36162" w:rsidRPr="0059106A">
        <w:rPr>
          <w:color w:val="000000" w:themeColor="text1"/>
        </w:rPr>
        <w:t xml:space="preserve"> </w:t>
      </w:r>
      <w:r w:rsidR="00E36162">
        <w:rPr>
          <w:color w:val="000000" w:themeColor="text1"/>
        </w:rPr>
        <w:t>While the EPA negotiations have now been concluded, the purpose of this paper is to bring these results and the underlying analytical methodology into the public domain.</w:t>
      </w:r>
      <w:r w:rsidR="0059106A" w:rsidRPr="0059106A">
        <w:rPr>
          <w:color w:val="000000" w:themeColor="text1"/>
        </w:rPr>
        <w:t xml:space="preserve"> </w:t>
      </w:r>
    </w:p>
    <w:p w:rsidR="006B6852" w:rsidRDefault="005C6204" w:rsidP="00FA7532">
      <w:pPr>
        <w:pStyle w:val="ListParagraph"/>
        <w:spacing w:before="240"/>
        <w:ind w:left="0"/>
        <w:contextualSpacing w:val="0"/>
        <w:jc w:val="both"/>
        <w:rPr>
          <w:color w:val="000000" w:themeColor="text1"/>
        </w:rPr>
      </w:pPr>
      <w:r>
        <w:rPr>
          <w:color w:val="000000" w:themeColor="text1"/>
        </w:rPr>
        <w:t xml:space="preserve">The </w:t>
      </w:r>
      <w:r w:rsidR="00E36162">
        <w:rPr>
          <w:color w:val="000000" w:themeColor="text1"/>
        </w:rPr>
        <w:t>analysis presented in this paper</w:t>
      </w:r>
      <w:r>
        <w:rPr>
          <w:color w:val="000000" w:themeColor="text1"/>
        </w:rPr>
        <w:t xml:space="preserve"> is based on a new methodology that combines the advantages of a partial equilibrium modeling framework with the wealth of firm level information contained in a World Bank Enterprise Survey for Nigeria. </w:t>
      </w:r>
      <w:r w:rsidR="006B6852">
        <w:rPr>
          <w:color w:val="000000" w:themeColor="text1"/>
        </w:rPr>
        <w:t xml:space="preserve">The intention is to add value to the policy debate around the EPA by generating results that are intuitive and transparent to a non-technical audience, </w:t>
      </w:r>
      <w:r w:rsidR="001E51E2">
        <w:rPr>
          <w:color w:val="000000" w:themeColor="text1"/>
        </w:rPr>
        <w:t>and that rely on a limited number of simple assumption</w:t>
      </w:r>
      <w:r w:rsidR="004E3586">
        <w:rPr>
          <w:color w:val="000000" w:themeColor="text1"/>
        </w:rPr>
        <w:t>s</w:t>
      </w:r>
      <w:r w:rsidR="001E51E2">
        <w:rPr>
          <w:color w:val="000000" w:themeColor="text1"/>
        </w:rPr>
        <w:t xml:space="preserve">, </w:t>
      </w:r>
      <w:r w:rsidR="006B6852">
        <w:rPr>
          <w:color w:val="000000" w:themeColor="text1"/>
        </w:rPr>
        <w:t xml:space="preserve">while adding precision and detail to the expected impact on the domestic economy. </w:t>
      </w:r>
      <w:r>
        <w:rPr>
          <w:color w:val="000000" w:themeColor="text1"/>
        </w:rPr>
        <w:t xml:space="preserve">After a literature review in section 2, this methodology, which was first developed in von </w:t>
      </w:r>
      <w:proofErr w:type="spellStart"/>
      <w:r>
        <w:rPr>
          <w:color w:val="000000" w:themeColor="text1"/>
        </w:rPr>
        <w:t>Uexkull</w:t>
      </w:r>
      <w:proofErr w:type="spellEnd"/>
      <w:r>
        <w:rPr>
          <w:color w:val="000000" w:themeColor="text1"/>
        </w:rPr>
        <w:t xml:space="preserve"> and </w:t>
      </w:r>
      <w:proofErr w:type="spellStart"/>
      <w:r>
        <w:rPr>
          <w:color w:val="000000" w:themeColor="text1"/>
        </w:rPr>
        <w:t>Shui</w:t>
      </w:r>
      <w:proofErr w:type="spellEnd"/>
      <w:r>
        <w:rPr>
          <w:color w:val="000000" w:themeColor="text1"/>
        </w:rPr>
        <w:t xml:space="preserve"> (201</w:t>
      </w:r>
      <w:r w:rsidR="00CF754E">
        <w:rPr>
          <w:color w:val="000000" w:themeColor="text1"/>
        </w:rPr>
        <w:t>4</w:t>
      </w:r>
      <w:r>
        <w:rPr>
          <w:color w:val="000000" w:themeColor="text1"/>
        </w:rPr>
        <w:t xml:space="preserve">), is </w:t>
      </w:r>
      <w:r w:rsidR="006B6852">
        <w:rPr>
          <w:color w:val="000000" w:themeColor="text1"/>
        </w:rPr>
        <w:t>explained</w:t>
      </w:r>
      <w:r>
        <w:rPr>
          <w:color w:val="000000" w:themeColor="text1"/>
        </w:rPr>
        <w:t xml:space="preserve"> in section 3. </w:t>
      </w:r>
    </w:p>
    <w:p w:rsidR="00170559" w:rsidRPr="00C3400A" w:rsidRDefault="002A6273" w:rsidP="00FA7532">
      <w:pPr>
        <w:pStyle w:val="ListParagraph"/>
        <w:spacing w:before="240"/>
        <w:ind w:left="0"/>
        <w:contextualSpacing w:val="0"/>
        <w:jc w:val="both"/>
        <w:rPr>
          <w:color w:val="000000" w:themeColor="text1"/>
        </w:rPr>
      </w:pPr>
      <w:r>
        <w:t xml:space="preserve">Section 4 presents </w:t>
      </w:r>
      <w:r w:rsidR="009C23D2">
        <w:t>the</w:t>
      </w:r>
      <w:r>
        <w:t xml:space="preserve"> results on</w:t>
      </w:r>
      <w:r w:rsidR="007237F8">
        <w:t xml:space="preserve"> the impact of an EPA. </w:t>
      </w:r>
      <w:r w:rsidR="009C23D2">
        <w:t xml:space="preserve">Rather than starting from the status quo in 2014, the </w:t>
      </w:r>
      <w:r w:rsidR="007237F8">
        <w:t>b</w:t>
      </w:r>
      <w:r w:rsidR="005D55B1" w:rsidRPr="007237F8">
        <w:t xml:space="preserve">aseline </w:t>
      </w:r>
      <w:r w:rsidR="009C23D2">
        <w:t>s</w:t>
      </w:r>
      <w:r w:rsidR="009C23D2" w:rsidRPr="007237F8">
        <w:t>cenario</w:t>
      </w:r>
      <w:r w:rsidR="007237F8">
        <w:t xml:space="preserve"> </w:t>
      </w:r>
      <w:r w:rsidR="009C23D2">
        <w:t xml:space="preserve">is a situation where </w:t>
      </w:r>
      <w:r w:rsidR="007237F8">
        <w:t>the ECOWAS</w:t>
      </w:r>
      <w:r w:rsidR="005D55B1" w:rsidRPr="007237F8">
        <w:t xml:space="preserve"> CET</w:t>
      </w:r>
      <w:r w:rsidR="003A46C9">
        <w:t xml:space="preserve"> (agreed upon </w:t>
      </w:r>
      <w:r w:rsidR="005C26D5">
        <w:t>in October 2013</w:t>
      </w:r>
      <w:r w:rsidR="003A46C9">
        <w:t xml:space="preserve"> and to be implemented by 2015) </w:t>
      </w:r>
      <w:r w:rsidR="00377FBC">
        <w:t>is already in place</w:t>
      </w:r>
      <w:r w:rsidR="009C23D2">
        <w:t xml:space="preserve">. This makes it possible to </w:t>
      </w:r>
      <w:r w:rsidR="006B6852">
        <w:t xml:space="preserve">identify and isolate </w:t>
      </w:r>
      <w:r>
        <w:t xml:space="preserve">the </w:t>
      </w:r>
      <w:r w:rsidR="009C23D2">
        <w:t xml:space="preserve">net </w:t>
      </w:r>
      <w:r>
        <w:t xml:space="preserve">impact of the </w:t>
      </w:r>
      <w:r w:rsidR="004E13FF">
        <w:t xml:space="preserve">gradual </w:t>
      </w:r>
      <w:r w:rsidR="007237F8">
        <w:t>implementation of the EPA</w:t>
      </w:r>
      <w:r w:rsidR="003B72CD">
        <w:t xml:space="preserve"> (Section </w:t>
      </w:r>
      <w:r>
        <w:t>4</w:t>
      </w:r>
      <w:r w:rsidR="003B72CD">
        <w:t>.1).</w:t>
      </w:r>
      <w:r w:rsidR="007237F8">
        <w:t xml:space="preserve"> </w:t>
      </w:r>
      <w:r w:rsidR="003B72CD">
        <w:t xml:space="preserve">Effects on imports and fiscal revenue are </w:t>
      </w:r>
      <w:r w:rsidR="004E13FF">
        <w:t xml:space="preserve">then </w:t>
      </w:r>
      <w:r w:rsidR="003B72CD">
        <w:t xml:space="preserve">presented (Section </w:t>
      </w:r>
      <w:r>
        <w:t>4</w:t>
      </w:r>
      <w:r w:rsidR="003B72CD">
        <w:t xml:space="preserve">.2). </w:t>
      </w:r>
      <w:r w:rsidR="004E13FF">
        <w:t>The discussion that follows focuses on</w:t>
      </w:r>
      <w:r w:rsidR="003B72CD">
        <w:t xml:space="preserve"> effects on </w:t>
      </w:r>
      <w:r w:rsidR="006B6852">
        <w:t>the prices of household consu</w:t>
      </w:r>
      <w:r w:rsidR="005E6439">
        <w:t>mer</w:t>
      </w:r>
      <w:r w:rsidR="006B6852">
        <w:t xml:space="preserve"> goods</w:t>
      </w:r>
      <w:r w:rsidR="003B72CD">
        <w:t xml:space="preserve">, using </w:t>
      </w:r>
      <w:r w:rsidR="004E13FF">
        <w:t xml:space="preserve">data from </w:t>
      </w:r>
      <w:r w:rsidR="003B72CD">
        <w:t xml:space="preserve">the </w:t>
      </w:r>
      <w:r w:rsidR="009C23D2">
        <w:t>2010/11 and 2012/13 General Household Surveys</w:t>
      </w:r>
      <w:r w:rsidR="003B72CD">
        <w:t xml:space="preserve"> (Section </w:t>
      </w:r>
      <w:r>
        <w:t>4</w:t>
      </w:r>
      <w:r w:rsidR="003B72CD">
        <w:t xml:space="preserve">.3). Finally, effects </w:t>
      </w:r>
      <w:r w:rsidR="00525040">
        <w:t xml:space="preserve">on the domestic industry and </w:t>
      </w:r>
      <w:r w:rsidR="003B72CD">
        <w:t>firms</w:t>
      </w:r>
      <w:r w:rsidR="004E13FF">
        <w:t>,</w:t>
      </w:r>
      <w:r w:rsidR="003B72CD">
        <w:t xml:space="preserve"> by sector and size, are derived using Nigeria </w:t>
      </w:r>
      <w:r>
        <w:t>E</w:t>
      </w:r>
      <w:r w:rsidR="003B72CD">
        <w:t xml:space="preserve">nterprise </w:t>
      </w:r>
      <w:r>
        <w:t>Su</w:t>
      </w:r>
      <w:r w:rsidR="003B72CD">
        <w:t xml:space="preserve">rvey </w:t>
      </w:r>
      <w:r w:rsidR="00377FBC">
        <w:t>data</w:t>
      </w:r>
      <w:r w:rsidR="003B72CD">
        <w:t xml:space="preserve">. Section </w:t>
      </w:r>
      <w:r>
        <w:t>5</w:t>
      </w:r>
      <w:r w:rsidR="003B72CD">
        <w:t xml:space="preserve"> presents a discussion around the potential for various accompanying policies </w:t>
      </w:r>
      <w:r w:rsidR="004D6A28">
        <w:t xml:space="preserve">to promote a competitiveness agenda </w:t>
      </w:r>
      <w:r w:rsidR="003B72CD">
        <w:t xml:space="preserve">(Section </w:t>
      </w:r>
      <w:r>
        <w:t>5</w:t>
      </w:r>
      <w:r w:rsidR="003B72CD">
        <w:t>.1) and the</w:t>
      </w:r>
      <w:r w:rsidR="004D6A28">
        <w:t xml:space="preserve"> </w:t>
      </w:r>
      <w:r w:rsidR="009C23D2">
        <w:t xml:space="preserve">potential </w:t>
      </w:r>
      <w:r w:rsidR="004D6A28">
        <w:t xml:space="preserve">mitigation effects of the </w:t>
      </w:r>
      <w:r w:rsidR="003B72CD">
        <w:t>safeguard</w:t>
      </w:r>
      <w:r w:rsidR="00525040">
        <w:t>s</w:t>
      </w:r>
      <w:r w:rsidR="003B72CD">
        <w:t xml:space="preserve"> that would be built in</w:t>
      </w:r>
      <w:r w:rsidR="00377FBC">
        <w:t>to</w:t>
      </w:r>
      <w:r w:rsidR="003B72CD">
        <w:t xml:space="preserve"> the EPA </w:t>
      </w:r>
      <w:r w:rsidR="004D6A28">
        <w:t xml:space="preserve">(Section </w:t>
      </w:r>
      <w:r>
        <w:t>5</w:t>
      </w:r>
      <w:r w:rsidR="004D6A28">
        <w:t>.2)</w:t>
      </w:r>
      <w:r w:rsidR="003B72CD">
        <w:t>.</w:t>
      </w:r>
      <w:r w:rsidR="004D6A28">
        <w:t xml:space="preserve"> Section </w:t>
      </w:r>
      <w:r>
        <w:t>6</w:t>
      </w:r>
      <w:r w:rsidR="004D6A28">
        <w:t xml:space="preserve"> concludes.</w:t>
      </w:r>
    </w:p>
    <w:p w:rsidR="006F1C13" w:rsidRDefault="000358DE" w:rsidP="00FA7532">
      <w:pPr>
        <w:pStyle w:val="Heading1"/>
        <w:numPr>
          <w:ilvl w:val="0"/>
          <w:numId w:val="5"/>
        </w:numPr>
        <w:spacing w:after="200"/>
      </w:pPr>
      <w:bookmarkStart w:id="4" w:name="_Toc399860631"/>
      <w:r>
        <w:lastRenderedPageBreak/>
        <w:t>Literature Review</w:t>
      </w:r>
      <w:bookmarkEnd w:id="4"/>
    </w:p>
    <w:p w:rsidR="005C6204" w:rsidRDefault="005C6204" w:rsidP="00FA7532">
      <w:pPr>
        <w:jc w:val="both"/>
      </w:pPr>
      <w:r>
        <w:t xml:space="preserve">Two categories of models are typically used in the literature to assess the effect of </w:t>
      </w:r>
      <w:r w:rsidR="00377FBC">
        <w:t xml:space="preserve">a </w:t>
      </w:r>
      <w:r>
        <w:t xml:space="preserve">trade shock such as the EPA agreement: Partial </w:t>
      </w:r>
      <w:r w:rsidR="007075B8">
        <w:t xml:space="preserve">Equilibrium </w:t>
      </w:r>
      <w:r>
        <w:t>models have the advantage of relying on relatively simple assumptions and transparent modeling frameworks, and are often preferable in scarce data environment</w:t>
      </w:r>
      <w:r w:rsidR="00377FBC">
        <w:t>s</w:t>
      </w:r>
      <w:r>
        <w:t xml:space="preserve"> where key information on the domestic production structure is not available. Because they do not rely on domestic production data which is often only available at high levels of aggregation, they can make full use of the high level of detail in trade data at the most disaggregate level available, typically H</w:t>
      </w:r>
      <w:r w:rsidR="00AC348D">
        <w:t xml:space="preserve">armonized </w:t>
      </w:r>
      <w:r>
        <w:t>S</w:t>
      </w:r>
      <w:r w:rsidR="00AC348D">
        <w:t>ystem (HS)</w:t>
      </w:r>
      <w:r>
        <w:t xml:space="preserve"> </w:t>
      </w:r>
      <w:r w:rsidR="00AC348D">
        <w:t xml:space="preserve">product codes at the </w:t>
      </w:r>
      <w:r>
        <w:t>6 or even 10 digit level with several thousand product groups. On the other hand, such models are, by definition, mute with respect to the general equilibrium effects of a trade reform. They ignore the economy wide dynamic adjustment effects of a trade shock, and thus often fall short of delivering answers to the key questions policy makers are most concerned about, in particular with respect to an impact on domestic industry</w:t>
      </w:r>
      <w:r w:rsidR="007075B8">
        <w:t xml:space="preserve"> and competitiveness</w:t>
      </w:r>
      <w:r w:rsidR="00E36162">
        <w:t>.</w:t>
      </w:r>
      <w:r>
        <w:t xml:space="preserve"> </w:t>
      </w:r>
      <w:r w:rsidR="004E3586">
        <w:t>T</w:t>
      </w:r>
      <w:r w:rsidR="008B2E6E">
        <w:t>hey are typically able to deliver fairly precise results on changes in protection, dom</w:t>
      </w:r>
      <w:r w:rsidR="004E3586">
        <w:t>estic prices and tariff revenue. However, as with the more advanced general equilibrium models discussed below, r</w:t>
      </w:r>
      <w:r w:rsidR="00BF5ACF">
        <w:t>esults on changes in trade flows</w:t>
      </w:r>
      <w:r w:rsidR="004E3586">
        <w:t xml:space="preserve"> typically </w:t>
      </w:r>
      <w:r w:rsidR="00BF5ACF">
        <w:t xml:space="preserve">depend much more strongly on </w:t>
      </w:r>
      <w:proofErr w:type="spellStart"/>
      <w:r w:rsidR="008B2E6E">
        <w:t>elasticities</w:t>
      </w:r>
      <w:proofErr w:type="spellEnd"/>
      <w:r w:rsidR="008B2E6E">
        <w:t xml:space="preserve"> </w:t>
      </w:r>
      <w:r w:rsidR="00BF5ACF">
        <w:t>that</w:t>
      </w:r>
      <w:r w:rsidR="008B2E6E">
        <w:t xml:space="preserve"> are not readily available and </w:t>
      </w:r>
      <w:r w:rsidR="004E3586">
        <w:t>often</w:t>
      </w:r>
      <w:r w:rsidR="008B2E6E">
        <w:t xml:space="preserve"> based on assumptions. </w:t>
      </w:r>
      <w:r w:rsidR="00BF5ACF">
        <w:t xml:space="preserve">Previous studies using partial equilibrium methodologies to assess the effect of an EPA on Nigeria include </w:t>
      </w:r>
      <w:proofErr w:type="spellStart"/>
      <w:r w:rsidR="00BF5ACF">
        <w:t>Busse</w:t>
      </w:r>
      <w:proofErr w:type="spellEnd"/>
      <w:r w:rsidR="00BF5ACF">
        <w:t xml:space="preserve"> and Grossmann (2004) and </w:t>
      </w:r>
      <w:proofErr w:type="spellStart"/>
      <w:r w:rsidR="00BF5ACF">
        <w:t>Andriamananjara</w:t>
      </w:r>
      <w:proofErr w:type="spellEnd"/>
      <w:r w:rsidR="00BF5ACF">
        <w:t xml:space="preserve"> et al (2009). </w:t>
      </w:r>
    </w:p>
    <w:p w:rsidR="00C93D98" w:rsidRDefault="00BF5ACF" w:rsidP="00FA7532">
      <w:pPr>
        <w:jc w:val="both"/>
      </w:pPr>
      <w:r>
        <w:t xml:space="preserve">The second common methodological family of trade policy impact assessments is based on Computable General Equilibrium (CGE) models. </w:t>
      </w:r>
      <w:r w:rsidR="00C93D98">
        <w:t>Such models are typically built around a Social Accounting Matrix (SAM) that represent</w:t>
      </w:r>
      <w:r w:rsidR="00377FBC">
        <w:t>s</w:t>
      </w:r>
      <w:r w:rsidR="00C93D98">
        <w:t xml:space="preserve"> the various sectors of the economy and their </w:t>
      </w:r>
      <w:proofErr w:type="spellStart"/>
      <w:r w:rsidR="00C93D98">
        <w:t>interlinkages</w:t>
      </w:r>
      <w:proofErr w:type="spellEnd"/>
      <w:r w:rsidR="00C93D98">
        <w:t xml:space="preserve"> through a set of assumptions and </w:t>
      </w:r>
      <w:proofErr w:type="spellStart"/>
      <w:r w:rsidR="00C93D98">
        <w:t>elasticities</w:t>
      </w:r>
      <w:proofErr w:type="spellEnd"/>
      <w:r w:rsidR="00C93D98">
        <w:t xml:space="preserve"> that are much more demanding in terms of technical understanding and computing ability. The strength of CGE model studies is that they are capable of analyzing not just the immediate impact of a trade shock in terms of higher imports, reduction in tariff revenue, etc., but the economy wide adjustment to it in terms of growth, investment, and sometimes employment in the longer run. While such results are much more relevant from a policymaker</w:t>
      </w:r>
      <w:r w:rsidR="00D62DC4">
        <w:t>’</w:t>
      </w:r>
      <w:r w:rsidR="00C93D98">
        <w:t xml:space="preserve">s perspective, they tend to be quite sensitive to the assumptions underlying the model and can thus be more controversial in a policy debate. They are also less precise in their assessment of the </w:t>
      </w:r>
      <w:r w:rsidR="00316C5E">
        <w:t xml:space="preserve">initial </w:t>
      </w:r>
      <w:r w:rsidR="00C93D98">
        <w:t xml:space="preserve">direct </w:t>
      </w:r>
      <w:r w:rsidR="00316C5E">
        <w:t xml:space="preserve">effect of the </w:t>
      </w:r>
      <w:r w:rsidR="00C93D98">
        <w:t>trade shock because they tend to work at a much more aggregate level of the S</w:t>
      </w:r>
      <w:r w:rsidR="00600D85">
        <w:t>AM</w:t>
      </w:r>
      <w:r w:rsidR="00C93D98">
        <w:t xml:space="preserve"> (typically between 20 and 50 sectors and activities).</w:t>
      </w:r>
      <w:r w:rsidR="00600D85">
        <w:t xml:space="preserve"> </w:t>
      </w:r>
      <w:r w:rsidR="00C0633A">
        <w:t>A r</w:t>
      </w:r>
      <w:r w:rsidR="00600D85">
        <w:t>ecent CGE based assessment of the effect of an EPA on Nigeria</w:t>
      </w:r>
      <w:r w:rsidR="00C0633A">
        <w:t xml:space="preserve"> is presented in</w:t>
      </w:r>
      <w:r w:rsidR="00600D85">
        <w:t xml:space="preserve"> </w:t>
      </w:r>
      <w:r w:rsidR="00E60F1C">
        <w:t>Consortium</w:t>
      </w:r>
      <w:r w:rsidR="00C0633A">
        <w:t xml:space="preserve"> (2011).</w:t>
      </w:r>
      <w:r w:rsidR="00CB3C68">
        <w:t xml:space="preserve"> </w:t>
      </w:r>
      <w:r w:rsidR="00E60F1C">
        <w:t xml:space="preserve">Other CGE based studies analyze the effect of the EPA at the regional level, for instance </w:t>
      </w:r>
      <w:proofErr w:type="spellStart"/>
      <w:r w:rsidR="007075B8">
        <w:t>Fontagné</w:t>
      </w:r>
      <w:proofErr w:type="spellEnd"/>
      <w:r w:rsidR="007075B8">
        <w:t xml:space="preserve"> </w:t>
      </w:r>
      <w:r w:rsidR="00E60F1C">
        <w:t>et al. (200</w:t>
      </w:r>
      <w:r w:rsidR="00E60F1C" w:rsidRPr="00377FBC">
        <w:t xml:space="preserve">9). </w:t>
      </w:r>
      <w:r w:rsidR="00CB3C68" w:rsidRPr="00377FBC">
        <w:t xml:space="preserve">CGE based results have also been derived as part of an EU financed project to support local modeling capacity for an impact assessment </w:t>
      </w:r>
      <w:r w:rsidR="00995E14" w:rsidRPr="00377FBC">
        <w:t>of the EPA in Nigeria</w:t>
      </w:r>
      <w:r w:rsidR="00EF5AD2" w:rsidRPr="00377FBC">
        <w:t xml:space="preserve">. These results had </w:t>
      </w:r>
      <w:r w:rsidR="00995E14" w:rsidRPr="00377FBC">
        <w:t>not been published by t</w:t>
      </w:r>
      <w:r w:rsidR="00EF5AD2" w:rsidRPr="00377FBC">
        <w:t>he time this report was written, however, some figures that were being discussed in the public debate were rather alarming, including a strong decline in economic growth, investment and consumption and a significant increase in unemployment. The negative effects appear to be driven primarily by a decline in public expenditure due to the reduction in tariff revenue as well as increased competition for Nigerian industries from imports.</w:t>
      </w:r>
      <w:r w:rsidR="00EF5AD2">
        <w:t xml:space="preserve"> </w:t>
      </w:r>
    </w:p>
    <w:p w:rsidR="00EF5AD2" w:rsidRDefault="00600D85" w:rsidP="00335548">
      <w:pPr>
        <w:jc w:val="both"/>
      </w:pPr>
      <w:r>
        <w:lastRenderedPageBreak/>
        <w:t xml:space="preserve">One common characteristic of both partial and </w:t>
      </w:r>
      <w:r w:rsidR="00995E14">
        <w:t xml:space="preserve">general equilibrium models is their reliance on </w:t>
      </w:r>
      <w:proofErr w:type="spellStart"/>
      <w:r w:rsidR="003E52C1">
        <w:t>sectoral</w:t>
      </w:r>
      <w:proofErr w:type="spellEnd"/>
      <w:r w:rsidR="00995E14">
        <w:t xml:space="preserve"> aggregates in determining the impact of a trade shock. However, </w:t>
      </w:r>
      <w:r w:rsidR="00995E14" w:rsidRPr="00D41EC1">
        <w:t>recent trade literature has emphasized that adjustment to trade reforms often has more noticeable effects at the firm level, with capital and labor moving from less productive firms to more productive firms within a</w:t>
      </w:r>
      <w:r w:rsidR="00995E14">
        <w:t xml:space="preserve"> given</w:t>
      </w:r>
      <w:r w:rsidR="00995E14" w:rsidRPr="00D41EC1">
        <w:t xml:space="preserve"> sector (</w:t>
      </w:r>
      <w:proofErr w:type="spellStart"/>
      <w:r w:rsidR="00995E14" w:rsidRPr="00D41EC1">
        <w:t>Melitz</w:t>
      </w:r>
      <w:proofErr w:type="spellEnd"/>
      <w:r w:rsidR="00995E14" w:rsidRPr="00D41EC1">
        <w:t xml:space="preserve"> 2003). </w:t>
      </w:r>
      <w:r w:rsidR="00995E14">
        <w:t xml:space="preserve">Thus, taking into account firm specific characteristics within a given sector will be an important factor in understanding the implications of a trade shock. </w:t>
      </w:r>
    </w:p>
    <w:p w:rsidR="00EF5AD2" w:rsidRDefault="00335548" w:rsidP="00335548">
      <w:pPr>
        <w:jc w:val="both"/>
      </w:pPr>
      <w:r>
        <w:t>A direct comparison of results from the various studies mentioned above is not straightforward due to significant differences not just in methodology, but also in terms of the data used, the time at which the analysis was carried out, and the scenario that is assumed for the EPA. For the trade data that is being used, a key factor is obviously the share of imports from the EU in total imports, which can vary over time and depending on the data source.</w:t>
      </w:r>
      <w:r w:rsidR="00EF5AD2">
        <w:t xml:space="preserve">  </w:t>
      </w:r>
      <w:r>
        <w:t xml:space="preserve"> </w:t>
      </w:r>
    </w:p>
    <w:p w:rsidR="00335548" w:rsidRDefault="00335548" w:rsidP="00335548">
      <w:pPr>
        <w:jc w:val="both"/>
      </w:pPr>
      <w:r>
        <w:t xml:space="preserve">Most published studies take the status quo at the time the study was conducted as the starting point. However, depending on the policy question at hand, this may not be the most appropriate counterfactual given that liberalization with the EU would start on the heels of a major regional trade reform, the implementation of the ECOWAS common external tariff. Studies also differ in terms of whether and how they take into account import bans and special levies that are still frequently used by Nigeria. </w:t>
      </w:r>
      <w:r w:rsidR="00EF5AD2">
        <w:t>The</w:t>
      </w:r>
      <w:r>
        <w:t xml:space="preserve"> approach to all these questions</w:t>
      </w:r>
      <w:r w:rsidR="00EF5AD2">
        <w:t xml:space="preserve"> taken for the purpose of this study</w:t>
      </w:r>
      <w:r>
        <w:t xml:space="preserve"> is discussed in the following section. </w:t>
      </w:r>
    </w:p>
    <w:p w:rsidR="00D22515" w:rsidRDefault="00335548" w:rsidP="00D22515">
      <w:pPr>
        <w:jc w:val="both"/>
      </w:pPr>
      <w:r>
        <w:t xml:space="preserve">Finally, </w:t>
      </w:r>
      <w:r w:rsidR="00EF5AD2">
        <w:t xml:space="preserve">many </w:t>
      </w:r>
      <w:r>
        <w:t xml:space="preserve">earlier studies had to rely on assumptions with respect to the exact trade reform to be implemented under the EPA given that the specific market access offer </w:t>
      </w:r>
      <w:r w:rsidR="00377FBC">
        <w:t>under</w:t>
      </w:r>
      <w:r w:rsidR="00D22515">
        <w:t xml:space="preserve">lying this analysis </w:t>
      </w:r>
      <w:r>
        <w:t xml:space="preserve">was not yet available at the time they were written. They typically either assume complete trade liberalization with the EU, or define their own exclusion lists based on various criteria and targets for the share of imports to be liberalized.  </w:t>
      </w:r>
    </w:p>
    <w:p w:rsidR="00D22515" w:rsidRDefault="00D22515" w:rsidP="00D22515">
      <w:pPr>
        <w:jc w:val="both"/>
      </w:pPr>
      <w:r w:rsidRPr="00377FBC">
        <w:t>Methodological differences aside, the results of this study are generally more positive with respect to the impact of the EPA than the findings of some of the previous work on the topic. And while this study’s results are based on a short-term, static methodology, they do not give reason to believe that longer term dynamic effects would turn negative as some of the above cited works suggest. The disadvantage of the current methodology is that these long term effects are not formally modeled. However, its advantages, as discussed in the next section, give reason to hope that it provides a more accurate anatomy of the initial trade shock caused by the EPA, which along with other characteristics of the Nigerian economy is an important determinant for understanding the nature and magnitude of the resulting dynamic changes.</w:t>
      </w:r>
      <w:r>
        <w:t xml:space="preserve">          </w:t>
      </w:r>
    </w:p>
    <w:p w:rsidR="00335548" w:rsidRDefault="00335548" w:rsidP="00335548">
      <w:pPr>
        <w:jc w:val="both"/>
      </w:pPr>
    </w:p>
    <w:p w:rsidR="00A11AE1" w:rsidRDefault="00A11AE1" w:rsidP="00FA7532">
      <w:pPr>
        <w:pStyle w:val="Heading1"/>
        <w:numPr>
          <w:ilvl w:val="0"/>
          <w:numId w:val="5"/>
        </w:numPr>
        <w:spacing w:after="200"/>
      </w:pPr>
      <w:bookmarkStart w:id="5" w:name="_Toc399860632"/>
      <w:r>
        <w:lastRenderedPageBreak/>
        <w:t>Methodology</w:t>
      </w:r>
      <w:bookmarkEnd w:id="5"/>
    </w:p>
    <w:p w:rsidR="00335548" w:rsidRDefault="00335548" w:rsidP="00335548">
      <w:pPr>
        <w:pStyle w:val="Heading2"/>
        <w:spacing w:after="200"/>
      </w:pPr>
      <w:bookmarkStart w:id="6" w:name="_Toc399860633"/>
      <w:r>
        <w:t xml:space="preserve">3.1. Advantages and </w:t>
      </w:r>
      <w:r w:rsidR="000E6428">
        <w:t>s</w:t>
      </w:r>
      <w:r>
        <w:t>hortcoming</w:t>
      </w:r>
      <w:bookmarkEnd w:id="6"/>
      <w:r w:rsidR="00377FBC">
        <w:t>s</w:t>
      </w:r>
    </w:p>
    <w:p w:rsidR="00335548" w:rsidRDefault="00335548" w:rsidP="00335548">
      <w:pPr>
        <w:pStyle w:val="ListParagraph"/>
        <w:spacing w:before="240"/>
        <w:ind w:left="0"/>
        <w:contextualSpacing w:val="0"/>
        <w:jc w:val="both"/>
      </w:pPr>
      <w:r>
        <w:rPr>
          <w:color w:val="000000" w:themeColor="text1"/>
        </w:rPr>
        <w:t xml:space="preserve">The methodology </w:t>
      </w:r>
      <w:r w:rsidR="00377FBC">
        <w:rPr>
          <w:color w:val="000000" w:themeColor="text1"/>
        </w:rPr>
        <w:t xml:space="preserve">used for </w:t>
      </w:r>
      <w:r>
        <w:rPr>
          <w:color w:val="000000" w:themeColor="text1"/>
        </w:rPr>
        <w:t xml:space="preserve">this report, which is explained in detail in this chapter, starts off with a partial equilibrium simulation of the EPA using the World Bank’s Tariff Reform Impact Simulation Tool (TRIST). </w:t>
      </w:r>
      <w:r w:rsidR="00296E36">
        <w:rPr>
          <w:color w:val="000000" w:themeColor="text1"/>
        </w:rPr>
        <w:t>It then</w:t>
      </w:r>
      <w:r>
        <w:rPr>
          <w:color w:val="000000" w:themeColor="text1"/>
        </w:rPr>
        <w:t xml:space="preserve"> focus</w:t>
      </w:r>
      <w:r w:rsidR="00296E36">
        <w:rPr>
          <w:color w:val="000000" w:themeColor="text1"/>
        </w:rPr>
        <w:t>es</w:t>
      </w:r>
      <w:r>
        <w:rPr>
          <w:color w:val="000000" w:themeColor="text1"/>
        </w:rPr>
        <w:t xml:space="preserve"> on the price changes calculated in TRIST in order to analyze the direct impact on households and firms. The firm level analysis operates at the micro level, applying the trade shock to each individual firm in the sample rather than </w:t>
      </w:r>
      <w:proofErr w:type="spellStart"/>
      <w:r>
        <w:rPr>
          <w:color w:val="000000" w:themeColor="text1"/>
        </w:rPr>
        <w:t>sectoral</w:t>
      </w:r>
      <w:proofErr w:type="spellEnd"/>
      <w:r>
        <w:rPr>
          <w:color w:val="000000" w:themeColor="text1"/>
        </w:rPr>
        <w:t xml:space="preserve"> aggregates, to take into account their respective levels of profitability, cost structure, etc. The wealth of information contained in the firm level data also makes it possible to directly compare the impact of the trade shock with other factors, such as changes in productivity or policy measures to enhance competitiveness, which is done in section 5. The result is an </w:t>
      </w:r>
      <w:r>
        <w:t xml:space="preserve">approach that has the advantage </w:t>
      </w:r>
      <w:r>
        <w:rPr>
          <w:color w:val="000000" w:themeColor="text1"/>
        </w:rPr>
        <w:t>of using a simple and intuitive analytical framework</w:t>
      </w:r>
      <w:r>
        <w:t xml:space="preserve"> to derive results that are less dependent on assumptions and more ‘data-driven’ than more sophisticated CGE modeling exercises, but more policy relevant and detailed than typical partial equilibrium results. </w:t>
      </w:r>
    </w:p>
    <w:p w:rsidR="00335548" w:rsidRDefault="00335548" w:rsidP="00335548">
      <w:pPr>
        <w:jc w:val="both"/>
      </w:pPr>
      <w:r w:rsidRPr="00B71E96">
        <w:t xml:space="preserve">The key metric of </w:t>
      </w:r>
      <w:r>
        <w:t>firm level results is</w:t>
      </w:r>
      <w:r w:rsidRPr="00B71E96">
        <w:t xml:space="preserve"> the </w:t>
      </w:r>
      <w:r>
        <w:t>expected</w:t>
      </w:r>
      <w:r w:rsidRPr="00B71E96">
        <w:t xml:space="preserve"> change in in firms’</w:t>
      </w:r>
      <w:r>
        <w:t xml:space="preserve"> profit levels when the EPA is implemented, assuming a constant output level and combination of inputs</w:t>
      </w:r>
      <w:r w:rsidRPr="00B71E96">
        <w:t>.</w:t>
      </w:r>
      <w:r>
        <w:t xml:space="preserve"> These are short term, static effects in nature that are likely to trigger subsequent dynamic adjustment effects at the firm level, including adjustment in output level and production technology as well and entry and exit of firms, and may also have macroeconomic </w:t>
      </w:r>
      <w:r w:rsidR="00687D93">
        <w:t>repercussions</w:t>
      </w:r>
      <w:r>
        <w:t xml:space="preserve">. These are not covered by </w:t>
      </w:r>
      <w:r w:rsidR="00296E36">
        <w:t>the</w:t>
      </w:r>
      <w:r>
        <w:t xml:space="preserve"> model, </w:t>
      </w:r>
      <w:r w:rsidR="00687D93">
        <w:t>but discussed qualitatively in section</w:t>
      </w:r>
      <w:r>
        <w:t xml:space="preserve"> 4.4. While a more formal treatment of these effects would clearly be desirable, this would necessarily come at the expense of a more complex modeling framework with more and stronger assumptions. </w:t>
      </w:r>
    </w:p>
    <w:p w:rsidR="00A11AE1" w:rsidRPr="00A11AE1" w:rsidRDefault="00335548" w:rsidP="00FA7532">
      <w:pPr>
        <w:pStyle w:val="Heading2"/>
        <w:spacing w:after="200"/>
      </w:pPr>
      <w:bookmarkStart w:id="7" w:name="_Toc399860634"/>
      <w:r>
        <w:t>3.2</w:t>
      </w:r>
      <w:r w:rsidR="00A11AE1" w:rsidRPr="00A11AE1">
        <w:t>. The Tariff Reform Impact Simulation Tool (TRIST)</w:t>
      </w:r>
      <w:bookmarkEnd w:id="7"/>
    </w:p>
    <w:p w:rsidR="00A11AE1" w:rsidRPr="00D41EC1" w:rsidRDefault="00A11AE1" w:rsidP="00FA7532">
      <w:pPr>
        <w:jc w:val="both"/>
      </w:pPr>
      <w:r w:rsidRPr="00D41EC1">
        <w:t xml:space="preserve">The </w:t>
      </w:r>
      <w:r w:rsidR="001E2F5D">
        <w:t>impact of the EPA scenario</w:t>
      </w:r>
      <w:r w:rsidRPr="00D41EC1">
        <w:t xml:space="preserve"> on imports, protection levels, and percentage changes in revenue presented in section 4.1 were calculated using the World Bank’s Tariff Reform Impact Simulation Tool (TRIST). TRIST was also used to generate the price changes that underlie calculations of the impact of the EPA on household consumption prices (section 4.2.) and domestic firms and jobs (section 4.3). </w:t>
      </w:r>
    </w:p>
    <w:p w:rsidR="00B92497" w:rsidRPr="00D41EC1" w:rsidRDefault="00A11AE1" w:rsidP="00FA7532">
      <w:pPr>
        <w:jc w:val="both"/>
      </w:pPr>
      <w:r w:rsidRPr="00D41EC1">
        <w:t>TRIST was designed with the specific task of providing policy makers with</w:t>
      </w:r>
      <w:r w:rsidR="001E2F5D">
        <w:t xml:space="preserve"> detailed</w:t>
      </w:r>
      <w:r w:rsidRPr="00D41EC1">
        <w:t xml:space="preserve"> insights</w:t>
      </w:r>
      <w:r w:rsidR="001E2F5D">
        <w:t xml:space="preserve"> </w:t>
      </w:r>
      <w:r w:rsidR="009C1209">
        <w:t xml:space="preserve">by </w:t>
      </w:r>
      <w:r w:rsidR="001E2F5D">
        <w:t>product and tax</w:t>
      </w:r>
      <w:r w:rsidR="009C1209">
        <w:t xml:space="preserve"> instrument</w:t>
      </w:r>
      <w:r w:rsidRPr="00D41EC1">
        <w:t xml:space="preserve"> into the short-term effects of trade reform. By its comparative static nature, TRIST allows the comparison of two states - one in which the base values of policy instruments (such as tariffs) are unchanged and another in which these base values are exogenously changed. TRIST is an Excel based tool that does not require expert knowledge in modelling or specialized software</w:t>
      </w:r>
      <w:r w:rsidR="001E2F5D">
        <w:t xml:space="preserve"> and is designed to handle </w:t>
      </w:r>
      <w:proofErr w:type="gramStart"/>
      <w:r w:rsidR="001E2F5D">
        <w:t>very</w:t>
      </w:r>
      <w:proofErr w:type="gramEnd"/>
      <w:r w:rsidR="001E2F5D">
        <w:t xml:space="preserve"> disaggregated information</w:t>
      </w:r>
      <w:r w:rsidRPr="00D41EC1">
        <w:t xml:space="preserve">. </w:t>
      </w:r>
    </w:p>
    <w:p w:rsidR="00A11AE1" w:rsidRPr="00D41EC1" w:rsidRDefault="00A11AE1" w:rsidP="00FA7532">
      <w:pPr>
        <w:jc w:val="both"/>
      </w:pPr>
      <w:r w:rsidRPr="00D41EC1">
        <w:t>An integral part of TRIST is the trade model that underlies the quantification of t</w:t>
      </w:r>
      <w:r w:rsidR="00B92497" w:rsidRPr="00D41EC1">
        <w:t xml:space="preserve">he effects of trade reform. It </w:t>
      </w:r>
      <w:r w:rsidRPr="00D41EC1">
        <w:t xml:space="preserve">is based on five core assumptions: </w:t>
      </w:r>
    </w:p>
    <w:p w:rsidR="00A11AE1" w:rsidRPr="00D41EC1" w:rsidRDefault="00A11AE1" w:rsidP="00FA7532">
      <w:pPr>
        <w:jc w:val="both"/>
      </w:pPr>
      <w:r w:rsidRPr="00D41EC1">
        <w:t xml:space="preserve">First, the model is derived from standard consumer demand theory and utilizes </w:t>
      </w:r>
      <w:proofErr w:type="spellStart"/>
      <w:r w:rsidRPr="00D41EC1">
        <w:t>elasticities</w:t>
      </w:r>
      <w:proofErr w:type="spellEnd"/>
      <w:r w:rsidRPr="00D41EC1">
        <w:t xml:space="preserve"> to determine the magnitude of the demand response to the price changes that result from a tariff reform. </w:t>
      </w:r>
    </w:p>
    <w:p w:rsidR="00A11AE1" w:rsidRPr="00D41EC1" w:rsidRDefault="00A11AE1" w:rsidP="00FA7532">
      <w:pPr>
        <w:jc w:val="both"/>
      </w:pPr>
      <w:r w:rsidRPr="00D41EC1">
        <w:lastRenderedPageBreak/>
        <w:t xml:space="preserve">Second, the calculations are based on the standard </w:t>
      </w:r>
      <w:proofErr w:type="spellStart"/>
      <w:r w:rsidRPr="00D41EC1">
        <w:t>Armington</w:t>
      </w:r>
      <w:proofErr w:type="spellEnd"/>
      <w:r w:rsidRPr="00D41EC1">
        <w:t xml:space="preserve"> (1969) assumption of imperfect substitution between imports from different trading partners since consumers distinguish products by the place of production. This intuitive assumption is standard in empirical international trade work and implies that a fall in the price of imports from country A relative to country B will only lead to a partial and not complete substitution of imports from country B with imports from country A.   </w:t>
      </w:r>
    </w:p>
    <w:p w:rsidR="00A11AE1" w:rsidRPr="00D41EC1" w:rsidRDefault="00A11AE1" w:rsidP="00FA7532">
      <w:pPr>
        <w:jc w:val="both"/>
      </w:pPr>
      <w:r w:rsidRPr="00D41EC1">
        <w:t xml:space="preserve">Third, the model does not allow for direct substitution between different products. In other words, each product is modeled as a separate market and in isolation from other markets. This is perhaps the strongest assumption used in the model. However, a relaxation would not only complicate computations but would also generate a need for a range of additional ad-hoc assumptions regarding the precise design of the additional substitution effect and its parameterization.  </w:t>
      </w:r>
    </w:p>
    <w:p w:rsidR="00A11AE1" w:rsidRPr="00D41EC1" w:rsidRDefault="00A11AE1" w:rsidP="00FA7532">
      <w:pPr>
        <w:jc w:val="both"/>
      </w:pPr>
      <w:r w:rsidRPr="00D41EC1">
        <w:t xml:space="preserve">Fourth, it is assumed that all changes in tariffs are fully passed on and that the world price remains unchanged. That is to say </w:t>
      </w:r>
      <w:proofErr w:type="gramStart"/>
      <w:r w:rsidRPr="00D41EC1">
        <w:t>an infinite</w:t>
      </w:r>
      <w:proofErr w:type="gramEnd"/>
      <w:r w:rsidRPr="00D41EC1">
        <w:t xml:space="preserve"> supply elasticity is assumed of imports so that changes in demand in the importing country </w:t>
      </w:r>
      <w:r w:rsidR="00327430">
        <w:t xml:space="preserve">are small enough relative to the world so that they </w:t>
      </w:r>
      <w:r w:rsidRPr="00D41EC1">
        <w:t>have no effect on the world price of the product.</w:t>
      </w:r>
    </w:p>
    <w:p w:rsidR="00B92497" w:rsidRPr="00D41EC1" w:rsidRDefault="00A11AE1" w:rsidP="00FA7532">
      <w:pPr>
        <w:jc w:val="both"/>
      </w:pPr>
      <w:r w:rsidRPr="00D41EC1">
        <w:t>Fifth, the trade model in TRIST is a partial equilibrium model that treats demand for each product in isolation from the rest of the economy. Hence, it does not take into account inter- and intra-</w:t>
      </w:r>
      <w:proofErr w:type="spellStart"/>
      <w:r w:rsidRPr="00D41EC1">
        <w:t>sectoral</w:t>
      </w:r>
      <w:proofErr w:type="spellEnd"/>
      <w:r w:rsidRPr="00D41EC1">
        <w:t xml:space="preserve"> linkages or the economy wide impacts of tariff changes. But this is not the primary objective of TRIST, which is designed so as to avoid the degree of aggregation of the data that would be necessary in order to implement economy wide computable equilibrium models and to remain simple and transparent in its assumptions, with the flexibility to adjust the key parameters. </w:t>
      </w:r>
      <w:r w:rsidR="00B92497" w:rsidRPr="00D41EC1">
        <w:t xml:space="preserve">A detailed discussion of the trade model in TRIST can be found in Brenton et al. (2009). </w:t>
      </w:r>
    </w:p>
    <w:p w:rsidR="00B92497" w:rsidRPr="00D41EC1" w:rsidRDefault="00687D93" w:rsidP="00FA7532">
      <w:pPr>
        <w:jc w:val="both"/>
      </w:pPr>
      <w:r>
        <w:t xml:space="preserve">As most partial and general equilibrium </w:t>
      </w:r>
      <w:r w:rsidR="00B92497" w:rsidRPr="00D41EC1">
        <w:t>trade models</w:t>
      </w:r>
      <w:r>
        <w:t>,</w:t>
      </w:r>
      <w:r w:rsidR="00B92497" w:rsidRPr="00D41EC1">
        <w:t xml:space="preserve"> TRIST </w:t>
      </w:r>
      <w:r>
        <w:t>uses</w:t>
      </w:r>
      <w:r w:rsidR="00B92497" w:rsidRPr="00D41EC1">
        <w:t xml:space="preserve"> </w:t>
      </w:r>
      <w:proofErr w:type="spellStart"/>
      <w:r w:rsidR="00A11AE1" w:rsidRPr="00D41EC1">
        <w:t>elasticities</w:t>
      </w:r>
      <w:proofErr w:type="spellEnd"/>
      <w:r w:rsidR="00A11AE1" w:rsidRPr="00D41EC1">
        <w:t xml:space="preserve"> as the parameters of the model</w:t>
      </w:r>
      <w:r w:rsidR="00B92497" w:rsidRPr="00D41EC1">
        <w:t xml:space="preserve"> that determine how trade flows react to a given change in prices</w:t>
      </w:r>
      <w:r w:rsidR="00A11AE1" w:rsidRPr="00D41EC1">
        <w:t xml:space="preserve">. </w:t>
      </w:r>
      <w:proofErr w:type="spellStart"/>
      <w:r w:rsidR="00A11AE1" w:rsidRPr="00D41EC1">
        <w:t>Elasticities</w:t>
      </w:r>
      <w:proofErr w:type="spellEnd"/>
      <w:r w:rsidR="00A11AE1" w:rsidRPr="00D41EC1">
        <w:t xml:space="preserve"> are notoriously difficult to estimate and so detailed and robust estimates </w:t>
      </w:r>
      <w:r w:rsidR="00B92497" w:rsidRPr="00D41EC1">
        <w:t xml:space="preserve">of the required </w:t>
      </w:r>
      <w:proofErr w:type="spellStart"/>
      <w:r w:rsidR="00B92497" w:rsidRPr="00D41EC1">
        <w:t>elasticities</w:t>
      </w:r>
      <w:proofErr w:type="spellEnd"/>
      <w:r w:rsidR="00B92497" w:rsidRPr="00D41EC1">
        <w:t xml:space="preserve"> for import demand and substitutions between imports from difference trading partners </w:t>
      </w:r>
      <w:r w:rsidR="00A11AE1" w:rsidRPr="00D41EC1">
        <w:t xml:space="preserve">are not readily available in the literature. </w:t>
      </w:r>
    </w:p>
    <w:p w:rsidR="00A11AE1" w:rsidRPr="00D41EC1" w:rsidRDefault="00A11AE1" w:rsidP="00FA7532">
      <w:pPr>
        <w:jc w:val="both"/>
      </w:pPr>
      <w:r w:rsidRPr="00D41EC1">
        <w:t xml:space="preserve">TRIST includes sensible default values for each of these three parameters that are common across products and import suppliers. The sensitivity of the results can be easily assessed by changing the values of the </w:t>
      </w:r>
      <w:proofErr w:type="spellStart"/>
      <w:r w:rsidRPr="00D41EC1">
        <w:t>elasticities</w:t>
      </w:r>
      <w:proofErr w:type="spellEnd"/>
      <w:r w:rsidRPr="00D41EC1">
        <w:t xml:space="preserve">. Generally, </w:t>
      </w:r>
      <w:proofErr w:type="spellStart"/>
      <w:r w:rsidRPr="00D41EC1">
        <w:t>elasticities</w:t>
      </w:r>
      <w:proofErr w:type="spellEnd"/>
      <w:r w:rsidRPr="00D41EC1">
        <w:t xml:space="preserve"> will have a significant effect on the magnitude of the import response calculated in TRIST, but will only marginally affect the results on changes in revenue, protection, and prices which the key results in this study are based upon. These are primarily determined by the structure of the trade data and the reform scenario chosen, and only depend on the </w:t>
      </w:r>
      <w:proofErr w:type="spellStart"/>
      <w:r w:rsidRPr="00D41EC1">
        <w:t>elasticities</w:t>
      </w:r>
      <w:proofErr w:type="spellEnd"/>
      <w:r w:rsidRPr="00D41EC1">
        <w:t xml:space="preserve"> to the extent that a strong trade response will affect the import weights given to individual products and trading partners. </w:t>
      </w:r>
    </w:p>
    <w:p w:rsidR="00A11AE1" w:rsidRPr="00D41EC1" w:rsidRDefault="00A11AE1" w:rsidP="00FA7532">
      <w:pPr>
        <w:jc w:val="both"/>
      </w:pPr>
      <w:r w:rsidRPr="00D41EC1">
        <w:t xml:space="preserve">In the absence of empirically estimated </w:t>
      </w:r>
      <w:proofErr w:type="spellStart"/>
      <w:r w:rsidRPr="00D41EC1">
        <w:t>elasticities</w:t>
      </w:r>
      <w:proofErr w:type="spellEnd"/>
      <w:r w:rsidRPr="00D41EC1">
        <w:t xml:space="preserve"> for Nigeria, the model is calibrated with different scenarios of standard </w:t>
      </w:r>
      <w:proofErr w:type="spellStart"/>
      <w:r w:rsidRPr="00D41EC1">
        <w:t>elasticities</w:t>
      </w:r>
      <w:proofErr w:type="spellEnd"/>
      <w:r w:rsidRPr="00D41EC1">
        <w:t xml:space="preserve"> for substitution between trading partners (‘exporter substitution’) and the overall effect on import demand (‘demand elasticity’). Standard </w:t>
      </w:r>
      <w:proofErr w:type="spellStart"/>
      <w:r w:rsidRPr="00D41EC1">
        <w:t>elasticities</w:t>
      </w:r>
      <w:proofErr w:type="spellEnd"/>
      <w:r w:rsidRPr="00D41EC1">
        <w:t xml:space="preserve">, shown in TRIST result </w:t>
      </w:r>
      <w:r w:rsidRPr="00D41EC1">
        <w:lastRenderedPageBreak/>
        <w:t>tables as "low ɛ", are set at 1.5 for exporter substitution and 0.5 for demand substitution, whereas "high ɛ" are set at 5 for exporter substitution and 1 for demand substitution.</w:t>
      </w:r>
    </w:p>
    <w:p w:rsidR="00A11AE1" w:rsidRPr="00D41EC1" w:rsidRDefault="00A11AE1" w:rsidP="00FA7532">
      <w:pPr>
        <w:jc w:val="both"/>
      </w:pPr>
      <w:r w:rsidRPr="00D41EC1">
        <w:t xml:space="preserve">In order to build a TRIST for a given country, ideally detailed and complete data on import transactions for the most recent year is collected (data averaged across a number of years can also be used). For each import transaction, the data must identify the type of product (tariff line level, typically HS8 or HS10 digit), the country of origin of the trade flow, the customs procedure code (CPC) defining the customs regime under which the good enters the country, the import value of the transaction, the statutory tariff, the tariff actually applied (to calculate tariff exemptions) as well as the value of VAT, excise and other import taxes. </w:t>
      </w:r>
    </w:p>
    <w:p w:rsidR="00A11AE1" w:rsidRPr="00D41EC1" w:rsidRDefault="00A11AE1" w:rsidP="00FA7532">
      <w:pPr>
        <w:jc w:val="both"/>
      </w:pPr>
      <w:r w:rsidRPr="00D41EC1">
        <w:t>In the case of Nigeria, this detailed customs data</w:t>
      </w:r>
      <w:r w:rsidR="00816CE5">
        <w:t>, which would be the preferred source of information,</w:t>
      </w:r>
      <w:r w:rsidR="00464F93">
        <w:t xml:space="preserve"> was sought but</w:t>
      </w:r>
      <w:r w:rsidRPr="00D41EC1">
        <w:t xml:space="preserve"> could not be obtained</w:t>
      </w:r>
      <w:r w:rsidR="00464F93">
        <w:t xml:space="preserve"> by the authors</w:t>
      </w:r>
      <w:r w:rsidRPr="00D41EC1">
        <w:t xml:space="preserve">. Simulations instead rely on a combination of import data from COMTRADE for 2010/11 at the HS 6 digit level of detail and statutory rates for tariffs and other taxes from the Nigerian customs authorities. The import data is for the years 2010/11 as reported by Nigeria in HS2007 classification. The tariff data (current tariffs, CET, and market access offer) are in HS2012 at 10 digit level. To match the two data sets, the tariff data was first aggregated to six digit level using simple averages. It was then matched with the 2007 trade data through the official UNSTATS concordance table. Products with no official match (~100 tariff lines) were matched manually based on their descriptions. </w:t>
      </w:r>
    </w:p>
    <w:p w:rsidR="00A11AE1" w:rsidRPr="00D41EC1" w:rsidRDefault="00464F93" w:rsidP="00FA7532">
      <w:pPr>
        <w:jc w:val="both"/>
      </w:pPr>
      <w:r>
        <w:t xml:space="preserve">Because statutory </w:t>
      </w:r>
      <w:r w:rsidR="00724ADB">
        <w:t xml:space="preserve">tariff </w:t>
      </w:r>
      <w:r>
        <w:t>rates are used, t</w:t>
      </w:r>
      <w:r w:rsidRPr="00D41EC1">
        <w:t xml:space="preserve">he </w:t>
      </w:r>
      <w:r w:rsidR="00A11AE1" w:rsidRPr="00D41EC1">
        <w:t xml:space="preserve">implicit assumption is that all tariffs are fully collected at the border with no exemptions. </w:t>
      </w:r>
      <w:r>
        <w:t>This is a shortcoming of this analysis which could have been remedied with access to</w:t>
      </w:r>
      <w:r w:rsidR="00724ADB">
        <w:t xml:space="preserve"> transaction level</w:t>
      </w:r>
      <w:r>
        <w:t xml:space="preserve"> customs data. </w:t>
      </w:r>
      <w:r w:rsidR="00A11AE1" w:rsidRPr="00D41EC1">
        <w:t xml:space="preserve">As </w:t>
      </w:r>
      <w:r>
        <w:t>on the whole tariffs are never fully collected</w:t>
      </w:r>
      <w:r w:rsidR="00A11AE1" w:rsidRPr="00D41EC1">
        <w:t xml:space="preserve"> in practice, the results derived from these simulations should be seen as an </w:t>
      </w:r>
      <w:r w:rsidR="00A11AE1" w:rsidRPr="00724ADB">
        <w:rPr>
          <w:i/>
        </w:rPr>
        <w:t>upper bound</w:t>
      </w:r>
      <w:r w:rsidR="00A11AE1" w:rsidRPr="00D41EC1">
        <w:t xml:space="preserve"> of the potential impact of the EPA. In reality, a number of import transactions may remain unaffected by a trade policy reform because they </w:t>
      </w:r>
      <w:r>
        <w:t xml:space="preserve">already </w:t>
      </w:r>
      <w:r w:rsidR="00A11AE1" w:rsidRPr="00D41EC1">
        <w:t xml:space="preserve">enter the country under a tariff exemption. </w:t>
      </w:r>
      <w:r>
        <w:t>W</w:t>
      </w:r>
      <w:r w:rsidR="00A11AE1" w:rsidRPr="00D41EC1">
        <w:t xml:space="preserve">hile this </w:t>
      </w:r>
      <w:r w:rsidRPr="00D41EC1">
        <w:t xml:space="preserve">upward </w:t>
      </w:r>
      <w:r w:rsidR="00A11AE1" w:rsidRPr="00D41EC1">
        <w:t xml:space="preserve">bias may have a significant effect on any estimation of absolute revenue losses </w:t>
      </w:r>
      <w:r w:rsidR="00724ADB">
        <w:t xml:space="preserve">and levels of protection </w:t>
      </w:r>
      <w:r w:rsidR="00A11AE1" w:rsidRPr="00D41EC1">
        <w:t xml:space="preserve">by </w:t>
      </w:r>
      <w:r>
        <w:t xml:space="preserve">overestimating </w:t>
      </w:r>
      <w:r w:rsidR="00A11AE1" w:rsidRPr="00D41EC1">
        <w:t xml:space="preserve">the current level of tariff and other tax revenue, relative changes (including percentage changes in revenue and prices) used for key results in this study are much less sensitive to this bias, in particular if the assumption holds that the tariff reform will not affect the overall ratio of exemptions granted on a given product. </w:t>
      </w:r>
      <w:r w:rsidR="00724ADB">
        <w:t xml:space="preserve">While this may well happen in the future, a change in exemption policies or practices would constitute a separate policy reform which would affect Nigerian firms and consumers </w:t>
      </w:r>
      <w:r w:rsidR="0006394B">
        <w:t>with or without the EP</w:t>
      </w:r>
      <w:r w:rsidR="00724ADB">
        <w:t>A</w:t>
      </w:r>
      <w:r w:rsidR="0006394B">
        <w:t>.</w:t>
      </w:r>
      <w:r w:rsidR="00724ADB">
        <w:t xml:space="preserve"> </w:t>
      </w:r>
    </w:p>
    <w:p w:rsidR="00A11AE1" w:rsidRPr="00D41EC1" w:rsidRDefault="00A11AE1" w:rsidP="00FA7532">
      <w:pPr>
        <w:jc w:val="both"/>
      </w:pPr>
      <w:r w:rsidRPr="00D41EC1">
        <w:t>COMTRADE data reveals a significant discrepancy in the trade share of the EU in Nigeria’s total imports when comparing imports reported by Nigeria (where the EU has a 23 percent market share) with exports to Nigeria reported by the rest of the world (where the EU would have a 34 percent market share in Nigeria). The import data reported by Nigeria is used for a number of reasons:</w:t>
      </w:r>
    </w:p>
    <w:p w:rsidR="00A11AE1" w:rsidRPr="00D41EC1" w:rsidRDefault="00A11AE1" w:rsidP="00FA7532">
      <w:pPr>
        <w:jc w:val="both"/>
      </w:pPr>
      <w:proofErr w:type="spellStart"/>
      <w:r w:rsidRPr="00D41EC1">
        <w:t>i</w:t>
      </w:r>
      <w:proofErr w:type="spellEnd"/>
      <w:r w:rsidRPr="00D41EC1">
        <w:t>)</w:t>
      </w:r>
      <w:r w:rsidRPr="00D41EC1">
        <w:tab/>
        <w:t>Import data is generally deemed to be more reliable than export data as it tends to be more tightly controlled by customs authorities for revenue collection purposes.</w:t>
      </w:r>
      <w:r w:rsidR="00FB14AB">
        <w:t xml:space="preserve"> While EU export data </w:t>
      </w:r>
      <w:r w:rsidR="00FB14AB">
        <w:lastRenderedPageBreak/>
        <w:t>generally tends to be of satisfactory quality, this may not be case for export data of other important trading partners, thus creating a systematic bias of trade shares.</w:t>
      </w:r>
    </w:p>
    <w:p w:rsidR="00A11AE1" w:rsidRPr="00D41EC1" w:rsidRDefault="00A11AE1" w:rsidP="00FA7532">
      <w:pPr>
        <w:jc w:val="both"/>
      </w:pPr>
      <w:r w:rsidRPr="00D41EC1">
        <w:t>ii)</w:t>
      </w:r>
      <w:r w:rsidRPr="00D41EC1">
        <w:tab/>
        <w:t xml:space="preserve">In the case of mirror data, non-reporting by some trading partners would be counted as zero trade and thus create a systematic upward bias for the trade share of any trading partner that does report data </w:t>
      </w:r>
      <w:r w:rsidR="00FB14AB">
        <w:t xml:space="preserve">as, </w:t>
      </w:r>
      <w:r w:rsidRPr="00D41EC1">
        <w:t>in this case, the EU.</w:t>
      </w:r>
    </w:p>
    <w:p w:rsidR="00A11AE1" w:rsidRDefault="00A11AE1" w:rsidP="00FA7532">
      <w:pPr>
        <w:jc w:val="both"/>
      </w:pPr>
      <w:r w:rsidRPr="00D41EC1">
        <w:t>iii)</w:t>
      </w:r>
      <w:r w:rsidRPr="00D41EC1">
        <w:tab/>
        <w:t xml:space="preserve">Part of the discrepancy may also be explained by informal trade and smuggling of goods that are declared correctly when they are exported but then brought into Nigeria undeclared. As such trade does not carry any tariffs and is thus not affected by a trade policy change, including it in the above explained calculations would overestimate the real magnitude of the trade shock. </w:t>
      </w:r>
    </w:p>
    <w:p w:rsidR="00FB14AB" w:rsidRPr="00D41EC1" w:rsidRDefault="00FB14AB" w:rsidP="00FA7532">
      <w:pPr>
        <w:jc w:val="both"/>
      </w:pPr>
      <w:proofErr w:type="gramStart"/>
      <w:r>
        <w:t xml:space="preserve">iv) </w:t>
      </w:r>
      <w:r>
        <w:tab/>
        <w:t>Tariffs</w:t>
      </w:r>
      <w:proofErr w:type="gramEnd"/>
      <w:r>
        <w:t xml:space="preserve"> and other taxes at the border are computed over the </w:t>
      </w:r>
      <w:proofErr w:type="spellStart"/>
      <w:r>
        <w:t>cif</w:t>
      </w:r>
      <w:proofErr w:type="spellEnd"/>
      <w:r>
        <w:t xml:space="preserve"> (cost, insurance, freight) inclusive value of an import transaction. However, export data that could be used as mirror statistics is reported fob (free on board), not </w:t>
      </w:r>
      <w:r w:rsidR="003A46C9">
        <w:t>in</w:t>
      </w:r>
      <w:r>
        <w:t>cluding these charges.</w:t>
      </w:r>
    </w:p>
    <w:p w:rsidR="00A11AE1" w:rsidRPr="00D41EC1" w:rsidRDefault="00A11AE1" w:rsidP="00FA7532">
      <w:pPr>
        <w:jc w:val="both"/>
      </w:pPr>
      <w:r w:rsidRPr="00D41EC1">
        <w:t xml:space="preserve">An added complication in the case of Nigeria is the fact that the country maintains a list of products banned from importation, though in practice these bans do not appear to be fully enforced. The Nigeria TRIST therefore includes estimates of ad valorem equivalent (AVE) tariff rates for the banned products. These are taken from de </w:t>
      </w:r>
      <w:proofErr w:type="spellStart"/>
      <w:r w:rsidRPr="00D41EC1">
        <w:t>Melo</w:t>
      </w:r>
      <w:proofErr w:type="spellEnd"/>
      <w:r w:rsidRPr="00D41EC1">
        <w:t xml:space="preserve"> and </w:t>
      </w:r>
      <w:proofErr w:type="spellStart"/>
      <w:r w:rsidRPr="00D41EC1">
        <w:t>Ugarte</w:t>
      </w:r>
      <w:proofErr w:type="spellEnd"/>
      <w:r w:rsidRPr="00D41EC1">
        <w:t xml:space="preserve"> (2013) who based their results on observable price differences between Nigeria and comparable countries. </w:t>
      </w:r>
    </w:p>
    <w:p w:rsidR="008B1209" w:rsidRPr="008B1209" w:rsidRDefault="00E25EC5" w:rsidP="00FA7532">
      <w:pPr>
        <w:pStyle w:val="Heading2"/>
        <w:spacing w:after="200"/>
      </w:pPr>
      <w:bookmarkStart w:id="8" w:name="_Toc399860635"/>
      <w:r>
        <w:t>3.</w:t>
      </w:r>
      <w:r w:rsidR="00335548">
        <w:t>3</w:t>
      </w:r>
      <w:r>
        <w:t xml:space="preserve">. </w:t>
      </w:r>
      <w:r w:rsidR="008B1209">
        <w:t>Methodology for r</w:t>
      </w:r>
      <w:r w:rsidR="008B1209" w:rsidRPr="008B1209">
        <w:t xml:space="preserve">evenue </w:t>
      </w:r>
      <w:r w:rsidR="008B1209">
        <w:t>r</w:t>
      </w:r>
      <w:r w:rsidR="008B1209" w:rsidRPr="008B1209">
        <w:t>esults</w:t>
      </w:r>
      <w:bookmarkEnd w:id="8"/>
    </w:p>
    <w:p w:rsidR="008B1209" w:rsidRPr="00D41EC1" w:rsidRDefault="008B1209" w:rsidP="00FA7532">
      <w:pPr>
        <w:jc w:val="both"/>
      </w:pPr>
      <w:r w:rsidRPr="00D41EC1">
        <w:t xml:space="preserve">As explained above, absolute </w:t>
      </w:r>
      <w:r w:rsidR="00FB14AB">
        <w:t xml:space="preserve">figures for </w:t>
      </w:r>
      <w:r w:rsidRPr="00D41EC1">
        <w:t>changes in tariff and other tax revenue</w:t>
      </w:r>
      <w:r w:rsidR="00312EF4">
        <w:t>s</w:t>
      </w:r>
      <w:r w:rsidRPr="00D41EC1">
        <w:t xml:space="preserve"> in Nigeria TRIST are likely to be biased </w:t>
      </w:r>
      <w:r w:rsidR="003C33AD" w:rsidRPr="00D41EC1">
        <w:t xml:space="preserve">upward </w:t>
      </w:r>
      <w:r w:rsidRPr="00D41EC1">
        <w:t xml:space="preserve">due to the assumption of full collection (no exemptions) in the absence of the more detailed customs data typically </w:t>
      </w:r>
      <w:r w:rsidR="00312EF4">
        <w:t xml:space="preserve">needed </w:t>
      </w:r>
      <w:r w:rsidRPr="00D41EC1">
        <w:t xml:space="preserve">for TRIST. </w:t>
      </w:r>
      <w:r w:rsidR="00FC4F5B">
        <w:t xml:space="preserve">In practice, Nigeria is applying a number of exemptions that reduce the share of tariff revenue collected in practice. Nevertheless, </w:t>
      </w:r>
      <w:r w:rsidRPr="00D41EC1">
        <w:t xml:space="preserve">percentage changes in revenue remain valid, assuming that the share of exemptions remains the same before and after the reform. </w:t>
      </w:r>
    </w:p>
    <w:p w:rsidR="008B1209" w:rsidRPr="00D41EC1" w:rsidRDefault="008B1209" w:rsidP="00FA7532">
      <w:pPr>
        <w:jc w:val="both"/>
      </w:pPr>
      <w:r w:rsidRPr="00D41EC1">
        <w:t xml:space="preserve">It is also important to </w:t>
      </w:r>
      <w:r w:rsidR="003C33AD">
        <w:t>consider</w:t>
      </w:r>
      <w:r w:rsidRPr="00D41EC1">
        <w:t xml:space="preserve"> the evolution of revenue</w:t>
      </w:r>
      <w:r w:rsidR="00312EF4">
        <w:t>s</w:t>
      </w:r>
      <w:r w:rsidR="003C33AD">
        <w:t xml:space="preserve"> over time</w:t>
      </w:r>
      <w:r w:rsidRPr="00D41EC1">
        <w:t xml:space="preserve"> bearing in mind that the EPA will be phased in over a substantial time period. </w:t>
      </w:r>
    </w:p>
    <w:p w:rsidR="008B1209" w:rsidRPr="00D41EC1" w:rsidRDefault="008B1209" w:rsidP="00FA7532">
      <w:pPr>
        <w:jc w:val="both"/>
      </w:pPr>
      <w:r w:rsidRPr="00D41EC1">
        <w:t xml:space="preserve">The calculations underlying the revenue results therefore combine the trade related relative changes in revenue calculated in TRIST with a simple assumption of 3 percent annual growth in all revenue sources, using fiscal data from the 2012 IMF Art IV report as a base. The percentage changes in trade related revenue are derived directly from TRIST results shown in section 4.1. </w:t>
      </w:r>
      <w:r w:rsidR="0097202B" w:rsidRPr="00D41EC1">
        <w:t xml:space="preserve">Annex </w:t>
      </w:r>
      <w:r w:rsidR="00A90FA6">
        <w:t>1</w:t>
      </w:r>
      <w:r w:rsidRPr="00D41EC1">
        <w:t xml:space="preserve"> shows these calculations.</w:t>
      </w:r>
    </w:p>
    <w:p w:rsidR="008B1209" w:rsidRPr="00E25EC5" w:rsidRDefault="00E25EC5" w:rsidP="00335548">
      <w:pPr>
        <w:pStyle w:val="Heading2"/>
        <w:numPr>
          <w:ilvl w:val="1"/>
          <w:numId w:val="37"/>
        </w:numPr>
        <w:spacing w:after="200"/>
      </w:pPr>
      <w:bookmarkStart w:id="9" w:name="_Toc399860636"/>
      <w:r w:rsidRPr="00E25EC5">
        <w:t>Methodology for h</w:t>
      </w:r>
      <w:r w:rsidR="008B1209" w:rsidRPr="00E25EC5">
        <w:t xml:space="preserve">ousehold </w:t>
      </w:r>
      <w:r w:rsidRPr="00E25EC5">
        <w:t>p</w:t>
      </w:r>
      <w:r w:rsidR="008B1209" w:rsidRPr="00E25EC5">
        <w:t>rice</w:t>
      </w:r>
      <w:r w:rsidRPr="00E25EC5">
        <w:t xml:space="preserve"> results</w:t>
      </w:r>
      <w:bookmarkEnd w:id="9"/>
    </w:p>
    <w:p w:rsidR="008B1209" w:rsidRPr="00D41EC1" w:rsidRDefault="008B1209" w:rsidP="00FA7532">
      <w:pPr>
        <w:jc w:val="both"/>
      </w:pPr>
      <w:r w:rsidRPr="00D41EC1">
        <w:t>Results for the change in consumption prices for average Nigerian households are calculated by matching price changes from TRIST with the expenditure items</w:t>
      </w:r>
      <w:r w:rsidR="003C33AD">
        <w:t xml:space="preserve"> listed</w:t>
      </w:r>
      <w:r w:rsidRPr="00D41EC1">
        <w:t xml:space="preserve"> in the </w:t>
      </w:r>
      <w:r w:rsidR="00B40528">
        <w:t>Nigeria General Household Survey of 2010/11 and 2012/13</w:t>
      </w:r>
      <w:r w:rsidRPr="00D41EC1">
        <w:t xml:space="preserve">. Aggregation is done </w:t>
      </w:r>
      <w:r w:rsidR="00D41EC1">
        <w:t xml:space="preserve">by </w:t>
      </w:r>
      <w:r w:rsidRPr="00D41EC1">
        <w:t xml:space="preserve">taking weighted average prices of all product categories that match a given expenditure item. Only products purchased in the market are subjected to </w:t>
      </w:r>
      <w:r w:rsidRPr="00D41EC1">
        <w:lastRenderedPageBreak/>
        <w:t xml:space="preserve">the price shock while consumption from own production remains unaffected. The change in the cost of consumption is calculated at the item level and then aggregated to assess the price change of the entire consumption basket. </w:t>
      </w:r>
      <w:r w:rsidR="0097202B" w:rsidRPr="00D41EC1">
        <w:t xml:space="preserve">Annex </w:t>
      </w:r>
      <w:r w:rsidR="00A90FA6">
        <w:t>2</w:t>
      </w:r>
      <w:r w:rsidRPr="00D41EC1">
        <w:t xml:space="preserve"> shows the price changes at </w:t>
      </w:r>
      <w:r w:rsidR="00B40528">
        <w:t>the GHS</w:t>
      </w:r>
      <w:r w:rsidRPr="00D41EC1">
        <w:t xml:space="preserve"> category level.</w:t>
      </w:r>
    </w:p>
    <w:p w:rsidR="008B1209" w:rsidRPr="00117C70" w:rsidRDefault="00117C70" w:rsidP="00335548">
      <w:pPr>
        <w:pStyle w:val="Heading2"/>
        <w:numPr>
          <w:ilvl w:val="1"/>
          <w:numId w:val="37"/>
        </w:numPr>
        <w:spacing w:after="200"/>
        <w:rPr>
          <w:vertAlign w:val="superscript"/>
        </w:rPr>
      </w:pPr>
      <w:bookmarkStart w:id="10" w:name="_Toc399860637"/>
      <w:r w:rsidRPr="00117C70">
        <w:t>Methodology for f</w:t>
      </w:r>
      <w:r w:rsidR="008B1209" w:rsidRPr="00117C70">
        <w:t xml:space="preserve">irm </w:t>
      </w:r>
      <w:r w:rsidRPr="00117C70">
        <w:t>l</w:t>
      </w:r>
      <w:r w:rsidR="008B1209" w:rsidRPr="00117C70">
        <w:t xml:space="preserve">evel </w:t>
      </w:r>
      <w:r w:rsidRPr="00117C70">
        <w:t>r</w:t>
      </w:r>
      <w:r w:rsidR="008B1209" w:rsidRPr="00117C70">
        <w:t>esults</w:t>
      </w:r>
      <w:r w:rsidR="008B1209" w:rsidRPr="00117C70">
        <w:rPr>
          <w:vertAlign w:val="superscript"/>
        </w:rPr>
        <w:footnoteReference w:id="1"/>
      </w:r>
      <w:bookmarkEnd w:id="10"/>
    </w:p>
    <w:p w:rsidR="008B1209" w:rsidRPr="00D41EC1" w:rsidRDefault="008B1209" w:rsidP="00FA7532">
      <w:pPr>
        <w:jc w:val="both"/>
      </w:pPr>
      <w:r w:rsidRPr="00D41EC1">
        <w:t xml:space="preserve">In the short run, firms are affected by a trade policy reform primarily through three price channels: Changes in the domestic price on the output they produce, the inputs they use, and the capital goods they purchase. Typically, a lower tariff on a given good would reduce its domestic price, and thus diminish the profitability of firms producing this product. On the other hand, lower tariffs on their intermediate inputs and capital goods would increase the profitability of firms. </w:t>
      </w:r>
    </w:p>
    <w:p w:rsidR="008B1209" w:rsidRPr="00D41EC1" w:rsidRDefault="008B1209" w:rsidP="00FA7532">
      <w:pPr>
        <w:jc w:val="both"/>
      </w:pPr>
      <w:r w:rsidRPr="00D41EC1">
        <w:t xml:space="preserve">Ultimately, a firm’s response to these changes will also depend on its pre-reform level of profitability. Firms operating in highly protected sectors often have considerable profit margins, and may well continue or even grow their operations even if their profit margin is slightly reduced due to a tariff reform. In fact, recent </w:t>
      </w:r>
      <w:r w:rsidR="00117C70" w:rsidRPr="00D41EC1">
        <w:t>trade literature</w:t>
      </w:r>
      <w:r w:rsidRPr="00D41EC1">
        <w:t xml:space="preserve"> has emphasized that adjustment to trade reforms often has more noticeable effects at the firm level, with capital and labor moving from less productive firms to more productive firms within a sector, than it does in t</w:t>
      </w:r>
      <w:r w:rsidR="00117C70" w:rsidRPr="00D41EC1">
        <w:t>erms of movement across sectors (</w:t>
      </w:r>
      <w:proofErr w:type="spellStart"/>
      <w:r w:rsidR="00117C70" w:rsidRPr="00D41EC1">
        <w:t>Melitz</w:t>
      </w:r>
      <w:proofErr w:type="spellEnd"/>
      <w:r w:rsidR="00117C70" w:rsidRPr="00D41EC1">
        <w:t xml:space="preserve"> 2003).</w:t>
      </w:r>
      <w:r w:rsidRPr="00D41EC1">
        <w:t xml:space="preserve"> </w:t>
      </w:r>
    </w:p>
    <w:p w:rsidR="008B1209" w:rsidRPr="00D41EC1" w:rsidRDefault="008B1209" w:rsidP="00FA7532">
      <w:pPr>
        <w:jc w:val="both"/>
      </w:pPr>
      <w:r w:rsidRPr="00D41EC1">
        <w:t xml:space="preserve">In order to account for all these factors, the results from TRIST on changes in prices are matched with World Bank Enterprise data on Nigerian firms. The sample comprises 2,427 manufacturing firms across the entire country. Summary statistics on the key variables from this dataset are presented in </w:t>
      </w:r>
      <w:r w:rsidR="00326E07">
        <w:t xml:space="preserve">Annex </w:t>
      </w:r>
      <w:r w:rsidR="00A90FA6">
        <w:t>3</w:t>
      </w:r>
      <w:r w:rsidR="00326E07">
        <w:t>,</w:t>
      </w:r>
      <w:r w:rsidRPr="00D41EC1">
        <w:t xml:space="preserve"> and the data sources for each of the calculation steps shown below along with a simple example and the criteria for categorizing firms according to the impact of the trade reform are in </w:t>
      </w:r>
      <w:r w:rsidR="00326E07">
        <w:t xml:space="preserve">Annex </w:t>
      </w:r>
      <w:r w:rsidR="00A90FA6">
        <w:t>4.</w:t>
      </w:r>
      <w:r w:rsidRPr="00D41EC1">
        <w:t xml:space="preserve"> Price changes by output categories</w:t>
      </w:r>
      <w:r w:rsidR="00326E07">
        <w:t xml:space="preserve"> (ISIC classification)</w:t>
      </w:r>
      <w:r w:rsidRPr="00D41EC1">
        <w:t>, input categories</w:t>
      </w:r>
      <w:r w:rsidR="00326E07">
        <w:t xml:space="preserve"> (GTAP classification)</w:t>
      </w:r>
      <w:r w:rsidRPr="00D41EC1">
        <w:t>, and capital goods</w:t>
      </w:r>
      <w:r w:rsidR="00326E07">
        <w:t xml:space="preserve"> (BEC classification)</w:t>
      </w:r>
      <w:r w:rsidRPr="00D41EC1">
        <w:t xml:space="preserve"> are presented in </w:t>
      </w:r>
      <w:r w:rsidR="00326E07">
        <w:t xml:space="preserve">Annex </w:t>
      </w:r>
      <w:r w:rsidR="00A90FA6">
        <w:t>5</w:t>
      </w:r>
      <w:r w:rsidRPr="00D41EC1">
        <w:t xml:space="preserve">. </w:t>
      </w:r>
    </w:p>
    <w:p w:rsidR="008B1209" w:rsidRPr="00D41EC1" w:rsidRDefault="008B1209" w:rsidP="00FA7532">
      <w:r w:rsidRPr="00D41EC1">
        <w:t xml:space="preserve">The expected change in profitability for each firm </w:t>
      </w:r>
      <w:proofErr w:type="spellStart"/>
      <w:r w:rsidRPr="00D41EC1">
        <w:t>i</w:t>
      </w:r>
      <w:proofErr w:type="spellEnd"/>
      <w:r w:rsidRPr="00D41EC1">
        <w:t xml:space="preserve"> in the sample </w:t>
      </w:r>
      <w:proofErr w:type="gramStart"/>
      <w:r w:rsidRPr="00D41EC1">
        <w:t>is</w:t>
      </w:r>
      <w:proofErr w:type="gramEnd"/>
      <w:r w:rsidRPr="00D41EC1">
        <w:t xml:space="preserve"> calculated as follows: </w:t>
      </w:r>
    </w:p>
    <w:p w:rsidR="008B1209" w:rsidRDefault="008B1209" w:rsidP="00FA7532">
      <w:pPr>
        <w:pStyle w:val="Caption"/>
        <w:spacing w:line="276" w:lineRule="auto"/>
        <w:jc w:val="center"/>
        <w:rPr>
          <w:rFonts w:ascii="Arial" w:hAnsi="Arial" w:cs="Arial"/>
          <w:sz w:val="20"/>
          <w:szCs w:val="20"/>
        </w:rPr>
      </w:pPr>
      <w:r>
        <w:t xml:space="preserve">Equation </w:t>
      </w:r>
      <w:r w:rsidR="00D16807">
        <w:t>1</w:t>
      </w:r>
      <w:r>
        <w:t xml:space="preserve"> </w:t>
      </w:r>
    </w:p>
    <w:p w:rsidR="008B1209" w:rsidRPr="0086637F" w:rsidRDefault="00170E25" w:rsidP="00FA7532">
      <w:pPr>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∆π</m:t>
              </m:r>
            </m:e>
            <m:sub>
              <m:r>
                <w:rPr>
                  <w:rFonts w:ascii="Cambria Math" w:hAnsi="Cambria Math" w:cs="Arial"/>
                  <w:sz w:val="20"/>
                  <w:szCs w:val="20"/>
                </w:rPr>
                <m:t>i</m:t>
              </m:r>
            </m:sub>
          </m:sSub>
          <m:r>
            <w:rPr>
              <w:rFonts w:ascii="Cambria Math" w:hAnsi="Cambria Math" w:cs="Arial"/>
              <w:sz w:val="20"/>
              <w:szCs w:val="20"/>
            </w:rPr>
            <m:t>=</m:t>
          </m:r>
          <m:sSubSup>
            <m:sSubSupPr>
              <m:ctrlPr>
                <w:rPr>
                  <w:rFonts w:ascii="Cambria Math" w:hAnsi="Cambria Math" w:cs="Arial"/>
                  <w:i/>
                  <w:sz w:val="20"/>
                  <w:szCs w:val="20"/>
                </w:rPr>
              </m:ctrlPr>
            </m:sSubSupPr>
            <m:e>
              <m:r>
                <w:rPr>
                  <w:rFonts w:ascii="Cambria Math" w:hAnsi="Cambria Math" w:cs="Arial"/>
                  <w:sz w:val="20"/>
                  <w:szCs w:val="20"/>
                </w:rPr>
                <m:t>π</m:t>
              </m:r>
            </m:e>
            <m:sub>
              <m:r>
                <w:rPr>
                  <w:rFonts w:ascii="Cambria Math" w:hAnsi="Cambria Math" w:cs="Arial"/>
                  <w:sz w:val="20"/>
                  <w:szCs w:val="20"/>
                </w:rPr>
                <m:t>i</m:t>
              </m:r>
            </m:sub>
            <m:sup>
              <m:r>
                <w:rPr>
                  <w:rFonts w:ascii="Cambria Math" w:hAnsi="Cambria Math" w:cs="Arial"/>
                  <w:sz w:val="20"/>
                  <w:szCs w:val="20"/>
                </w:rPr>
                <m:t>EPA</m:t>
              </m:r>
            </m:sup>
          </m:sSubSup>
          <m:r>
            <w:rPr>
              <w:rFonts w:ascii="Cambria Math" w:hAnsi="Cambria Math" w:cs="Arial"/>
              <w:sz w:val="20"/>
              <w:szCs w:val="20"/>
            </w:rPr>
            <m:t>-</m:t>
          </m:r>
          <m:sSubSup>
            <m:sSubSupPr>
              <m:ctrlPr>
                <w:rPr>
                  <w:rFonts w:ascii="Cambria Math" w:hAnsi="Cambria Math" w:cs="Arial"/>
                  <w:i/>
                  <w:sz w:val="20"/>
                  <w:szCs w:val="20"/>
                </w:rPr>
              </m:ctrlPr>
            </m:sSubSupPr>
            <m:e>
              <m:r>
                <w:rPr>
                  <w:rFonts w:ascii="Cambria Math" w:hAnsi="Cambria Math" w:cs="Arial"/>
                  <w:sz w:val="20"/>
                  <w:szCs w:val="20"/>
                </w:rPr>
                <m:t>π</m:t>
              </m:r>
            </m:e>
            <m:sub>
              <m:r>
                <w:rPr>
                  <w:rFonts w:ascii="Cambria Math" w:hAnsi="Cambria Math" w:cs="Arial"/>
                  <w:sz w:val="20"/>
                  <w:szCs w:val="20"/>
                </w:rPr>
                <m:t>i</m:t>
              </m:r>
            </m:sub>
            <m:sup>
              <m:r>
                <w:rPr>
                  <w:rFonts w:ascii="Cambria Math" w:hAnsi="Cambria Math" w:cs="Arial"/>
                  <w:sz w:val="20"/>
                  <w:szCs w:val="20"/>
                </w:rPr>
                <m:t>0</m:t>
              </m:r>
            </m:sup>
          </m:sSubSup>
          <m:r>
            <w:rPr>
              <w:rFonts w:ascii="Cambria Math" w:hAnsi="Cambria Math" w:cs="Arial"/>
              <w:sz w:val="20"/>
              <w:szCs w:val="20"/>
            </w:rPr>
            <m:t xml:space="preserve"> </m:t>
          </m:r>
        </m:oMath>
      </m:oMathPara>
    </w:p>
    <w:p w:rsidR="008B1209" w:rsidRPr="0086637F" w:rsidRDefault="008B1209" w:rsidP="00FA7532">
      <w:pPr>
        <w:jc w:val="center"/>
        <w:rPr>
          <w:rFonts w:ascii="Arial" w:hAnsi="Arial" w:cs="Arial"/>
          <w:sz w:val="18"/>
          <w:szCs w:val="20"/>
        </w:rPr>
      </w:pPr>
      <w:proofErr w:type="gramStart"/>
      <w:r>
        <w:rPr>
          <w:rFonts w:ascii="Arial" w:hAnsi="Arial" w:cs="Arial"/>
          <w:sz w:val="18"/>
          <w:szCs w:val="20"/>
        </w:rPr>
        <w:t>with</w:t>
      </w:r>
      <w:proofErr w:type="gramEnd"/>
    </w:p>
    <w:p w:rsidR="008B1209" w:rsidRPr="0086637F" w:rsidRDefault="00170E25" w:rsidP="00FA7532">
      <w:pPr>
        <w:jc w:val="center"/>
        <w:rPr>
          <w:rFonts w:ascii="Arial" w:hAnsi="Arial" w:cs="Arial"/>
          <w:sz w:val="14"/>
          <w:szCs w:val="20"/>
        </w:rPr>
      </w:pPr>
      <m:oMathPara>
        <m:oMath>
          <m:sSubSup>
            <m:sSubSupPr>
              <m:ctrlPr>
                <w:rPr>
                  <w:rFonts w:ascii="Cambria Math" w:hAnsi="Cambria Math" w:cs="Arial"/>
                  <w:i/>
                  <w:sz w:val="20"/>
                  <w:szCs w:val="20"/>
                </w:rPr>
              </m:ctrlPr>
            </m:sSubSupPr>
            <m:e>
              <m:r>
                <w:rPr>
                  <w:rFonts w:ascii="Cambria Math" w:hAnsi="Cambria Math" w:cs="Arial"/>
                  <w:sz w:val="20"/>
                  <w:szCs w:val="20"/>
                </w:rPr>
                <m:t>π</m:t>
              </m:r>
            </m:e>
            <m:sub>
              <m:r>
                <w:rPr>
                  <w:rFonts w:ascii="Cambria Math" w:hAnsi="Cambria Math" w:cs="Arial"/>
                  <w:sz w:val="20"/>
                  <w:szCs w:val="20"/>
                </w:rPr>
                <m:t>i</m:t>
              </m:r>
            </m:sub>
            <m:sup>
              <m:r>
                <w:rPr>
                  <w:rFonts w:ascii="Cambria Math" w:hAnsi="Cambria Math" w:cs="Arial"/>
                  <w:sz w:val="20"/>
                  <w:szCs w:val="20"/>
                </w:rPr>
                <m:t>0</m:t>
              </m:r>
            </m:sup>
          </m:sSubSup>
          <m:r>
            <w:rPr>
              <w:rFonts w:ascii="Cambria Math" w:hAnsi="Cambria Math" w:cs="Arial"/>
              <w:sz w:val="20"/>
              <w:szCs w:val="20"/>
            </w:rPr>
            <m:t>=</m:t>
          </m:r>
          <m:f>
            <m:fPr>
              <m:ctrlPr>
                <w:rPr>
                  <w:rFonts w:ascii="Cambria Math" w:hAnsi="Cambria Math" w:cs="Arial"/>
                  <w:i/>
                  <w:sz w:val="20"/>
                  <w:szCs w:val="20"/>
                </w:rPr>
              </m:ctrlPr>
            </m:fPr>
            <m:num>
              <m:sSubSup>
                <m:sSubSupPr>
                  <m:ctrlPr>
                    <w:rPr>
                      <w:rFonts w:ascii="Cambria Math" w:hAnsi="Cambria Math" w:cs="Arial"/>
                      <w:i/>
                      <w:sz w:val="20"/>
                      <w:szCs w:val="20"/>
                    </w:rPr>
                  </m:ctrlPr>
                </m:sSubSupPr>
                <m:e>
                  <m:r>
                    <w:rPr>
                      <w:rFonts w:ascii="Cambria Math" w:hAnsi="Cambria Math" w:cs="Arial"/>
                      <w:sz w:val="20"/>
                      <w:szCs w:val="20"/>
                    </w:rPr>
                    <m:t>Y</m:t>
                  </m:r>
                </m:e>
                <m:sub>
                  <m:r>
                    <w:rPr>
                      <w:rFonts w:ascii="Cambria Math" w:hAnsi="Cambria Math" w:cs="Arial"/>
                      <w:sz w:val="20"/>
                      <w:szCs w:val="20"/>
                    </w:rPr>
                    <m:t>i</m:t>
                  </m:r>
                </m:sub>
                <m:sup/>
              </m:sSub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p(Y)</m:t>
                  </m:r>
                </m:e>
                <m:sup>
                  <m:r>
                    <w:rPr>
                      <w:rFonts w:ascii="Cambria Math" w:hAnsi="Cambria Math" w:cs="Arial"/>
                      <w:sz w:val="20"/>
                      <w:szCs w:val="20"/>
                    </w:rPr>
                    <m:t>0</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i</m:t>
                  </m:r>
                </m:sub>
              </m:sSub>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p</m:t>
                  </m:r>
                  <m:d>
                    <m:dPr>
                      <m:ctrlPr>
                        <w:rPr>
                          <w:rFonts w:ascii="Cambria Math" w:hAnsi="Cambria Math" w:cs="Arial"/>
                          <w:i/>
                          <w:sz w:val="20"/>
                          <w:szCs w:val="20"/>
                        </w:rPr>
                      </m:ctrlPr>
                    </m:dPr>
                    <m:e>
                      <m:r>
                        <w:rPr>
                          <w:rFonts w:ascii="Cambria Math" w:hAnsi="Cambria Math" w:cs="Arial"/>
                          <w:sz w:val="20"/>
                          <w:szCs w:val="20"/>
                        </w:rPr>
                        <m:t>I</m:t>
                      </m:r>
                    </m:e>
                  </m:d>
                </m:e>
                <m:sup>
                  <m:r>
                    <w:rPr>
                      <w:rFonts w:ascii="Cambria Math" w:hAnsi="Cambria Math" w:cs="Arial"/>
                      <w:sz w:val="20"/>
                      <w:szCs w:val="20"/>
                    </w:rPr>
                    <m:t>0</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i</m:t>
                  </m:r>
                </m:sub>
              </m:sSub>
              <m:r>
                <w:rPr>
                  <w:rFonts w:ascii="Cambria Math" w:hAnsi="Cambria Math" w:cs="Arial"/>
                  <w:sz w:val="20"/>
                  <w:szCs w:val="20"/>
                </w:rPr>
                <m:t>*</m:t>
              </m:r>
              <m:acc>
                <m:accPr>
                  <m:chr m:val="̅"/>
                  <m:ctrlPr>
                    <w:rPr>
                      <w:rFonts w:ascii="Cambria Math" w:hAnsi="Cambria Math" w:cs="Arial"/>
                      <w:i/>
                      <w:sz w:val="20"/>
                      <w:szCs w:val="20"/>
                    </w:rPr>
                  </m:ctrlPr>
                </m:accPr>
                <m:e>
                  <m:r>
                    <w:rPr>
                      <w:rFonts w:ascii="Cambria Math" w:hAnsi="Cambria Math" w:cs="Arial"/>
                      <w:sz w:val="20"/>
                      <w:szCs w:val="20"/>
                    </w:rPr>
                    <m:t>p</m:t>
                  </m:r>
                </m:e>
              </m:acc>
              <m:d>
                <m:dPr>
                  <m:ctrlPr>
                    <w:rPr>
                      <w:rFonts w:ascii="Cambria Math" w:hAnsi="Cambria Math" w:cs="Arial"/>
                      <w:i/>
                      <w:sz w:val="20"/>
                      <w:szCs w:val="20"/>
                    </w:rPr>
                  </m:ctrlPr>
                </m:dPr>
                <m:e>
                  <m:r>
                    <w:rPr>
                      <w:rFonts w:ascii="Cambria Math" w:hAnsi="Cambria Math" w:cs="Arial"/>
                      <w:sz w:val="20"/>
                      <w:szCs w:val="20"/>
                    </w:rPr>
                    <m:t>L</m:t>
                  </m:r>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m:t>
                  </m:r>
                </m:sub>
              </m:sSub>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p</m:t>
                  </m:r>
                  <m:d>
                    <m:dPr>
                      <m:ctrlPr>
                        <w:rPr>
                          <w:rFonts w:ascii="Cambria Math" w:hAnsi="Cambria Math" w:cs="Arial"/>
                          <w:i/>
                          <w:sz w:val="20"/>
                          <w:szCs w:val="20"/>
                        </w:rPr>
                      </m:ctrlPr>
                    </m:dPr>
                    <m:e>
                      <m:r>
                        <w:rPr>
                          <w:rFonts w:ascii="Cambria Math" w:hAnsi="Cambria Math" w:cs="Arial"/>
                          <w:sz w:val="20"/>
                          <w:szCs w:val="20"/>
                        </w:rPr>
                        <m:t>C</m:t>
                      </m:r>
                    </m:e>
                  </m:d>
                </m:e>
                <m:sup>
                  <m:r>
                    <w:rPr>
                      <w:rFonts w:ascii="Cambria Math" w:hAnsi="Cambria Math" w:cs="Arial"/>
                      <w:sz w:val="20"/>
                      <w:szCs w:val="20"/>
                    </w:rPr>
                    <m:t>0</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i</m:t>
                  </m:r>
                </m:sub>
              </m:sSub>
              <m:r>
                <w:rPr>
                  <w:rFonts w:ascii="Cambria Math" w:hAnsi="Cambria Math" w:cs="Arial"/>
                  <w:sz w:val="20"/>
                  <w:szCs w:val="20"/>
                </w:rPr>
                <m:t>*</m:t>
              </m:r>
              <m:acc>
                <m:accPr>
                  <m:chr m:val="̅"/>
                  <m:ctrlPr>
                    <w:rPr>
                      <w:rFonts w:ascii="Cambria Math" w:hAnsi="Cambria Math" w:cs="Arial"/>
                      <w:i/>
                      <w:sz w:val="20"/>
                      <w:szCs w:val="20"/>
                    </w:rPr>
                  </m:ctrlPr>
                </m:accPr>
                <m:e>
                  <m:r>
                    <w:rPr>
                      <w:rFonts w:ascii="Cambria Math" w:hAnsi="Cambria Math" w:cs="Arial"/>
                      <w:sz w:val="20"/>
                      <w:szCs w:val="20"/>
                    </w:rPr>
                    <m:t>p</m:t>
                  </m:r>
                </m:e>
              </m:acc>
              <m:d>
                <m:dPr>
                  <m:ctrlPr>
                    <w:rPr>
                      <w:rFonts w:ascii="Cambria Math" w:hAnsi="Cambria Math" w:cs="Arial"/>
                      <w:i/>
                      <w:sz w:val="20"/>
                      <w:szCs w:val="20"/>
                    </w:rPr>
                  </m:ctrlPr>
                </m:dPr>
                <m:e>
                  <m:r>
                    <w:rPr>
                      <w:rFonts w:ascii="Cambria Math" w:hAnsi="Cambria Math" w:cs="Arial"/>
                      <w:sz w:val="20"/>
                      <w:szCs w:val="20"/>
                    </w:rPr>
                    <m:t>T</m:t>
                  </m:r>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O</m:t>
                  </m:r>
                </m:e>
                <m:sub>
                  <m:r>
                    <w:rPr>
                      <w:rFonts w:ascii="Cambria Math" w:hAnsi="Cambria Math" w:cs="Arial"/>
                      <w:sz w:val="20"/>
                      <w:szCs w:val="20"/>
                    </w:rPr>
                    <m:t>i</m:t>
                  </m:r>
                </m:sub>
              </m:sSub>
              <m:r>
                <w:rPr>
                  <w:rFonts w:ascii="Cambria Math" w:hAnsi="Cambria Math" w:cs="Arial"/>
                  <w:sz w:val="20"/>
                  <w:szCs w:val="20"/>
                </w:rPr>
                <m:t>*</m:t>
              </m:r>
              <m:acc>
                <m:accPr>
                  <m:chr m:val="̅"/>
                  <m:ctrlPr>
                    <w:rPr>
                      <w:rFonts w:ascii="Cambria Math" w:hAnsi="Cambria Math" w:cs="Arial"/>
                      <w:i/>
                      <w:sz w:val="20"/>
                      <w:szCs w:val="20"/>
                    </w:rPr>
                  </m:ctrlPr>
                </m:accPr>
                <m:e>
                  <m:r>
                    <w:rPr>
                      <w:rFonts w:ascii="Cambria Math" w:hAnsi="Cambria Math" w:cs="Arial"/>
                      <w:sz w:val="20"/>
                      <w:szCs w:val="20"/>
                    </w:rPr>
                    <m:t>p</m:t>
                  </m:r>
                </m:e>
              </m:acc>
              <m:d>
                <m:dPr>
                  <m:ctrlPr>
                    <w:rPr>
                      <w:rFonts w:ascii="Cambria Math" w:hAnsi="Cambria Math" w:cs="Arial"/>
                      <w:i/>
                      <w:sz w:val="20"/>
                      <w:szCs w:val="20"/>
                    </w:rPr>
                  </m:ctrlPr>
                </m:dPr>
                <m:e>
                  <m:r>
                    <w:rPr>
                      <w:rFonts w:ascii="Cambria Math" w:hAnsi="Cambria Math" w:cs="Arial"/>
                      <w:sz w:val="20"/>
                      <w:szCs w:val="20"/>
                    </w:rPr>
                    <m:t>O</m:t>
                  </m:r>
                </m:e>
              </m:d>
              <m:r>
                <w:rPr>
                  <w:rFonts w:ascii="Cambria Math" w:hAnsi="Cambria Math" w:cs="Arial"/>
                  <w:sz w:val="20"/>
                  <w:szCs w:val="20"/>
                </w:rPr>
                <m:t>)</m:t>
              </m:r>
            </m:num>
            <m:den>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i</m:t>
                  </m:r>
                </m:sub>
              </m:sSub>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p</m:t>
                  </m:r>
                  <m:d>
                    <m:dPr>
                      <m:ctrlPr>
                        <w:rPr>
                          <w:rFonts w:ascii="Cambria Math" w:hAnsi="Cambria Math" w:cs="Arial"/>
                          <w:i/>
                          <w:sz w:val="20"/>
                          <w:szCs w:val="20"/>
                        </w:rPr>
                      </m:ctrlPr>
                    </m:dPr>
                    <m:e>
                      <m:r>
                        <w:rPr>
                          <w:rFonts w:ascii="Cambria Math" w:hAnsi="Cambria Math" w:cs="Arial"/>
                          <w:sz w:val="20"/>
                          <w:szCs w:val="20"/>
                        </w:rPr>
                        <m:t>I</m:t>
                      </m:r>
                    </m:e>
                  </m:d>
                </m:e>
                <m:sup>
                  <m:r>
                    <w:rPr>
                      <w:rFonts w:ascii="Cambria Math" w:hAnsi="Cambria Math" w:cs="Arial"/>
                      <w:sz w:val="20"/>
                      <w:szCs w:val="20"/>
                    </w:rPr>
                    <m:t>0</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i</m:t>
                  </m:r>
                </m:sub>
              </m:sSub>
              <m:r>
                <w:rPr>
                  <w:rFonts w:ascii="Cambria Math" w:hAnsi="Cambria Math" w:cs="Arial"/>
                  <w:sz w:val="20"/>
                  <w:szCs w:val="20"/>
                </w:rPr>
                <m:t>*</m:t>
              </m:r>
              <m:acc>
                <m:accPr>
                  <m:chr m:val="̅"/>
                  <m:ctrlPr>
                    <w:rPr>
                      <w:rFonts w:ascii="Cambria Math" w:hAnsi="Cambria Math" w:cs="Arial"/>
                      <w:i/>
                      <w:sz w:val="20"/>
                      <w:szCs w:val="20"/>
                    </w:rPr>
                  </m:ctrlPr>
                </m:accPr>
                <m:e>
                  <m:r>
                    <w:rPr>
                      <w:rFonts w:ascii="Cambria Math" w:hAnsi="Cambria Math" w:cs="Arial"/>
                      <w:sz w:val="20"/>
                      <w:szCs w:val="20"/>
                    </w:rPr>
                    <m:t>p</m:t>
                  </m:r>
                </m:e>
              </m:acc>
              <m:d>
                <m:dPr>
                  <m:ctrlPr>
                    <w:rPr>
                      <w:rFonts w:ascii="Cambria Math" w:hAnsi="Cambria Math" w:cs="Arial"/>
                      <w:i/>
                      <w:sz w:val="20"/>
                      <w:szCs w:val="20"/>
                    </w:rPr>
                  </m:ctrlPr>
                </m:dPr>
                <m:e>
                  <m:r>
                    <w:rPr>
                      <w:rFonts w:ascii="Cambria Math" w:hAnsi="Cambria Math" w:cs="Arial"/>
                      <w:sz w:val="20"/>
                      <w:szCs w:val="20"/>
                    </w:rPr>
                    <m:t>L</m:t>
                  </m:r>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m:t>
                  </m:r>
                </m:sub>
              </m:sSub>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p</m:t>
                  </m:r>
                  <m:d>
                    <m:dPr>
                      <m:ctrlPr>
                        <w:rPr>
                          <w:rFonts w:ascii="Cambria Math" w:hAnsi="Cambria Math" w:cs="Arial"/>
                          <w:i/>
                          <w:sz w:val="20"/>
                          <w:szCs w:val="20"/>
                        </w:rPr>
                      </m:ctrlPr>
                    </m:dPr>
                    <m:e>
                      <m:r>
                        <w:rPr>
                          <w:rFonts w:ascii="Cambria Math" w:hAnsi="Cambria Math" w:cs="Arial"/>
                          <w:sz w:val="20"/>
                          <w:szCs w:val="20"/>
                        </w:rPr>
                        <m:t>C</m:t>
                      </m:r>
                    </m:e>
                  </m:d>
                </m:e>
                <m:sup>
                  <m:r>
                    <w:rPr>
                      <w:rFonts w:ascii="Cambria Math" w:hAnsi="Cambria Math" w:cs="Arial"/>
                      <w:sz w:val="20"/>
                      <w:szCs w:val="20"/>
                    </w:rPr>
                    <m:t>0</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i</m:t>
                  </m:r>
                </m:sub>
              </m:sSub>
              <m:r>
                <w:rPr>
                  <w:rFonts w:ascii="Cambria Math" w:hAnsi="Cambria Math" w:cs="Arial"/>
                  <w:sz w:val="20"/>
                  <w:szCs w:val="20"/>
                </w:rPr>
                <m:t>*</m:t>
              </m:r>
              <m:acc>
                <m:accPr>
                  <m:chr m:val="̅"/>
                  <m:ctrlPr>
                    <w:rPr>
                      <w:rFonts w:ascii="Cambria Math" w:hAnsi="Cambria Math" w:cs="Arial"/>
                      <w:i/>
                      <w:sz w:val="20"/>
                      <w:szCs w:val="20"/>
                    </w:rPr>
                  </m:ctrlPr>
                </m:accPr>
                <m:e>
                  <m:r>
                    <w:rPr>
                      <w:rFonts w:ascii="Cambria Math" w:hAnsi="Cambria Math" w:cs="Arial"/>
                      <w:sz w:val="20"/>
                      <w:szCs w:val="20"/>
                    </w:rPr>
                    <m:t>p</m:t>
                  </m:r>
                </m:e>
              </m:acc>
              <m:d>
                <m:dPr>
                  <m:ctrlPr>
                    <w:rPr>
                      <w:rFonts w:ascii="Cambria Math" w:hAnsi="Cambria Math" w:cs="Arial"/>
                      <w:i/>
                      <w:sz w:val="20"/>
                      <w:szCs w:val="20"/>
                    </w:rPr>
                  </m:ctrlPr>
                </m:dPr>
                <m:e>
                  <m:r>
                    <w:rPr>
                      <w:rFonts w:ascii="Cambria Math" w:hAnsi="Cambria Math" w:cs="Arial"/>
                      <w:sz w:val="20"/>
                      <w:szCs w:val="20"/>
                    </w:rPr>
                    <m:t>T</m:t>
                  </m:r>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O</m:t>
                  </m:r>
                </m:e>
                <m:sub>
                  <m:r>
                    <w:rPr>
                      <w:rFonts w:ascii="Cambria Math" w:hAnsi="Cambria Math" w:cs="Arial"/>
                      <w:sz w:val="20"/>
                      <w:szCs w:val="20"/>
                    </w:rPr>
                    <m:t>i</m:t>
                  </m:r>
                </m:sub>
              </m:sSub>
              <m:r>
                <w:rPr>
                  <w:rFonts w:ascii="Cambria Math" w:hAnsi="Cambria Math" w:cs="Arial"/>
                  <w:sz w:val="20"/>
                  <w:szCs w:val="20"/>
                </w:rPr>
                <m:t>*</m:t>
              </m:r>
              <m:acc>
                <m:accPr>
                  <m:chr m:val="̅"/>
                  <m:ctrlPr>
                    <w:rPr>
                      <w:rFonts w:ascii="Cambria Math" w:hAnsi="Cambria Math" w:cs="Arial"/>
                      <w:i/>
                      <w:sz w:val="20"/>
                      <w:szCs w:val="20"/>
                    </w:rPr>
                  </m:ctrlPr>
                </m:accPr>
                <m:e>
                  <m:r>
                    <w:rPr>
                      <w:rFonts w:ascii="Cambria Math" w:hAnsi="Cambria Math" w:cs="Arial"/>
                      <w:sz w:val="20"/>
                      <w:szCs w:val="20"/>
                    </w:rPr>
                    <m:t>p</m:t>
                  </m:r>
                </m:e>
              </m:acc>
              <m:d>
                <m:dPr>
                  <m:ctrlPr>
                    <w:rPr>
                      <w:rFonts w:ascii="Cambria Math" w:hAnsi="Cambria Math" w:cs="Arial"/>
                      <w:i/>
                      <w:sz w:val="20"/>
                      <w:szCs w:val="20"/>
                    </w:rPr>
                  </m:ctrlPr>
                </m:dPr>
                <m:e>
                  <m:r>
                    <w:rPr>
                      <w:rFonts w:ascii="Cambria Math" w:hAnsi="Cambria Math" w:cs="Arial"/>
                      <w:sz w:val="20"/>
                      <w:szCs w:val="20"/>
                    </w:rPr>
                    <m:t>O</m:t>
                  </m:r>
                </m:e>
              </m:d>
              <m:r>
                <w:rPr>
                  <w:rFonts w:ascii="Cambria Math" w:hAnsi="Cambria Math" w:cs="Arial"/>
                  <w:sz w:val="20"/>
                  <w:szCs w:val="20"/>
                </w:rPr>
                <m:t>)</m:t>
              </m:r>
            </m:den>
          </m:f>
        </m:oMath>
      </m:oMathPara>
    </w:p>
    <w:p w:rsidR="008B1209" w:rsidRPr="0086637F" w:rsidRDefault="008B1209" w:rsidP="00FA7532">
      <w:pPr>
        <w:jc w:val="center"/>
        <w:rPr>
          <w:rFonts w:ascii="Arial" w:hAnsi="Arial" w:cs="Arial"/>
          <w:sz w:val="18"/>
          <w:szCs w:val="20"/>
        </w:rPr>
      </w:pPr>
      <w:proofErr w:type="gramStart"/>
      <w:r w:rsidRPr="0086637F">
        <w:rPr>
          <w:rFonts w:ascii="Arial" w:hAnsi="Arial" w:cs="Arial"/>
          <w:sz w:val="18"/>
          <w:szCs w:val="20"/>
        </w:rPr>
        <w:t>and</w:t>
      </w:r>
      <w:proofErr w:type="gramEnd"/>
    </w:p>
    <w:p w:rsidR="008B1209" w:rsidRPr="0086637F" w:rsidRDefault="00170E25" w:rsidP="00FA7532">
      <w:pPr>
        <w:jc w:val="center"/>
        <w:rPr>
          <w:rFonts w:ascii="Arial" w:hAnsi="Arial" w:cs="Arial"/>
          <w:sz w:val="14"/>
          <w:szCs w:val="20"/>
        </w:rPr>
      </w:pPr>
      <m:oMathPara>
        <m:oMath>
          <m:sSubSup>
            <m:sSubSupPr>
              <m:ctrlPr>
                <w:rPr>
                  <w:rFonts w:ascii="Cambria Math" w:hAnsi="Cambria Math" w:cs="Arial"/>
                  <w:i/>
                  <w:sz w:val="20"/>
                  <w:szCs w:val="20"/>
                </w:rPr>
              </m:ctrlPr>
            </m:sSubSupPr>
            <m:e>
              <m:r>
                <w:rPr>
                  <w:rFonts w:ascii="Cambria Math" w:hAnsi="Cambria Math" w:cs="Arial"/>
                  <w:sz w:val="20"/>
                  <w:szCs w:val="20"/>
                </w:rPr>
                <m:t>π</m:t>
              </m:r>
            </m:e>
            <m:sub>
              <m:r>
                <w:rPr>
                  <w:rFonts w:ascii="Cambria Math" w:hAnsi="Cambria Math" w:cs="Arial"/>
                  <w:sz w:val="20"/>
                  <w:szCs w:val="20"/>
                </w:rPr>
                <m:t>i</m:t>
              </m:r>
            </m:sub>
            <m:sup>
              <m:r>
                <w:rPr>
                  <w:rFonts w:ascii="Cambria Math" w:hAnsi="Cambria Math" w:cs="Arial"/>
                  <w:sz w:val="20"/>
                  <w:szCs w:val="20"/>
                </w:rPr>
                <m:t>EPA</m:t>
              </m:r>
            </m:sup>
          </m:sSubSup>
          <m:r>
            <w:rPr>
              <w:rFonts w:ascii="Cambria Math" w:hAnsi="Cambria Math" w:cs="Arial"/>
              <w:sz w:val="20"/>
              <w:szCs w:val="20"/>
            </w:rPr>
            <m:t>=</m:t>
          </m:r>
          <m:f>
            <m:fPr>
              <m:ctrlPr>
                <w:rPr>
                  <w:rFonts w:ascii="Cambria Math" w:hAnsi="Cambria Math" w:cs="Arial"/>
                  <w:i/>
                  <w:sz w:val="20"/>
                  <w:szCs w:val="20"/>
                </w:rPr>
              </m:ctrlPr>
            </m:fPr>
            <m:num>
              <m:sSubSup>
                <m:sSubSupPr>
                  <m:ctrlPr>
                    <w:rPr>
                      <w:rFonts w:ascii="Cambria Math" w:hAnsi="Cambria Math" w:cs="Arial"/>
                      <w:i/>
                      <w:sz w:val="20"/>
                      <w:szCs w:val="20"/>
                    </w:rPr>
                  </m:ctrlPr>
                </m:sSubSupPr>
                <m:e>
                  <m:r>
                    <w:rPr>
                      <w:rFonts w:ascii="Cambria Math" w:hAnsi="Cambria Math" w:cs="Arial"/>
                      <w:sz w:val="20"/>
                      <w:szCs w:val="20"/>
                    </w:rPr>
                    <m:t>Y</m:t>
                  </m:r>
                </m:e>
                <m:sub>
                  <m:r>
                    <w:rPr>
                      <w:rFonts w:ascii="Cambria Math" w:hAnsi="Cambria Math" w:cs="Arial"/>
                      <w:sz w:val="20"/>
                      <w:szCs w:val="20"/>
                    </w:rPr>
                    <m:t>i</m:t>
                  </m:r>
                </m:sub>
                <m:sup/>
              </m:sSub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p(Y)</m:t>
                  </m:r>
                </m:e>
                <m:sup>
                  <m:r>
                    <w:rPr>
                      <w:rFonts w:ascii="Cambria Math" w:hAnsi="Cambria Math" w:cs="Arial"/>
                      <w:sz w:val="20"/>
                      <w:szCs w:val="20"/>
                    </w:rPr>
                    <m:t>EPA</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i</m:t>
                  </m:r>
                </m:sub>
              </m:sSub>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p</m:t>
                  </m:r>
                  <m:d>
                    <m:dPr>
                      <m:ctrlPr>
                        <w:rPr>
                          <w:rFonts w:ascii="Cambria Math" w:hAnsi="Cambria Math" w:cs="Arial"/>
                          <w:i/>
                          <w:sz w:val="20"/>
                          <w:szCs w:val="20"/>
                        </w:rPr>
                      </m:ctrlPr>
                    </m:dPr>
                    <m:e>
                      <m:r>
                        <w:rPr>
                          <w:rFonts w:ascii="Cambria Math" w:hAnsi="Cambria Math" w:cs="Arial"/>
                          <w:sz w:val="20"/>
                          <w:szCs w:val="20"/>
                        </w:rPr>
                        <m:t>I</m:t>
                      </m:r>
                    </m:e>
                  </m:d>
                </m:e>
                <m:sup>
                  <m:r>
                    <w:rPr>
                      <w:rFonts w:ascii="Cambria Math" w:hAnsi="Cambria Math" w:cs="Arial"/>
                      <w:sz w:val="20"/>
                      <w:szCs w:val="20"/>
                    </w:rPr>
                    <m:t>EPA</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i</m:t>
                  </m:r>
                </m:sub>
              </m:sSub>
              <m:r>
                <w:rPr>
                  <w:rFonts w:ascii="Cambria Math" w:hAnsi="Cambria Math" w:cs="Arial"/>
                  <w:sz w:val="20"/>
                  <w:szCs w:val="20"/>
                </w:rPr>
                <m:t>*</m:t>
              </m:r>
              <m:acc>
                <m:accPr>
                  <m:chr m:val="̅"/>
                  <m:ctrlPr>
                    <w:rPr>
                      <w:rFonts w:ascii="Cambria Math" w:hAnsi="Cambria Math" w:cs="Arial"/>
                      <w:i/>
                      <w:sz w:val="20"/>
                      <w:szCs w:val="20"/>
                    </w:rPr>
                  </m:ctrlPr>
                </m:accPr>
                <m:e>
                  <m:r>
                    <w:rPr>
                      <w:rFonts w:ascii="Cambria Math" w:hAnsi="Cambria Math" w:cs="Arial"/>
                      <w:sz w:val="20"/>
                      <w:szCs w:val="20"/>
                    </w:rPr>
                    <m:t>p</m:t>
                  </m:r>
                </m:e>
              </m:acc>
              <m:d>
                <m:dPr>
                  <m:ctrlPr>
                    <w:rPr>
                      <w:rFonts w:ascii="Cambria Math" w:hAnsi="Cambria Math" w:cs="Arial"/>
                      <w:i/>
                      <w:sz w:val="20"/>
                      <w:szCs w:val="20"/>
                    </w:rPr>
                  </m:ctrlPr>
                </m:dPr>
                <m:e>
                  <m:r>
                    <w:rPr>
                      <w:rFonts w:ascii="Cambria Math" w:hAnsi="Cambria Math" w:cs="Arial"/>
                      <w:sz w:val="20"/>
                      <w:szCs w:val="20"/>
                    </w:rPr>
                    <m:t>L</m:t>
                  </m:r>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m:t>
                  </m:r>
                </m:sub>
              </m:sSub>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p</m:t>
                  </m:r>
                  <m:d>
                    <m:dPr>
                      <m:ctrlPr>
                        <w:rPr>
                          <w:rFonts w:ascii="Cambria Math" w:hAnsi="Cambria Math" w:cs="Arial"/>
                          <w:i/>
                          <w:sz w:val="20"/>
                          <w:szCs w:val="20"/>
                        </w:rPr>
                      </m:ctrlPr>
                    </m:dPr>
                    <m:e>
                      <m:r>
                        <w:rPr>
                          <w:rFonts w:ascii="Cambria Math" w:hAnsi="Cambria Math" w:cs="Arial"/>
                          <w:sz w:val="20"/>
                          <w:szCs w:val="20"/>
                        </w:rPr>
                        <m:t>C</m:t>
                      </m:r>
                    </m:e>
                  </m:d>
                </m:e>
                <m:sup>
                  <m:r>
                    <w:rPr>
                      <w:rFonts w:ascii="Cambria Math" w:hAnsi="Cambria Math" w:cs="Arial"/>
                      <w:sz w:val="20"/>
                      <w:szCs w:val="20"/>
                    </w:rPr>
                    <m:t>EPA</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i</m:t>
                  </m:r>
                </m:sub>
              </m:sSub>
              <m:r>
                <w:rPr>
                  <w:rFonts w:ascii="Cambria Math" w:hAnsi="Cambria Math" w:cs="Arial"/>
                  <w:sz w:val="20"/>
                  <w:szCs w:val="20"/>
                </w:rPr>
                <m:t>*</m:t>
              </m:r>
              <m:acc>
                <m:accPr>
                  <m:chr m:val="̅"/>
                  <m:ctrlPr>
                    <w:rPr>
                      <w:rFonts w:ascii="Cambria Math" w:hAnsi="Cambria Math" w:cs="Arial"/>
                      <w:i/>
                      <w:sz w:val="20"/>
                      <w:szCs w:val="20"/>
                    </w:rPr>
                  </m:ctrlPr>
                </m:accPr>
                <m:e>
                  <m:r>
                    <w:rPr>
                      <w:rFonts w:ascii="Cambria Math" w:hAnsi="Cambria Math" w:cs="Arial"/>
                      <w:sz w:val="20"/>
                      <w:szCs w:val="20"/>
                    </w:rPr>
                    <m:t>p</m:t>
                  </m:r>
                </m:e>
              </m:acc>
              <m:d>
                <m:dPr>
                  <m:ctrlPr>
                    <w:rPr>
                      <w:rFonts w:ascii="Cambria Math" w:hAnsi="Cambria Math" w:cs="Arial"/>
                      <w:i/>
                      <w:sz w:val="20"/>
                      <w:szCs w:val="20"/>
                    </w:rPr>
                  </m:ctrlPr>
                </m:dPr>
                <m:e>
                  <m:r>
                    <w:rPr>
                      <w:rFonts w:ascii="Cambria Math" w:hAnsi="Cambria Math" w:cs="Arial"/>
                      <w:sz w:val="20"/>
                      <w:szCs w:val="20"/>
                    </w:rPr>
                    <m:t>T</m:t>
                  </m:r>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O</m:t>
                  </m:r>
                </m:e>
                <m:sub>
                  <m:r>
                    <w:rPr>
                      <w:rFonts w:ascii="Cambria Math" w:hAnsi="Cambria Math" w:cs="Arial"/>
                      <w:sz w:val="20"/>
                      <w:szCs w:val="20"/>
                    </w:rPr>
                    <m:t>i</m:t>
                  </m:r>
                </m:sub>
              </m:sSub>
              <m:r>
                <w:rPr>
                  <w:rFonts w:ascii="Cambria Math" w:hAnsi="Cambria Math" w:cs="Arial"/>
                  <w:sz w:val="20"/>
                  <w:szCs w:val="20"/>
                </w:rPr>
                <m:t>*</m:t>
              </m:r>
              <m:acc>
                <m:accPr>
                  <m:chr m:val="̅"/>
                  <m:ctrlPr>
                    <w:rPr>
                      <w:rFonts w:ascii="Cambria Math" w:hAnsi="Cambria Math" w:cs="Arial"/>
                      <w:i/>
                      <w:sz w:val="20"/>
                      <w:szCs w:val="20"/>
                    </w:rPr>
                  </m:ctrlPr>
                </m:accPr>
                <m:e>
                  <m:r>
                    <w:rPr>
                      <w:rFonts w:ascii="Cambria Math" w:hAnsi="Cambria Math" w:cs="Arial"/>
                      <w:sz w:val="20"/>
                      <w:szCs w:val="20"/>
                    </w:rPr>
                    <m:t>p</m:t>
                  </m:r>
                </m:e>
              </m:acc>
              <m:d>
                <m:dPr>
                  <m:ctrlPr>
                    <w:rPr>
                      <w:rFonts w:ascii="Cambria Math" w:hAnsi="Cambria Math" w:cs="Arial"/>
                      <w:i/>
                      <w:sz w:val="20"/>
                      <w:szCs w:val="20"/>
                    </w:rPr>
                  </m:ctrlPr>
                </m:dPr>
                <m:e>
                  <m:r>
                    <w:rPr>
                      <w:rFonts w:ascii="Cambria Math" w:hAnsi="Cambria Math" w:cs="Arial"/>
                      <w:sz w:val="20"/>
                      <w:szCs w:val="20"/>
                    </w:rPr>
                    <m:t>O</m:t>
                  </m:r>
                </m:e>
              </m:d>
              <m:r>
                <w:rPr>
                  <w:rFonts w:ascii="Cambria Math" w:hAnsi="Cambria Math" w:cs="Arial"/>
                  <w:sz w:val="20"/>
                  <w:szCs w:val="20"/>
                </w:rPr>
                <m:t>)</m:t>
              </m:r>
            </m:num>
            <m:den>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i</m:t>
                  </m:r>
                </m:sub>
              </m:sSub>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p</m:t>
                  </m:r>
                  <m:d>
                    <m:dPr>
                      <m:ctrlPr>
                        <w:rPr>
                          <w:rFonts w:ascii="Cambria Math" w:hAnsi="Cambria Math" w:cs="Arial"/>
                          <w:i/>
                          <w:sz w:val="20"/>
                          <w:szCs w:val="20"/>
                        </w:rPr>
                      </m:ctrlPr>
                    </m:dPr>
                    <m:e>
                      <m:r>
                        <w:rPr>
                          <w:rFonts w:ascii="Cambria Math" w:hAnsi="Cambria Math" w:cs="Arial"/>
                          <w:sz w:val="20"/>
                          <w:szCs w:val="20"/>
                        </w:rPr>
                        <m:t>I</m:t>
                      </m:r>
                    </m:e>
                  </m:d>
                </m:e>
                <m:sup>
                  <m:r>
                    <w:rPr>
                      <w:rFonts w:ascii="Cambria Math" w:hAnsi="Cambria Math" w:cs="Arial"/>
                      <w:sz w:val="20"/>
                      <w:szCs w:val="20"/>
                    </w:rPr>
                    <m:t>EPA</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i</m:t>
                  </m:r>
                </m:sub>
              </m:sSub>
              <m:r>
                <w:rPr>
                  <w:rFonts w:ascii="Cambria Math" w:hAnsi="Cambria Math" w:cs="Arial"/>
                  <w:sz w:val="20"/>
                  <w:szCs w:val="20"/>
                </w:rPr>
                <m:t>*</m:t>
              </m:r>
              <m:acc>
                <m:accPr>
                  <m:chr m:val="̅"/>
                  <m:ctrlPr>
                    <w:rPr>
                      <w:rFonts w:ascii="Cambria Math" w:hAnsi="Cambria Math" w:cs="Arial"/>
                      <w:i/>
                      <w:sz w:val="20"/>
                      <w:szCs w:val="20"/>
                    </w:rPr>
                  </m:ctrlPr>
                </m:accPr>
                <m:e>
                  <m:r>
                    <w:rPr>
                      <w:rFonts w:ascii="Cambria Math" w:hAnsi="Cambria Math" w:cs="Arial"/>
                      <w:sz w:val="20"/>
                      <w:szCs w:val="20"/>
                    </w:rPr>
                    <m:t>p</m:t>
                  </m:r>
                </m:e>
              </m:acc>
              <m:d>
                <m:dPr>
                  <m:ctrlPr>
                    <w:rPr>
                      <w:rFonts w:ascii="Cambria Math" w:hAnsi="Cambria Math" w:cs="Arial"/>
                      <w:i/>
                      <w:sz w:val="20"/>
                      <w:szCs w:val="20"/>
                    </w:rPr>
                  </m:ctrlPr>
                </m:dPr>
                <m:e>
                  <m:r>
                    <w:rPr>
                      <w:rFonts w:ascii="Cambria Math" w:hAnsi="Cambria Math" w:cs="Arial"/>
                      <w:sz w:val="20"/>
                      <w:szCs w:val="20"/>
                    </w:rPr>
                    <m:t>L</m:t>
                  </m:r>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i</m:t>
                  </m:r>
                </m:sub>
              </m:sSub>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p</m:t>
                  </m:r>
                  <m:d>
                    <m:dPr>
                      <m:ctrlPr>
                        <w:rPr>
                          <w:rFonts w:ascii="Cambria Math" w:hAnsi="Cambria Math" w:cs="Arial"/>
                          <w:i/>
                          <w:sz w:val="20"/>
                          <w:szCs w:val="20"/>
                        </w:rPr>
                      </m:ctrlPr>
                    </m:dPr>
                    <m:e>
                      <m:r>
                        <w:rPr>
                          <w:rFonts w:ascii="Cambria Math" w:hAnsi="Cambria Math" w:cs="Arial"/>
                          <w:sz w:val="20"/>
                          <w:szCs w:val="20"/>
                        </w:rPr>
                        <m:t>C</m:t>
                      </m:r>
                    </m:e>
                  </m:d>
                </m:e>
                <m:sup>
                  <m:r>
                    <w:rPr>
                      <w:rFonts w:ascii="Cambria Math" w:hAnsi="Cambria Math" w:cs="Arial"/>
                      <w:sz w:val="20"/>
                      <w:szCs w:val="20"/>
                    </w:rPr>
                    <m:t>EPA</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i</m:t>
                  </m:r>
                </m:sub>
              </m:sSub>
              <m:r>
                <w:rPr>
                  <w:rFonts w:ascii="Cambria Math" w:hAnsi="Cambria Math" w:cs="Arial"/>
                  <w:sz w:val="20"/>
                  <w:szCs w:val="20"/>
                </w:rPr>
                <m:t>*</m:t>
              </m:r>
              <m:acc>
                <m:accPr>
                  <m:chr m:val="̅"/>
                  <m:ctrlPr>
                    <w:rPr>
                      <w:rFonts w:ascii="Cambria Math" w:hAnsi="Cambria Math" w:cs="Arial"/>
                      <w:i/>
                      <w:sz w:val="20"/>
                      <w:szCs w:val="20"/>
                    </w:rPr>
                  </m:ctrlPr>
                </m:accPr>
                <m:e>
                  <m:r>
                    <w:rPr>
                      <w:rFonts w:ascii="Cambria Math" w:hAnsi="Cambria Math" w:cs="Arial"/>
                      <w:sz w:val="20"/>
                      <w:szCs w:val="20"/>
                    </w:rPr>
                    <m:t>p</m:t>
                  </m:r>
                </m:e>
              </m:acc>
              <m:d>
                <m:dPr>
                  <m:ctrlPr>
                    <w:rPr>
                      <w:rFonts w:ascii="Cambria Math" w:hAnsi="Cambria Math" w:cs="Arial"/>
                      <w:i/>
                      <w:sz w:val="20"/>
                      <w:szCs w:val="20"/>
                    </w:rPr>
                  </m:ctrlPr>
                </m:dPr>
                <m:e>
                  <m:r>
                    <w:rPr>
                      <w:rFonts w:ascii="Cambria Math" w:hAnsi="Cambria Math" w:cs="Arial"/>
                      <w:sz w:val="20"/>
                      <w:szCs w:val="20"/>
                    </w:rPr>
                    <m:t>T</m:t>
                  </m:r>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O</m:t>
                  </m:r>
                </m:e>
                <m:sub>
                  <m:r>
                    <w:rPr>
                      <w:rFonts w:ascii="Cambria Math" w:hAnsi="Cambria Math" w:cs="Arial"/>
                      <w:sz w:val="20"/>
                      <w:szCs w:val="20"/>
                    </w:rPr>
                    <m:t>i</m:t>
                  </m:r>
                </m:sub>
              </m:sSub>
              <m:r>
                <w:rPr>
                  <w:rFonts w:ascii="Cambria Math" w:hAnsi="Cambria Math" w:cs="Arial"/>
                  <w:sz w:val="20"/>
                  <w:szCs w:val="20"/>
                </w:rPr>
                <m:t>*</m:t>
              </m:r>
              <m:acc>
                <m:accPr>
                  <m:chr m:val="̅"/>
                  <m:ctrlPr>
                    <w:rPr>
                      <w:rFonts w:ascii="Cambria Math" w:hAnsi="Cambria Math" w:cs="Arial"/>
                      <w:i/>
                      <w:sz w:val="20"/>
                      <w:szCs w:val="20"/>
                    </w:rPr>
                  </m:ctrlPr>
                </m:accPr>
                <m:e>
                  <m:r>
                    <w:rPr>
                      <w:rFonts w:ascii="Cambria Math" w:hAnsi="Cambria Math" w:cs="Arial"/>
                      <w:sz w:val="20"/>
                      <w:szCs w:val="20"/>
                    </w:rPr>
                    <m:t>p</m:t>
                  </m:r>
                </m:e>
              </m:acc>
              <m:d>
                <m:dPr>
                  <m:ctrlPr>
                    <w:rPr>
                      <w:rFonts w:ascii="Cambria Math" w:hAnsi="Cambria Math" w:cs="Arial"/>
                      <w:i/>
                      <w:sz w:val="20"/>
                      <w:szCs w:val="20"/>
                    </w:rPr>
                  </m:ctrlPr>
                </m:dPr>
                <m:e>
                  <m:r>
                    <w:rPr>
                      <w:rFonts w:ascii="Cambria Math" w:hAnsi="Cambria Math" w:cs="Arial"/>
                      <w:sz w:val="20"/>
                      <w:szCs w:val="20"/>
                    </w:rPr>
                    <m:t>O</m:t>
                  </m:r>
                </m:e>
              </m:d>
              <m:r>
                <w:rPr>
                  <w:rFonts w:ascii="Cambria Math" w:hAnsi="Cambria Math" w:cs="Arial"/>
                  <w:sz w:val="20"/>
                  <w:szCs w:val="20"/>
                </w:rPr>
                <m:t>)</m:t>
              </m:r>
            </m:den>
          </m:f>
        </m:oMath>
      </m:oMathPara>
    </w:p>
    <w:p w:rsidR="008B1209" w:rsidRPr="00D16807" w:rsidRDefault="008B1209" w:rsidP="00FA7532">
      <w:pPr>
        <w:ind w:firstLine="720"/>
        <w:rPr>
          <w:rFonts w:ascii="Arial" w:hAnsi="Arial" w:cs="Arial"/>
          <w:sz w:val="16"/>
          <w:szCs w:val="20"/>
        </w:rPr>
      </w:pPr>
      <w:proofErr w:type="gramStart"/>
      <w:r w:rsidRPr="00D16807">
        <w:rPr>
          <w:rFonts w:ascii="Arial" w:hAnsi="Arial" w:cs="Arial"/>
          <w:sz w:val="16"/>
          <w:szCs w:val="20"/>
        </w:rPr>
        <w:t>where</w:t>
      </w:r>
      <w:proofErr w:type="gramEnd"/>
      <w:r w:rsidRPr="00D16807">
        <w:rPr>
          <w:rFonts w:ascii="Arial" w:hAnsi="Arial" w:cs="Arial"/>
          <w:sz w:val="16"/>
          <w:szCs w:val="20"/>
        </w:rPr>
        <w:t>:</w:t>
      </w:r>
    </w:p>
    <w:p w:rsidR="008B1209" w:rsidRPr="00D16807" w:rsidRDefault="008B1209" w:rsidP="00FA7532">
      <w:pPr>
        <w:ind w:firstLine="720"/>
        <w:rPr>
          <w:rFonts w:ascii="Arial" w:hAnsi="Arial" w:cs="Arial"/>
          <w:sz w:val="16"/>
          <w:szCs w:val="20"/>
        </w:rPr>
      </w:pPr>
      <w:r w:rsidRPr="00D16807">
        <w:rPr>
          <w:rFonts w:ascii="Arial" w:hAnsi="Arial" w:cs="Arial"/>
          <w:sz w:val="16"/>
          <w:szCs w:val="20"/>
        </w:rPr>
        <w:t>Y is the firms output</w:t>
      </w:r>
    </w:p>
    <w:p w:rsidR="008B1209" w:rsidRPr="00D16807" w:rsidRDefault="008B1209" w:rsidP="00FA7532">
      <w:pPr>
        <w:ind w:firstLine="720"/>
        <w:rPr>
          <w:rFonts w:ascii="Arial" w:hAnsi="Arial" w:cs="Arial"/>
          <w:sz w:val="16"/>
          <w:szCs w:val="20"/>
        </w:rPr>
      </w:pPr>
      <w:r w:rsidRPr="00D16807">
        <w:rPr>
          <w:rFonts w:ascii="Arial" w:hAnsi="Arial" w:cs="Arial"/>
          <w:sz w:val="16"/>
          <w:szCs w:val="20"/>
        </w:rPr>
        <w:lastRenderedPageBreak/>
        <w:t xml:space="preserve">I </w:t>
      </w:r>
      <w:proofErr w:type="gramStart"/>
      <w:r w:rsidRPr="00D16807">
        <w:rPr>
          <w:rFonts w:ascii="Arial" w:hAnsi="Arial" w:cs="Arial"/>
          <w:sz w:val="16"/>
          <w:szCs w:val="20"/>
        </w:rPr>
        <w:t>are</w:t>
      </w:r>
      <w:proofErr w:type="gramEnd"/>
      <w:r w:rsidRPr="00D16807">
        <w:rPr>
          <w:rFonts w:ascii="Arial" w:hAnsi="Arial" w:cs="Arial"/>
          <w:sz w:val="16"/>
          <w:szCs w:val="20"/>
        </w:rPr>
        <w:t xml:space="preserve"> the inputs used by the firm</w:t>
      </w:r>
    </w:p>
    <w:p w:rsidR="008B1209" w:rsidRPr="00D16807" w:rsidRDefault="008B1209" w:rsidP="00FA7532">
      <w:pPr>
        <w:ind w:firstLine="720"/>
        <w:rPr>
          <w:rFonts w:ascii="Arial" w:hAnsi="Arial" w:cs="Arial"/>
          <w:sz w:val="16"/>
          <w:szCs w:val="20"/>
        </w:rPr>
      </w:pPr>
      <w:r w:rsidRPr="00D16807">
        <w:rPr>
          <w:rFonts w:ascii="Arial" w:hAnsi="Arial" w:cs="Arial"/>
          <w:sz w:val="16"/>
          <w:szCs w:val="20"/>
        </w:rPr>
        <w:t>L is labor used by the firm</w:t>
      </w:r>
    </w:p>
    <w:p w:rsidR="008B1209" w:rsidRPr="00D16807" w:rsidRDefault="008B1209" w:rsidP="00FA7532">
      <w:pPr>
        <w:ind w:firstLine="720"/>
        <w:rPr>
          <w:rFonts w:ascii="Arial" w:hAnsi="Arial" w:cs="Arial"/>
          <w:sz w:val="16"/>
          <w:szCs w:val="20"/>
        </w:rPr>
      </w:pPr>
      <w:r w:rsidRPr="00D16807">
        <w:rPr>
          <w:rFonts w:ascii="Arial" w:hAnsi="Arial" w:cs="Arial"/>
          <w:sz w:val="16"/>
          <w:szCs w:val="20"/>
        </w:rPr>
        <w:t>C is the depreciation of capital used by the firm</w:t>
      </w:r>
    </w:p>
    <w:p w:rsidR="008B1209" w:rsidRPr="00D16807" w:rsidRDefault="008B1209" w:rsidP="00FA7532">
      <w:pPr>
        <w:ind w:firstLine="720"/>
        <w:rPr>
          <w:rFonts w:ascii="Arial" w:hAnsi="Arial" w:cs="Arial"/>
          <w:sz w:val="16"/>
          <w:szCs w:val="20"/>
        </w:rPr>
      </w:pPr>
      <w:r w:rsidRPr="00D16807">
        <w:rPr>
          <w:rFonts w:ascii="Arial" w:hAnsi="Arial" w:cs="Arial"/>
          <w:sz w:val="16"/>
          <w:szCs w:val="20"/>
        </w:rPr>
        <w:t xml:space="preserve">T </w:t>
      </w:r>
      <w:proofErr w:type="gramStart"/>
      <w:r w:rsidRPr="00D16807">
        <w:rPr>
          <w:rFonts w:ascii="Arial" w:hAnsi="Arial" w:cs="Arial"/>
          <w:sz w:val="16"/>
          <w:szCs w:val="20"/>
        </w:rPr>
        <w:t>are</w:t>
      </w:r>
      <w:proofErr w:type="gramEnd"/>
      <w:r w:rsidRPr="00D16807">
        <w:rPr>
          <w:rFonts w:ascii="Arial" w:hAnsi="Arial" w:cs="Arial"/>
          <w:sz w:val="16"/>
          <w:szCs w:val="20"/>
        </w:rPr>
        <w:t xml:space="preserve"> transport services used by the firm</w:t>
      </w:r>
    </w:p>
    <w:p w:rsidR="008B1209" w:rsidRPr="00D16807" w:rsidRDefault="008B1209" w:rsidP="00FA7532">
      <w:pPr>
        <w:ind w:firstLine="720"/>
        <w:rPr>
          <w:rFonts w:ascii="Arial" w:hAnsi="Arial" w:cs="Arial"/>
          <w:sz w:val="16"/>
          <w:szCs w:val="20"/>
        </w:rPr>
      </w:pPr>
      <w:r w:rsidRPr="00D16807">
        <w:rPr>
          <w:rFonts w:ascii="Arial" w:hAnsi="Arial" w:cs="Arial"/>
          <w:sz w:val="16"/>
          <w:szCs w:val="20"/>
        </w:rPr>
        <w:t xml:space="preserve">O </w:t>
      </w:r>
      <w:proofErr w:type="gramStart"/>
      <w:r w:rsidRPr="00D16807">
        <w:rPr>
          <w:rFonts w:ascii="Arial" w:hAnsi="Arial" w:cs="Arial"/>
          <w:sz w:val="16"/>
          <w:szCs w:val="20"/>
        </w:rPr>
        <w:t>are</w:t>
      </w:r>
      <w:proofErr w:type="gramEnd"/>
      <w:r w:rsidRPr="00D16807">
        <w:rPr>
          <w:rFonts w:ascii="Arial" w:hAnsi="Arial" w:cs="Arial"/>
          <w:sz w:val="16"/>
          <w:szCs w:val="20"/>
        </w:rPr>
        <w:t xml:space="preserve"> all other cost items (rent, water, electricity, telecommunication)  </w:t>
      </w:r>
    </w:p>
    <w:p w:rsidR="008B1209" w:rsidRPr="00D16807" w:rsidRDefault="008B1209" w:rsidP="00FA7532">
      <w:pPr>
        <w:ind w:firstLine="720"/>
        <w:rPr>
          <w:rFonts w:ascii="Arial" w:hAnsi="Arial" w:cs="Arial"/>
          <w:sz w:val="16"/>
          <w:szCs w:val="20"/>
        </w:rPr>
      </w:pPr>
      <w:proofErr w:type="gramStart"/>
      <w:r w:rsidRPr="00D16807">
        <w:rPr>
          <w:rFonts w:ascii="Arial" w:hAnsi="Arial" w:cs="Arial"/>
          <w:sz w:val="16"/>
          <w:szCs w:val="20"/>
        </w:rPr>
        <w:t>p(</w:t>
      </w:r>
      <w:proofErr w:type="gramEnd"/>
      <w:r w:rsidRPr="00D16807">
        <w:rPr>
          <w:rFonts w:ascii="Arial" w:hAnsi="Arial" w:cs="Arial"/>
          <w:sz w:val="16"/>
          <w:szCs w:val="20"/>
        </w:rPr>
        <w:t xml:space="preserve">X) is the price of item X </w:t>
      </w:r>
    </w:p>
    <w:p w:rsidR="008B1209" w:rsidRPr="00D16807" w:rsidRDefault="008B1209" w:rsidP="00FA7532">
      <w:pPr>
        <w:ind w:firstLine="720"/>
        <w:rPr>
          <w:rFonts w:ascii="Arial" w:hAnsi="Arial" w:cs="Arial"/>
          <w:sz w:val="16"/>
          <w:szCs w:val="20"/>
        </w:rPr>
      </w:pPr>
      <w:proofErr w:type="gramStart"/>
      <w:r w:rsidRPr="00D16807">
        <w:rPr>
          <w:rFonts w:ascii="Arial" w:hAnsi="Arial" w:cs="Arial"/>
          <w:sz w:val="16"/>
          <w:szCs w:val="20"/>
        </w:rPr>
        <w:t>subscript</w:t>
      </w:r>
      <w:proofErr w:type="gramEnd"/>
      <w:r w:rsidRPr="00D16807">
        <w:rPr>
          <w:rFonts w:ascii="Arial" w:hAnsi="Arial" w:cs="Arial"/>
          <w:sz w:val="16"/>
          <w:szCs w:val="20"/>
        </w:rPr>
        <w:t xml:space="preserve"> </w:t>
      </w:r>
      <w:proofErr w:type="spellStart"/>
      <w:r w:rsidRPr="00D16807">
        <w:rPr>
          <w:rFonts w:ascii="Arial" w:hAnsi="Arial" w:cs="Arial"/>
          <w:sz w:val="16"/>
          <w:szCs w:val="20"/>
        </w:rPr>
        <w:t>i</w:t>
      </w:r>
      <w:proofErr w:type="spellEnd"/>
      <w:r w:rsidRPr="00D16807">
        <w:rPr>
          <w:rFonts w:ascii="Arial" w:hAnsi="Arial" w:cs="Arial"/>
          <w:sz w:val="16"/>
          <w:szCs w:val="20"/>
        </w:rPr>
        <w:t xml:space="preserve"> refers to firm specific variables</w:t>
      </w:r>
    </w:p>
    <w:p w:rsidR="008B1209" w:rsidRPr="00D16807" w:rsidRDefault="008B1209" w:rsidP="00FA7532">
      <w:pPr>
        <w:ind w:firstLine="720"/>
        <w:rPr>
          <w:rFonts w:ascii="Arial" w:hAnsi="Arial" w:cs="Arial"/>
          <w:sz w:val="16"/>
          <w:szCs w:val="20"/>
        </w:rPr>
      </w:pPr>
      <w:proofErr w:type="gramStart"/>
      <w:r w:rsidRPr="00D16807">
        <w:rPr>
          <w:rFonts w:ascii="Arial" w:hAnsi="Arial" w:cs="Arial"/>
          <w:sz w:val="16"/>
          <w:szCs w:val="20"/>
        </w:rPr>
        <w:t>superscripts</w:t>
      </w:r>
      <w:proofErr w:type="gramEnd"/>
      <w:r w:rsidRPr="00D16807">
        <w:rPr>
          <w:rFonts w:ascii="Arial" w:hAnsi="Arial" w:cs="Arial"/>
          <w:sz w:val="16"/>
          <w:szCs w:val="20"/>
        </w:rPr>
        <w:t xml:space="preserve"> 0 and EPA refer to the baseline and post EPA scenario respectively</w:t>
      </w:r>
    </w:p>
    <w:p w:rsidR="008B1209" w:rsidRPr="00D16807" w:rsidRDefault="008B1209" w:rsidP="00FA7532">
      <w:pPr>
        <w:ind w:firstLine="720"/>
        <w:rPr>
          <w:rFonts w:ascii="Arial" w:hAnsi="Arial" w:cs="Arial"/>
          <w:sz w:val="16"/>
          <w:szCs w:val="20"/>
        </w:rPr>
      </w:pPr>
      <w:r w:rsidRPr="00D16807">
        <w:rPr>
          <w:rFonts w:ascii="Arial" w:hAnsi="Arial" w:cs="Arial"/>
          <w:sz w:val="16"/>
          <w:szCs w:val="20"/>
        </w:rPr>
        <w:t xml:space="preserve"> </w:t>
      </w:r>
      <m:oMath>
        <m:acc>
          <m:accPr>
            <m:chr m:val="̅"/>
            <m:ctrlPr>
              <w:rPr>
                <w:rFonts w:ascii="Cambria Math" w:hAnsi="Cambria Math" w:cs="Arial"/>
                <w:i/>
                <w:sz w:val="16"/>
                <w:szCs w:val="20"/>
              </w:rPr>
            </m:ctrlPr>
          </m:accPr>
          <m:e>
            <m:r>
              <w:rPr>
                <w:rFonts w:ascii="Cambria Math" w:hAnsi="Cambria Math" w:cs="Arial"/>
                <w:sz w:val="16"/>
                <w:szCs w:val="20"/>
              </w:rPr>
              <m:t>p</m:t>
            </m:r>
          </m:e>
        </m:acc>
      </m:oMath>
      <w:r w:rsidRPr="00D16807">
        <w:rPr>
          <w:rFonts w:ascii="Arial" w:hAnsi="Arial" w:cs="Arial"/>
          <w:sz w:val="16"/>
          <w:szCs w:val="20"/>
        </w:rPr>
        <w:t xml:space="preserve"> </w:t>
      </w:r>
      <w:proofErr w:type="gramStart"/>
      <w:r w:rsidRPr="00D16807">
        <w:rPr>
          <w:rFonts w:ascii="Arial" w:hAnsi="Arial" w:cs="Arial"/>
          <w:sz w:val="16"/>
          <w:szCs w:val="20"/>
        </w:rPr>
        <w:t>refers</w:t>
      </w:r>
      <w:proofErr w:type="gramEnd"/>
      <w:r w:rsidRPr="00D16807">
        <w:rPr>
          <w:rFonts w:ascii="Arial" w:hAnsi="Arial" w:cs="Arial"/>
          <w:sz w:val="16"/>
          <w:szCs w:val="20"/>
        </w:rPr>
        <w:t xml:space="preserve"> to prices that do not change as a result of the trade shock</w:t>
      </w:r>
    </w:p>
    <w:p w:rsidR="008B1209" w:rsidRDefault="008B1209" w:rsidP="00FA7532">
      <w:pPr>
        <w:rPr>
          <w:rFonts w:ascii="Arial" w:hAnsi="Arial" w:cs="Arial"/>
          <w:sz w:val="20"/>
          <w:szCs w:val="20"/>
        </w:rPr>
      </w:pPr>
    </w:p>
    <w:p w:rsidR="008B1209" w:rsidRPr="00D41EC1" w:rsidRDefault="008B1209" w:rsidP="00FA7532">
      <w:pPr>
        <w:jc w:val="both"/>
      </w:pPr>
      <w:r w:rsidRPr="00D41EC1">
        <w:t>For the employment weighted graphs, each firm is weighed by its survey weight</w:t>
      </w:r>
      <w:r w:rsidR="00FB14AB">
        <w:t>, which corrects for regional, size and industry sampling bias in the Enterprise Survey,</w:t>
      </w:r>
      <w:r w:rsidRPr="00D41EC1">
        <w:t xml:space="preserve"> as well as its number of full time employees before results are aggregated. </w:t>
      </w:r>
    </w:p>
    <w:p w:rsidR="008B1209" w:rsidRPr="00D41EC1" w:rsidRDefault="008B1209" w:rsidP="00FA7532">
      <w:pPr>
        <w:jc w:val="both"/>
      </w:pPr>
      <w:r w:rsidRPr="00D41EC1">
        <w:t>For the policy scenario with 0.1 percent exogenous productivity growth, Yi is multiplied under the reform scenario with 1.03</w:t>
      </w:r>
      <w:r w:rsidRPr="00326E07">
        <w:rPr>
          <w:vertAlign w:val="superscript"/>
        </w:rPr>
        <w:t>(t-2014)</w:t>
      </w:r>
      <w:r w:rsidRPr="00D41EC1">
        <w:t xml:space="preserve"> where t is the end year of the respective EPA scenario (2024, 2029, 2034, </w:t>
      </w:r>
      <w:proofErr w:type="gramStart"/>
      <w:r w:rsidRPr="00D41EC1">
        <w:t>2035</w:t>
      </w:r>
      <w:proofErr w:type="gramEnd"/>
      <w:r w:rsidRPr="00D41EC1">
        <w:t>).</w:t>
      </w:r>
    </w:p>
    <w:p w:rsidR="008B1209" w:rsidRPr="00D41EC1" w:rsidRDefault="008B1209" w:rsidP="00FA7532">
      <w:pPr>
        <w:jc w:val="both"/>
      </w:pPr>
      <w:r w:rsidRPr="00D41EC1">
        <w:t>For the policy scenario with a 50 percent reduction in losses due to electricity outages, Yi is divided in the reform scenario by (1-EL*0.5), where EL refers to a variable in the Enterprise Survey that asks firms to report the loss in total output due to electricity outages.</w:t>
      </w:r>
    </w:p>
    <w:p w:rsidR="008B1209" w:rsidRPr="00D41EC1" w:rsidRDefault="008B1209" w:rsidP="00FA7532">
      <w:pPr>
        <w:jc w:val="both"/>
      </w:pPr>
      <w:r w:rsidRPr="00D41EC1">
        <w:t xml:space="preserve">For the policy scenario with a 50 percent reduction in transport cost, </w:t>
      </w:r>
      <w:proofErr w:type="gramStart"/>
      <w:r w:rsidRPr="00D41EC1">
        <w:t>p(</w:t>
      </w:r>
      <w:proofErr w:type="gramEnd"/>
      <w:r w:rsidRPr="00D41EC1">
        <w:t>T) is divided by 2 in the reform scenario.</w:t>
      </w:r>
    </w:p>
    <w:p w:rsidR="00ED7DBF" w:rsidRDefault="008B1209" w:rsidP="00ED7DBF">
      <w:pPr>
        <w:jc w:val="both"/>
      </w:pPr>
      <w:r w:rsidRPr="00D41EC1">
        <w:t xml:space="preserve">For the policy scenario with trade defense </w:t>
      </w:r>
      <w:r w:rsidR="00326E07">
        <w:t>measures</w:t>
      </w:r>
      <w:r w:rsidRPr="00D41EC1">
        <w:t xml:space="preserve"> against selected products, the three products with the strongest predicted increase in EU imports are identified for each of the four most affected industries (Wood products, Non-metallic mineral products, Basic metals, Metal products other than machinery) and these products are excluded from liberalization in the TRIST simulations, leading to an updated price changes scenario (</w:t>
      </w:r>
      <w:r w:rsidR="00326E07">
        <w:t xml:space="preserve">see last column exclusion2 in Annex </w:t>
      </w:r>
      <w:r w:rsidR="00A90FA6">
        <w:t>5</w:t>
      </w:r>
      <w:r w:rsidRPr="00D41EC1">
        <w:t xml:space="preserve">). </w:t>
      </w:r>
      <w:r w:rsidR="00693C89">
        <w:t xml:space="preserve"> </w:t>
      </w:r>
    </w:p>
    <w:p w:rsidR="00A11AE1" w:rsidRDefault="00326E07" w:rsidP="00FA7532">
      <w:pPr>
        <w:pStyle w:val="Heading2"/>
        <w:spacing w:after="200"/>
      </w:pPr>
      <w:bookmarkStart w:id="11" w:name="_Toc399860638"/>
      <w:r>
        <w:t>3</w:t>
      </w:r>
      <w:r w:rsidR="00A11AE1">
        <w:t>.</w:t>
      </w:r>
      <w:r w:rsidR="00F4423C">
        <w:t>6</w:t>
      </w:r>
      <w:r w:rsidR="00A11AE1">
        <w:t xml:space="preserve">. </w:t>
      </w:r>
      <w:r w:rsidR="00A11AE1" w:rsidRPr="003913C7">
        <w:t>Baseline Scenario</w:t>
      </w:r>
      <w:r w:rsidR="00A11AE1">
        <w:t xml:space="preserve"> and Reform Stages</w:t>
      </w:r>
      <w:bookmarkEnd w:id="11"/>
    </w:p>
    <w:p w:rsidR="00A11AE1" w:rsidRDefault="00A11AE1" w:rsidP="00FA7532">
      <w:pPr>
        <w:jc w:val="both"/>
      </w:pPr>
      <w:r>
        <w:t xml:space="preserve">Before the EPA trade reform starts in 2020, Nigeria is obligated to align its trade policy with the regional Common External Tariff (CET) that was agreed upon in 2013. While the current tariff structure is already similar to the CET, Nigeria still maintains a number of additional trade policy instruments – namely import bans and special levies on certain products – that would have to be dismantled in order to fully harmonize its trade policy to the region. </w:t>
      </w:r>
    </w:p>
    <w:p w:rsidR="00A11AE1" w:rsidRDefault="00A11AE1" w:rsidP="00FA7532">
      <w:pPr>
        <w:jc w:val="both"/>
      </w:pPr>
      <w:r>
        <w:lastRenderedPageBreak/>
        <w:t>In order to focus the analysis on the impact of the EPA at the time of its implementation, this study therefore uses as a baseline a hypothetical scenario where Nigeria has already fully aligned its trade policy to the region</w:t>
      </w:r>
      <w:r w:rsidR="00C1055B">
        <w:t xml:space="preserve"> as encapsulated in the CET</w:t>
      </w:r>
      <w:r>
        <w:t>. This scenario is defined, and its</w:t>
      </w:r>
      <w:r w:rsidR="00A75CE3">
        <w:t xml:space="preserve"> </w:t>
      </w:r>
      <w:r>
        <w:t>impact is analyzed in detail</w:t>
      </w:r>
      <w:r w:rsidR="00C1055B">
        <w:t>s</w:t>
      </w:r>
      <w:r w:rsidR="00335548">
        <w:t xml:space="preserve"> </w:t>
      </w:r>
      <w:r>
        <w:t xml:space="preserve">in von </w:t>
      </w:r>
      <w:proofErr w:type="spellStart"/>
      <w:r>
        <w:t>Uexkull</w:t>
      </w:r>
      <w:proofErr w:type="spellEnd"/>
      <w:r>
        <w:t xml:space="preserve"> and </w:t>
      </w:r>
      <w:proofErr w:type="spellStart"/>
      <w:r>
        <w:t>Shui</w:t>
      </w:r>
      <w:proofErr w:type="spellEnd"/>
      <w:r>
        <w:t xml:space="preserve"> (2013), which uses the same methodology as the current study.</w:t>
      </w:r>
      <w:r w:rsidR="00A75CE3">
        <w:t xml:space="preserve"> Key findings of this study are summarized in Annex </w:t>
      </w:r>
      <w:r w:rsidR="00AA1CE2">
        <w:t>6</w:t>
      </w:r>
      <w:r w:rsidR="00A75CE3">
        <w:t>.</w:t>
      </w:r>
    </w:p>
    <w:p w:rsidR="00A90FA6" w:rsidRDefault="00A11AE1" w:rsidP="00F72A2F">
      <w:pPr>
        <w:rPr>
          <w:b/>
          <w:bCs/>
          <w:color w:val="4F81BD" w:themeColor="accent1"/>
          <w:sz w:val="18"/>
          <w:szCs w:val="18"/>
        </w:rPr>
      </w:pPr>
      <w:r>
        <w:t>The effect of the EPA is modelled sequentially, following the liberalization stages agreed upon between ECOWAS and the EU, which classifies tariff lines into four groups as summarized below</w:t>
      </w:r>
      <w:r w:rsidR="00F72A2F">
        <w:t xml:space="preserve"> (</w:t>
      </w:r>
      <w:r w:rsidR="00F72A2F">
        <w:fldChar w:fldCharType="begin"/>
      </w:r>
      <w:r w:rsidR="00F72A2F">
        <w:instrText xml:space="preserve"> REF _Ref386725111 \h </w:instrText>
      </w:r>
      <w:r w:rsidR="00F72A2F">
        <w:fldChar w:fldCharType="separate"/>
      </w:r>
      <w:r w:rsidR="004423BB">
        <w:t xml:space="preserve">Table </w:t>
      </w:r>
      <w:r w:rsidR="004423BB">
        <w:rPr>
          <w:noProof/>
        </w:rPr>
        <w:t>1</w:t>
      </w:r>
      <w:r w:rsidR="00F72A2F">
        <w:fldChar w:fldCharType="end"/>
      </w:r>
      <w:r w:rsidR="00F72A2F">
        <w:t>)</w:t>
      </w:r>
      <w:r>
        <w:t xml:space="preserve">.  </w:t>
      </w:r>
    </w:p>
    <w:p w:rsidR="00A11AE1" w:rsidRDefault="00A11AE1" w:rsidP="00FA7532">
      <w:pPr>
        <w:pStyle w:val="Caption"/>
        <w:keepNext/>
        <w:spacing w:line="276" w:lineRule="auto"/>
      </w:pPr>
      <w:bookmarkStart w:id="12" w:name="_Ref386725111"/>
      <w:r>
        <w:t xml:space="preserve">Table </w:t>
      </w:r>
      <w:fldSimple w:instr=" SEQ Table \* ARABIC ">
        <w:r w:rsidR="004423BB">
          <w:rPr>
            <w:noProof/>
          </w:rPr>
          <w:t>1</w:t>
        </w:r>
      </w:fldSimple>
      <w:bookmarkEnd w:id="12"/>
    </w:p>
    <w:tbl>
      <w:tblPr>
        <w:tblW w:w="7130" w:type="dxa"/>
        <w:jc w:val="center"/>
        <w:tblCellMar>
          <w:left w:w="0" w:type="dxa"/>
          <w:right w:w="0" w:type="dxa"/>
        </w:tblCellMar>
        <w:tblLook w:val="0420" w:firstRow="1" w:lastRow="0" w:firstColumn="0" w:lastColumn="0" w:noHBand="0" w:noVBand="1"/>
      </w:tblPr>
      <w:tblGrid>
        <w:gridCol w:w="1316"/>
        <w:gridCol w:w="1316"/>
        <w:gridCol w:w="1652"/>
        <w:gridCol w:w="1530"/>
        <w:gridCol w:w="1316"/>
      </w:tblGrid>
      <w:tr w:rsidR="00A11AE1" w:rsidRPr="00F56082" w:rsidTr="00326E07">
        <w:trPr>
          <w:trHeight w:val="300"/>
          <w:jc w:val="center"/>
        </w:trPr>
        <w:tc>
          <w:tcPr>
            <w:tcW w:w="7130" w:type="dxa"/>
            <w:gridSpan w:val="5"/>
            <w:tcBorders>
              <w:top w:val="nil"/>
              <w:left w:val="nil"/>
              <w:bottom w:val="single" w:sz="8" w:space="0" w:color="000000"/>
              <w:right w:val="nil"/>
            </w:tcBorders>
            <w:shd w:val="clear" w:color="auto" w:fill="FFFFFF"/>
            <w:tcMar>
              <w:top w:w="72" w:type="dxa"/>
              <w:left w:w="144" w:type="dxa"/>
              <w:bottom w:w="72" w:type="dxa"/>
              <w:right w:w="144" w:type="dxa"/>
            </w:tcMar>
            <w:hideMark/>
          </w:tcPr>
          <w:p w:rsidR="00A11AE1" w:rsidRPr="00F56082" w:rsidRDefault="00A11AE1" w:rsidP="00FA7532">
            <w:pPr>
              <w:jc w:val="center"/>
              <w:rPr>
                <w:rFonts w:ascii="Arial" w:eastAsia="Times New Roman" w:hAnsi="Arial" w:cs="Arial"/>
                <w:sz w:val="36"/>
                <w:szCs w:val="36"/>
              </w:rPr>
            </w:pPr>
            <w:r w:rsidRPr="00F56082">
              <w:rPr>
                <w:rFonts w:ascii="Calibri" w:eastAsia="Times New Roman" w:hAnsi="Calibri" w:cs="Calibri"/>
                <w:b/>
                <w:bCs/>
                <w:color w:val="000000" w:themeColor="text1"/>
                <w:kern w:val="24"/>
                <w:sz w:val="20"/>
                <w:szCs w:val="16"/>
              </w:rPr>
              <w:t>EPA Implementation stages</w:t>
            </w:r>
          </w:p>
        </w:tc>
      </w:tr>
      <w:tr w:rsidR="00A11AE1" w:rsidRPr="00F56082" w:rsidTr="00326E07">
        <w:trPr>
          <w:trHeight w:val="300"/>
          <w:jc w:val="center"/>
        </w:trPr>
        <w:tc>
          <w:tcPr>
            <w:tcW w:w="1316" w:type="dxa"/>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0"/>
                <w:szCs w:val="36"/>
              </w:rPr>
            </w:pPr>
          </w:p>
        </w:tc>
        <w:tc>
          <w:tcPr>
            <w:tcW w:w="13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b/>
                <w:bCs/>
                <w:color w:val="000000" w:themeColor="text1"/>
                <w:kern w:val="24"/>
                <w:sz w:val="16"/>
                <w:szCs w:val="16"/>
              </w:rPr>
              <w:t>2020-2024</w:t>
            </w:r>
          </w:p>
        </w:tc>
        <w:tc>
          <w:tcPr>
            <w:tcW w:w="16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b/>
                <w:bCs/>
                <w:color w:val="000000" w:themeColor="text1"/>
                <w:kern w:val="24"/>
                <w:sz w:val="16"/>
                <w:szCs w:val="16"/>
              </w:rPr>
              <w:t>2025-2029</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b/>
                <w:bCs/>
                <w:color w:val="000000" w:themeColor="text1"/>
                <w:kern w:val="24"/>
                <w:sz w:val="16"/>
                <w:szCs w:val="16"/>
              </w:rPr>
              <w:t>2030-2034</w:t>
            </w:r>
          </w:p>
        </w:tc>
        <w:tc>
          <w:tcPr>
            <w:tcW w:w="1316" w:type="dxa"/>
            <w:tcBorders>
              <w:top w:val="single" w:sz="8" w:space="0" w:color="000000"/>
              <w:left w:val="single" w:sz="8" w:space="0" w:color="000000"/>
              <w:bottom w:val="single" w:sz="8" w:space="0" w:color="000000"/>
              <w:right w:val="nil"/>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b/>
                <w:bCs/>
                <w:color w:val="000000" w:themeColor="text1"/>
                <w:kern w:val="24"/>
                <w:sz w:val="16"/>
                <w:szCs w:val="16"/>
              </w:rPr>
              <w:t>2035</w:t>
            </w:r>
          </w:p>
        </w:tc>
      </w:tr>
      <w:tr w:rsidR="00A11AE1" w:rsidRPr="00F56082" w:rsidTr="00326E07">
        <w:trPr>
          <w:trHeight w:val="286"/>
          <w:jc w:val="center"/>
        </w:trPr>
        <w:tc>
          <w:tcPr>
            <w:tcW w:w="1316" w:type="dxa"/>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Group A</w:t>
            </w:r>
          </w:p>
        </w:tc>
        <w:tc>
          <w:tcPr>
            <w:tcW w:w="13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 xml:space="preserve">All tariffs to 0 </w:t>
            </w:r>
          </w:p>
        </w:tc>
        <w:tc>
          <w:tcPr>
            <w:tcW w:w="16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0</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0</w:t>
            </w:r>
          </w:p>
        </w:tc>
        <w:tc>
          <w:tcPr>
            <w:tcW w:w="1316" w:type="dxa"/>
            <w:tcBorders>
              <w:top w:val="single" w:sz="8" w:space="0" w:color="000000"/>
              <w:left w:val="single" w:sz="8" w:space="0" w:color="000000"/>
              <w:bottom w:val="single" w:sz="8" w:space="0" w:color="000000"/>
              <w:right w:val="nil"/>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0</w:t>
            </w:r>
          </w:p>
        </w:tc>
      </w:tr>
      <w:tr w:rsidR="00A11AE1" w:rsidRPr="00F56082" w:rsidTr="00326E07">
        <w:trPr>
          <w:trHeight w:val="376"/>
          <w:jc w:val="center"/>
        </w:trPr>
        <w:tc>
          <w:tcPr>
            <w:tcW w:w="1316" w:type="dxa"/>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Group B</w:t>
            </w:r>
          </w:p>
        </w:tc>
        <w:tc>
          <w:tcPr>
            <w:tcW w:w="13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 xml:space="preserve">No change </w:t>
            </w:r>
          </w:p>
        </w:tc>
        <w:tc>
          <w:tcPr>
            <w:tcW w:w="16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All tariffs cut 50%</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All tariffs to 0</w:t>
            </w:r>
          </w:p>
        </w:tc>
        <w:tc>
          <w:tcPr>
            <w:tcW w:w="1316" w:type="dxa"/>
            <w:tcBorders>
              <w:top w:val="single" w:sz="8" w:space="0" w:color="000000"/>
              <w:left w:val="single" w:sz="8" w:space="0" w:color="000000"/>
              <w:bottom w:val="single" w:sz="8" w:space="0" w:color="000000"/>
              <w:right w:val="nil"/>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0</w:t>
            </w:r>
          </w:p>
        </w:tc>
      </w:tr>
      <w:tr w:rsidR="00A11AE1" w:rsidRPr="00F56082" w:rsidTr="00326E07">
        <w:trPr>
          <w:trHeight w:val="286"/>
          <w:jc w:val="center"/>
        </w:trPr>
        <w:tc>
          <w:tcPr>
            <w:tcW w:w="1316" w:type="dxa"/>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Group C</w:t>
            </w:r>
          </w:p>
        </w:tc>
        <w:tc>
          <w:tcPr>
            <w:tcW w:w="13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No change</w:t>
            </w:r>
          </w:p>
        </w:tc>
        <w:tc>
          <w:tcPr>
            <w:tcW w:w="165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All tariffs cut 50%</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 xml:space="preserve">All tariffs cut </w:t>
            </w:r>
            <w:r w:rsidR="00F41467">
              <w:rPr>
                <w:rFonts w:ascii="Calibri" w:eastAsia="Times New Roman" w:hAnsi="Calibri" w:cs="Calibri"/>
                <w:color w:val="000000" w:themeColor="text1"/>
                <w:kern w:val="24"/>
                <w:sz w:val="16"/>
                <w:szCs w:val="16"/>
              </w:rPr>
              <w:t xml:space="preserve">another </w:t>
            </w:r>
            <w:r w:rsidRPr="00F56082">
              <w:rPr>
                <w:rFonts w:ascii="Calibri" w:eastAsia="Times New Roman" w:hAnsi="Calibri" w:cs="Calibri"/>
                <w:color w:val="000000" w:themeColor="text1"/>
                <w:kern w:val="24"/>
                <w:sz w:val="16"/>
                <w:szCs w:val="16"/>
              </w:rPr>
              <w:t>50%</w:t>
            </w:r>
          </w:p>
        </w:tc>
        <w:tc>
          <w:tcPr>
            <w:tcW w:w="1316" w:type="dxa"/>
            <w:tcBorders>
              <w:top w:val="single" w:sz="8" w:space="0" w:color="000000"/>
              <w:left w:val="single" w:sz="8" w:space="0" w:color="000000"/>
              <w:bottom w:val="single" w:sz="8" w:space="0" w:color="000000"/>
              <w:right w:val="nil"/>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All tariffs to 0</w:t>
            </w:r>
          </w:p>
        </w:tc>
      </w:tr>
      <w:tr w:rsidR="00A11AE1" w:rsidRPr="00F56082" w:rsidTr="00326E07">
        <w:trPr>
          <w:trHeight w:val="241"/>
          <w:jc w:val="center"/>
        </w:trPr>
        <w:tc>
          <w:tcPr>
            <w:tcW w:w="1316" w:type="dxa"/>
            <w:tcBorders>
              <w:top w:val="single" w:sz="8" w:space="0" w:color="000000"/>
              <w:left w:val="nil"/>
              <w:bottom w:val="nil"/>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Group D</w:t>
            </w:r>
          </w:p>
        </w:tc>
        <w:tc>
          <w:tcPr>
            <w:tcW w:w="1316" w:type="dxa"/>
            <w:tcBorders>
              <w:top w:val="single" w:sz="8" w:space="0" w:color="000000"/>
              <w:left w:val="single" w:sz="8" w:space="0" w:color="000000"/>
              <w:bottom w:val="nil"/>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No change</w:t>
            </w:r>
          </w:p>
        </w:tc>
        <w:tc>
          <w:tcPr>
            <w:tcW w:w="1652" w:type="dxa"/>
            <w:tcBorders>
              <w:top w:val="single" w:sz="8" w:space="0" w:color="000000"/>
              <w:left w:val="single" w:sz="8" w:space="0" w:color="000000"/>
              <w:bottom w:val="nil"/>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No change</w:t>
            </w:r>
          </w:p>
        </w:tc>
        <w:tc>
          <w:tcPr>
            <w:tcW w:w="1530" w:type="dxa"/>
            <w:tcBorders>
              <w:top w:val="single" w:sz="8" w:space="0" w:color="000000"/>
              <w:left w:val="single" w:sz="8" w:space="0" w:color="000000"/>
              <w:bottom w:val="nil"/>
              <w:right w:val="single" w:sz="8" w:space="0" w:color="000000"/>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No change</w:t>
            </w:r>
          </w:p>
        </w:tc>
        <w:tc>
          <w:tcPr>
            <w:tcW w:w="1316" w:type="dxa"/>
            <w:tcBorders>
              <w:top w:val="single" w:sz="8" w:space="0" w:color="000000"/>
              <w:left w:val="single" w:sz="8" w:space="0" w:color="000000"/>
              <w:bottom w:val="nil"/>
              <w:right w:val="nil"/>
            </w:tcBorders>
            <w:shd w:val="clear" w:color="auto" w:fill="FFFFFF"/>
            <w:tcMar>
              <w:top w:w="72" w:type="dxa"/>
              <w:left w:w="144" w:type="dxa"/>
              <w:bottom w:w="72" w:type="dxa"/>
              <w:right w:w="144" w:type="dxa"/>
            </w:tcMar>
            <w:hideMark/>
          </w:tcPr>
          <w:p w:rsidR="00A11AE1" w:rsidRPr="00F56082" w:rsidRDefault="00A11AE1" w:rsidP="00FA7532">
            <w:pPr>
              <w:rPr>
                <w:rFonts w:ascii="Arial" w:eastAsia="Times New Roman" w:hAnsi="Arial" w:cs="Arial"/>
                <w:sz w:val="36"/>
                <w:szCs w:val="36"/>
              </w:rPr>
            </w:pPr>
            <w:r w:rsidRPr="00F56082">
              <w:rPr>
                <w:rFonts w:ascii="Calibri" w:eastAsia="Times New Roman" w:hAnsi="Calibri" w:cs="Calibri"/>
                <w:color w:val="000000" w:themeColor="text1"/>
                <w:kern w:val="24"/>
                <w:sz w:val="16"/>
                <w:szCs w:val="16"/>
              </w:rPr>
              <w:t>No change</w:t>
            </w:r>
          </w:p>
        </w:tc>
      </w:tr>
    </w:tbl>
    <w:p w:rsidR="00A11AE1" w:rsidRPr="002A07F8" w:rsidRDefault="00A11AE1" w:rsidP="00FA7532">
      <w:pPr>
        <w:jc w:val="both"/>
        <w:rPr>
          <w:sz w:val="18"/>
          <w:szCs w:val="18"/>
        </w:rPr>
      </w:pPr>
      <w:r>
        <w:rPr>
          <w:sz w:val="18"/>
          <w:szCs w:val="18"/>
        </w:rPr>
        <w:t>Source: ECO</w:t>
      </w:r>
      <w:r w:rsidRPr="002A07F8">
        <w:rPr>
          <w:sz w:val="18"/>
          <w:szCs w:val="18"/>
        </w:rPr>
        <w:t>WAS</w:t>
      </w:r>
      <w:r w:rsidRPr="00A11AE1">
        <w:rPr>
          <w:sz w:val="18"/>
          <w:szCs w:val="18"/>
        </w:rPr>
        <w:t xml:space="preserve"> </w:t>
      </w:r>
      <w:r w:rsidRPr="002A07F8">
        <w:rPr>
          <w:sz w:val="18"/>
          <w:szCs w:val="18"/>
        </w:rPr>
        <w:t>secretariat</w:t>
      </w:r>
    </w:p>
    <w:p w:rsidR="00583142" w:rsidRDefault="00583142" w:rsidP="00335548">
      <w:pPr>
        <w:pStyle w:val="Heading1"/>
        <w:numPr>
          <w:ilvl w:val="0"/>
          <w:numId w:val="37"/>
        </w:numPr>
        <w:spacing w:after="200"/>
      </w:pPr>
      <w:bookmarkStart w:id="13" w:name="_Toc399860639"/>
      <w:r>
        <w:t xml:space="preserve">Impact of </w:t>
      </w:r>
      <w:r w:rsidR="001366A2">
        <w:t>EPA</w:t>
      </w:r>
      <w:r>
        <w:t xml:space="preserve"> Implementation</w:t>
      </w:r>
      <w:bookmarkEnd w:id="13"/>
    </w:p>
    <w:p w:rsidR="003913C7" w:rsidRDefault="00A11AE1" w:rsidP="00FA7532">
      <w:pPr>
        <w:pStyle w:val="Heading2"/>
        <w:spacing w:after="200"/>
      </w:pPr>
      <w:bookmarkStart w:id="14" w:name="_Toc399860640"/>
      <w:r>
        <w:t>4</w:t>
      </w:r>
      <w:r w:rsidR="00583142" w:rsidRPr="003913C7">
        <w:t>.</w:t>
      </w:r>
      <w:r w:rsidR="00F41467">
        <w:t>1</w:t>
      </w:r>
      <w:r w:rsidR="00583142" w:rsidRPr="003913C7">
        <w:t xml:space="preserve">. </w:t>
      </w:r>
      <w:r w:rsidR="003913C7" w:rsidRPr="003913C7">
        <w:t>Impact on Tariff Protection, Trade and Revenue</w:t>
      </w:r>
      <w:bookmarkEnd w:id="14"/>
    </w:p>
    <w:p w:rsidR="00D01840" w:rsidRDefault="00021964" w:rsidP="00FA7532">
      <w:pPr>
        <w:jc w:val="both"/>
      </w:pPr>
      <w:r w:rsidRPr="00D01840">
        <w:t xml:space="preserve">The weighted average tariff rate under the </w:t>
      </w:r>
      <w:r w:rsidR="000C2926" w:rsidRPr="00D01840">
        <w:t>above described baseline scenario is 11.3 percent</w:t>
      </w:r>
      <w:r w:rsidR="00D01840">
        <w:t xml:space="preserve"> and, a</w:t>
      </w:r>
      <w:r w:rsidRPr="00D01840">
        <w:t xml:space="preserve">ccording to TRIST results, would </w:t>
      </w:r>
      <w:r w:rsidR="000C2926" w:rsidRPr="00D01840">
        <w:t>decline to 9.1-9.2</w:t>
      </w:r>
      <w:r w:rsidR="00D01840">
        <w:t xml:space="preserve"> </w:t>
      </w:r>
      <w:r w:rsidR="004D37FB">
        <w:t xml:space="preserve">percent (depending on the </w:t>
      </w:r>
      <w:proofErr w:type="spellStart"/>
      <w:r w:rsidR="004D37FB">
        <w:t>elasticities</w:t>
      </w:r>
      <w:proofErr w:type="spellEnd"/>
      <w:r w:rsidR="004D37FB">
        <w:t xml:space="preserve"> used to calibrate the model) </w:t>
      </w:r>
      <w:r w:rsidRPr="00D01840">
        <w:t>once the</w:t>
      </w:r>
      <w:r w:rsidR="00D01840">
        <w:t xml:space="preserve"> EPA has been fully </w:t>
      </w:r>
      <w:r w:rsidRPr="00D01840">
        <w:t>implemented.</w:t>
      </w:r>
      <w:r w:rsidR="00CC4432">
        <w:t xml:space="preserve"> This moderate reduction in protection is explained by the EU’s relatively low share in Nigeria’s imports (23 percent) as well as the exclusion of a number 25 percent of tariff lines from EPA liberalization.</w:t>
      </w:r>
      <w:r w:rsidRPr="00D01840">
        <w:t xml:space="preserve"> </w:t>
      </w:r>
      <w:r w:rsidR="00D01840">
        <w:t>With the notable exception of a strong</w:t>
      </w:r>
      <w:r w:rsidR="006D724D">
        <w:t xml:space="preserve"> reduction of the tariff on tobacco products, the impact is relatively balanced across sectors (</w:t>
      </w:r>
      <w:r w:rsidR="006D724D">
        <w:fldChar w:fldCharType="begin"/>
      </w:r>
      <w:r w:rsidR="006D724D">
        <w:instrText xml:space="preserve"> REF _Ref386723332 \h </w:instrText>
      </w:r>
      <w:r w:rsidR="006D724D">
        <w:fldChar w:fldCharType="separate"/>
      </w:r>
      <w:r w:rsidR="004423BB">
        <w:t xml:space="preserve">Figure </w:t>
      </w:r>
      <w:r w:rsidR="004423BB">
        <w:rPr>
          <w:noProof/>
        </w:rPr>
        <w:t>1</w:t>
      </w:r>
      <w:r w:rsidR="006D724D">
        <w:fldChar w:fldCharType="end"/>
      </w:r>
      <w:r w:rsidR="006D724D">
        <w:t>).</w:t>
      </w:r>
    </w:p>
    <w:p w:rsidR="00CC4432" w:rsidRDefault="00CC4432" w:rsidP="00FA7532">
      <w:pPr>
        <w:jc w:val="both"/>
      </w:pPr>
      <w:r>
        <w:t xml:space="preserve">It is notable that the import response is much more sensitive to changes in the underlying </w:t>
      </w:r>
      <w:proofErr w:type="spellStart"/>
      <w:r>
        <w:t>elasticities</w:t>
      </w:r>
      <w:proofErr w:type="spellEnd"/>
      <w:r w:rsidR="004D37FB">
        <w:t xml:space="preserve"> than the results for protection shown above</w:t>
      </w:r>
      <w:r>
        <w:t>. Nevertheless, the total import response is likely to be limited (0.8 – 1.8 percent increase in total imports), though some trade diversion is likely to occur with imports from the EU increasing between</w:t>
      </w:r>
      <w:r w:rsidR="00693C89">
        <w:t xml:space="preserve"> </w:t>
      </w:r>
      <w:r>
        <w:t>6.9 and 20 percent at the expense of imports from the rest of the world and, to a lesser extent, ECOWAS (</w:t>
      </w:r>
      <w:r>
        <w:fldChar w:fldCharType="begin"/>
      </w:r>
      <w:r>
        <w:instrText xml:space="preserve"> REF _Ref386722851 \h </w:instrText>
      </w:r>
      <w:r>
        <w:fldChar w:fldCharType="separate"/>
      </w:r>
      <w:r w:rsidR="004423BB">
        <w:t xml:space="preserve">Table </w:t>
      </w:r>
      <w:r w:rsidR="004423BB">
        <w:rPr>
          <w:noProof/>
        </w:rPr>
        <w:t>2</w:t>
      </w:r>
      <w:r>
        <w:fldChar w:fldCharType="end"/>
      </w:r>
      <w:r>
        <w:t xml:space="preserve">). </w:t>
      </w:r>
    </w:p>
    <w:p w:rsidR="000C2926" w:rsidRDefault="000C2926" w:rsidP="00FA7532">
      <w:pPr>
        <w:pStyle w:val="Caption"/>
        <w:keepNext/>
        <w:spacing w:line="276" w:lineRule="auto"/>
        <w:jc w:val="both"/>
      </w:pPr>
      <w:bookmarkStart w:id="15" w:name="_Ref386722851"/>
      <w:r>
        <w:lastRenderedPageBreak/>
        <w:t xml:space="preserve">Table </w:t>
      </w:r>
      <w:fldSimple w:instr=" SEQ Table \* ARABIC ">
        <w:r w:rsidR="004423BB">
          <w:rPr>
            <w:noProof/>
          </w:rPr>
          <w:t>2</w:t>
        </w:r>
      </w:fldSimple>
      <w:bookmarkEnd w:id="15"/>
    </w:p>
    <w:p w:rsidR="000C2926" w:rsidRDefault="000C2926" w:rsidP="00FA7532">
      <w:pPr>
        <w:jc w:val="both"/>
        <w:rPr>
          <w:sz w:val="18"/>
          <w:szCs w:val="18"/>
        </w:rPr>
      </w:pPr>
      <w:r w:rsidRPr="002A07F8">
        <w:rPr>
          <w:noProof/>
          <w:sz w:val="18"/>
          <w:szCs w:val="18"/>
        </w:rPr>
        <w:drawing>
          <wp:inline distT="0" distB="0" distL="0" distR="0" wp14:anchorId="6C074775" wp14:editId="6E4D4505">
            <wp:extent cx="5859068" cy="2107096"/>
            <wp:effectExtent l="0" t="0" r="889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1050" cy="2107809"/>
                    </a:xfrm>
                    <a:prstGeom prst="rect">
                      <a:avLst/>
                    </a:prstGeom>
                    <a:noFill/>
                  </pic:spPr>
                </pic:pic>
              </a:graphicData>
            </a:graphic>
          </wp:inline>
        </w:drawing>
      </w:r>
    </w:p>
    <w:p w:rsidR="002A07F8" w:rsidRPr="002A07F8" w:rsidRDefault="002A07F8" w:rsidP="00FA7532">
      <w:pPr>
        <w:jc w:val="both"/>
        <w:rPr>
          <w:sz w:val="18"/>
          <w:szCs w:val="18"/>
        </w:rPr>
      </w:pPr>
      <w:r w:rsidRPr="002A07F8">
        <w:rPr>
          <w:sz w:val="18"/>
          <w:szCs w:val="18"/>
        </w:rPr>
        <w:t>Source: Authors’ calculation based on TRIST results</w:t>
      </w:r>
    </w:p>
    <w:p w:rsidR="00D01840" w:rsidRDefault="00D01840" w:rsidP="00FA7532">
      <w:pPr>
        <w:pStyle w:val="Caption"/>
        <w:keepNext/>
        <w:spacing w:line="276" w:lineRule="auto"/>
        <w:jc w:val="both"/>
      </w:pPr>
      <w:bookmarkStart w:id="16" w:name="_Ref386723332"/>
      <w:r>
        <w:t xml:space="preserve">Figure </w:t>
      </w:r>
      <w:fldSimple w:instr=" SEQ Figure \* ARABIC ">
        <w:r w:rsidR="004423BB">
          <w:rPr>
            <w:noProof/>
          </w:rPr>
          <w:t>1</w:t>
        </w:r>
      </w:fldSimple>
      <w:bookmarkEnd w:id="16"/>
    </w:p>
    <w:p w:rsidR="000C2926" w:rsidRDefault="004421B9" w:rsidP="00FA7532">
      <w:pPr>
        <w:jc w:val="center"/>
        <w:rPr>
          <w:color w:val="FF0000"/>
        </w:rPr>
      </w:pPr>
      <w:r>
        <w:rPr>
          <w:noProof/>
          <w:color w:val="FF0000"/>
        </w:rPr>
        <w:drawing>
          <wp:inline distT="0" distB="0" distL="0" distR="0" wp14:anchorId="4F979678">
            <wp:extent cx="5284733" cy="3291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5873" cy="3292550"/>
                    </a:xfrm>
                    <a:prstGeom prst="rect">
                      <a:avLst/>
                    </a:prstGeom>
                    <a:noFill/>
                  </pic:spPr>
                </pic:pic>
              </a:graphicData>
            </a:graphic>
          </wp:inline>
        </w:drawing>
      </w:r>
    </w:p>
    <w:p w:rsidR="002A07F8" w:rsidRDefault="002A07F8" w:rsidP="00FA7532">
      <w:pPr>
        <w:jc w:val="both"/>
        <w:rPr>
          <w:sz w:val="18"/>
          <w:szCs w:val="18"/>
        </w:rPr>
      </w:pPr>
      <w:r w:rsidRPr="00BD5404">
        <w:rPr>
          <w:sz w:val="18"/>
          <w:szCs w:val="18"/>
        </w:rPr>
        <w:t xml:space="preserve">Source: </w:t>
      </w:r>
      <w:r>
        <w:rPr>
          <w:sz w:val="18"/>
          <w:szCs w:val="18"/>
        </w:rPr>
        <w:t>Authors’ calculations based on TRIST results</w:t>
      </w:r>
    </w:p>
    <w:p w:rsidR="00CC4432" w:rsidRPr="006D205E" w:rsidRDefault="00CC4432" w:rsidP="00FA7532">
      <w:pPr>
        <w:jc w:val="both"/>
      </w:pPr>
      <w:r w:rsidRPr="006D205E">
        <w:t xml:space="preserve">The TRIST results predict a loss in the magnitude of 17.3 – 18.7 percent of total tariff revenue. To put this figure in context, </w:t>
      </w:r>
      <w:r w:rsidRPr="006D205E">
        <w:fldChar w:fldCharType="begin"/>
      </w:r>
      <w:r w:rsidRPr="006D205E">
        <w:instrText xml:space="preserve"> REF _Ref386723734 \h </w:instrText>
      </w:r>
      <w:r w:rsidRPr="006D205E">
        <w:fldChar w:fldCharType="separate"/>
      </w:r>
      <w:r w:rsidR="004423BB">
        <w:t xml:space="preserve">Figure </w:t>
      </w:r>
      <w:r w:rsidR="004423BB">
        <w:rPr>
          <w:noProof/>
        </w:rPr>
        <w:t>2</w:t>
      </w:r>
      <w:r w:rsidRPr="006D205E">
        <w:fldChar w:fldCharType="end"/>
      </w:r>
      <w:r w:rsidRPr="006D205E">
        <w:t xml:space="preserve"> presents a simple projection of fiscal revenue sources assuming a 3 percent annual growth rate </w:t>
      </w:r>
      <w:r w:rsidR="005D55B1">
        <w:t xml:space="preserve">for all sources of revenue </w:t>
      </w:r>
      <w:r w:rsidRPr="006D205E">
        <w:t xml:space="preserve">between the baseline and the full implementation of </w:t>
      </w:r>
      <w:r w:rsidR="005467C4">
        <w:t xml:space="preserve">the EPA in 2035. At this point, according to the above described projection, </w:t>
      </w:r>
      <w:r w:rsidRPr="006D205E">
        <w:t xml:space="preserve">the loss in tariff revenue would reach approximately 140 </w:t>
      </w:r>
      <w:proofErr w:type="spellStart"/>
      <w:r w:rsidRPr="006D205E">
        <w:t>bn</w:t>
      </w:r>
      <w:proofErr w:type="spellEnd"/>
      <w:r w:rsidRPr="006D205E">
        <w:t xml:space="preserve"> Nair</w:t>
      </w:r>
      <w:r w:rsidR="00F13EC0" w:rsidRPr="006D205E">
        <w:t>a</w:t>
      </w:r>
      <w:r w:rsidRPr="006D205E">
        <w:t xml:space="preserve"> per year, equivalent to 0.8 percent of total fiscal revenue or 3.3 </w:t>
      </w:r>
      <w:r w:rsidRPr="006D205E">
        <w:lastRenderedPageBreak/>
        <w:t>percent of non-oil revenue.</w:t>
      </w:r>
      <w:r w:rsidR="00F13EC0" w:rsidRPr="006D205E">
        <w:rPr>
          <w:rStyle w:val="FootnoteReference"/>
        </w:rPr>
        <w:footnoteReference w:id="2"/>
      </w:r>
      <w:r w:rsidR="005467C4">
        <w:t xml:space="preserve"> </w:t>
      </w:r>
      <w:r w:rsidRPr="006D205E">
        <w:t xml:space="preserve"> </w:t>
      </w:r>
      <w:r w:rsidR="005467C4">
        <w:t xml:space="preserve">This would be equivalent to around 12 percent of </w:t>
      </w:r>
      <w:r w:rsidR="00FC3F35">
        <w:t xml:space="preserve">collected </w:t>
      </w:r>
      <w:r w:rsidR="005467C4">
        <w:t xml:space="preserve">value added tax or 10 percent of business tax projected in 2035. </w:t>
      </w:r>
    </w:p>
    <w:p w:rsidR="00CC4432" w:rsidRDefault="00CC4432" w:rsidP="00FA7532">
      <w:pPr>
        <w:pStyle w:val="Caption"/>
        <w:keepNext/>
        <w:spacing w:line="276" w:lineRule="auto"/>
        <w:jc w:val="both"/>
      </w:pPr>
      <w:bookmarkStart w:id="17" w:name="_Ref386723734"/>
      <w:r>
        <w:t xml:space="preserve">Figure </w:t>
      </w:r>
      <w:fldSimple w:instr=" SEQ Figure \* ARABIC ">
        <w:r w:rsidR="004423BB">
          <w:rPr>
            <w:noProof/>
          </w:rPr>
          <w:t>2</w:t>
        </w:r>
      </w:fldSimple>
      <w:bookmarkEnd w:id="17"/>
    </w:p>
    <w:p w:rsidR="00CC4432" w:rsidRDefault="00732E5E" w:rsidP="00FA7532">
      <w:pPr>
        <w:jc w:val="center"/>
        <w:rPr>
          <w:color w:val="FF0000"/>
        </w:rPr>
      </w:pPr>
      <w:r>
        <w:rPr>
          <w:noProof/>
          <w:color w:val="FF0000"/>
        </w:rPr>
        <w:drawing>
          <wp:inline distT="0" distB="0" distL="0" distR="0" wp14:anchorId="78D1F83F">
            <wp:extent cx="5301869" cy="3291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3181" cy="3292655"/>
                    </a:xfrm>
                    <a:prstGeom prst="rect">
                      <a:avLst/>
                    </a:prstGeom>
                    <a:noFill/>
                  </pic:spPr>
                </pic:pic>
              </a:graphicData>
            </a:graphic>
          </wp:inline>
        </w:drawing>
      </w:r>
    </w:p>
    <w:p w:rsidR="00264FE8" w:rsidRDefault="002A07F8" w:rsidP="00FA7532">
      <w:r w:rsidRPr="002A07F8">
        <w:rPr>
          <w:sz w:val="16"/>
        </w:rPr>
        <w:t>Source: Calculated by the authors</w:t>
      </w:r>
      <w:r w:rsidR="00A90FA6">
        <w:rPr>
          <w:sz w:val="16"/>
        </w:rPr>
        <w:t>.</w:t>
      </w:r>
      <w:r w:rsidR="00264FE8" w:rsidRPr="00264FE8">
        <w:t xml:space="preserve"> </w:t>
      </w:r>
    </w:p>
    <w:p w:rsidR="00264FE8" w:rsidRDefault="00264FE8" w:rsidP="004C5C29">
      <w:pPr>
        <w:jc w:val="both"/>
      </w:pPr>
      <w:r>
        <w:t>One possibility for Nigeria to make up for such revenue losses could be to try and recover some of the substantial amounts of tariff revenue which is currently lost due to widespread smuggling (see box 1).</w:t>
      </w:r>
      <w:r w:rsidR="004D37FB">
        <w:t xml:space="preserve"> T</w:t>
      </w:r>
      <w:r w:rsidR="005E0035">
        <w:t>his option</w:t>
      </w:r>
      <w:r w:rsidR="004D37FB">
        <w:t xml:space="preserve">, however, </w:t>
      </w:r>
      <w:r w:rsidR="005E0035">
        <w:t xml:space="preserve">would </w:t>
      </w:r>
      <w:r w:rsidR="004D37FB">
        <w:t xml:space="preserve">also </w:t>
      </w:r>
      <w:r w:rsidR="005E0035">
        <w:t>have a major impact on Benin</w:t>
      </w:r>
      <w:r w:rsidR="004D37FB">
        <w:t xml:space="preserve"> and other neighboring countries</w:t>
      </w:r>
      <w:r w:rsidR="005E0035">
        <w:t xml:space="preserve">. </w:t>
      </w:r>
      <w:r w:rsidR="00FC3F35">
        <w:t xml:space="preserve">Other possibilities </w:t>
      </w:r>
      <w:r w:rsidR="005E0035">
        <w:t xml:space="preserve">to make up for the shortfall in tariff revenue </w:t>
      </w:r>
      <w:r w:rsidR="00FC3F35">
        <w:t>include revisiting exemption regimes or domestic tax regimes.</w:t>
      </w:r>
      <w:r w:rsidR="00FA6BFC">
        <w:t xml:space="preserve"> In either case, it would be important to carefully study the impact on domestic prices and competitiveness of such reforms. </w:t>
      </w:r>
    </w:p>
    <w:p w:rsidR="00264FE8" w:rsidRDefault="00264FE8" w:rsidP="00FA7532">
      <w:r>
        <w:rPr>
          <w:noProof/>
        </w:rPr>
        <mc:AlternateContent>
          <mc:Choice Requires="wps">
            <w:drawing>
              <wp:anchor distT="0" distB="0" distL="114300" distR="114300" simplePos="0" relativeHeight="251667456" behindDoc="0" locked="0" layoutInCell="1" allowOverlap="1" wp14:anchorId="3A134D7B" wp14:editId="119040ED">
                <wp:simplePos x="0" y="0"/>
                <wp:positionH relativeFrom="column">
                  <wp:posOffset>341630</wp:posOffset>
                </wp:positionH>
                <wp:positionV relativeFrom="paragraph">
                  <wp:posOffset>86360</wp:posOffset>
                </wp:positionV>
                <wp:extent cx="5390515" cy="210185"/>
                <wp:effectExtent l="0" t="0" r="635" b="0"/>
                <wp:wrapNone/>
                <wp:docPr id="12" name="Text Box 12"/>
                <wp:cNvGraphicFramePr/>
                <a:graphic xmlns:a="http://schemas.openxmlformats.org/drawingml/2006/main">
                  <a:graphicData uri="http://schemas.microsoft.com/office/word/2010/wordprocessingShape">
                    <wps:wsp>
                      <wps:cNvSpPr txBox="1"/>
                      <wps:spPr>
                        <a:xfrm>
                          <a:off x="0" y="0"/>
                          <a:ext cx="5390515" cy="210185"/>
                        </a:xfrm>
                        <a:prstGeom prst="rect">
                          <a:avLst/>
                        </a:prstGeom>
                        <a:solidFill>
                          <a:prstClr val="white"/>
                        </a:solidFill>
                        <a:ln>
                          <a:noFill/>
                        </a:ln>
                        <a:effectLst/>
                      </wps:spPr>
                      <wps:txbx>
                        <w:txbxContent>
                          <w:p w:rsidR="007D2C92" w:rsidRPr="00CC798D" w:rsidRDefault="007D2C92" w:rsidP="00264FE8">
                            <w:pPr>
                              <w:pStyle w:val="Caption"/>
                              <w:jc w:val="center"/>
                              <w:rPr>
                                <w:noProof/>
                                <w:sz w:val="16"/>
                              </w:rPr>
                            </w:pPr>
                            <w:r>
                              <w:t xml:space="preserve">Box </w:t>
                            </w:r>
                            <w:fldSimple w:instr=" SEQ Box \* ARABIC ">
                              <w:r>
                                <w:rPr>
                                  <w:noProof/>
                                </w:rPr>
                                <w:t>1</w:t>
                              </w:r>
                            </w:fldSimple>
                            <w:r>
                              <w:t>: Revenue losses from informal trade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26.9pt;margin-top:6.8pt;width:424.45pt;height:16.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" stroked="f">
                <v:textbox inset="0,0,0,0">
                  <w:txbxContent>
                    <w:p w:rsidR="007D2C92" w:rsidRPr="00CC798D" w:rsidRDefault="007D2C92" w:rsidP="00264FE8">
                      <w:pPr>
                        <w:pStyle w:val="Caption"/>
                        <w:jc w:val="center"/>
                        <w:rPr>
                          <w:noProof/>
                          <w:sz w:val="16"/>
                        </w:rPr>
                      </w:pPr>
                      <w:r>
                        <w:t xml:space="preserve">Box </w:t>
                      </w:r>
                      <w:r>
                        <w:fldChar w:fldCharType="begin"/>
                      </w:r>
                      <w:r>
                        <w:instrText xml:space="preserve"> SEQ Box \* ARABIC </w:instrText>
                      </w:r>
                      <w:r>
                        <w:fldChar w:fldCharType="separate"/>
                      </w:r>
                      <w:r>
                        <w:rPr>
                          <w:noProof/>
                        </w:rPr>
                        <w:t>1</w:t>
                      </w:r>
                      <w:r>
                        <w:rPr>
                          <w:noProof/>
                        </w:rPr>
                        <w:fldChar w:fldCharType="end"/>
                      </w:r>
                      <w:r>
                        <w:t>: Revenue losses from informal trade</w:t>
                      </w:r>
                    </w:p>
                  </w:txbxContent>
                </v:textbox>
              </v:shape>
            </w:pict>
          </mc:Fallback>
        </mc:AlternateContent>
      </w:r>
    </w:p>
    <w:p w:rsidR="00264FE8" w:rsidRPr="00430C5E" w:rsidRDefault="00264FE8" w:rsidP="00FA7532">
      <w:pPr>
        <w:shd w:val="clear" w:color="auto" w:fill="EEECE1" w:themeFill="background2"/>
        <w:ind w:left="720" w:right="720"/>
        <w:jc w:val="both"/>
      </w:pPr>
      <w:r w:rsidRPr="00430C5E">
        <w:rPr>
          <w:sz w:val="18"/>
        </w:rPr>
        <w:t xml:space="preserve">High and complex trade barriers present a strong incentive for smuggling across Nigeria’s borders, in particular with Benin. </w:t>
      </w:r>
      <w:proofErr w:type="spellStart"/>
      <w:r w:rsidRPr="00430C5E">
        <w:rPr>
          <w:sz w:val="18"/>
        </w:rPr>
        <w:t>Raballand</w:t>
      </w:r>
      <w:proofErr w:type="spellEnd"/>
      <w:r w:rsidRPr="00430C5E">
        <w:rPr>
          <w:sz w:val="18"/>
        </w:rPr>
        <w:t xml:space="preserve"> and </w:t>
      </w:r>
      <w:proofErr w:type="spellStart"/>
      <w:r w:rsidRPr="00430C5E">
        <w:rPr>
          <w:sz w:val="18"/>
        </w:rPr>
        <w:t>Mjekiqi</w:t>
      </w:r>
      <w:proofErr w:type="spellEnd"/>
      <w:r w:rsidRPr="00430C5E">
        <w:rPr>
          <w:sz w:val="18"/>
        </w:rPr>
        <w:t xml:space="preserve"> (2010) </w:t>
      </w:r>
      <w:r w:rsidR="00FC3F35">
        <w:rPr>
          <w:sz w:val="18"/>
        </w:rPr>
        <w:t xml:space="preserve">and </w:t>
      </w:r>
      <w:r w:rsidR="004C5C29">
        <w:rPr>
          <w:sz w:val="18"/>
        </w:rPr>
        <w:t>World Bank</w:t>
      </w:r>
      <w:r w:rsidR="00FC3F35">
        <w:rPr>
          <w:sz w:val="18"/>
        </w:rPr>
        <w:t xml:space="preserve"> (2014) </w:t>
      </w:r>
      <w:r w:rsidRPr="00430C5E">
        <w:rPr>
          <w:sz w:val="18"/>
        </w:rPr>
        <w:t>estimate an order of magnitude of this smuggling by comparing imports reported by Benin with exports to Benin reported by third countries, observing that a large part of the high discrepancy between these figures is likely smuggled onwards to Nigeria. These calculations are replicated in</w:t>
      </w:r>
      <w:r>
        <w:rPr>
          <w:sz w:val="18"/>
        </w:rPr>
        <w:t xml:space="preserve"> </w:t>
      </w:r>
      <w:r>
        <w:rPr>
          <w:sz w:val="18"/>
        </w:rPr>
        <w:fldChar w:fldCharType="begin"/>
      </w:r>
      <w:r>
        <w:rPr>
          <w:sz w:val="18"/>
        </w:rPr>
        <w:instrText xml:space="preserve"> REF _Ref386809434 \h  \* MERGEFORMAT </w:instrText>
      </w:r>
      <w:r>
        <w:rPr>
          <w:sz w:val="18"/>
        </w:rPr>
      </w:r>
      <w:r>
        <w:rPr>
          <w:sz w:val="18"/>
        </w:rPr>
        <w:fldChar w:fldCharType="separate"/>
      </w:r>
      <w:r w:rsidR="004423BB" w:rsidRPr="004423BB">
        <w:rPr>
          <w:sz w:val="18"/>
        </w:rPr>
        <w:t>Figure 3</w:t>
      </w:r>
      <w:r>
        <w:rPr>
          <w:sz w:val="18"/>
        </w:rPr>
        <w:fldChar w:fldCharType="end"/>
      </w:r>
      <w:r w:rsidRPr="00430C5E">
        <w:rPr>
          <w:sz w:val="18"/>
        </w:rPr>
        <w:t xml:space="preserve">. They suggest that indeed import bans and prohibitively high duties do not stop goods from entering Nigeria. On the contrary, smuggling appears to be highest in the most restricted categories of goods subject to import bans and levies. The total amount of potential smuggling from Benin is estimated at close to US$5 </w:t>
      </w:r>
      <w:proofErr w:type="spellStart"/>
      <w:r w:rsidRPr="00430C5E">
        <w:rPr>
          <w:sz w:val="18"/>
        </w:rPr>
        <w:t>bn</w:t>
      </w:r>
      <w:proofErr w:type="spellEnd"/>
      <w:r w:rsidRPr="00430C5E">
        <w:rPr>
          <w:sz w:val="18"/>
        </w:rPr>
        <w:t xml:space="preserve">, nearly 10 percent of Nigeria’s official imports. If the current tariff rates and levies had been applied to these goods, this would have led to an estimated gain of US$1.2 </w:t>
      </w:r>
      <w:proofErr w:type="spellStart"/>
      <w:r w:rsidRPr="00430C5E">
        <w:rPr>
          <w:sz w:val="18"/>
        </w:rPr>
        <w:t>bn</w:t>
      </w:r>
      <w:proofErr w:type="spellEnd"/>
      <w:r w:rsidRPr="00430C5E">
        <w:rPr>
          <w:sz w:val="18"/>
        </w:rPr>
        <w:t xml:space="preserve"> in government revenue. Additional channels for informal trade and smuggling </w:t>
      </w:r>
      <w:r w:rsidRPr="00430C5E">
        <w:rPr>
          <w:sz w:val="18"/>
        </w:rPr>
        <w:lastRenderedPageBreak/>
        <w:t>are likely to exist via other neighboring countries as well as through non- or under-reporting in</w:t>
      </w:r>
      <w:r>
        <w:rPr>
          <w:sz w:val="18"/>
        </w:rPr>
        <w:t xml:space="preserve"> </w:t>
      </w:r>
      <w:r w:rsidRPr="00430C5E">
        <w:rPr>
          <w:sz w:val="18"/>
        </w:rPr>
        <w:t xml:space="preserve">Nigerian ports. </w:t>
      </w:r>
    </w:p>
    <w:p w:rsidR="00264FE8" w:rsidRDefault="00264FE8" w:rsidP="00FA7532">
      <w:pPr>
        <w:pStyle w:val="Caption"/>
        <w:keepNext/>
        <w:shd w:val="clear" w:color="auto" w:fill="EEECE1" w:themeFill="background2"/>
        <w:spacing w:line="276" w:lineRule="auto"/>
        <w:ind w:left="720" w:right="720"/>
      </w:pPr>
      <w:bookmarkStart w:id="18" w:name="_Ref386809434"/>
      <w:r>
        <w:t xml:space="preserve">Figure </w:t>
      </w:r>
      <w:fldSimple w:instr=" SEQ Figure \* ARABIC ">
        <w:r w:rsidR="004423BB">
          <w:rPr>
            <w:noProof/>
          </w:rPr>
          <w:t>3</w:t>
        </w:r>
      </w:fldSimple>
      <w:bookmarkEnd w:id="18"/>
    </w:p>
    <w:p w:rsidR="00264FE8" w:rsidRDefault="00264FE8" w:rsidP="00FA7532">
      <w:pPr>
        <w:shd w:val="clear" w:color="auto" w:fill="EEECE1" w:themeFill="background2"/>
        <w:ind w:left="720" w:right="720"/>
        <w:jc w:val="center"/>
      </w:pPr>
      <w:r w:rsidRPr="00430C5E">
        <w:rPr>
          <w:noProof/>
        </w:rPr>
        <w:drawing>
          <wp:inline distT="0" distB="0" distL="0" distR="0" wp14:anchorId="66178462" wp14:editId="2F3E9DF6">
            <wp:extent cx="4258101" cy="36282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4793" cy="3633937"/>
                    </a:xfrm>
                    <a:prstGeom prst="rect">
                      <a:avLst/>
                    </a:prstGeom>
                    <a:noFill/>
                    <a:ln>
                      <a:noFill/>
                    </a:ln>
                  </pic:spPr>
                </pic:pic>
              </a:graphicData>
            </a:graphic>
          </wp:inline>
        </w:drawing>
      </w:r>
    </w:p>
    <w:p w:rsidR="00264FE8" w:rsidRDefault="00264FE8" w:rsidP="00FA7532">
      <w:pPr>
        <w:shd w:val="clear" w:color="auto" w:fill="EEECE1" w:themeFill="background2"/>
        <w:ind w:left="720" w:right="720"/>
        <w:jc w:val="both"/>
        <w:rPr>
          <w:sz w:val="16"/>
        </w:rPr>
      </w:pPr>
      <w:r w:rsidRPr="00B60E0A">
        <w:rPr>
          <w:sz w:val="16"/>
        </w:rPr>
        <w:t>Source</w:t>
      </w:r>
      <w:r>
        <w:rPr>
          <w:sz w:val="16"/>
        </w:rPr>
        <w:t xml:space="preserve">: </w:t>
      </w:r>
      <w:r w:rsidR="004326E5">
        <w:rPr>
          <w:sz w:val="16"/>
        </w:rPr>
        <w:t>Text</w:t>
      </w:r>
      <w:r>
        <w:rPr>
          <w:sz w:val="16"/>
        </w:rPr>
        <w:t xml:space="preserve"> and Figure are excerpt</w:t>
      </w:r>
      <w:r w:rsidR="004326E5">
        <w:rPr>
          <w:sz w:val="16"/>
        </w:rPr>
        <w:t>s</w:t>
      </w:r>
      <w:r>
        <w:rPr>
          <w:sz w:val="16"/>
        </w:rPr>
        <w:t xml:space="preserve"> from von </w:t>
      </w:r>
      <w:proofErr w:type="spellStart"/>
      <w:r>
        <w:rPr>
          <w:sz w:val="16"/>
        </w:rPr>
        <w:t>Uexkull</w:t>
      </w:r>
      <w:proofErr w:type="spellEnd"/>
      <w:r>
        <w:rPr>
          <w:sz w:val="16"/>
        </w:rPr>
        <w:t xml:space="preserve"> and </w:t>
      </w:r>
      <w:proofErr w:type="spellStart"/>
      <w:r>
        <w:rPr>
          <w:sz w:val="16"/>
        </w:rPr>
        <w:t>Shui</w:t>
      </w:r>
      <w:proofErr w:type="spellEnd"/>
      <w:r>
        <w:rPr>
          <w:sz w:val="16"/>
        </w:rPr>
        <w:t xml:space="preserve"> (201</w:t>
      </w:r>
      <w:r w:rsidR="00CF754E">
        <w:rPr>
          <w:sz w:val="16"/>
        </w:rPr>
        <w:t>4</w:t>
      </w:r>
      <w:r>
        <w:rPr>
          <w:sz w:val="16"/>
        </w:rPr>
        <w:t>).</w:t>
      </w:r>
    </w:p>
    <w:p w:rsidR="00264FE8" w:rsidRDefault="00264FE8" w:rsidP="00FA7532"/>
    <w:p w:rsidR="003913C7" w:rsidRDefault="003913C7" w:rsidP="00FA7532">
      <w:pPr>
        <w:pStyle w:val="Heading2"/>
        <w:numPr>
          <w:ilvl w:val="1"/>
          <w:numId w:val="34"/>
        </w:numPr>
        <w:spacing w:after="200"/>
      </w:pPr>
      <w:bookmarkStart w:id="19" w:name="_Toc399860641"/>
      <w:r>
        <w:t>I</w:t>
      </w:r>
      <w:r w:rsidRPr="003913C7">
        <w:t>mpact on Household Consumption</w:t>
      </w:r>
      <w:bookmarkEnd w:id="19"/>
    </w:p>
    <w:p w:rsidR="009817F5" w:rsidRPr="00FF1ED0" w:rsidRDefault="009817F5" w:rsidP="00FA7532">
      <w:pPr>
        <w:jc w:val="both"/>
      </w:pPr>
      <w:r w:rsidRPr="00FF1ED0">
        <w:t xml:space="preserve">The most direct effect of implementing the </w:t>
      </w:r>
      <w:r w:rsidR="00F13EC0" w:rsidRPr="00FF1ED0">
        <w:t>EPA</w:t>
      </w:r>
      <w:r w:rsidRPr="00FF1ED0">
        <w:t xml:space="preserve"> on the life of Nigerians can be expected to materialize through changes in the prices of their daily consumption goods. In order to evaluate the magnitude and direction of these effects, price changes calculated at the detailed product level in the TRIST tool is matched with information on the consumption patterns of Nigerian households. </w:t>
      </w:r>
      <w:r w:rsidR="00222A40" w:rsidRPr="00FF1ED0">
        <w:t>It is assumed that tariff changes are fully passed through to consumers, which would require a competitive market situation.</w:t>
      </w:r>
    </w:p>
    <w:p w:rsidR="00DC442F" w:rsidRDefault="00222A40" w:rsidP="00FA7532">
      <w:pPr>
        <w:jc w:val="both"/>
      </w:pPr>
      <w:r w:rsidRPr="00FF1ED0">
        <w:t>The results (presented</w:t>
      </w:r>
      <w:r w:rsidR="008A1896">
        <w:t xml:space="preserve"> for five level</w:t>
      </w:r>
      <w:r w:rsidR="00FC3F35">
        <w:t>s</w:t>
      </w:r>
      <w:r w:rsidR="008A1896">
        <w:t xml:space="preserve"> of incomes from the poorest to the richest</w:t>
      </w:r>
      <w:r w:rsidRPr="00FF1ED0">
        <w:t xml:space="preserve"> in </w:t>
      </w:r>
      <w:r w:rsidRPr="00FF1ED0">
        <w:fldChar w:fldCharType="begin"/>
      </w:r>
      <w:r w:rsidRPr="00FF1ED0">
        <w:instrText xml:space="preserve"> REF _Ref386725827 \h </w:instrText>
      </w:r>
      <w:r w:rsidRPr="00FF1ED0">
        <w:fldChar w:fldCharType="separate"/>
      </w:r>
      <w:r w:rsidR="004423BB">
        <w:t xml:space="preserve">Figure </w:t>
      </w:r>
      <w:r w:rsidR="004423BB">
        <w:rPr>
          <w:noProof/>
        </w:rPr>
        <w:t>4</w:t>
      </w:r>
      <w:r w:rsidRPr="00FF1ED0">
        <w:fldChar w:fldCharType="end"/>
      </w:r>
      <w:r w:rsidRPr="00FF1ED0">
        <w:t>) show that, once the EPA has been fully implemented, households from all income categories could see the price of their average consumption bundle decline by approximately 0.</w:t>
      </w:r>
      <w:r w:rsidR="00202C74">
        <w:t>26 and 0.3</w:t>
      </w:r>
      <w:r w:rsidRPr="00FF1ED0">
        <w:t xml:space="preserve"> percent.</w:t>
      </w:r>
      <w:r w:rsidR="00202C74">
        <w:t xml:space="preserve"> The impact is slightly regressive with the richest households benefitting the most given that products imported from the EU that benefit from the EPA feature more prominently in their consumption bundles.</w:t>
      </w:r>
      <w:r w:rsidRPr="00FF1ED0">
        <w:t xml:space="preserve"> </w:t>
      </w:r>
    </w:p>
    <w:p w:rsidR="00DC442F" w:rsidRDefault="00202C74" w:rsidP="00FA7532">
      <w:pPr>
        <w:jc w:val="both"/>
      </w:pPr>
      <w:r>
        <w:t>M</w:t>
      </w:r>
      <w:r w:rsidR="002D663F" w:rsidRPr="002D663F">
        <w:t>ain driver</w:t>
      </w:r>
      <w:r>
        <w:t>s</w:t>
      </w:r>
      <w:r w:rsidR="002D663F" w:rsidRPr="002D663F">
        <w:t xml:space="preserve"> of the price reduction </w:t>
      </w:r>
      <w:r>
        <w:t xml:space="preserve">are </w:t>
      </w:r>
      <w:r w:rsidR="002D663F" w:rsidRPr="002D663F">
        <w:t>products in the categor</w:t>
      </w:r>
      <w:r>
        <w:t>ies</w:t>
      </w:r>
      <w:r w:rsidR="002D663F" w:rsidRPr="002D663F">
        <w:t xml:space="preserve"> ‘Vegetables other than beans and peas’</w:t>
      </w:r>
      <w:r>
        <w:t>,</w:t>
      </w:r>
      <w:r w:rsidR="002D663F" w:rsidRPr="002D663F">
        <w:t xml:space="preserve"> which experiences a strong decline in prices of imports from the EU namely for processed </w:t>
      </w:r>
      <w:r w:rsidR="002D663F" w:rsidRPr="002D663F">
        <w:lastRenderedPageBreak/>
        <w:t>vegetable products such as canned tomatoes</w:t>
      </w:r>
      <w:r>
        <w:t>, ‘Dairy products’, ‘Fish and Seafood’, ‘Chocolate and confectionary’ as well as ‘Kerosene’.</w:t>
      </w:r>
    </w:p>
    <w:p w:rsidR="00E563B0" w:rsidRDefault="00E563B0" w:rsidP="00FA7532">
      <w:pPr>
        <w:jc w:val="both"/>
      </w:pPr>
      <w:r>
        <w:t xml:space="preserve">For a more complete appreciation of household level effects of the EPA, it would have been desirable to also match the price change data with detailed product level information on household income, in particular from agriculture. Unfortunately, such data was not available at the time the report was written. Income losses from the EPA would depend on the degree to which agricultural producers compete with products imported from the EU. Anecdotal evidence suggests that this is not the case for many of the key agricultural products grown in Nigeria, but a more thorough analysis of this level of impact of the EPA with detailed household income data would be desirable. </w:t>
      </w:r>
    </w:p>
    <w:p w:rsidR="00222A40" w:rsidRDefault="00222A40" w:rsidP="00FA7532">
      <w:pPr>
        <w:pStyle w:val="Caption"/>
        <w:keepNext/>
        <w:spacing w:line="276" w:lineRule="auto"/>
      </w:pPr>
      <w:bookmarkStart w:id="20" w:name="_Ref386725827"/>
      <w:r>
        <w:t xml:space="preserve">Figure </w:t>
      </w:r>
      <w:fldSimple w:instr=" SEQ Figure \* ARABIC ">
        <w:r w:rsidR="004423BB">
          <w:rPr>
            <w:noProof/>
          </w:rPr>
          <w:t>4</w:t>
        </w:r>
      </w:fldSimple>
      <w:bookmarkEnd w:id="20"/>
    </w:p>
    <w:p w:rsidR="002E30E4" w:rsidRPr="009817F5" w:rsidRDefault="00202C74" w:rsidP="00FA7532">
      <w:pPr>
        <w:jc w:val="center"/>
        <w:rPr>
          <w:color w:val="FF0000"/>
        </w:rPr>
      </w:pPr>
      <w:r>
        <w:rPr>
          <w:noProof/>
          <w:color w:val="FF0000"/>
        </w:rPr>
        <w:drawing>
          <wp:inline distT="0" distB="0" distL="0" distR="0" wp14:anchorId="6D3F6A80">
            <wp:extent cx="5143554" cy="39514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2964" cy="3950994"/>
                    </a:xfrm>
                    <a:prstGeom prst="rect">
                      <a:avLst/>
                    </a:prstGeom>
                    <a:noFill/>
                  </pic:spPr>
                </pic:pic>
              </a:graphicData>
            </a:graphic>
          </wp:inline>
        </w:drawing>
      </w:r>
    </w:p>
    <w:p w:rsidR="009817F5" w:rsidRPr="002A07F8" w:rsidRDefault="009817F5" w:rsidP="00FA7532">
      <w:pPr>
        <w:rPr>
          <w:sz w:val="16"/>
        </w:rPr>
      </w:pPr>
      <w:r w:rsidRPr="002A07F8">
        <w:rPr>
          <w:sz w:val="16"/>
        </w:rPr>
        <w:t xml:space="preserve">Source: </w:t>
      </w:r>
      <w:r w:rsidR="00FF1ED0">
        <w:rPr>
          <w:sz w:val="16"/>
        </w:rPr>
        <w:t xml:space="preserve">Authors’ calculation based on </w:t>
      </w:r>
      <w:r w:rsidRPr="002A07F8">
        <w:rPr>
          <w:sz w:val="16"/>
        </w:rPr>
        <w:t xml:space="preserve">TRIST results </w:t>
      </w:r>
      <w:r w:rsidR="00FF1ED0">
        <w:rPr>
          <w:sz w:val="16"/>
        </w:rPr>
        <w:t>and</w:t>
      </w:r>
      <w:r w:rsidRPr="002A07F8">
        <w:rPr>
          <w:sz w:val="16"/>
        </w:rPr>
        <w:t xml:space="preserve"> data from the </w:t>
      </w:r>
      <w:r w:rsidR="00B40528">
        <w:rPr>
          <w:sz w:val="16"/>
        </w:rPr>
        <w:t>Nigeria General Household Survey of 2010/11 and 2012/13.</w:t>
      </w:r>
    </w:p>
    <w:p w:rsidR="003913C7" w:rsidRPr="003913C7" w:rsidRDefault="00A11AE1" w:rsidP="00FA7532">
      <w:pPr>
        <w:pStyle w:val="Heading2"/>
        <w:spacing w:after="200"/>
      </w:pPr>
      <w:bookmarkStart w:id="21" w:name="_Toc399860642"/>
      <w:r>
        <w:t>4</w:t>
      </w:r>
      <w:r w:rsidR="003913C7">
        <w:t>.</w:t>
      </w:r>
      <w:r>
        <w:t>3</w:t>
      </w:r>
      <w:r w:rsidR="003913C7">
        <w:t>. Impact on Firms and Jobs</w:t>
      </w:r>
      <w:bookmarkEnd w:id="21"/>
    </w:p>
    <w:p w:rsidR="009817F5" w:rsidRPr="00191E89" w:rsidRDefault="009817F5" w:rsidP="00FA7532">
      <w:pPr>
        <w:jc w:val="both"/>
      </w:pPr>
      <w:r w:rsidRPr="00191E89">
        <w:t xml:space="preserve">A tariff reform affects firms through a number of channels. In the long run, dynamic effects from lower tariff protection materialize as capital and jobs are reallocated towards more efficient sectors and firms, and integration with global value chains provides opportunities to access new knowledge, technology, and market opportunities. However, analyzing the short to medium term effects of a trade policy reform is important to understand the forces of structural change that it is likely to trigger, and prepare </w:t>
      </w:r>
      <w:r w:rsidR="00191E89">
        <w:t>appropriate policy responses</w:t>
      </w:r>
      <w:r w:rsidRPr="00191E89">
        <w:t xml:space="preserve"> where it may be required. </w:t>
      </w:r>
    </w:p>
    <w:p w:rsidR="00191E89" w:rsidRDefault="004D1928" w:rsidP="00FA7532">
      <w:pPr>
        <w:jc w:val="both"/>
      </w:pPr>
      <w:r>
        <w:lastRenderedPageBreak/>
        <w:t>It is important to note that the calculations</w:t>
      </w:r>
      <w:r w:rsidR="00EB5006">
        <w:t xml:space="preserve"> presented here</w:t>
      </w:r>
      <w:r>
        <w:t xml:space="preserve"> represent a short term scenario in the sense that firms do not adjust their </w:t>
      </w:r>
      <w:r w:rsidR="00EB5006">
        <w:t xml:space="preserve">behavior to the price shock, </w:t>
      </w:r>
      <w:r w:rsidR="008A1896">
        <w:t xml:space="preserve">for instance </w:t>
      </w:r>
      <w:r w:rsidR="00EB5006">
        <w:t>by changing the composition of the inputs they purchase or the capital – labor ratio</w:t>
      </w:r>
      <w:r>
        <w:t>. In reality, firms could be expected to adjust quickly, thus maximizing the benefits and reducing the costs associated with the tariff reform.</w:t>
      </w:r>
    </w:p>
    <w:p w:rsidR="0072387A" w:rsidRDefault="009817F5" w:rsidP="0072387A">
      <w:pPr>
        <w:jc w:val="both"/>
      </w:pPr>
      <w:r w:rsidRPr="00191E89">
        <w:t xml:space="preserve">For </w:t>
      </w:r>
      <w:r w:rsidRPr="00D50911">
        <w:t xml:space="preserve">all </w:t>
      </w:r>
      <w:r w:rsidR="000C734E" w:rsidRPr="00D50911">
        <w:t>stages of EPA implementation, the net effect on the median firm’s profitability is positive (</w:t>
      </w:r>
      <w:r w:rsidR="000C734E" w:rsidRPr="00D50911">
        <w:fldChar w:fldCharType="begin"/>
      </w:r>
      <w:r w:rsidR="000C734E" w:rsidRPr="00D50911">
        <w:instrText xml:space="preserve"> REF _Ref386727049 \h </w:instrText>
      </w:r>
      <w:r w:rsidR="000C734E" w:rsidRPr="00D50911">
        <w:fldChar w:fldCharType="separate"/>
      </w:r>
      <w:r w:rsidR="004423BB" w:rsidRPr="00BF2149">
        <w:t xml:space="preserve">Figure </w:t>
      </w:r>
      <w:r w:rsidR="004423BB">
        <w:rPr>
          <w:noProof/>
        </w:rPr>
        <w:t>5</w:t>
      </w:r>
      <w:r w:rsidR="000C734E" w:rsidRPr="00D50911">
        <w:fldChar w:fldCharType="end"/>
      </w:r>
      <w:r w:rsidR="0072387A">
        <w:t>a</w:t>
      </w:r>
      <w:r w:rsidR="000C734E" w:rsidRPr="00D50911">
        <w:t>)</w:t>
      </w:r>
      <w:r w:rsidR="0072387A">
        <w:t xml:space="preserve">, indicating that the majority of firms stand to benefit. However, Figure 5b reveals that the mean net effect is slightly negative suggesting that while they are fewer, the magnitude of losses for negatively affected firms outweighs that of positively affected ones. </w:t>
      </w:r>
    </w:p>
    <w:p w:rsidR="0072387A" w:rsidRPr="00D50911" w:rsidRDefault="0072387A" w:rsidP="0072387A">
      <w:pPr>
        <w:jc w:val="both"/>
      </w:pPr>
      <w:r w:rsidRPr="00D50911">
        <w:t xml:space="preserve">Negative effects occur through the reduction in firms’ output prices. For the median firm, these effects begin to materialize with the second stage of EPA liberalization (2025-29), </w:t>
      </w:r>
      <w:r>
        <w:t>but</w:t>
      </w:r>
      <w:r w:rsidRPr="00D50911">
        <w:t xml:space="preserve"> through all stages their magnitude is less than half of the above described gains.</w:t>
      </w:r>
      <w:r>
        <w:t xml:space="preserve"> However, the mean losses due to lower output prices are actually more substantial, suggesting that a few firms at the margin of the distribution may experience a more sizeable negative effect. </w:t>
      </w:r>
    </w:p>
    <w:p w:rsidR="00D6412F" w:rsidRDefault="009817F5" w:rsidP="00FA7532">
      <w:pPr>
        <w:jc w:val="both"/>
      </w:pPr>
      <w:r w:rsidRPr="00D50911">
        <w:t xml:space="preserve">The positive effects </w:t>
      </w:r>
      <w:r w:rsidR="000C734E" w:rsidRPr="00D50911">
        <w:t xml:space="preserve">mainly </w:t>
      </w:r>
      <w:r w:rsidRPr="00D50911">
        <w:t>result from the reduction in input prices</w:t>
      </w:r>
      <w:r w:rsidR="000C734E" w:rsidRPr="00D50911">
        <w:t>, which</w:t>
      </w:r>
      <w:r w:rsidR="008A1896">
        <w:t xml:space="preserve"> due to the gradual and asymmetric nature of tariff reductions</w:t>
      </w:r>
      <w:r w:rsidR="000C734E" w:rsidRPr="00D50911">
        <w:t xml:space="preserve"> </w:t>
      </w:r>
      <w:r w:rsidR="008A1896">
        <w:t>starts as soon as</w:t>
      </w:r>
      <w:r w:rsidR="000C734E" w:rsidRPr="00D50911">
        <w:t xml:space="preserve"> the first </w:t>
      </w:r>
      <w:r w:rsidR="00BF2149" w:rsidRPr="00D50911">
        <w:t>stage</w:t>
      </w:r>
      <w:r w:rsidR="000C734E" w:rsidRPr="00D50911">
        <w:t xml:space="preserve"> of the EPA (2020-24) and increases with each subsequent phase.</w:t>
      </w:r>
      <w:r w:rsidR="008A1896">
        <w:t xml:space="preserve"> This gradual impact could also be a factor in </w:t>
      </w:r>
      <w:r w:rsidR="00EB5006">
        <w:t>helping</w:t>
      </w:r>
      <w:r w:rsidR="008A1896">
        <w:t xml:space="preserve"> firms adjust to the reform.</w:t>
      </w:r>
      <w:r w:rsidR="000C734E" w:rsidRPr="00D50911">
        <w:t xml:space="preserve"> </w:t>
      </w:r>
      <w:r w:rsidR="0072387A">
        <w:t xml:space="preserve">The distribution of this effect appears to be relatively balanced across the distribution of firms, with the median effect similar to the mean effect. These finding may have interesting political economy implications, suggesting that while the gains from lower input prices are relatively evenly distributed across the universe of firms, losses from lower output prices are more concentrated on a few firms that stand to lose significant levels of protection. These firms may have a stronger incentive to oppose the EPA, and as a small and well defined group articulate their more clearly, than the majority of firms that stand to benefit. </w:t>
      </w:r>
    </w:p>
    <w:p w:rsidR="00BF2149" w:rsidRPr="00D50911" w:rsidRDefault="00D6412F" w:rsidP="00FA7532">
      <w:pPr>
        <w:jc w:val="both"/>
      </w:pPr>
      <w:r w:rsidRPr="00D50911">
        <w:t xml:space="preserve">The </w:t>
      </w:r>
      <w:r>
        <w:t xml:space="preserve">positive </w:t>
      </w:r>
      <w:r w:rsidRPr="00D50911">
        <w:t>effect of lower prices on capital goods is less significant in the short run</w:t>
      </w:r>
      <w:r>
        <w:t xml:space="preserve"> at both the median and mean.</w:t>
      </w:r>
    </w:p>
    <w:p w:rsidR="009817F5" w:rsidRPr="00BF2149" w:rsidRDefault="009817F5" w:rsidP="00FA7532">
      <w:pPr>
        <w:pStyle w:val="Caption"/>
        <w:keepNext/>
        <w:spacing w:line="276" w:lineRule="auto"/>
      </w:pPr>
      <w:bookmarkStart w:id="22" w:name="_Ref386727049"/>
      <w:r w:rsidRPr="00BF2149">
        <w:lastRenderedPageBreak/>
        <w:t xml:space="preserve">Figure </w:t>
      </w:r>
      <w:fldSimple w:instr=" SEQ Figure \* ARABIC ">
        <w:r w:rsidR="004423BB">
          <w:rPr>
            <w:noProof/>
          </w:rPr>
          <w:t>5</w:t>
        </w:r>
      </w:fldSimple>
      <w:bookmarkEnd w:id="22"/>
      <w:r w:rsidR="00431249">
        <w:rPr>
          <w:noProof/>
        </w:rPr>
        <w:t xml:space="preserve"> (a+b)</w:t>
      </w:r>
    </w:p>
    <w:p w:rsidR="009817F5" w:rsidRPr="009817F5" w:rsidRDefault="00431249" w:rsidP="00431249">
      <w:pPr>
        <w:ind w:right="-720" w:hanging="630"/>
        <w:rPr>
          <w:color w:val="FF0000"/>
        </w:rPr>
      </w:pPr>
      <w:r>
        <w:rPr>
          <w:noProof/>
          <w:color w:val="FF0000"/>
        </w:rPr>
        <w:drawing>
          <wp:inline distT="0" distB="0" distL="0" distR="0" wp14:anchorId="1A99C5E3" wp14:editId="18495754">
            <wp:extent cx="3365442" cy="287837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5926" cy="2887339"/>
                    </a:xfrm>
                    <a:prstGeom prst="rect">
                      <a:avLst/>
                    </a:prstGeom>
                    <a:noFill/>
                  </pic:spPr>
                </pic:pic>
              </a:graphicData>
            </a:graphic>
          </wp:inline>
        </w:drawing>
      </w:r>
      <w:r>
        <w:rPr>
          <w:noProof/>
          <w:color w:val="FF0000"/>
        </w:rPr>
        <w:drawing>
          <wp:inline distT="0" distB="0" distL="0" distR="0" wp14:anchorId="50A7FE64" wp14:editId="57D72A1A">
            <wp:extent cx="3367278" cy="2876004"/>
            <wp:effectExtent l="0" t="0" r="508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8109" cy="2885255"/>
                    </a:xfrm>
                    <a:prstGeom prst="rect">
                      <a:avLst/>
                    </a:prstGeom>
                    <a:noFill/>
                  </pic:spPr>
                </pic:pic>
              </a:graphicData>
            </a:graphic>
          </wp:inline>
        </w:drawing>
      </w:r>
    </w:p>
    <w:p w:rsidR="004423BB" w:rsidRDefault="004423BB" w:rsidP="004423BB">
      <w:pPr>
        <w:rPr>
          <w:sz w:val="16"/>
        </w:rPr>
      </w:pPr>
      <w:r w:rsidRPr="00D50911">
        <w:rPr>
          <w:sz w:val="16"/>
        </w:rPr>
        <w:t>Source: Authors’ calculations</w:t>
      </w:r>
      <w:r>
        <w:rPr>
          <w:sz w:val="16"/>
        </w:rPr>
        <w:t xml:space="preserve"> based on World Bank Enterprise Survey data. </w:t>
      </w:r>
    </w:p>
    <w:p w:rsidR="004D1928" w:rsidRPr="00D50911" w:rsidRDefault="00BF2149" w:rsidP="00FA7532">
      <w:pPr>
        <w:jc w:val="both"/>
      </w:pPr>
      <w:r w:rsidRPr="00D50911">
        <w:t xml:space="preserve">Despite this overall positive effect, the EPA, like any trade reform, is likely to generate winners and losers among Nigerian firms. </w:t>
      </w:r>
      <w:r w:rsidRPr="00D50911">
        <w:fldChar w:fldCharType="begin"/>
      </w:r>
      <w:r w:rsidRPr="00D50911">
        <w:instrText xml:space="preserve"> REF _Ref386727788 \h </w:instrText>
      </w:r>
      <w:r w:rsidRPr="00D50911">
        <w:fldChar w:fldCharType="separate"/>
      </w:r>
      <w:r w:rsidR="004423BB" w:rsidRPr="00BF2149">
        <w:t xml:space="preserve">Figure </w:t>
      </w:r>
      <w:r w:rsidR="004423BB">
        <w:rPr>
          <w:noProof/>
        </w:rPr>
        <w:t>6</w:t>
      </w:r>
      <w:r w:rsidR="004423BB" w:rsidRPr="00BF2149">
        <w:t xml:space="preserve"> (</w:t>
      </w:r>
      <w:proofErr w:type="spellStart"/>
      <w:r w:rsidR="004423BB" w:rsidRPr="00BF2149">
        <w:t>a+b</w:t>
      </w:r>
      <w:proofErr w:type="spellEnd"/>
      <w:r w:rsidR="004423BB" w:rsidRPr="00BF2149">
        <w:t>)</w:t>
      </w:r>
      <w:r w:rsidRPr="00D50911">
        <w:fldChar w:fldCharType="end"/>
      </w:r>
      <w:r w:rsidRPr="00D50911">
        <w:t xml:space="preserve"> illustrates this by categorizing all firms in the sample based on their baseline profitability level and the projected impact of the EPA. The left panel (a) </w:t>
      </w:r>
      <w:r w:rsidR="008A1896">
        <w:t>offers a simple average</w:t>
      </w:r>
      <w:r w:rsidRPr="00D50911">
        <w:t xml:space="preserve"> while the right p</w:t>
      </w:r>
      <w:r w:rsidR="004D1928" w:rsidRPr="00D50911">
        <w:t xml:space="preserve">anel </w:t>
      </w:r>
      <w:r w:rsidR="00EB5006">
        <w:t xml:space="preserve">(b) </w:t>
      </w:r>
      <w:r w:rsidR="007762B2">
        <w:t xml:space="preserve">provides a </w:t>
      </w:r>
      <w:r w:rsidR="004D1928" w:rsidRPr="00D50911">
        <w:t>weigh</w:t>
      </w:r>
      <w:r w:rsidR="007762B2">
        <w:t>ted average by each firm’s</w:t>
      </w:r>
      <w:r w:rsidR="004D1928" w:rsidRPr="00D50911">
        <w:t xml:space="preserve"> level of employment</w:t>
      </w:r>
      <w:r w:rsidR="00EB5006">
        <w:t xml:space="preserve">; in other words, panel (a) is a breakdown of firms while panel (b) shows a breakdown of the jobs they offer. </w:t>
      </w:r>
    </w:p>
    <w:p w:rsidR="004D1928" w:rsidRDefault="004D1928" w:rsidP="00FA7532">
      <w:pPr>
        <w:jc w:val="both"/>
      </w:pPr>
      <w:r w:rsidRPr="00D50911">
        <w:t>In the full EPA scenario, 63.0 percent of firms in the sample (representing 57.6 percent of jobs) would experience a direct increase in their profitability. 31.6 percent of firms (representing 28.6 percent of workers) would experience a reduction in profitability</w:t>
      </w:r>
      <w:r w:rsidR="0053581D" w:rsidRPr="00D50911">
        <w:t>, but only 0.5 percent (representing 0.3 percent of jobs) would become unprofitable as a result.</w:t>
      </w:r>
    </w:p>
    <w:p w:rsidR="009817F5" w:rsidRPr="00BF2149" w:rsidRDefault="009817F5" w:rsidP="00FA7532">
      <w:pPr>
        <w:pStyle w:val="Caption"/>
        <w:keepNext/>
        <w:spacing w:line="276" w:lineRule="auto"/>
      </w:pPr>
      <w:bookmarkStart w:id="23" w:name="_Ref386727788"/>
      <w:r w:rsidRPr="00BF2149">
        <w:lastRenderedPageBreak/>
        <w:t xml:space="preserve">Figure </w:t>
      </w:r>
      <w:fldSimple w:instr=" SEQ Figure \* ARABIC ">
        <w:r w:rsidR="004423BB">
          <w:rPr>
            <w:noProof/>
          </w:rPr>
          <w:t>6</w:t>
        </w:r>
      </w:fldSimple>
      <w:r w:rsidR="00BF2149" w:rsidRPr="00BF2149">
        <w:t xml:space="preserve"> (</w:t>
      </w:r>
      <w:proofErr w:type="spellStart"/>
      <w:r w:rsidR="00BF2149" w:rsidRPr="00BF2149">
        <w:t>a+b</w:t>
      </w:r>
      <w:proofErr w:type="spellEnd"/>
      <w:r w:rsidR="00BF2149" w:rsidRPr="00BF2149">
        <w:t>)</w:t>
      </w:r>
      <w:bookmarkEnd w:id="23"/>
    </w:p>
    <w:p w:rsidR="009817F5" w:rsidRPr="009817F5" w:rsidRDefault="00BF2149" w:rsidP="00FA7532">
      <w:pPr>
        <w:ind w:right="-720" w:hanging="810"/>
        <w:rPr>
          <w:color w:val="FF0000"/>
          <w:sz w:val="16"/>
        </w:rPr>
      </w:pPr>
      <w:r w:rsidRPr="00BF2149">
        <w:rPr>
          <w:noProof/>
          <w:color w:val="FF0000"/>
          <w:sz w:val="16"/>
        </w:rPr>
        <w:drawing>
          <wp:inline distT="0" distB="0" distL="0" distR="0" wp14:anchorId="2F808004" wp14:editId="6FBBDB50">
            <wp:extent cx="3609892" cy="3096175"/>
            <wp:effectExtent l="19050" t="19050" r="10160" b="2857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1466" cy="3097525"/>
                    </a:xfrm>
                    <a:prstGeom prst="rect">
                      <a:avLst/>
                    </a:prstGeom>
                    <a:noFill/>
                    <a:ln w="3175">
                      <a:solidFill>
                        <a:schemeClr val="tx1"/>
                      </a:solidFill>
                      <a:miter lim="800000"/>
                      <a:headEnd/>
                      <a:tailEnd/>
                    </a:ln>
                    <a:effectLst/>
                    <a:extLst/>
                  </pic:spPr>
                </pic:pic>
              </a:graphicData>
            </a:graphic>
          </wp:inline>
        </w:drawing>
      </w:r>
      <w:r w:rsidRPr="00BF2149">
        <w:rPr>
          <w:noProof/>
        </w:rPr>
        <w:t xml:space="preserve"> </w:t>
      </w:r>
      <w:r w:rsidRPr="00BF2149">
        <w:rPr>
          <w:noProof/>
          <w:color w:val="FF0000"/>
          <w:sz w:val="16"/>
        </w:rPr>
        <w:drawing>
          <wp:inline distT="0" distB="0" distL="0" distR="0" wp14:anchorId="14D97F4E" wp14:editId="76F594BF">
            <wp:extent cx="3133021" cy="3101008"/>
            <wp:effectExtent l="19050" t="19050" r="10795" b="2349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6611" cy="3104562"/>
                    </a:xfrm>
                    <a:prstGeom prst="rect">
                      <a:avLst/>
                    </a:prstGeom>
                    <a:noFill/>
                    <a:ln w="3175">
                      <a:solidFill>
                        <a:schemeClr val="tx1"/>
                      </a:solidFill>
                    </a:ln>
                    <a:effectLst/>
                    <a:extLst/>
                  </pic:spPr>
                </pic:pic>
              </a:graphicData>
            </a:graphic>
          </wp:inline>
        </w:drawing>
      </w:r>
    </w:p>
    <w:p w:rsidR="004423BB" w:rsidRDefault="004423BB" w:rsidP="004423BB">
      <w:pPr>
        <w:rPr>
          <w:sz w:val="16"/>
        </w:rPr>
      </w:pPr>
      <w:r w:rsidRPr="00D50911">
        <w:rPr>
          <w:sz w:val="16"/>
        </w:rPr>
        <w:t>Source: Authors’ calculations</w:t>
      </w:r>
      <w:r>
        <w:rPr>
          <w:sz w:val="16"/>
        </w:rPr>
        <w:t xml:space="preserve"> based on World Bank Enterprise Survey data. </w:t>
      </w:r>
    </w:p>
    <w:p w:rsidR="00A8189E" w:rsidRDefault="00A8189E" w:rsidP="00A8189E">
      <w:pPr>
        <w:jc w:val="both"/>
      </w:pPr>
      <w:r>
        <w:t xml:space="preserve">The </w:t>
      </w:r>
      <w:proofErr w:type="gramStart"/>
      <w:r>
        <w:t>remainder of firms (3.2 percent, but representing 12.3 percent of jobs) export</w:t>
      </w:r>
      <w:proofErr w:type="gramEnd"/>
      <w:r>
        <w:t xml:space="preserve"> at least a part of their output outside of the Nigerian market. These firms are shown separately because the effect of the EPA reform is more complex to assess. While they are equally affected through price changes on inputs and capital equipment, their output prices depend on tariff changes in their destination markets. As these price changes are not available, they are assumed to be zero in the simulation results. Nevertheless, a few basic qualitative observations can be made regarding the expected direction of the output price change for these firms. For this purpose, </w:t>
      </w:r>
      <w:r w:rsidR="006E63BF">
        <w:fldChar w:fldCharType="begin"/>
      </w:r>
      <w:r w:rsidR="006E63BF">
        <w:instrText xml:space="preserve"> REF _Ref391034812 \h </w:instrText>
      </w:r>
      <w:r w:rsidR="006E63BF">
        <w:fldChar w:fldCharType="separate"/>
      </w:r>
      <w:r w:rsidR="004423BB">
        <w:t xml:space="preserve">Figure </w:t>
      </w:r>
      <w:r w:rsidR="004423BB">
        <w:rPr>
          <w:noProof/>
        </w:rPr>
        <w:t>7</w:t>
      </w:r>
      <w:r w:rsidR="006E63BF">
        <w:fldChar w:fldCharType="end"/>
      </w:r>
      <w:r w:rsidR="006E63BF">
        <w:t xml:space="preserve"> </w:t>
      </w:r>
      <w:r w:rsidR="00316892">
        <w:t xml:space="preserve">shows a breakdown of exporting firms by their main overseas market. </w:t>
      </w:r>
    </w:p>
    <w:p w:rsidR="00EB5006" w:rsidRDefault="00EB5006" w:rsidP="00A8189E">
      <w:pPr>
        <w:jc w:val="both"/>
        <w:rPr>
          <w:color w:val="FF0000"/>
        </w:rPr>
      </w:pPr>
      <w:r w:rsidRPr="00D50911">
        <w:t>Firms exporting to the EU (5.0 percent of exporting firms in the sample) would benefit from lower input and capital prices, and might actually lose market access if the EPA is not signed</w:t>
      </w:r>
      <w:r w:rsidR="00F433D5">
        <w:t xml:space="preserve"> (Box 2)</w:t>
      </w:r>
      <w:r w:rsidRPr="00D50911">
        <w:t xml:space="preserve">, so they unambiguously gain from the EPA. Firms exporting to other destinations outside ECOWAS (40.0 percent of exporting firms in the sample) also unambiguously benefit from </w:t>
      </w:r>
      <w:r w:rsidR="00381220">
        <w:t xml:space="preserve">the </w:t>
      </w:r>
      <w:r w:rsidRPr="00D50911">
        <w:t xml:space="preserve">EPA because they enjoy lower input and capital equipment prices while their output prices are not affected by ECOWAS </w:t>
      </w:r>
      <w:r w:rsidR="00A8189E">
        <w:t xml:space="preserve">or EU </w:t>
      </w:r>
      <w:r w:rsidRPr="00D50911">
        <w:t>trade policy. For the remaining firms whose main export market is ECOWAS (55 percent of exporters in the sample) the effect is ambiguous as it i</w:t>
      </w:r>
      <w:r w:rsidR="00381220">
        <w:t xml:space="preserve">s for domestic firms in Nigeria: </w:t>
      </w:r>
      <w:r w:rsidRPr="00D50911">
        <w:t>They enjoy lower input and capital prices, but may also suffer from lower output prices as EU firms gain better market access in ECOWAS</w:t>
      </w:r>
      <w:r w:rsidR="00A8189E">
        <w:t>, thus eroding some of the preferential margin that Nigerian firms are currently enjoying in the regional market</w:t>
      </w:r>
      <w:r w:rsidRPr="00D50911">
        <w:t>.</w:t>
      </w:r>
      <w:r w:rsidR="00A8189E">
        <w:t xml:space="preserve"> </w:t>
      </w:r>
      <w:r>
        <w:t>The s</w:t>
      </w:r>
      <w:r w:rsidRPr="00D50911">
        <w:t>wift implementation of ECOWAS free trade commitments and regional trade facilitation measures could help enhance the competitiveness of Nigerian firms in the region and improve their standing before market opening with the EU is phased in.</w:t>
      </w:r>
      <w:r w:rsidRPr="0053581D">
        <w:rPr>
          <w:color w:val="FF0000"/>
        </w:rPr>
        <w:t xml:space="preserve"> </w:t>
      </w:r>
    </w:p>
    <w:p w:rsidR="00316892" w:rsidRDefault="00316892" w:rsidP="00316892">
      <w:pPr>
        <w:pStyle w:val="Caption"/>
        <w:keepNext/>
        <w:jc w:val="both"/>
      </w:pPr>
      <w:bookmarkStart w:id="24" w:name="_Ref391034812"/>
      <w:r>
        <w:lastRenderedPageBreak/>
        <w:t xml:space="preserve">Figure </w:t>
      </w:r>
      <w:fldSimple w:instr=" SEQ Figure \* ARABIC ">
        <w:r w:rsidR="004423BB">
          <w:rPr>
            <w:noProof/>
          </w:rPr>
          <w:t>7</w:t>
        </w:r>
      </w:fldSimple>
      <w:bookmarkEnd w:id="24"/>
    </w:p>
    <w:p w:rsidR="004C5C29" w:rsidRDefault="004C5C29" w:rsidP="0034092D">
      <w:pPr>
        <w:tabs>
          <w:tab w:val="num" w:pos="720"/>
        </w:tabs>
        <w:jc w:val="center"/>
        <w:rPr>
          <w:color w:val="FF0000"/>
        </w:rPr>
      </w:pPr>
      <w:r>
        <w:rPr>
          <w:noProof/>
          <w:color w:val="FF0000"/>
        </w:rPr>
        <w:drawing>
          <wp:inline distT="0" distB="0" distL="0" distR="0" wp14:anchorId="4CE8FCDB" wp14:editId="213938C0">
            <wp:extent cx="4537993" cy="337135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39164" cy="3372223"/>
                    </a:xfrm>
                    <a:prstGeom prst="rect">
                      <a:avLst/>
                    </a:prstGeom>
                    <a:noFill/>
                  </pic:spPr>
                </pic:pic>
              </a:graphicData>
            </a:graphic>
          </wp:inline>
        </w:drawing>
      </w:r>
    </w:p>
    <w:p w:rsidR="004423BB" w:rsidRDefault="004423BB" w:rsidP="004423BB">
      <w:pPr>
        <w:rPr>
          <w:sz w:val="16"/>
        </w:rPr>
      </w:pPr>
      <w:r w:rsidRPr="00D50911">
        <w:rPr>
          <w:sz w:val="16"/>
        </w:rPr>
        <w:t>Source: Authors’ calculations</w:t>
      </w:r>
      <w:r>
        <w:rPr>
          <w:sz w:val="16"/>
        </w:rPr>
        <w:t xml:space="preserve"> based on World Bank Enterprise Survey data. </w:t>
      </w:r>
    </w:p>
    <w:p w:rsidR="00B917B5" w:rsidRDefault="00B917B5" w:rsidP="0034092D">
      <w:pPr>
        <w:tabs>
          <w:tab w:val="num" w:pos="720"/>
        </w:tabs>
        <w:jc w:val="center"/>
        <w:rPr>
          <w:color w:val="FF0000"/>
        </w:rPr>
      </w:pPr>
    </w:p>
    <w:p w:rsidR="00F433D5" w:rsidRDefault="00F433D5" w:rsidP="00F433D5">
      <w:pPr>
        <w:pStyle w:val="Caption"/>
        <w:keepNext/>
        <w:jc w:val="center"/>
      </w:pPr>
      <w:r>
        <w:t xml:space="preserve">Box </w:t>
      </w:r>
      <w:fldSimple w:instr=" SEQ Box \* ARABIC ">
        <w:r w:rsidR="004423BB">
          <w:rPr>
            <w:noProof/>
          </w:rPr>
          <w:t>2</w:t>
        </w:r>
      </w:fldSimple>
      <w:r>
        <w:t>: EU market access implications of the EPA</w:t>
      </w:r>
    </w:p>
    <w:p w:rsidR="00F433D5" w:rsidRDefault="00F433D5" w:rsidP="00F433D5">
      <w:pPr>
        <w:shd w:val="clear" w:color="auto" w:fill="EEECE1" w:themeFill="background2"/>
        <w:ind w:left="720" w:right="720"/>
        <w:jc w:val="both"/>
        <w:rPr>
          <w:sz w:val="18"/>
        </w:rPr>
      </w:pPr>
      <w:r>
        <w:rPr>
          <w:sz w:val="18"/>
        </w:rPr>
        <w:t xml:space="preserve">The EPA would grant Nigerian firms full tariff and quota free access to the EU market. Without the EPA, on the other hand, market access for Nigeria firms would be determined by the EU’s General System of Preferences (GSP), which maintains tariff protection for a number of product groups. While </w:t>
      </w:r>
      <w:r w:rsidR="00B7056F">
        <w:rPr>
          <w:sz w:val="18"/>
        </w:rPr>
        <w:t xml:space="preserve">it </w:t>
      </w:r>
      <w:r>
        <w:rPr>
          <w:sz w:val="18"/>
        </w:rPr>
        <w:t xml:space="preserve">is often correctly pointed out that Nigeria’s exports to the EU are currently dominated by oil products that enjoy duty free market </w:t>
      </w:r>
      <w:r w:rsidR="00B7056F">
        <w:rPr>
          <w:sz w:val="18"/>
        </w:rPr>
        <w:t xml:space="preserve">access </w:t>
      </w:r>
      <w:r>
        <w:rPr>
          <w:sz w:val="18"/>
        </w:rPr>
        <w:t xml:space="preserve">under the GSP, </w:t>
      </w:r>
      <w:r w:rsidRPr="00F433D5">
        <w:rPr>
          <w:sz w:val="18"/>
          <w:szCs w:val="18"/>
        </w:rPr>
        <w:fldChar w:fldCharType="begin"/>
      </w:r>
      <w:r w:rsidRPr="00F433D5">
        <w:rPr>
          <w:sz w:val="18"/>
          <w:szCs w:val="18"/>
        </w:rPr>
        <w:instrText xml:space="preserve"> REF _Ref397430377 \h  \* MERGEFORMAT </w:instrText>
      </w:r>
      <w:r w:rsidRPr="00F433D5">
        <w:rPr>
          <w:sz w:val="18"/>
          <w:szCs w:val="18"/>
        </w:rPr>
      </w:r>
      <w:r w:rsidRPr="00F433D5">
        <w:rPr>
          <w:sz w:val="18"/>
          <w:szCs w:val="18"/>
        </w:rPr>
        <w:fldChar w:fldCharType="separate"/>
      </w:r>
      <w:r w:rsidR="004423BB" w:rsidRPr="004423BB">
        <w:rPr>
          <w:sz w:val="18"/>
          <w:szCs w:val="18"/>
        </w:rPr>
        <w:t xml:space="preserve">Figure </w:t>
      </w:r>
      <w:r w:rsidR="004423BB" w:rsidRPr="004423BB">
        <w:rPr>
          <w:noProof/>
          <w:sz w:val="18"/>
          <w:szCs w:val="18"/>
        </w:rPr>
        <w:t>8</w:t>
      </w:r>
      <w:r w:rsidRPr="00F433D5">
        <w:rPr>
          <w:sz w:val="18"/>
          <w:szCs w:val="18"/>
        </w:rPr>
        <w:fldChar w:fldCharType="end"/>
      </w:r>
      <w:r>
        <w:rPr>
          <w:sz w:val="18"/>
        </w:rPr>
        <w:t xml:space="preserve"> shows that for a number of non-oil products </w:t>
      </w:r>
      <w:r w:rsidR="00B7056F">
        <w:rPr>
          <w:sz w:val="18"/>
        </w:rPr>
        <w:t xml:space="preserve">in industries where </w:t>
      </w:r>
      <w:r>
        <w:rPr>
          <w:sz w:val="18"/>
        </w:rPr>
        <w:t>Nigeria</w:t>
      </w:r>
      <w:r w:rsidR="00B7056F">
        <w:rPr>
          <w:sz w:val="18"/>
        </w:rPr>
        <w:t xml:space="preserve"> is </w:t>
      </w:r>
      <w:r>
        <w:rPr>
          <w:sz w:val="18"/>
        </w:rPr>
        <w:t>already exporting, substantial tariff barriers remain under the GSP. This is the case</w:t>
      </w:r>
      <w:r w:rsidR="00B917B5">
        <w:rPr>
          <w:sz w:val="18"/>
        </w:rPr>
        <w:t xml:space="preserve"> for instance for Agricultural products, Food and Beverages, Leather Products, Textiles, and Tobacco. Other industries such as Fishing and Apparel, which currently are not exporting</w:t>
      </w:r>
      <w:r w:rsidR="00B7056F">
        <w:rPr>
          <w:sz w:val="18"/>
        </w:rPr>
        <w:t xml:space="preserve"> in significant quantities</w:t>
      </w:r>
      <w:r w:rsidR="00B917B5">
        <w:rPr>
          <w:sz w:val="18"/>
        </w:rPr>
        <w:t xml:space="preserve">, could also be negatively affected in terms of their ability to access new markets in the future.  </w:t>
      </w:r>
    </w:p>
    <w:p w:rsidR="00F433D5" w:rsidRDefault="00F433D5" w:rsidP="00F433D5">
      <w:pPr>
        <w:pStyle w:val="Caption"/>
        <w:keepNext/>
        <w:jc w:val="both"/>
      </w:pPr>
      <w:bookmarkStart w:id="25" w:name="_Ref397430377"/>
      <w:r>
        <w:lastRenderedPageBreak/>
        <w:t xml:space="preserve">Figure </w:t>
      </w:r>
      <w:fldSimple w:instr=" SEQ Figure \* ARABIC ">
        <w:r w:rsidR="004423BB">
          <w:rPr>
            <w:noProof/>
          </w:rPr>
          <w:t>8</w:t>
        </w:r>
      </w:fldSimple>
      <w:bookmarkEnd w:id="25"/>
    </w:p>
    <w:p w:rsidR="00B917B5" w:rsidRDefault="00F433D5" w:rsidP="00F433D5">
      <w:pPr>
        <w:shd w:val="clear" w:color="auto" w:fill="EEECE1" w:themeFill="background2"/>
        <w:ind w:left="720" w:right="720"/>
        <w:jc w:val="both"/>
        <w:rPr>
          <w:sz w:val="18"/>
        </w:rPr>
      </w:pPr>
      <w:r>
        <w:rPr>
          <w:noProof/>
          <w:sz w:val="18"/>
        </w:rPr>
        <w:drawing>
          <wp:inline distT="0" distB="0" distL="0" distR="0" wp14:anchorId="173DDD26" wp14:editId="3B59C908">
            <wp:extent cx="5002790" cy="3593990"/>
            <wp:effectExtent l="0" t="0" r="762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6019" cy="3596310"/>
                    </a:xfrm>
                    <a:prstGeom prst="rect">
                      <a:avLst/>
                    </a:prstGeom>
                    <a:noFill/>
                  </pic:spPr>
                </pic:pic>
              </a:graphicData>
            </a:graphic>
          </wp:inline>
        </w:drawing>
      </w:r>
    </w:p>
    <w:p w:rsidR="00F433D5" w:rsidRPr="00430C5E" w:rsidRDefault="00B917B5" w:rsidP="00F433D5">
      <w:pPr>
        <w:shd w:val="clear" w:color="auto" w:fill="EEECE1" w:themeFill="background2"/>
        <w:ind w:left="720" w:right="720"/>
        <w:jc w:val="both"/>
      </w:pPr>
      <w:r>
        <w:rPr>
          <w:sz w:val="18"/>
        </w:rPr>
        <w:t>Source: Data from EU and COMTRADE.</w:t>
      </w:r>
      <w:r w:rsidR="00F433D5">
        <w:rPr>
          <w:sz w:val="18"/>
        </w:rPr>
        <w:t xml:space="preserve"> </w:t>
      </w:r>
    </w:p>
    <w:p w:rsidR="004C5C29" w:rsidRPr="0053581D" w:rsidRDefault="004C5C29" w:rsidP="00FA7532">
      <w:pPr>
        <w:tabs>
          <w:tab w:val="num" w:pos="720"/>
        </w:tabs>
        <w:jc w:val="both"/>
        <w:rPr>
          <w:color w:val="FF0000"/>
        </w:rPr>
      </w:pPr>
    </w:p>
    <w:p w:rsidR="00E8301A" w:rsidRPr="00E8301A" w:rsidRDefault="009817F5" w:rsidP="00FA7532">
      <w:pPr>
        <w:jc w:val="both"/>
      </w:pPr>
      <w:r w:rsidRPr="00E8301A">
        <w:t xml:space="preserve">A breakdown of the data by economic sector </w:t>
      </w:r>
      <w:r w:rsidR="00E8301A" w:rsidRPr="00E8301A">
        <w:t>(</w:t>
      </w:r>
      <w:r w:rsidR="00381220">
        <w:fldChar w:fldCharType="begin"/>
      </w:r>
      <w:r w:rsidR="00381220">
        <w:instrText xml:space="preserve"> REF _Ref389495698 \h </w:instrText>
      </w:r>
      <w:r w:rsidR="00381220">
        <w:fldChar w:fldCharType="separate"/>
      </w:r>
      <w:r w:rsidR="004423BB">
        <w:t xml:space="preserve">Figure </w:t>
      </w:r>
      <w:r w:rsidR="004423BB">
        <w:rPr>
          <w:noProof/>
        </w:rPr>
        <w:t>9</w:t>
      </w:r>
      <w:r w:rsidR="00381220">
        <w:fldChar w:fldCharType="end"/>
      </w:r>
      <w:r w:rsidR="00E8301A" w:rsidRPr="00E8301A">
        <w:t xml:space="preserve">) </w:t>
      </w:r>
      <w:r w:rsidRPr="00E8301A">
        <w:t xml:space="preserve">reveals that most of the </w:t>
      </w:r>
      <w:r w:rsidR="006E63BF">
        <w:t>employment in</w:t>
      </w:r>
      <w:r w:rsidRPr="00E8301A">
        <w:t xml:space="preserve"> firms for which adverse effects may result from the </w:t>
      </w:r>
      <w:r w:rsidR="00381220">
        <w:t>EPA</w:t>
      </w:r>
      <w:r w:rsidRPr="00E8301A">
        <w:t xml:space="preserve"> </w:t>
      </w:r>
      <w:r w:rsidR="006E63BF">
        <w:t>is</w:t>
      </w:r>
      <w:r w:rsidRPr="00E8301A">
        <w:t xml:space="preserve"> </w:t>
      </w:r>
      <w:r w:rsidR="00E8301A" w:rsidRPr="00E8301A">
        <w:t xml:space="preserve">concentrated </w:t>
      </w:r>
      <w:r w:rsidRPr="00E8301A">
        <w:t>in</w:t>
      </w:r>
      <w:r w:rsidR="00E8301A" w:rsidRPr="00E8301A">
        <w:t xml:space="preserve"> four sectors:</w:t>
      </w:r>
    </w:p>
    <w:p w:rsidR="00C30F36" w:rsidRPr="00E8301A" w:rsidRDefault="00006341" w:rsidP="00FA7532">
      <w:pPr>
        <w:numPr>
          <w:ilvl w:val="0"/>
          <w:numId w:val="21"/>
        </w:numPr>
        <w:jc w:val="both"/>
      </w:pPr>
      <w:r w:rsidRPr="00E8301A">
        <w:t>Wood products</w:t>
      </w:r>
      <w:r w:rsidR="00E8301A" w:rsidRPr="00E8301A">
        <w:t xml:space="preserve"> (</w:t>
      </w:r>
      <w:r w:rsidRPr="00E8301A">
        <w:t>Mainly sawmilling firms making basic products such as planks and plywood</w:t>
      </w:r>
      <w:r w:rsidR="00E8301A" w:rsidRPr="00E8301A">
        <w:t>)</w:t>
      </w:r>
    </w:p>
    <w:p w:rsidR="00C30F36" w:rsidRPr="00E8301A" w:rsidRDefault="00E8301A" w:rsidP="00FA7532">
      <w:pPr>
        <w:numPr>
          <w:ilvl w:val="0"/>
          <w:numId w:val="21"/>
        </w:numPr>
        <w:jc w:val="both"/>
      </w:pPr>
      <w:r w:rsidRPr="00E8301A">
        <w:t>Non-metallic mineral products (</w:t>
      </w:r>
      <w:r w:rsidR="00006341" w:rsidRPr="00E8301A">
        <w:t>Mainly basic cement and concrete products</w:t>
      </w:r>
      <w:r w:rsidRPr="00E8301A">
        <w:t>)</w:t>
      </w:r>
    </w:p>
    <w:p w:rsidR="00C30F36" w:rsidRPr="00E8301A" w:rsidRDefault="00E8301A" w:rsidP="00FA7532">
      <w:pPr>
        <w:numPr>
          <w:ilvl w:val="0"/>
          <w:numId w:val="21"/>
        </w:numPr>
        <w:jc w:val="both"/>
      </w:pPr>
      <w:r w:rsidRPr="00E8301A">
        <w:t>Basic metals (</w:t>
      </w:r>
      <w:r w:rsidR="00006341" w:rsidRPr="00E8301A">
        <w:t>Mainly construction and furniture parts made of metal</w:t>
      </w:r>
      <w:r w:rsidRPr="00E8301A">
        <w:t>)</w:t>
      </w:r>
    </w:p>
    <w:p w:rsidR="00E8301A" w:rsidRDefault="00006341" w:rsidP="00FA7532">
      <w:pPr>
        <w:numPr>
          <w:ilvl w:val="0"/>
          <w:numId w:val="21"/>
        </w:numPr>
        <w:jc w:val="both"/>
      </w:pPr>
      <w:r w:rsidRPr="00E8301A">
        <w:t>Met</w:t>
      </w:r>
      <w:r w:rsidR="00E8301A" w:rsidRPr="00E8301A">
        <w:t>al products other than machinery (</w:t>
      </w:r>
      <w:r w:rsidRPr="00E8301A">
        <w:t>Mainly doors, window frames, and other parts used in construction</w:t>
      </w:r>
      <w:r w:rsidR="00E8301A" w:rsidRPr="00E8301A">
        <w:t>)</w:t>
      </w:r>
    </w:p>
    <w:p w:rsidR="00381220" w:rsidRDefault="00381220" w:rsidP="00FA7532">
      <w:pPr>
        <w:jc w:val="both"/>
      </w:pPr>
    </w:p>
    <w:p w:rsidR="00381220" w:rsidRDefault="00381220" w:rsidP="00FA7532">
      <w:pPr>
        <w:pStyle w:val="Caption"/>
        <w:keepNext/>
        <w:spacing w:line="276" w:lineRule="auto"/>
        <w:jc w:val="both"/>
      </w:pPr>
      <w:bookmarkStart w:id="26" w:name="_Ref389495698"/>
      <w:r>
        <w:lastRenderedPageBreak/>
        <w:t xml:space="preserve">Figure </w:t>
      </w:r>
      <w:fldSimple w:instr=" SEQ Figure \* ARABIC ">
        <w:r w:rsidR="004423BB">
          <w:rPr>
            <w:noProof/>
          </w:rPr>
          <w:t>9</w:t>
        </w:r>
      </w:fldSimple>
      <w:bookmarkEnd w:id="26"/>
    </w:p>
    <w:p w:rsidR="00381220" w:rsidRDefault="00381220" w:rsidP="00FA7532">
      <w:pPr>
        <w:jc w:val="center"/>
        <w:rPr>
          <w:color w:val="FF0000"/>
        </w:rPr>
      </w:pPr>
      <w:r w:rsidRPr="00D50911">
        <w:rPr>
          <w:noProof/>
          <w:color w:val="FF0000"/>
        </w:rPr>
        <w:drawing>
          <wp:inline distT="0" distB="0" distL="0" distR="0" wp14:anchorId="11665066" wp14:editId="1D2724BC">
            <wp:extent cx="5436278" cy="3029447"/>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8956" cy="3030939"/>
                    </a:xfrm>
                    <a:prstGeom prst="rect">
                      <a:avLst/>
                    </a:prstGeom>
                    <a:noFill/>
                    <a:ln>
                      <a:noFill/>
                    </a:ln>
                    <a:effectLst/>
                    <a:extLst/>
                  </pic:spPr>
                </pic:pic>
              </a:graphicData>
            </a:graphic>
          </wp:inline>
        </w:drawing>
      </w:r>
    </w:p>
    <w:p w:rsidR="004423BB" w:rsidRDefault="004423BB" w:rsidP="004423BB">
      <w:pPr>
        <w:rPr>
          <w:sz w:val="16"/>
        </w:rPr>
      </w:pPr>
      <w:r w:rsidRPr="00D50911">
        <w:rPr>
          <w:sz w:val="16"/>
        </w:rPr>
        <w:t>Source: Authors’ calculations</w:t>
      </w:r>
      <w:r>
        <w:rPr>
          <w:sz w:val="16"/>
        </w:rPr>
        <w:t xml:space="preserve"> based on World Bank Enterprise Survey data. </w:t>
      </w:r>
    </w:p>
    <w:p w:rsidR="001302B4" w:rsidRPr="00D50911" w:rsidRDefault="001302B4" w:rsidP="002829BB">
      <w:pPr>
        <w:jc w:val="both"/>
        <w:rPr>
          <w:sz w:val="16"/>
        </w:rPr>
      </w:pPr>
      <w:r>
        <w:rPr>
          <w:sz w:val="16"/>
        </w:rPr>
        <w:fldChar w:fldCharType="begin"/>
      </w:r>
      <w:r>
        <w:rPr>
          <w:sz w:val="16"/>
        </w:rPr>
        <w:instrText xml:space="preserve"> REF _Ref396985357 \h </w:instrText>
      </w:r>
      <w:r w:rsidR="002829BB">
        <w:rPr>
          <w:sz w:val="16"/>
        </w:rPr>
        <w:instrText xml:space="preserve"> \* MERGEFORMAT </w:instrText>
      </w:r>
      <w:r>
        <w:rPr>
          <w:sz w:val="16"/>
        </w:rPr>
      </w:r>
      <w:r>
        <w:rPr>
          <w:sz w:val="16"/>
        </w:rPr>
        <w:fldChar w:fldCharType="separate"/>
      </w:r>
      <w:r w:rsidR="004423BB">
        <w:t xml:space="preserve">Figure </w:t>
      </w:r>
      <w:r w:rsidR="004423BB">
        <w:rPr>
          <w:noProof/>
        </w:rPr>
        <w:t>10</w:t>
      </w:r>
      <w:r>
        <w:rPr>
          <w:sz w:val="16"/>
        </w:rPr>
        <w:fldChar w:fldCharType="end"/>
      </w:r>
      <w:r>
        <w:rPr>
          <w:sz w:val="16"/>
        </w:rPr>
        <w:t xml:space="preserve"> </w:t>
      </w:r>
      <w:r w:rsidRPr="001302B4">
        <w:t>shows the</w:t>
      </w:r>
      <w:r>
        <w:t xml:space="preserve"> breakdown of the three price channels (output, inputs, </w:t>
      </w:r>
      <w:proofErr w:type="gramStart"/>
      <w:r>
        <w:t>capital</w:t>
      </w:r>
      <w:proofErr w:type="gramEnd"/>
      <w:r>
        <w:t xml:space="preserve"> goods) by sector. While the positive effect through lower input and capital good prices is relatively balanced across sectors, the breakdown confirms that cross-</w:t>
      </w:r>
      <w:proofErr w:type="spellStart"/>
      <w:r>
        <w:t>sectoral</w:t>
      </w:r>
      <w:proofErr w:type="spellEnd"/>
      <w:r>
        <w:t xml:space="preserve"> differ</w:t>
      </w:r>
      <w:r w:rsidR="002829BB">
        <w:t>e</w:t>
      </w:r>
      <w:r>
        <w:t xml:space="preserve">nces are mainly driven by changes in the output prices. The four above mentioned sectors with </w:t>
      </w:r>
      <w:r w:rsidR="002829BB">
        <w:t xml:space="preserve">negative net effects are characterized by relatively strong changes in the domestic price of outputs due to a loss in tariff protection under the EPA, which are only partially compensated by the lower input and capital prices. For other sectors, there is no or little loss in protectionism, and thus the positive effects from lower input and capital prices dominate the total effect of the EPA. </w:t>
      </w:r>
    </w:p>
    <w:p w:rsidR="001302B4" w:rsidRDefault="001302B4" w:rsidP="001302B4">
      <w:pPr>
        <w:pStyle w:val="Caption"/>
        <w:keepNext/>
        <w:jc w:val="both"/>
      </w:pPr>
      <w:bookmarkStart w:id="27" w:name="_Ref396985357"/>
      <w:r>
        <w:lastRenderedPageBreak/>
        <w:t xml:space="preserve">Figure </w:t>
      </w:r>
      <w:fldSimple w:instr=" SEQ Figure \* ARABIC ">
        <w:r w:rsidR="004423BB">
          <w:rPr>
            <w:noProof/>
          </w:rPr>
          <w:t>10</w:t>
        </w:r>
      </w:fldSimple>
      <w:bookmarkEnd w:id="27"/>
    </w:p>
    <w:p w:rsidR="001302B4" w:rsidRDefault="00726E41" w:rsidP="00FA7532">
      <w:pPr>
        <w:jc w:val="both"/>
        <w:rPr>
          <w:highlight w:val="yellow"/>
        </w:rPr>
      </w:pPr>
      <w:r>
        <w:rPr>
          <w:noProof/>
        </w:rPr>
        <w:drawing>
          <wp:inline distT="0" distB="0" distL="0" distR="0" wp14:anchorId="660003C2">
            <wp:extent cx="6187368" cy="3991555"/>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0537" cy="4000051"/>
                    </a:xfrm>
                    <a:prstGeom prst="rect">
                      <a:avLst/>
                    </a:prstGeom>
                    <a:noFill/>
                  </pic:spPr>
                </pic:pic>
              </a:graphicData>
            </a:graphic>
          </wp:inline>
        </w:drawing>
      </w:r>
    </w:p>
    <w:p w:rsidR="004423BB" w:rsidRDefault="004423BB" w:rsidP="004423BB">
      <w:pPr>
        <w:rPr>
          <w:sz w:val="16"/>
        </w:rPr>
      </w:pPr>
      <w:r w:rsidRPr="00D50911">
        <w:rPr>
          <w:sz w:val="16"/>
        </w:rPr>
        <w:t>Source: Authors’ calculations</w:t>
      </w:r>
      <w:r>
        <w:rPr>
          <w:sz w:val="16"/>
        </w:rPr>
        <w:t xml:space="preserve"> based on World Bank Enterprise Survey data. </w:t>
      </w:r>
    </w:p>
    <w:p w:rsidR="00E8301A" w:rsidRDefault="00E8301A" w:rsidP="00FA7532">
      <w:pPr>
        <w:jc w:val="both"/>
      </w:pPr>
      <w:r>
        <w:t xml:space="preserve">However, as shown in </w:t>
      </w:r>
      <w:r>
        <w:fldChar w:fldCharType="begin"/>
      </w:r>
      <w:r>
        <w:instrText xml:space="preserve"> REF _Ref386729690 \h </w:instrText>
      </w:r>
      <w:r>
        <w:fldChar w:fldCharType="separate"/>
      </w:r>
      <w:r w:rsidR="004423BB">
        <w:t xml:space="preserve">Table </w:t>
      </w:r>
      <w:r w:rsidR="004423BB">
        <w:rPr>
          <w:noProof/>
        </w:rPr>
        <w:t>3</w:t>
      </w:r>
      <w:r>
        <w:fldChar w:fldCharType="end"/>
      </w:r>
      <w:r>
        <w:t xml:space="preserve">, firms in </w:t>
      </w:r>
      <w:r w:rsidR="002829BB">
        <w:t>the negatively affected</w:t>
      </w:r>
      <w:r>
        <w:t xml:space="preserve"> sectors, with the exception of Wood products, tend to be more profitable than the median manufacturing firms, and the changes in profitability are small enough for them to remain so even after the EPA. </w:t>
      </w:r>
      <w:r w:rsidR="002829BB">
        <w:t xml:space="preserve">Thus, even after losing some of their currently high levels of protection, it is unlikely that these firms would be compelled to reduce or even terminate their operations. </w:t>
      </w:r>
    </w:p>
    <w:p w:rsidR="00E8301A" w:rsidRDefault="00E8301A" w:rsidP="00FA7532">
      <w:pPr>
        <w:pStyle w:val="Caption"/>
        <w:keepNext/>
        <w:spacing w:line="276" w:lineRule="auto"/>
      </w:pPr>
      <w:bookmarkStart w:id="28" w:name="_Ref386729690"/>
      <w:r>
        <w:t xml:space="preserve">Table </w:t>
      </w:r>
      <w:fldSimple w:instr=" SEQ Table \* ARABIC ">
        <w:r w:rsidR="004423BB">
          <w:rPr>
            <w:noProof/>
          </w:rPr>
          <w:t>3</w:t>
        </w:r>
      </w:fldSimple>
      <w:bookmarkEnd w:id="28"/>
    </w:p>
    <w:tbl>
      <w:tblPr>
        <w:tblW w:w="7820" w:type="dxa"/>
        <w:jc w:val="center"/>
        <w:tblCellMar>
          <w:left w:w="0" w:type="dxa"/>
          <w:right w:w="0" w:type="dxa"/>
        </w:tblCellMar>
        <w:tblLook w:val="0600" w:firstRow="0" w:lastRow="0" w:firstColumn="0" w:lastColumn="0" w:noHBand="1" w:noVBand="1"/>
      </w:tblPr>
      <w:tblGrid>
        <w:gridCol w:w="3489"/>
        <w:gridCol w:w="658"/>
        <w:gridCol w:w="1317"/>
        <w:gridCol w:w="1158"/>
        <w:gridCol w:w="1198"/>
      </w:tblGrid>
      <w:tr w:rsidR="00E8301A" w:rsidRPr="00E8301A" w:rsidTr="00E8301A">
        <w:trPr>
          <w:trHeight w:val="300"/>
          <w:jc w:val="center"/>
        </w:trPr>
        <w:tc>
          <w:tcPr>
            <w:tcW w:w="7820" w:type="dxa"/>
            <w:gridSpan w:val="5"/>
            <w:tcBorders>
              <w:top w:val="single" w:sz="8" w:space="0" w:color="FFFFFF"/>
              <w:left w:val="single" w:sz="8" w:space="0" w:color="FFFFFF"/>
              <w:bottom w:val="single" w:sz="8" w:space="0" w:color="000000"/>
              <w:right w:val="single" w:sz="8" w:space="0" w:color="FFFFFF"/>
            </w:tcBorders>
            <w:shd w:val="clear" w:color="auto" w:fill="FFFFFF"/>
            <w:tcMar>
              <w:top w:w="15" w:type="dxa"/>
              <w:left w:w="15" w:type="dxa"/>
              <w:bottom w:w="0" w:type="dxa"/>
              <w:right w:w="15" w:type="dxa"/>
            </w:tcMar>
            <w:vAlign w:val="bottom"/>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b/>
                <w:bCs/>
                <w:color w:val="000000"/>
                <w:kern w:val="24"/>
                <w:sz w:val="16"/>
                <w:szCs w:val="16"/>
              </w:rPr>
              <w:t xml:space="preserve">Characteristics of firms in sectors most negatively affected by EPA </w:t>
            </w:r>
          </w:p>
        </w:tc>
      </w:tr>
      <w:tr w:rsidR="00E8301A" w:rsidRPr="00E8301A" w:rsidTr="00E8301A">
        <w:trPr>
          <w:trHeight w:val="721"/>
          <w:jc w:val="center"/>
        </w:trPr>
        <w:tc>
          <w:tcPr>
            <w:tcW w:w="3489" w:type="dxa"/>
            <w:tcBorders>
              <w:top w:val="single" w:sz="8" w:space="0" w:color="000000"/>
              <w:left w:val="single" w:sz="8" w:space="0" w:color="FFFFFF"/>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textAlignment w:val="bottom"/>
              <w:rPr>
                <w:rFonts w:ascii="Arial" w:eastAsia="Times New Roman" w:hAnsi="Arial" w:cs="Arial"/>
                <w:sz w:val="36"/>
                <w:szCs w:val="36"/>
              </w:rPr>
            </w:pPr>
            <w:r w:rsidRPr="00E8301A">
              <w:rPr>
                <w:rFonts w:ascii="Calibri" w:eastAsia="Times New Roman" w:hAnsi="Calibri" w:cs="Calibri"/>
                <w:b/>
                <w:bCs/>
                <w:color w:val="000000" w:themeColor="dark1"/>
                <w:kern w:val="24"/>
                <w:sz w:val="16"/>
                <w:szCs w:val="16"/>
              </w:rPr>
              <w:t>Sector Description</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b/>
                <w:bCs/>
                <w:color w:val="000000" w:themeColor="dark1"/>
                <w:kern w:val="24"/>
                <w:sz w:val="16"/>
                <w:szCs w:val="16"/>
              </w:rPr>
              <w:t>ISIC</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b/>
                <w:bCs/>
                <w:color w:val="000000" w:themeColor="dark1"/>
                <w:kern w:val="24"/>
                <w:sz w:val="16"/>
                <w:szCs w:val="16"/>
              </w:rPr>
              <w:t>Median firm # employees</w:t>
            </w:r>
          </w:p>
        </w:tc>
        <w:tc>
          <w:tcPr>
            <w:tcW w:w="11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b/>
                <w:bCs/>
                <w:color w:val="000000" w:themeColor="dark1"/>
                <w:kern w:val="24"/>
                <w:sz w:val="16"/>
                <w:szCs w:val="16"/>
              </w:rPr>
              <w:t>Median firm pre-reform profitability</w:t>
            </w:r>
          </w:p>
        </w:tc>
        <w:tc>
          <w:tcPr>
            <w:tcW w:w="1198" w:type="dxa"/>
            <w:tcBorders>
              <w:top w:val="single" w:sz="8" w:space="0" w:color="000000"/>
              <w:left w:val="single" w:sz="8" w:space="0" w:color="000000"/>
              <w:bottom w:val="single" w:sz="8" w:space="0" w:color="000000"/>
              <w:right w:val="single" w:sz="8" w:space="0" w:color="FFFFFF"/>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b/>
                <w:bCs/>
                <w:color w:val="000000" w:themeColor="dark1"/>
                <w:kern w:val="24"/>
                <w:sz w:val="16"/>
                <w:szCs w:val="16"/>
              </w:rPr>
              <w:t>Median firm change in profitability with EPA2035</w:t>
            </w:r>
          </w:p>
        </w:tc>
      </w:tr>
      <w:tr w:rsidR="00E8301A" w:rsidRPr="00E8301A" w:rsidTr="00E8301A">
        <w:trPr>
          <w:trHeight w:val="264"/>
          <w:jc w:val="center"/>
        </w:trPr>
        <w:tc>
          <w:tcPr>
            <w:tcW w:w="3489" w:type="dxa"/>
            <w:tcBorders>
              <w:top w:val="single" w:sz="8" w:space="0" w:color="000000"/>
              <w:left w:val="single" w:sz="8" w:space="0" w:color="FFFFFF"/>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textAlignment w:val="bottom"/>
              <w:rPr>
                <w:rFonts w:ascii="Arial" w:eastAsia="Times New Roman" w:hAnsi="Arial" w:cs="Arial"/>
                <w:sz w:val="36"/>
                <w:szCs w:val="36"/>
              </w:rPr>
            </w:pPr>
            <w:r w:rsidRPr="00E8301A">
              <w:rPr>
                <w:rFonts w:ascii="Calibri" w:eastAsia="Times New Roman" w:hAnsi="Calibri" w:cs="Calibri"/>
                <w:b/>
                <w:bCs/>
                <w:color w:val="000000" w:themeColor="dark1"/>
                <w:kern w:val="24"/>
                <w:sz w:val="16"/>
                <w:szCs w:val="16"/>
              </w:rPr>
              <w:t>Wood products</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20</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13</w:t>
            </w:r>
          </w:p>
        </w:tc>
        <w:tc>
          <w:tcPr>
            <w:tcW w:w="11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18.3%</w:t>
            </w:r>
          </w:p>
        </w:tc>
        <w:tc>
          <w:tcPr>
            <w:tcW w:w="1198" w:type="dxa"/>
            <w:tcBorders>
              <w:top w:val="single" w:sz="8" w:space="0" w:color="000000"/>
              <w:left w:val="single" w:sz="8" w:space="0" w:color="000000"/>
              <w:bottom w:val="single" w:sz="8" w:space="0" w:color="000000"/>
              <w:right w:val="single" w:sz="8" w:space="0" w:color="FFFFFF"/>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-1.5%</w:t>
            </w:r>
          </w:p>
        </w:tc>
      </w:tr>
      <w:tr w:rsidR="00E8301A" w:rsidRPr="00E8301A" w:rsidTr="00E8301A">
        <w:trPr>
          <w:trHeight w:val="264"/>
          <w:jc w:val="center"/>
        </w:trPr>
        <w:tc>
          <w:tcPr>
            <w:tcW w:w="3489" w:type="dxa"/>
            <w:tcBorders>
              <w:top w:val="single" w:sz="8" w:space="0" w:color="000000"/>
              <w:left w:val="single" w:sz="8" w:space="0" w:color="FFFFFF"/>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textAlignment w:val="bottom"/>
              <w:rPr>
                <w:rFonts w:ascii="Arial" w:eastAsia="Times New Roman" w:hAnsi="Arial" w:cs="Arial"/>
                <w:sz w:val="36"/>
                <w:szCs w:val="36"/>
              </w:rPr>
            </w:pPr>
            <w:r w:rsidRPr="00E8301A">
              <w:rPr>
                <w:rFonts w:ascii="Calibri" w:eastAsia="Times New Roman" w:hAnsi="Calibri" w:cs="Calibri"/>
                <w:b/>
                <w:bCs/>
                <w:color w:val="000000" w:themeColor="dark1"/>
                <w:kern w:val="24"/>
                <w:sz w:val="16"/>
                <w:szCs w:val="16"/>
              </w:rPr>
              <w:t>Non-metallic mineral products</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26</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12</w:t>
            </w:r>
          </w:p>
        </w:tc>
        <w:tc>
          <w:tcPr>
            <w:tcW w:w="11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26.8%</w:t>
            </w:r>
          </w:p>
        </w:tc>
        <w:tc>
          <w:tcPr>
            <w:tcW w:w="1198" w:type="dxa"/>
            <w:tcBorders>
              <w:top w:val="single" w:sz="8" w:space="0" w:color="000000"/>
              <w:left w:val="single" w:sz="8" w:space="0" w:color="000000"/>
              <w:bottom w:val="single" w:sz="8" w:space="0" w:color="000000"/>
              <w:right w:val="single" w:sz="8" w:space="0" w:color="FFFFFF"/>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-1.9%</w:t>
            </w:r>
          </w:p>
        </w:tc>
      </w:tr>
      <w:tr w:rsidR="00E8301A" w:rsidRPr="00E8301A" w:rsidTr="00E8301A">
        <w:trPr>
          <w:trHeight w:val="264"/>
          <w:jc w:val="center"/>
        </w:trPr>
        <w:tc>
          <w:tcPr>
            <w:tcW w:w="3489" w:type="dxa"/>
            <w:tcBorders>
              <w:top w:val="single" w:sz="8" w:space="0" w:color="000000"/>
              <w:left w:val="single" w:sz="8" w:space="0" w:color="FFFFFF"/>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textAlignment w:val="bottom"/>
              <w:rPr>
                <w:rFonts w:ascii="Arial" w:eastAsia="Times New Roman" w:hAnsi="Arial" w:cs="Arial"/>
                <w:sz w:val="36"/>
                <w:szCs w:val="36"/>
              </w:rPr>
            </w:pPr>
            <w:r w:rsidRPr="00E8301A">
              <w:rPr>
                <w:rFonts w:ascii="Calibri" w:eastAsia="Times New Roman" w:hAnsi="Calibri" w:cs="Calibri"/>
                <w:b/>
                <w:bCs/>
                <w:color w:val="000000" w:themeColor="dark1"/>
                <w:kern w:val="24"/>
                <w:sz w:val="16"/>
                <w:szCs w:val="16"/>
              </w:rPr>
              <w:t>Basic metals</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27</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11</w:t>
            </w:r>
          </w:p>
        </w:tc>
        <w:tc>
          <w:tcPr>
            <w:tcW w:w="11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24.2%</w:t>
            </w:r>
          </w:p>
        </w:tc>
        <w:tc>
          <w:tcPr>
            <w:tcW w:w="1198" w:type="dxa"/>
            <w:tcBorders>
              <w:top w:val="single" w:sz="8" w:space="0" w:color="000000"/>
              <w:left w:val="single" w:sz="8" w:space="0" w:color="000000"/>
              <w:bottom w:val="single" w:sz="8" w:space="0" w:color="000000"/>
              <w:right w:val="single" w:sz="8" w:space="0" w:color="FFFFFF"/>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-1.0%</w:t>
            </w:r>
          </w:p>
        </w:tc>
      </w:tr>
      <w:tr w:rsidR="00E8301A" w:rsidRPr="00E8301A" w:rsidTr="00E8301A">
        <w:trPr>
          <w:trHeight w:val="264"/>
          <w:jc w:val="center"/>
        </w:trPr>
        <w:tc>
          <w:tcPr>
            <w:tcW w:w="3489" w:type="dxa"/>
            <w:tcBorders>
              <w:top w:val="single" w:sz="8" w:space="0" w:color="000000"/>
              <w:left w:val="single" w:sz="8" w:space="0" w:color="FFFFFF"/>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textAlignment w:val="bottom"/>
              <w:rPr>
                <w:rFonts w:ascii="Arial" w:eastAsia="Times New Roman" w:hAnsi="Arial" w:cs="Arial"/>
                <w:sz w:val="36"/>
                <w:szCs w:val="36"/>
              </w:rPr>
            </w:pPr>
            <w:r w:rsidRPr="00E8301A">
              <w:rPr>
                <w:rFonts w:ascii="Calibri" w:eastAsia="Times New Roman" w:hAnsi="Calibri" w:cs="Calibri"/>
                <w:b/>
                <w:bCs/>
                <w:color w:val="000000" w:themeColor="dark1"/>
                <w:kern w:val="24"/>
                <w:sz w:val="16"/>
                <w:szCs w:val="16"/>
              </w:rPr>
              <w:lastRenderedPageBreak/>
              <w:t>Metal products other than machinery</w:t>
            </w:r>
          </w:p>
        </w:tc>
        <w:tc>
          <w:tcPr>
            <w:tcW w:w="6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28</w:t>
            </w:r>
          </w:p>
        </w:tc>
        <w:tc>
          <w:tcPr>
            <w:tcW w:w="13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9</w:t>
            </w:r>
          </w:p>
        </w:tc>
        <w:tc>
          <w:tcPr>
            <w:tcW w:w="11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25.9%</w:t>
            </w:r>
          </w:p>
        </w:tc>
        <w:tc>
          <w:tcPr>
            <w:tcW w:w="1198" w:type="dxa"/>
            <w:tcBorders>
              <w:top w:val="single" w:sz="8" w:space="0" w:color="000000"/>
              <w:left w:val="single" w:sz="8" w:space="0" w:color="000000"/>
              <w:bottom w:val="single" w:sz="8" w:space="0" w:color="000000"/>
              <w:right w:val="single" w:sz="8" w:space="0" w:color="FFFFFF"/>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-1.7%</w:t>
            </w:r>
          </w:p>
        </w:tc>
      </w:tr>
      <w:tr w:rsidR="00E8301A" w:rsidRPr="00E8301A" w:rsidTr="00E8301A">
        <w:trPr>
          <w:trHeight w:val="264"/>
          <w:jc w:val="center"/>
        </w:trPr>
        <w:tc>
          <w:tcPr>
            <w:tcW w:w="3489" w:type="dxa"/>
            <w:tcBorders>
              <w:top w:val="single" w:sz="8" w:space="0" w:color="000000"/>
              <w:left w:val="single" w:sz="8" w:space="0" w:color="FFFFFF"/>
              <w:bottom w:val="single" w:sz="8" w:space="0" w:color="FFFFFF"/>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textAlignment w:val="bottom"/>
              <w:rPr>
                <w:rFonts w:ascii="Arial" w:eastAsia="Times New Roman" w:hAnsi="Arial" w:cs="Arial"/>
                <w:sz w:val="36"/>
                <w:szCs w:val="36"/>
              </w:rPr>
            </w:pPr>
            <w:r w:rsidRPr="00E8301A">
              <w:rPr>
                <w:rFonts w:ascii="Calibri" w:eastAsia="Times New Roman" w:hAnsi="Calibri" w:cs="Calibri"/>
                <w:b/>
                <w:bCs/>
                <w:color w:val="000000" w:themeColor="dark1"/>
                <w:kern w:val="24"/>
                <w:sz w:val="16"/>
                <w:szCs w:val="16"/>
              </w:rPr>
              <w:t>All sectors</w:t>
            </w:r>
          </w:p>
        </w:tc>
        <w:tc>
          <w:tcPr>
            <w:tcW w:w="658" w:type="dxa"/>
            <w:tcBorders>
              <w:top w:val="single" w:sz="8" w:space="0" w:color="000000"/>
              <w:left w:val="single" w:sz="8" w:space="0" w:color="000000"/>
              <w:bottom w:val="single" w:sz="8" w:space="0" w:color="FFFFFF"/>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rPr>
                <w:rFonts w:ascii="Arial" w:eastAsia="Times New Roman" w:hAnsi="Arial" w:cs="Arial"/>
                <w:sz w:val="26"/>
                <w:szCs w:val="36"/>
              </w:rPr>
            </w:pPr>
          </w:p>
        </w:tc>
        <w:tc>
          <w:tcPr>
            <w:tcW w:w="1317" w:type="dxa"/>
            <w:tcBorders>
              <w:top w:val="single" w:sz="8" w:space="0" w:color="000000"/>
              <w:left w:val="single" w:sz="8" w:space="0" w:color="000000"/>
              <w:bottom w:val="single" w:sz="8" w:space="0" w:color="FFFFFF"/>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11</w:t>
            </w:r>
          </w:p>
        </w:tc>
        <w:tc>
          <w:tcPr>
            <w:tcW w:w="1158" w:type="dxa"/>
            <w:tcBorders>
              <w:top w:val="single" w:sz="8" w:space="0" w:color="000000"/>
              <w:left w:val="single" w:sz="8" w:space="0" w:color="000000"/>
              <w:bottom w:val="single" w:sz="8" w:space="0" w:color="FFFFFF"/>
              <w:right w:val="single" w:sz="8" w:space="0" w:color="000000"/>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21.1%</w:t>
            </w:r>
          </w:p>
        </w:tc>
        <w:tc>
          <w:tcPr>
            <w:tcW w:w="1198" w:type="dxa"/>
            <w:tcBorders>
              <w:top w:val="single" w:sz="8" w:space="0" w:color="000000"/>
              <w:left w:val="single" w:sz="8" w:space="0" w:color="000000"/>
              <w:bottom w:val="single" w:sz="8" w:space="0" w:color="FFFFFF"/>
              <w:right w:val="single" w:sz="8" w:space="0" w:color="FFFFFF"/>
            </w:tcBorders>
            <w:shd w:val="clear" w:color="auto" w:fill="FFFFFF"/>
            <w:tcMar>
              <w:top w:w="15" w:type="dxa"/>
              <w:left w:w="15" w:type="dxa"/>
              <w:bottom w:w="0" w:type="dxa"/>
              <w:right w:w="15" w:type="dxa"/>
            </w:tcMar>
            <w:vAlign w:val="center"/>
            <w:hideMark/>
          </w:tcPr>
          <w:p w:rsidR="00E8301A" w:rsidRPr="00E8301A" w:rsidRDefault="00E8301A" w:rsidP="00FA7532">
            <w:pPr>
              <w:jc w:val="center"/>
              <w:textAlignment w:val="bottom"/>
              <w:rPr>
                <w:rFonts w:ascii="Arial" w:eastAsia="Times New Roman" w:hAnsi="Arial" w:cs="Arial"/>
                <w:sz w:val="36"/>
                <w:szCs w:val="36"/>
              </w:rPr>
            </w:pPr>
            <w:r w:rsidRPr="00E8301A">
              <w:rPr>
                <w:rFonts w:ascii="Calibri" w:eastAsia="Times New Roman" w:hAnsi="Calibri" w:cs="Calibri"/>
                <w:color w:val="000000" w:themeColor="dark1"/>
                <w:kern w:val="24"/>
                <w:sz w:val="16"/>
                <w:szCs w:val="16"/>
              </w:rPr>
              <w:t>0.3%</w:t>
            </w:r>
          </w:p>
        </w:tc>
      </w:tr>
    </w:tbl>
    <w:p w:rsidR="004423BB" w:rsidRDefault="004423BB" w:rsidP="004423BB">
      <w:pPr>
        <w:rPr>
          <w:sz w:val="16"/>
        </w:rPr>
      </w:pPr>
      <w:bookmarkStart w:id="29" w:name="_Ref386729412"/>
      <w:r w:rsidRPr="00D50911">
        <w:rPr>
          <w:sz w:val="16"/>
        </w:rPr>
        <w:t>Source: Authors’ calculations</w:t>
      </w:r>
      <w:r>
        <w:rPr>
          <w:sz w:val="16"/>
        </w:rPr>
        <w:t xml:space="preserve"> based on World Bank Enterprise Survey data. </w:t>
      </w:r>
    </w:p>
    <w:p w:rsidR="009B7592" w:rsidRDefault="009B7592" w:rsidP="009B7592">
      <w:pPr>
        <w:autoSpaceDE w:val="0"/>
        <w:autoSpaceDN w:val="0"/>
        <w:adjustRightInd w:val="0"/>
        <w:spacing w:after="0" w:line="240" w:lineRule="auto"/>
      </w:pPr>
    </w:p>
    <w:p w:rsidR="009B7592" w:rsidRDefault="009B7592" w:rsidP="009B7592">
      <w:pPr>
        <w:autoSpaceDE w:val="0"/>
        <w:autoSpaceDN w:val="0"/>
        <w:adjustRightInd w:val="0"/>
        <w:spacing w:after="0" w:line="240" w:lineRule="auto"/>
        <w:jc w:val="both"/>
      </w:pPr>
      <w:r w:rsidRPr="009B7592">
        <w:t>Given Nigeria</w:t>
      </w:r>
      <w:r>
        <w:t>’</w:t>
      </w:r>
      <w:r w:rsidRPr="009B7592">
        <w:t>s vast territory and federal structure, the geographic dimension of the reform</w:t>
      </w:r>
      <w:r>
        <w:t>’s</w:t>
      </w:r>
      <w:r w:rsidRPr="009B7592">
        <w:t xml:space="preserve"> impact is</w:t>
      </w:r>
      <w:r>
        <w:t xml:space="preserve"> </w:t>
      </w:r>
      <w:r w:rsidRPr="009B7592">
        <w:t>also relevant. To the extent that gains and losses are distributed very unevenly, they could</w:t>
      </w:r>
      <w:r>
        <w:t xml:space="preserve"> </w:t>
      </w:r>
      <w:r w:rsidRPr="009B7592">
        <w:t>contribute to inequality across states. This could impose rigidity in terms of the ability of the labor</w:t>
      </w:r>
      <w:r>
        <w:t xml:space="preserve"> </w:t>
      </w:r>
      <w:r w:rsidRPr="009B7592">
        <w:t>market to adjust to the shock and create pressure for internal migration with potentially adverse social</w:t>
      </w:r>
      <w:r>
        <w:t xml:space="preserve"> </w:t>
      </w:r>
      <w:r w:rsidRPr="009B7592">
        <w:t xml:space="preserve">consequences. </w:t>
      </w:r>
      <w:r>
        <w:fldChar w:fldCharType="begin"/>
      </w:r>
      <w:r>
        <w:instrText xml:space="preserve"> REF _Ref396740723 \h </w:instrText>
      </w:r>
      <w:r>
        <w:fldChar w:fldCharType="separate"/>
      </w:r>
      <w:r w:rsidR="004423BB">
        <w:t xml:space="preserve">Figure </w:t>
      </w:r>
      <w:r w:rsidR="004423BB">
        <w:rPr>
          <w:noProof/>
        </w:rPr>
        <w:t>11</w:t>
      </w:r>
      <w:r>
        <w:fldChar w:fldCharType="end"/>
      </w:r>
      <w:r>
        <w:t xml:space="preserve"> therefore breaks down the firm level results by the region in which a firm is located. The results are reassuring in the sense that there do not appear to be strong regional discrepancies in terms of the expected impact of the EPA, with the (employment weighted) majority of firms benefiting in all regions. The main differences are shown to be in the share of exporting firms, with the North Central and, to a lesser extent, South West region home to much more export related employment than other parts of the country. </w:t>
      </w:r>
    </w:p>
    <w:p w:rsidR="009B7592" w:rsidRPr="009B7592" w:rsidRDefault="009B7592" w:rsidP="009B7592">
      <w:pPr>
        <w:autoSpaceDE w:val="0"/>
        <w:autoSpaceDN w:val="0"/>
        <w:adjustRightInd w:val="0"/>
        <w:spacing w:after="0" w:line="240" w:lineRule="auto"/>
        <w:jc w:val="both"/>
      </w:pPr>
    </w:p>
    <w:p w:rsidR="009B7592" w:rsidRDefault="009B7592" w:rsidP="009B7592">
      <w:pPr>
        <w:pStyle w:val="Caption"/>
        <w:keepNext/>
      </w:pPr>
      <w:bookmarkStart w:id="30" w:name="_Ref396740723"/>
      <w:r>
        <w:t xml:space="preserve">Figure </w:t>
      </w:r>
      <w:fldSimple w:instr=" SEQ Figure \* ARABIC ">
        <w:r w:rsidR="004423BB">
          <w:rPr>
            <w:noProof/>
          </w:rPr>
          <w:t>11</w:t>
        </w:r>
      </w:fldSimple>
      <w:bookmarkEnd w:id="30"/>
    </w:p>
    <w:p w:rsidR="00D6496B" w:rsidRDefault="009B7592" w:rsidP="009B7592">
      <w:pPr>
        <w:spacing w:after="0"/>
        <w:jc w:val="center"/>
        <w:rPr>
          <w:sz w:val="16"/>
        </w:rPr>
      </w:pPr>
      <w:r>
        <w:rPr>
          <w:noProof/>
          <w:sz w:val="16"/>
        </w:rPr>
        <w:drawing>
          <wp:inline distT="0" distB="0" distL="0" distR="0" wp14:anchorId="0CCFC52D" wp14:editId="19CC1868">
            <wp:extent cx="5546581" cy="3403158"/>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7245" cy="3403565"/>
                    </a:xfrm>
                    <a:prstGeom prst="rect">
                      <a:avLst/>
                    </a:prstGeom>
                    <a:noFill/>
                  </pic:spPr>
                </pic:pic>
              </a:graphicData>
            </a:graphic>
          </wp:inline>
        </w:drawing>
      </w:r>
    </w:p>
    <w:p w:rsidR="00FC7337" w:rsidRDefault="00FC7337" w:rsidP="00FC7337">
      <w:pPr>
        <w:rPr>
          <w:sz w:val="16"/>
        </w:rPr>
      </w:pPr>
      <w:r w:rsidRPr="00D50911">
        <w:rPr>
          <w:sz w:val="16"/>
        </w:rPr>
        <w:t>Source: Authors’ calculations</w:t>
      </w:r>
      <w:r>
        <w:rPr>
          <w:sz w:val="16"/>
        </w:rPr>
        <w:t xml:space="preserve"> based on World Bank Enterprise Survey data. </w:t>
      </w:r>
    </w:p>
    <w:p w:rsidR="00FF1F82" w:rsidRPr="00FF1F82" w:rsidRDefault="00FF1F82" w:rsidP="00FF1F82">
      <w:pPr>
        <w:jc w:val="both"/>
      </w:pPr>
      <w:r w:rsidRPr="00FF1F82">
        <w:t xml:space="preserve">Finally, </w:t>
      </w:r>
      <w:r>
        <w:t xml:space="preserve">due to their importance for income and job generation in particular for low income households, it is also important to assess separately the effect of the trade shock on small and medium </w:t>
      </w:r>
      <w:r w:rsidR="00B7056F">
        <w:t xml:space="preserve">sized </w:t>
      </w:r>
      <w:r>
        <w:t>enterprises (</w:t>
      </w:r>
      <w:r>
        <w:fldChar w:fldCharType="begin"/>
      </w:r>
      <w:r>
        <w:instrText xml:space="preserve"> REF _Ref396749085 \h  \* MERGEFORMAT </w:instrText>
      </w:r>
      <w:r>
        <w:fldChar w:fldCharType="separate"/>
      </w:r>
      <w:r w:rsidR="004423BB">
        <w:t xml:space="preserve">Figure </w:t>
      </w:r>
      <w:r w:rsidR="004423BB">
        <w:rPr>
          <w:noProof/>
        </w:rPr>
        <w:t>12</w:t>
      </w:r>
      <w:r>
        <w:fldChar w:fldCharType="end"/>
      </w:r>
      <w:r>
        <w:t xml:space="preserve">). </w:t>
      </w:r>
      <w:proofErr w:type="gramStart"/>
      <w:r>
        <w:t>While their share among negatively affected firms is slightly higher than for large firms, this finding is mainly explained by the higher prevalence of exporters among larger firms.</w:t>
      </w:r>
      <w:proofErr w:type="gramEnd"/>
      <w:r>
        <w:t xml:space="preserve"> Overall, the expected impact of the EPA is positive for most jobs in small and medium sized enterprises. </w:t>
      </w:r>
    </w:p>
    <w:p w:rsidR="009B7592" w:rsidRDefault="009B7592" w:rsidP="009B7592">
      <w:pPr>
        <w:jc w:val="center"/>
        <w:rPr>
          <w:sz w:val="16"/>
        </w:rPr>
      </w:pPr>
    </w:p>
    <w:p w:rsidR="00FF1F82" w:rsidRDefault="00FF1F82" w:rsidP="009B7592">
      <w:pPr>
        <w:jc w:val="center"/>
        <w:rPr>
          <w:sz w:val="16"/>
        </w:rPr>
      </w:pPr>
    </w:p>
    <w:p w:rsidR="00FF1F82" w:rsidRDefault="00FF1F82" w:rsidP="00FF1F82">
      <w:pPr>
        <w:pStyle w:val="Caption"/>
        <w:keepNext/>
      </w:pPr>
      <w:bookmarkStart w:id="31" w:name="_Ref396749085"/>
      <w:r>
        <w:t xml:space="preserve">Figure </w:t>
      </w:r>
      <w:fldSimple w:instr=" SEQ Figure \* ARABIC ">
        <w:r w:rsidR="004423BB">
          <w:rPr>
            <w:noProof/>
          </w:rPr>
          <w:t>12</w:t>
        </w:r>
      </w:fldSimple>
      <w:bookmarkEnd w:id="31"/>
    </w:p>
    <w:p w:rsidR="00FF1F82" w:rsidRDefault="00FF1F82" w:rsidP="00FF1F82">
      <w:pPr>
        <w:rPr>
          <w:sz w:val="16"/>
        </w:rPr>
      </w:pPr>
      <w:r>
        <w:rPr>
          <w:noProof/>
          <w:sz w:val="16"/>
        </w:rPr>
        <w:drawing>
          <wp:inline distT="0" distB="0" distL="0" distR="0" wp14:anchorId="45D10514" wp14:editId="7EBCAC0D">
            <wp:extent cx="4697910" cy="324413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7399" cy="3243779"/>
                    </a:xfrm>
                    <a:prstGeom prst="rect">
                      <a:avLst/>
                    </a:prstGeom>
                    <a:noFill/>
                  </pic:spPr>
                </pic:pic>
              </a:graphicData>
            </a:graphic>
          </wp:inline>
        </w:drawing>
      </w:r>
    </w:p>
    <w:p w:rsidR="00FC7337" w:rsidRDefault="00FC7337" w:rsidP="00FC7337">
      <w:pPr>
        <w:rPr>
          <w:sz w:val="16"/>
        </w:rPr>
      </w:pPr>
      <w:r w:rsidRPr="00D50911">
        <w:rPr>
          <w:sz w:val="16"/>
        </w:rPr>
        <w:t>Source: Authors’ calculations</w:t>
      </w:r>
      <w:r>
        <w:rPr>
          <w:sz w:val="16"/>
        </w:rPr>
        <w:t xml:space="preserve"> based on World Bank Enterprise Survey data. </w:t>
      </w:r>
    </w:p>
    <w:p w:rsidR="00FC7337" w:rsidRDefault="00FC7337" w:rsidP="00FF1F82">
      <w:pPr>
        <w:rPr>
          <w:sz w:val="16"/>
        </w:rPr>
      </w:pPr>
    </w:p>
    <w:p w:rsidR="00325248" w:rsidRDefault="00325248" w:rsidP="00FF1F82">
      <w:pPr>
        <w:rPr>
          <w:sz w:val="16"/>
        </w:rPr>
      </w:pPr>
    </w:p>
    <w:p w:rsidR="00B71E96" w:rsidRDefault="003A1137" w:rsidP="00F4423C">
      <w:pPr>
        <w:pStyle w:val="Heading2"/>
        <w:numPr>
          <w:ilvl w:val="1"/>
          <w:numId w:val="36"/>
        </w:numPr>
      </w:pPr>
      <w:bookmarkStart w:id="32" w:name="_Toc399860643"/>
      <w:r>
        <w:t>Dynamic adjustment of firms to the EPA</w:t>
      </w:r>
      <w:bookmarkEnd w:id="32"/>
    </w:p>
    <w:p w:rsidR="00954FC5" w:rsidRPr="00E563B0" w:rsidRDefault="00B54820" w:rsidP="00B54820">
      <w:pPr>
        <w:jc w:val="both"/>
      </w:pPr>
      <w:r w:rsidRPr="00E563B0">
        <w:t>All firm results presented in the previous section</w:t>
      </w:r>
      <w:r w:rsidR="00954FC5" w:rsidRPr="00E563B0">
        <w:t>s</w:t>
      </w:r>
      <w:r w:rsidRPr="00E563B0">
        <w:t xml:space="preserve"> are static effects where the impact of a price shock on firms at their current level of output and use of inputs, capital, labor, etc. is analyzed. The key metric of all these discussions is thus the expected change in firms’ profit levels when the EPA is implemented. The advantage of these results is that they can be derived through simple and transparent means, and do not strongly depend on underlying assumptions. And while they are short term, static effects in nature, they do give a relevant indication of the direct effects of the trade shock that are not just </w:t>
      </w:r>
      <w:r w:rsidR="00E563B0">
        <w:t>relevant</w:t>
      </w:r>
      <w:r w:rsidRPr="00E563B0">
        <w:t xml:space="preserve"> in their own right, but would also be the trigger for any dynamic or second order effects. </w:t>
      </w:r>
    </w:p>
    <w:p w:rsidR="00B54820" w:rsidRPr="00E563B0" w:rsidRDefault="00B54820" w:rsidP="00B54820">
      <w:pPr>
        <w:jc w:val="both"/>
      </w:pPr>
      <w:r w:rsidRPr="00E563B0">
        <w:t>However, the exact nature of such dynamic effects depends not just on the triggering trade shock, but also on a number of other factors that firms take into account when adjusting their production technology and output level to new prices, or even entering or leaving the market. Modeling such effects is challenging, and would require a much more complex modelling effort and stronger assumptions that would be at odds with the key intention of th</w:t>
      </w:r>
      <w:r w:rsidR="00954FC5" w:rsidRPr="00E563B0">
        <w:t>is</w:t>
      </w:r>
      <w:r w:rsidRPr="00E563B0">
        <w:t xml:space="preserve"> report to derive results that are not driven by underlying assumptions, but primarily by the data. </w:t>
      </w:r>
      <w:r w:rsidR="00954FC5" w:rsidRPr="00E563B0">
        <w:t xml:space="preserve">However, this section discusses in qualitative terms the likely nature and direction of dynamic effects. </w:t>
      </w:r>
    </w:p>
    <w:p w:rsidR="00F871BA" w:rsidRPr="00E563B0" w:rsidRDefault="00F871BA" w:rsidP="00B54820">
      <w:pPr>
        <w:jc w:val="both"/>
      </w:pPr>
      <w:r w:rsidRPr="00E563B0">
        <w:lastRenderedPageBreak/>
        <w:t xml:space="preserve">One might distinguish </w:t>
      </w:r>
      <w:r w:rsidR="00FB5204" w:rsidRPr="00E563B0">
        <w:t>four</w:t>
      </w:r>
      <w:r w:rsidRPr="00E563B0">
        <w:t xml:space="preserve"> different types of dynamic effects: First, firm level adjustment of production technology to changes in the prices of inputs and capital goods. Second, </w:t>
      </w:r>
      <w:r w:rsidR="00FB5204" w:rsidRPr="00E563B0">
        <w:t xml:space="preserve">the reallocation of productive resources across sectors following a trade induced change in relative prices, whether through entry and exit of firms or the adjustment of production levels by existing firms. Third, the reallocation of resources across firms within a given sector following a market opening that leads to increased competition. And fourth, macroeconomic repercussions of the trade shock, in particular through the exchange rate channel.  </w:t>
      </w:r>
    </w:p>
    <w:p w:rsidR="00D6412F" w:rsidRPr="00E563B0" w:rsidRDefault="00D6412F" w:rsidP="00D6412F">
      <w:pPr>
        <w:jc w:val="both"/>
        <w:rPr>
          <w:noProof/>
        </w:rPr>
      </w:pPr>
      <w:r w:rsidRPr="00E563B0">
        <w:t>The first type of dynamic effects, adjustment of production technology in response to price changes on inputs and capital goods, is likely to be unambiguously positive at the firm level. A firm that adjusts its production technology in a profit maximizing way will be able to extract additional benefits from lower prices on capital goods and inputs by using them more intensively in the production process.</w:t>
      </w:r>
      <w:r w:rsidR="00FC7337" w:rsidRPr="00E563B0">
        <w:t xml:space="preserve"> More importantly</w:t>
      </w:r>
      <w:r w:rsidR="00162694" w:rsidRPr="00E563B0">
        <w:t xml:space="preserve">, there is solid empirical evidence that easier access to a greater variety of imported inputs and capital goods over time helps firms to increase their productivity. For instance, </w:t>
      </w:r>
      <w:proofErr w:type="spellStart"/>
      <w:r w:rsidR="00162694" w:rsidRPr="00E563B0">
        <w:t>Amiti</w:t>
      </w:r>
      <w:proofErr w:type="spellEnd"/>
      <w:r w:rsidR="00162694" w:rsidRPr="00E563B0">
        <w:t xml:space="preserve"> and </w:t>
      </w:r>
      <w:proofErr w:type="spellStart"/>
      <w:r w:rsidR="00162694" w:rsidRPr="00E563B0">
        <w:t>Konings</w:t>
      </w:r>
      <w:proofErr w:type="spellEnd"/>
      <w:r w:rsidR="00162694" w:rsidRPr="00E563B0">
        <w:t xml:space="preserve"> (2007) show that tariff reductions on inputs lead to productivity increases at the plant level through learning, variety and quality effects. </w:t>
      </w:r>
      <w:r w:rsidRPr="00E563B0">
        <w:t xml:space="preserve">(Eaton and </w:t>
      </w:r>
      <w:proofErr w:type="spellStart"/>
      <w:r w:rsidRPr="00E563B0">
        <w:t>Kortum</w:t>
      </w:r>
      <w:proofErr w:type="spellEnd"/>
      <w:r w:rsidRPr="00E563B0">
        <w:t xml:space="preserve"> 2001) find that 25 percent of cross-country differences in productivity can be attributed to price differences for </w:t>
      </w:r>
      <w:r w:rsidR="00162694" w:rsidRPr="00E563B0">
        <w:t>capital goods</w:t>
      </w:r>
      <w:r w:rsidRPr="00E563B0">
        <w:t xml:space="preserve">, and that about half of these price differences are caused by trade barriers. In the same vein, </w:t>
      </w:r>
      <w:r w:rsidRPr="00E563B0">
        <w:rPr>
          <w:noProof/>
        </w:rPr>
        <w:t xml:space="preserve">Estevadeordal and Taylor (2008) find that lower tariffs on capital equipment </w:t>
      </w:r>
      <w:r w:rsidR="00162694" w:rsidRPr="00E563B0">
        <w:rPr>
          <w:noProof/>
        </w:rPr>
        <w:t>i</w:t>
      </w:r>
      <w:r w:rsidRPr="00E563B0">
        <w:rPr>
          <w:noProof/>
        </w:rPr>
        <w:t>ntemediate inputs lead to higher economic growth.</w:t>
      </w:r>
    </w:p>
    <w:p w:rsidR="00FC7337" w:rsidRPr="00E563B0" w:rsidRDefault="00FC7337" w:rsidP="00954FC5">
      <w:pPr>
        <w:jc w:val="both"/>
      </w:pPr>
      <w:r w:rsidRPr="00E563B0">
        <w:t xml:space="preserve">The strength of the second effect, the reallocation of resources across sectors, is likely to depend on the relative magnitude of the trade shock. As shown in </w:t>
      </w:r>
      <w:r w:rsidRPr="00E563B0">
        <w:fldChar w:fldCharType="begin"/>
      </w:r>
      <w:r w:rsidRPr="00E563B0">
        <w:instrText xml:space="preserve"> REF _Ref399331982 \h </w:instrText>
      </w:r>
      <w:r w:rsidR="00AA1CE2" w:rsidRPr="00E563B0">
        <w:instrText xml:space="preserve"> \* MERGEFORMAT </w:instrText>
      </w:r>
      <w:r w:rsidRPr="00E563B0">
        <w:fldChar w:fldCharType="separate"/>
      </w:r>
      <w:r w:rsidR="004423BB" w:rsidRPr="00E563B0">
        <w:t xml:space="preserve">Figure </w:t>
      </w:r>
      <w:r w:rsidR="004423BB" w:rsidRPr="00E563B0">
        <w:rPr>
          <w:noProof/>
        </w:rPr>
        <w:t>13</w:t>
      </w:r>
      <w:r w:rsidRPr="00E563B0">
        <w:fldChar w:fldCharType="end"/>
      </w:r>
      <w:r w:rsidRPr="00E563B0">
        <w:t xml:space="preserve">, the changes in profit levels caused by the EPA even for the most affected sectors is relatively small compared to overall profit levels as well as the pre-existing differences across sectors. These figures suggest </w:t>
      </w:r>
      <w:r w:rsidR="00E563B0">
        <w:t xml:space="preserve">that </w:t>
      </w:r>
      <w:r w:rsidRPr="00E563B0">
        <w:t>it is not likely that the EPA by itself will trigger significant reallocation of resources from one sector to another.</w:t>
      </w:r>
    </w:p>
    <w:p w:rsidR="004423BB" w:rsidRPr="00E563B0" w:rsidRDefault="004423BB" w:rsidP="00954FC5">
      <w:pPr>
        <w:jc w:val="both"/>
      </w:pPr>
      <w:r w:rsidRPr="00E563B0">
        <w:fldChar w:fldCharType="begin"/>
      </w:r>
      <w:r w:rsidRPr="00E563B0">
        <w:instrText xml:space="preserve"> REF _Ref399331982 \h </w:instrText>
      </w:r>
      <w:r w:rsidR="00AA1CE2" w:rsidRPr="00E563B0">
        <w:instrText xml:space="preserve"> \* MERGEFORMAT </w:instrText>
      </w:r>
      <w:r w:rsidRPr="00E563B0">
        <w:fldChar w:fldCharType="separate"/>
      </w:r>
      <w:r w:rsidRPr="00E563B0">
        <w:t xml:space="preserve">Figure </w:t>
      </w:r>
      <w:r w:rsidRPr="00E563B0">
        <w:rPr>
          <w:noProof/>
        </w:rPr>
        <w:t>13</w:t>
      </w:r>
      <w:r w:rsidRPr="00E563B0">
        <w:fldChar w:fldCharType="end"/>
      </w:r>
      <w:r w:rsidRPr="00E563B0">
        <w:t xml:space="preserve"> also shows that within sectors, there are very large differences in the profit levels of individual firms. This observation is consistent with heterogeneous firm models of international trade, such as the one proposed by </w:t>
      </w:r>
      <w:proofErr w:type="spellStart"/>
      <w:r w:rsidRPr="00E563B0">
        <w:t>Melitz</w:t>
      </w:r>
      <w:proofErr w:type="spellEnd"/>
      <w:r w:rsidRPr="00E563B0">
        <w:t xml:space="preserve"> (</w:t>
      </w:r>
      <w:r w:rsidR="00B65CBC" w:rsidRPr="00E563B0">
        <w:t xml:space="preserve">2003). Trade liberalization can lead to a lowering of the minimum productivity level below which firms are no longer able to profitably compete in the market, prompting the least profitable firms to exit the market while the most profitable ones tend to expand. The substantial degree of firm heterogeneity shown in </w:t>
      </w:r>
      <w:r w:rsidR="00B65CBC" w:rsidRPr="00E563B0">
        <w:fldChar w:fldCharType="begin"/>
      </w:r>
      <w:r w:rsidR="00B65CBC" w:rsidRPr="00E563B0">
        <w:instrText xml:space="preserve"> REF _Ref399331982 \h </w:instrText>
      </w:r>
      <w:r w:rsidR="00AA1CE2" w:rsidRPr="00E563B0">
        <w:instrText xml:space="preserve"> \* MERGEFORMAT </w:instrText>
      </w:r>
      <w:r w:rsidR="00B65CBC" w:rsidRPr="00E563B0">
        <w:fldChar w:fldCharType="separate"/>
      </w:r>
      <w:r w:rsidR="00B65CBC" w:rsidRPr="00E563B0">
        <w:t xml:space="preserve">Figure </w:t>
      </w:r>
      <w:r w:rsidR="00B65CBC" w:rsidRPr="00E563B0">
        <w:rPr>
          <w:noProof/>
        </w:rPr>
        <w:t>13</w:t>
      </w:r>
      <w:r w:rsidR="00B65CBC" w:rsidRPr="00E563B0">
        <w:fldChar w:fldCharType="end"/>
      </w:r>
      <w:r w:rsidR="00B65CBC" w:rsidRPr="00E563B0">
        <w:t xml:space="preserve"> suggests that there would be ample room for such </w:t>
      </w:r>
      <w:r w:rsidR="00E563B0">
        <w:t>across-</w:t>
      </w:r>
      <w:r w:rsidR="00B65CBC" w:rsidRPr="00E563B0">
        <w:t xml:space="preserve">firm reallocation. Despite the fact that the trade effect is small, a more open and competitive market might therefore give rise to such </w:t>
      </w:r>
      <w:r w:rsidR="00E563B0">
        <w:t>reallocation,</w:t>
      </w:r>
      <w:r w:rsidR="00B65CBC" w:rsidRPr="00E563B0">
        <w:t xml:space="preserve"> which ha</w:t>
      </w:r>
      <w:r w:rsidR="00E563B0">
        <w:t>s</w:t>
      </w:r>
      <w:r w:rsidR="00B65CBC" w:rsidRPr="00E563B0">
        <w:t xml:space="preserve"> ambiguous effects on individual firms, but unambiguously raise</w:t>
      </w:r>
      <w:r w:rsidR="00E563B0">
        <w:t>s</w:t>
      </w:r>
      <w:r w:rsidR="00B65CBC" w:rsidRPr="00E563B0">
        <w:t xml:space="preserve"> average productivity by moving resources from less to more productive firms.</w:t>
      </w:r>
    </w:p>
    <w:p w:rsidR="00FC7337" w:rsidRPr="00E563B0" w:rsidRDefault="00FC7337" w:rsidP="00FC7337">
      <w:pPr>
        <w:pStyle w:val="Caption"/>
        <w:keepNext/>
        <w:jc w:val="both"/>
      </w:pPr>
      <w:bookmarkStart w:id="33" w:name="_Ref399331982"/>
      <w:r w:rsidRPr="00E563B0">
        <w:lastRenderedPageBreak/>
        <w:t xml:space="preserve">Figure </w:t>
      </w:r>
      <w:fldSimple w:instr=" SEQ Figure \* ARABIC ">
        <w:r w:rsidR="004423BB" w:rsidRPr="00E563B0">
          <w:rPr>
            <w:noProof/>
          </w:rPr>
          <w:t>13</w:t>
        </w:r>
      </w:fldSimple>
      <w:bookmarkEnd w:id="33"/>
    </w:p>
    <w:p w:rsidR="00FC7337" w:rsidRPr="00E563B0" w:rsidRDefault="00FC7337" w:rsidP="00954FC5">
      <w:pPr>
        <w:jc w:val="both"/>
      </w:pPr>
      <w:r w:rsidRPr="00E563B0">
        <w:rPr>
          <w:noProof/>
        </w:rPr>
        <w:drawing>
          <wp:inline distT="0" distB="0" distL="0" distR="0" wp14:anchorId="4EAD3A5B" wp14:editId="66A4A3A7">
            <wp:extent cx="6036755" cy="4723074"/>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9196" cy="4724984"/>
                    </a:xfrm>
                    <a:prstGeom prst="rect">
                      <a:avLst/>
                    </a:prstGeom>
                    <a:noFill/>
                  </pic:spPr>
                </pic:pic>
              </a:graphicData>
            </a:graphic>
          </wp:inline>
        </w:drawing>
      </w:r>
    </w:p>
    <w:p w:rsidR="00C94169" w:rsidRPr="00E563B0" w:rsidRDefault="00FC7337" w:rsidP="00954FC5">
      <w:pPr>
        <w:jc w:val="both"/>
        <w:rPr>
          <w:sz w:val="16"/>
        </w:rPr>
      </w:pPr>
      <w:r w:rsidRPr="00E563B0">
        <w:rPr>
          <w:sz w:val="16"/>
        </w:rPr>
        <w:t xml:space="preserve">Source: Authors’ calculation based on World Bank  </w:t>
      </w:r>
    </w:p>
    <w:p w:rsidR="00687D93" w:rsidRDefault="008758C8" w:rsidP="00954FC5">
      <w:pPr>
        <w:jc w:val="both"/>
      </w:pPr>
      <w:r w:rsidRPr="00E563B0">
        <w:t>Fourth, the potential m</w:t>
      </w:r>
      <w:r w:rsidR="00687D93" w:rsidRPr="00E563B0">
        <w:t>acroeconomic repercussions</w:t>
      </w:r>
      <w:r w:rsidRPr="00E563B0">
        <w:t xml:space="preserve"> of the EPA are </w:t>
      </w:r>
      <w:r w:rsidR="00687D93" w:rsidRPr="00E563B0">
        <w:t xml:space="preserve">less clear cut. Perhaps the most relevant channels of impact are through fiscal revenues and the real exchange rate. The direct effect of the EPA on fiscal revenue is discussed in section 4.1., but macroeconomic repercussions on investment, growth and fiscal sustainability will strongly depend on whether the government is able to compensate </w:t>
      </w:r>
      <w:r w:rsidR="00834C50">
        <w:t xml:space="preserve">revenue </w:t>
      </w:r>
      <w:r w:rsidR="00687D93" w:rsidRPr="00E563B0">
        <w:t>losses from other sources, or mitigate them by increasing the efficiency of public spending. The real exchange rate channel may partially mute both positive and negative effects of the EPA in the sense that the increase in imports might lead to a devaluation of the Nigerian currency, thus making imports more expensive, while on the other hand supporting export competitiveness.</w:t>
      </w:r>
      <w:r w:rsidR="00687D93">
        <w:t xml:space="preserve"> </w:t>
      </w:r>
    </w:p>
    <w:p w:rsidR="00687D93" w:rsidRDefault="00687D93" w:rsidP="00B71E96">
      <w:pPr>
        <w:ind w:right="720"/>
        <w:jc w:val="both"/>
      </w:pPr>
    </w:p>
    <w:p w:rsidR="00687D93" w:rsidRDefault="00687D93" w:rsidP="00B71E96">
      <w:pPr>
        <w:ind w:right="720"/>
        <w:jc w:val="both"/>
      </w:pPr>
    </w:p>
    <w:p w:rsidR="00687D93" w:rsidRDefault="00687D93" w:rsidP="00B71E96">
      <w:pPr>
        <w:ind w:right="720"/>
        <w:jc w:val="both"/>
      </w:pPr>
    </w:p>
    <w:p w:rsidR="009F7F05" w:rsidRDefault="009817F5" w:rsidP="00F4423C">
      <w:pPr>
        <w:pStyle w:val="Heading1"/>
        <w:numPr>
          <w:ilvl w:val="0"/>
          <w:numId w:val="36"/>
        </w:numPr>
        <w:spacing w:after="200"/>
      </w:pPr>
      <w:bookmarkStart w:id="34" w:name="_Toc399860644"/>
      <w:bookmarkEnd w:id="29"/>
      <w:r>
        <w:lastRenderedPageBreak/>
        <w:t>Potential for Accompanying Policies</w:t>
      </w:r>
      <w:bookmarkEnd w:id="34"/>
    </w:p>
    <w:p w:rsidR="009F7F05" w:rsidRDefault="00381220" w:rsidP="00FA7532">
      <w:pPr>
        <w:pStyle w:val="Heading2"/>
        <w:spacing w:after="200"/>
      </w:pPr>
      <w:bookmarkStart w:id="35" w:name="_Toc399860645"/>
      <w:r>
        <w:t>5</w:t>
      </w:r>
      <w:r w:rsidR="009F7F05">
        <w:t xml:space="preserve">.1. </w:t>
      </w:r>
      <w:r w:rsidR="009817F5">
        <w:t>A Competitiveness Agenda</w:t>
      </w:r>
      <w:bookmarkEnd w:id="35"/>
    </w:p>
    <w:p w:rsidR="00B24244" w:rsidRDefault="00B24244" w:rsidP="00FA7532">
      <w:pPr>
        <w:jc w:val="both"/>
      </w:pPr>
      <w:r>
        <w:t>A key argument often made in favor of maintaining</w:t>
      </w:r>
      <w:r w:rsidRPr="00B24244">
        <w:t xml:space="preserve"> </w:t>
      </w:r>
      <w:r>
        <w:t xml:space="preserve">the current level of </w:t>
      </w:r>
      <w:r w:rsidRPr="00B24244">
        <w:t>tariff protection</w:t>
      </w:r>
      <w:r>
        <w:t xml:space="preserve"> for Nigerian firms </w:t>
      </w:r>
      <w:r w:rsidRPr="00B24244">
        <w:t xml:space="preserve">is the desire to protect </w:t>
      </w:r>
      <w:r w:rsidR="00C73FA7">
        <w:t xml:space="preserve">firms </w:t>
      </w:r>
      <w:r>
        <w:t xml:space="preserve">from the international market until they reach a sufficient level of competitiveness. </w:t>
      </w:r>
      <w:r w:rsidR="00C73FA7">
        <w:t xml:space="preserve">As we saw above this concerns only a portion of the private sector. Other firms will make competitive gains from access to cheaper inputs under EPA. </w:t>
      </w:r>
      <w:r>
        <w:t xml:space="preserve">This section analyzes the potential for </w:t>
      </w:r>
      <w:r w:rsidR="00C73FA7">
        <w:t xml:space="preserve">accompanying </w:t>
      </w:r>
      <w:r>
        <w:t>policy options that could be part of an overall agenda to boost competitiveness of Nigerian firm</w:t>
      </w:r>
      <w:r w:rsidR="002C0BA5">
        <w:t>s during the 20 year implementation period of the EPA</w:t>
      </w:r>
      <w:r w:rsidR="00F90619">
        <w:t>. The section also</w:t>
      </w:r>
      <w:r>
        <w:t xml:space="preserve"> compares the relative size of </w:t>
      </w:r>
      <w:r w:rsidR="00F90619">
        <w:t xml:space="preserve">the competitiveness policy scenarios’ </w:t>
      </w:r>
      <w:r>
        <w:t>impact to the trade shock resulting from the EPA. The purpose is not to recommend a spec</w:t>
      </w:r>
      <w:r w:rsidR="002C0BA5">
        <w:t xml:space="preserve">ific policy option, nor should the policy scenarios discussed here be seen as </w:t>
      </w:r>
      <w:r w:rsidR="006E63BF">
        <w:t>consequences of the EPA, but rather as separate though possibly complementary policy options</w:t>
      </w:r>
      <w:r w:rsidR="002C0BA5">
        <w:t xml:space="preserve">. The idea is simply to add a more </w:t>
      </w:r>
      <w:r w:rsidR="007762B2">
        <w:t xml:space="preserve">complete </w:t>
      </w:r>
      <w:r w:rsidR="002C0BA5">
        <w:t xml:space="preserve">perspective to the policy debate by analyzing the EPA in the context of potential accompanying policy measures. </w:t>
      </w:r>
    </w:p>
    <w:p w:rsidR="00693C89" w:rsidRDefault="00693C89" w:rsidP="00FA7532">
      <w:pPr>
        <w:pStyle w:val="ListParagraph"/>
        <w:ind w:left="0"/>
        <w:contextualSpacing w:val="0"/>
        <w:jc w:val="both"/>
      </w:pPr>
      <w:r>
        <w:t xml:space="preserve">Three </w:t>
      </w:r>
      <w:r w:rsidR="00F90619">
        <w:t xml:space="preserve">basic </w:t>
      </w:r>
      <w:r>
        <w:t xml:space="preserve">scenarios are explored: </w:t>
      </w:r>
      <w:proofErr w:type="spellStart"/>
      <w:r>
        <w:t>i</w:t>
      </w:r>
      <w:proofErr w:type="spellEnd"/>
      <w:r>
        <w:t xml:space="preserve">) an exogenous acceleration of annual productivity growth by 0.1 percentage points; ii) a 50 percent reduction in the amount of sales that enterprises lose due to power outages and iii) a 50 reduction in direct transport costs. These scenarios </w:t>
      </w:r>
      <w:r w:rsidR="006E63BF">
        <w:t>are examples from the wide spectrum of potential policy measure to enhance competitiveness that are</w:t>
      </w:r>
      <w:r>
        <w:t xml:space="preserve"> chosen to reflect some important considerations in any discussion over liberalization and competitiveness. The first scenario simply demonstrates the relative importance of productivity growth vs. trade protection with no specific assumption as to what might be causing this additional productivity growth. Scenarios 2 and 3 were chosen because they represent areas of current significant constraints in the country, and also priority sectors for reform in many emerging economies.</w:t>
      </w:r>
    </w:p>
    <w:p w:rsidR="00BC064C" w:rsidRDefault="00C6337A" w:rsidP="00FA7532">
      <w:pPr>
        <w:jc w:val="both"/>
      </w:pPr>
      <w:r>
        <w:fldChar w:fldCharType="begin"/>
      </w:r>
      <w:r>
        <w:instrText xml:space="preserve"> REF _Ref386730969 \h </w:instrText>
      </w:r>
      <w:r>
        <w:fldChar w:fldCharType="separate"/>
      </w:r>
      <w:r w:rsidR="004423BB">
        <w:t xml:space="preserve">Figure </w:t>
      </w:r>
      <w:r w:rsidR="004423BB">
        <w:rPr>
          <w:noProof/>
        </w:rPr>
        <w:t>14</w:t>
      </w:r>
      <w:r>
        <w:fldChar w:fldCharType="end"/>
      </w:r>
      <w:r>
        <w:t xml:space="preserve"> summarizes the results. The first four sets of bars </w:t>
      </w:r>
      <w:r w:rsidR="00BC064C">
        <w:t xml:space="preserve">show the distribution of impact for the four stages of EPA implementation with no accompanying policies. As discussed in the previous section, the net impact is positive for two thirds of the firms in the sample. </w:t>
      </w:r>
    </w:p>
    <w:p w:rsidR="00693C89" w:rsidRDefault="00693C89" w:rsidP="00FA7532">
      <w:pPr>
        <w:pStyle w:val="Caption"/>
        <w:keepNext/>
        <w:spacing w:line="276" w:lineRule="auto"/>
      </w:pPr>
      <w:bookmarkStart w:id="36" w:name="_Ref386730969"/>
      <w:r>
        <w:lastRenderedPageBreak/>
        <w:t xml:space="preserve">Figure </w:t>
      </w:r>
      <w:fldSimple w:instr=" SEQ Figure \* ARABIC ">
        <w:r w:rsidR="004423BB">
          <w:rPr>
            <w:noProof/>
          </w:rPr>
          <w:t>14</w:t>
        </w:r>
      </w:fldSimple>
      <w:bookmarkEnd w:id="36"/>
    </w:p>
    <w:p w:rsidR="00693C89" w:rsidRDefault="00693C89" w:rsidP="009B7592">
      <w:pPr>
        <w:spacing w:after="0"/>
      </w:pPr>
      <w:r>
        <w:rPr>
          <w:noProof/>
        </w:rPr>
        <w:drawing>
          <wp:inline distT="0" distB="0" distL="0" distR="0" wp14:anchorId="4FC4F015" wp14:editId="513B3576">
            <wp:extent cx="5801053" cy="3493827"/>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4570" cy="3495945"/>
                    </a:xfrm>
                    <a:prstGeom prst="rect">
                      <a:avLst/>
                    </a:prstGeom>
                    <a:noFill/>
                  </pic:spPr>
                </pic:pic>
              </a:graphicData>
            </a:graphic>
          </wp:inline>
        </w:drawing>
      </w:r>
    </w:p>
    <w:p w:rsidR="00693C89" w:rsidRPr="00D50911" w:rsidRDefault="00693C89" w:rsidP="00FA7532">
      <w:pPr>
        <w:rPr>
          <w:sz w:val="16"/>
        </w:rPr>
      </w:pPr>
      <w:r w:rsidRPr="00D50911">
        <w:rPr>
          <w:sz w:val="16"/>
        </w:rPr>
        <w:t>Source: Authors’ calculations</w:t>
      </w:r>
      <w:r>
        <w:rPr>
          <w:sz w:val="16"/>
        </w:rPr>
        <w:t>.</w:t>
      </w:r>
    </w:p>
    <w:p w:rsidR="00693C89" w:rsidRDefault="00BC064C" w:rsidP="00FA7532">
      <w:pPr>
        <w:jc w:val="both"/>
      </w:pPr>
      <w:r>
        <w:t xml:space="preserve">Adding </w:t>
      </w:r>
      <w:r w:rsidR="00732E5E">
        <w:t xml:space="preserve">0.1 percentage points of </w:t>
      </w:r>
      <w:r>
        <w:t>productivity growth</w:t>
      </w:r>
      <w:r w:rsidR="00732E5E">
        <w:t xml:space="preserve"> per year</w:t>
      </w:r>
      <w:r>
        <w:t xml:space="preserve"> does not only more than offset any negative effects from the EPA, but also leads to substantial gains across the distribution of firms, with two thirds of firms now gaining over two percent in profitability.</w:t>
      </w:r>
      <w:r w:rsidR="00732E5E">
        <w:t xml:space="preserve"> In the static perspective of our firm level model, we do not assume any baseline for productivity growth, and the final outcome for Nigerian firms would also depend on the relative pace of productivity growth compared to their competitors. The point of this simulation simply to illustrate that the impact of the trade shock is relatively small compared to any measures that could have a positive effect on productivity growth.</w:t>
      </w:r>
    </w:p>
    <w:p w:rsidR="00BC064C" w:rsidRDefault="00732E5E" w:rsidP="00FA7532">
      <w:pPr>
        <w:jc w:val="both"/>
      </w:pPr>
      <w:r>
        <w:t xml:space="preserve">Two examples for such measures could be reductions in power outages and reductions in transport costs. </w:t>
      </w:r>
      <w:r w:rsidR="00BC064C">
        <w:t>The effect of reducing power outages by 50 percent is even dramatic</w:t>
      </w:r>
      <w:r>
        <w:t>ally positive</w:t>
      </w:r>
      <w:r w:rsidR="00BC064C">
        <w:t>, though more dispersed across the universe of firms</w:t>
      </w:r>
      <w:r w:rsidRPr="00732E5E">
        <w:t xml:space="preserve"> </w:t>
      </w:r>
      <w:r>
        <w:t>than the scenario with accelerated productivity growth</w:t>
      </w:r>
      <w:r w:rsidR="00BC064C">
        <w:t xml:space="preserve">. While </w:t>
      </w:r>
      <w:r w:rsidR="00693C89">
        <w:t xml:space="preserve">approximately </w:t>
      </w:r>
      <w:r w:rsidR="00BC064C">
        <w:t>on</w:t>
      </w:r>
      <w:r w:rsidR="00693C89">
        <w:t>e</w:t>
      </w:r>
      <w:r w:rsidR="00BC064C">
        <w:t xml:space="preserve"> tenth of firms still experience a net loss</w:t>
      </w:r>
      <w:r>
        <w:t xml:space="preserve"> if the EPA trade shock is combined with a 50 percent reduction in power outages</w:t>
      </w:r>
      <w:r w:rsidR="00BC064C">
        <w:t>, the positive effect on the top end of the distribution of firms is much more pronounced than under then exogenous productivity growth scenario.</w:t>
      </w:r>
      <w:r w:rsidR="00006341">
        <w:t xml:space="preserve"> </w:t>
      </w:r>
      <w:r w:rsidR="00BC064C">
        <w:t xml:space="preserve">The effect of reducing transport costs by 50 percent is similar in magnitude to the exogenous productivity growth scenario, though in this case approximately one tenth of firms still experience a net loss. The final set of bars in </w:t>
      </w:r>
      <w:r w:rsidR="00BC064C">
        <w:fldChar w:fldCharType="begin"/>
      </w:r>
      <w:r w:rsidR="00BC064C">
        <w:instrText xml:space="preserve"> REF _Ref386730969 \h </w:instrText>
      </w:r>
      <w:r w:rsidR="00BC064C">
        <w:fldChar w:fldCharType="separate"/>
      </w:r>
      <w:r w:rsidR="004423BB">
        <w:t xml:space="preserve">Figure </w:t>
      </w:r>
      <w:r w:rsidR="004423BB">
        <w:rPr>
          <w:noProof/>
        </w:rPr>
        <w:t>14</w:t>
      </w:r>
      <w:r w:rsidR="00BC064C">
        <w:fldChar w:fldCharType="end"/>
      </w:r>
      <w:r w:rsidR="00BC064C">
        <w:t xml:space="preserve"> will be discussed in the next section.</w:t>
      </w:r>
    </w:p>
    <w:p w:rsidR="00BC064C" w:rsidRDefault="00BC064C" w:rsidP="00FA7532">
      <w:pPr>
        <w:jc w:val="both"/>
      </w:pPr>
      <w:r>
        <w:t xml:space="preserve">The simulation of policy scenarios suggests that the trade shock from the EPA, to be phased in over a period of 20 year, is relatively small compared to the potential impact of measures that could help to boost productivity growth in Nigeria. Defining and implementing such a competitiveness agenda, </w:t>
      </w:r>
      <w:r>
        <w:lastRenderedPageBreak/>
        <w:t>possibly with some funding from the EPA Developm</w:t>
      </w:r>
      <w:r w:rsidR="00006341">
        <w:t>ent Program (EPADP), could be a key factor in ensuring that more Nigerian firms</w:t>
      </w:r>
      <w:r w:rsidR="00693C89">
        <w:t xml:space="preserve"> and workers</w:t>
      </w:r>
      <w:r w:rsidR="00006341">
        <w:t xml:space="preserve"> benefit from the EPA.  </w:t>
      </w:r>
    </w:p>
    <w:p w:rsidR="0031546E" w:rsidRDefault="00693C89" w:rsidP="00FA7532">
      <w:pPr>
        <w:pStyle w:val="Heading2"/>
        <w:spacing w:after="200"/>
      </w:pPr>
      <w:bookmarkStart w:id="37" w:name="_Toc399860646"/>
      <w:r>
        <w:t>5</w:t>
      </w:r>
      <w:r w:rsidR="0031546E" w:rsidRPr="000A1D85">
        <w:t>.2. Trade Defense Measures</w:t>
      </w:r>
      <w:bookmarkEnd w:id="37"/>
    </w:p>
    <w:p w:rsidR="00693C89" w:rsidRDefault="00693C89" w:rsidP="00FA7532">
      <w:pPr>
        <w:jc w:val="both"/>
      </w:pPr>
      <w:r>
        <w:t>T</w:t>
      </w:r>
      <w:r w:rsidRPr="005D1407">
        <w:t>he current EPA offer al</w:t>
      </w:r>
      <w:r w:rsidRPr="00D00B4B">
        <w:t>so gives</w:t>
      </w:r>
      <w:r>
        <w:t xml:space="preserve"> ECOWAS countries</w:t>
      </w:r>
      <w:r w:rsidRPr="00D00B4B">
        <w:t xml:space="preserve"> the possibility to apply </w:t>
      </w:r>
      <w:r>
        <w:t xml:space="preserve">a number of </w:t>
      </w:r>
      <w:r w:rsidRPr="00D00B4B">
        <w:t>Trade Defense Measures to avoid harm to domestic industries</w:t>
      </w:r>
      <w:r>
        <w:t xml:space="preserve"> from excessive increases in imports, including mechanisms to temporarily suspend liberalization for products with strong increases in imports (bilateral safeguards) and a clause that allows the protection of infant industries. To analyze the potential effectiveness of such measures, the last set of bars in </w:t>
      </w:r>
      <w:r>
        <w:fldChar w:fldCharType="begin"/>
      </w:r>
      <w:r>
        <w:instrText xml:space="preserve"> REF _Ref386730969 \h  \* MERGEFORMAT </w:instrText>
      </w:r>
      <w:r>
        <w:fldChar w:fldCharType="separate"/>
      </w:r>
      <w:r w:rsidR="004423BB">
        <w:t xml:space="preserve">Figure </w:t>
      </w:r>
      <w:r w:rsidR="004423BB">
        <w:rPr>
          <w:noProof/>
        </w:rPr>
        <w:t>14</w:t>
      </w:r>
      <w:r>
        <w:fldChar w:fldCharType="end"/>
      </w:r>
      <w:r>
        <w:t xml:space="preserve"> shows a scenario where </w:t>
      </w:r>
      <w:r w:rsidRPr="00D00B4B">
        <w:t>the top three products for import growth from the EU in each of t</w:t>
      </w:r>
      <w:r>
        <w:t>he four most affected sectors have been excluded from liberalization. T</w:t>
      </w:r>
      <w:r w:rsidRPr="00D00B4B">
        <w:t xml:space="preserve">his would </w:t>
      </w:r>
      <w:r>
        <w:t>be equivalent to</w:t>
      </w:r>
      <w:r w:rsidRPr="00D00B4B">
        <w:t xml:space="preserve"> 14 tariff lines or 1.6 percent of total imports from the EU</w:t>
      </w:r>
      <w:r>
        <w:t xml:space="preserve">. The idea behind this assumption is not to offer an exact modeling of how trade defense measures would be applied, but to provide a sense of impact that defense measures that exempt a limited number of items from the toils of liberalization would have. Typically trade defense concerns are limited and targeted on a small number of sectors. </w:t>
      </w:r>
    </w:p>
    <w:p w:rsidR="00693C89" w:rsidRPr="00693C89" w:rsidRDefault="00693C89" w:rsidP="00FA7532">
      <w:pPr>
        <w:spacing w:before="240"/>
        <w:jc w:val="both"/>
      </w:pPr>
      <w:r w:rsidRPr="00693C89">
        <w:t xml:space="preserve">The results show that applying trade protection measures for this relatively small share of import products, if chosen well, could be quite effective in </w:t>
      </w:r>
      <w:r w:rsidR="002D1EE8">
        <w:t xml:space="preserve">temporarily offsetting negative </w:t>
      </w:r>
      <w:r w:rsidRPr="00693C89">
        <w:t xml:space="preserve">effects of the EPA. Compared to the pure EPA scenario with full implementation (EPA 2035) where one third of companies experience a negative net effect, only around one tenth of companies would still be affected negatively in this scenario, and the effect would be significantly less pronounced. However, unlike the scenarios for an accompanying competitiveness agenda presented in the previous section, </w:t>
      </w:r>
      <w:r w:rsidR="002D1EE8">
        <w:t xml:space="preserve">the implementation of such measures would simply prolong the protection currently granted to these industries, thus imposing a burden on consumers through higher prices and not providing an incentive for the affected industries to become more competitive. In addition, such policies would only benefit the firms directly affected by such protective measures, while </w:t>
      </w:r>
      <w:r w:rsidRPr="00693C89">
        <w:t xml:space="preserve">the positive effects </w:t>
      </w:r>
      <w:r w:rsidR="002D1EE8">
        <w:t xml:space="preserve">of the previously discussed competitiveness enhancing measures would benefit all </w:t>
      </w:r>
      <w:r w:rsidRPr="00693C89">
        <w:t>firms in the sample.</w:t>
      </w:r>
    </w:p>
    <w:p w:rsidR="009F7F05" w:rsidRDefault="00511679" w:rsidP="00F4423C">
      <w:pPr>
        <w:pStyle w:val="Heading1"/>
        <w:numPr>
          <w:ilvl w:val="0"/>
          <w:numId w:val="36"/>
        </w:numPr>
        <w:spacing w:after="200"/>
        <w:rPr>
          <w:rFonts w:eastAsiaTheme="minorHAnsi"/>
        </w:rPr>
      </w:pPr>
      <w:bookmarkStart w:id="38" w:name="_Toc399860647"/>
      <w:r>
        <w:rPr>
          <w:rFonts w:eastAsiaTheme="minorHAnsi"/>
        </w:rPr>
        <w:t>Conclusions</w:t>
      </w:r>
      <w:bookmarkEnd w:id="38"/>
    </w:p>
    <w:p w:rsidR="00614F58" w:rsidRDefault="00695388" w:rsidP="00FA7532">
      <w:pPr>
        <w:jc w:val="both"/>
      </w:pPr>
      <w:r>
        <w:t>T</w:t>
      </w:r>
      <w:r w:rsidR="00930D39">
        <w:t>his study has reviewed the potential impact of an Economic Partnership Agreement with the EU on Nigeria in a simple and intuitive framework</w:t>
      </w:r>
      <w:r>
        <w:t xml:space="preserve"> based on a partial equilibrium modeling exercise combined with household and firm level data</w:t>
      </w:r>
      <w:r w:rsidR="00930D39">
        <w:t xml:space="preserve">. It adds another perspective to the debate which </w:t>
      </w:r>
      <w:r w:rsidR="00523202">
        <w:t xml:space="preserve">so far </w:t>
      </w:r>
      <w:r>
        <w:t>has</w:t>
      </w:r>
      <w:r w:rsidR="00930D39">
        <w:t xml:space="preserve"> been dominated the results of more sophisticated and complex CGE models. While such models have important advantages in terms of their ability to analyze repercussions of a trade shock on the economy as a whole, including through longer term adjustment, they often have to rely on strong assumptions and relatively high levels of data aggregation that bear the risk of missing out important nuances</w:t>
      </w:r>
      <w:r w:rsidR="003E52C1">
        <w:t xml:space="preserve"> at the </w:t>
      </w:r>
      <w:proofErr w:type="spellStart"/>
      <w:r w:rsidR="003E52C1">
        <w:t>sectoral</w:t>
      </w:r>
      <w:proofErr w:type="spellEnd"/>
      <w:r w:rsidR="003E52C1">
        <w:t xml:space="preserve"> level</w:t>
      </w:r>
      <w:r w:rsidR="00930D39">
        <w:t xml:space="preserve">. </w:t>
      </w:r>
      <w:r w:rsidR="00614F58">
        <w:t xml:space="preserve">While being mute with regard to the process of economic adjustment in the longer term, the insights from the current study may help to add value by shedding light on a number of important questions that are less well observed in a CGE framework. </w:t>
      </w:r>
    </w:p>
    <w:p w:rsidR="00A90FA6" w:rsidRDefault="00A90FA6" w:rsidP="00FA7532">
      <w:pPr>
        <w:jc w:val="both"/>
      </w:pPr>
      <w:r>
        <w:lastRenderedPageBreak/>
        <w:t>By</w:t>
      </w:r>
      <w:r w:rsidR="00614F58">
        <w:t xml:space="preserve"> reducing assumptions to the extent possible and simplifying them to a degree that is more easily accessible to </w:t>
      </w:r>
      <w:r w:rsidR="00B23A56">
        <w:t>policy makers</w:t>
      </w:r>
      <w:r w:rsidR="00614F58">
        <w:t xml:space="preserve">, the results are primarily driven by the underlying data, leaving less room for </w:t>
      </w:r>
      <w:r w:rsidR="003E52C1">
        <w:t xml:space="preserve">debate </w:t>
      </w:r>
      <w:r w:rsidR="00614F58">
        <w:t xml:space="preserve">with respect to the appropriateness of assumptions and thus hopefully facilitating </w:t>
      </w:r>
      <w:r w:rsidR="00E05E16">
        <w:t xml:space="preserve">a </w:t>
      </w:r>
      <w:r w:rsidR="003E52C1">
        <w:t xml:space="preserve">discussion </w:t>
      </w:r>
      <w:r w:rsidR="00E05E16">
        <w:t>that is focused on</w:t>
      </w:r>
      <w:r w:rsidR="00614F58">
        <w:t xml:space="preserve"> policy conclusions.</w:t>
      </w:r>
      <w:r w:rsidR="006F1C13">
        <w:t xml:space="preserve"> </w:t>
      </w:r>
      <w:r>
        <w:t xml:space="preserve"> </w:t>
      </w:r>
    </w:p>
    <w:p w:rsidR="00614F58" w:rsidRDefault="00A90FA6" w:rsidP="00FA7532">
      <w:pPr>
        <w:jc w:val="both"/>
      </w:pPr>
      <w:r>
        <w:t xml:space="preserve">By working at the firm level </w:t>
      </w:r>
      <w:r w:rsidR="00614F58">
        <w:t>for a sample of close to 2,500 individual firms r</w:t>
      </w:r>
      <w:r>
        <w:t xml:space="preserve">ather than </w:t>
      </w:r>
      <w:proofErr w:type="spellStart"/>
      <w:r w:rsidR="003E52C1">
        <w:t>sectoral</w:t>
      </w:r>
      <w:proofErr w:type="spellEnd"/>
      <w:r>
        <w:t xml:space="preserve"> aggregates, </w:t>
      </w:r>
      <w:r w:rsidR="00523202">
        <w:t xml:space="preserve">the methodology adds detail to the nature of the trade shock from the EPA which would be lost in </w:t>
      </w:r>
      <w:proofErr w:type="spellStart"/>
      <w:r w:rsidR="00523202">
        <w:t>sectoral</w:t>
      </w:r>
      <w:proofErr w:type="spellEnd"/>
      <w:r w:rsidR="00523202">
        <w:t xml:space="preserve"> aggregates used by most standard trade models</w:t>
      </w:r>
      <w:r>
        <w:t xml:space="preserve">. </w:t>
      </w:r>
      <w:r w:rsidR="00523202">
        <w:t>The firm level approach m</w:t>
      </w:r>
      <w:r w:rsidR="00E05E16">
        <w:t xml:space="preserve">akes it possible to assess a shock throughout the entire universe of firms, an important extension given that trade shocks can often generate both winners and losers within a given sector. </w:t>
      </w:r>
    </w:p>
    <w:p w:rsidR="00930D39" w:rsidRDefault="00A90FA6" w:rsidP="00FA7532">
      <w:pPr>
        <w:jc w:val="both"/>
      </w:pPr>
      <w:r>
        <w:t>T</w:t>
      </w:r>
      <w:r w:rsidR="00E05E16">
        <w:t xml:space="preserve">he firm level dataset used for the above mentioned simulations also represents a unique set of micro founded information on a variety of variables that describe the overall business climate and constraints faced by firms, which makes it possible to quantify such factors relative to the magnitude of the trade shock. </w:t>
      </w:r>
    </w:p>
    <w:p w:rsidR="00923C00" w:rsidRDefault="00923C00" w:rsidP="00FA7532">
      <w:pPr>
        <w:jc w:val="both"/>
      </w:pPr>
      <w:r>
        <w:t xml:space="preserve">The quantitative results suggest a moderate impact of the EPA in terms of </w:t>
      </w:r>
      <w:r w:rsidR="00930D39">
        <w:t>protection, imports, and revenue losses</w:t>
      </w:r>
      <w:r>
        <w:t>, primarily because the EU only accounts for</w:t>
      </w:r>
      <w:r w:rsidR="00B23A56">
        <w:t xml:space="preserve"> </w:t>
      </w:r>
      <w:r>
        <w:t xml:space="preserve">~23 percent of Nigeria’s imports and liberalization is limited to 75 percent of tariff lines. However, some trade diversion is likely to occur towards the EU at the expense of other world regions and, to a lesser extent, ECOWAS partners. </w:t>
      </w:r>
      <w:r w:rsidR="00930D39">
        <w:t>Fiscal losses</w:t>
      </w:r>
      <w:r>
        <w:t xml:space="preserve"> are expected to amount to </w:t>
      </w:r>
      <w:r w:rsidR="00930D39">
        <w:t>0.8 percent of total</w:t>
      </w:r>
      <w:r>
        <w:t xml:space="preserve"> government revenue</w:t>
      </w:r>
      <w:r w:rsidR="00930D39">
        <w:t xml:space="preserve"> or 3.3 percent of non-oil revenue by 2035</w:t>
      </w:r>
      <w:r>
        <w:t>. Households</w:t>
      </w:r>
      <w:r w:rsidR="00930D39">
        <w:t xml:space="preserve"> benefit modestly </w:t>
      </w:r>
      <w:r>
        <w:t>from a reduction in consumer prices by approximately 0</w:t>
      </w:r>
      <w:r w:rsidR="00930D39">
        <w:t>.4 percent</w:t>
      </w:r>
      <w:r>
        <w:t>.</w:t>
      </w:r>
    </w:p>
    <w:p w:rsidR="00714659" w:rsidRDefault="00923C00" w:rsidP="00FA7532">
      <w:pPr>
        <w:jc w:val="both"/>
      </w:pPr>
      <w:r>
        <w:t xml:space="preserve">At the firm level, </w:t>
      </w:r>
      <w:r w:rsidR="005B1692">
        <w:t>two thirds of firms</w:t>
      </w:r>
      <w:r w:rsidR="00930D39">
        <w:t xml:space="preserve"> (</w:t>
      </w:r>
      <w:r w:rsidR="005B1692">
        <w:t>representing two thirds of jobs</w:t>
      </w:r>
      <w:r w:rsidR="00930D39">
        <w:t xml:space="preserve">) </w:t>
      </w:r>
      <w:r w:rsidR="005B1692">
        <w:t xml:space="preserve">can be expected to </w:t>
      </w:r>
      <w:r w:rsidR="00930D39">
        <w:t>experience a net benefit, mainly due to lower input prices</w:t>
      </w:r>
      <w:r w:rsidR="005B1692">
        <w:t>. The r</w:t>
      </w:r>
      <w:r w:rsidR="00930D39">
        <w:t xml:space="preserve">emaining </w:t>
      </w:r>
      <w:r w:rsidR="005B1692">
        <w:t>one third</w:t>
      </w:r>
      <w:r w:rsidR="00930D39">
        <w:t xml:space="preserve"> </w:t>
      </w:r>
      <w:r w:rsidR="005B1692">
        <w:t>would</w:t>
      </w:r>
      <w:r w:rsidR="00930D39">
        <w:t xml:space="preserve"> lose some profit</w:t>
      </w:r>
      <w:r w:rsidR="005B1692">
        <w:t xml:space="preserve"> if the EPA is implemented without any accompanying policy measure</w:t>
      </w:r>
      <w:r w:rsidR="00714659">
        <w:t>s</w:t>
      </w:r>
      <w:r w:rsidR="00930D39">
        <w:t>, but only very few (0.5 percent) become unprofitable as losses are small compared to profit levels</w:t>
      </w:r>
      <w:r w:rsidR="005B1692">
        <w:t xml:space="preserve">. </w:t>
      </w:r>
      <w:r w:rsidR="00930D39">
        <w:t>Most losses are</w:t>
      </w:r>
      <w:r w:rsidR="005B1692">
        <w:t xml:space="preserve"> in fact</w:t>
      </w:r>
      <w:r w:rsidR="00930D39">
        <w:t xml:space="preserve"> concentrated in four industries</w:t>
      </w:r>
      <w:r w:rsidR="005B1692">
        <w:t xml:space="preserve"> (Wood products, Non-metallic mineral products, Basic metals, Metal products other than machinery)</w:t>
      </w:r>
      <w:r w:rsidR="00930D39">
        <w:t xml:space="preserve"> </w:t>
      </w:r>
      <w:r w:rsidR="005B1692">
        <w:t>where most firms have</w:t>
      </w:r>
      <w:r w:rsidR="00930D39">
        <w:t xml:space="preserve"> above average profitability and will continue to do so </w:t>
      </w:r>
      <w:r w:rsidR="005B1692">
        <w:t>once the EPA is in place</w:t>
      </w:r>
      <w:r w:rsidR="005B1692" w:rsidRPr="00834C50">
        <w:t>.</w:t>
      </w:r>
      <w:r w:rsidR="00B7056F" w:rsidRPr="00834C50">
        <w:t xml:space="preserve"> </w:t>
      </w:r>
      <w:r w:rsidR="00714659" w:rsidRPr="00834C50">
        <w:t>Dynamic effects are not formally included in the model but might occur in particular through positive effects on productivity growth from better access to inputs and capital equipment and reallocation from less productive to more productive firms that would result in some adjustments at the firm level but an overall positive effect on productivity.</w:t>
      </w:r>
      <w:r w:rsidR="00714659">
        <w:t xml:space="preserve"> </w:t>
      </w:r>
    </w:p>
    <w:p w:rsidR="00223CA3" w:rsidRDefault="005B1692" w:rsidP="00FA7532">
      <w:pPr>
        <w:jc w:val="both"/>
      </w:pPr>
      <w:r>
        <w:t>Overall, the i</w:t>
      </w:r>
      <w:r w:rsidR="00701720" w:rsidRPr="00930D39">
        <w:t xml:space="preserve">mpact of </w:t>
      </w:r>
      <w:r>
        <w:t xml:space="preserve">the </w:t>
      </w:r>
      <w:r w:rsidR="00701720" w:rsidRPr="00930D39">
        <w:t xml:space="preserve">EPA </w:t>
      </w:r>
      <w:r>
        <w:t xml:space="preserve">on firms and jobs </w:t>
      </w:r>
      <w:r w:rsidR="00701720" w:rsidRPr="00930D39">
        <w:t>is</w:t>
      </w:r>
      <w:r>
        <w:t xml:space="preserve"> relatively</w:t>
      </w:r>
      <w:r w:rsidR="00701720" w:rsidRPr="00930D39">
        <w:t xml:space="preserve"> small compared to even a minor acceleration in productivity growth</w:t>
      </w:r>
      <w:r>
        <w:t xml:space="preserve">. </w:t>
      </w:r>
      <w:r w:rsidR="00223CA3">
        <w:t xml:space="preserve">The simulations show that </w:t>
      </w:r>
      <w:proofErr w:type="gramStart"/>
      <w:r w:rsidR="00223CA3">
        <w:t>a 0.1</w:t>
      </w:r>
      <w:proofErr w:type="gramEnd"/>
      <w:r w:rsidR="00223CA3">
        <w:t xml:space="preserve"> percentage point acceleration in productivity growth would offset the impact of the EPA on firms that are affected negatively and substantially add to the benefits for firms for which effect is already positive. Two examples of policy measures that could help boost productivity are reductions in electricity outages and transport costs, and simulation results show that both measures could offset or at least mitigate the impact of the EPA on negatively affected firms while giving a sizeable boost to firms for which the impact is already positive as well. </w:t>
      </w:r>
    </w:p>
    <w:p w:rsidR="00701720" w:rsidRPr="006E63BF" w:rsidRDefault="00223CA3" w:rsidP="00FA7532">
      <w:pPr>
        <w:jc w:val="both"/>
      </w:pPr>
      <w:r>
        <w:lastRenderedPageBreak/>
        <w:t xml:space="preserve">Finally, even with the EPA, Nigeria would preserve some policy space for protection of domestic industries through </w:t>
      </w:r>
      <w:r w:rsidR="00701720" w:rsidRPr="00930D39">
        <w:t>EPA Trade Defense Measures</w:t>
      </w:r>
      <w:r>
        <w:t xml:space="preserve">, and simulation results suggest that these can be </w:t>
      </w:r>
      <w:r w:rsidR="0050099A">
        <w:t>used</w:t>
      </w:r>
      <w:r w:rsidR="00701720" w:rsidRPr="00930D39">
        <w:t xml:space="preserve"> effective</w:t>
      </w:r>
      <w:r w:rsidR="0050099A">
        <w:t>ly in the short run to</w:t>
      </w:r>
      <w:r w:rsidR="00701720" w:rsidRPr="00930D39">
        <w:t xml:space="preserve"> mitigat</w:t>
      </w:r>
      <w:r w:rsidR="0050099A">
        <w:t>e</w:t>
      </w:r>
      <w:r w:rsidR="00701720" w:rsidRPr="00930D39">
        <w:t xml:space="preserve"> </w:t>
      </w:r>
      <w:r w:rsidR="0050099A">
        <w:t xml:space="preserve">some of the </w:t>
      </w:r>
      <w:r w:rsidR="00701720" w:rsidRPr="00930D39">
        <w:t>negative</w:t>
      </w:r>
      <w:r>
        <w:t xml:space="preserve"> impacts on </w:t>
      </w:r>
      <w:r w:rsidR="00A23A6A">
        <w:t xml:space="preserve">a limited number of </w:t>
      </w:r>
      <w:r>
        <w:t xml:space="preserve">domestic </w:t>
      </w:r>
      <w:r w:rsidR="00A23A6A">
        <w:t xml:space="preserve">industries </w:t>
      </w:r>
      <w:r>
        <w:t>where</w:t>
      </w:r>
      <w:r w:rsidR="00701720" w:rsidRPr="00930D39">
        <w:t xml:space="preserve"> needed</w:t>
      </w:r>
      <w:r>
        <w:t>.</w:t>
      </w:r>
      <w:r w:rsidR="00701720" w:rsidRPr="00930D39">
        <w:t xml:space="preserve"> </w:t>
      </w:r>
      <w:r w:rsidR="00A23A6A">
        <w:t>However this policy option does not compare favorably to the potential of complementary competitiveness measures to boost the Nigerian private sector</w:t>
      </w:r>
      <w:r w:rsidR="006E63BF">
        <w:t xml:space="preserve"> as this policy option would not promote productivity growth of affected firms, and would</w:t>
      </w:r>
      <w:r w:rsidR="0050099A">
        <w:t xml:space="preserve"> </w:t>
      </w:r>
      <w:r w:rsidR="006E63BF">
        <w:t>impose a burden on consumers through higher prices</w:t>
      </w:r>
    </w:p>
    <w:p w:rsidR="00930D39" w:rsidRDefault="00930D39" w:rsidP="00FA7532">
      <w:pPr>
        <w:jc w:val="both"/>
      </w:pPr>
    </w:p>
    <w:p w:rsidR="0004245A" w:rsidRDefault="00351E2E" w:rsidP="00FA7532">
      <w:pPr>
        <w:jc w:val="both"/>
      </w:pPr>
      <w:r>
        <w:t xml:space="preserve"> </w:t>
      </w:r>
    </w:p>
    <w:p w:rsidR="00B7056F" w:rsidRDefault="00B7056F">
      <w:pPr>
        <w:rPr>
          <w:rFonts w:asciiTheme="majorHAnsi" w:eastAsiaTheme="majorEastAsia" w:hAnsiTheme="majorHAnsi" w:cstheme="majorBidi"/>
          <w:b/>
          <w:bCs/>
          <w:color w:val="365F91" w:themeColor="accent1" w:themeShade="BF"/>
          <w:sz w:val="28"/>
          <w:szCs w:val="28"/>
        </w:rPr>
      </w:pPr>
      <w:r>
        <w:br w:type="page"/>
      </w:r>
    </w:p>
    <w:p w:rsidR="00511679" w:rsidRDefault="00400953" w:rsidP="00FA7532">
      <w:pPr>
        <w:pStyle w:val="Heading1"/>
        <w:spacing w:after="200"/>
      </w:pPr>
      <w:bookmarkStart w:id="39" w:name="_Toc399860648"/>
      <w:r>
        <w:lastRenderedPageBreak/>
        <w:t>References</w:t>
      </w:r>
      <w:bookmarkEnd w:id="39"/>
    </w:p>
    <w:p w:rsidR="00CB7124" w:rsidRDefault="00CB7124" w:rsidP="00E60F1C">
      <w:proofErr w:type="spellStart"/>
      <w:r>
        <w:t>Amiti</w:t>
      </w:r>
      <w:proofErr w:type="spellEnd"/>
      <w:r>
        <w:t>, M. and</w:t>
      </w:r>
      <w:r w:rsidRPr="00CB7124">
        <w:t xml:space="preserve"> J</w:t>
      </w:r>
      <w:r>
        <w:t xml:space="preserve">. </w:t>
      </w:r>
      <w:proofErr w:type="spellStart"/>
      <w:r>
        <w:t>Konings</w:t>
      </w:r>
      <w:proofErr w:type="spellEnd"/>
      <w:r>
        <w:t xml:space="preserve"> (</w:t>
      </w:r>
      <w:r w:rsidRPr="00CB7124">
        <w:t>2007</w:t>
      </w:r>
      <w:r>
        <w:t xml:space="preserve">): </w:t>
      </w:r>
      <w:r w:rsidRPr="00CB7124">
        <w:t>Trade Liberalization, Intermediate Inputs, and Product</w:t>
      </w:r>
      <w:r>
        <w:t xml:space="preserve">ivity: Evidence from Indonesia, </w:t>
      </w:r>
      <w:r w:rsidRPr="00CB7124">
        <w:rPr>
          <w:i/>
        </w:rPr>
        <w:t>American Economic Review</w:t>
      </w:r>
      <w:proofErr w:type="gramStart"/>
      <w:r>
        <w:rPr>
          <w:i/>
        </w:rPr>
        <w:t>,</w:t>
      </w:r>
      <w:r>
        <w:t xml:space="preserve"> </w:t>
      </w:r>
      <w:r w:rsidRPr="00CB7124">
        <w:t xml:space="preserve"> 97</w:t>
      </w:r>
      <w:proofErr w:type="gramEnd"/>
      <w:r w:rsidRPr="00CB7124">
        <w:t>(5), p</w:t>
      </w:r>
      <w:r>
        <w:t>p.</w:t>
      </w:r>
      <w:r w:rsidRPr="00CB7124">
        <w:t xml:space="preserve"> 1611-1638.</w:t>
      </w:r>
    </w:p>
    <w:p w:rsidR="00E60F1C" w:rsidRPr="00E60F1C" w:rsidRDefault="00E60F1C" w:rsidP="00E60F1C">
      <w:proofErr w:type="spellStart"/>
      <w:r w:rsidRPr="00E60F1C">
        <w:t>Andriamananjara</w:t>
      </w:r>
      <w:proofErr w:type="spellEnd"/>
      <w:r w:rsidRPr="00E60F1C">
        <w:t xml:space="preserve">, S., P. Brenton, E. von </w:t>
      </w:r>
      <w:proofErr w:type="spellStart"/>
      <w:r w:rsidRPr="00E60F1C">
        <w:t>Uexkull</w:t>
      </w:r>
      <w:proofErr w:type="spellEnd"/>
      <w:r w:rsidRPr="00E60F1C">
        <w:t xml:space="preserve"> and P. </w:t>
      </w:r>
      <w:proofErr w:type="spellStart"/>
      <w:r w:rsidRPr="00E60F1C">
        <w:t>Walkenhorst</w:t>
      </w:r>
      <w:proofErr w:type="spellEnd"/>
      <w:r w:rsidRPr="00E60F1C">
        <w:t xml:space="preserve"> (2009): </w:t>
      </w:r>
      <w:r>
        <w:t>Assessing the Economic Impacts of an Economic Partnership Agreement on Nigeria</w:t>
      </w:r>
      <w:r w:rsidRPr="00CB7124">
        <w:rPr>
          <w:i/>
        </w:rPr>
        <w:t>, World Bank Policy Research Working Paper</w:t>
      </w:r>
      <w:r>
        <w:t xml:space="preserve"> No. 4920.</w:t>
      </w:r>
    </w:p>
    <w:p w:rsidR="00797271" w:rsidRDefault="00797271" w:rsidP="00FA7532">
      <w:proofErr w:type="spellStart"/>
      <w:r w:rsidRPr="00FE20CB">
        <w:t>Armington</w:t>
      </w:r>
      <w:proofErr w:type="spellEnd"/>
      <w:r w:rsidRPr="00FE20CB">
        <w:t xml:space="preserve">, P. (1969): A Theory of Demand for Products Distinguished by Place of Production, </w:t>
      </w:r>
      <w:r w:rsidRPr="00CB7124">
        <w:rPr>
          <w:i/>
        </w:rPr>
        <w:t>International Monetary Fu</w:t>
      </w:r>
      <w:r w:rsidR="00FC1391" w:rsidRPr="00CB7124">
        <w:rPr>
          <w:i/>
        </w:rPr>
        <w:t>nd Staff Papers</w:t>
      </w:r>
      <w:r w:rsidR="00FC1391" w:rsidRPr="00FE20CB">
        <w:t xml:space="preserve"> XVI, pp. 159-78.</w:t>
      </w:r>
    </w:p>
    <w:p w:rsidR="00797271" w:rsidRDefault="00797271" w:rsidP="00FA7532">
      <w:r w:rsidRPr="00FE20CB">
        <w:t xml:space="preserve">Brenton, P., C. </w:t>
      </w:r>
      <w:proofErr w:type="spellStart"/>
      <w:r w:rsidRPr="00FE20CB">
        <w:t>Saborowski</w:t>
      </w:r>
      <w:proofErr w:type="spellEnd"/>
      <w:r w:rsidRPr="00FE20CB">
        <w:t xml:space="preserve">, C. </w:t>
      </w:r>
      <w:proofErr w:type="spellStart"/>
      <w:r w:rsidRPr="00FE20CB">
        <w:t>Staritz</w:t>
      </w:r>
      <w:proofErr w:type="spellEnd"/>
      <w:r w:rsidRPr="00FE20CB">
        <w:t xml:space="preserve">, and E. von </w:t>
      </w:r>
      <w:proofErr w:type="spellStart"/>
      <w:r w:rsidRPr="00FE20CB">
        <w:t>Uexkull</w:t>
      </w:r>
      <w:proofErr w:type="spellEnd"/>
      <w:r w:rsidRPr="00FE20CB">
        <w:t xml:space="preserve"> (2011): </w:t>
      </w:r>
      <w:hyperlink r:id="rId29" w:history="1">
        <w:r w:rsidRPr="00FE20CB">
          <w:t>Assessing the adjustment implications of trade policy changes using the Tariff Reform Impact Simulation Tool (TRIST)</w:t>
        </w:r>
      </w:hyperlink>
      <w:r w:rsidRPr="00FE20CB">
        <w:t xml:space="preserve">, </w:t>
      </w:r>
      <w:hyperlink r:id="rId30" w:history="1">
        <w:r w:rsidRPr="00CB7124">
          <w:rPr>
            <w:i/>
          </w:rPr>
          <w:t>World Trade Review</w:t>
        </w:r>
      </w:hyperlink>
      <w:r w:rsidRPr="00FE20CB">
        <w:t xml:space="preserve"> 10(02), pp. 249-276.</w:t>
      </w:r>
    </w:p>
    <w:p w:rsidR="00CF754E" w:rsidRDefault="00CF754E" w:rsidP="00CF754E">
      <w:proofErr w:type="spellStart"/>
      <w:r>
        <w:t>Busse</w:t>
      </w:r>
      <w:proofErr w:type="spellEnd"/>
      <w:r>
        <w:t>, M. and H. Grossmann (2004): Assessing the Impact of ACP/</w:t>
      </w:r>
      <w:proofErr w:type="spellStart"/>
      <w:r>
        <w:t>EUEconomic</w:t>
      </w:r>
      <w:proofErr w:type="spellEnd"/>
      <w:r>
        <w:t xml:space="preserve"> Partnership Agreement on West African Countries, </w:t>
      </w:r>
      <w:r w:rsidRPr="00CB7124">
        <w:rPr>
          <w:i/>
        </w:rPr>
        <w:t>HWWA Discussion Paper</w:t>
      </w:r>
      <w:r>
        <w:t xml:space="preserve"> No. 294.</w:t>
      </w:r>
    </w:p>
    <w:p w:rsidR="00E60F1C" w:rsidRPr="00E60F1C" w:rsidRDefault="00E60F1C" w:rsidP="00E60F1C">
      <w:r w:rsidRPr="00E60F1C">
        <w:t xml:space="preserve">Consortium pour la </w:t>
      </w:r>
      <w:proofErr w:type="spellStart"/>
      <w:r w:rsidRPr="00E60F1C">
        <w:t>Recherche</w:t>
      </w:r>
      <w:proofErr w:type="spellEnd"/>
      <w:r w:rsidRPr="00E60F1C">
        <w:t xml:space="preserve"> </w:t>
      </w:r>
      <w:proofErr w:type="spellStart"/>
      <w:r w:rsidRPr="00E60F1C">
        <w:t>Economique</w:t>
      </w:r>
      <w:proofErr w:type="spellEnd"/>
      <w:r w:rsidRPr="00E60F1C">
        <w:t xml:space="preserve"> </w:t>
      </w:r>
      <w:proofErr w:type="gramStart"/>
      <w:r w:rsidRPr="00E60F1C">
        <w:t>et</w:t>
      </w:r>
      <w:proofErr w:type="gramEnd"/>
      <w:r w:rsidRPr="00E60F1C">
        <w:t xml:space="preserve"> </w:t>
      </w:r>
      <w:proofErr w:type="spellStart"/>
      <w:r w:rsidRPr="00E60F1C">
        <w:t>Sociale</w:t>
      </w:r>
      <w:proofErr w:type="spellEnd"/>
      <w:r w:rsidRPr="00E60F1C">
        <w:t xml:space="preserve"> (2011): Impact Study of the Economic Partnership Agreement Market Access</w:t>
      </w:r>
      <w:r>
        <w:t xml:space="preserve"> </w:t>
      </w:r>
      <w:r w:rsidRPr="00E60F1C">
        <w:t>Offer on West African Countries</w:t>
      </w:r>
      <w:r>
        <w:t xml:space="preserve">, </w:t>
      </w:r>
      <w:proofErr w:type="spellStart"/>
      <w:r>
        <w:t>Cotonou</w:t>
      </w:r>
      <w:proofErr w:type="spellEnd"/>
      <w:r>
        <w:t xml:space="preserve"> and Dakar.</w:t>
      </w:r>
    </w:p>
    <w:p w:rsidR="00797271" w:rsidRDefault="00797271" w:rsidP="00FA7532">
      <w:r w:rsidRPr="00FE20CB">
        <w:t xml:space="preserve">Eaton, J. and S. </w:t>
      </w:r>
      <w:proofErr w:type="spellStart"/>
      <w:r w:rsidRPr="00FE20CB">
        <w:t>Kortum</w:t>
      </w:r>
      <w:proofErr w:type="spellEnd"/>
      <w:r w:rsidRPr="00FE20CB">
        <w:t xml:space="preserve"> (2001): </w:t>
      </w:r>
      <w:hyperlink r:id="rId31" w:history="1">
        <w:r w:rsidRPr="00FE20CB">
          <w:t>Trade in capital goods</w:t>
        </w:r>
      </w:hyperlink>
      <w:r w:rsidRPr="00FE20CB">
        <w:t xml:space="preserve">, </w:t>
      </w:r>
      <w:hyperlink r:id="rId32" w:history="1">
        <w:r w:rsidRPr="00CB7124">
          <w:rPr>
            <w:i/>
          </w:rPr>
          <w:t>European Economic Review</w:t>
        </w:r>
      </w:hyperlink>
      <w:r w:rsidRPr="00FE20CB">
        <w:t>, 45(7), pp. 1195-1235.</w:t>
      </w:r>
    </w:p>
    <w:p w:rsidR="00600DCA" w:rsidRDefault="00600DCA" w:rsidP="00FA7532">
      <w:pPr>
        <w:rPr>
          <w:noProof/>
        </w:rPr>
      </w:pPr>
      <w:r>
        <w:rPr>
          <w:noProof/>
        </w:rPr>
        <w:t xml:space="preserve">Estevadeordal, A. and A. Taylor  (2008): </w:t>
      </w:r>
      <w:r w:rsidRPr="00600DCA">
        <w:rPr>
          <w:iCs/>
          <w:noProof/>
        </w:rPr>
        <w:t>Is the Washington Consensus Dead? Growth, Openess and the Great</w:t>
      </w:r>
      <w:r>
        <w:rPr>
          <w:iCs/>
          <w:noProof/>
        </w:rPr>
        <w:t xml:space="preserve"> Liberalization, 1970s to 2000s,</w:t>
      </w:r>
      <w:r w:rsidRPr="00600DCA">
        <w:rPr>
          <w:noProof/>
        </w:rPr>
        <w:t xml:space="preserve"> </w:t>
      </w:r>
      <w:r w:rsidRPr="00CB7124">
        <w:rPr>
          <w:i/>
          <w:noProof/>
        </w:rPr>
        <w:t>NBER Working Paper</w:t>
      </w:r>
      <w:r w:rsidRPr="00600DCA">
        <w:rPr>
          <w:noProof/>
        </w:rPr>
        <w:t xml:space="preserve"> 14264</w:t>
      </w:r>
      <w:r>
        <w:rPr>
          <w:noProof/>
        </w:rPr>
        <w:t>.</w:t>
      </w:r>
    </w:p>
    <w:p w:rsidR="00E60F1C" w:rsidRPr="00E60F1C" w:rsidRDefault="00DC4E0F" w:rsidP="00E60F1C">
      <w:pPr>
        <w:rPr>
          <w:noProof/>
        </w:rPr>
      </w:pPr>
      <w:r w:rsidRPr="00E60F1C">
        <w:rPr>
          <w:noProof/>
        </w:rPr>
        <w:t>Fontagn</w:t>
      </w:r>
      <w:r>
        <w:rPr>
          <w:noProof/>
        </w:rPr>
        <w:t>é</w:t>
      </w:r>
      <w:r w:rsidR="00E60F1C" w:rsidRPr="00E60F1C">
        <w:rPr>
          <w:noProof/>
        </w:rPr>
        <w:t>, L., D. Laborde and C. Mitaritonna (2009): An Impact Study of the Economic Partnership Agreements (EPAs)</w:t>
      </w:r>
      <w:r w:rsidR="00E60F1C">
        <w:rPr>
          <w:noProof/>
        </w:rPr>
        <w:t xml:space="preserve"> </w:t>
      </w:r>
      <w:r w:rsidR="00E60F1C" w:rsidRPr="00E60F1C">
        <w:rPr>
          <w:noProof/>
        </w:rPr>
        <w:t>in the Six ACP Regions</w:t>
      </w:r>
      <w:r w:rsidR="00E60F1C">
        <w:rPr>
          <w:noProof/>
        </w:rPr>
        <w:t xml:space="preserve">, </w:t>
      </w:r>
      <w:r w:rsidR="00E60F1C" w:rsidRPr="00CB7124">
        <w:rPr>
          <w:i/>
          <w:noProof/>
        </w:rPr>
        <w:t>G-MonD Working Paper No. 1.</w:t>
      </w:r>
    </w:p>
    <w:p w:rsidR="00797271" w:rsidRDefault="00797271" w:rsidP="00FA7532">
      <w:r w:rsidRPr="00FE20CB">
        <w:t>IMF (2012): Nigeria: Staff report for the 2012 Article IV consultation, Washington DC.</w:t>
      </w:r>
    </w:p>
    <w:p w:rsidR="00117C70" w:rsidRDefault="00117C70" w:rsidP="00FA7532">
      <w:pPr>
        <w:pStyle w:val="Bibliography"/>
        <w:rPr>
          <w:noProof/>
        </w:rPr>
      </w:pPr>
      <w:r>
        <w:rPr>
          <w:noProof/>
        </w:rPr>
        <w:t xml:space="preserve">Melitz, J. (2003). The Impact of Trade on Intra-Industry Reallocations and Aggregate Industry. </w:t>
      </w:r>
      <w:r>
        <w:rPr>
          <w:i/>
          <w:iCs/>
          <w:noProof/>
        </w:rPr>
        <w:t>Econometrica</w:t>
      </w:r>
      <w:r>
        <w:rPr>
          <w:noProof/>
        </w:rPr>
        <w:t xml:space="preserve"> </w:t>
      </w:r>
      <w:r>
        <w:rPr>
          <w:i/>
          <w:iCs/>
          <w:noProof/>
        </w:rPr>
        <w:t>, 71</w:t>
      </w:r>
      <w:r>
        <w:rPr>
          <w:noProof/>
        </w:rPr>
        <w:t xml:space="preserve"> (6), pp. 1695-1725.</w:t>
      </w:r>
    </w:p>
    <w:p w:rsidR="0018009C" w:rsidRPr="00FE20CB" w:rsidRDefault="0018009C" w:rsidP="00FA7532">
      <w:proofErr w:type="spellStart"/>
      <w:r w:rsidRPr="00FE20CB">
        <w:t>Raballand</w:t>
      </w:r>
      <w:proofErr w:type="spellEnd"/>
      <w:r w:rsidRPr="00FE20CB">
        <w:t xml:space="preserve">, G., and </w:t>
      </w:r>
      <w:proofErr w:type="spellStart"/>
      <w:r w:rsidRPr="00FE20CB">
        <w:t>Mjekiqi</w:t>
      </w:r>
      <w:proofErr w:type="spellEnd"/>
      <w:r w:rsidRPr="00FE20CB">
        <w:t xml:space="preserve">, E. (2010): Nigeria’s Trade Policy Facilitates Unofficial Trade but </w:t>
      </w:r>
      <w:proofErr w:type="gramStart"/>
      <w:r w:rsidRPr="00FE20CB">
        <w:t>not  Manufacturing</w:t>
      </w:r>
      <w:proofErr w:type="gramEnd"/>
      <w:r w:rsidRPr="00FE20CB">
        <w:t xml:space="preserve">, in: </w:t>
      </w:r>
      <w:proofErr w:type="spellStart"/>
      <w:r w:rsidRPr="00FE20CB">
        <w:t>Treichel</w:t>
      </w:r>
      <w:proofErr w:type="spellEnd"/>
      <w:r w:rsidRPr="00FE20CB">
        <w:t>, V. (ed.): Putting Nigeria to Work: A Strategy for Employment and Growth, World Bank, Washington, D.C.</w:t>
      </w:r>
    </w:p>
    <w:p w:rsidR="00797271" w:rsidRDefault="00797271" w:rsidP="00FA7532">
      <w:proofErr w:type="gramStart"/>
      <w:r w:rsidRPr="00FE20CB">
        <w:t>von</w:t>
      </w:r>
      <w:proofErr w:type="gramEnd"/>
      <w:r w:rsidRPr="00FE20CB">
        <w:t xml:space="preserve"> </w:t>
      </w:r>
      <w:proofErr w:type="spellStart"/>
      <w:r w:rsidRPr="00FE20CB">
        <w:t>Uexkull</w:t>
      </w:r>
      <w:proofErr w:type="spellEnd"/>
      <w:r w:rsidRPr="00FE20CB">
        <w:t xml:space="preserve">, E. and L </w:t>
      </w:r>
      <w:proofErr w:type="spellStart"/>
      <w:r w:rsidRPr="00FE20CB">
        <w:t>Shui</w:t>
      </w:r>
      <w:proofErr w:type="spellEnd"/>
      <w:r w:rsidRPr="00FE20CB">
        <w:t xml:space="preserve"> (201</w:t>
      </w:r>
      <w:r w:rsidR="00CF754E">
        <w:t>4</w:t>
      </w:r>
      <w:r w:rsidRPr="00FE20CB">
        <w:t>): Assessing the Impact of an ECOWAS Economic Partnership Agreement with the EU on Nigeria</w:t>
      </w:r>
      <w:r w:rsidR="00CB7124">
        <w:t>,</w:t>
      </w:r>
      <w:r w:rsidR="00CF754E">
        <w:t xml:space="preserve"> </w:t>
      </w:r>
      <w:r w:rsidR="00CF754E" w:rsidRPr="00CB7124">
        <w:rPr>
          <w:i/>
        </w:rPr>
        <w:t>World Bank Africa T</w:t>
      </w:r>
      <w:r w:rsidR="00CB7124" w:rsidRPr="00CB7124">
        <w:rPr>
          <w:i/>
        </w:rPr>
        <w:t>rade Policy Working Paper</w:t>
      </w:r>
      <w:r w:rsidR="00CB7124">
        <w:t xml:space="preserve"> No. 5.</w:t>
      </w:r>
    </w:p>
    <w:p w:rsidR="00CF754E" w:rsidRPr="00FE20CB" w:rsidRDefault="00CF754E" w:rsidP="00FA7532">
      <w:r>
        <w:t>World Bank (2014): Benin Diagnostic Trade Integration Study (DTIS) Update, mimeo.</w:t>
      </w:r>
    </w:p>
    <w:p w:rsidR="00701720" w:rsidRDefault="00701720" w:rsidP="00FA7532">
      <w:pPr>
        <w:rPr>
          <w:noProof/>
        </w:rPr>
      </w:pPr>
      <w:r>
        <w:rPr>
          <w:noProof/>
        </w:rPr>
        <w:br w:type="page"/>
      </w:r>
    </w:p>
    <w:p w:rsidR="00AB097E" w:rsidRDefault="00AB097E" w:rsidP="00FA7532">
      <w:pPr>
        <w:sectPr w:rsidR="00AB097E" w:rsidSect="001A1F05">
          <w:footerReference w:type="default" r:id="rId33"/>
          <w:pgSz w:w="12240" w:h="15840"/>
          <w:pgMar w:top="1440" w:right="1440" w:bottom="1440" w:left="1440" w:header="720" w:footer="720" w:gutter="0"/>
          <w:pgNumType w:start="0"/>
          <w:cols w:space="720"/>
          <w:titlePg/>
          <w:docGrid w:linePitch="360"/>
        </w:sectPr>
      </w:pPr>
    </w:p>
    <w:p w:rsidR="00AB097E" w:rsidRDefault="00AB097E" w:rsidP="00FA7532">
      <w:pPr>
        <w:pStyle w:val="Heading1"/>
        <w:spacing w:after="200"/>
      </w:pPr>
      <w:bookmarkStart w:id="40" w:name="_Toc399860649"/>
      <w:r w:rsidRPr="00AB097E">
        <w:lastRenderedPageBreak/>
        <w:t xml:space="preserve">Annex </w:t>
      </w:r>
      <w:r w:rsidR="00A90FA6">
        <w:t>1</w:t>
      </w:r>
      <w:r w:rsidR="00D16807">
        <w:t>: Calculation Steps for Projected Loss in Fiscal Revenue from EPA</w:t>
      </w:r>
      <w:bookmarkEnd w:id="40"/>
      <w:r w:rsidRPr="00AB097E">
        <w:t xml:space="preserve"> </w:t>
      </w:r>
    </w:p>
    <w:p w:rsidR="00D16807" w:rsidRDefault="00D16807" w:rsidP="00FA7532">
      <w:pPr>
        <w:rPr>
          <w:rFonts w:ascii="Arial" w:hAnsi="Arial" w:cs="Arial"/>
          <w:sz w:val="20"/>
          <w:szCs w:val="20"/>
        </w:rPr>
      </w:pPr>
    </w:p>
    <w:p w:rsidR="00BD03C9" w:rsidRDefault="00D16807" w:rsidP="00FA7532">
      <w:pPr>
        <w:rPr>
          <w:rFonts w:ascii="Arial" w:hAnsi="Arial" w:cs="Arial"/>
          <w:sz w:val="20"/>
          <w:szCs w:val="20"/>
        </w:rPr>
      </w:pPr>
      <w:r w:rsidRPr="00D16807">
        <w:rPr>
          <w:noProof/>
        </w:rPr>
        <w:drawing>
          <wp:inline distT="0" distB="0" distL="0" distR="0" wp14:anchorId="0544897E" wp14:editId="315B58AE">
            <wp:extent cx="8743950" cy="29603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43950" cy="2960316"/>
                    </a:xfrm>
                    <a:prstGeom prst="rect">
                      <a:avLst/>
                    </a:prstGeom>
                    <a:noFill/>
                    <a:ln>
                      <a:noFill/>
                    </a:ln>
                  </pic:spPr>
                </pic:pic>
              </a:graphicData>
            </a:graphic>
          </wp:inline>
        </w:drawing>
      </w:r>
    </w:p>
    <w:p w:rsidR="0097202B" w:rsidRPr="0097202B" w:rsidRDefault="0097202B" w:rsidP="00FA7532">
      <w:pPr>
        <w:rPr>
          <w:rFonts w:ascii="Arial" w:hAnsi="Arial" w:cs="Arial"/>
          <w:sz w:val="16"/>
          <w:szCs w:val="20"/>
        </w:rPr>
      </w:pPr>
      <w:r w:rsidRPr="0097202B">
        <w:rPr>
          <w:rFonts w:ascii="Arial" w:hAnsi="Arial" w:cs="Arial"/>
          <w:sz w:val="16"/>
          <w:szCs w:val="20"/>
        </w:rPr>
        <w:t>Source: 2010 / 11 revenue data from IMF (2012), other calculations by authors.</w:t>
      </w:r>
    </w:p>
    <w:p w:rsidR="00BD03C9" w:rsidRDefault="00BD03C9" w:rsidP="00FA7532">
      <w:pPr>
        <w:rPr>
          <w:rFonts w:ascii="Arial" w:hAnsi="Arial" w:cs="Arial"/>
          <w:sz w:val="20"/>
          <w:szCs w:val="20"/>
        </w:rPr>
      </w:pPr>
    </w:p>
    <w:p w:rsidR="00BD03C9" w:rsidRPr="00761DCF" w:rsidRDefault="00BD03C9" w:rsidP="00FA7532">
      <w:pPr>
        <w:rPr>
          <w:rFonts w:ascii="Arial" w:hAnsi="Arial" w:cs="Arial"/>
          <w:sz w:val="20"/>
          <w:szCs w:val="20"/>
        </w:rPr>
      </w:pPr>
    </w:p>
    <w:p w:rsidR="00BD03C9" w:rsidRDefault="00BD03C9" w:rsidP="00FA7532">
      <w:pPr>
        <w:rPr>
          <w:rFonts w:ascii="Arial" w:hAnsi="Arial" w:cs="Arial"/>
          <w:sz w:val="20"/>
          <w:szCs w:val="20"/>
        </w:rPr>
        <w:sectPr w:rsidR="00BD03C9" w:rsidSect="00701720">
          <w:headerReference w:type="even" r:id="rId35"/>
          <w:headerReference w:type="default" r:id="rId36"/>
          <w:footerReference w:type="even" r:id="rId37"/>
          <w:footerReference w:type="default" r:id="rId38"/>
          <w:headerReference w:type="first" r:id="rId39"/>
          <w:footerReference w:type="first" r:id="rId40"/>
          <w:pgSz w:w="15840" w:h="12240" w:orient="landscape"/>
          <w:pgMar w:top="1440" w:right="900" w:bottom="1440" w:left="1170" w:header="720" w:footer="720" w:gutter="0"/>
          <w:cols w:space="720"/>
          <w:docGrid w:linePitch="360"/>
        </w:sectPr>
      </w:pPr>
    </w:p>
    <w:p w:rsidR="0097202B" w:rsidRDefault="0097202B" w:rsidP="00FA7532">
      <w:pPr>
        <w:pStyle w:val="Heading1"/>
        <w:spacing w:after="200"/>
      </w:pPr>
      <w:bookmarkStart w:id="41" w:name="_Toc399860650"/>
      <w:r>
        <w:lastRenderedPageBreak/>
        <w:t xml:space="preserve">Annex </w:t>
      </w:r>
      <w:r w:rsidR="00A90FA6">
        <w:t>2</w:t>
      </w:r>
      <w:r>
        <w:t>: Price Changes at Household Consumption Category Level</w:t>
      </w:r>
      <w:bookmarkEnd w:id="41"/>
    </w:p>
    <w:p w:rsidR="0097202B" w:rsidRDefault="0097202B" w:rsidP="00FA7532">
      <w:r w:rsidRPr="0097202B">
        <w:rPr>
          <w:noProof/>
        </w:rPr>
        <w:drawing>
          <wp:inline distT="0" distB="0" distL="0" distR="0" wp14:anchorId="1865D4A4" wp14:editId="159B43B7">
            <wp:extent cx="5943600" cy="53185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5318523"/>
                    </a:xfrm>
                    <a:prstGeom prst="rect">
                      <a:avLst/>
                    </a:prstGeom>
                    <a:noFill/>
                    <a:ln>
                      <a:noFill/>
                    </a:ln>
                  </pic:spPr>
                </pic:pic>
              </a:graphicData>
            </a:graphic>
          </wp:inline>
        </w:drawing>
      </w:r>
    </w:p>
    <w:p w:rsidR="0097202B" w:rsidRPr="0097202B" w:rsidRDefault="0097202B" w:rsidP="00FA7532">
      <w:pPr>
        <w:rPr>
          <w:rFonts w:ascii="Arial" w:hAnsi="Arial" w:cs="Arial"/>
          <w:sz w:val="16"/>
          <w:szCs w:val="20"/>
        </w:rPr>
      </w:pPr>
      <w:r w:rsidRPr="0097202B">
        <w:rPr>
          <w:rFonts w:ascii="Arial" w:hAnsi="Arial" w:cs="Arial"/>
          <w:sz w:val="16"/>
          <w:szCs w:val="20"/>
        </w:rPr>
        <w:t xml:space="preserve">Source: </w:t>
      </w:r>
      <w:r>
        <w:rPr>
          <w:rFonts w:ascii="Arial" w:hAnsi="Arial" w:cs="Arial"/>
          <w:sz w:val="16"/>
          <w:szCs w:val="20"/>
        </w:rPr>
        <w:t>Authors’</w:t>
      </w:r>
      <w:r w:rsidRPr="0097202B">
        <w:rPr>
          <w:rFonts w:ascii="Arial" w:hAnsi="Arial" w:cs="Arial"/>
          <w:sz w:val="16"/>
          <w:szCs w:val="20"/>
        </w:rPr>
        <w:t xml:space="preserve"> calculations </w:t>
      </w:r>
      <w:r>
        <w:rPr>
          <w:rFonts w:ascii="Arial" w:hAnsi="Arial" w:cs="Arial"/>
          <w:sz w:val="16"/>
          <w:szCs w:val="20"/>
        </w:rPr>
        <w:t>based on TRIST results</w:t>
      </w:r>
      <w:r w:rsidRPr="0097202B">
        <w:rPr>
          <w:rFonts w:ascii="Arial" w:hAnsi="Arial" w:cs="Arial"/>
          <w:sz w:val="16"/>
          <w:szCs w:val="20"/>
        </w:rPr>
        <w:t>.</w:t>
      </w:r>
      <w:r>
        <w:rPr>
          <w:rFonts w:ascii="Arial" w:hAnsi="Arial" w:cs="Arial"/>
          <w:sz w:val="16"/>
          <w:szCs w:val="20"/>
        </w:rPr>
        <w:t xml:space="preserve"> Non-traded household expenditure categories with no price change are omitted.  </w:t>
      </w:r>
    </w:p>
    <w:p w:rsidR="0097202B" w:rsidRPr="0097202B" w:rsidRDefault="0097202B" w:rsidP="00FA7532">
      <w:pPr>
        <w:rPr>
          <w:rFonts w:ascii="Arial" w:hAnsi="Arial" w:cs="Arial"/>
          <w:sz w:val="16"/>
          <w:szCs w:val="20"/>
        </w:rPr>
      </w:pPr>
      <w:r w:rsidRPr="0097202B">
        <w:rPr>
          <w:rFonts w:ascii="Arial" w:hAnsi="Arial" w:cs="Arial"/>
          <w:sz w:val="16"/>
          <w:szCs w:val="20"/>
        </w:rPr>
        <w:t>.</w:t>
      </w:r>
    </w:p>
    <w:p w:rsidR="00BD03C9" w:rsidRDefault="00BD03C9" w:rsidP="00FA7532">
      <w:pPr>
        <w:pStyle w:val="Heading1"/>
        <w:spacing w:after="200"/>
      </w:pPr>
      <w:r>
        <w:br w:type="page"/>
      </w:r>
    </w:p>
    <w:p w:rsidR="00BD03C9" w:rsidRDefault="00D41EC1" w:rsidP="00FA7532">
      <w:pPr>
        <w:pStyle w:val="Heading1"/>
        <w:spacing w:after="200"/>
      </w:pPr>
      <w:bookmarkStart w:id="42" w:name="_Toc399860651"/>
      <w:r>
        <w:lastRenderedPageBreak/>
        <w:t xml:space="preserve">Annex </w:t>
      </w:r>
      <w:r w:rsidR="00A90FA6">
        <w:t>3</w:t>
      </w:r>
      <w:r>
        <w:t xml:space="preserve">: </w:t>
      </w:r>
      <w:r w:rsidRPr="00D41EC1">
        <w:t>Summary Statistics on Manufacturing Firms in World Bank Enterprise Survey</w:t>
      </w:r>
      <w:bookmarkEnd w:id="42"/>
    </w:p>
    <w:p w:rsidR="00D41EC1" w:rsidRPr="00D41EC1" w:rsidRDefault="00D41EC1" w:rsidP="00FA7532"/>
    <w:p w:rsidR="00BD03C9" w:rsidRDefault="00D41EC1" w:rsidP="00FA7532">
      <w:pPr>
        <w:rPr>
          <w:rFonts w:ascii="Arial" w:hAnsi="Arial" w:cs="Arial"/>
          <w:sz w:val="20"/>
          <w:szCs w:val="20"/>
        </w:rPr>
        <w:sectPr w:rsidR="00BD03C9" w:rsidSect="00701720">
          <w:pgSz w:w="12240" w:h="15840"/>
          <w:pgMar w:top="900" w:right="1440" w:bottom="1170" w:left="1440" w:header="720" w:footer="720" w:gutter="0"/>
          <w:cols w:space="720"/>
          <w:docGrid w:linePitch="360"/>
        </w:sectPr>
      </w:pPr>
      <w:r w:rsidRPr="00D41EC1">
        <w:rPr>
          <w:noProof/>
        </w:rPr>
        <w:drawing>
          <wp:inline distT="0" distB="0" distL="0" distR="0" wp14:anchorId="00817670" wp14:editId="01A94796">
            <wp:extent cx="5943600" cy="3491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491256"/>
                    </a:xfrm>
                    <a:prstGeom prst="rect">
                      <a:avLst/>
                    </a:prstGeom>
                    <a:noFill/>
                    <a:ln>
                      <a:noFill/>
                    </a:ln>
                  </pic:spPr>
                </pic:pic>
              </a:graphicData>
            </a:graphic>
          </wp:inline>
        </w:drawing>
      </w:r>
    </w:p>
    <w:p w:rsidR="00BD03C9" w:rsidRPr="00984B49" w:rsidRDefault="00326E07" w:rsidP="00FA7532">
      <w:pPr>
        <w:pStyle w:val="Heading1"/>
        <w:spacing w:after="200"/>
      </w:pPr>
      <w:bookmarkStart w:id="43" w:name="_Toc399860652"/>
      <w:r>
        <w:lastRenderedPageBreak/>
        <w:t xml:space="preserve">Annex </w:t>
      </w:r>
      <w:r w:rsidR="00A90FA6">
        <w:t>4</w:t>
      </w:r>
      <w:r w:rsidR="00BD03C9" w:rsidRPr="00984B49">
        <w:t>: Data Sources for Firm Level Calculations</w:t>
      </w:r>
      <w:bookmarkEnd w:id="43"/>
      <w:r w:rsidR="00BD03C9" w:rsidRPr="00984B49">
        <w:t xml:space="preserve"> </w:t>
      </w:r>
    </w:p>
    <w:p w:rsidR="00BD03C9" w:rsidRPr="00E621AC" w:rsidRDefault="00BD03C9" w:rsidP="00FA7532">
      <w:pPr>
        <w:ind w:hanging="630"/>
      </w:pPr>
      <w:r>
        <w:rPr>
          <w:noProof/>
          <w:sz w:val="16"/>
        </w:rPr>
        <w:drawing>
          <wp:inline distT="0" distB="0" distL="0" distR="0" wp14:anchorId="562BEF01" wp14:editId="6E7CD076">
            <wp:extent cx="8995144" cy="459094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18348" cy="4602786"/>
                    </a:xfrm>
                    <a:prstGeom prst="rect">
                      <a:avLst/>
                    </a:prstGeom>
                    <a:noFill/>
                  </pic:spPr>
                </pic:pic>
              </a:graphicData>
            </a:graphic>
          </wp:inline>
        </w:drawing>
      </w:r>
    </w:p>
    <w:p w:rsidR="00BD03C9" w:rsidRDefault="00BD03C9" w:rsidP="00FA7532">
      <w:pPr>
        <w:rPr>
          <w:rFonts w:ascii="Arial" w:hAnsi="Arial" w:cs="Arial"/>
          <w:sz w:val="20"/>
          <w:szCs w:val="20"/>
        </w:rPr>
      </w:pPr>
      <w:r>
        <w:rPr>
          <w:rFonts w:ascii="Arial" w:hAnsi="Arial" w:cs="Arial"/>
          <w:sz w:val="20"/>
          <w:szCs w:val="20"/>
        </w:rPr>
        <w:t xml:space="preserve">Source: von </w:t>
      </w:r>
      <w:proofErr w:type="spellStart"/>
      <w:r>
        <w:rPr>
          <w:rFonts w:ascii="Arial" w:hAnsi="Arial" w:cs="Arial"/>
          <w:sz w:val="20"/>
          <w:szCs w:val="20"/>
        </w:rPr>
        <w:t>Uexkull</w:t>
      </w:r>
      <w:proofErr w:type="spellEnd"/>
      <w:r>
        <w:rPr>
          <w:rFonts w:ascii="Arial" w:hAnsi="Arial" w:cs="Arial"/>
          <w:sz w:val="20"/>
          <w:szCs w:val="20"/>
        </w:rPr>
        <w:t xml:space="preserve"> and </w:t>
      </w:r>
      <w:proofErr w:type="spellStart"/>
      <w:r>
        <w:rPr>
          <w:rFonts w:ascii="Arial" w:hAnsi="Arial" w:cs="Arial"/>
          <w:sz w:val="20"/>
          <w:szCs w:val="20"/>
        </w:rPr>
        <w:t>Shui</w:t>
      </w:r>
      <w:proofErr w:type="spellEnd"/>
      <w:r>
        <w:rPr>
          <w:rFonts w:ascii="Arial" w:hAnsi="Arial" w:cs="Arial"/>
          <w:sz w:val="20"/>
          <w:szCs w:val="20"/>
        </w:rPr>
        <w:t xml:space="preserve"> (201</w:t>
      </w:r>
      <w:r w:rsidR="00CF754E">
        <w:rPr>
          <w:rFonts w:ascii="Arial" w:hAnsi="Arial" w:cs="Arial"/>
          <w:sz w:val="20"/>
          <w:szCs w:val="20"/>
        </w:rPr>
        <w:t>4</w:t>
      </w:r>
      <w:r>
        <w:rPr>
          <w:rFonts w:ascii="Arial" w:hAnsi="Arial" w:cs="Arial"/>
          <w:sz w:val="20"/>
          <w:szCs w:val="20"/>
        </w:rPr>
        <w:t>)</w:t>
      </w:r>
    </w:p>
    <w:p w:rsidR="00BD03C9" w:rsidRDefault="00BD03C9" w:rsidP="00FA7532">
      <w:pPr>
        <w:rPr>
          <w:rFonts w:ascii="Arial" w:hAnsi="Arial" w:cs="Arial"/>
          <w:sz w:val="20"/>
          <w:szCs w:val="20"/>
        </w:rPr>
      </w:pPr>
    </w:p>
    <w:p w:rsidR="00BD03C9" w:rsidRDefault="00BD03C9" w:rsidP="00FA7532">
      <w:pPr>
        <w:rPr>
          <w:rFonts w:ascii="Arial" w:hAnsi="Arial" w:cs="Arial"/>
          <w:sz w:val="20"/>
          <w:szCs w:val="20"/>
        </w:rPr>
        <w:sectPr w:rsidR="00BD03C9" w:rsidSect="00701720">
          <w:pgSz w:w="15840" w:h="12240" w:orient="landscape"/>
          <w:pgMar w:top="1440" w:right="900" w:bottom="1440" w:left="1170" w:header="720" w:footer="720" w:gutter="0"/>
          <w:cols w:space="720"/>
          <w:docGrid w:linePitch="360"/>
        </w:sectPr>
      </w:pPr>
    </w:p>
    <w:p w:rsidR="00BD03C9" w:rsidRDefault="00326E07" w:rsidP="00FA7532">
      <w:pPr>
        <w:pStyle w:val="Heading1"/>
        <w:spacing w:after="200"/>
      </w:pPr>
      <w:bookmarkStart w:id="44" w:name="_Toc399860653"/>
      <w:r>
        <w:lastRenderedPageBreak/>
        <w:t xml:space="preserve">Annex </w:t>
      </w:r>
      <w:r w:rsidR="00A90FA6">
        <w:t>5</w:t>
      </w:r>
      <w:r w:rsidR="00BD03C9" w:rsidRPr="00984B49">
        <w:t xml:space="preserve">: </w:t>
      </w:r>
      <w:r w:rsidR="00BD03C9">
        <w:t>TRIST predicted price changes by ISIC</w:t>
      </w:r>
      <w:r>
        <w:t>, GTAP and BEC categories</w:t>
      </w:r>
      <w:bookmarkEnd w:id="44"/>
    </w:p>
    <w:p w:rsidR="00BD03C9" w:rsidRDefault="00BD03C9" w:rsidP="00FA7532">
      <w:r w:rsidRPr="0076396A">
        <w:rPr>
          <w:noProof/>
        </w:rPr>
        <w:drawing>
          <wp:inline distT="0" distB="0" distL="0" distR="0" wp14:anchorId="45564151" wp14:editId="1914A369">
            <wp:extent cx="5438692" cy="7423993"/>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39790" cy="7425491"/>
                    </a:xfrm>
                    <a:prstGeom prst="rect">
                      <a:avLst/>
                    </a:prstGeom>
                    <a:noFill/>
                    <a:ln>
                      <a:noFill/>
                    </a:ln>
                  </pic:spPr>
                </pic:pic>
              </a:graphicData>
            </a:graphic>
          </wp:inline>
        </w:drawing>
      </w:r>
    </w:p>
    <w:p w:rsidR="00BD03C9" w:rsidRDefault="00BD03C9" w:rsidP="00FA7532">
      <w:r w:rsidRPr="0076396A">
        <w:rPr>
          <w:noProof/>
        </w:rPr>
        <w:lastRenderedPageBreak/>
        <w:drawing>
          <wp:inline distT="0" distB="0" distL="0" distR="0" wp14:anchorId="47CDA499" wp14:editId="373056ED">
            <wp:extent cx="5769022" cy="6339399"/>
            <wp:effectExtent l="0" t="0" r="317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2059" cy="6342737"/>
                    </a:xfrm>
                    <a:prstGeom prst="rect">
                      <a:avLst/>
                    </a:prstGeom>
                    <a:noFill/>
                    <a:ln>
                      <a:noFill/>
                    </a:ln>
                  </pic:spPr>
                </pic:pic>
              </a:graphicData>
            </a:graphic>
          </wp:inline>
        </w:drawing>
      </w:r>
    </w:p>
    <w:p w:rsidR="00BD03C9" w:rsidRDefault="00BD03C9" w:rsidP="00FA7532">
      <w:r>
        <w:br w:type="page"/>
      </w:r>
    </w:p>
    <w:p w:rsidR="00BD03C9" w:rsidRDefault="00BD03C9" w:rsidP="00FA7532">
      <w:r w:rsidRPr="0076396A">
        <w:rPr>
          <w:noProof/>
        </w:rPr>
        <w:lastRenderedPageBreak/>
        <w:drawing>
          <wp:inline distT="0" distB="0" distL="0" distR="0" wp14:anchorId="548397AA" wp14:editId="575E3F3B">
            <wp:extent cx="5943600" cy="43865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386596"/>
                    </a:xfrm>
                    <a:prstGeom prst="rect">
                      <a:avLst/>
                    </a:prstGeom>
                    <a:noFill/>
                    <a:ln>
                      <a:noFill/>
                    </a:ln>
                  </pic:spPr>
                </pic:pic>
              </a:graphicData>
            </a:graphic>
          </wp:inline>
        </w:drawing>
      </w:r>
    </w:p>
    <w:p w:rsidR="00326E07" w:rsidRDefault="00326E07" w:rsidP="00FA7532"/>
    <w:p w:rsidR="00BD03C9" w:rsidRDefault="00BD03C9" w:rsidP="00FA7532">
      <w:r w:rsidRPr="0076396A">
        <w:rPr>
          <w:noProof/>
        </w:rPr>
        <w:drawing>
          <wp:inline distT="0" distB="0" distL="0" distR="0" wp14:anchorId="55AC988B" wp14:editId="5964EBBB">
            <wp:extent cx="4824549" cy="673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26242" cy="673467"/>
                    </a:xfrm>
                    <a:prstGeom prst="rect">
                      <a:avLst/>
                    </a:prstGeom>
                    <a:noFill/>
                    <a:ln>
                      <a:noFill/>
                    </a:ln>
                  </pic:spPr>
                </pic:pic>
              </a:graphicData>
            </a:graphic>
          </wp:inline>
        </w:drawing>
      </w:r>
    </w:p>
    <w:p w:rsidR="00BD03C9" w:rsidRDefault="00BD03C9" w:rsidP="00FA7532"/>
    <w:p w:rsidR="00BD03C9" w:rsidRPr="00BD03C9" w:rsidRDefault="00BD03C9" w:rsidP="00FA7532"/>
    <w:p w:rsidR="00A75CE3" w:rsidRDefault="00A75CE3" w:rsidP="009D1D5C">
      <w:pPr>
        <w:pStyle w:val="Heading1"/>
      </w:pPr>
      <w:r>
        <w:br w:type="page"/>
      </w:r>
    </w:p>
    <w:p w:rsidR="00E621AC" w:rsidRDefault="00A75CE3" w:rsidP="00FA7532">
      <w:pPr>
        <w:pStyle w:val="Heading1"/>
        <w:spacing w:after="200"/>
      </w:pPr>
      <w:bookmarkStart w:id="45" w:name="_Toc399860654"/>
      <w:r>
        <w:lastRenderedPageBreak/>
        <w:t xml:space="preserve">Annex </w:t>
      </w:r>
      <w:r w:rsidR="00AA1CE2">
        <w:t>6</w:t>
      </w:r>
      <w:r>
        <w:t xml:space="preserve">: Key findings of von </w:t>
      </w:r>
      <w:proofErr w:type="spellStart"/>
      <w:r>
        <w:t>Uexkull</w:t>
      </w:r>
      <w:proofErr w:type="spellEnd"/>
      <w:r>
        <w:t xml:space="preserve"> and </w:t>
      </w:r>
      <w:proofErr w:type="spellStart"/>
      <w:r>
        <w:t>Shui</w:t>
      </w:r>
      <w:proofErr w:type="spellEnd"/>
      <w:r>
        <w:t xml:space="preserve"> (201</w:t>
      </w:r>
      <w:r w:rsidR="00CF754E">
        <w:t>4</w:t>
      </w:r>
      <w:r>
        <w:t>) on the Effect of Implementing the ECOWAS Common External Tariff on Nigeria</w:t>
      </w:r>
      <w:r>
        <w:rPr>
          <w:rStyle w:val="FootnoteReference"/>
        </w:rPr>
        <w:footnoteReference w:id="3"/>
      </w:r>
      <w:bookmarkEnd w:id="45"/>
    </w:p>
    <w:p w:rsidR="00A75CE3" w:rsidRDefault="00A75CE3" w:rsidP="00FA7532">
      <w:pPr>
        <w:jc w:val="both"/>
      </w:pPr>
      <w:r>
        <w:t xml:space="preserve">The Policy Note ‘Implementing the ECOWAS Common External Tariff: Challenges and Opportunities for Nigeria’ was prepared at the request of the Nigerian President’s Economic Advisor to inform the Government on the impact of implementing the new ECOWAS Common External Tariff (CET). The CET has been discussed and negotiated among ECOWAS members and is expected to come into force by January 1, 2014. The report’s findings are expected to be inputs for the government’s decisions towards the adoption of the new ECOWAS CET. </w:t>
      </w:r>
    </w:p>
    <w:p w:rsidR="00A75CE3" w:rsidRDefault="00A75CE3" w:rsidP="00FA7532">
      <w:pPr>
        <w:jc w:val="both"/>
      </w:pPr>
      <w:r w:rsidRPr="00A514D9">
        <w:t>Th</w:t>
      </w:r>
      <w:r>
        <w:t>e</w:t>
      </w:r>
      <w:r w:rsidRPr="00A514D9">
        <w:t xml:space="preserve"> note uses the World Bank’s Tariff Reform Impact Simulation Tool (TRIST) to assess the potential effects </w:t>
      </w:r>
      <w:r>
        <w:t xml:space="preserve">three scenarios: </w:t>
      </w:r>
      <w:proofErr w:type="spellStart"/>
      <w:r>
        <w:t>i</w:t>
      </w:r>
      <w:proofErr w:type="spellEnd"/>
      <w:r>
        <w:t>) keeping in place current import bans and levies which are charged in addition to tariffs, while implementing the CET tariff rate on non-banned products ii) removing the import bans and implementing the CET rate on all products, but keeping the additional import levies in place and iii) fully implementing the CET on all products and completely removing import bans and levies</w:t>
      </w:r>
      <w:r w:rsidRPr="00A514D9">
        <w:t xml:space="preserve">. </w:t>
      </w:r>
      <w:r>
        <w:t>The note</w:t>
      </w:r>
      <w:r w:rsidRPr="00A514D9">
        <w:t xml:space="preserve"> finds that implementing the CET would have significant and largely positive effects on Nigerian consumers and producers</w:t>
      </w:r>
      <w:r>
        <w:t>, but</w:t>
      </w:r>
      <w:r w:rsidRPr="00A514D9">
        <w:t xml:space="preserve"> only</w:t>
      </w:r>
      <w:r>
        <w:t xml:space="preserve"> under the third scenario</w:t>
      </w:r>
      <w:r w:rsidRPr="00A514D9">
        <w:t xml:space="preserve"> </w:t>
      </w:r>
      <w:r>
        <w:t>which</w:t>
      </w:r>
      <w:r w:rsidRPr="00A514D9">
        <w:t xml:space="preserve"> includes the removal of import bans and special import levies. </w:t>
      </w:r>
      <w:r>
        <w:t xml:space="preserve">In this case, imports could be expected to increase </w:t>
      </w:r>
      <w:r w:rsidRPr="00A514D9">
        <w:t xml:space="preserve">between 3 and 5 percent. </w:t>
      </w:r>
    </w:p>
    <w:p w:rsidR="00A75CE3" w:rsidRPr="00A514D9" w:rsidRDefault="00A75CE3" w:rsidP="00FA7532">
      <w:pPr>
        <w:jc w:val="both"/>
      </w:pPr>
      <w:r>
        <w:t>Tariff revenue w</w:t>
      </w:r>
      <w:r w:rsidRPr="00A514D9">
        <w:t>ould increase if import bans are replace</w:t>
      </w:r>
      <w:r>
        <w:t>d</w:t>
      </w:r>
      <w:r w:rsidRPr="00A514D9">
        <w:t xml:space="preserve"> with ad valorem tariffs, but once </w:t>
      </w:r>
      <w:r>
        <w:t xml:space="preserve">import </w:t>
      </w:r>
      <w:r w:rsidRPr="00A514D9">
        <w:t xml:space="preserve">levies are also removed the net effect </w:t>
      </w:r>
      <w:r>
        <w:t xml:space="preserve">is likely to be </w:t>
      </w:r>
      <w:r w:rsidRPr="00A514D9">
        <w:t>negative</w:t>
      </w:r>
      <w:r>
        <w:t>, though a precise estimation is difficult given data limitations</w:t>
      </w:r>
      <w:r w:rsidRPr="00A514D9">
        <w:t xml:space="preserve">. A significant share of this loss could be </w:t>
      </w:r>
      <w:r>
        <w:t>offset by expected revenue gained from increased formalization of imports that are currently smuggled as the CET reduces the incentives for such activities. Overall, tariff and other trade taxes account for just 3.7 percent of total government revenue, so the overall fiscal effect would be small.</w:t>
      </w:r>
    </w:p>
    <w:p w:rsidR="00A75CE3" w:rsidRPr="00747CE1" w:rsidRDefault="00A75CE3" w:rsidP="00FA7532">
      <w:pPr>
        <w:jc w:val="both"/>
      </w:pPr>
      <w:r w:rsidRPr="00747CE1">
        <w:t xml:space="preserve">The full </w:t>
      </w:r>
      <w:r>
        <w:t>CET</w:t>
      </w:r>
      <w:r w:rsidRPr="00747CE1">
        <w:t xml:space="preserve"> scenario, including the removal of import bans and levies, would also significantly benefit Nigerian consumers, who could expect to see the price of their average consumption bundle decline by around 2.4 percent. </w:t>
      </w:r>
      <w:r>
        <w:t xml:space="preserve">The main channel of impact would be the removal of the levy on rice. </w:t>
      </w:r>
      <w:r w:rsidRPr="00747CE1">
        <w:t>On the contrary, if the bans and levies are kept in place</w:t>
      </w:r>
      <w:r>
        <w:t xml:space="preserve"> under scenario </w:t>
      </w:r>
      <w:proofErr w:type="spellStart"/>
      <w:r>
        <w:t>i</w:t>
      </w:r>
      <w:proofErr w:type="spellEnd"/>
      <w:r>
        <w:t xml:space="preserve">), </w:t>
      </w:r>
      <w:r w:rsidRPr="00747CE1">
        <w:t xml:space="preserve">implementing the CET on non-banned products would lead to an increase in the price of the average consumption basket that would disproportionately affect the poor. </w:t>
      </w:r>
    </w:p>
    <w:p w:rsidR="00A75CE3" w:rsidRDefault="00A75CE3" w:rsidP="00FA7532">
      <w:pPr>
        <w:jc w:val="both"/>
      </w:pPr>
      <w:r>
        <w:t xml:space="preserve">Overall, </w:t>
      </w:r>
      <w:r w:rsidRPr="00747CE1">
        <w:t>CET implementation</w:t>
      </w:r>
      <w:r>
        <w:t xml:space="preserve"> under all three scenarios would benefit</w:t>
      </w:r>
      <w:r w:rsidRPr="00747CE1">
        <w:t xml:space="preserve"> the majority of manufacturing firms in </w:t>
      </w:r>
      <w:r w:rsidRPr="00F74731">
        <w:t>Nigeria (between 60 and 75 percent),</w:t>
      </w:r>
      <w:r w:rsidRPr="00747CE1">
        <w:t xml:space="preserve"> accounting for the majority of manufacturing jobs</w:t>
      </w:r>
      <w:r>
        <w:t>.</w:t>
      </w:r>
      <w:r w:rsidRPr="00747CE1">
        <w:t xml:space="preserve"> </w:t>
      </w:r>
      <w:r>
        <w:t xml:space="preserve">Their profit is expected to be higher after the reform </w:t>
      </w:r>
      <w:r w:rsidRPr="00747CE1">
        <w:t xml:space="preserve">due to lower prices on </w:t>
      </w:r>
      <w:r>
        <w:t>intermediate</w:t>
      </w:r>
      <w:r w:rsidRPr="00747CE1">
        <w:t xml:space="preserve"> inputs, and in some cases higher protection for </w:t>
      </w:r>
      <w:r>
        <w:t>these firms’</w:t>
      </w:r>
      <w:r w:rsidRPr="00747CE1">
        <w:t xml:space="preserve"> outputs.</w:t>
      </w:r>
      <w:r>
        <w:t xml:space="preserve"> Firms that are already exporting can also be expected to gain through cheaper access to intermediate inputs, more preferential market access in the region, and in particular trade facilitation effects associated with a simplified customs regime if bans and levies are removed. </w:t>
      </w:r>
    </w:p>
    <w:p w:rsidR="00A75CE3" w:rsidRPr="00747CE1" w:rsidRDefault="00A75CE3" w:rsidP="00FA7532">
      <w:pPr>
        <w:jc w:val="both"/>
      </w:pPr>
      <w:r>
        <w:lastRenderedPageBreak/>
        <w:t>The remaining domestic firms in the manufacturing sector could experience declines in their profitability as the domestic price of their main outputs would be lower after the CET is in force and levies and bans are removed. In most cases, they would</w:t>
      </w:r>
      <w:r w:rsidRPr="00747CE1">
        <w:t xml:space="preserve"> nevertheless remain profitable. </w:t>
      </w:r>
      <w:r>
        <w:t>The m</w:t>
      </w:r>
      <w:r w:rsidRPr="00747CE1">
        <w:t xml:space="preserve">ost negative effects are likely to </w:t>
      </w:r>
      <w:r>
        <w:t>be concentrated on</w:t>
      </w:r>
      <w:r w:rsidRPr="00747CE1">
        <w:t xml:space="preserve"> the textile and apparel sectors, where adjustment assistance might be required. Geographical disparities </w:t>
      </w:r>
      <w:r>
        <w:t>could</w:t>
      </w:r>
      <w:r w:rsidRPr="00747CE1">
        <w:t xml:space="preserve"> also arise, suggesting</w:t>
      </w:r>
      <w:r>
        <w:t xml:space="preserve"> a</w:t>
      </w:r>
      <w:r w:rsidRPr="00747CE1">
        <w:t xml:space="preserve"> possible rational</w:t>
      </w:r>
      <w:r>
        <w:t>e</w:t>
      </w:r>
      <w:r w:rsidRPr="00747CE1">
        <w:t xml:space="preserve"> for adjustment assistance targeted to states with a disproportionate amount of negatively affected firms. While negative effects are likely to be concentrated on relatively few firms, benefits in terms of lower input prices are distributed rather evenly </w:t>
      </w:r>
      <w:r>
        <w:t>and could give a significant boost in competitiveness to the manufacturing sector as a whole.</w:t>
      </w:r>
    </w:p>
    <w:p w:rsidR="00A75CE3" w:rsidRDefault="00A75CE3" w:rsidP="00FA7532">
      <w:pPr>
        <w:jc w:val="both"/>
      </w:pPr>
      <w:r w:rsidRPr="00747CE1">
        <w:t>Firm leve</w:t>
      </w:r>
      <w:r>
        <w:t>l data suggest</w:t>
      </w:r>
      <w:r w:rsidRPr="00747CE1">
        <w:t xml:space="preserve"> that exporting to the regional market can be an important first step beyond the home market for Nigerian firms that may not yet be competitive in the global market. Implementation of the CET will open new opportunities for Nigerian firms in the regional market. </w:t>
      </w:r>
      <w:r>
        <w:t>On average, t</w:t>
      </w:r>
      <w:r w:rsidRPr="00747CE1">
        <w:t>he preferential margin</w:t>
      </w:r>
      <w:r>
        <w:t xml:space="preserve"> over competitors from the rest of the world in ECOWAS markets is bound to increase</w:t>
      </w:r>
      <w:r w:rsidRPr="00747CE1">
        <w:t xml:space="preserve"> for </w:t>
      </w:r>
      <w:r>
        <w:t xml:space="preserve">Nigerian firms as </w:t>
      </w:r>
      <w:r w:rsidRPr="00747CE1">
        <w:t>partner</w:t>
      </w:r>
      <w:r>
        <w:t xml:space="preserve"> countries implement the new CET, though there are disparities across industries and partner countries.</w:t>
      </w:r>
      <w:r w:rsidRPr="00747CE1">
        <w:t xml:space="preserve"> In particular, sizeable new opportunities can be expected in the food and beverage industry, and in the market of Ghana</w:t>
      </w:r>
      <w:r>
        <w:t>, which is large in economic terms and likely to undergo substantial increases in the preferential margin for Nigerian firms under the CET</w:t>
      </w:r>
      <w:r w:rsidRPr="00747CE1">
        <w:t xml:space="preserve">. In addition, implementation of the CET and removal of the import bans and levies </w:t>
      </w:r>
      <w:r>
        <w:t>w</w:t>
      </w:r>
      <w:r w:rsidRPr="00747CE1">
        <w:t xml:space="preserve">ould contribute to trade facilitation </w:t>
      </w:r>
      <w:r>
        <w:t xml:space="preserve">at both Nigerian and regional borders </w:t>
      </w:r>
      <w:r w:rsidRPr="00747CE1">
        <w:t xml:space="preserve">by reducing complexity, diminishing the incentives for informal trade and smuggling, and promoting </w:t>
      </w:r>
      <w:r>
        <w:t>trade facilitation</w:t>
      </w:r>
      <w:r w:rsidRPr="00747CE1">
        <w:t>. In the future, moving towards a full Customs Union where tariffs are collected at the border of entry rather than in the country of consumption could render even greater trade facilitation benefits by removing the need for rules of origin and transit regulations.</w:t>
      </w:r>
    </w:p>
    <w:p w:rsidR="00A75CE3" w:rsidRPr="00A75CE3" w:rsidRDefault="00A75CE3" w:rsidP="00FA7532"/>
    <w:sectPr w:rsidR="00A75CE3" w:rsidRPr="00A75CE3" w:rsidSect="00BD03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066" w:rsidRDefault="005F3066" w:rsidP="00F3774C">
      <w:pPr>
        <w:spacing w:after="0" w:line="240" w:lineRule="auto"/>
      </w:pPr>
      <w:r>
        <w:separator/>
      </w:r>
    </w:p>
  </w:endnote>
  <w:endnote w:type="continuationSeparator" w:id="0">
    <w:p w:rsidR="005F3066" w:rsidRDefault="005F3066" w:rsidP="00F37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935410"/>
      <w:docPartObj>
        <w:docPartGallery w:val="Page Numbers (Bottom of Page)"/>
        <w:docPartUnique/>
      </w:docPartObj>
    </w:sdtPr>
    <w:sdtEndPr>
      <w:rPr>
        <w:noProof/>
      </w:rPr>
    </w:sdtEndPr>
    <w:sdtContent>
      <w:p w:rsidR="007D2C92" w:rsidRDefault="007D2C92">
        <w:pPr>
          <w:pStyle w:val="Footer"/>
          <w:jc w:val="center"/>
        </w:pPr>
        <w:r>
          <w:fldChar w:fldCharType="begin"/>
        </w:r>
        <w:r>
          <w:instrText xml:space="preserve"> PAGE   \* MERGEFORMAT </w:instrText>
        </w:r>
        <w:r>
          <w:fldChar w:fldCharType="separate"/>
        </w:r>
        <w:r w:rsidR="00170E25">
          <w:rPr>
            <w:noProof/>
          </w:rPr>
          <w:t>1</w:t>
        </w:r>
        <w:r>
          <w:rPr>
            <w:noProof/>
          </w:rPr>
          <w:fldChar w:fldCharType="end"/>
        </w:r>
      </w:p>
    </w:sdtContent>
  </w:sdt>
  <w:p w:rsidR="007D2C92" w:rsidRDefault="007D2C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92" w:rsidRDefault="007D2C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845574"/>
      <w:docPartObj>
        <w:docPartGallery w:val="Page Numbers (Bottom of Page)"/>
        <w:docPartUnique/>
      </w:docPartObj>
    </w:sdtPr>
    <w:sdtEndPr>
      <w:rPr>
        <w:noProof/>
      </w:rPr>
    </w:sdtEndPr>
    <w:sdtContent>
      <w:p w:rsidR="007D2C92" w:rsidRDefault="007D2C92">
        <w:pPr>
          <w:pStyle w:val="Footer"/>
          <w:jc w:val="center"/>
        </w:pPr>
        <w:r>
          <w:fldChar w:fldCharType="begin"/>
        </w:r>
        <w:r>
          <w:instrText xml:space="preserve"> PAGE   \* MERGEFORMAT </w:instrText>
        </w:r>
        <w:r>
          <w:fldChar w:fldCharType="separate"/>
        </w:r>
        <w:r w:rsidR="00170E25">
          <w:rPr>
            <w:noProof/>
          </w:rPr>
          <w:t>43</w:t>
        </w:r>
        <w:r>
          <w:rPr>
            <w:noProof/>
          </w:rPr>
          <w:fldChar w:fldCharType="end"/>
        </w:r>
      </w:p>
    </w:sdtContent>
  </w:sdt>
  <w:p w:rsidR="007D2C92" w:rsidRDefault="007D2C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92" w:rsidRDefault="007D2C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066" w:rsidRDefault="005F3066" w:rsidP="00F3774C">
      <w:pPr>
        <w:spacing w:after="0" w:line="240" w:lineRule="auto"/>
      </w:pPr>
      <w:r>
        <w:separator/>
      </w:r>
    </w:p>
  </w:footnote>
  <w:footnote w:type="continuationSeparator" w:id="0">
    <w:p w:rsidR="005F3066" w:rsidRDefault="005F3066" w:rsidP="00F3774C">
      <w:pPr>
        <w:spacing w:after="0" w:line="240" w:lineRule="auto"/>
      </w:pPr>
      <w:r>
        <w:continuationSeparator/>
      </w:r>
    </w:p>
  </w:footnote>
  <w:footnote w:id="1">
    <w:p w:rsidR="007D2C92" w:rsidRDefault="007D2C92" w:rsidP="008B1209">
      <w:pPr>
        <w:pStyle w:val="FootnoteText"/>
      </w:pPr>
      <w:r>
        <w:rPr>
          <w:rStyle w:val="FootnoteReference"/>
        </w:rPr>
        <w:footnoteRef/>
      </w:r>
      <w:r>
        <w:t xml:space="preserve"> This section is based on von </w:t>
      </w:r>
      <w:proofErr w:type="spellStart"/>
      <w:r>
        <w:t>Uexkull</w:t>
      </w:r>
      <w:proofErr w:type="spellEnd"/>
      <w:r>
        <w:t xml:space="preserve"> and </w:t>
      </w:r>
      <w:proofErr w:type="spellStart"/>
      <w:r>
        <w:t>Shui</w:t>
      </w:r>
      <w:proofErr w:type="spellEnd"/>
      <w:r>
        <w:t xml:space="preserve"> (2014).</w:t>
      </w:r>
    </w:p>
  </w:footnote>
  <w:footnote w:id="2">
    <w:p w:rsidR="007D2C92" w:rsidRDefault="007D2C92">
      <w:pPr>
        <w:pStyle w:val="FootnoteText"/>
      </w:pPr>
      <w:r>
        <w:rPr>
          <w:rStyle w:val="FootnoteReference"/>
        </w:rPr>
        <w:footnoteRef/>
      </w:r>
      <w:r>
        <w:t xml:space="preserve"> Projection is based on total government revenue figures from IMF (2012).</w:t>
      </w:r>
    </w:p>
  </w:footnote>
  <w:footnote w:id="3">
    <w:p w:rsidR="007D2C92" w:rsidRDefault="007D2C92">
      <w:pPr>
        <w:pStyle w:val="FootnoteText"/>
      </w:pPr>
      <w:r>
        <w:rPr>
          <w:rStyle w:val="FootnoteReference"/>
        </w:rPr>
        <w:footnoteRef/>
      </w:r>
      <w:r>
        <w:t xml:space="preserve"> This section is an excerpt from von </w:t>
      </w:r>
      <w:proofErr w:type="spellStart"/>
      <w:r>
        <w:t>Uexkull</w:t>
      </w:r>
      <w:proofErr w:type="spellEnd"/>
      <w:r>
        <w:t xml:space="preserve"> and </w:t>
      </w:r>
      <w:proofErr w:type="spellStart"/>
      <w:r>
        <w:t>Shui</w:t>
      </w:r>
      <w:proofErr w:type="spellEnd"/>
      <w:r>
        <w:t xml:space="preserve">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92" w:rsidRDefault="007D2C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92" w:rsidRDefault="007D2C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C92" w:rsidRDefault="007D2C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2441"/>
    <w:multiLevelType w:val="hybridMultilevel"/>
    <w:tmpl w:val="34A03A0A"/>
    <w:lvl w:ilvl="0" w:tplc="FD7E9286">
      <w:start w:val="1"/>
      <w:numFmt w:val="bullet"/>
      <w:lvlText w:val=""/>
      <w:lvlJc w:val="left"/>
      <w:pPr>
        <w:tabs>
          <w:tab w:val="num" w:pos="720"/>
        </w:tabs>
        <w:ind w:left="720" w:hanging="360"/>
      </w:pPr>
      <w:rPr>
        <w:rFonts w:ascii="Wingdings" w:hAnsi="Wingdings" w:hint="default"/>
      </w:rPr>
    </w:lvl>
    <w:lvl w:ilvl="1" w:tplc="C406988C" w:tentative="1">
      <w:start w:val="1"/>
      <w:numFmt w:val="bullet"/>
      <w:lvlText w:val=""/>
      <w:lvlJc w:val="left"/>
      <w:pPr>
        <w:tabs>
          <w:tab w:val="num" w:pos="1440"/>
        </w:tabs>
        <w:ind w:left="1440" w:hanging="360"/>
      </w:pPr>
      <w:rPr>
        <w:rFonts w:ascii="Wingdings" w:hAnsi="Wingdings" w:hint="default"/>
      </w:rPr>
    </w:lvl>
    <w:lvl w:ilvl="2" w:tplc="B8BA5FBA" w:tentative="1">
      <w:start w:val="1"/>
      <w:numFmt w:val="bullet"/>
      <w:lvlText w:val=""/>
      <w:lvlJc w:val="left"/>
      <w:pPr>
        <w:tabs>
          <w:tab w:val="num" w:pos="2160"/>
        </w:tabs>
        <w:ind w:left="2160" w:hanging="360"/>
      </w:pPr>
      <w:rPr>
        <w:rFonts w:ascii="Wingdings" w:hAnsi="Wingdings" w:hint="default"/>
      </w:rPr>
    </w:lvl>
    <w:lvl w:ilvl="3" w:tplc="DC8EC24C" w:tentative="1">
      <w:start w:val="1"/>
      <w:numFmt w:val="bullet"/>
      <w:lvlText w:val=""/>
      <w:lvlJc w:val="left"/>
      <w:pPr>
        <w:tabs>
          <w:tab w:val="num" w:pos="2880"/>
        </w:tabs>
        <w:ind w:left="2880" w:hanging="360"/>
      </w:pPr>
      <w:rPr>
        <w:rFonts w:ascii="Wingdings" w:hAnsi="Wingdings" w:hint="default"/>
      </w:rPr>
    </w:lvl>
    <w:lvl w:ilvl="4" w:tplc="82A6C3BA" w:tentative="1">
      <w:start w:val="1"/>
      <w:numFmt w:val="bullet"/>
      <w:lvlText w:val=""/>
      <w:lvlJc w:val="left"/>
      <w:pPr>
        <w:tabs>
          <w:tab w:val="num" w:pos="3600"/>
        </w:tabs>
        <w:ind w:left="3600" w:hanging="360"/>
      </w:pPr>
      <w:rPr>
        <w:rFonts w:ascii="Wingdings" w:hAnsi="Wingdings" w:hint="default"/>
      </w:rPr>
    </w:lvl>
    <w:lvl w:ilvl="5" w:tplc="6A1C23C0" w:tentative="1">
      <w:start w:val="1"/>
      <w:numFmt w:val="bullet"/>
      <w:lvlText w:val=""/>
      <w:lvlJc w:val="left"/>
      <w:pPr>
        <w:tabs>
          <w:tab w:val="num" w:pos="4320"/>
        </w:tabs>
        <w:ind w:left="4320" w:hanging="360"/>
      </w:pPr>
      <w:rPr>
        <w:rFonts w:ascii="Wingdings" w:hAnsi="Wingdings" w:hint="default"/>
      </w:rPr>
    </w:lvl>
    <w:lvl w:ilvl="6" w:tplc="C53052E4" w:tentative="1">
      <w:start w:val="1"/>
      <w:numFmt w:val="bullet"/>
      <w:lvlText w:val=""/>
      <w:lvlJc w:val="left"/>
      <w:pPr>
        <w:tabs>
          <w:tab w:val="num" w:pos="5040"/>
        </w:tabs>
        <w:ind w:left="5040" w:hanging="360"/>
      </w:pPr>
      <w:rPr>
        <w:rFonts w:ascii="Wingdings" w:hAnsi="Wingdings" w:hint="default"/>
      </w:rPr>
    </w:lvl>
    <w:lvl w:ilvl="7" w:tplc="7174DFF6" w:tentative="1">
      <w:start w:val="1"/>
      <w:numFmt w:val="bullet"/>
      <w:lvlText w:val=""/>
      <w:lvlJc w:val="left"/>
      <w:pPr>
        <w:tabs>
          <w:tab w:val="num" w:pos="5760"/>
        </w:tabs>
        <w:ind w:left="5760" w:hanging="360"/>
      </w:pPr>
      <w:rPr>
        <w:rFonts w:ascii="Wingdings" w:hAnsi="Wingdings" w:hint="default"/>
      </w:rPr>
    </w:lvl>
    <w:lvl w:ilvl="8" w:tplc="9B5A3506" w:tentative="1">
      <w:start w:val="1"/>
      <w:numFmt w:val="bullet"/>
      <w:lvlText w:val=""/>
      <w:lvlJc w:val="left"/>
      <w:pPr>
        <w:tabs>
          <w:tab w:val="num" w:pos="6480"/>
        </w:tabs>
        <w:ind w:left="6480" w:hanging="360"/>
      </w:pPr>
      <w:rPr>
        <w:rFonts w:ascii="Wingdings" w:hAnsi="Wingdings" w:hint="default"/>
      </w:rPr>
    </w:lvl>
  </w:abstractNum>
  <w:abstractNum w:abstractNumId="1">
    <w:nsid w:val="02326DA4"/>
    <w:multiLevelType w:val="hybridMultilevel"/>
    <w:tmpl w:val="D6669F48"/>
    <w:lvl w:ilvl="0" w:tplc="29702230">
      <w:start w:val="1"/>
      <w:numFmt w:val="bullet"/>
      <w:lvlText w:val="•"/>
      <w:lvlJc w:val="left"/>
      <w:pPr>
        <w:tabs>
          <w:tab w:val="num" w:pos="720"/>
        </w:tabs>
        <w:ind w:left="720" w:hanging="360"/>
      </w:pPr>
      <w:rPr>
        <w:rFonts w:ascii="Arial" w:hAnsi="Arial" w:hint="default"/>
      </w:rPr>
    </w:lvl>
    <w:lvl w:ilvl="1" w:tplc="E17AAE16">
      <w:start w:val="421"/>
      <w:numFmt w:val="bullet"/>
      <w:lvlText w:val=""/>
      <w:lvlJc w:val="left"/>
      <w:pPr>
        <w:tabs>
          <w:tab w:val="num" w:pos="1440"/>
        </w:tabs>
        <w:ind w:left="1440" w:hanging="360"/>
      </w:pPr>
      <w:rPr>
        <w:rFonts w:ascii="Wingdings" w:hAnsi="Wingdings" w:hint="default"/>
      </w:rPr>
    </w:lvl>
    <w:lvl w:ilvl="2" w:tplc="249CD9D4" w:tentative="1">
      <w:start w:val="1"/>
      <w:numFmt w:val="bullet"/>
      <w:lvlText w:val="•"/>
      <w:lvlJc w:val="left"/>
      <w:pPr>
        <w:tabs>
          <w:tab w:val="num" w:pos="2160"/>
        </w:tabs>
        <w:ind w:left="2160" w:hanging="360"/>
      </w:pPr>
      <w:rPr>
        <w:rFonts w:ascii="Arial" w:hAnsi="Arial" w:hint="default"/>
      </w:rPr>
    </w:lvl>
    <w:lvl w:ilvl="3" w:tplc="419A34EC" w:tentative="1">
      <w:start w:val="1"/>
      <w:numFmt w:val="bullet"/>
      <w:lvlText w:val="•"/>
      <w:lvlJc w:val="left"/>
      <w:pPr>
        <w:tabs>
          <w:tab w:val="num" w:pos="2880"/>
        </w:tabs>
        <w:ind w:left="2880" w:hanging="360"/>
      </w:pPr>
      <w:rPr>
        <w:rFonts w:ascii="Arial" w:hAnsi="Arial" w:hint="default"/>
      </w:rPr>
    </w:lvl>
    <w:lvl w:ilvl="4" w:tplc="B576DFE6" w:tentative="1">
      <w:start w:val="1"/>
      <w:numFmt w:val="bullet"/>
      <w:lvlText w:val="•"/>
      <w:lvlJc w:val="left"/>
      <w:pPr>
        <w:tabs>
          <w:tab w:val="num" w:pos="3600"/>
        </w:tabs>
        <w:ind w:left="3600" w:hanging="360"/>
      </w:pPr>
      <w:rPr>
        <w:rFonts w:ascii="Arial" w:hAnsi="Arial" w:hint="default"/>
      </w:rPr>
    </w:lvl>
    <w:lvl w:ilvl="5" w:tplc="264EEAFA" w:tentative="1">
      <w:start w:val="1"/>
      <w:numFmt w:val="bullet"/>
      <w:lvlText w:val="•"/>
      <w:lvlJc w:val="left"/>
      <w:pPr>
        <w:tabs>
          <w:tab w:val="num" w:pos="4320"/>
        </w:tabs>
        <w:ind w:left="4320" w:hanging="360"/>
      </w:pPr>
      <w:rPr>
        <w:rFonts w:ascii="Arial" w:hAnsi="Arial" w:hint="default"/>
      </w:rPr>
    </w:lvl>
    <w:lvl w:ilvl="6" w:tplc="0E9E490A" w:tentative="1">
      <w:start w:val="1"/>
      <w:numFmt w:val="bullet"/>
      <w:lvlText w:val="•"/>
      <w:lvlJc w:val="left"/>
      <w:pPr>
        <w:tabs>
          <w:tab w:val="num" w:pos="5040"/>
        </w:tabs>
        <w:ind w:left="5040" w:hanging="360"/>
      </w:pPr>
      <w:rPr>
        <w:rFonts w:ascii="Arial" w:hAnsi="Arial" w:hint="default"/>
      </w:rPr>
    </w:lvl>
    <w:lvl w:ilvl="7" w:tplc="5FB4F948" w:tentative="1">
      <w:start w:val="1"/>
      <w:numFmt w:val="bullet"/>
      <w:lvlText w:val="•"/>
      <w:lvlJc w:val="left"/>
      <w:pPr>
        <w:tabs>
          <w:tab w:val="num" w:pos="5760"/>
        </w:tabs>
        <w:ind w:left="5760" w:hanging="360"/>
      </w:pPr>
      <w:rPr>
        <w:rFonts w:ascii="Arial" w:hAnsi="Arial" w:hint="default"/>
      </w:rPr>
    </w:lvl>
    <w:lvl w:ilvl="8" w:tplc="FA64810A" w:tentative="1">
      <w:start w:val="1"/>
      <w:numFmt w:val="bullet"/>
      <w:lvlText w:val="•"/>
      <w:lvlJc w:val="left"/>
      <w:pPr>
        <w:tabs>
          <w:tab w:val="num" w:pos="6480"/>
        </w:tabs>
        <w:ind w:left="6480" w:hanging="360"/>
      </w:pPr>
      <w:rPr>
        <w:rFonts w:ascii="Arial" w:hAnsi="Arial" w:hint="default"/>
      </w:rPr>
    </w:lvl>
  </w:abstractNum>
  <w:abstractNum w:abstractNumId="2">
    <w:nsid w:val="095119FC"/>
    <w:multiLevelType w:val="hybridMultilevel"/>
    <w:tmpl w:val="362244D6"/>
    <w:lvl w:ilvl="0" w:tplc="1252171A">
      <w:start w:val="1"/>
      <w:numFmt w:val="bullet"/>
      <w:lvlText w:val="•"/>
      <w:lvlJc w:val="left"/>
      <w:pPr>
        <w:tabs>
          <w:tab w:val="num" w:pos="720"/>
        </w:tabs>
        <w:ind w:left="720" w:hanging="360"/>
      </w:pPr>
      <w:rPr>
        <w:rFonts w:ascii="Arial" w:hAnsi="Arial" w:hint="default"/>
      </w:rPr>
    </w:lvl>
    <w:lvl w:ilvl="1" w:tplc="9D10F866" w:tentative="1">
      <w:start w:val="1"/>
      <w:numFmt w:val="bullet"/>
      <w:lvlText w:val="•"/>
      <w:lvlJc w:val="left"/>
      <w:pPr>
        <w:tabs>
          <w:tab w:val="num" w:pos="1440"/>
        </w:tabs>
        <w:ind w:left="1440" w:hanging="360"/>
      </w:pPr>
      <w:rPr>
        <w:rFonts w:ascii="Arial" w:hAnsi="Arial" w:hint="default"/>
      </w:rPr>
    </w:lvl>
    <w:lvl w:ilvl="2" w:tplc="F36E5CE0">
      <w:start w:val="819"/>
      <w:numFmt w:val="bullet"/>
      <w:lvlText w:val=""/>
      <w:lvlJc w:val="left"/>
      <w:pPr>
        <w:tabs>
          <w:tab w:val="num" w:pos="2160"/>
        </w:tabs>
        <w:ind w:left="2160" w:hanging="360"/>
      </w:pPr>
      <w:rPr>
        <w:rFonts w:ascii="Wingdings" w:hAnsi="Wingdings" w:hint="default"/>
      </w:rPr>
    </w:lvl>
    <w:lvl w:ilvl="3" w:tplc="8118FC70" w:tentative="1">
      <w:start w:val="1"/>
      <w:numFmt w:val="bullet"/>
      <w:lvlText w:val="•"/>
      <w:lvlJc w:val="left"/>
      <w:pPr>
        <w:tabs>
          <w:tab w:val="num" w:pos="2880"/>
        </w:tabs>
        <w:ind w:left="2880" w:hanging="360"/>
      </w:pPr>
      <w:rPr>
        <w:rFonts w:ascii="Arial" w:hAnsi="Arial" w:hint="default"/>
      </w:rPr>
    </w:lvl>
    <w:lvl w:ilvl="4" w:tplc="DA4044C0" w:tentative="1">
      <w:start w:val="1"/>
      <w:numFmt w:val="bullet"/>
      <w:lvlText w:val="•"/>
      <w:lvlJc w:val="left"/>
      <w:pPr>
        <w:tabs>
          <w:tab w:val="num" w:pos="3600"/>
        </w:tabs>
        <w:ind w:left="3600" w:hanging="360"/>
      </w:pPr>
      <w:rPr>
        <w:rFonts w:ascii="Arial" w:hAnsi="Arial" w:hint="default"/>
      </w:rPr>
    </w:lvl>
    <w:lvl w:ilvl="5" w:tplc="E5D25CA4" w:tentative="1">
      <w:start w:val="1"/>
      <w:numFmt w:val="bullet"/>
      <w:lvlText w:val="•"/>
      <w:lvlJc w:val="left"/>
      <w:pPr>
        <w:tabs>
          <w:tab w:val="num" w:pos="4320"/>
        </w:tabs>
        <w:ind w:left="4320" w:hanging="360"/>
      </w:pPr>
      <w:rPr>
        <w:rFonts w:ascii="Arial" w:hAnsi="Arial" w:hint="default"/>
      </w:rPr>
    </w:lvl>
    <w:lvl w:ilvl="6" w:tplc="52088E88" w:tentative="1">
      <w:start w:val="1"/>
      <w:numFmt w:val="bullet"/>
      <w:lvlText w:val="•"/>
      <w:lvlJc w:val="left"/>
      <w:pPr>
        <w:tabs>
          <w:tab w:val="num" w:pos="5040"/>
        </w:tabs>
        <w:ind w:left="5040" w:hanging="360"/>
      </w:pPr>
      <w:rPr>
        <w:rFonts w:ascii="Arial" w:hAnsi="Arial" w:hint="default"/>
      </w:rPr>
    </w:lvl>
    <w:lvl w:ilvl="7" w:tplc="9A345376" w:tentative="1">
      <w:start w:val="1"/>
      <w:numFmt w:val="bullet"/>
      <w:lvlText w:val="•"/>
      <w:lvlJc w:val="left"/>
      <w:pPr>
        <w:tabs>
          <w:tab w:val="num" w:pos="5760"/>
        </w:tabs>
        <w:ind w:left="5760" w:hanging="360"/>
      </w:pPr>
      <w:rPr>
        <w:rFonts w:ascii="Arial" w:hAnsi="Arial" w:hint="default"/>
      </w:rPr>
    </w:lvl>
    <w:lvl w:ilvl="8" w:tplc="5288C606" w:tentative="1">
      <w:start w:val="1"/>
      <w:numFmt w:val="bullet"/>
      <w:lvlText w:val="•"/>
      <w:lvlJc w:val="left"/>
      <w:pPr>
        <w:tabs>
          <w:tab w:val="num" w:pos="6480"/>
        </w:tabs>
        <w:ind w:left="6480" w:hanging="360"/>
      </w:pPr>
      <w:rPr>
        <w:rFonts w:ascii="Arial" w:hAnsi="Arial" w:hint="default"/>
      </w:rPr>
    </w:lvl>
  </w:abstractNum>
  <w:abstractNum w:abstractNumId="3">
    <w:nsid w:val="0A2B57DC"/>
    <w:multiLevelType w:val="hybridMultilevel"/>
    <w:tmpl w:val="6262C764"/>
    <w:lvl w:ilvl="0" w:tplc="0409000F">
      <w:start w:val="1"/>
      <w:numFmt w:val="decimal"/>
      <w:lvlText w:val="%1."/>
      <w:lvlJc w:val="left"/>
      <w:pPr>
        <w:ind w:left="1080" w:hanging="72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E37A44"/>
    <w:multiLevelType w:val="multilevel"/>
    <w:tmpl w:val="98AA2764"/>
    <w:lvl w:ilvl="0">
      <w:start w:val="1"/>
      <w:numFmt w:val="bullet"/>
      <w:lvlText w:val=""/>
      <w:lvlJc w:val="left"/>
      <w:pPr>
        <w:ind w:left="420" w:hanging="420"/>
      </w:pPr>
      <w:rPr>
        <w:rFonts w:ascii="Wingdings" w:hAnsi="Wingding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220081D"/>
    <w:multiLevelType w:val="hybridMultilevel"/>
    <w:tmpl w:val="FEE67C02"/>
    <w:lvl w:ilvl="0" w:tplc="B9989A40">
      <w:start w:val="1"/>
      <w:numFmt w:val="bullet"/>
      <w:lvlText w:val="•"/>
      <w:lvlJc w:val="left"/>
      <w:pPr>
        <w:tabs>
          <w:tab w:val="num" w:pos="720"/>
        </w:tabs>
        <w:ind w:left="720" w:hanging="360"/>
      </w:pPr>
      <w:rPr>
        <w:rFonts w:ascii="Arial" w:hAnsi="Arial" w:hint="default"/>
      </w:rPr>
    </w:lvl>
    <w:lvl w:ilvl="1" w:tplc="199CC226" w:tentative="1">
      <w:start w:val="1"/>
      <w:numFmt w:val="bullet"/>
      <w:lvlText w:val="•"/>
      <w:lvlJc w:val="left"/>
      <w:pPr>
        <w:tabs>
          <w:tab w:val="num" w:pos="1440"/>
        </w:tabs>
        <w:ind w:left="1440" w:hanging="360"/>
      </w:pPr>
      <w:rPr>
        <w:rFonts w:ascii="Arial" w:hAnsi="Arial" w:hint="default"/>
      </w:rPr>
    </w:lvl>
    <w:lvl w:ilvl="2" w:tplc="D00859A8" w:tentative="1">
      <w:start w:val="1"/>
      <w:numFmt w:val="bullet"/>
      <w:lvlText w:val="•"/>
      <w:lvlJc w:val="left"/>
      <w:pPr>
        <w:tabs>
          <w:tab w:val="num" w:pos="2160"/>
        </w:tabs>
        <w:ind w:left="2160" w:hanging="360"/>
      </w:pPr>
      <w:rPr>
        <w:rFonts w:ascii="Arial" w:hAnsi="Arial" w:hint="default"/>
      </w:rPr>
    </w:lvl>
    <w:lvl w:ilvl="3" w:tplc="1C88D22C" w:tentative="1">
      <w:start w:val="1"/>
      <w:numFmt w:val="bullet"/>
      <w:lvlText w:val="•"/>
      <w:lvlJc w:val="left"/>
      <w:pPr>
        <w:tabs>
          <w:tab w:val="num" w:pos="2880"/>
        </w:tabs>
        <w:ind w:left="2880" w:hanging="360"/>
      </w:pPr>
      <w:rPr>
        <w:rFonts w:ascii="Arial" w:hAnsi="Arial" w:hint="default"/>
      </w:rPr>
    </w:lvl>
    <w:lvl w:ilvl="4" w:tplc="9FA61290" w:tentative="1">
      <w:start w:val="1"/>
      <w:numFmt w:val="bullet"/>
      <w:lvlText w:val="•"/>
      <w:lvlJc w:val="left"/>
      <w:pPr>
        <w:tabs>
          <w:tab w:val="num" w:pos="3600"/>
        </w:tabs>
        <w:ind w:left="3600" w:hanging="360"/>
      </w:pPr>
      <w:rPr>
        <w:rFonts w:ascii="Arial" w:hAnsi="Arial" w:hint="default"/>
      </w:rPr>
    </w:lvl>
    <w:lvl w:ilvl="5" w:tplc="961A034A" w:tentative="1">
      <w:start w:val="1"/>
      <w:numFmt w:val="bullet"/>
      <w:lvlText w:val="•"/>
      <w:lvlJc w:val="left"/>
      <w:pPr>
        <w:tabs>
          <w:tab w:val="num" w:pos="4320"/>
        </w:tabs>
        <w:ind w:left="4320" w:hanging="360"/>
      </w:pPr>
      <w:rPr>
        <w:rFonts w:ascii="Arial" w:hAnsi="Arial" w:hint="default"/>
      </w:rPr>
    </w:lvl>
    <w:lvl w:ilvl="6" w:tplc="A28A1CE6" w:tentative="1">
      <w:start w:val="1"/>
      <w:numFmt w:val="bullet"/>
      <w:lvlText w:val="•"/>
      <w:lvlJc w:val="left"/>
      <w:pPr>
        <w:tabs>
          <w:tab w:val="num" w:pos="5040"/>
        </w:tabs>
        <w:ind w:left="5040" w:hanging="360"/>
      </w:pPr>
      <w:rPr>
        <w:rFonts w:ascii="Arial" w:hAnsi="Arial" w:hint="default"/>
      </w:rPr>
    </w:lvl>
    <w:lvl w:ilvl="7" w:tplc="21AE5B92" w:tentative="1">
      <w:start w:val="1"/>
      <w:numFmt w:val="bullet"/>
      <w:lvlText w:val="•"/>
      <w:lvlJc w:val="left"/>
      <w:pPr>
        <w:tabs>
          <w:tab w:val="num" w:pos="5760"/>
        </w:tabs>
        <w:ind w:left="5760" w:hanging="360"/>
      </w:pPr>
      <w:rPr>
        <w:rFonts w:ascii="Arial" w:hAnsi="Arial" w:hint="default"/>
      </w:rPr>
    </w:lvl>
    <w:lvl w:ilvl="8" w:tplc="8A8A6012" w:tentative="1">
      <w:start w:val="1"/>
      <w:numFmt w:val="bullet"/>
      <w:lvlText w:val="•"/>
      <w:lvlJc w:val="left"/>
      <w:pPr>
        <w:tabs>
          <w:tab w:val="num" w:pos="6480"/>
        </w:tabs>
        <w:ind w:left="6480" w:hanging="360"/>
      </w:pPr>
      <w:rPr>
        <w:rFonts w:ascii="Arial" w:hAnsi="Arial" w:hint="default"/>
      </w:rPr>
    </w:lvl>
  </w:abstractNum>
  <w:abstractNum w:abstractNumId="6">
    <w:nsid w:val="17E26223"/>
    <w:multiLevelType w:val="hybridMultilevel"/>
    <w:tmpl w:val="4762D876"/>
    <w:lvl w:ilvl="0" w:tplc="E1D4FDD6">
      <w:start w:val="1"/>
      <w:numFmt w:val="bullet"/>
      <w:lvlText w:val="•"/>
      <w:lvlJc w:val="left"/>
      <w:pPr>
        <w:tabs>
          <w:tab w:val="num" w:pos="720"/>
        </w:tabs>
        <w:ind w:left="720" w:hanging="360"/>
      </w:pPr>
      <w:rPr>
        <w:rFonts w:ascii="Arial" w:hAnsi="Arial" w:hint="default"/>
      </w:rPr>
    </w:lvl>
    <w:lvl w:ilvl="1" w:tplc="B8809EBC" w:tentative="1">
      <w:start w:val="1"/>
      <w:numFmt w:val="bullet"/>
      <w:lvlText w:val="•"/>
      <w:lvlJc w:val="left"/>
      <w:pPr>
        <w:tabs>
          <w:tab w:val="num" w:pos="1440"/>
        </w:tabs>
        <w:ind w:left="1440" w:hanging="360"/>
      </w:pPr>
      <w:rPr>
        <w:rFonts w:ascii="Arial" w:hAnsi="Arial" w:hint="default"/>
      </w:rPr>
    </w:lvl>
    <w:lvl w:ilvl="2" w:tplc="26365732" w:tentative="1">
      <w:start w:val="1"/>
      <w:numFmt w:val="bullet"/>
      <w:lvlText w:val="•"/>
      <w:lvlJc w:val="left"/>
      <w:pPr>
        <w:tabs>
          <w:tab w:val="num" w:pos="2160"/>
        </w:tabs>
        <w:ind w:left="2160" w:hanging="360"/>
      </w:pPr>
      <w:rPr>
        <w:rFonts w:ascii="Arial" w:hAnsi="Arial" w:hint="default"/>
      </w:rPr>
    </w:lvl>
    <w:lvl w:ilvl="3" w:tplc="80FCB292" w:tentative="1">
      <w:start w:val="1"/>
      <w:numFmt w:val="bullet"/>
      <w:lvlText w:val="•"/>
      <w:lvlJc w:val="left"/>
      <w:pPr>
        <w:tabs>
          <w:tab w:val="num" w:pos="2880"/>
        </w:tabs>
        <w:ind w:left="2880" w:hanging="360"/>
      </w:pPr>
      <w:rPr>
        <w:rFonts w:ascii="Arial" w:hAnsi="Arial" w:hint="default"/>
      </w:rPr>
    </w:lvl>
    <w:lvl w:ilvl="4" w:tplc="0BCCE0A4" w:tentative="1">
      <w:start w:val="1"/>
      <w:numFmt w:val="bullet"/>
      <w:lvlText w:val="•"/>
      <w:lvlJc w:val="left"/>
      <w:pPr>
        <w:tabs>
          <w:tab w:val="num" w:pos="3600"/>
        </w:tabs>
        <w:ind w:left="3600" w:hanging="360"/>
      </w:pPr>
      <w:rPr>
        <w:rFonts w:ascii="Arial" w:hAnsi="Arial" w:hint="default"/>
      </w:rPr>
    </w:lvl>
    <w:lvl w:ilvl="5" w:tplc="7A92D6B6" w:tentative="1">
      <w:start w:val="1"/>
      <w:numFmt w:val="bullet"/>
      <w:lvlText w:val="•"/>
      <w:lvlJc w:val="left"/>
      <w:pPr>
        <w:tabs>
          <w:tab w:val="num" w:pos="4320"/>
        </w:tabs>
        <w:ind w:left="4320" w:hanging="360"/>
      </w:pPr>
      <w:rPr>
        <w:rFonts w:ascii="Arial" w:hAnsi="Arial" w:hint="default"/>
      </w:rPr>
    </w:lvl>
    <w:lvl w:ilvl="6" w:tplc="B276F480" w:tentative="1">
      <w:start w:val="1"/>
      <w:numFmt w:val="bullet"/>
      <w:lvlText w:val="•"/>
      <w:lvlJc w:val="left"/>
      <w:pPr>
        <w:tabs>
          <w:tab w:val="num" w:pos="5040"/>
        </w:tabs>
        <w:ind w:left="5040" w:hanging="360"/>
      </w:pPr>
      <w:rPr>
        <w:rFonts w:ascii="Arial" w:hAnsi="Arial" w:hint="default"/>
      </w:rPr>
    </w:lvl>
    <w:lvl w:ilvl="7" w:tplc="87F0822E" w:tentative="1">
      <w:start w:val="1"/>
      <w:numFmt w:val="bullet"/>
      <w:lvlText w:val="•"/>
      <w:lvlJc w:val="left"/>
      <w:pPr>
        <w:tabs>
          <w:tab w:val="num" w:pos="5760"/>
        </w:tabs>
        <w:ind w:left="5760" w:hanging="360"/>
      </w:pPr>
      <w:rPr>
        <w:rFonts w:ascii="Arial" w:hAnsi="Arial" w:hint="default"/>
      </w:rPr>
    </w:lvl>
    <w:lvl w:ilvl="8" w:tplc="9454C7DE" w:tentative="1">
      <w:start w:val="1"/>
      <w:numFmt w:val="bullet"/>
      <w:lvlText w:val="•"/>
      <w:lvlJc w:val="left"/>
      <w:pPr>
        <w:tabs>
          <w:tab w:val="num" w:pos="6480"/>
        </w:tabs>
        <w:ind w:left="6480" w:hanging="360"/>
      </w:pPr>
      <w:rPr>
        <w:rFonts w:ascii="Arial" w:hAnsi="Arial" w:hint="default"/>
      </w:rPr>
    </w:lvl>
  </w:abstractNum>
  <w:abstractNum w:abstractNumId="7">
    <w:nsid w:val="181474E9"/>
    <w:multiLevelType w:val="multilevel"/>
    <w:tmpl w:val="9C02808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8714C7E"/>
    <w:multiLevelType w:val="hybridMultilevel"/>
    <w:tmpl w:val="8304D0CA"/>
    <w:lvl w:ilvl="0" w:tplc="739212DA">
      <w:start w:val="1"/>
      <w:numFmt w:val="bullet"/>
      <w:lvlText w:val=""/>
      <w:lvlJc w:val="left"/>
      <w:pPr>
        <w:tabs>
          <w:tab w:val="num" w:pos="720"/>
        </w:tabs>
        <w:ind w:left="720" w:hanging="360"/>
      </w:pPr>
      <w:rPr>
        <w:rFonts w:ascii="Wingdings" w:hAnsi="Wingdings" w:hint="default"/>
      </w:rPr>
    </w:lvl>
    <w:lvl w:ilvl="1" w:tplc="743A7462" w:tentative="1">
      <w:start w:val="1"/>
      <w:numFmt w:val="bullet"/>
      <w:lvlText w:val=""/>
      <w:lvlJc w:val="left"/>
      <w:pPr>
        <w:tabs>
          <w:tab w:val="num" w:pos="1440"/>
        </w:tabs>
        <w:ind w:left="1440" w:hanging="360"/>
      </w:pPr>
      <w:rPr>
        <w:rFonts w:ascii="Wingdings" w:hAnsi="Wingdings" w:hint="default"/>
      </w:rPr>
    </w:lvl>
    <w:lvl w:ilvl="2" w:tplc="6E124834" w:tentative="1">
      <w:start w:val="1"/>
      <w:numFmt w:val="bullet"/>
      <w:lvlText w:val=""/>
      <w:lvlJc w:val="left"/>
      <w:pPr>
        <w:tabs>
          <w:tab w:val="num" w:pos="2160"/>
        </w:tabs>
        <w:ind w:left="2160" w:hanging="360"/>
      </w:pPr>
      <w:rPr>
        <w:rFonts w:ascii="Wingdings" w:hAnsi="Wingdings" w:hint="default"/>
      </w:rPr>
    </w:lvl>
    <w:lvl w:ilvl="3" w:tplc="75CEE196" w:tentative="1">
      <w:start w:val="1"/>
      <w:numFmt w:val="bullet"/>
      <w:lvlText w:val=""/>
      <w:lvlJc w:val="left"/>
      <w:pPr>
        <w:tabs>
          <w:tab w:val="num" w:pos="2880"/>
        </w:tabs>
        <w:ind w:left="2880" w:hanging="360"/>
      </w:pPr>
      <w:rPr>
        <w:rFonts w:ascii="Wingdings" w:hAnsi="Wingdings" w:hint="default"/>
      </w:rPr>
    </w:lvl>
    <w:lvl w:ilvl="4" w:tplc="D1540AAC" w:tentative="1">
      <w:start w:val="1"/>
      <w:numFmt w:val="bullet"/>
      <w:lvlText w:val=""/>
      <w:lvlJc w:val="left"/>
      <w:pPr>
        <w:tabs>
          <w:tab w:val="num" w:pos="3600"/>
        </w:tabs>
        <w:ind w:left="3600" w:hanging="360"/>
      </w:pPr>
      <w:rPr>
        <w:rFonts w:ascii="Wingdings" w:hAnsi="Wingdings" w:hint="default"/>
      </w:rPr>
    </w:lvl>
    <w:lvl w:ilvl="5" w:tplc="E06C1FE4" w:tentative="1">
      <w:start w:val="1"/>
      <w:numFmt w:val="bullet"/>
      <w:lvlText w:val=""/>
      <w:lvlJc w:val="left"/>
      <w:pPr>
        <w:tabs>
          <w:tab w:val="num" w:pos="4320"/>
        </w:tabs>
        <w:ind w:left="4320" w:hanging="360"/>
      </w:pPr>
      <w:rPr>
        <w:rFonts w:ascii="Wingdings" w:hAnsi="Wingdings" w:hint="default"/>
      </w:rPr>
    </w:lvl>
    <w:lvl w:ilvl="6" w:tplc="C96024EC" w:tentative="1">
      <w:start w:val="1"/>
      <w:numFmt w:val="bullet"/>
      <w:lvlText w:val=""/>
      <w:lvlJc w:val="left"/>
      <w:pPr>
        <w:tabs>
          <w:tab w:val="num" w:pos="5040"/>
        </w:tabs>
        <w:ind w:left="5040" w:hanging="360"/>
      </w:pPr>
      <w:rPr>
        <w:rFonts w:ascii="Wingdings" w:hAnsi="Wingdings" w:hint="default"/>
      </w:rPr>
    </w:lvl>
    <w:lvl w:ilvl="7" w:tplc="C51C4316" w:tentative="1">
      <w:start w:val="1"/>
      <w:numFmt w:val="bullet"/>
      <w:lvlText w:val=""/>
      <w:lvlJc w:val="left"/>
      <w:pPr>
        <w:tabs>
          <w:tab w:val="num" w:pos="5760"/>
        </w:tabs>
        <w:ind w:left="5760" w:hanging="360"/>
      </w:pPr>
      <w:rPr>
        <w:rFonts w:ascii="Wingdings" w:hAnsi="Wingdings" w:hint="default"/>
      </w:rPr>
    </w:lvl>
    <w:lvl w:ilvl="8" w:tplc="1DFA6E44" w:tentative="1">
      <w:start w:val="1"/>
      <w:numFmt w:val="bullet"/>
      <w:lvlText w:val=""/>
      <w:lvlJc w:val="left"/>
      <w:pPr>
        <w:tabs>
          <w:tab w:val="num" w:pos="6480"/>
        </w:tabs>
        <w:ind w:left="6480" w:hanging="360"/>
      </w:pPr>
      <w:rPr>
        <w:rFonts w:ascii="Wingdings" w:hAnsi="Wingdings" w:hint="default"/>
      </w:rPr>
    </w:lvl>
  </w:abstractNum>
  <w:abstractNum w:abstractNumId="9">
    <w:nsid w:val="1B275A77"/>
    <w:multiLevelType w:val="hybridMultilevel"/>
    <w:tmpl w:val="925A11F4"/>
    <w:lvl w:ilvl="0" w:tplc="FA66B9CC">
      <w:start w:val="1"/>
      <w:numFmt w:val="bullet"/>
      <w:lvlText w:val=""/>
      <w:lvlJc w:val="left"/>
      <w:pPr>
        <w:tabs>
          <w:tab w:val="num" w:pos="720"/>
        </w:tabs>
        <w:ind w:left="720" w:hanging="360"/>
      </w:pPr>
      <w:rPr>
        <w:rFonts w:ascii="Wingdings" w:hAnsi="Wingdings" w:hint="default"/>
      </w:rPr>
    </w:lvl>
    <w:lvl w:ilvl="1" w:tplc="76DE9D6A" w:tentative="1">
      <w:start w:val="1"/>
      <w:numFmt w:val="bullet"/>
      <w:lvlText w:val=""/>
      <w:lvlJc w:val="left"/>
      <w:pPr>
        <w:tabs>
          <w:tab w:val="num" w:pos="1440"/>
        </w:tabs>
        <w:ind w:left="1440" w:hanging="360"/>
      </w:pPr>
      <w:rPr>
        <w:rFonts w:ascii="Wingdings" w:hAnsi="Wingdings" w:hint="default"/>
      </w:rPr>
    </w:lvl>
    <w:lvl w:ilvl="2" w:tplc="8AA419E2" w:tentative="1">
      <w:start w:val="1"/>
      <w:numFmt w:val="bullet"/>
      <w:lvlText w:val=""/>
      <w:lvlJc w:val="left"/>
      <w:pPr>
        <w:tabs>
          <w:tab w:val="num" w:pos="2160"/>
        </w:tabs>
        <w:ind w:left="2160" w:hanging="360"/>
      </w:pPr>
      <w:rPr>
        <w:rFonts w:ascii="Wingdings" w:hAnsi="Wingdings" w:hint="default"/>
      </w:rPr>
    </w:lvl>
    <w:lvl w:ilvl="3" w:tplc="52D07990" w:tentative="1">
      <w:start w:val="1"/>
      <w:numFmt w:val="bullet"/>
      <w:lvlText w:val=""/>
      <w:lvlJc w:val="left"/>
      <w:pPr>
        <w:tabs>
          <w:tab w:val="num" w:pos="2880"/>
        </w:tabs>
        <w:ind w:left="2880" w:hanging="360"/>
      </w:pPr>
      <w:rPr>
        <w:rFonts w:ascii="Wingdings" w:hAnsi="Wingdings" w:hint="default"/>
      </w:rPr>
    </w:lvl>
    <w:lvl w:ilvl="4" w:tplc="1C32F38C" w:tentative="1">
      <w:start w:val="1"/>
      <w:numFmt w:val="bullet"/>
      <w:lvlText w:val=""/>
      <w:lvlJc w:val="left"/>
      <w:pPr>
        <w:tabs>
          <w:tab w:val="num" w:pos="3600"/>
        </w:tabs>
        <w:ind w:left="3600" w:hanging="360"/>
      </w:pPr>
      <w:rPr>
        <w:rFonts w:ascii="Wingdings" w:hAnsi="Wingdings" w:hint="default"/>
      </w:rPr>
    </w:lvl>
    <w:lvl w:ilvl="5" w:tplc="C5561CB6" w:tentative="1">
      <w:start w:val="1"/>
      <w:numFmt w:val="bullet"/>
      <w:lvlText w:val=""/>
      <w:lvlJc w:val="left"/>
      <w:pPr>
        <w:tabs>
          <w:tab w:val="num" w:pos="4320"/>
        </w:tabs>
        <w:ind w:left="4320" w:hanging="360"/>
      </w:pPr>
      <w:rPr>
        <w:rFonts w:ascii="Wingdings" w:hAnsi="Wingdings" w:hint="default"/>
      </w:rPr>
    </w:lvl>
    <w:lvl w:ilvl="6" w:tplc="BDE8058A" w:tentative="1">
      <w:start w:val="1"/>
      <w:numFmt w:val="bullet"/>
      <w:lvlText w:val=""/>
      <w:lvlJc w:val="left"/>
      <w:pPr>
        <w:tabs>
          <w:tab w:val="num" w:pos="5040"/>
        </w:tabs>
        <w:ind w:left="5040" w:hanging="360"/>
      </w:pPr>
      <w:rPr>
        <w:rFonts w:ascii="Wingdings" w:hAnsi="Wingdings" w:hint="default"/>
      </w:rPr>
    </w:lvl>
    <w:lvl w:ilvl="7" w:tplc="E8606B9E" w:tentative="1">
      <w:start w:val="1"/>
      <w:numFmt w:val="bullet"/>
      <w:lvlText w:val=""/>
      <w:lvlJc w:val="left"/>
      <w:pPr>
        <w:tabs>
          <w:tab w:val="num" w:pos="5760"/>
        </w:tabs>
        <w:ind w:left="5760" w:hanging="360"/>
      </w:pPr>
      <w:rPr>
        <w:rFonts w:ascii="Wingdings" w:hAnsi="Wingdings" w:hint="default"/>
      </w:rPr>
    </w:lvl>
    <w:lvl w:ilvl="8" w:tplc="E9227F20" w:tentative="1">
      <w:start w:val="1"/>
      <w:numFmt w:val="bullet"/>
      <w:lvlText w:val=""/>
      <w:lvlJc w:val="left"/>
      <w:pPr>
        <w:tabs>
          <w:tab w:val="num" w:pos="6480"/>
        </w:tabs>
        <w:ind w:left="6480" w:hanging="360"/>
      </w:pPr>
      <w:rPr>
        <w:rFonts w:ascii="Wingdings" w:hAnsi="Wingdings" w:hint="default"/>
      </w:rPr>
    </w:lvl>
  </w:abstractNum>
  <w:abstractNum w:abstractNumId="10">
    <w:nsid w:val="1B762DF7"/>
    <w:multiLevelType w:val="hybridMultilevel"/>
    <w:tmpl w:val="0BE6D7D0"/>
    <w:lvl w:ilvl="0" w:tplc="29702230">
      <w:start w:val="1"/>
      <w:numFmt w:val="bullet"/>
      <w:lvlText w:val="•"/>
      <w:lvlJc w:val="left"/>
      <w:pPr>
        <w:tabs>
          <w:tab w:val="num" w:pos="720"/>
        </w:tabs>
        <w:ind w:left="720" w:hanging="360"/>
      </w:pPr>
      <w:rPr>
        <w:rFonts w:ascii="Arial" w:hAnsi="Arial" w:hint="default"/>
      </w:rPr>
    </w:lvl>
    <w:lvl w:ilvl="1" w:tplc="04090005">
      <w:start w:val="1"/>
      <w:numFmt w:val="bullet"/>
      <w:lvlText w:val=""/>
      <w:lvlJc w:val="left"/>
      <w:pPr>
        <w:tabs>
          <w:tab w:val="num" w:pos="1440"/>
        </w:tabs>
        <w:ind w:left="1440" w:hanging="360"/>
      </w:pPr>
      <w:rPr>
        <w:rFonts w:ascii="Wingdings" w:hAnsi="Wingdings" w:hint="default"/>
      </w:rPr>
    </w:lvl>
    <w:lvl w:ilvl="2" w:tplc="249CD9D4" w:tentative="1">
      <w:start w:val="1"/>
      <w:numFmt w:val="bullet"/>
      <w:lvlText w:val="•"/>
      <w:lvlJc w:val="left"/>
      <w:pPr>
        <w:tabs>
          <w:tab w:val="num" w:pos="2160"/>
        </w:tabs>
        <w:ind w:left="2160" w:hanging="360"/>
      </w:pPr>
      <w:rPr>
        <w:rFonts w:ascii="Arial" w:hAnsi="Arial" w:hint="default"/>
      </w:rPr>
    </w:lvl>
    <w:lvl w:ilvl="3" w:tplc="419A34EC" w:tentative="1">
      <w:start w:val="1"/>
      <w:numFmt w:val="bullet"/>
      <w:lvlText w:val="•"/>
      <w:lvlJc w:val="left"/>
      <w:pPr>
        <w:tabs>
          <w:tab w:val="num" w:pos="2880"/>
        </w:tabs>
        <w:ind w:left="2880" w:hanging="360"/>
      </w:pPr>
      <w:rPr>
        <w:rFonts w:ascii="Arial" w:hAnsi="Arial" w:hint="default"/>
      </w:rPr>
    </w:lvl>
    <w:lvl w:ilvl="4" w:tplc="B576DFE6" w:tentative="1">
      <w:start w:val="1"/>
      <w:numFmt w:val="bullet"/>
      <w:lvlText w:val="•"/>
      <w:lvlJc w:val="left"/>
      <w:pPr>
        <w:tabs>
          <w:tab w:val="num" w:pos="3600"/>
        </w:tabs>
        <w:ind w:left="3600" w:hanging="360"/>
      </w:pPr>
      <w:rPr>
        <w:rFonts w:ascii="Arial" w:hAnsi="Arial" w:hint="default"/>
      </w:rPr>
    </w:lvl>
    <w:lvl w:ilvl="5" w:tplc="264EEAFA" w:tentative="1">
      <w:start w:val="1"/>
      <w:numFmt w:val="bullet"/>
      <w:lvlText w:val="•"/>
      <w:lvlJc w:val="left"/>
      <w:pPr>
        <w:tabs>
          <w:tab w:val="num" w:pos="4320"/>
        </w:tabs>
        <w:ind w:left="4320" w:hanging="360"/>
      </w:pPr>
      <w:rPr>
        <w:rFonts w:ascii="Arial" w:hAnsi="Arial" w:hint="default"/>
      </w:rPr>
    </w:lvl>
    <w:lvl w:ilvl="6" w:tplc="0E9E490A" w:tentative="1">
      <w:start w:val="1"/>
      <w:numFmt w:val="bullet"/>
      <w:lvlText w:val="•"/>
      <w:lvlJc w:val="left"/>
      <w:pPr>
        <w:tabs>
          <w:tab w:val="num" w:pos="5040"/>
        </w:tabs>
        <w:ind w:left="5040" w:hanging="360"/>
      </w:pPr>
      <w:rPr>
        <w:rFonts w:ascii="Arial" w:hAnsi="Arial" w:hint="default"/>
      </w:rPr>
    </w:lvl>
    <w:lvl w:ilvl="7" w:tplc="5FB4F948" w:tentative="1">
      <w:start w:val="1"/>
      <w:numFmt w:val="bullet"/>
      <w:lvlText w:val="•"/>
      <w:lvlJc w:val="left"/>
      <w:pPr>
        <w:tabs>
          <w:tab w:val="num" w:pos="5760"/>
        </w:tabs>
        <w:ind w:left="5760" w:hanging="360"/>
      </w:pPr>
      <w:rPr>
        <w:rFonts w:ascii="Arial" w:hAnsi="Arial" w:hint="default"/>
      </w:rPr>
    </w:lvl>
    <w:lvl w:ilvl="8" w:tplc="FA64810A" w:tentative="1">
      <w:start w:val="1"/>
      <w:numFmt w:val="bullet"/>
      <w:lvlText w:val="•"/>
      <w:lvlJc w:val="left"/>
      <w:pPr>
        <w:tabs>
          <w:tab w:val="num" w:pos="6480"/>
        </w:tabs>
        <w:ind w:left="6480" w:hanging="360"/>
      </w:pPr>
      <w:rPr>
        <w:rFonts w:ascii="Arial" w:hAnsi="Arial" w:hint="default"/>
      </w:rPr>
    </w:lvl>
  </w:abstractNum>
  <w:abstractNum w:abstractNumId="11">
    <w:nsid w:val="2021540A"/>
    <w:multiLevelType w:val="multilevel"/>
    <w:tmpl w:val="6862D766"/>
    <w:lvl w:ilvl="0">
      <w:start w:val="1"/>
      <w:numFmt w:val="bullet"/>
      <w:lvlText w:val=""/>
      <w:lvlJc w:val="left"/>
      <w:pPr>
        <w:ind w:left="420" w:hanging="420"/>
      </w:pPr>
      <w:rPr>
        <w:rFonts w:ascii="Wingdings" w:hAnsi="Wingding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2D1D75A9"/>
    <w:multiLevelType w:val="hybridMultilevel"/>
    <w:tmpl w:val="5EC28CEE"/>
    <w:lvl w:ilvl="0" w:tplc="F1781948">
      <w:start w:val="1"/>
      <w:numFmt w:val="bullet"/>
      <w:lvlText w:val=""/>
      <w:lvlJc w:val="left"/>
      <w:pPr>
        <w:tabs>
          <w:tab w:val="num" w:pos="720"/>
        </w:tabs>
        <w:ind w:left="720" w:hanging="360"/>
      </w:pPr>
      <w:rPr>
        <w:rFonts w:ascii="Wingdings" w:hAnsi="Wingdings" w:hint="default"/>
      </w:rPr>
    </w:lvl>
    <w:lvl w:ilvl="1" w:tplc="62B8AC32" w:tentative="1">
      <w:start w:val="1"/>
      <w:numFmt w:val="bullet"/>
      <w:lvlText w:val=""/>
      <w:lvlJc w:val="left"/>
      <w:pPr>
        <w:tabs>
          <w:tab w:val="num" w:pos="1440"/>
        </w:tabs>
        <w:ind w:left="1440" w:hanging="360"/>
      </w:pPr>
      <w:rPr>
        <w:rFonts w:ascii="Wingdings" w:hAnsi="Wingdings" w:hint="default"/>
      </w:rPr>
    </w:lvl>
    <w:lvl w:ilvl="2" w:tplc="8DF8CEBA" w:tentative="1">
      <w:start w:val="1"/>
      <w:numFmt w:val="bullet"/>
      <w:lvlText w:val=""/>
      <w:lvlJc w:val="left"/>
      <w:pPr>
        <w:tabs>
          <w:tab w:val="num" w:pos="2160"/>
        </w:tabs>
        <w:ind w:left="2160" w:hanging="360"/>
      </w:pPr>
      <w:rPr>
        <w:rFonts w:ascii="Wingdings" w:hAnsi="Wingdings" w:hint="default"/>
      </w:rPr>
    </w:lvl>
    <w:lvl w:ilvl="3" w:tplc="3DD0E096" w:tentative="1">
      <w:start w:val="1"/>
      <w:numFmt w:val="bullet"/>
      <w:lvlText w:val=""/>
      <w:lvlJc w:val="left"/>
      <w:pPr>
        <w:tabs>
          <w:tab w:val="num" w:pos="2880"/>
        </w:tabs>
        <w:ind w:left="2880" w:hanging="360"/>
      </w:pPr>
      <w:rPr>
        <w:rFonts w:ascii="Wingdings" w:hAnsi="Wingdings" w:hint="default"/>
      </w:rPr>
    </w:lvl>
    <w:lvl w:ilvl="4" w:tplc="88AA67AA" w:tentative="1">
      <w:start w:val="1"/>
      <w:numFmt w:val="bullet"/>
      <w:lvlText w:val=""/>
      <w:lvlJc w:val="left"/>
      <w:pPr>
        <w:tabs>
          <w:tab w:val="num" w:pos="3600"/>
        </w:tabs>
        <w:ind w:left="3600" w:hanging="360"/>
      </w:pPr>
      <w:rPr>
        <w:rFonts w:ascii="Wingdings" w:hAnsi="Wingdings" w:hint="default"/>
      </w:rPr>
    </w:lvl>
    <w:lvl w:ilvl="5" w:tplc="5414E24A" w:tentative="1">
      <w:start w:val="1"/>
      <w:numFmt w:val="bullet"/>
      <w:lvlText w:val=""/>
      <w:lvlJc w:val="left"/>
      <w:pPr>
        <w:tabs>
          <w:tab w:val="num" w:pos="4320"/>
        </w:tabs>
        <w:ind w:left="4320" w:hanging="360"/>
      </w:pPr>
      <w:rPr>
        <w:rFonts w:ascii="Wingdings" w:hAnsi="Wingdings" w:hint="default"/>
      </w:rPr>
    </w:lvl>
    <w:lvl w:ilvl="6" w:tplc="D0A86412" w:tentative="1">
      <w:start w:val="1"/>
      <w:numFmt w:val="bullet"/>
      <w:lvlText w:val=""/>
      <w:lvlJc w:val="left"/>
      <w:pPr>
        <w:tabs>
          <w:tab w:val="num" w:pos="5040"/>
        </w:tabs>
        <w:ind w:left="5040" w:hanging="360"/>
      </w:pPr>
      <w:rPr>
        <w:rFonts w:ascii="Wingdings" w:hAnsi="Wingdings" w:hint="default"/>
      </w:rPr>
    </w:lvl>
    <w:lvl w:ilvl="7" w:tplc="808025A8" w:tentative="1">
      <w:start w:val="1"/>
      <w:numFmt w:val="bullet"/>
      <w:lvlText w:val=""/>
      <w:lvlJc w:val="left"/>
      <w:pPr>
        <w:tabs>
          <w:tab w:val="num" w:pos="5760"/>
        </w:tabs>
        <w:ind w:left="5760" w:hanging="360"/>
      </w:pPr>
      <w:rPr>
        <w:rFonts w:ascii="Wingdings" w:hAnsi="Wingdings" w:hint="default"/>
      </w:rPr>
    </w:lvl>
    <w:lvl w:ilvl="8" w:tplc="FCB69524" w:tentative="1">
      <w:start w:val="1"/>
      <w:numFmt w:val="bullet"/>
      <w:lvlText w:val=""/>
      <w:lvlJc w:val="left"/>
      <w:pPr>
        <w:tabs>
          <w:tab w:val="num" w:pos="6480"/>
        </w:tabs>
        <w:ind w:left="6480" w:hanging="360"/>
      </w:pPr>
      <w:rPr>
        <w:rFonts w:ascii="Wingdings" w:hAnsi="Wingdings" w:hint="default"/>
      </w:rPr>
    </w:lvl>
  </w:abstractNum>
  <w:abstractNum w:abstractNumId="13">
    <w:nsid w:val="2E6F1A26"/>
    <w:multiLevelType w:val="multilevel"/>
    <w:tmpl w:val="DD7A1618"/>
    <w:lvl w:ilvl="0">
      <w:start w:val="4"/>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1A11BDB"/>
    <w:multiLevelType w:val="hybridMultilevel"/>
    <w:tmpl w:val="BB0894A6"/>
    <w:lvl w:ilvl="0" w:tplc="FA66B9C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644D19"/>
    <w:multiLevelType w:val="hybridMultilevel"/>
    <w:tmpl w:val="DAD0F852"/>
    <w:lvl w:ilvl="0" w:tplc="04090001">
      <w:start w:val="1"/>
      <w:numFmt w:val="bullet"/>
      <w:lvlText w:val=""/>
      <w:lvlJc w:val="left"/>
      <w:pPr>
        <w:tabs>
          <w:tab w:val="num" w:pos="720"/>
        </w:tabs>
        <w:ind w:left="720" w:hanging="360"/>
      </w:pPr>
      <w:rPr>
        <w:rFonts w:ascii="Symbol" w:hAnsi="Symbol" w:hint="default"/>
      </w:rPr>
    </w:lvl>
    <w:lvl w:ilvl="1" w:tplc="F99C7DF2" w:tentative="1">
      <w:start w:val="1"/>
      <w:numFmt w:val="bullet"/>
      <w:lvlText w:val="-"/>
      <w:lvlJc w:val="left"/>
      <w:pPr>
        <w:tabs>
          <w:tab w:val="num" w:pos="1440"/>
        </w:tabs>
        <w:ind w:left="1440" w:hanging="360"/>
      </w:pPr>
      <w:rPr>
        <w:rFonts w:ascii="Times New Roman" w:hAnsi="Times New Roman" w:hint="default"/>
      </w:rPr>
    </w:lvl>
    <w:lvl w:ilvl="2" w:tplc="2B42F5DE" w:tentative="1">
      <w:start w:val="1"/>
      <w:numFmt w:val="bullet"/>
      <w:lvlText w:val="-"/>
      <w:lvlJc w:val="left"/>
      <w:pPr>
        <w:tabs>
          <w:tab w:val="num" w:pos="2160"/>
        </w:tabs>
        <w:ind w:left="2160" w:hanging="360"/>
      </w:pPr>
      <w:rPr>
        <w:rFonts w:ascii="Times New Roman" w:hAnsi="Times New Roman" w:hint="default"/>
      </w:rPr>
    </w:lvl>
    <w:lvl w:ilvl="3" w:tplc="C5E6B96A" w:tentative="1">
      <w:start w:val="1"/>
      <w:numFmt w:val="bullet"/>
      <w:lvlText w:val="-"/>
      <w:lvlJc w:val="left"/>
      <w:pPr>
        <w:tabs>
          <w:tab w:val="num" w:pos="2880"/>
        </w:tabs>
        <w:ind w:left="2880" w:hanging="360"/>
      </w:pPr>
      <w:rPr>
        <w:rFonts w:ascii="Times New Roman" w:hAnsi="Times New Roman" w:hint="default"/>
      </w:rPr>
    </w:lvl>
    <w:lvl w:ilvl="4" w:tplc="A822B744" w:tentative="1">
      <w:start w:val="1"/>
      <w:numFmt w:val="bullet"/>
      <w:lvlText w:val="-"/>
      <w:lvlJc w:val="left"/>
      <w:pPr>
        <w:tabs>
          <w:tab w:val="num" w:pos="3600"/>
        </w:tabs>
        <w:ind w:left="3600" w:hanging="360"/>
      </w:pPr>
      <w:rPr>
        <w:rFonts w:ascii="Times New Roman" w:hAnsi="Times New Roman" w:hint="default"/>
      </w:rPr>
    </w:lvl>
    <w:lvl w:ilvl="5" w:tplc="3E083C0A" w:tentative="1">
      <w:start w:val="1"/>
      <w:numFmt w:val="bullet"/>
      <w:lvlText w:val="-"/>
      <w:lvlJc w:val="left"/>
      <w:pPr>
        <w:tabs>
          <w:tab w:val="num" w:pos="4320"/>
        </w:tabs>
        <w:ind w:left="4320" w:hanging="360"/>
      </w:pPr>
      <w:rPr>
        <w:rFonts w:ascii="Times New Roman" w:hAnsi="Times New Roman" w:hint="default"/>
      </w:rPr>
    </w:lvl>
    <w:lvl w:ilvl="6" w:tplc="D870CB10" w:tentative="1">
      <w:start w:val="1"/>
      <w:numFmt w:val="bullet"/>
      <w:lvlText w:val="-"/>
      <w:lvlJc w:val="left"/>
      <w:pPr>
        <w:tabs>
          <w:tab w:val="num" w:pos="5040"/>
        </w:tabs>
        <w:ind w:left="5040" w:hanging="360"/>
      </w:pPr>
      <w:rPr>
        <w:rFonts w:ascii="Times New Roman" w:hAnsi="Times New Roman" w:hint="default"/>
      </w:rPr>
    </w:lvl>
    <w:lvl w:ilvl="7" w:tplc="A7527DF6" w:tentative="1">
      <w:start w:val="1"/>
      <w:numFmt w:val="bullet"/>
      <w:lvlText w:val="-"/>
      <w:lvlJc w:val="left"/>
      <w:pPr>
        <w:tabs>
          <w:tab w:val="num" w:pos="5760"/>
        </w:tabs>
        <w:ind w:left="5760" w:hanging="360"/>
      </w:pPr>
      <w:rPr>
        <w:rFonts w:ascii="Times New Roman" w:hAnsi="Times New Roman" w:hint="default"/>
      </w:rPr>
    </w:lvl>
    <w:lvl w:ilvl="8" w:tplc="A39628C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AED5350"/>
    <w:multiLevelType w:val="multilevel"/>
    <w:tmpl w:val="54AE2A10"/>
    <w:lvl w:ilvl="0">
      <w:start w:val="2"/>
      <w:numFmt w:val="decimal"/>
      <w:lvlText w:val="%1."/>
      <w:lvlJc w:val="left"/>
      <w:pPr>
        <w:ind w:left="420" w:hanging="420"/>
      </w:pPr>
      <w:rPr>
        <w:rFonts w:hint="default"/>
      </w:rPr>
    </w:lvl>
    <w:lvl w:ilvl="1">
      <w:start w:val="3"/>
      <w:numFmt w:val="decimal"/>
      <w:lvlText w:val="%1.%2."/>
      <w:lvlJc w:val="left"/>
      <w:pPr>
        <w:ind w:left="1080" w:hanging="720"/>
      </w:pPr>
      <w:rPr>
        <w:rFonts w:hint="default"/>
        <w:vertAlign w:val="baseline"/>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3B6018D0"/>
    <w:multiLevelType w:val="multilevel"/>
    <w:tmpl w:val="6862D766"/>
    <w:lvl w:ilvl="0">
      <w:start w:val="1"/>
      <w:numFmt w:val="bullet"/>
      <w:lvlText w:val=""/>
      <w:lvlJc w:val="left"/>
      <w:pPr>
        <w:ind w:left="420" w:hanging="420"/>
      </w:pPr>
      <w:rPr>
        <w:rFonts w:ascii="Wingdings" w:hAnsi="Wingding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3BFE4CBC"/>
    <w:multiLevelType w:val="hybridMultilevel"/>
    <w:tmpl w:val="25DE1BE0"/>
    <w:lvl w:ilvl="0" w:tplc="CC94D74A">
      <w:start w:val="1"/>
      <w:numFmt w:val="bullet"/>
      <w:lvlText w:val="-"/>
      <w:lvlJc w:val="left"/>
      <w:pPr>
        <w:tabs>
          <w:tab w:val="num" w:pos="720"/>
        </w:tabs>
        <w:ind w:left="720" w:hanging="360"/>
      </w:pPr>
      <w:rPr>
        <w:rFonts w:ascii="Times New Roman" w:hAnsi="Times New Roman" w:hint="default"/>
      </w:rPr>
    </w:lvl>
    <w:lvl w:ilvl="1" w:tplc="BE903C04" w:tentative="1">
      <w:start w:val="1"/>
      <w:numFmt w:val="bullet"/>
      <w:lvlText w:val="-"/>
      <w:lvlJc w:val="left"/>
      <w:pPr>
        <w:tabs>
          <w:tab w:val="num" w:pos="1440"/>
        </w:tabs>
        <w:ind w:left="1440" w:hanging="360"/>
      </w:pPr>
      <w:rPr>
        <w:rFonts w:ascii="Times New Roman" w:hAnsi="Times New Roman" w:hint="default"/>
      </w:rPr>
    </w:lvl>
    <w:lvl w:ilvl="2" w:tplc="BF081374" w:tentative="1">
      <w:start w:val="1"/>
      <w:numFmt w:val="bullet"/>
      <w:lvlText w:val="-"/>
      <w:lvlJc w:val="left"/>
      <w:pPr>
        <w:tabs>
          <w:tab w:val="num" w:pos="2160"/>
        </w:tabs>
        <w:ind w:left="2160" w:hanging="360"/>
      </w:pPr>
      <w:rPr>
        <w:rFonts w:ascii="Times New Roman" w:hAnsi="Times New Roman" w:hint="default"/>
      </w:rPr>
    </w:lvl>
    <w:lvl w:ilvl="3" w:tplc="89AACD2A" w:tentative="1">
      <w:start w:val="1"/>
      <w:numFmt w:val="bullet"/>
      <w:lvlText w:val="-"/>
      <w:lvlJc w:val="left"/>
      <w:pPr>
        <w:tabs>
          <w:tab w:val="num" w:pos="2880"/>
        </w:tabs>
        <w:ind w:left="2880" w:hanging="360"/>
      </w:pPr>
      <w:rPr>
        <w:rFonts w:ascii="Times New Roman" w:hAnsi="Times New Roman" w:hint="default"/>
      </w:rPr>
    </w:lvl>
    <w:lvl w:ilvl="4" w:tplc="826ABC40" w:tentative="1">
      <w:start w:val="1"/>
      <w:numFmt w:val="bullet"/>
      <w:lvlText w:val="-"/>
      <w:lvlJc w:val="left"/>
      <w:pPr>
        <w:tabs>
          <w:tab w:val="num" w:pos="3600"/>
        </w:tabs>
        <w:ind w:left="3600" w:hanging="360"/>
      </w:pPr>
      <w:rPr>
        <w:rFonts w:ascii="Times New Roman" w:hAnsi="Times New Roman" w:hint="default"/>
      </w:rPr>
    </w:lvl>
    <w:lvl w:ilvl="5" w:tplc="84FADCFE" w:tentative="1">
      <w:start w:val="1"/>
      <w:numFmt w:val="bullet"/>
      <w:lvlText w:val="-"/>
      <w:lvlJc w:val="left"/>
      <w:pPr>
        <w:tabs>
          <w:tab w:val="num" w:pos="4320"/>
        </w:tabs>
        <w:ind w:left="4320" w:hanging="360"/>
      </w:pPr>
      <w:rPr>
        <w:rFonts w:ascii="Times New Roman" w:hAnsi="Times New Roman" w:hint="default"/>
      </w:rPr>
    </w:lvl>
    <w:lvl w:ilvl="6" w:tplc="84D8C836" w:tentative="1">
      <w:start w:val="1"/>
      <w:numFmt w:val="bullet"/>
      <w:lvlText w:val="-"/>
      <w:lvlJc w:val="left"/>
      <w:pPr>
        <w:tabs>
          <w:tab w:val="num" w:pos="5040"/>
        </w:tabs>
        <w:ind w:left="5040" w:hanging="360"/>
      </w:pPr>
      <w:rPr>
        <w:rFonts w:ascii="Times New Roman" w:hAnsi="Times New Roman" w:hint="default"/>
      </w:rPr>
    </w:lvl>
    <w:lvl w:ilvl="7" w:tplc="64EC4052" w:tentative="1">
      <w:start w:val="1"/>
      <w:numFmt w:val="bullet"/>
      <w:lvlText w:val="-"/>
      <w:lvlJc w:val="left"/>
      <w:pPr>
        <w:tabs>
          <w:tab w:val="num" w:pos="5760"/>
        </w:tabs>
        <w:ind w:left="5760" w:hanging="360"/>
      </w:pPr>
      <w:rPr>
        <w:rFonts w:ascii="Times New Roman" w:hAnsi="Times New Roman" w:hint="default"/>
      </w:rPr>
    </w:lvl>
    <w:lvl w:ilvl="8" w:tplc="E0E0740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1AE7026"/>
    <w:multiLevelType w:val="hybridMultilevel"/>
    <w:tmpl w:val="7C928A58"/>
    <w:lvl w:ilvl="0" w:tplc="C1321896">
      <w:start w:val="1"/>
      <w:numFmt w:val="bullet"/>
      <w:lvlText w:val="•"/>
      <w:lvlJc w:val="left"/>
      <w:pPr>
        <w:tabs>
          <w:tab w:val="num" w:pos="720"/>
        </w:tabs>
        <w:ind w:left="720" w:hanging="360"/>
      </w:pPr>
      <w:rPr>
        <w:rFonts w:ascii="Arial" w:hAnsi="Arial" w:hint="default"/>
      </w:rPr>
    </w:lvl>
    <w:lvl w:ilvl="1" w:tplc="748A2D46">
      <w:start w:val="3429"/>
      <w:numFmt w:val="bullet"/>
      <w:lvlText w:val=""/>
      <w:lvlJc w:val="left"/>
      <w:pPr>
        <w:tabs>
          <w:tab w:val="num" w:pos="1440"/>
        </w:tabs>
        <w:ind w:left="1440" w:hanging="360"/>
      </w:pPr>
      <w:rPr>
        <w:rFonts w:ascii="Wingdings" w:hAnsi="Wingdings" w:hint="default"/>
      </w:rPr>
    </w:lvl>
    <w:lvl w:ilvl="2" w:tplc="61824ECA" w:tentative="1">
      <w:start w:val="1"/>
      <w:numFmt w:val="bullet"/>
      <w:lvlText w:val="•"/>
      <w:lvlJc w:val="left"/>
      <w:pPr>
        <w:tabs>
          <w:tab w:val="num" w:pos="2160"/>
        </w:tabs>
        <w:ind w:left="2160" w:hanging="360"/>
      </w:pPr>
      <w:rPr>
        <w:rFonts w:ascii="Arial" w:hAnsi="Arial" w:hint="default"/>
      </w:rPr>
    </w:lvl>
    <w:lvl w:ilvl="3" w:tplc="17D22956" w:tentative="1">
      <w:start w:val="1"/>
      <w:numFmt w:val="bullet"/>
      <w:lvlText w:val="•"/>
      <w:lvlJc w:val="left"/>
      <w:pPr>
        <w:tabs>
          <w:tab w:val="num" w:pos="2880"/>
        </w:tabs>
        <w:ind w:left="2880" w:hanging="360"/>
      </w:pPr>
      <w:rPr>
        <w:rFonts w:ascii="Arial" w:hAnsi="Arial" w:hint="default"/>
      </w:rPr>
    </w:lvl>
    <w:lvl w:ilvl="4" w:tplc="2EEEDD84" w:tentative="1">
      <w:start w:val="1"/>
      <w:numFmt w:val="bullet"/>
      <w:lvlText w:val="•"/>
      <w:lvlJc w:val="left"/>
      <w:pPr>
        <w:tabs>
          <w:tab w:val="num" w:pos="3600"/>
        </w:tabs>
        <w:ind w:left="3600" w:hanging="360"/>
      </w:pPr>
      <w:rPr>
        <w:rFonts w:ascii="Arial" w:hAnsi="Arial" w:hint="default"/>
      </w:rPr>
    </w:lvl>
    <w:lvl w:ilvl="5" w:tplc="C7B02C32" w:tentative="1">
      <w:start w:val="1"/>
      <w:numFmt w:val="bullet"/>
      <w:lvlText w:val="•"/>
      <w:lvlJc w:val="left"/>
      <w:pPr>
        <w:tabs>
          <w:tab w:val="num" w:pos="4320"/>
        </w:tabs>
        <w:ind w:left="4320" w:hanging="360"/>
      </w:pPr>
      <w:rPr>
        <w:rFonts w:ascii="Arial" w:hAnsi="Arial" w:hint="default"/>
      </w:rPr>
    </w:lvl>
    <w:lvl w:ilvl="6" w:tplc="EC6CA292" w:tentative="1">
      <w:start w:val="1"/>
      <w:numFmt w:val="bullet"/>
      <w:lvlText w:val="•"/>
      <w:lvlJc w:val="left"/>
      <w:pPr>
        <w:tabs>
          <w:tab w:val="num" w:pos="5040"/>
        </w:tabs>
        <w:ind w:left="5040" w:hanging="360"/>
      </w:pPr>
      <w:rPr>
        <w:rFonts w:ascii="Arial" w:hAnsi="Arial" w:hint="default"/>
      </w:rPr>
    </w:lvl>
    <w:lvl w:ilvl="7" w:tplc="244A77D8" w:tentative="1">
      <w:start w:val="1"/>
      <w:numFmt w:val="bullet"/>
      <w:lvlText w:val="•"/>
      <w:lvlJc w:val="left"/>
      <w:pPr>
        <w:tabs>
          <w:tab w:val="num" w:pos="5760"/>
        </w:tabs>
        <w:ind w:left="5760" w:hanging="360"/>
      </w:pPr>
      <w:rPr>
        <w:rFonts w:ascii="Arial" w:hAnsi="Arial" w:hint="default"/>
      </w:rPr>
    </w:lvl>
    <w:lvl w:ilvl="8" w:tplc="09AA14FA" w:tentative="1">
      <w:start w:val="1"/>
      <w:numFmt w:val="bullet"/>
      <w:lvlText w:val="•"/>
      <w:lvlJc w:val="left"/>
      <w:pPr>
        <w:tabs>
          <w:tab w:val="num" w:pos="6480"/>
        </w:tabs>
        <w:ind w:left="6480" w:hanging="360"/>
      </w:pPr>
      <w:rPr>
        <w:rFonts w:ascii="Arial" w:hAnsi="Arial" w:hint="default"/>
      </w:rPr>
    </w:lvl>
  </w:abstractNum>
  <w:abstractNum w:abstractNumId="20">
    <w:nsid w:val="423406E3"/>
    <w:multiLevelType w:val="hybridMultilevel"/>
    <w:tmpl w:val="A704AD04"/>
    <w:lvl w:ilvl="0" w:tplc="BA0A9990">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CD3C2A"/>
    <w:multiLevelType w:val="multilevel"/>
    <w:tmpl w:val="A39C1EEE"/>
    <w:lvl w:ilvl="0">
      <w:start w:val="1"/>
      <w:numFmt w:val="bullet"/>
      <w:lvlText w:val=""/>
      <w:lvlJc w:val="left"/>
      <w:pPr>
        <w:ind w:left="420" w:hanging="420"/>
      </w:pPr>
      <w:rPr>
        <w:rFonts w:ascii="Wingdings" w:hAnsi="Wingding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45B32165"/>
    <w:multiLevelType w:val="multilevel"/>
    <w:tmpl w:val="A002DE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ADB6F18"/>
    <w:multiLevelType w:val="hybridMultilevel"/>
    <w:tmpl w:val="8E26B4F4"/>
    <w:lvl w:ilvl="0" w:tplc="A0DE14EC">
      <w:start w:val="1"/>
      <w:numFmt w:val="bullet"/>
      <w:lvlText w:val="-"/>
      <w:lvlJc w:val="left"/>
      <w:pPr>
        <w:tabs>
          <w:tab w:val="num" w:pos="720"/>
        </w:tabs>
        <w:ind w:left="720" w:hanging="360"/>
      </w:pPr>
      <w:rPr>
        <w:rFonts w:ascii="Times New Roman" w:hAnsi="Times New Roman" w:hint="default"/>
      </w:rPr>
    </w:lvl>
    <w:lvl w:ilvl="1" w:tplc="F99C7DF2" w:tentative="1">
      <w:start w:val="1"/>
      <w:numFmt w:val="bullet"/>
      <w:lvlText w:val="-"/>
      <w:lvlJc w:val="left"/>
      <w:pPr>
        <w:tabs>
          <w:tab w:val="num" w:pos="1440"/>
        </w:tabs>
        <w:ind w:left="1440" w:hanging="360"/>
      </w:pPr>
      <w:rPr>
        <w:rFonts w:ascii="Times New Roman" w:hAnsi="Times New Roman" w:hint="default"/>
      </w:rPr>
    </w:lvl>
    <w:lvl w:ilvl="2" w:tplc="2B42F5DE" w:tentative="1">
      <w:start w:val="1"/>
      <w:numFmt w:val="bullet"/>
      <w:lvlText w:val="-"/>
      <w:lvlJc w:val="left"/>
      <w:pPr>
        <w:tabs>
          <w:tab w:val="num" w:pos="2160"/>
        </w:tabs>
        <w:ind w:left="2160" w:hanging="360"/>
      </w:pPr>
      <w:rPr>
        <w:rFonts w:ascii="Times New Roman" w:hAnsi="Times New Roman" w:hint="default"/>
      </w:rPr>
    </w:lvl>
    <w:lvl w:ilvl="3" w:tplc="C5E6B96A" w:tentative="1">
      <w:start w:val="1"/>
      <w:numFmt w:val="bullet"/>
      <w:lvlText w:val="-"/>
      <w:lvlJc w:val="left"/>
      <w:pPr>
        <w:tabs>
          <w:tab w:val="num" w:pos="2880"/>
        </w:tabs>
        <w:ind w:left="2880" w:hanging="360"/>
      </w:pPr>
      <w:rPr>
        <w:rFonts w:ascii="Times New Roman" w:hAnsi="Times New Roman" w:hint="default"/>
      </w:rPr>
    </w:lvl>
    <w:lvl w:ilvl="4" w:tplc="A822B744" w:tentative="1">
      <w:start w:val="1"/>
      <w:numFmt w:val="bullet"/>
      <w:lvlText w:val="-"/>
      <w:lvlJc w:val="left"/>
      <w:pPr>
        <w:tabs>
          <w:tab w:val="num" w:pos="3600"/>
        </w:tabs>
        <w:ind w:left="3600" w:hanging="360"/>
      </w:pPr>
      <w:rPr>
        <w:rFonts w:ascii="Times New Roman" w:hAnsi="Times New Roman" w:hint="default"/>
      </w:rPr>
    </w:lvl>
    <w:lvl w:ilvl="5" w:tplc="3E083C0A" w:tentative="1">
      <w:start w:val="1"/>
      <w:numFmt w:val="bullet"/>
      <w:lvlText w:val="-"/>
      <w:lvlJc w:val="left"/>
      <w:pPr>
        <w:tabs>
          <w:tab w:val="num" w:pos="4320"/>
        </w:tabs>
        <w:ind w:left="4320" w:hanging="360"/>
      </w:pPr>
      <w:rPr>
        <w:rFonts w:ascii="Times New Roman" w:hAnsi="Times New Roman" w:hint="default"/>
      </w:rPr>
    </w:lvl>
    <w:lvl w:ilvl="6" w:tplc="D870CB10" w:tentative="1">
      <w:start w:val="1"/>
      <w:numFmt w:val="bullet"/>
      <w:lvlText w:val="-"/>
      <w:lvlJc w:val="left"/>
      <w:pPr>
        <w:tabs>
          <w:tab w:val="num" w:pos="5040"/>
        </w:tabs>
        <w:ind w:left="5040" w:hanging="360"/>
      </w:pPr>
      <w:rPr>
        <w:rFonts w:ascii="Times New Roman" w:hAnsi="Times New Roman" w:hint="default"/>
      </w:rPr>
    </w:lvl>
    <w:lvl w:ilvl="7" w:tplc="A7527DF6" w:tentative="1">
      <w:start w:val="1"/>
      <w:numFmt w:val="bullet"/>
      <w:lvlText w:val="-"/>
      <w:lvlJc w:val="left"/>
      <w:pPr>
        <w:tabs>
          <w:tab w:val="num" w:pos="5760"/>
        </w:tabs>
        <w:ind w:left="5760" w:hanging="360"/>
      </w:pPr>
      <w:rPr>
        <w:rFonts w:ascii="Times New Roman" w:hAnsi="Times New Roman" w:hint="default"/>
      </w:rPr>
    </w:lvl>
    <w:lvl w:ilvl="8" w:tplc="A39628C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682790D"/>
    <w:multiLevelType w:val="hybridMultilevel"/>
    <w:tmpl w:val="621C330A"/>
    <w:lvl w:ilvl="0" w:tplc="7068CB7C">
      <w:start w:val="1"/>
      <w:numFmt w:val="bullet"/>
      <w:lvlText w:val="•"/>
      <w:lvlJc w:val="left"/>
      <w:pPr>
        <w:tabs>
          <w:tab w:val="num" w:pos="720"/>
        </w:tabs>
        <w:ind w:left="720" w:hanging="360"/>
      </w:pPr>
      <w:rPr>
        <w:rFonts w:ascii="Arial" w:hAnsi="Arial" w:hint="default"/>
      </w:rPr>
    </w:lvl>
    <w:lvl w:ilvl="1" w:tplc="D41AA852">
      <w:start w:val="357"/>
      <w:numFmt w:val="bullet"/>
      <w:lvlText w:val=""/>
      <w:lvlJc w:val="left"/>
      <w:pPr>
        <w:tabs>
          <w:tab w:val="num" w:pos="1440"/>
        </w:tabs>
        <w:ind w:left="1440" w:hanging="360"/>
      </w:pPr>
      <w:rPr>
        <w:rFonts w:ascii="Wingdings" w:hAnsi="Wingdings" w:hint="default"/>
      </w:rPr>
    </w:lvl>
    <w:lvl w:ilvl="2" w:tplc="CC1E1086" w:tentative="1">
      <w:start w:val="1"/>
      <w:numFmt w:val="bullet"/>
      <w:lvlText w:val="•"/>
      <w:lvlJc w:val="left"/>
      <w:pPr>
        <w:tabs>
          <w:tab w:val="num" w:pos="2160"/>
        </w:tabs>
        <w:ind w:left="2160" w:hanging="360"/>
      </w:pPr>
      <w:rPr>
        <w:rFonts w:ascii="Arial" w:hAnsi="Arial" w:hint="default"/>
      </w:rPr>
    </w:lvl>
    <w:lvl w:ilvl="3" w:tplc="3CACDE42" w:tentative="1">
      <w:start w:val="1"/>
      <w:numFmt w:val="bullet"/>
      <w:lvlText w:val="•"/>
      <w:lvlJc w:val="left"/>
      <w:pPr>
        <w:tabs>
          <w:tab w:val="num" w:pos="2880"/>
        </w:tabs>
        <w:ind w:left="2880" w:hanging="360"/>
      </w:pPr>
      <w:rPr>
        <w:rFonts w:ascii="Arial" w:hAnsi="Arial" w:hint="default"/>
      </w:rPr>
    </w:lvl>
    <w:lvl w:ilvl="4" w:tplc="03CAB35C" w:tentative="1">
      <w:start w:val="1"/>
      <w:numFmt w:val="bullet"/>
      <w:lvlText w:val="•"/>
      <w:lvlJc w:val="left"/>
      <w:pPr>
        <w:tabs>
          <w:tab w:val="num" w:pos="3600"/>
        </w:tabs>
        <w:ind w:left="3600" w:hanging="360"/>
      </w:pPr>
      <w:rPr>
        <w:rFonts w:ascii="Arial" w:hAnsi="Arial" w:hint="default"/>
      </w:rPr>
    </w:lvl>
    <w:lvl w:ilvl="5" w:tplc="7D3019D0" w:tentative="1">
      <w:start w:val="1"/>
      <w:numFmt w:val="bullet"/>
      <w:lvlText w:val="•"/>
      <w:lvlJc w:val="left"/>
      <w:pPr>
        <w:tabs>
          <w:tab w:val="num" w:pos="4320"/>
        </w:tabs>
        <w:ind w:left="4320" w:hanging="360"/>
      </w:pPr>
      <w:rPr>
        <w:rFonts w:ascii="Arial" w:hAnsi="Arial" w:hint="default"/>
      </w:rPr>
    </w:lvl>
    <w:lvl w:ilvl="6" w:tplc="9FD2BA6A" w:tentative="1">
      <w:start w:val="1"/>
      <w:numFmt w:val="bullet"/>
      <w:lvlText w:val="•"/>
      <w:lvlJc w:val="left"/>
      <w:pPr>
        <w:tabs>
          <w:tab w:val="num" w:pos="5040"/>
        </w:tabs>
        <w:ind w:left="5040" w:hanging="360"/>
      </w:pPr>
      <w:rPr>
        <w:rFonts w:ascii="Arial" w:hAnsi="Arial" w:hint="default"/>
      </w:rPr>
    </w:lvl>
    <w:lvl w:ilvl="7" w:tplc="F1B41D2E" w:tentative="1">
      <w:start w:val="1"/>
      <w:numFmt w:val="bullet"/>
      <w:lvlText w:val="•"/>
      <w:lvlJc w:val="left"/>
      <w:pPr>
        <w:tabs>
          <w:tab w:val="num" w:pos="5760"/>
        </w:tabs>
        <w:ind w:left="5760" w:hanging="360"/>
      </w:pPr>
      <w:rPr>
        <w:rFonts w:ascii="Arial" w:hAnsi="Arial" w:hint="default"/>
      </w:rPr>
    </w:lvl>
    <w:lvl w:ilvl="8" w:tplc="ADD0A1D4" w:tentative="1">
      <w:start w:val="1"/>
      <w:numFmt w:val="bullet"/>
      <w:lvlText w:val="•"/>
      <w:lvlJc w:val="left"/>
      <w:pPr>
        <w:tabs>
          <w:tab w:val="num" w:pos="6480"/>
        </w:tabs>
        <w:ind w:left="6480" w:hanging="360"/>
      </w:pPr>
      <w:rPr>
        <w:rFonts w:ascii="Arial" w:hAnsi="Arial" w:hint="default"/>
      </w:rPr>
    </w:lvl>
  </w:abstractNum>
  <w:abstractNum w:abstractNumId="25">
    <w:nsid w:val="580A4E41"/>
    <w:multiLevelType w:val="multilevel"/>
    <w:tmpl w:val="B1B2A5A0"/>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5E940D43"/>
    <w:multiLevelType w:val="hybridMultilevel"/>
    <w:tmpl w:val="DE5CEE64"/>
    <w:lvl w:ilvl="0" w:tplc="304645F8">
      <w:start w:val="1"/>
      <w:numFmt w:val="bullet"/>
      <w:lvlText w:val=""/>
      <w:lvlJc w:val="left"/>
      <w:pPr>
        <w:tabs>
          <w:tab w:val="num" w:pos="720"/>
        </w:tabs>
        <w:ind w:left="720" w:hanging="360"/>
      </w:pPr>
      <w:rPr>
        <w:rFonts w:ascii="Wingdings" w:hAnsi="Wingdings" w:hint="default"/>
      </w:rPr>
    </w:lvl>
    <w:lvl w:ilvl="1" w:tplc="BC849550" w:tentative="1">
      <w:start w:val="1"/>
      <w:numFmt w:val="bullet"/>
      <w:lvlText w:val=""/>
      <w:lvlJc w:val="left"/>
      <w:pPr>
        <w:tabs>
          <w:tab w:val="num" w:pos="1440"/>
        </w:tabs>
        <w:ind w:left="1440" w:hanging="360"/>
      </w:pPr>
      <w:rPr>
        <w:rFonts w:ascii="Wingdings" w:hAnsi="Wingdings" w:hint="default"/>
      </w:rPr>
    </w:lvl>
    <w:lvl w:ilvl="2" w:tplc="C53C3C4A" w:tentative="1">
      <w:start w:val="1"/>
      <w:numFmt w:val="bullet"/>
      <w:lvlText w:val=""/>
      <w:lvlJc w:val="left"/>
      <w:pPr>
        <w:tabs>
          <w:tab w:val="num" w:pos="2160"/>
        </w:tabs>
        <w:ind w:left="2160" w:hanging="360"/>
      </w:pPr>
      <w:rPr>
        <w:rFonts w:ascii="Wingdings" w:hAnsi="Wingdings" w:hint="default"/>
      </w:rPr>
    </w:lvl>
    <w:lvl w:ilvl="3" w:tplc="76B8D47E" w:tentative="1">
      <w:start w:val="1"/>
      <w:numFmt w:val="bullet"/>
      <w:lvlText w:val=""/>
      <w:lvlJc w:val="left"/>
      <w:pPr>
        <w:tabs>
          <w:tab w:val="num" w:pos="2880"/>
        </w:tabs>
        <w:ind w:left="2880" w:hanging="360"/>
      </w:pPr>
      <w:rPr>
        <w:rFonts w:ascii="Wingdings" w:hAnsi="Wingdings" w:hint="default"/>
      </w:rPr>
    </w:lvl>
    <w:lvl w:ilvl="4" w:tplc="8CC0262C" w:tentative="1">
      <w:start w:val="1"/>
      <w:numFmt w:val="bullet"/>
      <w:lvlText w:val=""/>
      <w:lvlJc w:val="left"/>
      <w:pPr>
        <w:tabs>
          <w:tab w:val="num" w:pos="3600"/>
        </w:tabs>
        <w:ind w:left="3600" w:hanging="360"/>
      </w:pPr>
      <w:rPr>
        <w:rFonts w:ascii="Wingdings" w:hAnsi="Wingdings" w:hint="default"/>
      </w:rPr>
    </w:lvl>
    <w:lvl w:ilvl="5" w:tplc="D91EF462" w:tentative="1">
      <w:start w:val="1"/>
      <w:numFmt w:val="bullet"/>
      <w:lvlText w:val=""/>
      <w:lvlJc w:val="left"/>
      <w:pPr>
        <w:tabs>
          <w:tab w:val="num" w:pos="4320"/>
        </w:tabs>
        <w:ind w:left="4320" w:hanging="360"/>
      </w:pPr>
      <w:rPr>
        <w:rFonts w:ascii="Wingdings" w:hAnsi="Wingdings" w:hint="default"/>
      </w:rPr>
    </w:lvl>
    <w:lvl w:ilvl="6" w:tplc="05ECACFC" w:tentative="1">
      <w:start w:val="1"/>
      <w:numFmt w:val="bullet"/>
      <w:lvlText w:val=""/>
      <w:lvlJc w:val="left"/>
      <w:pPr>
        <w:tabs>
          <w:tab w:val="num" w:pos="5040"/>
        </w:tabs>
        <w:ind w:left="5040" w:hanging="360"/>
      </w:pPr>
      <w:rPr>
        <w:rFonts w:ascii="Wingdings" w:hAnsi="Wingdings" w:hint="default"/>
      </w:rPr>
    </w:lvl>
    <w:lvl w:ilvl="7" w:tplc="CEFC1F28" w:tentative="1">
      <w:start w:val="1"/>
      <w:numFmt w:val="bullet"/>
      <w:lvlText w:val=""/>
      <w:lvlJc w:val="left"/>
      <w:pPr>
        <w:tabs>
          <w:tab w:val="num" w:pos="5760"/>
        </w:tabs>
        <w:ind w:left="5760" w:hanging="360"/>
      </w:pPr>
      <w:rPr>
        <w:rFonts w:ascii="Wingdings" w:hAnsi="Wingdings" w:hint="default"/>
      </w:rPr>
    </w:lvl>
    <w:lvl w:ilvl="8" w:tplc="B3AC5E54" w:tentative="1">
      <w:start w:val="1"/>
      <w:numFmt w:val="bullet"/>
      <w:lvlText w:val=""/>
      <w:lvlJc w:val="left"/>
      <w:pPr>
        <w:tabs>
          <w:tab w:val="num" w:pos="6480"/>
        </w:tabs>
        <w:ind w:left="6480" w:hanging="360"/>
      </w:pPr>
      <w:rPr>
        <w:rFonts w:ascii="Wingdings" w:hAnsi="Wingdings" w:hint="default"/>
      </w:rPr>
    </w:lvl>
  </w:abstractNum>
  <w:abstractNum w:abstractNumId="27">
    <w:nsid w:val="62675970"/>
    <w:multiLevelType w:val="multilevel"/>
    <w:tmpl w:val="902685C2"/>
    <w:lvl w:ilvl="0">
      <w:start w:val="3"/>
      <w:numFmt w:val="decimal"/>
      <w:lvlText w:val="%1."/>
      <w:lvlJc w:val="left"/>
      <w:pPr>
        <w:ind w:left="420" w:hanging="420"/>
      </w:pPr>
      <w:rPr>
        <w:rFonts w:hint="default"/>
      </w:rPr>
    </w:lvl>
    <w:lvl w:ilvl="1">
      <w:start w:val="4"/>
      <w:numFmt w:val="decimal"/>
      <w:lvlText w:val="%1.%2."/>
      <w:lvlJc w:val="left"/>
      <w:pPr>
        <w:ind w:left="720" w:hanging="720"/>
      </w:pPr>
      <w:rPr>
        <w:rFonts w:hint="default"/>
        <w:vertAlign w:val="base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8D16F62"/>
    <w:multiLevelType w:val="hybridMultilevel"/>
    <w:tmpl w:val="A28421A2"/>
    <w:lvl w:ilvl="0" w:tplc="89F2A4FA">
      <w:start w:val="1"/>
      <w:numFmt w:val="bullet"/>
      <w:lvlText w:val=""/>
      <w:lvlJc w:val="left"/>
      <w:pPr>
        <w:tabs>
          <w:tab w:val="num" w:pos="720"/>
        </w:tabs>
        <w:ind w:left="720" w:hanging="360"/>
      </w:pPr>
      <w:rPr>
        <w:rFonts w:ascii="Wingdings" w:hAnsi="Wingdings" w:hint="default"/>
      </w:rPr>
    </w:lvl>
    <w:lvl w:ilvl="1" w:tplc="A7145B1A" w:tentative="1">
      <w:start w:val="1"/>
      <w:numFmt w:val="bullet"/>
      <w:lvlText w:val=""/>
      <w:lvlJc w:val="left"/>
      <w:pPr>
        <w:tabs>
          <w:tab w:val="num" w:pos="1440"/>
        </w:tabs>
        <w:ind w:left="1440" w:hanging="360"/>
      </w:pPr>
      <w:rPr>
        <w:rFonts w:ascii="Wingdings" w:hAnsi="Wingdings" w:hint="default"/>
      </w:rPr>
    </w:lvl>
    <w:lvl w:ilvl="2" w:tplc="5980135E" w:tentative="1">
      <w:start w:val="1"/>
      <w:numFmt w:val="bullet"/>
      <w:lvlText w:val=""/>
      <w:lvlJc w:val="left"/>
      <w:pPr>
        <w:tabs>
          <w:tab w:val="num" w:pos="2160"/>
        </w:tabs>
        <w:ind w:left="2160" w:hanging="360"/>
      </w:pPr>
      <w:rPr>
        <w:rFonts w:ascii="Wingdings" w:hAnsi="Wingdings" w:hint="default"/>
      </w:rPr>
    </w:lvl>
    <w:lvl w:ilvl="3" w:tplc="7EF03E02" w:tentative="1">
      <w:start w:val="1"/>
      <w:numFmt w:val="bullet"/>
      <w:lvlText w:val=""/>
      <w:lvlJc w:val="left"/>
      <w:pPr>
        <w:tabs>
          <w:tab w:val="num" w:pos="2880"/>
        </w:tabs>
        <w:ind w:left="2880" w:hanging="360"/>
      </w:pPr>
      <w:rPr>
        <w:rFonts w:ascii="Wingdings" w:hAnsi="Wingdings" w:hint="default"/>
      </w:rPr>
    </w:lvl>
    <w:lvl w:ilvl="4" w:tplc="4B22E9AA" w:tentative="1">
      <w:start w:val="1"/>
      <w:numFmt w:val="bullet"/>
      <w:lvlText w:val=""/>
      <w:lvlJc w:val="left"/>
      <w:pPr>
        <w:tabs>
          <w:tab w:val="num" w:pos="3600"/>
        </w:tabs>
        <w:ind w:left="3600" w:hanging="360"/>
      </w:pPr>
      <w:rPr>
        <w:rFonts w:ascii="Wingdings" w:hAnsi="Wingdings" w:hint="default"/>
      </w:rPr>
    </w:lvl>
    <w:lvl w:ilvl="5" w:tplc="AC689258" w:tentative="1">
      <w:start w:val="1"/>
      <w:numFmt w:val="bullet"/>
      <w:lvlText w:val=""/>
      <w:lvlJc w:val="left"/>
      <w:pPr>
        <w:tabs>
          <w:tab w:val="num" w:pos="4320"/>
        </w:tabs>
        <w:ind w:left="4320" w:hanging="360"/>
      </w:pPr>
      <w:rPr>
        <w:rFonts w:ascii="Wingdings" w:hAnsi="Wingdings" w:hint="default"/>
      </w:rPr>
    </w:lvl>
    <w:lvl w:ilvl="6" w:tplc="D482F9C2" w:tentative="1">
      <w:start w:val="1"/>
      <w:numFmt w:val="bullet"/>
      <w:lvlText w:val=""/>
      <w:lvlJc w:val="left"/>
      <w:pPr>
        <w:tabs>
          <w:tab w:val="num" w:pos="5040"/>
        </w:tabs>
        <w:ind w:left="5040" w:hanging="360"/>
      </w:pPr>
      <w:rPr>
        <w:rFonts w:ascii="Wingdings" w:hAnsi="Wingdings" w:hint="default"/>
      </w:rPr>
    </w:lvl>
    <w:lvl w:ilvl="7" w:tplc="21820464" w:tentative="1">
      <w:start w:val="1"/>
      <w:numFmt w:val="bullet"/>
      <w:lvlText w:val=""/>
      <w:lvlJc w:val="left"/>
      <w:pPr>
        <w:tabs>
          <w:tab w:val="num" w:pos="5760"/>
        </w:tabs>
        <w:ind w:left="5760" w:hanging="360"/>
      </w:pPr>
      <w:rPr>
        <w:rFonts w:ascii="Wingdings" w:hAnsi="Wingdings" w:hint="default"/>
      </w:rPr>
    </w:lvl>
    <w:lvl w:ilvl="8" w:tplc="E74E24FC" w:tentative="1">
      <w:start w:val="1"/>
      <w:numFmt w:val="bullet"/>
      <w:lvlText w:val=""/>
      <w:lvlJc w:val="left"/>
      <w:pPr>
        <w:tabs>
          <w:tab w:val="num" w:pos="6480"/>
        </w:tabs>
        <w:ind w:left="6480" w:hanging="360"/>
      </w:pPr>
      <w:rPr>
        <w:rFonts w:ascii="Wingdings" w:hAnsi="Wingdings" w:hint="default"/>
      </w:rPr>
    </w:lvl>
  </w:abstractNum>
  <w:abstractNum w:abstractNumId="29">
    <w:nsid w:val="6A02216B"/>
    <w:multiLevelType w:val="multilevel"/>
    <w:tmpl w:val="6862D766"/>
    <w:lvl w:ilvl="0">
      <w:start w:val="1"/>
      <w:numFmt w:val="bullet"/>
      <w:lvlText w:val=""/>
      <w:lvlJc w:val="left"/>
      <w:pPr>
        <w:ind w:left="420" w:hanging="420"/>
      </w:pPr>
      <w:rPr>
        <w:rFonts w:ascii="Wingdings" w:hAnsi="Wingding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6AA161D8"/>
    <w:multiLevelType w:val="hybridMultilevel"/>
    <w:tmpl w:val="E0C0C422"/>
    <w:lvl w:ilvl="0" w:tplc="C9704B32">
      <w:start w:val="1"/>
      <w:numFmt w:val="bullet"/>
      <w:lvlText w:val=""/>
      <w:lvlJc w:val="left"/>
      <w:pPr>
        <w:tabs>
          <w:tab w:val="num" w:pos="720"/>
        </w:tabs>
        <w:ind w:left="720" w:hanging="360"/>
      </w:pPr>
      <w:rPr>
        <w:rFonts w:ascii="Wingdings" w:hAnsi="Wingdings" w:hint="default"/>
      </w:rPr>
    </w:lvl>
    <w:lvl w:ilvl="1" w:tplc="224C2068" w:tentative="1">
      <w:start w:val="1"/>
      <w:numFmt w:val="bullet"/>
      <w:lvlText w:val=""/>
      <w:lvlJc w:val="left"/>
      <w:pPr>
        <w:tabs>
          <w:tab w:val="num" w:pos="1440"/>
        </w:tabs>
        <w:ind w:left="1440" w:hanging="360"/>
      </w:pPr>
      <w:rPr>
        <w:rFonts w:ascii="Wingdings" w:hAnsi="Wingdings" w:hint="default"/>
      </w:rPr>
    </w:lvl>
    <w:lvl w:ilvl="2" w:tplc="AE4888B8" w:tentative="1">
      <w:start w:val="1"/>
      <w:numFmt w:val="bullet"/>
      <w:lvlText w:val=""/>
      <w:lvlJc w:val="left"/>
      <w:pPr>
        <w:tabs>
          <w:tab w:val="num" w:pos="2160"/>
        </w:tabs>
        <w:ind w:left="2160" w:hanging="360"/>
      </w:pPr>
      <w:rPr>
        <w:rFonts w:ascii="Wingdings" w:hAnsi="Wingdings" w:hint="default"/>
      </w:rPr>
    </w:lvl>
    <w:lvl w:ilvl="3" w:tplc="7F78A860" w:tentative="1">
      <w:start w:val="1"/>
      <w:numFmt w:val="bullet"/>
      <w:lvlText w:val=""/>
      <w:lvlJc w:val="left"/>
      <w:pPr>
        <w:tabs>
          <w:tab w:val="num" w:pos="2880"/>
        </w:tabs>
        <w:ind w:left="2880" w:hanging="360"/>
      </w:pPr>
      <w:rPr>
        <w:rFonts w:ascii="Wingdings" w:hAnsi="Wingdings" w:hint="default"/>
      </w:rPr>
    </w:lvl>
    <w:lvl w:ilvl="4" w:tplc="EDCC5DC8" w:tentative="1">
      <w:start w:val="1"/>
      <w:numFmt w:val="bullet"/>
      <w:lvlText w:val=""/>
      <w:lvlJc w:val="left"/>
      <w:pPr>
        <w:tabs>
          <w:tab w:val="num" w:pos="3600"/>
        </w:tabs>
        <w:ind w:left="3600" w:hanging="360"/>
      </w:pPr>
      <w:rPr>
        <w:rFonts w:ascii="Wingdings" w:hAnsi="Wingdings" w:hint="default"/>
      </w:rPr>
    </w:lvl>
    <w:lvl w:ilvl="5" w:tplc="4C0A6C52" w:tentative="1">
      <w:start w:val="1"/>
      <w:numFmt w:val="bullet"/>
      <w:lvlText w:val=""/>
      <w:lvlJc w:val="left"/>
      <w:pPr>
        <w:tabs>
          <w:tab w:val="num" w:pos="4320"/>
        </w:tabs>
        <w:ind w:left="4320" w:hanging="360"/>
      </w:pPr>
      <w:rPr>
        <w:rFonts w:ascii="Wingdings" w:hAnsi="Wingdings" w:hint="default"/>
      </w:rPr>
    </w:lvl>
    <w:lvl w:ilvl="6" w:tplc="F3AEEA1E" w:tentative="1">
      <w:start w:val="1"/>
      <w:numFmt w:val="bullet"/>
      <w:lvlText w:val=""/>
      <w:lvlJc w:val="left"/>
      <w:pPr>
        <w:tabs>
          <w:tab w:val="num" w:pos="5040"/>
        </w:tabs>
        <w:ind w:left="5040" w:hanging="360"/>
      </w:pPr>
      <w:rPr>
        <w:rFonts w:ascii="Wingdings" w:hAnsi="Wingdings" w:hint="default"/>
      </w:rPr>
    </w:lvl>
    <w:lvl w:ilvl="7" w:tplc="3E06BFC2" w:tentative="1">
      <w:start w:val="1"/>
      <w:numFmt w:val="bullet"/>
      <w:lvlText w:val=""/>
      <w:lvlJc w:val="left"/>
      <w:pPr>
        <w:tabs>
          <w:tab w:val="num" w:pos="5760"/>
        </w:tabs>
        <w:ind w:left="5760" w:hanging="360"/>
      </w:pPr>
      <w:rPr>
        <w:rFonts w:ascii="Wingdings" w:hAnsi="Wingdings" w:hint="default"/>
      </w:rPr>
    </w:lvl>
    <w:lvl w:ilvl="8" w:tplc="EAB4B8B2" w:tentative="1">
      <w:start w:val="1"/>
      <w:numFmt w:val="bullet"/>
      <w:lvlText w:val=""/>
      <w:lvlJc w:val="left"/>
      <w:pPr>
        <w:tabs>
          <w:tab w:val="num" w:pos="6480"/>
        </w:tabs>
        <w:ind w:left="6480" w:hanging="360"/>
      </w:pPr>
      <w:rPr>
        <w:rFonts w:ascii="Wingdings" w:hAnsi="Wingdings" w:hint="default"/>
      </w:rPr>
    </w:lvl>
  </w:abstractNum>
  <w:abstractNum w:abstractNumId="31">
    <w:nsid w:val="6B9A3E7D"/>
    <w:multiLevelType w:val="hybridMultilevel"/>
    <w:tmpl w:val="FA762AA0"/>
    <w:lvl w:ilvl="0" w:tplc="A30A6032">
      <w:start w:val="1"/>
      <w:numFmt w:val="bullet"/>
      <w:lvlText w:val="-"/>
      <w:lvlJc w:val="left"/>
      <w:pPr>
        <w:tabs>
          <w:tab w:val="num" w:pos="720"/>
        </w:tabs>
        <w:ind w:left="720" w:hanging="360"/>
      </w:pPr>
      <w:rPr>
        <w:rFonts w:ascii="Times New Roman" w:hAnsi="Times New Roman" w:hint="default"/>
      </w:rPr>
    </w:lvl>
    <w:lvl w:ilvl="1" w:tplc="CD8C0720" w:tentative="1">
      <w:start w:val="1"/>
      <w:numFmt w:val="bullet"/>
      <w:lvlText w:val="-"/>
      <w:lvlJc w:val="left"/>
      <w:pPr>
        <w:tabs>
          <w:tab w:val="num" w:pos="1440"/>
        </w:tabs>
        <w:ind w:left="1440" w:hanging="360"/>
      </w:pPr>
      <w:rPr>
        <w:rFonts w:ascii="Times New Roman" w:hAnsi="Times New Roman" w:hint="default"/>
      </w:rPr>
    </w:lvl>
    <w:lvl w:ilvl="2" w:tplc="DAEC37BA" w:tentative="1">
      <w:start w:val="1"/>
      <w:numFmt w:val="bullet"/>
      <w:lvlText w:val="-"/>
      <w:lvlJc w:val="left"/>
      <w:pPr>
        <w:tabs>
          <w:tab w:val="num" w:pos="2160"/>
        </w:tabs>
        <w:ind w:left="2160" w:hanging="360"/>
      </w:pPr>
      <w:rPr>
        <w:rFonts w:ascii="Times New Roman" w:hAnsi="Times New Roman" w:hint="default"/>
      </w:rPr>
    </w:lvl>
    <w:lvl w:ilvl="3" w:tplc="4F18AA02" w:tentative="1">
      <w:start w:val="1"/>
      <w:numFmt w:val="bullet"/>
      <w:lvlText w:val="-"/>
      <w:lvlJc w:val="left"/>
      <w:pPr>
        <w:tabs>
          <w:tab w:val="num" w:pos="2880"/>
        </w:tabs>
        <w:ind w:left="2880" w:hanging="360"/>
      </w:pPr>
      <w:rPr>
        <w:rFonts w:ascii="Times New Roman" w:hAnsi="Times New Roman" w:hint="default"/>
      </w:rPr>
    </w:lvl>
    <w:lvl w:ilvl="4" w:tplc="920424DA" w:tentative="1">
      <w:start w:val="1"/>
      <w:numFmt w:val="bullet"/>
      <w:lvlText w:val="-"/>
      <w:lvlJc w:val="left"/>
      <w:pPr>
        <w:tabs>
          <w:tab w:val="num" w:pos="3600"/>
        </w:tabs>
        <w:ind w:left="3600" w:hanging="360"/>
      </w:pPr>
      <w:rPr>
        <w:rFonts w:ascii="Times New Roman" w:hAnsi="Times New Roman" w:hint="default"/>
      </w:rPr>
    </w:lvl>
    <w:lvl w:ilvl="5" w:tplc="3560F8EC" w:tentative="1">
      <w:start w:val="1"/>
      <w:numFmt w:val="bullet"/>
      <w:lvlText w:val="-"/>
      <w:lvlJc w:val="left"/>
      <w:pPr>
        <w:tabs>
          <w:tab w:val="num" w:pos="4320"/>
        </w:tabs>
        <w:ind w:left="4320" w:hanging="360"/>
      </w:pPr>
      <w:rPr>
        <w:rFonts w:ascii="Times New Roman" w:hAnsi="Times New Roman" w:hint="default"/>
      </w:rPr>
    </w:lvl>
    <w:lvl w:ilvl="6" w:tplc="36281C30" w:tentative="1">
      <w:start w:val="1"/>
      <w:numFmt w:val="bullet"/>
      <w:lvlText w:val="-"/>
      <w:lvlJc w:val="left"/>
      <w:pPr>
        <w:tabs>
          <w:tab w:val="num" w:pos="5040"/>
        </w:tabs>
        <w:ind w:left="5040" w:hanging="360"/>
      </w:pPr>
      <w:rPr>
        <w:rFonts w:ascii="Times New Roman" w:hAnsi="Times New Roman" w:hint="default"/>
      </w:rPr>
    </w:lvl>
    <w:lvl w:ilvl="7" w:tplc="B6EE63E2" w:tentative="1">
      <w:start w:val="1"/>
      <w:numFmt w:val="bullet"/>
      <w:lvlText w:val="-"/>
      <w:lvlJc w:val="left"/>
      <w:pPr>
        <w:tabs>
          <w:tab w:val="num" w:pos="5760"/>
        </w:tabs>
        <w:ind w:left="5760" w:hanging="360"/>
      </w:pPr>
      <w:rPr>
        <w:rFonts w:ascii="Times New Roman" w:hAnsi="Times New Roman" w:hint="default"/>
      </w:rPr>
    </w:lvl>
    <w:lvl w:ilvl="8" w:tplc="54106FB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BE328B9"/>
    <w:multiLevelType w:val="hybridMultilevel"/>
    <w:tmpl w:val="F79CA3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A5185A"/>
    <w:multiLevelType w:val="multilevel"/>
    <w:tmpl w:val="DD7A1618"/>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C274941"/>
    <w:multiLevelType w:val="multilevel"/>
    <w:tmpl w:val="F48647EC"/>
    <w:lvl w:ilvl="0">
      <w:start w:val="4"/>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7CA05E2F"/>
    <w:multiLevelType w:val="hybridMultilevel"/>
    <w:tmpl w:val="0366BB2E"/>
    <w:lvl w:ilvl="0" w:tplc="43AC75AE">
      <w:start w:val="1"/>
      <w:numFmt w:val="bullet"/>
      <w:lvlText w:val=""/>
      <w:lvlJc w:val="left"/>
      <w:pPr>
        <w:tabs>
          <w:tab w:val="num" w:pos="720"/>
        </w:tabs>
        <w:ind w:left="720" w:hanging="360"/>
      </w:pPr>
      <w:rPr>
        <w:rFonts w:ascii="Wingdings" w:hAnsi="Wingdings" w:hint="default"/>
      </w:rPr>
    </w:lvl>
    <w:lvl w:ilvl="1" w:tplc="144C13CA">
      <w:start w:val="1"/>
      <w:numFmt w:val="bullet"/>
      <w:lvlText w:val=""/>
      <w:lvlJc w:val="left"/>
      <w:pPr>
        <w:tabs>
          <w:tab w:val="num" w:pos="1440"/>
        </w:tabs>
        <w:ind w:left="1440" w:hanging="360"/>
      </w:pPr>
      <w:rPr>
        <w:rFonts w:ascii="Wingdings" w:hAnsi="Wingdings" w:hint="default"/>
      </w:rPr>
    </w:lvl>
    <w:lvl w:ilvl="2" w:tplc="A35A61C6" w:tentative="1">
      <w:start w:val="1"/>
      <w:numFmt w:val="bullet"/>
      <w:lvlText w:val=""/>
      <w:lvlJc w:val="left"/>
      <w:pPr>
        <w:tabs>
          <w:tab w:val="num" w:pos="2160"/>
        </w:tabs>
        <w:ind w:left="2160" w:hanging="360"/>
      </w:pPr>
      <w:rPr>
        <w:rFonts w:ascii="Wingdings" w:hAnsi="Wingdings" w:hint="default"/>
      </w:rPr>
    </w:lvl>
    <w:lvl w:ilvl="3" w:tplc="86944586" w:tentative="1">
      <w:start w:val="1"/>
      <w:numFmt w:val="bullet"/>
      <w:lvlText w:val=""/>
      <w:lvlJc w:val="left"/>
      <w:pPr>
        <w:tabs>
          <w:tab w:val="num" w:pos="2880"/>
        </w:tabs>
        <w:ind w:left="2880" w:hanging="360"/>
      </w:pPr>
      <w:rPr>
        <w:rFonts w:ascii="Wingdings" w:hAnsi="Wingdings" w:hint="default"/>
      </w:rPr>
    </w:lvl>
    <w:lvl w:ilvl="4" w:tplc="BA6EB37E" w:tentative="1">
      <w:start w:val="1"/>
      <w:numFmt w:val="bullet"/>
      <w:lvlText w:val=""/>
      <w:lvlJc w:val="left"/>
      <w:pPr>
        <w:tabs>
          <w:tab w:val="num" w:pos="3600"/>
        </w:tabs>
        <w:ind w:left="3600" w:hanging="360"/>
      </w:pPr>
      <w:rPr>
        <w:rFonts w:ascii="Wingdings" w:hAnsi="Wingdings" w:hint="default"/>
      </w:rPr>
    </w:lvl>
    <w:lvl w:ilvl="5" w:tplc="959E569E" w:tentative="1">
      <w:start w:val="1"/>
      <w:numFmt w:val="bullet"/>
      <w:lvlText w:val=""/>
      <w:lvlJc w:val="left"/>
      <w:pPr>
        <w:tabs>
          <w:tab w:val="num" w:pos="4320"/>
        </w:tabs>
        <w:ind w:left="4320" w:hanging="360"/>
      </w:pPr>
      <w:rPr>
        <w:rFonts w:ascii="Wingdings" w:hAnsi="Wingdings" w:hint="default"/>
      </w:rPr>
    </w:lvl>
    <w:lvl w:ilvl="6" w:tplc="6D4683E0" w:tentative="1">
      <w:start w:val="1"/>
      <w:numFmt w:val="bullet"/>
      <w:lvlText w:val=""/>
      <w:lvlJc w:val="left"/>
      <w:pPr>
        <w:tabs>
          <w:tab w:val="num" w:pos="5040"/>
        </w:tabs>
        <w:ind w:left="5040" w:hanging="360"/>
      </w:pPr>
      <w:rPr>
        <w:rFonts w:ascii="Wingdings" w:hAnsi="Wingdings" w:hint="default"/>
      </w:rPr>
    </w:lvl>
    <w:lvl w:ilvl="7" w:tplc="C34CB54A" w:tentative="1">
      <w:start w:val="1"/>
      <w:numFmt w:val="bullet"/>
      <w:lvlText w:val=""/>
      <w:lvlJc w:val="left"/>
      <w:pPr>
        <w:tabs>
          <w:tab w:val="num" w:pos="5760"/>
        </w:tabs>
        <w:ind w:left="5760" w:hanging="360"/>
      </w:pPr>
      <w:rPr>
        <w:rFonts w:ascii="Wingdings" w:hAnsi="Wingdings" w:hint="default"/>
      </w:rPr>
    </w:lvl>
    <w:lvl w:ilvl="8" w:tplc="6C00BBD2" w:tentative="1">
      <w:start w:val="1"/>
      <w:numFmt w:val="bullet"/>
      <w:lvlText w:val=""/>
      <w:lvlJc w:val="left"/>
      <w:pPr>
        <w:tabs>
          <w:tab w:val="num" w:pos="6480"/>
        </w:tabs>
        <w:ind w:left="6480" w:hanging="360"/>
      </w:pPr>
      <w:rPr>
        <w:rFonts w:ascii="Wingdings" w:hAnsi="Wingdings" w:hint="default"/>
      </w:rPr>
    </w:lvl>
  </w:abstractNum>
  <w:abstractNum w:abstractNumId="36">
    <w:nsid w:val="7F604AAB"/>
    <w:multiLevelType w:val="hybridMultilevel"/>
    <w:tmpl w:val="8F0892FC"/>
    <w:lvl w:ilvl="0" w:tplc="BA0A999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30"/>
  </w:num>
  <w:num w:numId="3">
    <w:abstractNumId w:val="25"/>
  </w:num>
  <w:num w:numId="4">
    <w:abstractNumId w:val="9"/>
  </w:num>
  <w:num w:numId="5">
    <w:abstractNumId w:val="16"/>
  </w:num>
  <w:num w:numId="6">
    <w:abstractNumId w:val="8"/>
  </w:num>
  <w:num w:numId="7">
    <w:abstractNumId w:val="21"/>
  </w:num>
  <w:num w:numId="8">
    <w:abstractNumId w:val="35"/>
  </w:num>
  <w:num w:numId="9">
    <w:abstractNumId w:val="28"/>
  </w:num>
  <w:num w:numId="10">
    <w:abstractNumId w:val="0"/>
  </w:num>
  <w:num w:numId="11">
    <w:abstractNumId w:val="4"/>
  </w:num>
  <w:num w:numId="12">
    <w:abstractNumId w:val="12"/>
  </w:num>
  <w:num w:numId="13">
    <w:abstractNumId w:val="26"/>
  </w:num>
  <w:num w:numId="14">
    <w:abstractNumId w:val="29"/>
  </w:num>
  <w:num w:numId="15">
    <w:abstractNumId w:val="17"/>
  </w:num>
  <w:num w:numId="16">
    <w:abstractNumId w:val="11"/>
  </w:num>
  <w:num w:numId="17">
    <w:abstractNumId w:val="14"/>
  </w:num>
  <w:num w:numId="18">
    <w:abstractNumId w:val="18"/>
  </w:num>
  <w:num w:numId="19">
    <w:abstractNumId w:val="31"/>
  </w:num>
  <w:num w:numId="20">
    <w:abstractNumId w:val="23"/>
  </w:num>
  <w:num w:numId="21">
    <w:abstractNumId w:val="15"/>
  </w:num>
  <w:num w:numId="22">
    <w:abstractNumId w:val="32"/>
  </w:num>
  <w:num w:numId="23">
    <w:abstractNumId w:val="5"/>
  </w:num>
  <w:num w:numId="24">
    <w:abstractNumId w:val="2"/>
  </w:num>
  <w:num w:numId="25">
    <w:abstractNumId w:val="36"/>
  </w:num>
  <w:num w:numId="26">
    <w:abstractNumId w:val="20"/>
  </w:num>
  <w:num w:numId="27">
    <w:abstractNumId w:val="6"/>
  </w:num>
  <w:num w:numId="28">
    <w:abstractNumId w:val="1"/>
  </w:num>
  <w:num w:numId="29">
    <w:abstractNumId w:val="19"/>
  </w:num>
  <w:num w:numId="30">
    <w:abstractNumId w:val="24"/>
  </w:num>
  <w:num w:numId="31">
    <w:abstractNumId w:val="10"/>
  </w:num>
  <w:num w:numId="32">
    <w:abstractNumId w:val="3"/>
  </w:num>
  <w:num w:numId="33">
    <w:abstractNumId w:val="34"/>
  </w:num>
  <w:num w:numId="34">
    <w:abstractNumId w:val="33"/>
  </w:num>
  <w:num w:numId="35">
    <w:abstractNumId w:val="7"/>
  </w:num>
  <w:num w:numId="36">
    <w:abstractNumId w:val="13"/>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CE1"/>
    <w:rsid w:val="00000722"/>
    <w:rsid w:val="0000120B"/>
    <w:rsid w:val="000014E6"/>
    <w:rsid w:val="00002629"/>
    <w:rsid w:val="000035D6"/>
    <w:rsid w:val="000060CE"/>
    <w:rsid w:val="00006341"/>
    <w:rsid w:val="00007CBA"/>
    <w:rsid w:val="00011706"/>
    <w:rsid w:val="0001335A"/>
    <w:rsid w:val="00013754"/>
    <w:rsid w:val="000142DD"/>
    <w:rsid w:val="00014BC3"/>
    <w:rsid w:val="00015095"/>
    <w:rsid w:val="00015CD0"/>
    <w:rsid w:val="000160E9"/>
    <w:rsid w:val="00016F7D"/>
    <w:rsid w:val="000177C3"/>
    <w:rsid w:val="00021964"/>
    <w:rsid w:val="00022349"/>
    <w:rsid w:val="000232E1"/>
    <w:rsid w:val="00023829"/>
    <w:rsid w:val="00025A4B"/>
    <w:rsid w:val="000268BB"/>
    <w:rsid w:val="000279AD"/>
    <w:rsid w:val="00031A6A"/>
    <w:rsid w:val="000324E3"/>
    <w:rsid w:val="0003292A"/>
    <w:rsid w:val="00032F0E"/>
    <w:rsid w:val="00033375"/>
    <w:rsid w:val="000357CF"/>
    <w:rsid w:val="000358DE"/>
    <w:rsid w:val="00035E18"/>
    <w:rsid w:val="00036539"/>
    <w:rsid w:val="00036F9E"/>
    <w:rsid w:val="00037545"/>
    <w:rsid w:val="000402FC"/>
    <w:rsid w:val="00040600"/>
    <w:rsid w:val="000409FF"/>
    <w:rsid w:val="000415B3"/>
    <w:rsid w:val="0004195E"/>
    <w:rsid w:val="00041C0A"/>
    <w:rsid w:val="00041E3C"/>
    <w:rsid w:val="00041F7E"/>
    <w:rsid w:val="0004245A"/>
    <w:rsid w:val="00042BFF"/>
    <w:rsid w:val="000433DB"/>
    <w:rsid w:val="00043DB1"/>
    <w:rsid w:val="00044571"/>
    <w:rsid w:val="000457C7"/>
    <w:rsid w:val="00046E0A"/>
    <w:rsid w:val="0005003C"/>
    <w:rsid w:val="0005076C"/>
    <w:rsid w:val="00050C13"/>
    <w:rsid w:val="00053284"/>
    <w:rsid w:val="0005339C"/>
    <w:rsid w:val="0005403D"/>
    <w:rsid w:val="00055349"/>
    <w:rsid w:val="00056124"/>
    <w:rsid w:val="00056D55"/>
    <w:rsid w:val="00056FC0"/>
    <w:rsid w:val="00057287"/>
    <w:rsid w:val="00057BE9"/>
    <w:rsid w:val="0006259A"/>
    <w:rsid w:val="00062E66"/>
    <w:rsid w:val="0006394B"/>
    <w:rsid w:val="00063A75"/>
    <w:rsid w:val="00064E0F"/>
    <w:rsid w:val="00065D41"/>
    <w:rsid w:val="00065DD7"/>
    <w:rsid w:val="00066474"/>
    <w:rsid w:val="00066774"/>
    <w:rsid w:val="0006762F"/>
    <w:rsid w:val="00067CA9"/>
    <w:rsid w:val="0007074A"/>
    <w:rsid w:val="00071A82"/>
    <w:rsid w:val="00071AFD"/>
    <w:rsid w:val="00071B6D"/>
    <w:rsid w:val="0007237F"/>
    <w:rsid w:val="00072A54"/>
    <w:rsid w:val="0007364B"/>
    <w:rsid w:val="00074029"/>
    <w:rsid w:val="0007409F"/>
    <w:rsid w:val="0007518D"/>
    <w:rsid w:val="000763CF"/>
    <w:rsid w:val="000764EA"/>
    <w:rsid w:val="0008190E"/>
    <w:rsid w:val="00081ECD"/>
    <w:rsid w:val="00082E0E"/>
    <w:rsid w:val="00083F62"/>
    <w:rsid w:val="00087A03"/>
    <w:rsid w:val="0009047E"/>
    <w:rsid w:val="0009255C"/>
    <w:rsid w:val="00092D51"/>
    <w:rsid w:val="00093180"/>
    <w:rsid w:val="00093F16"/>
    <w:rsid w:val="00094269"/>
    <w:rsid w:val="00097CB3"/>
    <w:rsid w:val="00097E9F"/>
    <w:rsid w:val="000A03AF"/>
    <w:rsid w:val="000A054E"/>
    <w:rsid w:val="000A1D85"/>
    <w:rsid w:val="000A1F1B"/>
    <w:rsid w:val="000A27C9"/>
    <w:rsid w:val="000A2941"/>
    <w:rsid w:val="000A37D6"/>
    <w:rsid w:val="000A43B9"/>
    <w:rsid w:val="000A486B"/>
    <w:rsid w:val="000A56CB"/>
    <w:rsid w:val="000A6B51"/>
    <w:rsid w:val="000A6F49"/>
    <w:rsid w:val="000A71BE"/>
    <w:rsid w:val="000A7DBD"/>
    <w:rsid w:val="000B2D31"/>
    <w:rsid w:val="000B2DFB"/>
    <w:rsid w:val="000B3157"/>
    <w:rsid w:val="000B46A2"/>
    <w:rsid w:val="000B499D"/>
    <w:rsid w:val="000B6CB5"/>
    <w:rsid w:val="000B7184"/>
    <w:rsid w:val="000B7DC3"/>
    <w:rsid w:val="000C1495"/>
    <w:rsid w:val="000C154F"/>
    <w:rsid w:val="000C1ED5"/>
    <w:rsid w:val="000C28B2"/>
    <w:rsid w:val="000C2926"/>
    <w:rsid w:val="000C2B4C"/>
    <w:rsid w:val="000C3475"/>
    <w:rsid w:val="000C36AE"/>
    <w:rsid w:val="000C4C8B"/>
    <w:rsid w:val="000C4EAE"/>
    <w:rsid w:val="000C734E"/>
    <w:rsid w:val="000D031B"/>
    <w:rsid w:val="000D09BD"/>
    <w:rsid w:val="000D2966"/>
    <w:rsid w:val="000D56CF"/>
    <w:rsid w:val="000D6860"/>
    <w:rsid w:val="000D72BC"/>
    <w:rsid w:val="000E014F"/>
    <w:rsid w:val="000E11FE"/>
    <w:rsid w:val="000E1219"/>
    <w:rsid w:val="000E23F7"/>
    <w:rsid w:val="000E3D01"/>
    <w:rsid w:val="000E474F"/>
    <w:rsid w:val="000E5E87"/>
    <w:rsid w:val="000E6205"/>
    <w:rsid w:val="000E6428"/>
    <w:rsid w:val="000E7611"/>
    <w:rsid w:val="000E7AE9"/>
    <w:rsid w:val="000E7E61"/>
    <w:rsid w:val="000F0470"/>
    <w:rsid w:val="000F47E0"/>
    <w:rsid w:val="000F5082"/>
    <w:rsid w:val="000F6B12"/>
    <w:rsid w:val="00100836"/>
    <w:rsid w:val="001013A8"/>
    <w:rsid w:val="00102D37"/>
    <w:rsid w:val="0010590B"/>
    <w:rsid w:val="00105B15"/>
    <w:rsid w:val="00105E9D"/>
    <w:rsid w:val="00106ADC"/>
    <w:rsid w:val="00106FEE"/>
    <w:rsid w:val="00110627"/>
    <w:rsid w:val="001127E0"/>
    <w:rsid w:val="0011289D"/>
    <w:rsid w:val="00112C72"/>
    <w:rsid w:val="00113F31"/>
    <w:rsid w:val="00114317"/>
    <w:rsid w:val="001145F3"/>
    <w:rsid w:val="001155A3"/>
    <w:rsid w:val="00116842"/>
    <w:rsid w:val="00117950"/>
    <w:rsid w:val="00117C70"/>
    <w:rsid w:val="001235A1"/>
    <w:rsid w:val="00123D39"/>
    <w:rsid w:val="001243EE"/>
    <w:rsid w:val="00124813"/>
    <w:rsid w:val="001248B5"/>
    <w:rsid w:val="00124E00"/>
    <w:rsid w:val="00125865"/>
    <w:rsid w:val="00125BD7"/>
    <w:rsid w:val="00126F65"/>
    <w:rsid w:val="0012704B"/>
    <w:rsid w:val="00127A73"/>
    <w:rsid w:val="00127F11"/>
    <w:rsid w:val="0013001E"/>
    <w:rsid w:val="001302B4"/>
    <w:rsid w:val="00130CB9"/>
    <w:rsid w:val="00130F3A"/>
    <w:rsid w:val="001313E2"/>
    <w:rsid w:val="00131780"/>
    <w:rsid w:val="00131A0B"/>
    <w:rsid w:val="0013342C"/>
    <w:rsid w:val="00133C02"/>
    <w:rsid w:val="00135226"/>
    <w:rsid w:val="001366A2"/>
    <w:rsid w:val="00136FD2"/>
    <w:rsid w:val="00137917"/>
    <w:rsid w:val="00142E67"/>
    <w:rsid w:val="001433E4"/>
    <w:rsid w:val="001440D8"/>
    <w:rsid w:val="001451B5"/>
    <w:rsid w:val="00145206"/>
    <w:rsid w:val="00146398"/>
    <w:rsid w:val="00146439"/>
    <w:rsid w:val="00146834"/>
    <w:rsid w:val="00146FB0"/>
    <w:rsid w:val="001474D4"/>
    <w:rsid w:val="001516BC"/>
    <w:rsid w:val="00151A64"/>
    <w:rsid w:val="00153DEF"/>
    <w:rsid w:val="001562D2"/>
    <w:rsid w:val="00156782"/>
    <w:rsid w:val="00156B5C"/>
    <w:rsid w:val="001570D5"/>
    <w:rsid w:val="0015735F"/>
    <w:rsid w:val="00157C48"/>
    <w:rsid w:val="00160829"/>
    <w:rsid w:val="0016127D"/>
    <w:rsid w:val="00162551"/>
    <w:rsid w:val="00162694"/>
    <w:rsid w:val="00164D3F"/>
    <w:rsid w:val="0016521A"/>
    <w:rsid w:val="001653B5"/>
    <w:rsid w:val="00166C81"/>
    <w:rsid w:val="00170559"/>
    <w:rsid w:val="00170CB8"/>
    <w:rsid w:val="00170E25"/>
    <w:rsid w:val="001711F6"/>
    <w:rsid w:val="001725B6"/>
    <w:rsid w:val="001733B3"/>
    <w:rsid w:val="00173F9E"/>
    <w:rsid w:val="00175444"/>
    <w:rsid w:val="001759EF"/>
    <w:rsid w:val="001760B6"/>
    <w:rsid w:val="001771D8"/>
    <w:rsid w:val="001774B4"/>
    <w:rsid w:val="0018009C"/>
    <w:rsid w:val="001806A6"/>
    <w:rsid w:val="001806DD"/>
    <w:rsid w:val="0018201A"/>
    <w:rsid w:val="00182433"/>
    <w:rsid w:val="0018263C"/>
    <w:rsid w:val="001846FC"/>
    <w:rsid w:val="00186C7E"/>
    <w:rsid w:val="00191B3C"/>
    <w:rsid w:val="00191E89"/>
    <w:rsid w:val="001924A9"/>
    <w:rsid w:val="00192ABF"/>
    <w:rsid w:val="001943B9"/>
    <w:rsid w:val="001A1A3D"/>
    <w:rsid w:val="001A1F05"/>
    <w:rsid w:val="001A1FD0"/>
    <w:rsid w:val="001A2CE1"/>
    <w:rsid w:val="001A2DD0"/>
    <w:rsid w:val="001A3E58"/>
    <w:rsid w:val="001A4422"/>
    <w:rsid w:val="001A5070"/>
    <w:rsid w:val="001A584D"/>
    <w:rsid w:val="001A5F6A"/>
    <w:rsid w:val="001A68F1"/>
    <w:rsid w:val="001A6BB9"/>
    <w:rsid w:val="001A7C2A"/>
    <w:rsid w:val="001B0045"/>
    <w:rsid w:val="001B10C4"/>
    <w:rsid w:val="001B2CA7"/>
    <w:rsid w:val="001B3D43"/>
    <w:rsid w:val="001B41CB"/>
    <w:rsid w:val="001B4570"/>
    <w:rsid w:val="001B5351"/>
    <w:rsid w:val="001B6D68"/>
    <w:rsid w:val="001B7694"/>
    <w:rsid w:val="001B7CEA"/>
    <w:rsid w:val="001C0BD7"/>
    <w:rsid w:val="001C34D9"/>
    <w:rsid w:val="001C4529"/>
    <w:rsid w:val="001C456E"/>
    <w:rsid w:val="001C45D3"/>
    <w:rsid w:val="001C468C"/>
    <w:rsid w:val="001C6978"/>
    <w:rsid w:val="001D0879"/>
    <w:rsid w:val="001D2812"/>
    <w:rsid w:val="001D2D0E"/>
    <w:rsid w:val="001D2FE8"/>
    <w:rsid w:val="001D3601"/>
    <w:rsid w:val="001D4A29"/>
    <w:rsid w:val="001D54F9"/>
    <w:rsid w:val="001E059B"/>
    <w:rsid w:val="001E075F"/>
    <w:rsid w:val="001E13A9"/>
    <w:rsid w:val="001E2223"/>
    <w:rsid w:val="001E2A77"/>
    <w:rsid w:val="001E2F5D"/>
    <w:rsid w:val="001E459C"/>
    <w:rsid w:val="001E49CD"/>
    <w:rsid w:val="001E51E2"/>
    <w:rsid w:val="001E62CD"/>
    <w:rsid w:val="001E695F"/>
    <w:rsid w:val="001E6ACA"/>
    <w:rsid w:val="001E6AF4"/>
    <w:rsid w:val="001E76C2"/>
    <w:rsid w:val="001E7FB6"/>
    <w:rsid w:val="001F139B"/>
    <w:rsid w:val="001F218F"/>
    <w:rsid w:val="001F313C"/>
    <w:rsid w:val="001F36A6"/>
    <w:rsid w:val="001F3EA3"/>
    <w:rsid w:val="001F40FA"/>
    <w:rsid w:val="001F63DC"/>
    <w:rsid w:val="001F776D"/>
    <w:rsid w:val="00200315"/>
    <w:rsid w:val="002010F7"/>
    <w:rsid w:val="002017C9"/>
    <w:rsid w:val="00202857"/>
    <w:rsid w:val="00202C74"/>
    <w:rsid w:val="0020428B"/>
    <w:rsid w:val="00205204"/>
    <w:rsid w:val="002054D4"/>
    <w:rsid w:val="00206DB5"/>
    <w:rsid w:val="00206F6B"/>
    <w:rsid w:val="0021020E"/>
    <w:rsid w:val="0021041A"/>
    <w:rsid w:val="002109ED"/>
    <w:rsid w:val="00210EF7"/>
    <w:rsid w:val="00211993"/>
    <w:rsid w:val="0021382B"/>
    <w:rsid w:val="00213AEC"/>
    <w:rsid w:val="0021509C"/>
    <w:rsid w:val="00215988"/>
    <w:rsid w:val="002160CB"/>
    <w:rsid w:val="00217472"/>
    <w:rsid w:val="00217F6A"/>
    <w:rsid w:val="00220436"/>
    <w:rsid w:val="0022049B"/>
    <w:rsid w:val="00220F0E"/>
    <w:rsid w:val="00221E16"/>
    <w:rsid w:val="00222A40"/>
    <w:rsid w:val="00223ABC"/>
    <w:rsid w:val="00223CA3"/>
    <w:rsid w:val="00225DE2"/>
    <w:rsid w:val="00225F8C"/>
    <w:rsid w:val="00226233"/>
    <w:rsid w:val="00226257"/>
    <w:rsid w:val="0022668A"/>
    <w:rsid w:val="00227BCD"/>
    <w:rsid w:val="002302AB"/>
    <w:rsid w:val="002306DE"/>
    <w:rsid w:val="00230D0A"/>
    <w:rsid w:val="00231ABF"/>
    <w:rsid w:val="00231D22"/>
    <w:rsid w:val="00234237"/>
    <w:rsid w:val="00236B05"/>
    <w:rsid w:val="0023703D"/>
    <w:rsid w:val="002372D5"/>
    <w:rsid w:val="002375E2"/>
    <w:rsid w:val="00240874"/>
    <w:rsid w:val="00240F56"/>
    <w:rsid w:val="00241C13"/>
    <w:rsid w:val="00242298"/>
    <w:rsid w:val="00242D10"/>
    <w:rsid w:val="0024409F"/>
    <w:rsid w:val="00244B66"/>
    <w:rsid w:val="00246035"/>
    <w:rsid w:val="002464C2"/>
    <w:rsid w:val="002470E0"/>
    <w:rsid w:val="00250B14"/>
    <w:rsid w:val="002510F0"/>
    <w:rsid w:val="00251EC5"/>
    <w:rsid w:val="00254494"/>
    <w:rsid w:val="00256215"/>
    <w:rsid w:val="002570FD"/>
    <w:rsid w:val="002579E9"/>
    <w:rsid w:val="00260354"/>
    <w:rsid w:val="002643B8"/>
    <w:rsid w:val="00264FE8"/>
    <w:rsid w:val="00266221"/>
    <w:rsid w:val="002679B1"/>
    <w:rsid w:val="00270023"/>
    <w:rsid w:val="002700EC"/>
    <w:rsid w:val="00271A93"/>
    <w:rsid w:val="00271C12"/>
    <w:rsid w:val="00271CE7"/>
    <w:rsid w:val="00272D1D"/>
    <w:rsid w:val="0027303A"/>
    <w:rsid w:val="00274C50"/>
    <w:rsid w:val="00275A97"/>
    <w:rsid w:val="0027691C"/>
    <w:rsid w:val="002772C8"/>
    <w:rsid w:val="002773C6"/>
    <w:rsid w:val="00280238"/>
    <w:rsid w:val="00281F20"/>
    <w:rsid w:val="002829BB"/>
    <w:rsid w:val="00285C91"/>
    <w:rsid w:val="00286112"/>
    <w:rsid w:val="002868E9"/>
    <w:rsid w:val="002909A4"/>
    <w:rsid w:val="00290FF2"/>
    <w:rsid w:val="002927D6"/>
    <w:rsid w:val="0029312D"/>
    <w:rsid w:val="00295F29"/>
    <w:rsid w:val="00296E36"/>
    <w:rsid w:val="00296EDB"/>
    <w:rsid w:val="002A022A"/>
    <w:rsid w:val="002A07F8"/>
    <w:rsid w:val="002A1250"/>
    <w:rsid w:val="002A1AB1"/>
    <w:rsid w:val="002A26F5"/>
    <w:rsid w:val="002A6273"/>
    <w:rsid w:val="002A7D69"/>
    <w:rsid w:val="002A7E45"/>
    <w:rsid w:val="002B29F3"/>
    <w:rsid w:val="002B2E41"/>
    <w:rsid w:val="002B2EB2"/>
    <w:rsid w:val="002B605B"/>
    <w:rsid w:val="002B7B17"/>
    <w:rsid w:val="002C028B"/>
    <w:rsid w:val="002C028C"/>
    <w:rsid w:val="002C08BA"/>
    <w:rsid w:val="002C0B09"/>
    <w:rsid w:val="002C0BA5"/>
    <w:rsid w:val="002C10B5"/>
    <w:rsid w:val="002C1DEF"/>
    <w:rsid w:val="002C2270"/>
    <w:rsid w:val="002C25C0"/>
    <w:rsid w:val="002C278C"/>
    <w:rsid w:val="002C2D94"/>
    <w:rsid w:val="002C4B83"/>
    <w:rsid w:val="002C4BE9"/>
    <w:rsid w:val="002C51A4"/>
    <w:rsid w:val="002C678E"/>
    <w:rsid w:val="002C73B2"/>
    <w:rsid w:val="002D06DE"/>
    <w:rsid w:val="002D0741"/>
    <w:rsid w:val="002D0DF9"/>
    <w:rsid w:val="002D1534"/>
    <w:rsid w:val="002D1EE8"/>
    <w:rsid w:val="002D2E10"/>
    <w:rsid w:val="002D38BF"/>
    <w:rsid w:val="002D6144"/>
    <w:rsid w:val="002D663F"/>
    <w:rsid w:val="002D7D62"/>
    <w:rsid w:val="002E09F6"/>
    <w:rsid w:val="002E1AC1"/>
    <w:rsid w:val="002E26EA"/>
    <w:rsid w:val="002E30E4"/>
    <w:rsid w:val="002E3DCC"/>
    <w:rsid w:val="002E3F45"/>
    <w:rsid w:val="002E45E3"/>
    <w:rsid w:val="002E4B87"/>
    <w:rsid w:val="002E4C41"/>
    <w:rsid w:val="002E4FA0"/>
    <w:rsid w:val="002E51F8"/>
    <w:rsid w:val="002E55DE"/>
    <w:rsid w:val="002E60ED"/>
    <w:rsid w:val="002E63DC"/>
    <w:rsid w:val="002E750E"/>
    <w:rsid w:val="002E77C3"/>
    <w:rsid w:val="002F0568"/>
    <w:rsid w:val="002F0BCE"/>
    <w:rsid w:val="002F25A3"/>
    <w:rsid w:val="002F3586"/>
    <w:rsid w:val="002F3B1B"/>
    <w:rsid w:val="002F6080"/>
    <w:rsid w:val="00300615"/>
    <w:rsid w:val="00300FCD"/>
    <w:rsid w:val="0030166F"/>
    <w:rsid w:val="00301F7B"/>
    <w:rsid w:val="003056C8"/>
    <w:rsid w:val="00306BF3"/>
    <w:rsid w:val="0030716B"/>
    <w:rsid w:val="003073C1"/>
    <w:rsid w:val="00307FDC"/>
    <w:rsid w:val="00312780"/>
    <w:rsid w:val="00312C34"/>
    <w:rsid w:val="00312EF4"/>
    <w:rsid w:val="003136CD"/>
    <w:rsid w:val="00315345"/>
    <w:rsid w:val="0031546E"/>
    <w:rsid w:val="003154DE"/>
    <w:rsid w:val="00315B08"/>
    <w:rsid w:val="00316892"/>
    <w:rsid w:val="00316C5E"/>
    <w:rsid w:val="0031724E"/>
    <w:rsid w:val="0031755D"/>
    <w:rsid w:val="00321A48"/>
    <w:rsid w:val="00321F23"/>
    <w:rsid w:val="00323964"/>
    <w:rsid w:val="00323F1F"/>
    <w:rsid w:val="00324040"/>
    <w:rsid w:val="00325248"/>
    <w:rsid w:val="00325924"/>
    <w:rsid w:val="00325C20"/>
    <w:rsid w:val="00326E07"/>
    <w:rsid w:val="00327430"/>
    <w:rsid w:val="00327A4E"/>
    <w:rsid w:val="00327C7D"/>
    <w:rsid w:val="00330058"/>
    <w:rsid w:val="003300D9"/>
    <w:rsid w:val="003316C0"/>
    <w:rsid w:val="00333086"/>
    <w:rsid w:val="00333FDF"/>
    <w:rsid w:val="00334191"/>
    <w:rsid w:val="00335548"/>
    <w:rsid w:val="00335E60"/>
    <w:rsid w:val="0033612A"/>
    <w:rsid w:val="00336FCA"/>
    <w:rsid w:val="003373F8"/>
    <w:rsid w:val="0034063E"/>
    <w:rsid w:val="0034092D"/>
    <w:rsid w:val="00340A10"/>
    <w:rsid w:val="003415FC"/>
    <w:rsid w:val="003425A6"/>
    <w:rsid w:val="00347A8B"/>
    <w:rsid w:val="00347EA5"/>
    <w:rsid w:val="00350C71"/>
    <w:rsid w:val="00351385"/>
    <w:rsid w:val="00351E2E"/>
    <w:rsid w:val="00352007"/>
    <w:rsid w:val="00352392"/>
    <w:rsid w:val="00352D97"/>
    <w:rsid w:val="003538AE"/>
    <w:rsid w:val="00353D77"/>
    <w:rsid w:val="00354AF3"/>
    <w:rsid w:val="0035508E"/>
    <w:rsid w:val="003612C3"/>
    <w:rsid w:val="00361377"/>
    <w:rsid w:val="00361F64"/>
    <w:rsid w:val="00362ADB"/>
    <w:rsid w:val="003645DF"/>
    <w:rsid w:val="00365B03"/>
    <w:rsid w:val="00366413"/>
    <w:rsid w:val="0037103D"/>
    <w:rsid w:val="00373557"/>
    <w:rsid w:val="00374089"/>
    <w:rsid w:val="003742DD"/>
    <w:rsid w:val="00375A49"/>
    <w:rsid w:val="00376A67"/>
    <w:rsid w:val="00376EB1"/>
    <w:rsid w:val="00376ED2"/>
    <w:rsid w:val="00377FBC"/>
    <w:rsid w:val="00380354"/>
    <w:rsid w:val="00380473"/>
    <w:rsid w:val="00381220"/>
    <w:rsid w:val="003835A2"/>
    <w:rsid w:val="00383778"/>
    <w:rsid w:val="003839BC"/>
    <w:rsid w:val="00384267"/>
    <w:rsid w:val="003856E3"/>
    <w:rsid w:val="00385E0B"/>
    <w:rsid w:val="00386D34"/>
    <w:rsid w:val="0038706D"/>
    <w:rsid w:val="003902B0"/>
    <w:rsid w:val="003909AC"/>
    <w:rsid w:val="003913C7"/>
    <w:rsid w:val="00391900"/>
    <w:rsid w:val="00391B37"/>
    <w:rsid w:val="0039340F"/>
    <w:rsid w:val="00396655"/>
    <w:rsid w:val="00396F9B"/>
    <w:rsid w:val="003A1137"/>
    <w:rsid w:val="003A46C9"/>
    <w:rsid w:val="003A60FB"/>
    <w:rsid w:val="003A7738"/>
    <w:rsid w:val="003A7DA9"/>
    <w:rsid w:val="003B2446"/>
    <w:rsid w:val="003B2D9A"/>
    <w:rsid w:val="003B49BA"/>
    <w:rsid w:val="003B561E"/>
    <w:rsid w:val="003B6353"/>
    <w:rsid w:val="003B6403"/>
    <w:rsid w:val="003B668E"/>
    <w:rsid w:val="003B6F59"/>
    <w:rsid w:val="003B72CD"/>
    <w:rsid w:val="003B7D1F"/>
    <w:rsid w:val="003C0159"/>
    <w:rsid w:val="003C0E01"/>
    <w:rsid w:val="003C26AB"/>
    <w:rsid w:val="003C33AD"/>
    <w:rsid w:val="003C3402"/>
    <w:rsid w:val="003C5948"/>
    <w:rsid w:val="003C7796"/>
    <w:rsid w:val="003C7EC2"/>
    <w:rsid w:val="003D0BD3"/>
    <w:rsid w:val="003D13E3"/>
    <w:rsid w:val="003D1567"/>
    <w:rsid w:val="003D2AD4"/>
    <w:rsid w:val="003D4E3E"/>
    <w:rsid w:val="003D53B9"/>
    <w:rsid w:val="003D5EEC"/>
    <w:rsid w:val="003E0314"/>
    <w:rsid w:val="003E1904"/>
    <w:rsid w:val="003E2C69"/>
    <w:rsid w:val="003E2DB2"/>
    <w:rsid w:val="003E4B87"/>
    <w:rsid w:val="003E52C1"/>
    <w:rsid w:val="003E6327"/>
    <w:rsid w:val="003E678C"/>
    <w:rsid w:val="003F046D"/>
    <w:rsid w:val="003F0640"/>
    <w:rsid w:val="003F1072"/>
    <w:rsid w:val="003F13B4"/>
    <w:rsid w:val="003F2D85"/>
    <w:rsid w:val="003F4FF6"/>
    <w:rsid w:val="003F59E1"/>
    <w:rsid w:val="003F5A39"/>
    <w:rsid w:val="003F657B"/>
    <w:rsid w:val="003F7481"/>
    <w:rsid w:val="003F790C"/>
    <w:rsid w:val="003F797F"/>
    <w:rsid w:val="004007FF"/>
    <w:rsid w:val="00400953"/>
    <w:rsid w:val="004028F8"/>
    <w:rsid w:val="00402EEF"/>
    <w:rsid w:val="00402F0B"/>
    <w:rsid w:val="00403BA9"/>
    <w:rsid w:val="00403E49"/>
    <w:rsid w:val="00404A21"/>
    <w:rsid w:val="00404CFD"/>
    <w:rsid w:val="00405D2C"/>
    <w:rsid w:val="004074E9"/>
    <w:rsid w:val="0040783B"/>
    <w:rsid w:val="0041060E"/>
    <w:rsid w:val="004115F6"/>
    <w:rsid w:val="004134D9"/>
    <w:rsid w:val="004139A0"/>
    <w:rsid w:val="00415980"/>
    <w:rsid w:val="0041706A"/>
    <w:rsid w:val="00417108"/>
    <w:rsid w:val="00417D3F"/>
    <w:rsid w:val="004220F4"/>
    <w:rsid w:val="00422731"/>
    <w:rsid w:val="00423DA5"/>
    <w:rsid w:val="004241D8"/>
    <w:rsid w:val="004244CA"/>
    <w:rsid w:val="0042454C"/>
    <w:rsid w:val="0042633B"/>
    <w:rsid w:val="00426E91"/>
    <w:rsid w:val="00427ACD"/>
    <w:rsid w:val="00430896"/>
    <w:rsid w:val="00430C5E"/>
    <w:rsid w:val="00431249"/>
    <w:rsid w:val="004326E5"/>
    <w:rsid w:val="00432C27"/>
    <w:rsid w:val="00433F1D"/>
    <w:rsid w:val="00436AE4"/>
    <w:rsid w:val="00437674"/>
    <w:rsid w:val="004408BE"/>
    <w:rsid w:val="00441019"/>
    <w:rsid w:val="004410E8"/>
    <w:rsid w:val="004414F6"/>
    <w:rsid w:val="00441BCA"/>
    <w:rsid w:val="00441DF5"/>
    <w:rsid w:val="004421B9"/>
    <w:rsid w:val="004423BB"/>
    <w:rsid w:val="00447A8B"/>
    <w:rsid w:val="00450365"/>
    <w:rsid w:val="0045038B"/>
    <w:rsid w:val="00452A01"/>
    <w:rsid w:val="00452B16"/>
    <w:rsid w:val="00452E23"/>
    <w:rsid w:val="00454DFA"/>
    <w:rsid w:val="00455127"/>
    <w:rsid w:val="00460956"/>
    <w:rsid w:val="00461B64"/>
    <w:rsid w:val="00462526"/>
    <w:rsid w:val="00462532"/>
    <w:rsid w:val="004633AD"/>
    <w:rsid w:val="00463FBE"/>
    <w:rsid w:val="0046428E"/>
    <w:rsid w:val="004646F0"/>
    <w:rsid w:val="00464F93"/>
    <w:rsid w:val="0046586D"/>
    <w:rsid w:val="004666D9"/>
    <w:rsid w:val="00466A02"/>
    <w:rsid w:val="00470F4B"/>
    <w:rsid w:val="0047180C"/>
    <w:rsid w:val="004723E0"/>
    <w:rsid w:val="004727C5"/>
    <w:rsid w:val="00476452"/>
    <w:rsid w:val="00477631"/>
    <w:rsid w:val="0048003F"/>
    <w:rsid w:val="00483277"/>
    <w:rsid w:val="00483CAA"/>
    <w:rsid w:val="00483D95"/>
    <w:rsid w:val="004851E3"/>
    <w:rsid w:val="00485FFB"/>
    <w:rsid w:val="00486612"/>
    <w:rsid w:val="00486A92"/>
    <w:rsid w:val="00486F88"/>
    <w:rsid w:val="004872D2"/>
    <w:rsid w:val="00487F1E"/>
    <w:rsid w:val="00487F2E"/>
    <w:rsid w:val="0049224E"/>
    <w:rsid w:val="004928CC"/>
    <w:rsid w:val="00495147"/>
    <w:rsid w:val="004957DE"/>
    <w:rsid w:val="00496858"/>
    <w:rsid w:val="004A0E04"/>
    <w:rsid w:val="004A2018"/>
    <w:rsid w:val="004A2375"/>
    <w:rsid w:val="004A2C7A"/>
    <w:rsid w:val="004A3377"/>
    <w:rsid w:val="004A375F"/>
    <w:rsid w:val="004A3857"/>
    <w:rsid w:val="004A3AC1"/>
    <w:rsid w:val="004A41BD"/>
    <w:rsid w:val="004A46AD"/>
    <w:rsid w:val="004A52EB"/>
    <w:rsid w:val="004A55B1"/>
    <w:rsid w:val="004A67C1"/>
    <w:rsid w:val="004A7382"/>
    <w:rsid w:val="004B009D"/>
    <w:rsid w:val="004B1441"/>
    <w:rsid w:val="004B3184"/>
    <w:rsid w:val="004B3E74"/>
    <w:rsid w:val="004B5D35"/>
    <w:rsid w:val="004C22A7"/>
    <w:rsid w:val="004C5C29"/>
    <w:rsid w:val="004C60A0"/>
    <w:rsid w:val="004C7710"/>
    <w:rsid w:val="004D06FD"/>
    <w:rsid w:val="004D096C"/>
    <w:rsid w:val="004D1459"/>
    <w:rsid w:val="004D14EF"/>
    <w:rsid w:val="004D1928"/>
    <w:rsid w:val="004D229C"/>
    <w:rsid w:val="004D28BD"/>
    <w:rsid w:val="004D37FB"/>
    <w:rsid w:val="004D4912"/>
    <w:rsid w:val="004D5737"/>
    <w:rsid w:val="004D6245"/>
    <w:rsid w:val="004D6A28"/>
    <w:rsid w:val="004E13FF"/>
    <w:rsid w:val="004E3397"/>
    <w:rsid w:val="004E3586"/>
    <w:rsid w:val="004E3747"/>
    <w:rsid w:val="004E3EDC"/>
    <w:rsid w:val="004E4546"/>
    <w:rsid w:val="004E46D3"/>
    <w:rsid w:val="004E5545"/>
    <w:rsid w:val="004E5BBA"/>
    <w:rsid w:val="004E6333"/>
    <w:rsid w:val="004E7277"/>
    <w:rsid w:val="004F2830"/>
    <w:rsid w:val="004F2FFA"/>
    <w:rsid w:val="004F3E63"/>
    <w:rsid w:val="004F5E8A"/>
    <w:rsid w:val="004F75D2"/>
    <w:rsid w:val="0050099A"/>
    <w:rsid w:val="00501E95"/>
    <w:rsid w:val="00502675"/>
    <w:rsid w:val="00502876"/>
    <w:rsid w:val="00502A6C"/>
    <w:rsid w:val="005047AB"/>
    <w:rsid w:val="00504DD8"/>
    <w:rsid w:val="0050509F"/>
    <w:rsid w:val="0050540C"/>
    <w:rsid w:val="005073FB"/>
    <w:rsid w:val="00511679"/>
    <w:rsid w:val="0051296B"/>
    <w:rsid w:val="005136EA"/>
    <w:rsid w:val="005138CA"/>
    <w:rsid w:val="00514A0B"/>
    <w:rsid w:val="00515B51"/>
    <w:rsid w:val="005167B8"/>
    <w:rsid w:val="00517665"/>
    <w:rsid w:val="0051774A"/>
    <w:rsid w:val="0052034E"/>
    <w:rsid w:val="00521EF1"/>
    <w:rsid w:val="005221E9"/>
    <w:rsid w:val="00523202"/>
    <w:rsid w:val="00524114"/>
    <w:rsid w:val="00525040"/>
    <w:rsid w:val="00526791"/>
    <w:rsid w:val="00526A99"/>
    <w:rsid w:val="005273AD"/>
    <w:rsid w:val="0052791A"/>
    <w:rsid w:val="005301FC"/>
    <w:rsid w:val="005312EA"/>
    <w:rsid w:val="0053581D"/>
    <w:rsid w:val="00540108"/>
    <w:rsid w:val="00540D47"/>
    <w:rsid w:val="0054120E"/>
    <w:rsid w:val="00543134"/>
    <w:rsid w:val="00544210"/>
    <w:rsid w:val="005467C4"/>
    <w:rsid w:val="005477A4"/>
    <w:rsid w:val="005503E8"/>
    <w:rsid w:val="0055136F"/>
    <w:rsid w:val="005529FE"/>
    <w:rsid w:val="00554601"/>
    <w:rsid w:val="00555572"/>
    <w:rsid w:val="00555648"/>
    <w:rsid w:val="0055644E"/>
    <w:rsid w:val="005564F9"/>
    <w:rsid w:val="00560691"/>
    <w:rsid w:val="005619D0"/>
    <w:rsid w:val="0056329B"/>
    <w:rsid w:val="00564513"/>
    <w:rsid w:val="00564B9A"/>
    <w:rsid w:val="00564C2D"/>
    <w:rsid w:val="00567BA9"/>
    <w:rsid w:val="0057279F"/>
    <w:rsid w:val="00575DEE"/>
    <w:rsid w:val="00580A82"/>
    <w:rsid w:val="00581500"/>
    <w:rsid w:val="00581A0B"/>
    <w:rsid w:val="005824FF"/>
    <w:rsid w:val="00582D41"/>
    <w:rsid w:val="00582D91"/>
    <w:rsid w:val="00583142"/>
    <w:rsid w:val="00584E80"/>
    <w:rsid w:val="00585911"/>
    <w:rsid w:val="00585CFF"/>
    <w:rsid w:val="005865D6"/>
    <w:rsid w:val="0058745B"/>
    <w:rsid w:val="005875D7"/>
    <w:rsid w:val="0059023F"/>
    <w:rsid w:val="0059106A"/>
    <w:rsid w:val="005919A3"/>
    <w:rsid w:val="005926C8"/>
    <w:rsid w:val="00592B42"/>
    <w:rsid w:val="00593593"/>
    <w:rsid w:val="00593ECE"/>
    <w:rsid w:val="00594220"/>
    <w:rsid w:val="0059491D"/>
    <w:rsid w:val="00594DF2"/>
    <w:rsid w:val="00594EB3"/>
    <w:rsid w:val="005A060B"/>
    <w:rsid w:val="005A0797"/>
    <w:rsid w:val="005A1D1F"/>
    <w:rsid w:val="005A2B34"/>
    <w:rsid w:val="005A5274"/>
    <w:rsid w:val="005A5400"/>
    <w:rsid w:val="005A54AE"/>
    <w:rsid w:val="005A5673"/>
    <w:rsid w:val="005A65D4"/>
    <w:rsid w:val="005A6E3F"/>
    <w:rsid w:val="005A716E"/>
    <w:rsid w:val="005A72DF"/>
    <w:rsid w:val="005B0AC3"/>
    <w:rsid w:val="005B1692"/>
    <w:rsid w:val="005B4DA8"/>
    <w:rsid w:val="005B56FA"/>
    <w:rsid w:val="005B78FF"/>
    <w:rsid w:val="005C01E3"/>
    <w:rsid w:val="005C07F0"/>
    <w:rsid w:val="005C0A77"/>
    <w:rsid w:val="005C1A8E"/>
    <w:rsid w:val="005C26D5"/>
    <w:rsid w:val="005C50A6"/>
    <w:rsid w:val="005C5A83"/>
    <w:rsid w:val="005C5ABC"/>
    <w:rsid w:val="005C5B03"/>
    <w:rsid w:val="005C6204"/>
    <w:rsid w:val="005D11A5"/>
    <w:rsid w:val="005D14C8"/>
    <w:rsid w:val="005D1D8D"/>
    <w:rsid w:val="005D309A"/>
    <w:rsid w:val="005D37E9"/>
    <w:rsid w:val="005D3B8E"/>
    <w:rsid w:val="005D3C67"/>
    <w:rsid w:val="005D55B1"/>
    <w:rsid w:val="005D564F"/>
    <w:rsid w:val="005D5BB9"/>
    <w:rsid w:val="005D66F5"/>
    <w:rsid w:val="005E0035"/>
    <w:rsid w:val="005E0062"/>
    <w:rsid w:val="005E0D8E"/>
    <w:rsid w:val="005E1FB1"/>
    <w:rsid w:val="005E2451"/>
    <w:rsid w:val="005E2F6B"/>
    <w:rsid w:val="005E3857"/>
    <w:rsid w:val="005E3E78"/>
    <w:rsid w:val="005E610A"/>
    <w:rsid w:val="005E6439"/>
    <w:rsid w:val="005E677C"/>
    <w:rsid w:val="005E7952"/>
    <w:rsid w:val="005E7EDB"/>
    <w:rsid w:val="005F003F"/>
    <w:rsid w:val="005F0332"/>
    <w:rsid w:val="005F049E"/>
    <w:rsid w:val="005F0BDF"/>
    <w:rsid w:val="005F0D59"/>
    <w:rsid w:val="005F1F48"/>
    <w:rsid w:val="005F3066"/>
    <w:rsid w:val="005F3A2E"/>
    <w:rsid w:val="005F6713"/>
    <w:rsid w:val="005F69A2"/>
    <w:rsid w:val="005F6C49"/>
    <w:rsid w:val="005F7B0C"/>
    <w:rsid w:val="00600C1B"/>
    <w:rsid w:val="00600D85"/>
    <w:rsid w:val="00600DCA"/>
    <w:rsid w:val="006019CC"/>
    <w:rsid w:val="00602776"/>
    <w:rsid w:val="00603589"/>
    <w:rsid w:val="00605B76"/>
    <w:rsid w:val="00606262"/>
    <w:rsid w:val="006073D4"/>
    <w:rsid w:val="0060777E"/>
    <w:rsid w:val="00610E99"/>
    <w:rsid w:val="00612601"/>
    <w:rsid w:val="006140C9"/>
    <w:rsid w:val="00614127"/>
    <w:rsid w:val="00614B56"/>
    <w:rsid w:val="00614DF5"/>
    <w:rsid w:val="00614F58"/>
    <w:rsid w:val="006159FE"/>
    <w:rsid w:val="00615DC4"/>
    <w:rsid w:val="00615E38"/>
    <w:rsid w:val="0061652F"/>
    <w:rsid w:val="0061747A"/>
    <w:rsid w:val="0061793D"/>
    <w:rsid w:val="00617AEA"/>
    <w:rsid w:val="006210A5"/>
    <w:rsid w:val="006211EE"/>
    <w:rsid w:val="006230EB"/>
    <w:rsid w:val="00623BEC"/>
    <w:rsid w:val="0062513D"/>
    <w:rsid w:val="00626960"/>
    <w:rsid w:val="00627B36"/>
    <w:rsid w:val="006307FD"/>
    <w:rsid w:val="00630EE4"/>
    <w:rsid w:val="00631453"/>
    <w:rsid w:val="0063171F"/>
    <w:rsid w:val="00633294"/>
    <w:rsid w:val="0063416F"/>
    <w:rsid w:val="006345E9"/>
    <w:rsid w:val="00635296"/>
    <w:rsid w:val="00635920"/>
    <w:rsid w:val="006359A5"/>
    <w:rsid w:val="00635B25"/>
    <w:rsid w:val="00637A25"/>
    <w:rsid w:val="00640BED"/>
    <w:rsid w:val="00640CB8"/>
    <w:rsid w:val="00640E6A"/>
    <w:rsid w:val="00641F26"/>
    <w:rsid w:val="006427A1"/>
    <w:rsid w:val="00642A24"/>
    <w:rsid w:val="0064340D"/>
    <w:rsid w:val="0064385D"/>
    <w:rsid w:val="00643B1B"/>
    <w:rsid w:val="00644991"/>
    <w:rsid w:val="00644CD2"/>
    <w:rsid w:val="00646FF0"/>
    <w:rsid w:val="006515BF"/>
    <w:rsid w:val="00652E84"/>
    <w:rsid w:val="00653A98"/>
    <w:rsid w:val="00653B37"/>
    <w:rsid w:val="00653BAA"/>
    <w:rsid w:val="00654672"/>
    <w:rsid w:val="006550A2"/>
    <w:rsid w:val="00655FE3"/>
    <w:rsid w:val="0065659D"/>
    <w:rsid w:val="0065666B"/>
    <w:rsid w:val="00656881"/>
    <w:rsid w:val="006573FA"/>
    <w:rsid w:val="0066085B"/>
    <w:rsid w:val="0066170A"/>
    <w:rsid w:val="0066185F"/>
    <w:rsid w:val="006625B3"/>
    <w:rsid w:val="00662CE6"/>
    <w:rsid w:val="00663EB6"/>
    <w:rsid w:val="00664F78"/>
    <w:rsid w:val="00665069"/>
    <w:rsid w:val="0066508C"/>
    <w:rsid w:val="006654C3"/>
    <w:rsid w:val="00665F2A"/>
    <w:rsid w:val="00666087"/>
    <w:rsid w:val="0066754B"/>
    <w:rsid w:val="00670036"/>
    <w:rsid w:val="00670926"/>
    <w:rsid w:val="00673768"/>
    <w:rsid w:val="006739DB"/>
    <w:rsid w:val="00673A88"/>
    <w:rsid w:val="006745EF"/>
    <w:rsid w:val="00675F27"/>
    <w:rsid w:val="00676078"/>
    <w:rsid w:val="00676A6C"/>
    <w:rsid w:val="00680DDB"/>
    <w:rsid w:val="00681DD3"/>
    <w:rsid w:val="00682004"/>
    <w:rsid w:val="00683973"/>
    <w:rsid w:val="00685AC8"/>
    <w:rsid w:val="00686F72"/>
    <w:rsid w:val="006870AD"/>
    <w:rsid w:val="00687D93"/>
    <w:rsid w:val="006909F0"/>
    <w:rsid w:val="00690A55"/>
    <w:rsid w:val="00690FA8"/>
    <w:rsid w:val="0069308F"/>
    <w:rsid w:val="006936B6"/>
    <w:rsid w:val="00693C89"/>
    <w:rsid w:val="00694531"/>
    <w:rsid w:val="00694BBA"/>
    <w:rsid w:val="00695388"/>
    <w:rsid w:val="006A1D5C"/>
    <w:rsid w:val="006A1F4B"/>
    <w:rsid w:val="006A2218"/>
    <w:rsid w:val="006A5956"/>
    <w:rsid w:val="006A6369"/>
    <w:rsid w:val="006A68FD"/>
    <w:rsid w:val="006A6DDA"/>
    <w:rsid w:val="006B1ED9"/>
    <w:rsid w:val="006B2139"/>
    <w:rsid w:val="006B2CC0"/>
    <w:rsid w:val="006B43D8"/>
    <w:rsid w:val="006B4EF0"/>
    <w:rsid w:val="006B54A8"/>
    <w:rsid w:val="006B5AFE"/>
    <w:rsid w:val="006B6852"/>
    <w:rsid w:val="006B6897"/>
    <w:rsid w:val="006C0599"/>
    <w:rsid w:val="006C13A2"/>
    <w:rsid w:val="006C1505"/>
    <w:rsid w:val="006C1CE0"/>
    <w:rsid w:val="006C2614"/>
    <w:rsid w:val="006C2669"/>
    <w:rsid w:val="006C2E30"/>
    <w:rsid w:val="006C3C51"/>
    <w:rsid w:val="006C470C"/>
    <w:rsid w:val="006C7A87"/>
    <w:rsid w:val="006D07FF"/>
    <w:rsid w:val="006D0A7E"/>
    <w:rsid w:val="006D0C3E"/>
    <w:rsid w:val="006D12F9"/>
    <w:rsid w:val="006D1FCC"/>
    <w:rsid w:val="006D205E"/>
    <w:rsid w:val="006D3E9B"/>
    <w:rsid w:val="006D724D"/>
    <w:rsid w:val="006E0CA8"/>
    <w:rsid w:val="006E1196"/>
    <w:rsid w:val="006E4104"/>
    <w:rsid w:val="006E4885"/>
    <w:rsid w:val="006E63BF"/>
    <w:rsid w:val="006F159F"/>
    <w:rsid w:val="006F1C13"/>
    <w:rsid w:val="006F248D"/>
    <w:rsid w:val="006F2946"/>
    <w:rsid w:val="006F311F"/>
    <w:rsid w:val="006F5744"/>
    <w:rsid w:val="006F5792"/>
    <w:rsid w:val="00701720"/>
    <w:rsid w:val="007017DA"/>
    <w:rsid w:val="0070285C"/>
    <w:rsid w:val="00703D52"/>
    <w:rsid w:val="00704588"/>
    <w:rsid w:val="00705141"/>
    <w:rsid w:val="00705EA2"/>
    <w:rsid w:val="00706267"/>
    <w:rsid w:val="00706548"/>
    <w:rsid w:val="00707068"/>
    <w:rsid w:val="007075B8"/>
    <w:rsid w:val="007079BA"/>
    <w:rsid w:val="00707DF4"/>
    <w:rsid w:val="00710F43"/>
    <w:rsid w:val="007113A4"/>
    <w:rsid w:val="007136E1"/>
    <w:rsid w:val="007143CD"/>
    <w:rsid w:val="00714659"/>
    <w:rsid w:val="007149E5"/>
    <w:rsid w:val="007158CB"/>
    <w:rsid w:val="00715EF4"/>
    <w:rsid w:val="00717800"/>
    <w:rsid w:val="0071792F"/>
    <w:rsid w:val="00717A45"/>
    <w:rsid w:val="00717AAC"/>
    <w:rsid w:val="00720270"/>
    <w:rsid w:val="00721C67"/>
    <w:rsid w:val="00721EE9"/>
    <w:rsid w:val="00721F49"/>
    <w:rsid w:val="00723061"/>
    <w:rsid w:val="007237F8"/>
    <w:rsid w:val="0072387A"/>
    <w:rsid w:val="00724739"/>
    <w:rsid w:val="00724ADB"/>
    <w:rsid w:val="00724E8F"/>
    <w:rsid w:val="007256CC"/>
    <w:rsid w:val="00726E41"/>
    <w:rsid w:val="00731780"/>
    <w:rsid w:val="00731A4B"/>
    <w:rsid w:val="00732364"/>
    <w:rsid w:val="00732E5E"/>
    <w:rsid w:val="007339DC"/>
    <w:rsid w:val="00735373"/>
    <w:rsid w:val="00735EA8"/>
    <w:rsid w:val="00736A24"/>
    <w:rsid w:val="007401C6"/>
    <w:rsid w:val="007415C7"/>
    <w:rsid w:val="00741EA5"/>
    <w:rsid w:val="00742626"/>
    <w:rsid w:val="007436BE"/>
    <w:rsid w:val="00743D7E"/>
    <w:rsid w:val="0074485C"/>
    <w:rsid w:val="0074492E"/>
    <w:rsid w:val="00744AC1"/>
    <w:rsid w:val="00745D88"/>
    <w:rsid w:val="00747CE1"/>
    <w:rsid w:val="00750979"/>
    <w:rsid w:val="0075560D"/>
    <w:rsid w:val="00756FE6"/>
    <w:rsid w:val="007577B5"/>
    <w:rsid w:val="00757BF1"/>
    <w:rsid w:val="00761077"/>
    <w:rsid w:val="00761102"/>
    <w:rsid w:val="0076282A"/>
    <w:rsid w:val="00762CBF"/>
    <w:rsid w:val="00762E73"/>
    <w:rsid w:val="00764528"/>
    <w:rsid w:val="00764D79"/>
    <w:rsid w:val="0076597D"/>
    <w:rsid w:val="00765DB1"/>
    <w:rsid w:val="00766C7B"/>
    <w:rsid w:val="007674F9"/>
    <w:rsid w:val="007709F3"/>
    <w:rsid w:val="007711C1"/>
    <w:rsid w:val="007721C3"/>
    <w:rsid w:val="00772C0B"/>
    <w:rsid w:val="00772E64"/>
    <w:rsid w:val="00772F2C"/>
    <w:rsid w:val="00774D15"/>
    <w:rsid w:val="00774DDD"/>
    <w:rsid w:val="00775BEE"/>
    <w:rsid w:val="00775EA7"/>
    <w:rsid w:val="007762B2"/>
    <w:rsid w:val="0077668E"/>
    <w:rsid w:val="00777872"/>
    <w:rsid w:val="00780814"/>
    <w:rsid w:val="00781B44"/>
    <w:rsid w:val="007822EB"/>
    <w:rsid w:val="00782E50"/>
    <w:rsid w:val="0078348D"/>
    <w:rsid w:val="0078431E"/>
    <w:rsid w:val="00784711"/>
    <w:rsid w:val="007855AA"/>
    <w:rsid w:val="00786E7F"/>
    <w:rsid w:val="00787492"/>
    <w:rsid w:val="007874DD"/>
    <w:rsid w:val="0079119E"/>
    <w:rsid w:val="00791418"/>
    <w:rsid w:val="00792111"/>
    <w:rsid w:val="00793E7B"/>
    <w:rsid w:val="007948AC"/>
    <w:rsid w:val="00795304"/>
    <w:rsid w:val="00796B4B"/>
    <w:rsid w:val="0079709B"/>
    <w:rsid w:val="00797271"/>
    <w:rsid w:val="007A1302"/>
    <w:rsid w:val="007A1C5A"/>
    <w:rsid w:val="007A1DDF"/>
    <w:rsid w:val="007A2DFE"/>
    <w:rsid w:val="007A315D"/>
    <w:rsid w:val="007A3FD6"/>
    <w:rsid w:val="007A4052"/>
    <w:rsid w:val="007A4B89"/>
    <w:rsid w:val="007A7AC1"/>
    <w:rsid w:val="007B02FC"/>
    <w:rsid w:val="007B2FA6"/>
    <w:rsid w:val="007B37FC"/>
    <w:rsid w:val="007B4B5C"/>
    <w:rsid w:val="007C1876"/>
    <w:rsid w:val="007C2819"/>
    <w:rsid w:val="007C54AC"/>
    <w:rsid w:val="007C5743"/>
    <w:rsid w:val="007C7A9E"/>
    <w:rsid w:val="007C7FE6"/>
    <w:rsid w:val="007D1767"/>
    <w:rsid w:val="007D1921"/>
    <w:rsid w:val="007D1965"/>
    <w:rsid w:val="007D2C92"/>
    <w:rsid w:val="007D332F"/>
    <w:rsid w:val="007D3C8A"/>
    <w:rsid w:val="007D4F77"/>
    <w:rsid w:val="007D61BD"/>
    <w:rsid w:val="007E0A08"/>
    <w:rsid w:val="007E0E7C"/>
    <w:rsid w:val="007E1604"/>
    <w:rsid w:val="007E4047"/>
    <w:rsid w:val="007E426B"/>
    <w:rsid w:val="007E4CF9"/>
    <w:rsid w:val="007E4D34"/>
    <w:rsid w:val="007E4F16"/>
    <w:rsid w:val="007E5C86"/>
    <w:rsid w:val="007E653F"/>
    <w:rsid w:val="007F0199"/>
    <w:rsid w:val="007F04A9"/>
    <w:rsid w:val="007F1112"/>
    <w:rsid w:val="007F128D"/>
    <w:rsid w:val="007F12D8"/>
    <w:rsid w:val="007F226B"/>
    <w:rsid w:val="007F36E5"/>
    <w:rsid w:val="007F4398"/>
    <w:rsid w:val="0080092B"/>
    <w:rsid w:val="00803DB3"/>
    <w:rsid w:val="00804096"/>
    <w:rsid w:val="00804E3E"/>
    <w:rsid w:val="0080616C"/>
    <w:rsid w:val="00806758"/>
    <w:rsid w:val="00807132"/>
    <w:rsid w:val="00807189"/>
    <w:rsid w:val="00812CC5"/>
    <w:rsid w:val="0081530F"/>
    <w:rsid w:val="008159B0"/>
    <w:rsid w:val="00816842"/>
    <w:rsid w:val="00816CE5"/>
    <w:rsid w:val="0081772F"/>
    <w:rsid w:val="00820C37"/>
    <w:rsid w:val="00820D9B"/>
    <w:rsid w:val="008214BC"/>
    <w:rsid w:val="00821E56"/>
    <w:rsid w:val="00822C8B"/>
    <w:rsid w:val="00823AB2"/>
    <w:rsid w:val="00830EE2"/>
    <w:rsid w:val="008316D9"/>
    <w:rsid w:val="00831D5B"/>
    <w:rsid w:val="00832709"/>
    <w:rsid w:val="00832AFC"/>
    <w:rsid w:val="00833975"/>
    <w:rsid w:val="00834C50"/>
    <w:rsid w:val="00834F7E"/>
    <w:rsid w:val="00834F81"/>
    <w:rsid w:val="00835743"/>
    <w:rsid w:val="00836689"/>
    <w:rsid w:val="00836B15"/>
    <w:rsid w:val="00837EBD"/>
    <w:rsid w:val="00837F19"/>
    <w:rsid w:val="008413E8"/>
    <w:rsid w:val="008426F8"/>
    <w:rsid w:val="008435AE"/>
    <w:rsid w:val="00843DD6"/>
    <w:rsid w:val="00844261"/>
    <w:rsid w:val="00844291"/>
    <w:rsid w:val="00846285"/>
    <w:rsid w:val="00851EE9"/>
    <w:rsid w:val="00853939"/>
    <w:rsid w:val="00853A19"/>
    <w:rsid w:val="00853EEB"/>
    <w:rsid w:val="00854B60"/>
    <w:rsid w:val="00855B2B"/>
    <w:rsid w:val="008576CC"/>
    <w:rsid w:val="00864052"/>
    <w:rsid w:val="008666AC"/>
    <w:rsid w:val="00866A61"/>
    <w:rsid w:val="008677D2"/>
    <w:rsid w:val="00870316"/>
    <w:rsid w:val="00871009"/>
    <w:rsid w:val="00872477"/>
    <w:rsid w:val="00872B98"/>
    <w:rsid w:val="008758C8"/>
    <w:rsid w:val="008761C9"/>
    <w:rsid w:val="00877BF3"/>
    <w:rsid w:val="00880B76"/>
    <w:rsid w:val="00881050"/>
    <w:rsid w:val="008812D0"/>
    <w:rsid w:val="00881394"/>
    <w:rsid w:val="0088177B"/>
    <w:rsid w:val="00881DEF"/>
    <w:rsid w:val="00883BB7"/>
    <w:rsid w:val="008841ED"/>
    <w:rsid w:val="008844C5"/>
    <w:rsid w:val="00884A3F"/>
    <w:rsid w:val="00884CD3"/>
    <w:rsid w:val="00886430"/>
    <w:rsid w:val="00890845"/>
    <w:rsid w:val="008934EF"/>
    <w:rsid w:val="00897C98"/>
    <w:rsid w:val="008A0F48"/>
    <w:rsid w:val="008A1896"/>
    <w:rsid w:val="008A2972"/>
    <w:rsid w:val="008A409B"/>
    <w:rsid w:val="008A605A"/>
    <w:rsid w:val="008A68D1"/>
    <w:rsid w:val="008A6E7A"/>
    <w:rsid w:val="008A79D6"/>
    <w:rsid w:val="008A7E14"/>
    <w:rsid w:val="008B0598"/>
    <w:rsid w:val="008B1209"/>
    <w:rsid w:val="008B1A5B"/>
    <w:rsid w:val="008B28F3"/>
    <w:rsid w:val="008B2C35"/>
    <w:rsid w:val="008B2CEB"/>
    <w:rsid w:val="008B2E6E"/>
    <w:rsid w:val="008B3D5B"/>
    <w:rsid w:val="008B4618"/>
    <w:rsid w:val="008B55FE"/>
    <w:rsid w:val="008B5618"/>
    <w:rsid w:val="008C003E"/>
    <w:rsid w:val="008C0BB2"/>
    <w:rsid w:val="008C1204"/>
    <w:rsid w:val="008C2158"/>
    <w:rsid w:val="008C448E"/>
    <w:rsid w:val="008C45E5"/>
    <w:rsid w:val="008C7964"/>
    <w:rsid w:val="008D38DF"/>
    <w:rsid w:val="008D4031"/>
    <w:rsid w:val="008D4542"/>
    <w:rsid w:val="008D48BE"/>
    <w:rsid w:val="008D4F67"/>
    <w:rsid w:val="008D6BA2"/>
    <w:rsid w:val="008D7514"/>
    <w:rsid w:val="008E0BB4"/>
    <w:rsid w:val="008E0BC5"/>
    <w:rsid w:val="008E12AD"/>
    <w:rsid w:val="008E16A6"/>
    <w:rsid w:val="008E1F83"/>
    <w:rsid w:val="008E22B5"/>
    <w:rsid w:val="008E2A4E"/>
    <w:rsid w:val="008E351E"/>
    <w:rsid w:val="008E3DFB"/>
    <w:rsid w:val="008E3E3A"/>
    <w:rsid w:val="008E4B0A"/>
    <w:rsid w:val="008E4C83"/>
    <w:rsid w:val="008E4ECE"/>
    <w:rsid w:val="008E5339"/>
    <w:rsid w:val="008E7738"/>
    <w:rsid w:val="008F2676"/>
    <w:rsid w:val="008F2D66"/>
    <w:rsid w:val="008F40F0"/>
    <w:rsid w:val="008F4B8E"/>
    <w:rsid w:val="008F542C"/>
    <w:rsid w:val="008F569A"/>
    <w:rsid w:val="008F5CA7"/>
    <w:rsid w:val="008F7545"/>
    <w:rsid w:val="009026E5"/>
    <w:rsid w:val="00902762"/>
    <w:rsid w:val="00904413"/>
    <w:rsid w:val="00904A50"/>
    <w:rsid w:val="0090594F"/>
    <w:rsid w:val="009059EE"/>
    <w:rsid w:val="009061F0"/>
    <w:rsid w:val="00907E63"/>
    <w:rsid w:val="00911074"/>
    <w:rsid w:val="00912D73"/>
    <w:rsid w:val="0091557D"/>
    <w:rsid w:val="00915EC7"/>
    <w:rsid w:val="00916C37"/>
    <w:rsid w:val="00920DD7"/>
    <w:rsid w:val="00923421"/>
    <w:rsid w:val="009236EF"/>
    <w:rsid w:val="00923C00"/>
    <w:rsid w:val="0092574A"/>
    <w:rsid w:val="00925B1A"/>
    <w:rsid w:val="00927CAC"/>
    <w:rsid w:val="009300BA"/>
    <w:rsid w:val="009305E5"/>
    <w:rsid w:val="00930D39"/>
    <w:rsid w:val="00930EE6"/>
    <w:rsid w:val="009312AF"/>
    <w:rsid w:val="00933205"/>
    <w:rsid w:val="00933C7F"/>
    <w:rsid w:val="009344B0"/>
    <w:rsid w:val="00934DA1"/>
    <w:rsid w:val="00934DD1"/>
    <w:rsid w:val="009426D6"/>
    <w:rsid w:val="0094312A"/>
    <w:rsid w:val="009437FC"/>
    <w:rsid w:val="00943885"/>
    <w:rsid w:val="00944876"/>
    <w:rsid w:val="00945392"/>
    <w:rsid w:val="0094574C"/>
    <w:rsid w:val="009457CE"/>
    <w:rsid w:val="00946914"/>
    <w:rsid w:val="00947FDF"/>
    <w:rsid w:val="00950626"/>
    <w:rsid w:val="00950FB4"/>
    <w:rsid w:val="00951CBF"/>
    <w:rsid w:val="00951D2E"/>
    <w:rsid w:val="00952B91"/>
    <w:rsid w:val="00952FE2"/>
    <w:rsid w:val="00952FEC"/>
    <w:rsid w:val="00953A6A"/>
    <w:rsid w:val="009540F2"/>
    <w:rsid w:val="00954FC5"/>
    <w:rsid w:val="00956D05"/>
    <w:rsid w:val="0095717F"/>
    <w:rsid w:val="00961835"/>
    <w:rsid w:val="00961D18"/>
    <w:rsid w:val="00963EAF"/>
    <w:rsid w:val="00966330"/>
    <w:rsid w:val="009672B9"/>
    <w:rsid w:val="00967CAE"/>
    <w:rsid w:val="009714C0"/>
    <w:rsid w:val="009715B2"/>
    <w:rsid w:val="00971E6E"/>
    <w:rsid w:val="0097202B"/>
    <w:rsid w:val="009721C0"/>
    <w:rsid w:val="00972912"/>
    <w:rsid w:val="00976D01"/>
    <w:rsid w:val="00976EA9"/>
    <w:rsid w:val="009775A7"/>
    <w:rsid w:val="0098038D"/>
    <w:rsid w:val="0098147E"/>
    <w:rsid w:val="009817F5"/>
    <w:rsid w:val="00982AD2"/>
    <w:rsid w:val="00983944"/>
    <w:rsid w:val="00983A1F"/>
    <w:rsid w:val="00983BBA"/>
    <w:rsid w:val="0098452D"/>
    <w:rsid w:val="00985EDA"/>
    <w:rsid w:val="00990F33"/>
    <w:rsid w:val="0099195A"/>
    <w:rsid w:val="00992674"/>
    <w:rsid w:val="009932B7"/>
    <w:rsid w:val="00995317"/>
    <w:rsid w:val="00995E14"/>
    <w:rsid w:val="00997068"/>
    <w:rsid w:val="009A05BD"/>
    <w:rsid w:val="009A1F32"/>
    <w:rsid w:val="009A30CF"/>
    <w:rsid w:val="009A4D07"/>
    <w:rsid w:val="009A4E87"/>
    <w:rsid w:val="009A5269"/>
    <w:rsid w:val="009A55A4"/>
    <w:rsid w:val="009A6338"/>
    <w:rsid w:val="009A75C7"/>
    <w:rsid w:val="009B03A8"/>
    <w:rsid w:val="009B219A"/>
    <w:rsid w:val="009B2B70"/>
    <w:rsid w:val="009B2ED4"/>
    <w:rsid w:val="009B4558"/>
    <w:rsid w:val="009B46CB"/>
    <w:rsid w:val="009B64B0"/>
    <w:rsid w:val="009B7592"/>
    <w:rsid w:val="009C0478"/>
    <w:rsid w:val="009C1209"/>
    <w:rsid w:val="009C23D2"/>
    <w:rsid w:val="009C347D"/>
    <w:rsid w:val="009C4457"/>
    <w:rsid w:val="009C5F2C"/>
    <w:rsid w:val="009C7863"/>
    <w:rsid w:val="009D1D5C"/>
    <w:rsid w:val="009D30C4"/>
    <w:rsid w:val="009D4221"/>
    <w:rsid w:val="009D48B9"/>
    <w:rsid w:val="009D4D6B"/>
    <w:rsid w:val="009D5D4A"/>
    <w:rsid w:val="009D7DA2"/>
    <w:rsid w:val="009E12B6"/>
    <w:rsid w:val="009E1E0C"/>
    <w:rsid w:val="009E2139"/>
    <w:rsid w:val="009E2B68"/>
    <w:rsid w:val="009E41E8"/>
    <w:rsid w:val="009E5970"/>
    <w:rsid w:val="009F056A"/>
    <w:rsid w:val="009F4789"/>
    <w:rsid w:val="009F7F05"/>
    <w:rsid w:val="00A0042E"/>
    <w:rsid w:val="00A0195F"/>
    <w:rsid w:val="00A02E71"/>
    <w:rsid w:val="00A0449D"/>
    <w:rsid w:val="00A07A22"/>
    <w:rsid w:val="00A10390"/>
    <w:rsid w:val="00A11AE1"/>
    <w:rsid w:val="00A120EA"/>
    <w:rsid w:val="00A122ED"/>
    <w:rsid w:val="00A12572"/>
    <w:rsid w:val="00A13E26"/>
    <w:rsid w:val="00A13FB7"/>
    <w:rsid w:val="00A141B8"/>
    <w:rsid w:val="00A155AA"/>
    <w:rsid w:val="00A16E84"/>
    <w:rsid w:val="00A17014"/>
    <w:rsid w:val="00A2006E"/>
    <w:rsid w:val="00A21CA7"/>
    <w:rsid w:val="00A22699"/>
    <w:rsid w:val="00A239AC"/>
    <w:rsid w:val="00A23A6A"/>
    <w:rsid w:val="00A250D3"/>
    <w:rsid w:val="00A319E9"/>
    <w:rsid w:val="00A31E3B"/>
    <w:rsid w:val="00A335C4"/>
    <w:rsid w:val="00A34196"/>
    <w:rsid w:val="00A34810"/>
    <w:rsid w:val="00A359A9"/>
    <w:rsid w:val="00A3600A"/>
    <w:rsid w:val="00A3624F"/>
    <w:rsid w:val="00A36B04"/>
    <w:rsid w:val="00A37557"/>
    <w:rsid w:val="00A37BD7"/>
    <w:rsid w:val="00A37FE5"/>
    <w:rsid w:val="00A41EF1"/>
    <w:rsid w:val="00A4455E"/>
    <w:rsid w:val="00A44C92"/>
    <w:rsid w:val="00A4527B"/>
    <w:rsid w:val="00A4799F"/>
    <w:rsid w:val="00A50EFB"/>
    <w:rsid w:val="00A514D9"/>
    <w:rsid w:val="00A56467"/>
    <w:rsid w:val="00A5757D"/>
    <w:rsid w:val="00A5787B"/>
    <w:rsid w:val="00A610FC"/>
    <w:rsid w:val="00A61306"/>
    <w:rsid w:val="00A61B2F"/>
    <w:rsid w:val="00A62961"/>
    <w:rsid w:val="00A62BB5"/>
    <w:rsid w:val="00A644FC"/>
    <w:rsid w:val="00A64C50"/>
    <w:rsid w:val="00A66E91"/>
    <w:rsid w:val="00A67800"/>
    <w:rsid w:val="00A700C4"/>
    <w:rsid w:val="00A72C4A"/>
    <w:rsid w:val="00A72E05"/>
    <w:rsid w:val="00A7300B"/>
    <w:rsid w:val="00A73642"/>
    <w:rsid w:val="00A740F2"/>
    <w:rsid w:val="00A7416B"/>
    <w:rsid w:val="00A74D9D"/>
    <w:rsid w:val="00A7500E"/>
    <w:rsid w:val="00A750AF"/>
    <w:rsid w:val="00A75CE3"/>
    <w:rsid w:val="00A75EC6"/>
    <w:rsid w:val="00A813ED"/>
    <w:rsid w:val="00A8189E"/>
    <w:rsid w:val="00A81C26"/>
    <w:rsid w:val="00A81F71"/>
    <w:rsid w:val="00A82D97"/>
    <w:rsid w:val="00A831A0"/>
    <w:rsid w:val="00A8377A"/>
    <w:rsid w:val="00A83D47"/>
    <w:rsid w:val="00A83EC2"/>
    <w:rsid w:val="00A8431E"/>
    <w:rsid w:val="00A8558F"/>
    <w:rsid w:val="00A85D34"/>
    <w:rsid w:val="00A863F0"/>
    <w:rsid w:val="00A86C6C"/>
    <w:rsid w:val="00A87CB4"/>
    <w:rsid w:val="00A9068A"/>
    <w:rsid w:val="00A90E8D"/>
    <w:rsid w:val="00A90FA6"/>
    <w:rsid w:val="00A91B1E"/>
    <w:rsid w:val="00A92064"/>
    <w:rsid w:val="00A926BB"/>
    <w:rsid w:val="00A94B94"/>
    <w:rsid w:val="00A961DA"/>
    <w:rsid w:val="00A96D2F"/>
    <w:rsid w:val="00A97946"/>
    <w:rsid w:val="00AA1268"/>
    <w:rsid w:val="00AA1CE2"/>
    <w:rsid w:val="00AA295D"/>
    <w:rsid w:val="00AA53D4"/>
    <w:rsid w:val="00AA562E"/>
    <w:rsid w:val="00AA5D05"/>
    <w:rsid w:val="00AA616D"/>
    <w:rsid w:val="00AA763E"/>
    <w:rsid w:val="00AB097E"/>
    <w:rsid w:val="00AB0B37"/>
    <w:rsid w:val="00AB1172"/>
    <w:rsid w:val="00AB20A4"/>
    <w:rsid w:val="00AB30EC"/>
    <w:rsid w:val="00AB6A7F"/>
    <w:rsid w:val="00AC1D02"/>
    <w:rsid w:val="00AC2620"/>
    <w:rsid w:val="00AC338E"/>
    <w:rsid w:val="00AC3462"/>
    <w:rsid w:val="00AC348D"/>
    <w:rsid w:val="00AC5505"/>
    <w:rsid w:val="00AC6484"/>
    <w:rsid w:val="00AC6C52"/>
    <w:rsid w:val="00AD2172"/>
    <w:rsid w:val="00AD3203"/>
    <w:rsid w:val="00AD3884"/>
    <w:rsid w:val="00AD45D8"/>
    <w:rsid w:val="00AD6AEA"/>
    <w:rsid w:val="00AD78B2"/>
    <w:rsid w:val="00AE1AC4"/>
    <w:rsid w:val="00AE1D87"/>
    <w:rsid w:val="00AE2744"/>
    <w:rsid w:val="00AE3806"/>
    <w:rsid w:val="00AE3CB5"/>
    <w:rsid w:val="00AE70FC"/>
    <w:rsid w:val="00AF1C9C"/>
    <w:rsid w:val="00AF3894"/>
    <w:rsid w:val="00AF63FE"/>
    <w:rsid w:val="00AF66D5"/>
    <w:rsid w:val="00AF6F71"/>
    <w:rsid w:val="00AF70F2"/>
    <w:rsid w:val="00B0066C"/>
    <w:rsid w:val="00B0090D"/>
    <w:rsid w:val="00B00AA9"/>
    <w:rsid w:val="00B00C74"/>
    <w:rsid w:val="00B00F9F"/>
    <w:rsid w:val="00B019CC"/>
    <w:rsid w:val="00B02852"/>
    <w:rsid w:val="00B0474C"/>
    <w:rsid w:val="00B04789"/>
    <w:rsid w:val="00B0516C"/>
    <w:rsid w:val="00B05801"/>
    <w:rsid w:val="00B05856"/>
    <w:rsid w:val="00B05B13"/>
    <w:rsid w:val="00B11110"/>
    <w:rsid w:val="00B11421"/>
    <w:rsid w:val="00B1214F"/>
    <w:rsid w:val="00B1301E"/>
    <w:rsid w:val="00B155CB"/>
    <w:rsid w:val="00B15F13"/>
    <w:rsid w:val="00B16DE5"/>
    <w:rsid w:val="00B17E7D"/>
    <w:rsid w:val="00B200AF"/>
    <w:rsid w:val="00B201AD"/>
    <w:rsid w:val="00B20473"/>
    <w:rsid w:val="00B211A2"/>
    <w:rsid w:val="00B23A56"/>
    <w:rsid w:val="00B24244"/>
    <w:rsid w:val="00B24245"/>
    <w:rsid w:val="00B253EA"/>
    <w:rsid w:val="00B25DF3"/>
    <w:rsid w:val="00B30CC5"/>
    <w:rsid w:val="00B317D5"/>
    <w:rsid w:val="00B31B69"/>
    <w:rsid w:val="00B333FA"/>
    <w:rsid w:val="00B33599"/>
    <w:rsid w:val="00B35BE5"/>
    <w:rsid w:val="00B36AE0"/>
    <w:rsid w:val="00B377EC"/>
    <w:rsid w:val="00B40528"/>
    <w:rsid w:val="00B41E68"/>
    <w:rsid w:val="00B42139"/>
    <w:rsid w:val="00B42F60"/>
    <w:rsid w:val="00B44EF6"/>
    <w:rsid w:val="00B452E2"/>
    <w:rsid w:val="00B5025B"/>
    <w:rsid w:val="00B51CB2"/>
    <w:rsid w:val="00B52198"/>
    <w:rsid w:val="00B529BC"/>
    <w:rsid w:val="00B52A14"/>
    <w:rsid w:val="00B53A89"/>
    <w:rsid w:val="00B53D74"/>
    <w:rsid w:val="00B5453B"/>
    <w:rsid w:val="00B54820"/>
    <w:rsid w:val="00B55232"/>
    <w:rsid w:val="00B55DCE"/>
    <w:rsid w:val="00B57E0C"/>
    <w:rsid w:val="00B6026E"/>
    <w:rsid w:val="00B605CA"/>
    <w:rsid w:val="00B60E0A"/>
    <w:rsid w:val="00B6112D"/>
    <w:rsid w:val="00B628AD"/>
    <w:rsid w:val="00B63372"/>
    <w:rsid w:val="00B6399B"/>
    <w:rsid w:val="00B6561E"/>
    <w:rsid w:val="00B65CBC"/>
    <w:rsid w:val="00B66D64"/>
    <w:rsid w:val="00B7056F"/>
    <w:rsid w:val="00B709BB"/>
    <w:rsid w:val="00B71021"/>
    <w:rsid w:val="00B71E96"/>
    <w:rsid w:val="00B72B18"/>
    <w:rsid w:val="00B72F05"/>
    <w:rsid w:val="00B75BBB"/>
    <w:rsid w:val="00B7619B"/>
    <w:rsid w:val="00B772D2"/>
    <w:rsid w:val="00B77F37"/>
    <w:rsid w:val="00B80296"/>
    <w:rsid w:val="00B81841"/>
    <w:rsid w:val="00B81D45"/>
    <w:rsid w:val="00B83011"/>
    <w:rsid w:val="00B83656"/>
    <w:rsid w:val="00B842D4"/>
    <w:rsid w:val="00B844D1"/>
    <w:rsid w:val="00B84E86"/>
    <w:rsid w:val="00B84EDF"/>
    <w:rsid w:val="00B852D5"/>
    <w:rsid w:val="00B85508"/>
    <w:rsid w:val="00B85DCF"/>
    <w:rsid w:val="00B86F22"/>
    <w:rsid w:val="00B90482"/>
    <w:rsid w:val="00B91005"/>
    <w:rsid w:val="00B914D3"/>
    <w:rsid w:val="00B917B5"/>
    <w:rsid w:val="00B9185D"/>
    <w:rsid w:val="00B91BD1"/>
    <w:rsid w:val="00B92497"/>
    <w:rsid w:val="00B93578"/>
    <w:rsid w:val="00B938EC"/>
    <w:rsid w:val="00B97178"/>
    <w:rsid w:val="00BA0923"/>
    <w:rsid w:val="00BA0D68"/>
    <w:rsid w:val="00BA2798"/>
    <w:rsid w:val="00BA565A"/>
    <w:rsid w:val="00BA5D7F"/>
    <w:rsid w:val="00BA64DC"/>
    <w:rsid w:val="00BA67FE"/>
    <w:rsid w:val="00BB01CE"/>
    <w:rsid w:val="00BB02B2"/>
    <w:rsid w:val="00BB0DA5"/>
    <w:rsid w:val="00BB1D49"/>
    <w:rsid w:val="00BB1D63"/>
    <w:rsid w:val="00BB37B1"/>
    <w:rsid w:val="00BB3C34"/>
    <w:rsid w:val="00BB3F05"/>
    <w:rsid w:val="00BB6182"/>
    <w:rsid w:val="00BB7775"/>
    <w:rsid w:val="00BB7A93"/>
    <w:rsid w:val="00BB7B13"/>
    <w:rsid w:val="00BC064C"/>
    <w:rsid w:val="00BC1765"/>
    <w:rsid w:val="00BC1C77"/>
    <w:rsid w:val="00BC2AAA"/>
    <w:rsid w:val="00BC2FB0"/>
    <w:rsid w:val="00BC3F8C"/>
    <w:rsid w:val="00BC4FBB"/>
    <w:rsid w:val="00BC5004"/>
    <w:rsid w:val="00BC5778"/>
    <w:rsid w:val="00BC59E2"/>
    <w:rsid w:val="00BD03C9"/>
    <w:rsid w:val="00BD1C25"/>
    <w:rsid w:val="00BD5404"/>
    <w:rsid w:val="00BD5B19"/>
    <w:rsid w:val="00BD6378"/>
    <w:rsid w:val="00BD6A96"/>
    <w:rsid w:val="00BD7037"/>
    <w:rsid w:val="00BD77C6"/>
    <w:rsid w:val="00BE054C"/>
    <w:rsid w:val="00BE07E9"/>
    <w:rsid w:val="00BE1073"/>
    <w:rsid w:val="00BE1B73"/>
    <w:rsid w:val="00BE1DD2"/>
    <w:rsid w:val="00BE247C"/>
    <w:rsid w:val="00BE2E77"/>
    <w:rsid w:val="00BE3F07"/>
    <w:rsid w:val="00BE45DE"/>
    <w:rsid w:val="00BE4622"/>
    <w:rsid w:val="00BE49DA"/>
    <w:rsid w:val="00BE4AE1"/>
    <w:rsid w:val="00BE7801"/>
    <w:rsid w:val="00BF00C6"/>
    <w:rsid w:val="00BF2149"/>
    <w:rsid w:val="00BF29B9"/>
    <w:rsid w:val="00BF4649"/>
    <w:rsid w:val="00BF51D8"/>
    <w:rsid w:val="00BF5ACF"/>
    <w:rsid w:val="00BF60BA"/>
    <w:rsid w:val="00BF7126"/>
    <w:rsid w:val="00BF77ED"/>
    <w:rsid w:val="00BF7882"/>
    <w:rsid w:val="00C00A02"/>
    <w:rsid w:val="00C01100"/>
    <w:rsid w:val="00C02D6D"/>
    <w:rsid w:val="00C05B46"/>
    <w:rsid w:val="00C06075"/>
    <w:rsid w:val="00C0633A"/>
    <w:rsid w:val="00C1055B"/>
    <w:rsid w:val="00C10B8E"/>
    <w:rsid w:val="00C11A37"/>
    <w:rsid w:val="00C121C5"/>
    <w:rsid w:val="00C135B1"/>
    <w:rsid w:val="00C14865"/>
    <w:rsid w:val="00C15BC8"/>
    <w:rsid w:val="00C17BD5"/>
    <w:rsid w:val="00C17D93"/>
    <w:rsid w:val="00C20017"/>
    <w:rsid w:val="00C2048F"/>
    <w:rsid w:val="00C220B9"/>
    <w:rsid w:val="00C23F06"/>
    <w:rsid w:val="00C24BD4"/>
    <w:rsid w:val="00C25647"/>
    <w:rsid w:val="00C25B78"/>
    <w:rsid w:val="00C263B6"/>
    <w:rsid w:val="00C263DA"/>
    <w:rsid w:val="00C26D44"/>
    <w:rsid w:val="00C277B0"/>
    <w:rsid w:val="00C30AFE"/>
    <w:rsid w:val="00C30F36"/>
    <w:rsid w:val="00C31B54"/>
    <w:rsid w:val="00C31D45"/>
    <w:rsid w:val="00C326A4"/>
    <w:rsid w:val="00C33CBB"/>
    <w:rsid w:val="00C33FD9"/>
    <w:rsid w:val="00C3400A"/>
    <w:rsid w:val="00C3440E"/>
    <w:rsid w:val="00C3454C"/>
    <w:rsid w:val="00C34B11"/>
    <w:rsid w:val="00C351EC"/>
    <w:rsid w:val="00C36642"/>
    <w:rsid w:val="00C3718F"/>
    <w:rsid w:val="00C37726"/>
    <w:rsid w:val="00C40F00"/>
    <w:rsid w:val="00C41482"/>
    <w:rsid w:val="00C41E81"/>
    <w:rsid w:val="00C448E0"/>
    <w:rsid w:val="00C450B3"/>
    <w:rsid w:val="00C46615"/>
    <w:rsid w:val="00C46CDF"/>
    <w:rsid w:val="00C478C1"/>
    <w:rsid w:val="00C47F23"/>
    <w:rsid w:val="00C512E0"/>
    <w:rsid w:val="00C5232F"/>
    <w:rsid w:val="00C52713"/>
    <w:rsid w:val="00C52E0E"/>
    <w:rsid w:val="00C530A9"/>
    <w:rsid w:val="00C53EB1"/>
    <w:rsid w:val="00C546E7"/>
    <w:rsid w:val="00C55BBD"/>
    <w:rsid w:val="00C56543"/>
    <w:rsid w:val="00C56F48"/>
    <w:rsid w:val="00C57542"/>
    <w:rsid w:val="00C60358"/>
    <w:rsid w:val="00C6044D"/>
    <w:rsid w:val="00C60C95"/>
    <w:rsid w:val="00C60CE0"/>
    <w:rsid w:val="00C6337A"/>
    <w:rsid w:val="00C65165"/>
    <w:rsid w:val="00C65448"/>
    <w:rsid w:val="00C65D83"/>
    <w:rsid w:val="00C6675E"/>
    <w:rsid w:val="00C66F79"/>
    <w:rsid w:val="00C73D55"/>
    <w:rsid w:val="00C73FA7"/>
    <w:rsid w:val="00C74672"/>
    <w:rsid w:val="00C76229"/>
    <w:rsid w:val="00C77A00"/>
    <w:rsid w:val="00C802FB"/>
    <w:rsid w:val="00C80B56"/>
    <w:rsid w:val="00C82305"/>
    <w:rsid w:val="00C823CE"/>
    <w:rsid w:val="00C82BCC"/>
    <w:rsid w:val="00C83269"/>
    <w:rsid w:val="00C83AE2"/>
    <w:rsid w:val="00C84DD7"/>
    <w:rsid w:val="00C84E9B"/>
    <w:rsid w:val="00C85F39"/>
    <w:rsid w:val="00C87836"/>
    <w:rsid w:val="00C90B48"/>
    <w:rsid w:val="00C90D62"/>
    <w:rsid w:val="00C90D8D"/>
    <w:rsid w:val="00C90E70"/>
    <w:rsid w:val="00C93016"/>
    <w:rsid w:val="00C9315A"/>
    <w:rsid w:val="00C93D98"/>
    <w:rsid w:val="00C94169"/>
    <w:rsid w:val="00C944ED"/>
    <w:rsid w:val="00C94D13"/>
    <w:rsid w:val="00C9660F"/>
    <w:rsid w:val="00C96F56"/>
    <w:rsid w:val="00C97767"/>
    <w:rsid w:val="00C9792B"/>
    <w:rsid w:val="00CA0F51"/>
    <w:rsid w:val="00CA27DF"/>
    <w:rsid w:val="00CA28F0"/>
    <w:rsid w:val="00CA317A"/>
    <w:rsid w:val="00CA3C3C"/>
    <w:rsid w:val="00CA4351"/>
    <w:rsid w:val="00CA5419"/>
    <w:rsid w:val="00CA75EE"/>
    <w:rsid w:val="00CA7683"/>
    <w:rsid w:val="00CB34A3"/>
    <w:rsid w:val="00CB3C68"/>
    <w:rsid w:val="00CB4629"/>
    <w:rsid w:val="00CB467D"/>
    <w:rsid w:val="00CB4DCB"/>
    <w:rsid w:val="00CB7124"/>
    <w:rsid w:val="00CB7D86"/>
    <w:rsid w:val="00CC26E0"/>
    <w:rsid w:val="00CC41BA"/>
    <w:rsid w:val="00CC4432"/>
    <w:rsid w:val="00CC4552"/>
    <w:rsid w:val="00CC4AE5"/>
    <w:rsid w:val="00CC4BA0"/>
    <w:rsid w:val="00CC4D20"/>
    <w:rsid w:val="00CC5A17"/>
    <w:rsid w:val="00CC636D"/>
    <w:rsid w:val="00CC69DB"/>
    <w:rsid w:val="00CC78F6"/>
    <w:rsid w:val="00CD06E9"/>
    <w:rsid w:val="00CD0E0C"/>
    <w:rsid w:val="00CD2FE8"/>
    <w:rsid w:val="00CD3227"/>
    <w:rsid w:val="00CD3390"/>
    <w:rsid w:val="00CD34C9"/>
    <w:rsid w:val="00CD368A"/>
    <w:rsid w:val="00CD61F2"/>
    <w:rsid w:val="00CD6E8C"/>
    <w:rsid w:val="00CE2433"/>
    <w:rsid w:val="00CE3071"/>
    <w:rsid w:val="00CE56C5"/>
    <w:rsid w:val="00CF09C1"/>
    <w:rsid w:val="00CF175F"/>
    <w:rsid w:val="00CF2036"/>
    <w:rsid w:val="00CF23A0"/>
    <w:rsid w:val="00CF2E45"/>
    <w:rsid w:val="00CF2EC0"/>
    <w:rsid w:val="00CF4E66"/>
    <w:rsid w:val="00CF5990"/>
    <w:rsid w:val="00CF6609"/>
    <w:rsid w:val="00CF70F1"/>
    <w:rsid w:val="00CF754E"/>
    <w:rsid w:val="00CF7D7F"/>
    <w:rsid w:val="00D004C6"/>
    <w:rsid w:val="00D00B4B"/>
    <w:rsid w:val="00D01840"/>
    <w:rsid w:val="00D026FE"/>
    <w:rsid w:val="00D10AE3"/>
    <w:rsid w:val="00D1192E"/>
    <w:rsid w:val="00D12FC7"/>
    <w:rsid w:val="00D136BD"/>
    <w:rsid w:val="00D137F4"/>
    <w:rsid w:val="00D13907"/>
    <w:rsid w:val="00D145AB"/>
    <w:rsid w:val="00D158B7"/>
    <w:rsid w:val="00D16807"/>
    <w:rsid w:val="00D22152"/>
    <w:rsid w:val="00D22515"/>
    <w:rsid w:val="00D23CDD"/>
    <w:rsid w:val="00D23E05"/>
    <w:rsid w:val="00D24A5E"/>
    <w:rsid w:val="00D27C6B"/>
    <w:rsid w:val="00D30AC1"/>
    <w:rsid w:val="00D314D8"/>
    <w:rsid w:val="00D37397"/>
    <w:rsid w:val="00D40CA8"/>
    <w:rsid w:val="00D412EE"/>
    <w:rsid w:val="00D4173C"/>
    <w:rsid w:val="00D419F1"/>
    <w:rsid w:val="00D41EC1"/>
    <w:rsid w:val="00D42613"/>
    <w:rsid w:val="00D42BAB"/>
    <w:rsid w:val="00D43DE3"/>
    <w:rsid w:val="00D44D3E"/>
    <w:rsid w:val="00D45BDD"/>
    <w:rsid w:val="00D4637C"/>
    <w:rsid w:val="00D46578"/>
    <w:rsid w:val="00D46889"/>
    <w:rsid w:val="00D468F0"/>
    <w:rsid w:val="00D46D1C"/>
    <w:rsid w:val="00D47D17"/>
    <w:rsid w:val="00D500AE"/>
    <w:rsid w:val="00D50911"/>
    <w:rsid w:val="00D50EAC"/>
    <w:rsid w:val="00D510A6"/>
    <w:rsid w:val="00D52517"/>
    <w:rsid w:val="00D54A6C"/>
    <w:rsid w:val="00D57048"/>
    <w:rsid w:val="00D57D57"/>
    <w:rsid w:val="00D62DC4"/>
    <w:rsid w:val="00D63FB0"/>
    <w:rsid w:val="00D6412F"/>
    <w:rsid w:val="00D6496B"/>
    <w:rsid w:val="00D658E6"/>
    <w:rsid w:val="00D663F9"/>
    <w:rsid w:val="00D66B1A"/>
    <w:rsid w:val="00D67BE9"/>
    <w:rsid w:val="00D67FB1"/>
    <w:rsid w:val="00D7103D"/>
    <w:rsid w:val="00D71532"/>
    <w:rsid w:val="00D7158B"/>
    <w:rsid w:val="00D726DF"/>
    <w:rsid w:val="00D73C0E"/>
    <w:rsid w:val="00D748CD"/>
    <w:rsid w:val="00D753EB"/>
    <w:rsid w:val="00D77043"/>
    <w:rsid w:val="00D8109D"/>
    <w:rsid w:val="00D812E2"/>
    <w:rsid w:val="00D81564"/>
    <w:rsid w:val="00D829C9"/>
    <w:rsid w:val="00D83B40"/>
    <w:rsid w:val="00D8487D"/>
    <w:rsid w:val="00D86145"/>
    <w:rsid w:val="00D87D43"/>
    <w:rsid w:val="00D90242"/>
    <w:rsid w:val="00D927FE"/>
    <w:rsid w:val="00D93B41"/>
    <w:rsid w:val="00D93DF8"/>
    <w:rsid w:val="00D94239"/>
    <w:rsid w:val="00D965A2"/>
    <w:rsid w:val="00DA03B1"/>
    <w:rsid w:val="00DA268D"/>
    <w:rsid w:val="00DA428E"/>
    <w:rsid w:val="00DA53DB"/>
    <w:rsid w:val="00DA59D2"/>
    <w:rsid w:val="00DA6011"/>
    <w:rsid w:val="00DB1534"/>
    <w:rsid w:val="00DB1895"/>
    <w:rsid w:val="00DB341E"/>
    <w:rsid w:val="00DB3D31"/>
    <w:rsid w:val="00DB5207"/>
    <w:rsid w:val="00DC0F9D"/>
    <w:rsid w:val="00DC1F1E"/>
    <w:rsid w:val="00DC280A"/>
    <w:rsid w:val="00DC3385"/>
    <w:rsid w:val="00DC357D"/>
    <w:rsid w:val="00DC36FB"/>
    <w:rsid w:val="00DC442F"/>
    <w:rsid w:val="00DC4E0F"/>
    <w:rsid w:val="00DC5FB0"/>
    <w:rsid w:val="00DC6EB3"/>
    <w:rsid w:val="00DC7BBF"/>
    <w:rsid w:val="00DD028D"/>
    <w:rsid w:val="00DD0A6F"/>
    <w:rsid w:val="00DD1033"/>
    <w:rsid w:val="00DD2341"/>
    <w:rsid w:val="00DD295B"/>
    <w:rsid w:val="00DD2C15"/>
    <w:rsid w:val="00DD2C87"/>
    <w:rsid w:val="00DD2EFA"/>
    <w:rsid w:val="00DD38C0"/>
    <w:rsid w:val="00DD4412"/>
    <w:rsid w:val="00DD4FBF"/>
    <w:rsid w:val="00DE11D4"/>
    <w:rsid w:val="00DE1EC2"/>
    <w:rsid w:val="00DE2521"/>
    <w:rsid w:val="00DE29CE"/>
    <w:rsid w:val="00DE2F05"/>
    <w:rsid w:val="00DE56B0"/>
    <w:rsid w:val="00DE5B98"/>
    <w:rsid w:val="00DF03BD"/>
    <w:rsid w:val="00DF0F1A"/>
    <w:rsid w:val="00DF1EC9"/>
    <w:rsid w:val="00DF375A"/>
    <w:rsid w:val="00DF4477"/>
    <w:rsid w:val="00DF4981"/>
    <w:rsid w:val="00DF58D2"/>
    <w:rsid w:val="00DF620A"/>
    <w:rsid w:val="00DF624A"/>
    <w:rsid w:val="00DF62F8"/>
    <w:rsid w:val="00DF63A0"/>
    <w:rsid w:val="00DF7985"/>
    <w:rsid w:val="00DF7C79"/>
    <w:rsid w:val="00E00A8C"/>
    <w:rsid w:val="00E01E6C"/>
    <w:rsid w:val="00E058DF"/>
    <w:rsid w:val="00E05E16"/>
    <w:rsid w:val="00E10873"/>
    <w:rsid w:val="00E114A5"/>
    <w:rsid w:val="00E12651"/>
    <w:rsid w:val="00E14FCE"/>
    <w:rsid w:val="00E17776"/>
    <w:rsid w:val="00E22892"/>
    <w:rsid w:val="00E23902"/>
    <w:rsid w:val="00E25EC5"/>
    <w:rsid w:val="00E27AFC"/>
    <w:rsid w:val="00E30BCA"/>
    <w:rsid w:val="00E318ED"/>
    <w:rsid w:val="00E31997"/>
    <w:rsid w:val="00E33A08"/>
    <w:rsid w:val="00E36162"/>
    <w:rsid w:val="00E36A6E"/>
    <w:rsid w:val="00E404B9"/>
    <w:rsid w:val="00E4139B"/>
    <w:rsid w:val="00E41834"/>
    <w:rsid w:val="00E42584"/>
    <w:rsid w:val="00E4483B"/>
    <w:rsid w:val="00E44B14"/>
    <w:rsid w:val="00E4608C"/>
    <w:rsid w:val="00E5043A"/>
    <w:rsid w:val="00E509A0"/>
    <w:rsid w:val="00E50E43"/>
    <w:rsid w:val="00E50EE2"/>
    <w:rsid w:val="00E5152C"/>
    <w:rsid w:val="00E51C5C"/>
    <w:rsid w:val="00E5218D"/>
    <w:rsid w:val="00E54A08"/>
    <w:rsid w:val="00E55225"/>
    <w:rsid w:val="00E5573B"/>
    <w:rsid w:val="00E563B0"/>
    <w:rsid w:val="00E56793"/>
    <w:rsid w:val="00E56C03"/>
    <w:rsid w:val="00E5700F"/>
    <w:rsid w:val="00E60452"/>
    <w:rsid w:val="00E6076D"/>
    <w:rsid w:val="00E60F1C"/>
    <w:rsid w:val="00E61BDF"/>
    <w:rsid w:val="00E621AC"/>
    <w:rsid w:val="00E623BC"/>
    <w:rsid w:val="00E62A0B"/>
    <w:rsid w:val="00E62BEF"/>
    <w:rsid w:val="00E6410B"/>
    <w:rsid w:val="00E64778"/>
    <w:rsid w:val="00E64A41"/>
    <w:rsid w:val="00E716D5"/>
    <w:rsid w:val="00E71B80"/>
    <w:rsid w:val="00E71C85"/>
    <w:rsid w:val="00E75B0E"/>
    <w:rsid w:val="00E75BD9"/>
    <w:rsid w:val="00E770FF"/>
    <w:rsid w:val="00E80B70"/>
    <w:rsid w:val="00E81DEB"/>
    <w:rsid w:val="00E8301A"/>
    <w:rsid w:val="00E83B37"/>
    <w:rsid w:val="00E84222"/>
    <w:rsid w:val="00E85360"/>
    <w:rsid w:val="00E859FF"/>
    <w:rsid w:val="00E85C7E"/>
    <w:rsid w:val="00E86DAB"/>
    <w:rsid w:val="00E86EAD"/>
    <w:rsid w:val="00E870CD"/>
    <w:rsid w:val="00E90B2E"/>
    <w:rsid w:val="00E92AED"/>
    <w:rsid w:val="00E93A17"/>
    <w:rsid w:val="00E94C72"/>
    <w:rsid w:val="00E95828"/>
    <w:rsid w:val="00E9670D"/>
    <w:rsid w:val="00E970C1"/>
    <w:rsid w:val="00E97203"/>
    <w:rsid w:val="00EA08F4"/>
    <w:rsid w:val="00EA3395"/>
    <w:rsid w:val="00EA3551"/>
    <w:rsid w:val="00EA376B"/>
    <w:rsid w:val="00EA3D70"/>
    <w:rsid w:val="00EA4FD0"/>
    <w:rsid w:val="00EA5BA5"/>
    <w:rsid w:val="00EA704B"/>
    <w:rsid w:val="00EA79F7"/>
    <w:rsid w:val="00EA7A6E"/>
    <w:rsid w:val="00EB0822"/>
    <w:rsid w:val="00EB278B"/>
    <w:rsid w:val="00EB2D2B"/>
    <w:rsid w:val="00EB3210"/>
    <w:rsid w:val="00EB47D2"/>
    <w:rsid w:val="00EB4F5C"/>
    <w:rsid w:val="00EB5006"/>
    <w:rsid w:val="00EB5F9D"/>
    <w:rsid w:val="00EB63AA"/>
    <w:rsid w:val="00EB695B"/>
    <w:rsid w:val="00EB7884"/>
    <w:rsid w:val="00EC0D32"/>
    <w:rsid w:val="00EC2E77"/>
    <w:rsid w:val="00EC3AE4"/>
    <w:rsid w:val="00EC425B"/>
    <w:rsid w:val="00EC4C05"/>
    <w:rsid w:val="00EC592E"/>
    <w:rsid w:val="00EC6681"/>
    <w:rsid w:val="00EC6C59"/>
    <w:rsid w:val="00EC7414"/>
    <w:rsid w:val="00EC7BD7"/>
    <w:rsid w:val="00ED27C4"/>
    <w:rsid w:val="00ED2D1A"/>
    <w:rsid w:val="00ED3BA6"/>
    <w:rsid w:val="00ED5678"/>
    <w:rsid w:val="00ED56D1"/>
    <w:rsid w:val="00ED58B0"/>
    <w:rsid w:val="00ED6351"/>
    <w:rsid w:val="00ED7DBF"/>
    <w:rsid w:val="00ED7F82"/>
    <w:rsid w:val="00EE046C"/>
    <w:rsid w:val="00EE1DD7"/>
    <w:rsid w:val="00EE1FAF"/>
    <w:rsid w:val="00EE2652"/>
    <w:rsid w:val="00EE35C1"/>
    <w:rsid w:val="00EE4508"/>
    <w:rsid w:val="00EE5EF3"/>
    <w:rsid w:val="00EE6C94"/>
    <w:rsid w:val="00EE7470"/>
    <w:rsid w:val="00EE7B3F"/>
    <w:rsid w:val="00EF1BED"/>
    <w:rsid w:val="00EF335A"/>
    <w:rsid w:val="00EF5AD2"/>
    <w:rsid w:val="00EF6662"/>
    <w:rsid w:val="00EF76C6"/>
    <w:rsid w:val="00EF7DB0"/>
    <w:rsid w:val="00F0042B"/>
    <w:rsid w:val="00F024CF"/>
    <w:rsid w:val="00F03671"/>
    <w:rsid w:val="00F041CC"/>
    <w:rsid w:val="00F04322"/>
    <w:rsid w:val="00F0550E"/>
    <w:rsid w:val="00F0587D"/>
    <w:rsid w:val="00F06DD2"/>
    <w:rsid w:val="00F133C4"/>
    <w:rsid w:val="00F13EC0"/>
    <w:rsid w:val="00F14493"/>
    <w:rsid w:val="00F15A99"/>
    <w:rsid w:val="00F15F0C"/>
    <w:rsid w:val="00F16D22"/>
    <w:rsid w:val="00F20EB1"/>
    <w:rsid w:val="00F21ECE"/>
    <w:rsid w:val="00F222C6"/>
    <w:rsid w:val="00F23037"/>
    <w:rsid w:val="00F23B7B"/>
    <w:rsid w:val="00F245A5"/>
    <w:rsid w:val="00F27092"/>
    <w:rsid w:val="00F2782C"/>
    <w:rsid w:val="00F27DCA"/>
    <w:rsid w:val="00F31B18"/>
    <w:rsid w:val="00F32A2F"/>
    <w:rsid w:val="00F32B9C"/>
    <w:rsid w:val="00F33FBE"/>
    <w:rsid w:val="00F36287"/>
    <w:rsid w:val="00F3688D"/>
    <w:rsid w:val="00F370E7"/>
    <w:rsid w:val="00F3774C"/>
    <w:rsid w:val="00F41467"/>
    <w:rsid w:val="00F419EB"/>
    <w:rsid w:val="00F433D5"/>
    <w:rsid w:val="00F4423C"/>
    <w:rsid w:val="00F46F88"/>
    <w:rsid w:val="00F52118"/>
    <w:rsid w:val="00F524F8"/>
    <w:rsid w:val="00F53350"/>
    <w:rsid w:val="00F534AF"/>
    <w:rsid w:val="00F53F69"/>
    <w:rsid w:val="00F547F8"/>
    <w:rsid w:val="00F54A50"/>
    <w:rsid w:val="00F54ED8"/>
    <w:rsid w:val="00F56082"/>
    <w:rsid w:val="00F57489"/>
    <w:rsid w:val="00F60A83"/>
    <w:rsid w:val="00F6114E"/>
    <w:rsid w:val="00F625BA"/>
    <w:rsid w:val="00F63100"/>
    <w:rsid w:val="00F63DD4"/>
    <w:rsid w:val="00F64CF8"/>
    <w:rsid w:val="00F668B0"/>
    <w:rsid w:val="00F66AC2"/>
    <w:rsid w:val="00F66C6B"/>
    <w:rsid w:val="00F67C9A"/>
    <w:rsid w:val="00F70AC1"/>
    <w:rsid w:val="00F72A2F"/>
    <w:rsid w:val="00F74731"/>
    <w:rsid w:val="00F76184"/>
    <w:rsid w:val="00F76FC7"/>
    <w:rsid w:val="00F81765"/>
    <w:rsid w:val="00F81CD5"/>
    <w:rsid w:val="00F83EC0"/>
    <w:rsid w:val="00F85225"/>
    <w:rsid w:val="00F8552A"/>
    <w:rsid w:val="00F85DBB"/>
    <w:rsid w:val="00F860F0"/>
    <w:rsid w:val="00F86D97"/>
    <w:rsid w:val="00F871BA"/>
    <w:rsid w:val="00F872C8"/>
    <w:rsid w:val="00F87585"/>
    <w:rsid w:val="00F87769"/>
    <w:rsid w:val="00F90619"/>
    <w:rsid w:val="00F90FC5"/>
    <w:rsid w:val="00F90FD1"/>
    <w:rsid w:val="00F92612"/>
    <w:rsid w:val="00F92AFF"/>
    <w:rsid w:val="00F92DE9"/>
    <w:rsid w:val="00F92F2A"/>
    <w:rsid w:val="00F93648"/>
    <w:rsid w:val="00F93833"/>
    <w:rsid w:val="00F93B65"/>
    <w:rsid w:val="00F94343"/>
    <w:rsid w:val="00F9456F"/>
    <w:rsid w:val="00F94EEA"/>
    <w:rsid w:val="00F955AD"/>
    <w:rsid w:val="00F96C44"/>
    <w:rsid w:val="00F979C1"/>
    <w:rsid w:val="00FA09EB"/>
    <w:rsid w:val="00FA15FA"/>
    <w:rsid w:val="00FA1858"/>
    <w:rsid w:val="00FA2836"/>
    <w:rsid w:val="00FA3819"/>
    <w:rsid w:val="00FA4506"/>
    <w:rsid w:val="00FA4BED"/>
    <w:rsid w:val="00FA610E"/>
    <w:rsid w:val="00FA6BFC"/>
    <w:rsid w:val="00FA6EAB"/>
    <w:rsid w:val="00FA7532"/>
    <w:rsid w:val="00FA7DB9"/>
    <w:rsid w:val="00FB0288"/>
    <w:rsid w:val="00FB0BF7"/>
    <w:rsid w:val="00FB14AB"/>
    <w:rsid w:val="00FB14B4"/>
    <w:rsid w:val="00FB1B99"/>
    <w:rsid w:val="00FB3240"/>
    <w:rsid w:val="00FB3538"/>
    <w:rsid w:val="00FB39CF"/>
    <w:rsid w:val="00FB4F3B"/>
    <w:rsid w:val="00FB5204"/>
    <w:rsid w:val="00FB5F2C"/>
    <w:rsid w:val="00FC01C5"/>
    <w:rsid w:val="00FC1391"/>
    <w:rsid w:val="00FC1EA0"/>
    <w:rsid w:val="00FC2071"/>
    <w:rsid w:val="00FC3F35"/>
    <w:rsid w:val="00FC4495"/>
    <w:rsid w:val="00FC4E75"/>
    <w:rsid w:val="00FC4F5B"/>
    <w:rsid w:val="00FC65CE"/>
    <w:rsid w:val="00FC7337"/>
    <w:rsid w:val="00FD0498"/>
    <w:rsid w:val="00FD0CA1"/>
    <w:rsid w:val="00FD1837"/>
    <w:rsid w:val="00FD1B87"/>
    <w:rsid w:val="00FD1E55"/>
    <w:rsid w:val="00FD240C"/>
    <w:rsid w:val="00FD582C"/>
    <w:rsid w:val="00FD788B"/>
    <w:rsid w:val="00FE0B65"/>
    <w:rsid w:val="00FE1678"/>
    <w:rsid w:val="00FE20CB"/>
    <w:rsid w:val="00FE4B04"/>
    <w:rsid w:val="00FE4F4C"/>
    <w:rsid w:val="00FE5989"/>
    <w:rsid w:val="00FE657F"/>
    <w:rsid w:val="00FF18AB"/>
    <w:rsid w:val="00FF1ED0"/>
    <w:rsid w:val="00FF1F82"/>
    <w:rsid w:val="00FF3F42"/>
    <w:rsid w:val="00FF3FC1"/>
    <w:rsid w:val="00FF435F"/>
    <w:rsid w:val="00FF43F9"/>
    <w:rsid w:val="00FF4D03"/>
    <w:rsid w:val="00FF5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7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47C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7CE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47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CE1"/>
    <w:rPr>
      <w:rFonts w:ascii="Tahoma" w:hAnsi="Tahoma" w:cs="Tahoma"/>
      <w:sz w:val="16"/>
      <w:szCs w:val="16"/>
    </w:rPr>
  </w:style>
  <w:style w:type="character" w:customStyle="1" w:styleId="Heading1Char">
    <w:name w:val="Heading 1 Char"/>
    <w:basedOn w:val="DefaultParagraphFont"/>
    <w:link w:val="Heading1"/>
    <w:uiPriority w:val="9"/>
    <w:rsid w:val="00747C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47CE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47CE1"/>
    <w:pPr>
      <w:ind w:left="720"/>
      <w:contextualSpacing/>
    </w:pPr>
  </w:style>
  <w:style w:type="paragraph" w:styleId="Caption">
    <w:name w:val="caption"/>
    <w:basedOn w:val="Normal"/>
    <w:next w:val="Normal"/>
    <w:uiPriority w:val="35"/>
    <w:unhideWhenUsed/>
    <w:qFormat/>
    <w:rsid w:val="0047180C"/>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F3774C"/>
    <w:pPr>
      <w:outlineLvl w:val="9"/>
    </w:pPr>
    <w:rPr>
      <w:lang w:eastAsia="ja-JP"/>
    </w:rPr>
  </w:style>
  <w:style w:type="paragraph" w:styleId="TOC1">
    <w:name w:val="toc 1"/>
    <w:basedOn w:val="Normal"/>
    <w:next w:val="Normal"/>
    <w:autoRedefine/>
    <w:uiPriority w:val="39"/>
    <w:unhideWhenUsed/>
    <w:rsid w:val="00F3774C"/>
    <w:pPr>
      <w:spacing w:after="100"/>
    </w:pPr>
  </w:style>
  <w:style w:type="paragraph" w:styleId="TOC2">
    <w:name w:val="toc 2"/>
    <w:basedOn w:val="Normal"/>
    <w:next w:val="Normal"/>
    <w:autoRedefine/>
    <w:uiPriority w:val="39"/>
    <w:unhideWhenUsed/>
    <w:rsid w:val="00F3774C"/>
    <w:pPr>
      <w:spacing w:after="100"/>
      <w:ind w:left="220"/>
    </w:pPr>
  </w:style>
  <w:style w:type="character" w:styleId="Hyperlink">
    <w:name w:val="Hyperlink"/>
    <w:basedOn w:val="DefaultParagraphFont"/>
    <w:uiPriority w:val="99"/>
    <w:unhideWhenUsed/>
    <w:rsid w:val="00F3774C"/>
    <w:rPr>
      <w:color w:val="0000FF" w:themeColor="hyperlink"/>
      <w:u w:val="single"/>
    </w:rPr>
  </w:style>
  <w:style w:type="paragraph" w:styleId="Header">
    <w:name w:val="header"/>
    <w:basedOn w:val="Normal"/>
    <w:link w:val="HeaderChar"/>
    <w:uiPriority w:val="99"/>
    <w:unhideWhenUsed/>
    <w:rsid w:val="00F37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74C"/>
  </w:style>
  <w:style w:type="paragraph" w:styleId="Footer">
    <w:name w:val="footer"/>
    <w:basedOn w:val="Normal"/>
    <w:link w:val="FooterChar"/>
    <w:uiPriority w:val="99"/>
    <w:unhideWhenUsed/>
    <w:rsid w:val="00F37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74C"/>
  </w:style>
  <w:style w:type="paragraph" w:styleId="FootnoteText">
    <w:name w:val="footnote text"/>
    <w:basedOn w:val="Normal"/>
    <w:link w:val="FootnoteTextChar"/>
    <w:uiPriority w:val="99"/>
    <w:semiHidden/>
    <w:unhideWhenUsed/>
    <w:rsid w:val="001059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590B"/>
    <w:rPr>
      <w:sz w:val="20"/>
      <w:szCs w:val="20"/>
    </w:rPr>
  </w:style>
  <w:style w:type="character" w:styleId="FootnoteReference">
    <w:name w:val="footnote reference"/>
    <w:basedOn w:val="DefaultParagraphFont"/>
    <w:uiPriority w:val="99"/>
    <w:semiHidden/>
    <w:unhideWhenUsed/>
    <w:rsid w:val="0010590B"/>
    <w:rPr>
      <w:vertAlign w:val="superscript"/>
    </w:rPr>
  </w:style>
  <w:style w:type="character" w:styleId="CommentReference">
    <w:name w:val="annotation reference"/>
    <w:basedOn w:val="DefaultParagraphFont"/>
    <w:uiPriority w:val="99"/>
    <w:semiHidden/>
    <w:unhideWhenUsed/>
    <w:rsid w:val="003B561E"/>
    <w:rPr>
      <w:sz w:val="16"/>
      <w:szCs w:val="16"/>
    </w:rPr>
  </w:style>
  <w:style w:type="paragraph" w:styleId="CommentText">
    <w:name w:val="annotation text"/>
    <w:basedOn w:val="Normal"/>
    <w:link w:val="CommentTextChar"/>
    <w:uiPriority w:val="99"/>
    <w:semiHidden/>
    <w:unhideWhenUsed/>
    <w:rsid w:val="003B561E"/>
    <w:pPr>
      <w:spacing w:line="240" w:lineRule="auto"/>
    </w:pPr>
    <w:rPr>
      <w:sz w:val="20"/>
      <w:szCs w:val="20"/>
    </w:rPr>
  </w:style>
  <w:style w:type="character" w:customStyle="1" w:styleId="CommentTextChar">
    <w:name w:val="Comment Text Char"/>
    <w:basedOn w:val="DefaultParagraphFont"/>
    <w:link w:val="CommentText"/>
    <w:uiPriority w:val="99"/>
    <w:semiHidden/>
    <w:rsid w:val="003B561E"/>
    <w:rPr>
      <w:sz w:val="20"/>
      <w:szCs w:val="20"/>
    </w:rPr>
  </w:style>
  <w:style w:type="paragraph" w:styleId="CommentSubject">
    <w:name w:val="annotation subject"/>
    <w:basedOn w:val="CommentText"/>
    <w:next w:val="CommentText"/>
    <w:link w:val="CommentSubjectChar"/>
    <w:uiPriority w:val="99"/>
    <w:semiHidden/>
    <w:unhideWhenUsed/>
    <w:rsid w:val="003B561E"/>
    <w:rPr>
      <w:b/>
      <w:bCs/>
    </w:rPr>
  </w:style>
  <w:style w:type="character" w:customStyle="1" w:styleId="CommentSubjectChar">
    <w:name w:val="Comment Subject Char"/>
    <w:basedOn w:val="CommentTextChar"/>
    <w:link w:val="CommentSubject"/>
    <w:uiPriority w:val="99"/>
    <w:semiHidden/>
    <w:rsid w:val="003B561E"/>
    <w:rPr>
      <w:b/>
      <w:bCs/>
      <w:sz w:val="20"/>
      <w:szCs w:val="20"/>
    </w:rPr>
  </w:style>
  <w:style w:type="paragraph" w:styleId="Bibliography">
    <w:name w:val="Bibliography"/>
    <w:basedOn w:val="Normal"/>
    <w:next w:val="Normal"/>
    <w:uiPriority w:val="37"/>
    <w:unhideWhenUsed/>
    <w:rsid w:val="003A60FB"/>
  </w:style>
  <w:style w:type="character" w:styleId="PlaceholderText">
    <w:name w:val="Placeholder Text"/>
    <w:basedOn w:val="DefaultParagraphFont"/>
    <w:uiPriority w:val="99"/>
    <w:semiHidden/>
    <w:rsid w:val="00BD03C9"/>
    <w:rPr>
      <w:color w:val="808080"/>
    </w:rPr>
  </w:style>
  <w:style w:type="paragraph" w:styleId="NoSpacing">
    <w:name w:val="No Spacing"/>
    <w:link w:val="NoSpacingChar"/>
    <w:uiPriority w:val="1"/>
    <w:qFormat/>
    <w:rsid w:val="001A1F0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A1F05"/>
    <w:rPr>
      <w:rFonts w:eastAsiaTheme="minorEastAsia"/>
      <w:lang w:eastAsia="ja-JP"/>
    </w:rPr>
  </w:style>
  <w:style w:type="paragraph" w:styleId="Title">
    <w:name w:val="Title"/>
    <w:basedOn w:val="Normal"/>
    <w:next w:val="Normal"/>
    <w:link w:val="TitleChar"/>
    <w:uiPriority w:val="10"/>
    <w:qFormat/>
    <w:rsid w:val="001A1F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A1F0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A1F05"/>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A1F05"/>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7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47C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7CE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47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CE1"/>
    <w:rPr>
      <w:rFonts w:ascii="Tahoma" w:hAnsi="Tahoma" w:cs="Tahoma"/>
      <w:sz w:val="16"/>
      <w:szCs w:val="16"/>
    </w:rPr>
  </w:style>
  <w:style w:type="character" w:customStyle="1" w:styleId="Heading1Char">
    <w:name w:val="Heading 1 Char"/>
    <w:basedOn w:val="DefaultParagraphFont"/>
    <w:link w:val="Heading1"/>
    <w:uiPriority w:val="9"/>
    <w:rsid w:val="00747C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47CE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47CE1"/>
    <w:pPr>
      <w:ind w:left="720"/>
      <w:contextualSpacing/>
    </w:pPr>
  </w:style>
  <w:style w:type="paragraph" w:styleId="Caption">
    <w:name w:val="caption"/>
    <w:basedOn w:val="Normal"/>
    <w:next w:val="Normal"/>
    <w:uiPriority w:val="35"/>
    <w:unhideWhenUsed/>
    <w:qFormat/>
    <w:rsid w:val="0047180C"/>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F3774C"/>
    <w:pPr>
      <w:outlineLvl w:val="9"/>
    </w:pPr>
    <w:rPr>
      <w:lang w:eastAsia="ja-JP"/>
    </w:rPr>
  </w:style>
  <w:style w:type="paragraph" w:styleId="TOC1">
    <w:name w:val="toc 1"/>
    <w:basedOn w:val="Normal"/>
    <w:next w:val="Normal"/>
    <w:autoRedefine/>
    <w:uiPriority w:val="39"/>
    <w:unhideWhenUsed/>
    <w:rsid w:val="00F3774C"/>
    <w:pPr>
      <w:spacing w:after="100"/>
    </w:pPr>
  </w:style>
  <w:style w:type="paragraph" w:styleId="TOC2">
    <w:name w:val="toc 2"/>
    <w:basedOn w:val="Normal"/>
    <w:next w:val="Normal"/>
    <w:autoRedefine/>
    <w:uiPriority w:val="39"/>
    <w:unhideWhenUsed/>
    <w:rsid w:val="00F3774C"/>
    <w:pPr>
      <w:spacing w:after="100"/>
      <w:ind w:left="220"/>
    </w:pPr>
  </w:style>
  <w:style w:type="character" w:styleId="Hyperlink">
    <w:name w:val="Hyperlink"/>
    <w:basedOn w:val="DefaultParagraphFont"/>
    <w:uiPriority w:val="99"/>
    <w:unhideWhenUsed/>
    <w:rsid w:val="00F3774C"/>
    <w:rPr>
      <w:color w:val="0000FF" w:themeColor="hyperlink"/>
      <w:u w:val="single"/>
    </w:rPr>
  </w:style>
  <w:style w:type="paragraph" w:styleId="Header">
    <w:name w:val="header"/>
    <w:basedOn w:val="Normal"/>
    <w:link w:val="HeaderChar"/>
    <w:uiPriority w:val="99"/>
    <w:unhideWhenUsed/>
    <w:rsid w:val="00F37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74C"/>
  </w:style>
  <w:style w:type="paragraph" w:styleId="Footer">
    <w:name w:val="footer"/>
    <w:basedOn w:val="Normal"/>
    <w:link w:val="FooterChar"/>
    <w:uiPriority w:val="99"/>
    <w:unhideWhenUsed/>
    <w:rsid w:val="00F37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74C"/>
  </w:style>
  <w:style w:type="paragraph" w:styleId="FootnoteText">
    <w:name w:val="footnote text"/>
    <w:basedOn w:val="Normal"/>
    <w:link w:val="FootnoteTextChar"/>
    <w:uiPriority w:val="99"/>
    <w:semiHidden/>
    <w:unhideWhenUsed/>
    <w:rsid w:val="001059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590B"/>
    <w:rPr>
      <w:sz w:val="20"/>
      <w:szCs w:val="20"/>
    </w:rPr>
  </w:style>
  <w:style w:type="character" w:styleId="FootnoteReference">
    <w:name w:val="footnote reference"/>
    <w:basedOn w:val="DefaultParagraphFont"/>
    <w:uiPriority w:val="99"/>
    <w:semiHidden/>
    <w:unhideWhenUsed/>
    <w:rsid w:val="0010590B"/>
    <w:rPr>
      <w:vertAlign w:val="superscript"/>
    </w:rPr>
  </w:style>
  <w:style w:type="character" w:styleId="CommentReference">
    <w:name w:val="annotation reference"/>
    <w:basedOn w:val="DefaultParagraphFont"/>
    <w:uiPriority w:val="99"/>
    <w:semiHidden/>
    <w:unhideWhenUsed/>
    <w:rsid w:val="003B561E"/>
    <w:rPr>
      <w:sz w:val="16"/>
      <w:szCs w:val="16"/>
    </w:rPr>
  </w:style>
  <w:style w:type="paragraph" w:styleId="CommentText">
    <w:name w:val="annotation text"/>
    <w:basedOn w:val="Normal"/>
    <w:link w:val="CommentTextChar"/>
    <w:uiPriority w:val="99"/>
    <w:semiHidden/>
    <w:unhideWhenUsed/>
    <w:rsid w:val="003B561E"/>
    <w:pPr>
      <w:spacing w:line="240" w:lineRule="auto"/>
    </w:pPr>
    <w:rPr>
      <w:sz w:val="20"/>
      <w:szCs w:val="20"/>
    </w:rPr>
  </w:style>
  <w:style w:type="character" w:customStyle="1" w:styleId="CommentTextChar">
    <w:name w:val="Comment Text Char"/>
    <w:basedOn w:val="DefaultParagraphFont"/>
    <w:link w:val="CommentText"/>
    <w:uiPriority w:val="99"/>
    <w:semiHidden/>
    <w:rsid w:val="003B561E"/>
    <w:rPr>
      <w:sz w:val="20"/>
      <w:szCs w:val="20"/>
    </w:rPr>
  </w:style>
  <w:style w:type="paragraph" w:styleId="CommentSubject">
    <w:name w:val="annotation subject"/>
    <w:basedOn w:val="CommentText"/>
    <w:next w:val="CommentText"/>
    <w:link w:val="CommentSubjectChar"/>
    <w:uiPriority w:val="99"/>
    <w:semiHidden/>
    <w:unhideWhenUsed/>
    <w:rsid w:val="003B561E"/>
    <w:rPr>
      <w:b/>
      <w:bCs/>
    </w:rPr>
  </w:style>
  <w:style w:type="character" w:customStyle="1" w:styleId="CommentSubjectChar">
    <w:name w:val="Comment Subject Char"/>
    <w:basedOn w:val="CommentTextChar"/>
    <w:link w:val="CommentSubject"/>
    <w:uiPriority w:val="99"/>
    <w:semiHidden/>
    <w:rsid w:val="003B561E"/>
    <w:rPr>
      <w:b/>
      <w:bCs/>
      <w:sz w:val="20"/>
      <w:szCs w:val="20"/>
    </w:rPr>
  </w:style>
  <w:style w:type="paragraph" w:styleId="Bibliography">
    <w:name w:val="Bibliography"/>
    <w:basedOn w:val="Normal"/>
    <w:next w:val="Normal"/>
    <w:uiPriority w:val="37"/>
    <w:unhideWhenUsed/>
    <w:rsid w:val="003A60FB"/>
  </w:style>
  <w:style w:type="character" w:styleId="PlaceholderText">
    <w:name w:val="Placeholder Text"/>
    <w:basedOn w:val="DefaultParagraphFont"/>
    <w:uiPriority w:val="99"/>
    <w:semiHidden/>
    <w:rsid w:val="00BD03C9"/>
    <w:rPr>
      <w:color w:val="808080"/>
    </w:rPr>
  </w:style>
  <w:style w:type="paragraph" w:styleId="NoSpacing">
    <w:name w:val="No Spacing"/>
    <w:link w:val="NoSpacingChar"/>
    <w:uiPriority w:val="1"/>
    <w:qFormat/>
    <w:rsid w:val="001A1F0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A1F05"/>
    <w:rPr>
      <w:rFonts w:eastAsiaTheme="minorEastAsia"/>
      <w:lang w:eastAsia="ja-JP"/>
    </w:rPr>
  </w:style>
  <w:style w:type="paragraph" w:styleId="Title">
    <w:name w:val="Title"/>
    <w:basedOn w:val="Normal"/>
    <w:next w:val="Normal"/>
    <w:link w:val="TitleChar"/>
    <w:uiPriority w:val="10"/>
    <w:qFormat/>
    <w:rsid w:val="001A1F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A1F0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A1F05"/>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A1F05"/>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2617">
      <w:bodyDiv w:val="1"/>
      <w:marLeft w:val="0"/>
      <w:marRight w:val="0"/>
      <w:marTop w:val="0"/>
      <w:marBottom w:val="0"/>
      <w:divBdr>
        <w:top w:val="none" w:sz="0" w:space="0" w:color="auto"/>
        <w:left w:val="none" w:sz="0" w:space="0" w:color="auto"/>
        <w:bottom w:val="none" w:sz="0" w:space="0" w:color="auto"/>
        <w:right w:val="none" w:sz="0" w:space="0" w:color="auto"/>
      </w:divBdr>
    </w:div>
    <w:div w:id="21517883">
      <w:bodyDiv w:val="1"/>
      <w:marLeft w:val="0"/>
      <w:marRight w:val="0"/>
      <w:marTop w:val="0"/>
      <w:marBottom w:val="0"/>
      <w:divBdr>
        <w:top w:val="none" w:sz="0" w:space="0" w:color="auto"/>
        <w:left w:val="none" w:sz="0" w:space="0" w:color="auto"/>
        <w:bottom w:val="none" w:sz="0" w:space="0" w:color="auto"/>
        <w:right w:val="none" w:sz="0" w:space="0" w:color="auto"/>
      </w:divBdr>
    </w:div>
    <w:div w:id="28916497">
      <w:bodyDiv w:val="1"/>
      <w:marLeft w:val="0"/>
      <w:marRight w:val="0"/>
      <w:marTop w:val="0"/>
      <w:marBottom w:val="0"/>
      <w:divBdr>
        <w:top w:val="none" w:sz="0" w:space="0" w:color="auto"/>
        <w:left w:val="none" w:sz="0" w:space="0" w:color="auto"/>
        <w:bottom w:val="none" w:sz="0" w:space="0" w:color="auto"/>
        <w:right w:val="none" w:sz="0" w:space="0" w:color="auto"/>
      </w:divBdr>
    </w:div>
    <w:div w:id="96758887">
      <w:bodyDiv w:val="1"/>
      <w:marLeft w:val="0"/>
      <w:marRight w:val="0"/>
      <w:marTop w:val="0"/>
      <w:marBottom w:val="0"/>
      <w:divBdr>
        <w:top w:val="none" w:sz="0" w:space="0" w:color="auto"/>
        <w:left w:val="none" w:sz="0" w:space="0" w:color="auto"/>
        <w:bottom w:val="none" w:sz="0" w:space="0" w:color="auto"/>
        <w:right w:val="none" w:sz="0" w:space="0" w:color="auto"/>
      </w:divBdr>
    </w:div>
    <w:div w:id="115947765">
      <w:bodyDiv w:val="1"/>
      <w:marLeft w:val="0"/>
      <w:marRight w:val="0"/>
      <w:marTop w:val="0"/>
      <w:marBottom w:val="0"/>
      <w:divBdr>
        <w:top w:val="none" w:sz="0" w:space="0" w:color="auto"/>
        <w:left w:val="none" w:sz="0" w:space="0" w:color="auto"/>
        <w:bottom w:val="none" w:sz="0" w:space="0" w:color="auto"/>
        <w:right w:val="none" w:sz="0" w:space="0" w:color="auto"/>
      </w:divBdr>
    </w:div>
    <w:div w:id="161704737">
      <w:bodyDiv w:val="1"/>
      <w:marLeft w:val="0"/>
      <w:marRight w:val="0"/>
      <w:marTop w:val="0"/>
      <w:marBottom w:val="0"/>
      <w:divBdr>
        <w:top w:val="none" w:sz="0" w:space="0" w:color="auto"/>
        <w:left w:val="none" w:sz="0" w:space="0" w:color="auto"/>
        <w:bottom w:val="none" w:sz="0" w:space="0" w:color="auto"/>
        <w:right w:val="none" w:sz="0" w:space="0" w:color="auto"/>
      </w:divBdr>
    </w:div>
    <w:div w:id="229580523">
      <w:bodyDiv w:val="1"/>
      <w:marLeft w:val="0"/>
      <w:marRight w:val="0"/>
      <w:marTop w:val="0"/>
      <w:marBottom w:val="0"/>
      <w:divBdr>
        <w:top w:val="none" w:sz="0" w:space="0" w:color="auto"/>
        <w:left w:val="none" w:sz="0" w:space="0" w:color="auto"/>
        <w:bottom w:val="none" w:sz="0" w:space="0" w:color="auto"/>
        <w:right w:val="none" w:sz="0" w:space="0" w:color="auto"/>
      </w:divBdr>
    </w:div>
    <w:div w:id="234750659">
      <w:bodyDiv w:val="1"/>
      <w:marLeft w:val="0"/>
      <w:marRight w:val="0"/>
      <w:marTop w:val="0"/>
      <w:marBottom w:val="0"/>
      <w:divBdr>
        <w:top w:val="none" w:sz="0" w:space="0" w:color="auto"/>
        <w:left w:val="none" w:sz="0" w:space="0" w:color="auto"/>
        <w:bottom w:val="none" w:sz="0" w:space="0" w:color="auto"/>
        <w:right w:val="none" w:sz="0" w:space="0" w:color="auto"/>
      </w:divBdr>
      <w:divsChild>
        <w:div w:id="368117291">
          <w:marLeft w:val="547"/>
          <w:marRight w:val="0"/>
          <w:marTop w:val="0"/>
          <w:marBottom w:val="120"/>
          <w:divBdr>
            <w:top w:val="none" w:sz="0" w:space="0" w:color="auto"/>
            <w:left w:val="none" w:sz="0" w:space="0" w:color="auto"/>
            <w:bottom w:val="none" w:sz="0" w:space="0" w:color="auto"/>
            <w:right w:val="none" w:sz="0" w:space="0" w:color="auto"/>
          </w:divBdr>
        </w:div>
        <w:div w:id="1127699265">
          <w:marLeft w:val="547"/>
          <w:marRight w:val="0"/>
          <w:marTop w:val="0"/>
          <w:marBottom w:val="120"/>
          <w:divBdr>
            <w:top w:val="none" w:sz="0" w:space="0" w:color="auto"/>
            <w:left w:val="none" w:sz="0" w:space="0" w:color="auto"/>
            <w:bottom w:val="none" w:sz="0" w:space="0" w:color="auto"/>
            <w:right w:val="none" w:sz="0" w:space="0" w:color="auto"/>
          </w:divBdr>
        </w:div>
        <w:div w:id="1545362133">
          <w:marLeft w:val="547"/>
          <w:marRight w:val="0"/>
          <w:marTop w:val="0"/>
          <w:marBottom w:val="120"/>
          <w:divBdr>
            <w:top w:val="none" w:sz="0" w:space="0" w:color="auto"/>
            <w:left w:val="none" w:sz="0" w:space="0" w:color="auto"/>
            <w:bottom w:val="none" w:sz="0" w:space="0" w:color="auto"/>
            <w:right w:val="none" w:sz="0" w:space="0" w:color="auto"/>
          </w:divBdr>
        </w:div>
      </w:divsChild>
    </w:div>
    <w:div w:id="272326945">
      <w:bodyDiv w:val="1"/>
      <w:marLeft w:val="0"/>
      <w:marRight w:val="0"/>
      <w:marTop w:val="0"/>
      <w:marBottom w:val="0"/>
      <w:divBdr>
        <w:top w:val="none" w:sz="0" w:space="0" w:color="auto"/>
        <w:left w:val="none" w:sz="0" w:space="0" w:color="auto"/>
        <w:bottom w:val="none" w:sz="0" w:space="0" w:color="auto"/>
        <w:right w:val="none" w:sz="0" w:space="0" w:color="auto"/>
      </w:divBdr>
    </w:div>
    <w:div w:id="291063831">
      <w:bodyDiv w:val="1"/>
      <w:marLeft w:val="0"/>
      <w:marRight w:val="0"/>
      <w:marTop w:val="0"/>
      <w:marBottom w:val="0"/>
      <w:divBdr>
        <w:top w:val="none" w:sz="0" w:space="0" w:color="auto"/>
        <w:left w:val="none" w:sz="0" w:space="0" w:color="auto"/>
        <w:bottom w:val="none" w:sz="0" w:space="0" w:color="auto"/>
        <w:right w:val="none" w:sz="0" w:space="0" w:color="auto"/>
      </w:divBdr>
    </w:div>
    <w:div w:id="298343749">
      <w:bodyDiv w:val="1"/>
      <w:marLeft w:val="0"/>
      <w:marRight w:val="0"/>
      <w:marTop w:val="0"/>
      <w:marBottom w:val="0"/>
      <w:divBdr>
        <w:top w:val="none" w:sz="0" w:space="0" w:color="auto"/>
        <w:left w:val="none" w:sz="0" w:space="0" w:color="auto"/>
        <w:bottom w:val="none" w:sz="0" w:space="0" w:color="auto"/>
        <w:right w:val="none" w:sz="0" w:space="0" w:color="auto"/>
      </w:divBdr>
    </w:div>
    <w:div w:id="303389709">
      <w:bodyDiv w:val="1"/>
      <w:marLeft w:val="0"/>
      <w:marRight w:val="0"/>
      <w:marTop w:val="0"/>
      <w:marBottom w:val="0"/>
      <w:divBdr>
        <w:top w:val="none" w:sz="0" w:space="0" w:color="auto"/>
        <w:left w:val="none" w:sz="0" w:space="0" w:color="auto"/>
        <w:bottom w:val="none" w:sz="0" w:space="0" w:color="auto"/>
        <w:right w:val="none" w:sz="0" w:space="0" w:color="auto"/>
      </w:divBdr>
    </w:div>
    <w:div w:id="347760801">
      <w:bodyDiv w:val="1"/>
      <w:marLeft w:val="0"/>
      <w:marRight w:val="0"/>
      <w:marTop w:val="0"/>
      <w:marBottom w:val="0"/>
      <w:divBdr>
        <w:top w:val="none" w:sz="0" w:space="0" w:color="auto"/>
        <w:left w:val="none" w:sz="0" w:space="0" w:color="auto"/>
        <w:bottom w:val="none" w:sz="0" w:space="0" w:color="auto"/>
        <w:right w:val="none" w:sz="0" w:space="0" w:color="auto"/>
      </w:divBdr>
    </w:div>
    <w:div w:id="372265749">
      <w:bodyDiv w:val="1"/>
      <w:marLeft w:val="0"/>
      <w:marRight w:val="0"/>
      <w:marTop w:val="0"/>
      <w:marBottom w:val="0"/>
      <w:divBdr>
        <w:top w:val="none" w:sz="0" w:space="0" w:color="auto"/>
        <w:left w:val="none" w:sz="0" w:space="0" w:color="auto"/>
        <w:bottom w:val="none" w:sz="0" w:space="0" w:color="auto"/>
        <w:right w:val="none" w:sz="0" w:space="0" w:color="auto"/>
      </w:divBdr>
      <w:divsChild>
        <w:div w:id="325134816">
          <w:marLeft w:val="720"/>
          <w:marRight w:val="0"/>
          <w:marTop w:val="0"/>
          <w:marBottom w:val="120"/>
          <w:divBdr>
            <w:top w:val="none" w:sz="0" w:space="0" w:color="auto"/>
            <w:left w:val="none" w:sz="0" w:space="0" w:color="auto"/>
            <w:bottom w:val="none" w:sz="0" w:space="0" w:color="auto"/>
            <w:right w:val="none" w:sz="0" w:space="0" w:color="auto"/>
          </w:divBdr>
        </w:div>
        <w:div w:id="1746486674">
          <w:marLeft w:val="720"/>
          <w:marRight w:val="0"/>
          <w:marTop w:val="0"/>
          <w:marBottom w:val="120"/>
          <w:divBdr>
            <w:top w:val="none" w:sz="0" w:space="0" w:color="auto"/>
            <w:left w:val="none" w:sz="0" w:space="0" w:color="auto"/>
            <w:bottom w:val="none" w:sz="0" w:space="0" w:color="auto"/>
            <w:right w:val="none" w:sz="0" w:space="0" w:color="auto"/>
          </w:divBdr>
        </w:div>
      </w:divsChild>
    </w:div>
    <w:div w:id="375351734">
      <w:bodyDiv w:val="1"/>
      <w:marLeft w:val="0"/>
      <w:marRight w:val="0"/>
      <w:marTop w:val="0"/>
      <w:marBottom w:val="0"/>
      <w:divBdr>
        <w:top w:val="none" w:sz="0" w:space="0" w:color="auto"/>
        <w:left w:val="none" w:sz="0" w:space="0" w:color="auto"/>
        <w:bottom w:val="none" w:sz="0" w:space="0" w:color="auto"/>
        <w:right w:val="none" w:sz="0" w:space="0" w:color="auto"/>
      </w:divBdr>
      <w:divsChild>
        <w:div w:id="607548221">
          <w:marLeft w:val="547"/>
          <w:marRight w:val="0"/>
          <w:marTop w:val="0"/>
          <w:marBottom w:val="120"/>
          <w:divBdr>
            <w:top w:val="none" w:sz="0" w:space="0" w:color="auto"/>
            <w:left w:val="none" w:sz="0" w:space="0" w:color="auto"/>
            <w:bottom w:val="none" w:sz="0" w:space="0" w:color="auto"/>
            <w:right w:val="none" w:sz="0" w:space="0" w:color="auto"/>
          </w:divBdr>
        </w:div>
        <w:div w:id="1679770929">
          <w:marLeft w:val="547"/>
          <w:marRight w:val="0"/>
          <w:marTop w:val="0"/>
          <w:marBottom w:val="120"/>
          <w:divBdr>
            <w:top w:val="none" w:sz="0" w:space="0" w:color="auto"/>
            <w:left w:val="none" w:sz="0" w:space="0" w:color="auto"/>
            <w:bottom w:val="none" w:sz="0" w:space="0" w:color="auto"/>
            <w:right w:val="none" w:sz="0" w:space="0" w:color="auto"/>
          </w:divBdr>
        </w:div>
      </w:divsChild>
    </w:div>
    <w:div w:id="389885859">
      <w:bodyDiv w:val="1"/>
      <w:marLeft w:val="0"/>
      <w:marRight w:val="0"/>
      <w:marTop w:val="0"/>
      <w:marBottom w:val="0"/>
      <w:divBdr>
        <w:top w:val="none" w:sz="0" w:space="0" w:color="auto"/>
        <w:left w:val="none" w:sz="0" w:space="0" w:color="auto"/>
        <w:bottom w:val="none" w:sz="0" w:space="0" w:color="auto"/>
        <w:right w:val="none" w:sz="0" w:space="0" w:color="auto"/>
      </w:divBdr>
    </w:div>
    <w:div w:id="390159972">
      <w:bodyDiv w:val="1"/>
      <w:marLeft w:val="0"/>
      <w:marRight w:val="0"/>
      <w:marTop w:val="0"/>
      <w:marBottom w:val="0"/>
      <w:divBdr>
        <w:top w:val="none" w:sz="0" w:space="0" w:color="auto"/>
        <w:left w:val="none" w:sz="0" w:space="0" w:color="auto"/>
        <w:bottom w:val="none" w:sz="0" w:space="0" w:color="auto"/>
        <w:right w:val="none" w:sz="0" w:space="0" w:color="auto"/>
      </w:divBdr>
    </w:div>
    <w:div w:id="392775169">
      <w:bodyDiv w:val="1"/>
      <w:marLeft w:val="0"/>
      <w:marRight w:val="0"/>
      <w:marTop w:val="0"/>
      <w:marBottom w:val="0"/>
      <w:divBdr>
        <w:top w:val="none" w:sz="0" w:space="0" w:color="auto"/>
        <w:left w:val="none" w:sz="0" w:space="0" w:color="auto"/>
        <w:bottom w:val="none" w:sz="0" w:space="0" w:color="auto"/>
        <w:right w:val="none" w:sz="0" w:space="0" w:color="auto"/>
      </w:divBdr>
    </w:div>
    <w:div w:id="395662587">
      <w:bodyDiv w:val="1"/>
      <w:marLeft w:val="0"/>
      <w:marRight w:val="0"/>
      <w:marTop w:val="0"/>
      <w:marBottom w:val="0"/>
      <w:divBdr>
        <w:top w:val="none" w:sz="0" w:space="0" w:color="auto"/>
        <w:left w:val="none" w:sz="0" w:space="0" w:color="auto"/>
        <w:bottom w:val="none" w:sz="0" w:space="0" w:color="auto"/>
        <w:right w:val="none" w:sz="0" w:space="0" w:color="auto"/>
      </w:divBdr>
    </w:div>
    <w:div w:id="413747517">
      <w:bodyDiv w:val="1"/>
      <w:marLeft w:val="0"/>
      <w:marRight w:val="0"/>
      <w:marTop w:val="0"/>
      <w:marBottom w:val="0"/>
      <w:divBdr>
        <w:top w:val="none" w:sz="0" w:space="0" w:color="auto"/>
        <w:left w:val="none" w:sz="0" w:space="0" w:color="auto"/>
        <w:bottom w:val="none" w:sz="0" w:space="0" w:color="auto"/>
        <w:right w:val="none" w:sz="0" w:space="0" w:color="auto"/>
      </w:divBdr>
      <w:divsChild>
        <w:div w:id="898441893">
          <w:marLeft w:val="547"/>
          <w:marRight w:val="0"/>
          <w:marTop w:val="0"/>
          <w:marBottom w:val="120"/>
          <w:divBdr>
            <w:top w:val="none" w:sz="0" w:space="0" w:color="auto"/>
            <w:left w:val="none" w:sz="0" w:space="0" w:color="auto"/>
            <w:bottom w:val="none" w:sz="0" w:space="0" w:color="auto"/>
            <w:right w:val="none" w:sz="0" w:space="0" w:color="auto"/>
          </w:divBdr>
        </w:div>
        <w:div w:id="1892378777">
          <w:marLeft w:val="547"/>
          <w:marRight w:val="0"/>
          <w:marTop w:val="0"/>
          <w:marBottom w:val="120"/>
          <w:divBdr>
            <w:top w:val="none" w:sz="0" w:space="0" w:color="auto"/>
            <w:left w:val="none" w:sz="0" w:space="0" w:color="auto"/>
            <w:bottom w:val="none" w:sz="0" w:space="0" w:color="auto"/>
            <w:right w:val="none" w:sz="0" w:space="0" w:color="auto"/>
          </w:divBdr>
        </w:div>
        <w:div w:id="1920094498">
          <w:marLeft w:val="547"/>
          <w:marRight w:val="0"/>
          <w:marTop w:val="0"/>
          <w:marBottom w:val="120"/>
          <w:divBdr>
            <w:top w:val="none" w:sz="0" w:space="0" w:color="auto"/>
            <w:left w:val="none" w:sz="0" w:space="0" w:color="auto"/>
            <w:bottom w:val="none" w:sz="0" w:space="0" w:color="auto"/>
            <w:right w:val="none" w:sz="0" w:space="0" w:color="auto"/>
          </w:divBdr>
        </w:div>
      </w:divsChild>
    </w:div>
    <w:div w:id="419983921">
      <w:bodyDiv w:val="1"/>
      <w:marLeft w:val="0"/>
      <w:marRight w:val="0"/>
      <w:marTop w:val="0"/>
      <w:marBottom w:val="0"/>
      <w:divBdr>
        <w:top w:val="none" w:sz="0" w:space="0" w:color="auto"/>
        <w:left w:val="none" w:sz="0" w:space="0" w:color="auto"/>
        <w:bottom w:val="none" w:sz="0" w:space="0" w:color="auto"/>
        <w:right w:val="none" w:sz="0" w:space="0" w:color="auto"/>
      </w:divBdr>
    </w:div>
    <w:div w:id="503134600">
      <w:bodyDiv w:val="1"/>
      <w:marLeft w:val="0"/>
      <w:marRight w:val="0"/>
      <w:marTop w:val="0"/>
      <w:marBottom w:val="0"/>
      <w:divBdr>
        <w:top w:val="none" w:sz="0" w:space="0" w:color="auto"/>
        <w:left w:val="none" w:sz="0" w:space="0" w:color="auto"/>
        <w:bottom w:val="none" w:sz="0" w:space="0" w:color="auto"/>
        <w:right w:val="none" w:sz="0" w:space="0" w:color="auto"/>
      </w:divBdr>
      <w:divsChild>
        <w:div w:id="414280709">
          <w:marLeft w:val="720"/>
          <w:marRight w:val="0"/>
          <w:marTop w:val="0"/>
          <w:marBottom w:val="120"/>
          <w:divBdr>
            <w:top w:val="none" w:sz="0" w:space="0" w:color="auto"/>
            <w:left w:val="none" w:sz="0" w:space="0" w:color="auto"/>
            <w:bottom w:val="none" w:sz="0" w:space="0" w:color="auto"/>
            <w:right w:val="none" w:sz="0" w:space="0" w:color="auto"/>
          </w:divBdr>
        </w:div>
        <w:div w:id="982589170">
          <w:marLeft w:val="720"/>
          <w:marRight w:val="0"/>
          <w:marTop w:val="0"/>
          <w:marBottom w:val="120"/>
          <w:divBdr>
            <w:top w:val="none" w:sz="0" w:space="0" w:color="auto"/>
            <w:left w:val="none" w:sz="0" w:space="0" w:color="auto"/>
            <w:bottom w:val="none" w:sz="0" w:space="0" w:color="auto"/>
            <w:right w:val="none" w:sz="0" w:space="0" w:color="auto"/>
          </w:divBdr>
        </w:div>
        <w:div w:id="1373925399">
          <w:marLeft w:val="720"/>
          <w:marRight w:val="0"/>
          <w:marTop w:val="0"/>
          <w:marBottom w:val="120"/>
          <w:divBdr>
            <w:top w:val="none" w:sz="0" w:space="0" w:color="auto"/>
            <w:left w:val="none" w:sz="0" w:space="0" w:color="auto"/>
            <w:bottom w:val="none" w:sz="0" w:space="0" w:color="auto"/>
            <w:right w:val="none" w:sz="0" w:space="0" w:color="auto"/>
          </w:divBdr>
        </w:div>
      </w:divsChild>
    </w:div>
    <w:div w:id="523253491">
      <w:bodyDiv w:val="1"/>
      <w:marLeft w:val="0"/>
      <w:marRight w:val="0"/>
      <w:marTop w:val="0"/>
      <w:marBottom w:val="0"/>
      <w:divBdr>
        <w:top w:val="none" w:sz="0" w:space="0" w:color="auto"/>
        <w:left w:val="none" w:sz="0" w:space="0" w:color="auto"/>
        <w:bottom w:val="none" w:sz="0" w:space="0" w:color="auto"/>
        <w:right w:val="none" w:sz="0" w:space="0" w:color="auto"/>
      </w:divBdr>
    </w:div>
    <w:div w:id="550770357">
      <w:bodyDiv w:val="1"/>
      <w:marLeft w:val="0"/>
      <w:marRight w:val="0"/>
      <w:marTop w:val="0"/>
      <w:marBottom w:val="0"/>
      <w:divBdr>
        <w:top w:val="none" w:sz="0" w:space="0" w:color="auto"/>
        <w:left w:val="none" w:sz="0" w:space="0" w:color="auto"/>
        <w:bottom w:val="none" w:sz="0" w:space="0" w:color="auto"/>
        <w:right w:val="none" w:sz="0" w:space="0" w:color="auto"/>
      </w:divBdr>
    </w:div>
    <w:div w:id="573200027">
      <w:bodyDiv w:val="1"/>
      <w:marLeft w:val="0"/>
      <w:marRight w:val="0"/>
      <w:marTop w:val="0"/>
      <w:marBottom w:val="0"/>
      <w:divBdr>
        <w:top w:val="none" w:sz="0" w:space="0" w:color="auto"/>
        <w:left w:val="none" w:sz="0" w:space="0" w:color="auto"/>
        <w:bottom w:val="none" w:sz="0" w:space="0" w:color="auto"/>
        <w:right w:val="none" w:sz="0" w:space="0" w:color="auto"/>
      </w:divBdr>
      <w:divsChild>
        <w:div w:id="78337526">
          <w:marLeft w:val="259"/>
          <w:marRight w:val="0"/>
          <w:marTop w:val="86"/>
          <w:marBottom w:val="0"/>
          <w:divBdr>
            <w:top w:val="none" w:sz="0" w:space="0" w:color="auto"/>
            <w:left w:val="none" w:sz="0" w:space="0" w:color="auto"/>
            <w:bottom w:val="none" w:sz="0" w:space="0" w:color="auto"/>
            <w:right w:val="none" w:sz="0" w:space="0" w:color="auto"/>
          </w:divBdr>
        </w:div>
        <w:div w:id="243995680">
          <w:marLeft w:val="259"/>
          <w:marRight w:val="0"/>
          <w:marTop w:val="86"/>
          <w:marBottom w:val="0"/>
          <w:divBdr>
            <w:top w:val="none" w:sz="0" w:space="0" w:color="auto"/>
            <w:left w:val="none" w:sz="0" w:space="0" w:color="auto"/>
            <w:bottom w:val="none" w:sz="0" w:space="0" w:color="auto"/>
            <w:right w:val="none" w:sz="0" w:space="0" w:color="auto"/>
          </w:divBdr>
        </w:div>
        <w:div w:id="478808574">
          <w:marLeft w:val="259"/>
          <w:marRight w:val="0"/>
          <w:marTop w:val="86"/>
          <w:marBottom w:val="0"/>
          <w:divBdr>
            <w:top w:val="none" w:sz="0" w:space="0" w:color="auto"/>
            <w:left w:val="none" w:sz="0" w:space="0" w:color="auto"/>
            <w:bottom w:val="none" w:sz="0" w:space="0" w:color="auto"/>
            <w:right w:val="none" w:sz="0" w:space="0" w:color="auto"/>
          </w:divBdr>
        </w:div>
        <w:div w:id="594558881">
          <w:marLeft w:val="259"/>
          <w:marRight w:val="0"/>
          <w:marTop w:val="86"/>
          <w:marBottom w:val="0"/>
          <w:divBdr>
            <w:top w:val="none" w:sz="0" w:space="0" w:color="auto"/>
            <w:left w:val="none" w:sz="0" w:space="0" w:color="auto"/>
            <w:bottom w:val="none" w:sz="0" w:space="0" w:color="auto"/>
            <w:right w:val="none" w:sz="0" w:space="0" w:color="auto"/>
          </w:divBdr>
        </w:div>
      </w:divsChild>
    </w:div>
    <w:div w:id="583223672">
      <w:bodyDiv w:val="1"/>
      <w:marLeft w:val="0"/>
      <w:marRight w:val="0"/>
      <w:marTop w:val="0"/>
      <w:marBottom w:val="0"/>
      <w:divBdr>
        <w:top w:val="none" w:sz="0" w:space="0" w:color="auto"/>
        <w:left w:val="none" w:sz="0" w:space="0" w:color="auto"/>
        <w:bottom w:val="none" w:sz="0" w:space="0" w:color="auto"/>
        <w:right w:val="none" w:sz="0" w:space="0" w:color="auto"/>
      </w:divBdr>
    </w:div>
    <w:div w:id="632903870">
      <w:bodyDiv w:val="1"/>
      <w:marLeft w:val="0"/>
      <w:marRight w:val="0"/>
      <w:marTop w:val="0"/>
      <w:marBottom w:val="0"/>
      <w:divBdr>
        <w:top w:val="none" w:sz="0" w:space="0" w:color="auto"/>
        <w:left w:val="none" w:sz="0" w:space="0" w:color="auto"/>
        <w:bottom w:val="none" w:sz="0" w:space="0" w:color="auto"/>
        <w:right w:val="none" w:sz="0" w:space="0" w:color="auto"/>
      </w:divBdr>
    </w:div>
    <w:div w:id="723220209">
      <w:bodyDiv w:val="1"/>
      <w:marLeft w:val="0"/>
      <w:marRight w:val="0"/>
      <w:marTop w:val="0"/>
      <w:marBottom w:val="0"/>
      <w:divBdr>
        <w:top w:val="none" w:sz="0" w:space="0" w:color="auto"/>
        <w:left w:val="none" w:sz="0" w:space="0" w:color="auto"/>
        <w:bottom w:val="none" w:sz="0" w:space="0" w:color="auto"/>
        <w:right w:val="none" w:sz="0" w:space="0" w:color="auto"/>
      </w:divBdr>
    </w:div>
    <w:div w:id="766001261">
      <w:bodyDiv w:val="1"/>
      <w:marLeft w:val="0"/>
      <w:marRight w:val="0"/>
      <w:marTop w:val="0"/>
      <w:marBottom w:val="0"/>
      <w:divBdr>
        <w:top w:val="none" w:sz="0" w:space="0" w:color="auto"/>
        <w:left w:val="none" w:sz="0" w:space="0" w:color="auto"/>
        <w:bottom w:val="none" w:sz="0" w:space="0" w:color="auto"/>
        <w:right w:val="none" w:sz="0" w:space="0" w:color="auto"/>
      </w:divBdr>
    </w:div>
    <w:div w:id="779958967">
      <w:bodyDiv w:val="1"/>
      <w:marLeft w:val="0"/>
      <w:marRight w:val="0"/>
      <w:marTop w:val="0"/>
      <w:marBottom w:val="0"/>
      <w:divBdr>
        <w:top w:val="none" w:sz="0" w:space="0" w:color="auto"/>
        <w:left w:val="none" w:sz="0" w:space="0" w:color="auto"/>
        <w:bottom w:val="none" w:sz="0" w:space="0" w:color="auto"/>
        <w:right w:val="none" w:sz="0" w:space="0" w:color="auto"/>
      </w:divBdr>
    </w:div>
    <w:div w:id="789055459">
      <w:bodyDiv w:val="1"/>
      <w:marLeft w:val="0"/>
      <w:marRight w:val="0"/>
      <w:marTop w:val="0"/>
      <w:marBottom w:val="0"/>
      <w:divBdr>
        <w:top w:val="none" w:sz="0" w:space="0" w:color="auto"/>
        <w:left w:val="none" w:sz="0" w:space="0" w:color="auto"/>
        <w:bottom w:val="none" w:sz="0" w:space="0" w:color="auto"/>
        <w:right w:val="none" w:sz="0" w:space="0" w:color="auto"/>
      </w:divBdr>
      <w:divsChild>
        <w:div w:id="3747556">
          <w:marLeft w:val="720"/>
          <w:marRight w:val="0"/>
          <w:marTop w:val="0"/>
          <w:marBottom w:val="120"/>
          <w:divBdr>
            <w:top w:val="none" w:sz="0" w:space="0" w:color="auto"/>
            <w:left w:val="none" w:sz="0" w:space="0" w:color="auto"/>
            <w:bottom w:val="none" w:sz="0" w:space="0" w:color="auto"/>
            <w:right w:val="none" w:sz="0" w:space="0" w:color="auto"/>
          </w:divBdr>
        </w:div>
        <w:div w:id="54356555">
          <w:marLeft w:val="1440"/>
          <w:marRight w:val="0"/>
          <w:marTop w:val="0"/>
          <w:marBottom w:val="120"/>
          <w:divBdr>
            <w:top w:val="none" w:sz="0" w:space="0" w:color="auto"/>
            <w:left w:val="none" w:sz="0" w:space="0" w:color="auto"/>
            <w:bottom w:val="none" w:sz="0" w:space="0" w:color="auto"/>
            <w:right w:val="none" w:sz="0" w:space="0" w:color="auto"/>
          </w:divBdr>
        </w:div>
        <w:div w:id="202058847">
          <w:marLeft w:val="720"/>
          <w:marRight w:val="0"/>
          <w:marTop w:val="0"/>
          <w:marBottom w:val="120"/>
          <w:divBdr>
            <w:top w:val="none" w:sz="0" w:space="0" w:color="auto"/>
            <w:left w:val="none" w:sz="0" w:space="0" w:color="auto"/>
            <w:bottom w:val="none" w:sz="0" w:space="0" w:color="auto"/>
            <w:right w:val="none" w:sz="0" w:space="0" w:color="auto"/>
          </w:divBdr>
        </w:div>
        <w:div w:id="293366396">
          <w:marLeft w:val="1440"/>
          <w:marRight w:val="0"/>
          <w:marTop w:val="0"/>
          <w:marBottom w:val="120"/>
          <w:divBdr>
            <w:top w:val="none" w:sz="0" w:space="0" w:color="auto"/>
            <w:left w:val="none" w:sz="0" w:space="0" w:color="auto"/>
            <w:bottom w:val="none" w:sz="0" w:space="0" w:color="auto"/>
            <w:right w:val="none" w:sz="0" w:space="0" w:color="auto"/>
          </w:divBdr>
        </w:div>
        <w:div w:id="1151021439">
          <w:marLeft w:val="1440"/>
          <w:marRight w:val="0"/>
          <w:marTop w:val="0"/>
          <w:marBottom w:val="120"/>
          <w:divBdr>
            <w:top w:val="none" w:sz="0" w:space="0" w:color="auto"/>
            <w:left w:val="none" w:sz="0" w:space="0" w:color="auto"/>
            <w:bottom w:val="none" w:sz="0" w:space="0" w:color="auto"/>
            <w:right w:val="none" w:sz="0" w:space="0" w:color="auto"/>
          </w:divBdr>
        </w:div>
        <w:div w:id="1160072736">
          <w:marLeft w:val="720"/>
          <w:marRight w:val="0"/>
          <w:marTop w:val="0"/>
          <w:marBottom w:val="120"/>
          <w:divBdr>
            <w:top w:val="none" w:sz="0" w:space="0" w:color="auto"/>
            <w:left w:val="none" w:sz="0" w:space="0" w:color="auto"/>
            <w:bottom w:val="none" w:sz="0" w:space="0" w:color="auto"/>
            <w:right w:val="none" w:sz="0" w:space="0" w:color="auto"/>
          </w:divBdr>
        </w:div>
        <w:div w:id="1292707274">
          <w:marLeft w:val="1440"/>
          <w:marRight w:val="0"/>
          <w:marTop w:val="0"/>
          <w:marBottom w:val="120"/>
          <w:divBdr>
            <w:top w:val="none" w:sz="0" w:space="0" w:color="auto"/>
            <w:left w:val="none" w:sz="0" w:space="0" w:color="auto"/>
            <w:bottom w:val="none" w:sz="0" w:space="0" w:color="auto"/>
            <w:right w:val="none" w:sz="0" w:space="0" w:color="auto"/>
          </w:divBdr>
        </w:div>
        <w:div w:id="1315177848">
          <w:marLeft w:val="1440"/>
          <w:marRight w:val="0"/>
          <w:marTop w:val="0"/>
          <w:marBottom w:val="120"/>
          <w:divBdr>
            <w:top w:val="none" w:sz="0" w:space="0" w:color="auto"/>
            <w:left w:val="none" w:sz="0" w:space="0" w:color="auto"/>
            <w:bottom w:val="none" w:sz="0" w:space="0" w:color="auto"/>
            <w:right w:val="none" w:sz="0" w:space="0" w:color="auto"/>
          </w:divBdr>
        </w:div>
        <w:div w:id="1614242756">
          <w:marLeft w:val="1440"/>
          <w:marRight w:val="0"/>
          <w:marTop w:val="0"/>
          <w:marBottom w:val="120"/>
          <w:divBdr>
            <w:top w:val="none" w:sz="0" w:space="0" w:color="auto"/>
            <w:left w:val="none" w:sz="0" w:space="0" w:color="auto"/>
            <w:bottom w:val="none" w:sz="0" w:space="0" w:color="auto"/>
            <w:right w:val="none" w:sz="0" w:space="0" w:color="auto"/>
          </w:divBdr>
        </w:div>
        <w:div w:id="1787234643">
          <w:marLeft w:val="1440"/>
          <w:marRight w:val="0"/>
          <w:marTop w:val="0"/>
          <w:marBottom w:val="120"/>
          <w:divBdr>
            <w:top w:val="none" w:sz="0" w:space="0" w:color="auto"/>
            <w:left w:val="none" w:sz="0" w:space="0" w:color="auto"/>
            <w:bottom w:val="none" w:sz="0" w:space="0" w:color="auto"/>
            <w:right w:val="none" w:sz="0" w:space="0" w:color="auto"/>
          </w:divBdr>
        </w:div>
      </w:divsChild>
    </w:div>
    <w:div w:id="790786653">
      <w:bodyDiv w:val="1"/>
      <w:marLeft w:val="0"/>
      <w:marRight w:val="0"/>
      <w:marTop w:val="0"/>
      <w:marBottom w:val="0"/>
      <w:divBdr>
        <w:top w:val="none" w:sz="0" w:space="0" w:color="auto"/>
        <w:left w:val="none" w:sz="0" w:space="0" w:color="auto"/>
        <w:bottom w:val="none" w:sz="0" w:space="0" w:color="auto"/>
        <w:right w:val="none" w:sz="0" w:space="0" w:color="auto"/>
      </w:divBdr>
      <w:divsChild>
        <w:div w:id="68697686">
          <w:marLeft w:val="720"/>
          <w:marRight w:val="0"/>
          <w:marTop w:val="0"/>
          <w:marBottom w:val="120"/>
          <w:divBdr>
            <w:top w:val="none" w:sz="0" w:space="0" w:color="auto"/>
            <w:left w:val="none" w:sz="0" w:space="0" w:color="auto"/>
            <w:bottom w:val="none" w:sz="0" w:space="0" w:color="auto"/>
            <w:right w:val="none" w:sz="0" w:space="0" w:color="auto"/>
          </w:divBdr>
        </w:div>
        <w:div w:id="94711151">
          <w:marLeft w:val="720"/>
          <w:marRight w:val="0"/>
          <w:marTop w:val="0"/>
          <w:marBottom w:val="120"/>
          <w:divBdr>
            <w:top w:val="none" w:sz="0" w:space="0" w:color="auto"/>
            <w:left w:val="none" w:sz="0" w:space="0" w:color="auto"/>
            <w:bottom w:val="none" w:sz="0" w:space="0" w:color="auto"/>
            <w:right w:val="none" w:sz="0" w:space="0" w:color="auto"/>
          </w:divBdr>
        </w:div>
        <w:div w:id="357892257">
          <w:marLeft w:val="720"/>
          <w:marRight w:val="0"/>
          <w:marTop w:val="0"/>
          <w:marBottom w:val="120"/>
          <w:divBdr>
            <w:top w:val="none" w:sz="0" w:space="0" w:color="auto"/>
            <w:left w:val="none" w:sz="0" w:space="0" w:color="auto"/>
            <w:bottom w:val="none" w:sz="0" w:space="0" w:color="auto"/>
            <w:right w:val="none" w:sz="0" w:space="0" w:color="auto"/>
          </w:divBdr>
        </w:div>
        <w:div w:id="422067924">
          <w:marLeft w:val="1440"/>
          <w:marRight w:val="0"/>
          <w:marTop w:val="0"/>
          <w:marBottom w:val="120"/>
          <w:divBdr>
            <w:top w:val="none" w:sz="0" w:space="0" w:color="auto"/>
            <w:left w:val="none" w:sz="0" w:space="0" w:color="auto"/>
            <w:bottom w:val="none" w:sz="0" w:space="0" w:color="auto"/>
            <w:right w:val="none" w:sz="0" w:space="0" w:color="auto"/>
          </w:divBdr>
        </w:div>
        <w:div w:id="487407865">
          <w:marLeft w:val="720"/>
          <w:marRight w:val="0"/>
          <w:marTop w:val="0"/>
          <w:marBottom w:val="120"/>
          <w:divBdr>
            <w:top w:val="none" w:sz="0" w:space="0" w:color="auto"/>
            <w:left w:val="none" w:sz="0" w:space="0" w:color="auto"/>
            <w:bottom w:val="none" w:sz="0" w:space="0" w:color="auto"/>
            <w:right w:val="none" w:sz="0" w:space="0" w:color="auto"/>
          </w:divBdr>
        </w:div>
        <w:div w:id="506334142">
          <w:marLeft w:val="1440"/>
          <w:marRight w:val="0"/>
          <w:marTop w:val="0"/>
          <w:marBottom w:val="120"/>
          <w:divBdr>
            <w:top w:val="none" w:sz="0" w:space="0" w:color="auto"/>
            <w:left w:val="none" w:sz="0" w:space="0" w:color="auto"/>
            <w:bottom w:val="none" w:sz="0" w:space="0" w:color="auto"/>
            <w:right w:val="none" w:sz="0" w:space="0" w:color="auto"/>
          </w:divBdr>
        </w:div>
        <w:div w:id="576091556">
          <w:marLeft w:val="1440"/>
          <w:marRight w:val="0"/>
          <w:marTop w:val="0"/>
          <w:marBottom w:val="120"/>
          <w:divBdr>
            <w:top w:val="none" w:sz="0" w:space="0" w:color="auto"/>
            <w:left w:val="none" w:sz="0" w:space="0" w:color="auto"/>
            <w:bottom w:val="none" w:sz="0" w:space="0" w:color="auto"/>
            <w:right w:val="none" w:sz="0" w:space="0" w:color="auto"/>
          </w:divBdr>
        </w:div>
        <w:div w:id="979504549">
          <w:marLeft w:val="1440"/>
          <w:marRight w:val="0"/>
          <w:marTop w:val="0"/>
          <w:marBottom w:val="120"/>
          <w:divBdr>
            <w:top w:val="none" w:sz="0" w:space="0" w:color="auto"/>
            <w:left w:val="none" w:sz="0" w:space="0" w:color="auto"/>
            <w:bottom w:val="none" w:sz="0" w:space="0" w:color="auto"/>
            <w:right w:val="none" w:sz="0" w:space="0" w:color="auto"/>
          </w:divBdr>
        </w:div>
        <w:div w:id="1460227152">
          <w:marLeft w:val="720"/>
          <w:marRight w:val="0"/>
          <w:marTop w:val="0"/>
          <w:marBottom w:val="120"/>
          <w:divBdr>
            <w:top w:val="none" w:sz="0" w:space="0" w:color="auto"/>
            <w:left w:val="none" w:sz="0" w:space="0" w:color="auto"/>
            <w:bottom w:val="none" w:sz="0" w:space="0" w:color="auto"/>
            <w:right w:val="none" w:sz="0" w:space="0" w:color="auto"/>
          </w:divBdr>
        </w:div>
        <w:div w:id="1751660735">
          <w:marLeft w:val="1440"/>
          <w:marRight w:val="0"/>
          <w:marTop w:val="0"/>
          <w:marBottom w:val="120"/>
          <w:divBdr>
            <w:top w:val="none" w:sz="0" w:space="0" w:color="auto"/>
            <w:left w:val="none" w:sz="0" w:space="0" w:color="auto"/>
            <w:bottom w:val="none" w:sz="0" w:space="0" w:color="auto"/>
            <w:right w:val="none" w:sz="0" w:space="0" w:color="auto"/>
          </w:divBdr>
        </w:div>
      </w:divsChild>
    </w:div>
    <w:div w:id="814446160">
      <w:bodyDiv w:val="1"/>
      <w:marLeft w:val="0"/>
      <w:marRight w:val="0"/>
      <w:marTop w:val="0"/>
      <w:marBottom w:val="0"/>
      <w:divBdr>
        <w:top w:val="none" w:sz="0" w:space="0" w:color="auto"/>
        <w:left w:val="none" w:sz="0" w:space="0" w:color="auto"/>
        <w:bottom w:val="none" w:sz="0" w:space="0" w:color="auto"/>
        <w:right w:val="none" w:sz="0" w:space="0" w:color="auto"/>
      </w:divBdr>
      <w:divsChild>
        <w:div w:id="596593921">
          <w:marLeft w:val="720"/>
          <w:marRight w:val="0"/>
          <w:marTop w:val="0"/>
          <w:marBottom w:val="120"/>
          <w:divBdr>
            <w:top w:val="none" w:sz="0" w:space="0" w:color="auto"/>
            <w:left w:val="none" w:sz="0" w:space="0" w:color="auto"/>
            <w:bottom w:val="none" w:sz="0" w:space="0" w:color="auto"/>
            <w:right w:val="none" w:sz="0" w:space="0" w:color="auto"/>
          </w:divBdr>
        </w:div>
      </w:divsChild>
    </w:div>
    <w:div w:id="833037256">
      <w:bodyDiv w:val="1"/>
      <w:marLeft w:val="0"/>
      <w:marRight w:val="0"/>
      <w:marTop w:val="0"/>
      <w:marBottom w:val="0"/>
      <w:divBdr>
        <w:top w:val="none" w:sz="0" w:space="0" w:color="auto"/>
        <w:left w:val="none" w:sz="0" w:space="0" w:color="auto"/>
        <w:bottom w:val="none" w:sz="0" w:space="0" w:color="auto"/>
        <w:right w:val="none" w:sz="0" w:space="0" w:color="auto"/>
      </w:divBdr>
    </w:div>
    <w:div w:id="867453494">
      <w:bodyDiv w:val="1"/>
      <w:marLeft w:val="0"/>
      <w:marRight w:val="0"/>
      <w:marTop w:val="0"/>
      <w:marBottom w:val="0"/>
      <w:divBdr>
        <w:top w:val="none" w:sz="0" w:space="0" w:color="auto"/>
        <w:left w:val="none" w:sz="0" w:space="0" w:color="auto"/>
        <w:bottom w:val="none" w:sz="0" w:space="0" w:color="auto"/>
        <w:right w:val="none" w:sz="0" w:space="0" w:color="auto"/>
      </w:divBdr>
      <w:divsChild>
        <w:div w:id="907107654">
          <w:marLeft w:val="259"/>
          <w:marRight w:val="0"/>
          <w:marTop w:val="86"/>
          <w:marBottom w:val="0"/>
          <w:divBdr>
            <w:top w:val="none" w:sz="0" w:space="0" w:color="auto"/>
            <w:left w:val="none" w:sz="0" w:space="0" w:color="auto"/>
            <w:bottom w:val="none" w:sz="0" w:space="0" w:color="auto"/>
            <w:right w:val="none" w:sz="0" w:space="0" w:color="auto"/>
          </w:divBdr>
        </w:div>
        <w:div w:id="1093817628">
          <w:marLeft w:val="259"/>
          <w:marRight w:val="0"/>
          <w:marTop w:val="86"/>
          <w:marBottom w:val="0"/>
          <w:divBdr>
            <w:top w:val="none" w:sz="0" w:space="0" w:color="auto"/>
            <w:left w:val="none" w:sz="0" w:space="0" w:color="auto"/>
            <w:bottom w:val="none" w:sz="0" w:space="0" w:color="auto"/>
            <w:right w:val="none" w:sz="0" w:space="0" w:color="auto"/>
          </w:divBdr>
        </w:div>
        <w:div w:id="1513033232">
          <w:marLeft w:val="259"/>
          <w:marRight w:val="0"/>
          <w:marTop w:val="86"/>
          <w:marBottom w:val="0"/>
          <w:divBdr>
            <w:top w:val="none" w:sz="0" w:space="0" w:color="auto"/>
            <w:left w:val="none" w:sz="0" w:space="0" w:color="auto"/>
            <w:bottom w:val="none" w:sz="0" w:space="0" w:color="auto"/>
            <w:right w:val="none" w:sz="0" w:space="0" w:color="auto"/>
          </w:divBdr>
        </w:div>
        <w:div w:id="2041081390">
          <w:marLeft w:val="259"/>
          <w:marRight w:val="0"/>
          <w:marTop w:val="86"/>
          <w:marBottom w:val="0"/>
          <w:divBdr>
            <w:top w:val="none" w:sz="0" w:space="0" w:color="auto"/>
            <w:left w:val="none" w:sz="0" w:space="0" w:color="auto"/>
            <w:bottom w:val="none" w:sz="0" w:space="0" w:color="auto"/>
            <w:right w:val="none" w:sz="0" w:space="0" w:color="auto"/>
          </w:divBdr>
        </w:div>
      </w:divsChild>
    </w:div>
    <w:div w:id="886769250">
      <w:bodyDiv w:val="1"/>
      <w:marLeft w:val="0"/>
      <w:marRight w:val="0"/>
      <w:marTop w:val="0"/>
      <w:marBottom w:val="0"/>
      <w:divBdr>
        <w:top w:val="none" w:sz="0" w:space="0" w:color="auto"/>
        <w:left w:val="none" w:sz="0" w:space="0" w:color="auto"/>
        <w:bottom w:val="none" w:sz="0" w:space="0" w:color="auto"/>
        <w:right w:val="none" w:sz="0" w:space="0" w:color="auto"/>
      </w:divBdr>
    </w:div>
    <w:div w:id="920984628">
      <w:bodyDiv w:val="1"/>
      <w:marLeft w:val="0"/>
      <w:marRight w:val="0"/>
      <w:marTop w:val="0"/>
      <w:marBottom w:val="0"/>
      <w:divBdr>
        <w:top w:val="none" w:sz="0" w:space="0" w:color="auto"/>
        <w:left w:val="none" w:sz="0" w:space="0" w:color="auto"/>
        <w:bottom w:val="none" w:sz="0" w:space="0" w:color="auto"/>
        <w:right w:val="none" w:sz="0" w:space="0" w:color="auto"/>
      </w:divBdr>
      <w:divsChild>
        <w:div w:id="88157461">
          <w:marLeft w:val="274"/>
          <w:marRight w:val="0"/>
          <w:marTop w:val="0"/>
          <w:marBottom w:val="200"/>
          <w:divBdr>
            <w:top w:val="none" w:sz="0" w:space="0" w:color="auto"/>
            <w:left w:val="none" w:sz="0" w:space="0" w:color="auto"/>
            <w:bottom w:val="none" w:sz="0" w:space="0" w:color="auto"/>
            <w:right w:val="none" w:sz="0" w:space="0" w:color="auto"/>
          </w:divBdr>
        </w:div>
        <w:div w:id="426852422">
          <w:marLeft w:val="274"/>
          <w:marRight w:val="0"/>
          <w:marTop w:val="0"/>
          <w:marBottom w:val="200"/>
          <w:divBdr>
            <w:top w:val="none" w:sz="0" w:space="0" w:color="auto"/>
            <w:left w:val="none" w:sz="0" w:space="0" w:color="auto"/>
            <w:bottom w:val="none" w:sz="0" w:space="0" w:color="auto"/>
            <w:right w:val="none" w:sz="0" w:space="0" w:color="auto"/>
          </w:divBdr>
        </w:div>
        <w:div w:id="1173647776">
          <w:marLeft w:val="274"/>
          <w:marRight w:val="0"/>
          <w:marTop w:val="0"/>
          <w:marBottom w:val="200"/>
          <w:divBdr>
            <w:top w:val="none" w:sz="0" w:space="0" w:color="auto"/>
            <w:left w:val="none" w:sz="0" w:space="0" w:color="auto"/>
            <w:bottom w:val="none" w:sz="0" w:space="0" w:color="auto"/>
            <w:right w:val="none" w:sz="0" w:space="0" w:color="auto"/>
          </w:divBdr>
        </w:div>
        <w:div w:id="1561405277">
          <w:marLeft w:val="274"/>
          <w:marRight w:val="0"/>
          <w:marTop w:val="0"/>
          <w:marBottom w:val="200"/>
          <w:divBdr>
            <w:top w:val="none" w:sz="0" w:space="0" w:color="auto"/>
            <w:left w:val="none" w:sz="0" w:space="0" w:color="auto"/>
            <w:bottom w:val="none" w:sz="0" w:space="0" w:color="auto"/>
            <w:right w:val="none" w:sz="0" w:space="0" w:color="auto"/>
          </w:divBdr>
        </w:div>
      </w:divsChild>
    </w:div>
    <w:div w:id="983436524">
      <w:bodyDiv w:val="1"/>
      <w:marLeft w:val="0"/>
      <w:marRight w:val="0"/>
      <w:marTop w:val="0"/>
      <w:marBottom w:val="0"/>
      <w:divBdr>
        <w:top w:val="none" w:sz="0" w:space="0" w:color="auto"/>
        <w:left w:val="none" w:sz="0" w:space="0" w:color="auto"/>
        <w:bottom w:val="none" w:sz="0" w:space="0" w:color="auto"/>
        <w:right w:val="none" w:sz="0" w:space="0" w:color="auto"/>
      </w:divBdr>
    </w:div>
    <w:div w:id="986209636">
      <w:bodyDiv w:val="1"/>
      <w:marLeft w:val="0"/>
      <w:marRight w:val="0"/>
      <w:marTop w:val="0"/>
      <w:marBottom w:val="0"/>
      <w:divBdr>
        <w:top w:val="none" w:sz="0" w:space="0" w:color="auto"/>
        <w:left w:val="none" w:sz="0" w:space="0" w:color="auto"/>
        <w:bottom w:val="none" w:sz="0" w:space="0" w:color="auto"/>
        <w:right w:val="none" w:sz="0" w:space="0" w:color="auto"/>
      </w:divBdr>
    </w:div>
    <w:div w:id="1000815189">
      <w:bodyDiv w:val="1"/>
      <w:marLeft w:val="0"/>
      <w:marRight w:val="0"/>
      <w:marTop w:val="0"/>
      <w:marBottom w:val="0"/>
      <w:divBdr>
        <w:top w:val="none" w:sz="0" w:space="0" w:color="auto"/>
        <w:left w:val="none" w:sz="0" w:space="0" w:color="auto"/>
        <w:bottom w:val="none" w:sz="0" w:space="0" w:color="auto"/>
        <w:right w:val="none" w:sz="0" w:space="0" w:color="auto"/>
      </w:divBdr>
    </w:div>
    <w:div w:id="1042680381">
      <w:bodyDiv w:val="1"/>
      <w:marLeft w:val="0"/>
      <w:marRight w:val="0"/>
      <w:marTop w:val="0"/>
      <w:marBottom w:val="0"/>
      <w:divBdr>
        <w:top w:val="none" w:sz="0" w:space="0" w:color="auto"/>
        <w:left w:val="none" w:sz="0" w:space="0" w:color="auto"/>
        <w:bottom w:val="none" w:sz="0" w:space="0" w:color="auto"/>
        <w:right w:val="none" w:sz="0" w:space="0" w:color="auto"/>
      </w:divBdr>
    </w:div>
    <w:div w:id="1158499570">
      <w:bodyDiv w:val="1"/>
      <w:marLeft w:val="0"/>
      <w:marRight w:val="0"/>
      <w:marTop w:val="0"/>
      <w:marBottom w:val="0"/>
      <w:divBdr>
        <w:top w:val="none" w:sz="0" w:space="0" w:color="auto"/>
        <w:left w:val="none" w:sz="0" w:space="0" w:color="auto"/>
        <w:bottom w:val="none" w:sz="0" w:space="0" w:color="auto"/>
        <w:right w:val="none" w:sz="0" w:space="0" w:color="auto"/>
      </w:divBdr>
    </w:div>
    <w:div w:id="1162621587">
      <w:bodyDiv w:val="1"/>
      <w:marLeft w:val="0"/>
      <w:marRight w:val="0"/>
      <w:marTop w:val="0"/>
      <w:marBottom w:val="0"/>
      <w:divBdr>
        <w:top w:val="none" w:sz="0" w:space="0" w:color="auto"/>
        <w:left w:val="none" w:sz="0" w:space="0" w:color="auto"/>
        <w:bottom w:val="none" w:sz="0" w:space="0" w:color="auto"/>
        <w:right w:val="none" w:sz="0" w:space="0" w:color="auto"/>
      </w:divBdr>
      <w:divsChild>
        <w:div w:id="627974345">
          <w:marLeft w:val="720"/>
          <w:marRight w:val="0"/>
          <w:marTop w:val="0"/>
          <w:marBottom w:val="120"/>
          <w:divBdr>
            <w:top w:val="none" w:sz="0" w:space="0" w:color="auto"/>
            <w:left w:val="none" w:sz="0" w:space="0" w:color="auto"/>
            <w:bottom w:val="none" w:sz="0" w:space="0" w:color="auto"/>
            <w:right w:val="none" w:sz="0" w:space="0" w:color="auto"/>
          </w:divBdr>
        </w:div>
        <w:div w:id="1653558914">
          <w:marLeft w:val="720"/>
          <w:marRight w:val="0"/>
          <w:marTop w:val="0"/>
          <w:marBottom w:val="120"/>
          <w:divBdr>
            <w:top w:val="none" w:sz="0" w:space="0" w:color="auto"/>
            <w:left w:val="none" w:sz="0" w:space="0" w:color="auto"/>
            <w:bottom w:val="none" w:sz="0" w:space="0" w:color="auto"/>
            <w:right w:val="none" w:sz="0" w:space="0" w:color="auto"/>
          </w:divBdr>
        </w:div>
        <w:div w:id="2080471805">
          <w:marLeft w:val="720"/>
          <w:marRight w:val="0"/>
          <w:marTop w:val="0"/>
          <w:marBottom w:val="120"/>
          <w:divBdr>
            <w:top w:val="none" w:sz="0" w:space="0" w:color="auto"/>
            <w:left w:val="none" w:sz="0" w:space="0" w:color="auto"/>
            <w:bottom w:val="none" w:sz="0" w:space="0" w:color="auto"/>
            <w:right w:val="none" w:sz="0" w:space="0" w:color="auto"/>
          </w:divBdr>
        </w:div>
      </w:divsChild>
    </w:div>
    <w:div w:id="1185096940">
      <w:bodyDiv w:val="1"/>
      <w:marLeft w:val="0"/>
      <w:marRight w:val="0"/>
      <w:marTop w:val="0"/>
      <w:marBottom w:val="0"/>
      <w:divBdr>
        <w:top w:val="none" w:sz="0" w:space="0" w:color="auto"/>
        <w:left w:val="none" w:sz="0" w:space="0" w:color="auto"/>
        <w:bottom w:val="none" w:sz="0" w:space="0" w:color="auto"/>
        <w:right w:val="none" w:sz="0" w:space="0" w:color="auto"/>
      </w:divBdr>
    </w:div>
    <w:div w:id="1192692687">
      <w:bodyDiv w:val="1"/>
      <w:marLeft w:val="0"/>
      <w:marRight w:val="0"/>
      <w:marTop w:val="0"/>
      <w:marBottom w:val="0"/>
      <w:divBdr>
        <w:top w:val="none" w:sz="0" w:space="0" w:color="auto"/>
        <w:left w:val="none" w:sz="0" w:space="0" w:color="auto"/>
        <w:bottom w:val="none" w:sz="0" w:space="0" w:color="auto"/>
        <w:right w:val="none" w:sz="0" w:space="0" w:color="auto"/>
      </w:divBdr>
      <w:divsChild>
        <w:div w:id="715587712">
          <w:marLeft w:val="720"/>
          <w:marRight w:val="0"/>
          <w:marTop w:val="0"/>
          <w:marBottom w:val="120"/>
          <w:divBdr>
            <w:top w:val="none" w:sz="0" w:space="0" w:color="auto"/>
            <w:left w:val="none" w:sz="0" w:space="0" w:color="auto"/>
            <w:bottom w:val="none" w:sz="0" w:space="0" w:color="auto"/>
            <w:right w:val="none" w:sz="0" w:space="0" w:color="auto"/>
          </w:divBdr>
        </w:div>
        <w:div w:id="865289357">
          <w:marLeft w:val="720"/>
          <w:marRight w:val="0"/>
          <w:marTop w:val="0"/>
          <w:marBottom w:val="120"/>
          <w:divBdr>
            <w:top w:val="none" w:sz="0" w:space="0" w:color="auto"/>
            <w:left w:val="none" w:sz="0" w:space="0" w:color="auto"/>
            <w:bottom w:val="none" w:sz="0" w:space="0" w:color="auto"/>
            <w:right w:val="none" w:sz="0" w:space="0" w:color="auto"/>
          </w:divBdr>
        </w:div>
        <w:div w:id="2101682767">
          <w:marLeft w:val="720"/>
          <w:marRight w:val="0"/>
          <w:marTop w:val="0"/>
          <w:marBottom w:val="120"/>
          <w:divBdr>
            <w:top w:val="none" w:sz="0" w:space="0" w:color="auto"/>
            <w:left w:val="none" w:sz="0" w:space="0" w:color="auto"/>
            <w:bottom w:val="none" w:sz="0" w:space="0" w:color="auto"/>
            <w:right w:val="none" w:sz="0" w:space="0" w:color="auto"/>
          </w:divBdr>
        </w:div>
      </w:divsChild>
    </w:div>
    <w:div w:id="1199203276">
      <w:bodyDiv w:val="1"/>
      <w:marLeft w:val="0"/>
      <w:marRight w:val="0"/>
      <w:marTop w:val="0"/>
      <w:marBottom w:val="0"/>
      <w:divBdr>
        <w:top w:val="none" w:sz="0" w:space="0" w:color="auto"/>
        <w:left w:val="none" w:sz="0" w:space="0" w:color="auto"/>
        <w:bottom w:val="none" w:sz="0" w:space="0" w:color="auto"/>
        <w:right w:val="none" w:sz="0" w:space="0" w:color="auto"/>
      </w:divBdr>
    </w:div>
    <w:div w:id="1209607985">
      <w:bodyDiv w:val="1"/>
      <w:marLeft w:val="0"/>
      <w:marRight w:val="0"/>
      <w:marTop w:val="0"/>
      <w:marBottom w:val="0"/>
      <w:divBdr>
        <w:top w:val="none" w:sz="0" w:space="0" w:color="auto"/>
        <w:left w:val="none" w:sz="0" w:space="0" w:color="auto"/>
        <w:bottom w:val="none" w:sz="0" w:space="0" w:color="auto"/>
        <w:right w:val="none" w:sz="0" w:space="0" w:color="auto"/>
      </w:divBdr>
    </w:div>
    <w:div w:id="1230188193">
      <w:bodyDiv w:val="1"/>
      <w:marLeft w:val="0"/>
      <w:marRight w:val="0"/>
      <w:marTop w:val="0"/>
      <w:marBottom w:val="0"/>
      <w:divBdr>
        <w:top w:val="none" w:sz="0" w:space="0" w:color="auto"/>
        <w:left w:val="none" w:sz="0" w:space="0" w:color="auto"/>
        <w:bottom w:val="none" w:sz="0" w:space="0" w:color="auto"/>
        <w:right w:val="none" w:sz="0" w:space="0" w:color="auto"/>
      </w:divBdr>
      <w:divsChild>
        <w:div w:id="298266285">
          <w:marLeft w:val="547"/>
          <w:marRight w:val="0"/>
          <w:marTop w:val="0"/>
          <w:marBottom w:val="120"/>
          <w:divBdr>
            <w:top w:val="none" w:sz="0" w:space="0" w:color="auto"/>
            <w:left w:val="none" w:sz="0" w:space="0" w:color="auto"/>
            <w:bottom w:val="none" w:sz="0" w:space="0" w:color="auto"/>
            <w:right w:val="none" w:sz="0" w:space="0" w:color="auto"/>
          </w:divBdr>
        </w:div>
        <w:div w:id="450973896">
          <w:marLeft w:val="547"/>
          <w:marRight w:val="0"/>
          <w:marTop w:val="0"/>
          <w:marBottom w:val="120"/>
          <w:divBdr>
            <w:top w:val="none" w:sz="0" w:space="0" w:color="auto"/>
            <w:left w:val="none" w:sz="0" w:space="0" w:color="auto"/>
            <w:bottom w:val="none" w:sz="0" w:space="0" w:color="auto"/>
            <w:right w:val="none" w:sz="0" w:space="0" w:color="auto"/>
          </w:divBdr>
        </w:div>
        <w:div w:id="855538602">
          <w:marLeft w:val="547"/>
          <w:marRight w:val="0"/>
          <w:marTop w:val="0"/>
          <w:marBottom w:val="120"/>
          <w:divBdr>
            <w:top w:val="none" w:sz="0" w:space="0" w:color="auto"/>
            <w:left w:val="none" w:sz="0" w:space="0" w:color="auto"/>
            <w:bottom w:val="none" w:sz="0" w:space="0" w:color="auto"/>
            <w:right w:val="none" w:sz="0" w:space="0" w:color="auto"/>
          </w:divBdr>
        </w:div>
        <w:div w:id="1234852099">
          <w:marLeft w:val="547"/>
          <w:marRight w:val="0"/>
          <w:marTop w:val="0"/>
          <w:marBottom w:val="120"/>
          <w:divBdr>
            <w:top w:val="none" w:sz="0" w:space="0" w:color="auto"/>
            <w:left w:val="none" w:sz="0" w:space="0" w:color="auto"/>
            <w:bottom w:val="none" w:sz="0" w:space="0" w:color="auto"/>
            <w:right w:val="none" w:sz="0" w:space="0" w:color="auto"/>
          </w:divBdr>
        </w:div>
        <w:div w:id="2112386913">
          <w:marLeft w:val="547"/>
          <w:marRight w:val="0"/>
          <w:marTop w:val="0"/>
          <w:marBottom w:val="120"/>
          <w:divBdr>
            <w:top w:val="none" w:sz="0" w:space="0" w:color="auto"/>
            <w:left w:val="none" w:sz="0" w:space="0" w:color="auto"/>
            <w:bottom w:val="none" w:sz="0" w:space="0" w:color="auto"/>
            <w:right w:val="none" w:sz="0" w:space="0" w:color="auto"/>
          </w:divBdr>
        </w:div>
      </w:divsChild>
    </w:div>
    <w:div w:id="1239829090">
      <w:bodyDiv w:val="1"/>
      <w:marLeft w:val="0"/>
      <w:marRight w:val="0"/>
      <w:marTop w:val="0"/>
      <w:marBottom w:val="0"/>
      <w:divBdr>
        <w:top w:val="none" w:sz="0" w:space="0" w:color="auto"/>
        <w:left w:val="none" w:sz="0" w:space="0" w:color="auto"/>
        <w:bottom w:val="none" w:sz="0" w:space="0" w:color="auto"/>
        <w:right w:val="none" w:sz="0" w:space="0" w:color="auto"/>
      </w:divBdr>
    </w:div>
    <w:div w:id="1243104857">
      <w:bodyDiv w:val="1"/>
      <w:marLeft w:val="0"/>
      <w:marRight w:val="0"/>
      <w:marTop w:val="0"/>
      <w:marBottom w:val="0"/>
      <w:divBdr>
        <w:top w:val="none" w:sz="0" w:space="0" w:color="auto"/>
        <w:left w:val="none" w:sz="0" w:space="0" w:color="auto"/>
        <w:bottom w:val="none" w:sz="0" w:space="0" w:color="auto"/>
        <w:right w:val="none" w:sz="0" w:space="0" w:color="auto"/>
      </w:divBdr>
    </w:div>
    <w:div w:id="1257129036">
      <w:bodyDiv w:val="1"/>
      <w:marLeft w:val="0"/>
      <w:marRight w:val="0"/>
      <w:marTop w:val="0"/>
      <w:marBottom w:val="0"/>
      <w:divBdr>
        <w:top w:val="none" w:sz="0" w:space="0" w:color="auto"/>
        <w:left w:val="none" w:sz="0" w:space="0" w:color="auto"/>
        <w:bottom w:val="none" w:sz="0" w:space="0" w:color="auto"/>
        <w:right w:val="none" w:sz="0" w:space="0" w:color="auto"/>
      </w:divBdr>
    </w:div>
    <w:div w:id="1269005367">
      <w:bodyDiv w:val="1"/>
      <w:marLeft w:val="0"/>
      <w:marRight w:val="0"/>
      <w:marTop w:val="0"/>
      <w:marBottom w:val="0"/>
      <w:divBdr>
        <w:top w:val="none" w:sz="0" w:space="0" w:color="auto"/>
        <w:left w:val="none" w:sz="0" w:space="0" w:color="auto"/>
        <w:bottom w:val="none" w:sz="0" w:space="0" w:color="auto"/>
        <w:right w:val="none" w:sz="0" w:space="0" w:color="auto"/>
      </w:divBdr>
    </w:div>
    <w:div w:id="1324817400">
      <w:bodyDiv w:val="1"/>
      <w:marLeft w:val="0"/>
      <w:marRight w:val="0"/>
      <w:marTop w:val="0"/>
      <w:marBottom w:val="0"/>
      <w:divBdr>
        <w:top w:val="none" w:sz="0" w:space="0" w:color="auto"/>
        <w:left w:val="none" w:sz="0" w:space="0" w:color="auto"/>
        <w:bottom w:val="none" w:sz="0" w:space="0" w:color="auto"/>
        <w:right w:val="none" w:sz="0" w:space="0" w:color="auto"/>
      </w:divBdr>
    </w:div>
    <w:div w:id="1328097633">
      <w:bodyDiv w:val="1"/>
      <w:marLeft w:val="0"/>
      <w:marRight w:val="0"/>
      <w:marTop w:val="0"/>
      <w:marBottom w:val="0"/>
      <w:divBdr>
        <w:top w:val="none" w:sz="0" w:space="0" w:color="auto"/>
        <w:left w:val="none" w:sz="0" w:space="0" w:color="auto"/>
        <w:bottom w:val="none" w:sz="0" w:space="0" w:color="auto"/>
        <w:right w:val="none" w:sz="0" w:space="0" w:color="auto"/>
      </w:divBdr>
      <w:divsChild>
        <w:div w:id="84765506">
          <w:marLeft w:val="1440"/>
          <w:marRight w:val="0"/>
          <w:marTop w:val="0"/>
          <w:marBottom w:val="120"/>
          <w:divBdr>
            <w:top w:val="none" w:sz="0" w:space="0" w:color="auto"/>
            <w:left w:val="none" w:sz="0" w:space="0" w:color="auto"/>
            <w:bottom w:val="none" w:sz="0" w:space="0" w:color="auto"/>
            <w:right w:val="none" w:sz="0" w:space="0" w:color="auto"/>
          </w:divBdr>
        </w:div>
        <w:div w:id="203836681">
          <w:marLeft w:val="1440"/>
          <w:marRight w:val="0"/>
          <w:marTop w:val="0"/>
          <w:marBottom w:val="120"/>
          <w:divBdr>
            <w:top w:val="none" w:sz="0" w:space="0" w:color="auto"/>
            <w:left w:val="none" w:sz="0" w:space="0" w:color="auto"/>
            <w:bottom w:val="none" w:sz="0" w:space="0" w:color="auto"/>
            <w:right w:val="none" w:sz="0" w:space="0" w:color="auto"/>
          </w:divBdr>
        </w:div>
        <w:div w:id="282856038">
          <w:marLeft w:val="720"/>
          <w:marRight w:val="0"/>
          <w:marTop w:val="0"/>
          <w:marBottom w:val="120"/>
          <w:divBdr>
            <w:top w:val="none" w:sz="0" w:space="0" w:color="auto"/>
            <w:left w:val="none" w:sz="0" w:space="0" w:color="auto"/>
            <w:bottom w:val="none" w:sz="0" w:space="0" w:color="auto"/>
            <w:right w:val="none" w:sz="0" w:space="0" w:color="auto"/>
          </w:divBdr>
        </w:div>
        <w:div w:id="889877281">
          <w:marLeft w:val="720"/>
          <w:marRight w:val="0"/>
          <w:marTop w:val="0"/>
          <w:marBottom w:val="120"/>
          <w:divBdr>
            <w:top w:val="none" w:sz="0" w:space="0" w:color="auto"/>
            <w:left w:val="none" w:sz="0" w:space="0" w:color="auto"/>
            <w:bottom w:val="none" w:sz="0" w:space="0" w:color="auto"/>
            <w:right w:val="none" w:sz="0" w:space="0" w:color="auto"/>
          </w:divBdr>
        </w:div>
        <w:div w:id="929240170">
          <w:marLeft w:val="1440"/>
          <w:marRight w:val="0"/>
          <w:marTop w:val="0"/>
          <w:marBottom w:val="120"/>
          <w:divBdr>
            <w:top w:val="none" w:sz="0" w:space="0" w:color="auto"/>
            <w:left w:val="none" w:sz="0" w:space="0" w:color="auto"/>
            <w:bottom w:val="none" w:sz="0" w:space="0" w:color="auto"/>
            <w:right w:val="none" w:sz="0" w:space="0" w:color="auto"/>
          </w:divBdr>
        </w:div>
        <w:div w:id="992952884">
          <w:marLeft w:val="720"/>
          <w:marRight w:val="0"/>
          <w:marTop w:val="0"/>
          <w:marBottom w:val="120"/>
          <w:divBdr>
            <w:top w:val="none" w:sz="0" w:space="0" w:color="auto"/>
            <w:left w:val="none" w:sz="0" w:space="0" w:color="auto"/>
            <w:bottom w:val="none" w:sz="0" w:space="0" w:color="auto"/>
            <w:right w:val="none" w:sz="0" w:space="0" w:color="auto"/>
          </w:divBdr>
        </w:div>
        <w:div w:id="1123160804">
          <w:marLeft w:val="1440"/>
          <w:marRight w:val="0"/>
          <w:marTop w:val="0"/>
          <w:marBottom w:val="120"/>
          <w:divBdr>
            <w:top w:val="none" w:sz="0" w:space="0" w:color="auto"/>
            <w:left w:val="none" w:sz="0" w:space="0" w:color="auto"/>
            <w:bottom w:val="none" w:sz="0" w:space="0" w:color="auto"/>
            <w:right w:val="none" w:sz="0" w:space="0" w:color="auto"/>
          </w:divBdr>
        </w:div>
        <w:div w:id="1172453346">
          <w:marLeft w:val="1440"/>
          <w:marRight w:val="0"/>
          <w:marTop w:val="0"/>
          <w:marBottom w:val="120"/>
          <w:divBdr>
            <w:top w:val="none" w:sz="0" w:space="0" w:color="auto"/>
            <w:left w:val="none" w:sz="0" w:space="0" w:color="auto"/>
            <w:bottom w:val="none" w:sz="0" w:space="0" w:color="auto"/>
            <w:right w:val="none" w:sz="0" w:space="0" w:color="auto"/>
          </w:divBdr>
        </w:div>
        <w:div w:id="1346245863">
          <w:marLeft w:val="1440"/>
          <w:marRight w:val="0"/>
          <w:marTop w:val="0"/>
          <w:marBottom w:val="120"/>
          <w:divBdr>
            <w:top w:val="none" w:sz="0" w:space="0" w:color="auto"/>
            <w:left w:val="none" w:sz="0" w:space="0" w:color="auto"/>
            <w:bottom w:val="none" w:sz="0" w:space="0" w:color="auto"/>
            <w:right w:val="none" w:sz="0" w:space="0" w:color="auto"/>
          </w:divBdr>
        </w:div>
        <w:div w:id="1593196297">
          <w:marLeft w:val="1440"/>
          <w:marRight w:val="0"/>
          <w:marTop w:val="0"/>
          <w:marBottom w:val="120"/>
          <w:divBdr>
            <w:top w:val="none" w:sz="0" w:space="0" w:color="auto"/>
            <w:left w:val="none" w:sz="0" w:space="0" w:color="auto"/>
            <w:bottom w:val="none" w:sz="0" w:space="0" w:color="auto"/>
            <w:right w:val="none" w:sz="0" w:space="0" w:color="auto"/>
          </w:divBdr>
        </w:div>
      </w:divsChild>
    </w:div>
    <w:div w:id="1370374696">
      <w:bodyDiv w:val="1"/>
      <w:marLeft w:val="0"/>
      <w:marRight w:val="0"/>
      <w:marTop w:val="0"/>
      <w:marBottom w:val="0"/>
      <w:divBdr>
        <w:top w:val="none" w:sz="0" w:space="0" w:color="auto"/>
        <w:left w:val="none" w:sz="0" w:space="0" w:color="auto"/>
        <w:bottom w:val="none" w:sz="0" w:space="0" w:color="auto"/>
        <w:right w:val="none" w:sz="0" w:space="0" w:color="auto"/>
      </w:divBdr>
    </w:div>
    <w:div w:id="1396465599">
      <w:bodyDiv w:val="1"/>
      <w:marLeft w:val="0"/>
      <w:marRight w:val="0"/>
      <w:marTop w:val="0"/>
      <w:marBottom w:val="0"/>
      <w:divBdr>
        <w:top w:val="none" w:sz="0" w:space="0" w:color="auto"/>
        <w:left w:val="none" w:sz="0" w:space="0" w:color="auto"/>
        <w:bottom w:val="none" w:sz="0" w:space="0" w:color="auto"/>
        <w:right w:val="none" w:sz="0" w:space="0" w:color="auto"/>
      </w:divBdr>
    </w:div>
    <w:div w:id="1434786266">
      <w:bodyDiv w:val="1"/>
      <w:marLeft w:val="0"/>
      <w:marRight w:val="0"/>
      <w:marTop w:val="0"/>
      <w:marBottom w:val="0"/>
      <w:divBdr>
        <w:top w:val="none" w:sz="0" w:space="0" w:color="auto"/>
        <w:left w:val="none" w:sz="0" w:space="0" w:color="auto"/>
        <w:bottom w:val="none" w:sz="0" w:space="0" w:color="auto"/>
        <w:right w:val="none" w:sz="0" w:space="0" w:color="auto"/>
      </w:divBdr>
    </w:div>
    <w:div w:id="1461147226">
      <w:bodyDiv w:val="1"/>
      <w:marLeft w:val="0"/>
      <w:marRight w:val="0"/>
      <w:marTop w:val="0"/>
      <w:marBottom w:val="0"/>
      <w:divBdr>
        <w:top w:val="none" w:sz="0" w:space="0" w:color="auto"/>
        <w:left w:val="none" w:sz="0" w:space="0" w:color="auto"/>
        <w:bottom w:val="none" w:sz="0" w:space="0" w:color="auto"/>
        <w:right w:val="none" w:sz="0" w:space="0" w:color="auto"/>
      </w:divBdr>
    </w:div>
    <w:div w:id="1493451583">
      <w:bodyDiv w:val="1"/>
      <w:marLeft w:val="0"/>
      <w:marRight w:val="0"/>
      <w:marTop w:val="0"/>
      <w:marBottom w:val="0"/>
      <w:divBdr>
        <w:top w:val="none" w:sz="0" w:space="0" w:color="auto"/>
        <w:left w:val="none" w:sz="0" w:space="0" w:color="auto"/>
        <w:bottom w:val="none" w:sz="0" w:space="0" w:color="auto"/>
        <w:right w:val="none" w:sz="0" w:space="0" w:color="auto"/>
      </w:divBdr>
      <w:divsChild>
        <w:div w:id="120534281">
          <w:marLeft w:val="720"/>
          <w:marRight w:val="0"/>
          <w:marTop w:val="0"/>
          <w:marBottom w:val="120"/>
          <w:divBdr>
            <w:top w:val="none" w:sz="0" w:space="0" w:color="auto"/>
            <w:left w:val="none" w:sz="0" w:space="0" w:color="auto"/>
            <w:bottom w:val="none" w:sz="0" w:space="0" w:color="auto"/>
            <w:right w:val="none" w:sz="0" w:space="0" w:color="auto"/>
          </w:divBdr>
        </w:div>
        <w:div w:id="367529179">
          <w:marLeft w:val="720"/>
          <w:marRight w:val="0"/>
          <w:marTop w:val="0"/>
          <w:marBottom w:val="120"/>
          <w:divBdr>
            <w:top w:val="none" w:sz="0" w:space="0" w:color="auto"/>
            <w:left w:val="none" w:sz="0" w:space="0" w:color="auto"/>
            <w:bottom w:val="none" w:sz="0" w:space="0" w:color="auto"/>
            <w:right w:val="none" w:sz="0" w:space="0" w:color="auto"/>
          </w:divBdr>
        </w:div>
        <w:div w:id="807892512">
          <w:marLeft w:val="720"/>
          <w:marRight w:val="0"/>
          <w:marTop w:val="0"/>
          <w:marBottom w:val="120"/>
          <w:divBdr>
            <w:top w:val="none" w:sz="0" w:space="0" w:color="auto"/>
            <w:left w:val="none" w:sz="0" w:space="0" w:color="auto"/>
            <w:bottom w:val="none" w:sz="0" w:space="0" w:color="auto"/>
            <w:right w:val="none" w:sz="0" w:space="0" w:color="auto"/>
          </w:divBdr>
        </w:div>
        <w:div w:id="1014695255">
          <w:marLeft w:val="1886"/>
          <w:marRight w:val="0"/>
          <w:marTop w:val="130"/>
          <w:marBottom w:val="120"/>
          <w:divBdr>
            <w:top w:val="none" w:sz="0" w:space="0" w:color="auto"/>
            <w:left w:val="none" w:sz="0" w:space="0" w:color="auto"/>
            <w:bottom w:val="none" w:sz="0" w:space="0" w:color="auto"/>
            <w:right w:val="none" w:sz="0" w:space="0" w:color="auto"/>
          </w:divBdr>
        </w:div>
        <w:div w:id="1771896905">
          <w:marLeft w:val="1886"/>
          <w:marRight w:val="0"/>
          <w:marTop w:val="130"/>
          <w:marBottom w:val="0"/>
          <w:divBdr>
            <w:top w:val="none" w:sz="0" w:space="0" w:color="auto"/>
            <w:left w:val="none" w:sz="0" w:space="0" w:color="auto"/>
            <w:bottom w:val="none" w:sz="0" w:space="0" w:color="auto"/>
            <w:right w:val="none" w:sz="0" w:space="0" w:color="auto"/>
          </w:divBdr>
        </w:div>
      </w:divsChild>
    </w:div>
    <w:div w:id="1495144656">
      <w:bodyDiv w:val="1"/>
      <w:marLeft w:val="0"/>
      <w:marRight w:val="0"/>
      <w:marTop w:val="0"/>
      <w:marBottom w:val="0"/>
      <w:divBdr>
        <w:top w:val="none" w:sz="0" w:space="0" w:color="auto"/>
        <w:left w:val="none" w:sz="0" w:space="0" w:color="auto"/>
        <w:bottom w:val="none" w:sz="0" w:space="0" w:color="auto"/>
        <w:right w:val="none" w:sz="0" w:space="0" w:color="auto"/>
      </w:divBdr>
    </w:div>
    <w:div w:id="1501311155">
      <w:bodyDiv w:val="1"/>
      <w:marLeft w:val="0"/>
      <w:marRight w:val="0"/>
      <w:marTop w:val="0"/>
      <w:marBottom w:val="0"/>
      <w:divBdr>
        <w:top w:val="none" w:sz="0" w:space="0" w:color="auto"/>
        <w:left w:val="none" w:sz="0" w:space="0" w:color="auto"/>
        <w:bottom w:val="none" w:sz="0" w:space="0" w:color="auto"/>
        <w:right w:val="none" w:sz="0" w:space="0" w:color="auto"/>
      </w:divBdr>
    </w:div>
    <w:div w:id="1501696869">
      <w:bodyDiv w:val="1"/>
      <w:marLeft w:val="0"/>
      <w:marRight w:val="0"/>
      <w:marTop w:val="0"/>
      <w:marBottom w:val="0"/>
      <w:divBdr>
        <w:top w:val="none" w:sz="0" w:space="0" w:color="auto"/>
        <w:left w:val="none" w:sz="0" w:space="0" w:color="auto"/>
        <w:bottom w:val="none" w:sz="0" w:space="0" w:color="auto"/>
        <w:right w:val="none" w:sz="0" w:space="0" w:color="auto"/>
      </w:divBdr>
    </w:div>
    <w:div w:id="1538659235">
      <w:bodyDiv w:val="1"/>
      <w:marLeft w:val="0"/>
      <w:marRight w:val="0"/>
      <w:marTop w:val="0"/>
      <w:marBottom w:val="0"/>
      <w:divBdr>
        <w:top w:val="none" w:sz="0" w:space="0" w:color="auto"/>
        <w:left w:val="none" w:sz="0" w:space="0" w:color="auto"/>
        <w:bottom w:val="none" w:sz="0" w:space="0" w:color="auto"/>
        <w:right w:val="none" w:sz="0" w:space="0" w:color="auto"/>
      </w:divBdr>
    </w:div>
    <w:div w:id="1572276302">
      <w:bodyDiv w:val="1"/>
      <w:marLeft w:val="0"/>
      <w:marRight w:val="0"/>
      <w:marTop w:val="0"/>
      <w:marBottom w:val="0"/>
      <w:divBdr>
        <w:top w:val="none" w:sz="0" w:space="0" w:color="auto"/>
        <w:left w:val="none" w:sz="0" w:space="0" w:color="auto"/>
        <w:bottom w:val="none" w:sz="0" w:space="0" w:color="auto"/>
        <w:right w:val="none" w:sz="0" w:space="0" w:color="auto"/>
      </w:divBdr>
    </w:div>
    <w:div w:id="1576357428">
      <w:bodyDiv w:val="1"/>
      <w:marLeft w:val="0"/>
      <w:marRight w:val="0"/>
      <w:marTop w:val="0"/>
      <w:marBottom w:val="0"/>
      <w:divBdr>
        <w:top w:val="none" w:sz="0" w:space="0" w:color="auto"/>
        <w:left w:val="none" w:sz="0" w:space="0" w:color="auto"/>
        <w:bottom w:val="none" w:sz="0" w:space="0" w:color="auto"/>
        <w:right w:val="none" w:sz="0" w:space="0" w:color="auto"/>
      </w:divBdr>
    </w:div>
    <w:div w:id="1576936175">
      <w:bodyDiv w:val="1"/>
      <w:marLeft w:val="0"/>
      <w:marRight w:val="0"/>
      <w:marTop w:val="0"/>
      <w:marBottom w:val="0"/>
      <w:divBdr>
        <w:top w:val="none" w:sz="0" w:space="0" w:color="auto"/>
        <w:left w:val="none" w:sz="0" w:space="0" w:color="auto"/>
        <w:bottom w:val="none" w:sz="0" w:space="0" w:color="auto"/>
        <w:right w:val="none" w:sz="0" w:space="0" w:color="auto"/>
      </w:divBdr>
    </w:div>
    <w:div w:id="1577007498">
      <w:bodyDiv w:val="1"/>
      <w:marLeft w:val="0"/>
      <w:marRight w:val="0"/>
      <w:marTop w:val="0"/>
      <w:marBottom w:val="0"/>
      <w:divBdr>
        <w:top w:val="none" w:sz="0" w:space="0" w:color="auto"/>
        <w:left w:val="none" w:sz="0" w:space="0" w:color="auto"/>
        <w:bottom w:val="none" w:sz="0" w:space="0" w:color="auto"/>
        <w:right w:val="none" w:sz="0" w:space="0" w:color="auto"/>
      </w:divBdr>
    </w:div>
    <w:div w:id="1600721982">
      <w:bodyDiv w:val="1"/>
      <w:marLeft w:val="0"/>
      <w:marRight w:val="0"/>
      <w:marTop w:val="0"/>
      <w:marBottom w:val="0"/>
      <w:divBdr>
        <w:top w:val="none" w:sz="0" w:space="0" w:color="auto"/>
        <w:left w:val="none" w:sz="0" w:space="0" w:color="auto"/>
        <w:bottom w:val="none" w:sz="0" w:space="0" w:color="auto"/>
        <w:right w:val="none" w:sz="0" w:space="0" w:color="auto"/>
      </w:divBdr>
    </w:div>
    <w:div w:id="1612513797">
      <w:bodyDiv w:val="1"/>
      <w:marLeft w:val="0"/>
      <w:marRight w:val="0"/>
      <w:marTop w:val="0"/>
      <w:marBottom w:val="0"/>
      <w:divBdr>
        <w:top w:val="none" w:sz="0" w:space="0" w:color="auto"/>
        <w:left w:val="none" w:sz="0" w:space="0" w:color="auto"/>
        <w:bottom w:val="none" w:sz="0" w:space="0" w:color="auto"/>
        <w:right w:val="none" w:sz="0" w:space="0" w:color="auto"/>
      </w:divBdr>
    </w:div>
    <w:div w:id="1613785696">
      <w:bodyDiv w:val="1"/>
      <w:marLeft w:val="0"/>
      <w:marRight w:val="0"/>
      <w:marTop w:val="0"/>
      <w:marBottom w:val="0"/>
      <w:divBdr>
        <w:top w:val="none" w:sz="0" w:space="0" w:color="auto"/>
        <w:left w:val="none" w:sz="0" w:space="0" w:color="auto"/>
        <w:bottom w:val="none" w:sz="0" w:space="0" w:color="auto"/>
        <w:right w:val="none" w:sz="0" w:space="0" w:color="auto"/>
      </w:divBdr>
    </w:div>
    <w:div w:id="1632441471">
      <w:bodyDiv w:val="1"/>
      <w:marLeft w:val="0"/>
      <w:marRight w:val="0"/>
      <w:marTop w:val="0"/>
      <w:marBottom w:val="0"/>
      <w:divBdr>
        <w:top w:val="none" w:sz="0" w:space="0" w:color="auto"/>
        <w:left w:val="none" w:sz="0" w:space="0" w:color="auto"/>
        <w:bottom w:val="none" w:sz="0" w:space="0" w:color="auto"/>
        <w:right w:val="none" w:sz="0" w:space="0" w:color="auto"/>
      </w:divBdr>
    </w:div>
    <w:div w:id="1670056698">
      <w:bodyDiv w:val="1"/>
      <w:marLeft w:val="0"/>
      <w:marRight w:val="0"/>
      <w:marTop w:val="0"/>
      <w:marBottom w:val="0"/>
      <w:divBdr>
        <w:top w:val="none" w:sz="0" w:space="0" w:color="auto"/>
        <w:left w:val="none" w:sz="0" w:space="0" w:color="auto"/>
        <w:bottom w:val="none" w:sz="0" w:space="0" w:color="auto"/>
        <w:right w:val="none" w:sz="0" w:space="0" w:color="auto"/>
      </w:divBdr>
    </w:div>
    <w:div w:id="1670911160">
      <w:bodyDiv w:val="1"/>
      <w:marLeft w:val="0"/>
      <w:marRight w:val="0"/>
      <w:marTop w:val="0"/>
      <w:marBottom w:val="0"/>
      <w:divBdr>
        <w:top w:val="none" w:sz="0" w:space="0" w:color="auto"/>
        <w:left w:val="none" w:sz="0" w:space="0" w:color="auto"/>
        <w:bottom w:val="none" w:sz="0" w:space="0" w:color="auto"/>
        <w:right w:val="none" w:sz="0" w:space="0" w:color="auto"/>
      </w:divBdr>
    </w:div>
    <w:div w:id="1714114185">
      <w:bodyDiv w:val="1"/>
      <w:marLeft w:val="0"/>
      <w:marRight w:val="0"/>
      <w:marTop w:val="0"/>
      <w:marBottom w:val="0"/>
      <w:divBdr>
        <w:top w:val="none" w:sz="0" w:space="0" w:color="auto"/>
        <w:left w:val="none" w:sz="0" w:space="0" w:color="auto"/>
        <w:bottom w:val="none" w:sz="0" w:space="0" w:color="auto"/>
        <w:right w:val="none" w:sz="0" w:space="0" w:color="auto"/>
      </w:divBdr>
    </w:div>
    <w:div w:id="1751542535">
      <w:bodyDiv w:val="1"/>
      <w:marLeft w:val="0"/>
      <w:marRight w:val="0"/>
      <w:marTop w:val="0"/>
      <w:marBottom w:val="0"/>
      <w:divBdr>
        <w:top w:val="none" w:sz="0" w:space="0" w:color="auto"/>
        <w:left w:val="none" w:sz="0" w:space="0" w:color="auto"/>
        <w:bottom w:val="none" w:sz="0" w:space="0" w:color="auto"/>
        <w:right w:val="none" w:sz="0" w:space="0" w:color="auto"/>
      </w:divBdr>
      <w:divsChild>
        <w:div w:id="75908583">
          <w:marLeft w:val="1440"/>
          <w:marRight w:val="0"/>
          <w:marTop w:val="0"/>
          <w:marBottom w:val="120"/>
          <w:divBdr>
            <w:top w:val="none" w:sz="0" w:space="0" w:color="auto"/>
            <w:left w:val="none" w:sz="0" w:space="0" w:color="auto"/>
            <w:bottom w:val="none" w:sz="0" w:space="0" w:color="auto"/>
            <w:right w:val="none" w:sz="0" w:space="0" w:color="auto"/>
          </w:divBdr>
        </w:div>
        <w:div w:id="146478900">
          <w:marLeft w:val="1440"/>
          <w:marRight w:val="0"/>
          <w:marTop w:val="0"/>
          <w:marBottom w:val="120"/>
          <w:divBdr>
            <w:top w:val="none" w:sz="0" w:space="0" w:color="auto"/>
            <w:left w:val="none" w:sz="0" w:space="0" w:color="auto"/>
            <w:bottom w:val="none" w:sz="0" w:space="0" w:color="auto"/>
            <w:right w:val="none" w:sz="0" w:space="0" w:color="auto"/>
          </w:divBdr>
        </w:div>
        <w:div w:id="198128783">
          <w:marLeft w:val="1440"/>
          <w:marRight w:val="0"/>
          <w:marTop w:val="0"/>
          <w:marBottom w:val="120"/>
          <w:divBdr>
            <w:top w:val="none" w:sz="0" w:space="0" w:color="auto"/>
            <w:left w:val="none" w:sz="0" w:space="0" w:color="auto"/>
            <w:bottom w:val="none" w:sz="0" w:space="0" w:color="auto"/>
            <w:right w:val="none" w:sz="0" w:space="0" w:color="auto"/>
          </w:divBdr>
        </w:div>
        <w:div w:id="551035823">
          <w:marLeft w:val="720"/>
          <w:marRight w:val="0"/>
          <w:marTop w:val="0"/>
          <w:marBottom w:val="120"/>
          <w:divBdr>
            <w:top w:val="none" w:sz="0" w:space="0" w:color="auto"/>
            <w:left w:val="none" w:sz="0" w:space="0" w:color="auto"/>
            <w:bottom w:val="none" w:sz="0" w:space="0" w:color="auto"/>
            <w:right w:val="none" w:sz="0" w:space="0" w:color="auto"/>
          </w:divBdr>
        </w:div>
        <w:div w:id="781609906">
          <w:marLeft w:val="1440"/>
          <w:marRight w:val="0"/>
          <w:marTop w:val="0"/>
          <w:marBottom w:val="120"/>
          <w:divBdr>
            <w:top w:val="none" w:sz="0" w:space="0" w:color="auto"/>
            <w:left w:val="none" w:sz="0" w:space="0" w:color="auto"/>
            <w:bottom w:val="none" w:sz="0" w:space="0" w:color="auto"/>
            <w:right w:val="none" w:sz="0" w:space="0" w:color="auto"/>
          </w:divBdr>
        </w:div>
        <w:div w:id="1526094050">
          <w:marLeft w:val="720"/>
          <w:marRight w:val="0"/>
          <w:marTop w:val="0"/>
          <w:marBottom w:val="120"/>
          <w:divBdr>
            <w:top w:val="none" w:sz="0" w:space="0" w:color="auto"/>
            <w:left w:val="none" w:sz="0" w:space="0" w:color="auto"/>
            <w:bottom w:val="none" w:sz="0" w:space="0" w:color="auto"/>
            <w:right w:val="none" w:sz="0" w:space="0" w:color="auto"/>
          </w:divBdr>
        </w:div>
        <w:div w:id="1616982888">
          <w:marLeft w:val="1440"/>
          <w:marRight w:val="0"/>
          <w:marTop w:val="0"/>
          <w:marBottom w:val="120"/>
          <w:divBdr>
            <w:top w:val="none" w:sz="0" w:space="0" w:color="auto"/>
            <w:left w:val="none" w:sz="0" w:space="0" w:color="auto"/>
            <w:bottom w:val="none" w:sz="0" w:space="0" w:color="auto"/>
            <w:right w:val="none" w:sz="0" w:space="0" w:color="auto"/>
          </w:divBdr>
        </w:div>
        <w:div w:id="1720931124">
          <w:marLeft w:val="1440"/>
          <w:marRight w:val="0"/>
          <w:marTop w:val="0"/>
          <w:marBottom w:val="120"/>
          <w:divBdr>
            <w:top w:val="none" w:sz="0" w:space="0" w:color="auto"/>
            <w:left w:val="none" w:sz="0" w:space="0" w:color="auto"/>
            <w:bottom w:val="none" w:sz="0" w:space="0" w:color="auto"/>
            <w:right w:val="none" w:sz="0" w:space="0" w:color="auto"/>
          </w:divBdr>
        </w:div>
        <w:div w:id="1758557573">
          <w:marLeft w:val="1440"/>
          <w:marRight w:val="0"/>
          <w:marTop w:val="0"/>
          <w:marBottom w:val="120"/>
          <w:divBdr>
            <w:top w:val="none" w:sz="0" w:space="0" w:color="auto"/>
            <w:left w:val="none" w:sz="0" w:space="0" w:color="auto"/>
            <w:bottom w:val="none" w:sz="0" w:space="0" w:color="auto"/>
            <w:right w:val="none" w:sz="0" w:space="0" w:color="auto"/>
          </w:divBdr>
        </w:div>
        <w:div w:id="1772310914">
          <w:marLeft w:val="1440"/>
          <w:marRight w:val="0"/>
          <w:marTop w:val="0"/>
          <w:marBottom w:val="120"/>
          <w:divBdr>
            <w:top w:val="none" w:sz="0" w:space="0" w:color="auto"/>
            <w:left w:val="none" w:sz="0" w:space="0" w:color="auto"/>
            <w:bottom w:val="none" w:sz="0" w:space="0" w:color="auto"/>
            <w:right w:val="none" w:sz="0" w:space="0" w:color="auto"/>
          </w:divBdr>
        </w:div>
        <w:div w:id="1869757852">
          <w:marLeft w:val="720"/>
          <w:marRight w:val="0"/>
          <w:marTop w:val="0"/>
          <w:marBottom w:val="120"/>
          <w:divBdr>
            <w:top w:val="none" w:sz="0" w:space="0" w:color="auto"/>
            <w:left w:val="none" w:sz="0" w:space="0" w:color="auto"/>
            <w:bottom w:val="none" w:sz="0" w:space="0" w:color="auto"/>
            <w:right w:val="none" w:sz="0" w:space="0" w:color="auto"/>
          </w:divBdr>
        </w:div>
      </w:divsChild>
    </w:div>
    <w:div w:id="1800759872">
      <w:bodyDiv w:val="1"/>
      <w:marLeft w:val="0"/>
      <w:marRight w:val="0"/>
      <w:marTop w:val="0"/>
      <w:marBottom w:val="0"/>
      <w:divBdr>
        <w:top w:val="none" w:sz="0" w:space="0" w:color="auto"/>
        <w:left w:val="none" w:sz="0" w:space="0" w:color="auto"/>
        <w:bottom w:val="none" w:sz="0" w:space="0" w:color="auto"/>
        <w:right w:val="none" w:sz="0" w:space="0" w:color="auto"/>
      </w:divBdr>
    </w:div>
    <w:div w:id="1804738465">
      <w:bodyDiv w:val="1"/>
      <w:marLeft w:val="0"/>
      <w:marRight w:val="0"/>
      <w:marTop w:val="0"/>
      <w:marBottom w:val="0"/>
      <w:divBdr>
        <w:top w:val="none" w:sz="0" w:space="0" w:color="auto"/>
        <w:left w:val="none" w:sz="0" w:space="0" w:color="auto"/>
        <w:bottom w:val="none" w:sz="0" w:space="0" w:color="auto"/>
        <w:right w:val="none" w:sz="0" w:space="0" w:color="auto"/>
      </w:divBdr>
    </w:div>
    <w:div w:id="1809661314">
      <w:bodyDiv w:val="1"/>
      <w:marLeft w:val="0"/>
      <w:marRight w:val="0"/>
      <w:marTop w:val="0"/>
      <w:marBottom w:val="0"/>
      <w:divBdr>
        <w:top w:val="none" w:sz="0" w:space="0" w:color="auto"/>
        <w:left w:val="none" w:sz="0" w:space="0" w:color="auto"/>
        <w:bottom w:val="none" w:sz="0" w:space="0" w:color="auto"/>
        <w:right w:val="none" w:sz="0" w:space="0" w:color="auto"/>
      </w:divBdr>
    </w:div>
    <w:div w:id="1812096567">
      <w:bodyDiv w:val="1"/>
      <w:marLeft w:val="0"/>
      <w:marRight w:val="0"/>
      <w:marTop w:val="0"/>
      <w:marBottom w:val="0"/>
      <w:divBdr>
        <w:top w:val="none" w:sz="0" w:space="0" w:color="auto"/>
        <w:left w:val="none" w:sz="0" w:space="0" w:color="auto"/>
        <w:bottom w:val="none" w:sz="0" w:space="0" w:color="auto"/>
        <w:right w:val="none" w:sz="0" w:space="0" w:color="auto"/>
      </w:divBdr>
      <w:divsChild>
        <w:div w:id="840510269">
          <w:marLeft w:val="259"/>
          <w:marRight w:val="0"/>
          <w:marTop w:val="86"/>
          <w:marBottom w:val="0"/>
          <w:divBdr>
            <w:top w:val="none" w:sz="0" w:space="0" w:color="auto"/>
            <w:left w:val="none" w:sz="0" w:space="0" w:color="auto"/>
            <w:bottom w:val="none" w:sz="0" w:space="0" w:color="auto"/>
            <w:right w:val="none" w:sz="0" w:space="0" w:color="auto"/>
          </w:divBdr>
        </w:div>
        <w:div w:id="1612930877">
          <w:marLeft w:val="259"/>
          <w:marRight w:val="0"/>
          <w:marTop w:val="86"/>
          <w:marBottom w:val="0"/>
          <w:divBdr>
            <w:top w:val="none" w:sz="0" w:space="0" w:color="auto"/>
            <w:left w:val="none" w:sz="0" w:space="0" w:color="auto"/>
            <w:bottom w:val="none" w:sz="0" w:space="0" w:color="auto"/>
            <w:right w:val="none" w:sz="0" w:space="0" w:color="auto"/>
          </w:divBdr>
        </w:div>
        <w:div w:id="2124767980">
          <w:marLeft w:val="259"/>
          <w:marRight w:val="0"/>
          <w:marTop w:val="86"/>
          <w:marBottom w:val="0"/>
          <w:divBdr>
            <w:top w:val="none" w:sz="0" w:space="0" w:color="auto"/>
            <w:left w:val="none" w:sz="0" w:space="0" w:color="auto"/>
            <w:bottom w:val="none" w:sz="0" w:space="0" w:color="auto"/>
            <w:right w:val="none" w:sz="0" w:space="0" w:color="auto"/>
          </w:divBdr>
        </w:div>
        <w:div w:id="2135557333">
          <w:marLeft w:val="259"/>
          <w:marRight w:val="0"/>
          <w:marTop w:val="86"/>
          <w:marBottom w:val="0"/>
          <w:divBdr>
            <w:top w:val="none" w:sz="0" w:space="0" w:color="auto"/>
            <w:left w:val="none" w:sz="0" w:space="0" w:color="auto"/>
            <w:bottom w:val="none" w:sz="0" w:space="0" w:color="auto"/>
            <w:right w:val="none" w:sz="0" w:space="0" w:color="auto"/>
          </w:divBdr>
        </w:div>
      </w:divsChild>
    </w:div>
    <w:div w:id="1847012930">
      <w:bodyDiv w:val="1"/>
      <w:marLeft w:val="0"/>
      <w:marRight w:val="0"/>
      <w:marTop w:val="0"/>
      <w:marBottom w:val="0"/>
      <w:divBdr>
        <w:top w:val="none" w:sz="0" w:space="0" w:color="auto"/>
        <w:left w:val="none" w:sz="0" w:space="0" w:color="auto"/>
        <w:bottom w:val="none" w:sz="0" w:space="0" w:color="auto"/>
        <w:right w:val="none" w:sz="0" w:space="0" w:color="auto"/>
      </w:divBdr>
    </w:div>
    <w:div w:id="1869752628">
      <w:bodyDiv w:val="1"/>
      <w:marLeft w:val="0"/>
      <w:marRight w:val="0"/>
      <w:marTop w:val="0"/>
      <w:marBottom w:val="0"/>
      <w:divBdr>
        <w:top w:val="none" w:sz="0" w:space="0" w:color="auto"/>
        <w:left w:val="none" w:sz="0" w:space="0" w:color="auto"/>
        <w:bottom w:val="none" w:sz="0" w:space="0" w:color="auto"/>
        <w:right w:val="none" w:sz="0" w:space="0" w:color="auto"/>
      </w:divBdr>
    </w:div>
    <w:div w:id="1916082607">
      <w:bodyDiv w:val="1"/>
      <w:marLeft w:val="0"/>
      <w:marRight w:val="0"/>
      <w:marTop w:val="0"/>
      <w:marBottom w:val="0"/>
      <w:divBdr>
        <w:top w:val="none" w:sz="0" w:space="0" w:color="auto"/>
        <w:left w:val="none" w:sz="0" w:space="0" w:color="auto"/>
        <w:bottom w:val="none" w:sz="0" w:space="0" w:color="auto"/>
        <w:right w:val="none" w:sz="0" w:space="0" w:color="auto"/>
      </w:divBdr>
    </w:div>
    <w:div w:id="1947539403">
      <w:bodyDiv w:val="1"/>
      <w:marLeft w:val="0"/>
      <w:marRight w:val="0"/>
      <w:marTop w:val="0"/>
      <w:marBottom w:val="0"/>
      <w:divBdr>
        <w:top w:val="none" w:sz="0" w:space="0" w:color="auto"/>
        <w:left w:val="none" w:sz="0" w:space="0" w:color="auto"/>
        <w:bottom w:val="none" w:sz="0" w:space="0" w:color="auto"/>
        <w:right w:val="none" w:sz="0" w:space="0" w:color="auto"/>
      </w:divBdr>
    </w:div>
    <w:div w:id="1967540501">
      <w:bodyDiv w:val="1"/>
      <w:marLeft w:val="0"/>
      <w:marRight w:val="0"/>
      <w:marTop w:val="0"/>
      <w:marBottom w:val="0"/>
      <w:divBdr>
        <w:top w:val="none" w:sz="0" w:space="0" w:color="auto"/>
        <w:left w:val="none" w:sz="0" w:space="0" w:color="auto"/>
        <w:bottom w:val="none" w:sz="0" w:space="0" w:color="auto"/>
        <w:right w:val="none" w:sz="0" w:space="0" w:color="auto"/>
      </w:divBdr>
    </w:div>
    <w:div w:id="1968586988">
      <w:bodyDiv w:val="1"/>
      <w:marLeft w:val="0"/>
      <w:marRight w:val="0"/>
      <w:marTop w:val="0"/>
      <w:marBottom w:val="0"/>
      <w:divBdr>
        <w:top w:val="none" w:sz="0" w:space="0" w:color="auto"/>
        <w:left w:val="none" w:sz="0" w:space="0" w:color="auto"/>
        <w:bottom w:val="none" w:sz="0" w:space="0" w:color="auto"/>
        <w:right w:val="none" w:sz="0" w:space="0" w:color="auto"/>
      </w:divBdr>
    </w:div>
    <w:div w:id="1969123395">
      <w:bodyDiv w:val="1"/>
      <w:marLeft w:val="0"/>
      <w:marRight w:val="0"/>
      <w:marTop w:val="0"/>
      <w:marBottom w:val="0"/>
      <w:divBdr>
        <w:top w:val="none" w:sz="0" w:space="0" w:color="auto"/>
        <w:left w:val="none" w:sz="0" w:space="0" w:color="auto"/>
        <w:bottom w:val="none" w:sz="0" w:space="0" w:color="auto"/>
        <w:right w:val="none" w:sz="0" w:space="0" w:color="auto"/>
      </w:divBdr>
      <w:divsChild>
        <w:div w:id="1800880653">
          <w:marLeft w:val="547"/>
          <w:marRight w:val="0"/>
          <w:marTop w:val="0"/>
          <w:marBottom w:val="120"/>
          <w:divBdr>
            <w:top w:val="none" w:sz="0" w:space="0" w:color="auto"/>
            <w:left w:val="none" w:sz="0" w:space="0" w:color="auto"/>
            <w:bottom w:val="none" w:sz="0" w:space="0" w:color="auto"/>
            <w:right w:val="none" w:sz="0" w:space="0" w:color="auto"/>
          </w:divBdr>
        </w:div>
        <w:div w:id="2053727857">
          <w:marLeft w:val="547"/>
          <w:marRight w:val="0"/>
          <w:marTop w:val="0"/>
          <w:marBottom w:val="120"/>
          <w:divBdr>
            <w:top w:val="none" w:sz="0" w:space="0" w:color="auto"/>
            <w:left w:val="none" w:sz="0" w:space="0" w:color="auto"/>
            <w:bottom w:val="none" w:sz="0" w:space="0" w:color="auto"/>
            <w:right w:val="none" w:sz="0" w:space="0" w:color="auto"/>
          </w:divBdr>
        </w:div>
      </w:divsChild>
    </w:div>
    <w:div w:id="1976056421">
      <w:bodyDiv w:val="1"/>
      <w:marLeft w:val="0"/>
      <w:marRight w:val="0"/>
      <w:marTop w:val="0"/>
      <w:marBottom w:val="0"/>
      <w:divBdr>
        <w:top w:val="none" w:sz="0" w:space="0" w:color="auto"/>
        <w:left w:val="none" w:sz="0" w:space="0" w:color="auto"/>
        <w:bottom w:val="none" w:sz="0" w:space="0" w:color="auto"/>
        <w:right w:val="none" w:sz="0" w:space="0" w:color="auto"/>
      </w:divBdr>
      <w:divsChild>
        <w:div w:id="535122209">
          <w:marLeft w:val="547"/>
          <w:marRight w:val="0"/>
          <w:marTop w:val="0"/>
          <w:marBottom w:val="120"/>
          <w:divBdr>
            <w:top w:val="none" w:sz="0" w:space="0" w:color="auto"/>
            <w:left w:val="none" w:sz="0" w:space="0" w:color="auto"/>
            <w:bottom w:val="none" w:sz="0" w:space="0" w:color="auto"/>
            <w:right w:val="none" w:sz="0" w:space="0" w:color="auto"/>
          </w:divBdr>
        </w:div>
        <w:div w:id="864058318">
          <w:marLeft w:val="547"/>
          <w:marRight w:val="0"/>
          <w:marTop w:val="0"/>
          <w:marBottom w:val="120"/>
          <w:divBdr>
            <w:top w:val="none" w:sz="0" w:space="0" w:color="auto"/>
            <w:left w:val="none" w:sz="0" w:space="0" w:color="auto"/>
            <w:bottom w:val="none" w:sz="0" w:space="0" w:color="auto"/>
            <w:right w:val="none" w:sz="0" w:space="0" w:color="auto"/>
          </w:divBdr>
        </w:div>
        <w:div w:id="1968391831">
          <w:marLeft w:val="547"/>
          <w:marRight w:val="0"/>
          <w:marTop w:val="0"/>
          <w:marBottom w:val="120"/>
          <w:divBdr>
            <w:top w:val="none" w:sz="0" w:space="0" w:color="auto"/>
            <w:left w:val="none" w:sz="0" w:space="0" w:color="auto"/>
            <w:bottom w:val="none" w:sz="0" w:space="0" w:color="auto"/>
            <w:right w:val="none" w:sz="0" w:space="0" w:color="auto"/>
          </w:divBdr>
        </w:div>
      </w:divsChild>
    </w:div>
    <w:div w:id="1997299793">
      <w:bodyDiv w:val="1"/>
      <w:marLeft w:val="0"/>
      <w:marRight w:val="0"/>
      <w:marTop w:val="0"/>
      <w:marBottom w:val="0"/>
      <w:divBdr>
        <w:top w:val="none" w:sz="0" w:space="0" w:color="auto"/>
        <w:left w:val="none" w:sz="0" w:space="0" w:color="auto"/>
        <w:bottom w:val="none" w:sz="0" w:space="0" w:color="auto"/>
        <w:right w:val="none" w:sz="0" w:space="0" w:color="auto"/>
      </w:divBdr>
    </w:div>
    <w:div w:id="2012028467">
      <w:bodyDiv w:val="1"/>
      <w:marLeft w:val="0"/>
      <w:marRight w:val="0"/>
      <w:marTop w:val="0"/>
      <w:marBottom w:val="0"/>
      <w:divBdr>
        <w:top w:val="none" w:sz="0" w:space="0" w:color="auto"/>
        <w:left w:val="none" w:sz="0" w:space="0" w:color="auto"/>
        <w:bottom w:val="none" w:sz="0" w:space="0" w:color="auto"/>
        <w:right w:val="none" w:sz="0" w:space="0" w:color="auto"/>
      </w:divBdr>
    </w:div>
    <w:div w:id="2042508165">
      <w:bodyDiv w:val="1"/>
      <w:marLeft w:val="0"/>
      <w:marRight w:val="0"/>
      <w:marTop w:val="0"/>
      <w:marBottom w:val="0"/>
      <w:divBdr>
        <w:top w:val="none" w:sz="0" w:space="0" w:color="auto"/>
        <w:left w:val="none" w:sz="0" w:space="0" w:color="auto"/>
        <w:bottom w:val="none" w:sz="0" w:space="0" w:color="auto"/>
        <w:right w:val="none" w:sz="0" w:space="0" w:color="auto"/>
      </w:divBdr>
    </w:div>
    <w:div w:id="2053843856">
      <w:bodyDiv w:val="1"/>
      <w:marLeft w:val="0"/>
      <w:marRight w:val="0"/>
      <w:marTop w:val="0"/>
      <w:marBottom w:val="0"/>
      <w:divBdr>
        <w:top w:val="none" w:sz="0" w:space="0" w:color="auto"/>
        <w:left w:val="none" w:sz="0" w:space="0" w:color="auto"/>
        <w:bottom w:val="none" w:sz="0" w:space="0" w:color="auto"/>
        <w:right w:val="none" w:sz="0" w:space="0" w:color="auto"/>
      </w:divBdr>
    </w:div>
    <w:div w:id="2102295531">
      <w:bodyDiv w:val="1"/>
      <w:marLeft w:val="0"/>
      <w:marRight w:val="0"/>
      <w:marTop w:val="0"/>
      <w:marBottom w:val="0"/>
      <w:divBdr>
        <w:top w:val="none" w:sz="0" w:space="0" w:color="auto"/>
        <w:left w:val="none" w:sz="0" w:space="0" w:color="auto"/>
        <w:bottom w:val="none" w:sz="0" w:space="0" w:color="auto"/>
        <w:right w:val="none" w:sz="0" w:space="0" w:color="auto"/>
      </w:divBdr>
      <w:divsChild>
        <w:div w:id="358317211">
          <w:marLeft w:val="547"/>
          <w:marRight w:val="0"/>
          <w:marTop w:val="0"/>
          <w:marBottom w:val="120"/>
          <w:divBdr>
            <w:top w:val="none" w:sz="0" w:space="0" w:color="auto"/>
            <w:left w:val="none" w:sz="0" w:space="0" w:color="auto"/>
            <w:bottom w:val="none" w:sz="0" w:space="0" w:color="auto"/>
            <w:right w:val="none" w:sz="0" w:space="0" w:color="auto"/>
          </w:divBdr>
        </w:div>
        <w:div w:id="1471097346">
          <w:marLeft w:val="547"/>
          <w:marRight w:val="0"/>
          <w:marTop w:val="0"/>
          <w:marBottom w:val="120"/>
          <w:divBdr>
            <w:top w:val="none" w:sz="0" w:space="0" w:color="auto"/>
            <w:left w:val="none" w:sz="0" w:space="0" w:color="auto"/>
            <w:bottom w:val="none" w:sz="0" w:space="0" w:color="auto"/>
            <w:right w:val="none" w:sz="0" w:space="0" w:color="auto"/>
          </w:divBdr>
        </w:div>
        <w:div w:id="1995452205">
          <w:marLeft w:val="547"/>
          <w:marRight w:val="0"/>
          <w:marTop w:val="0"/>
          <w:marBottom w:val="120"/>
          <w:divBdr>
            <w:top w:val="none" w:sz="0" w:space="0" w:color="auto"/>
            <w:left w:val="none" w:sz="0" w:space="0" w:color="auto"/>
            <w:bottom w:val="none" w:sz="0" w:space="0" w:color="auto"/>
            <w:right w:val="none" w:sz="0" w:space="0" w:color="auto"/>
          </w:divBdr>
        </w:div>
      </w:divsChild>
    </w:div>
    <w:div w:id="211833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emf"/><Relationship Id="rId42" Type="http://schemas.openxmlformats.org/officeDocument/2006/relationships/image" Target="media/image21.emf"/><Relationship Id="rId47"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footer" Target="footer3.xml"/><Relationship Id="rId46"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ideas.repec.org/a/cup/wotrrv/v10y2011i02p249-276_00.html" TargetMode="External"/><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vonuexkull@worldbank.org" TargetMode="External"/><Relationship Id="rId24" Type="http://schemas.openxmlformats.org/officeDocument/2006/relationships/image" Target="media/image14.png"/><Relationship Id="rId32" Type="http://schemas.openxmlformats.org/officeDocument/2006/relationships/hyperlink" Target="http://ideas.repec.org/s/eee/eecrev.html" TargetMode="External"/><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ideas.repec.org/a/eee/eecrev/v45y2001i7p1195-1235.html" TargetMode="External"/><Relationship Id="rId44"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ideas.repec.org/s/cup/wotrrv.html" TargetMode="External"/><Relationship Id="rId35" Type="http://schemas.openxmlformats.org/officeDocument/2006/relationships/header" Target="header1.xml"/><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Mel03</b:Tag>
    <b:SourceType>JournalArticle</b:SourceType>
    <b:Guid>{B4FEF497-6128-44E8-8943-9E9DC99437CB}</b:Guid>
    <b:Author>
      <b:Author>
        <b:NameList>
          <b:Person>
            <b:Last>Melitz</b:Last>
            <b:First>J.</b:First>
          </b:Person>
        </b:NameList>
      </b:Author>
    </b:Author>
    <b:Title>The Impact of Trade on Intra-Industry Reallocations and Aggregate Industry</b:Title>
    <b:Year>2003</b:Year>
    <b:Pages>1695-1725</b:Pages>
    <b:JournalName>Econometrica</b:JournalName>
    <b:Volume>71</b:Volume>
    <b:Issue>6</b:Issue>
    <b:RefOrder>1</b:RefOrder>
  </b:Source>
  <b:Source>
    <b:Tag>Ber03</b:Tag>
    <b:SourceType>JournalArticle</b:SourceType>
    <b:Guid>{B3057D42-8A91-4239-B62D-D54CD7D3DED7}</b:Guid>
    <b:Author>
      <b:Author>
        <b:NameList>
          <b:Person>
            <b:Last>Bernard</b:Last>
            <b:First>A.</b:First>
          </b:Person>
          <b:Person>
            <b:Last>Eaton</b:Last>
            <b:First>J.</b:First>
          </b:Person>
          <b:Person>
            <b:Last>Jensen</b:Last>
            <b:First>JB.</b:First>
          </b:Person>
          <b:Person>
            <b:Last>Kortum</b:Last>
            <b:First>S.</b:First>
          </b:Person>
        </b:NameList>
      </b:Author>
    </b:Author>
    <b:Title>Plants and Productivity in International Trade</b:Title>
    <b:Year>2003</b:Year>
    <b:Pages>1268-1290</b:Pages>
    <b:JournalName>American Economic Review</b:JournalName>
    <b:Volume>93</b:Volume>
    <b:Issue>4</b:Issue>
    <b:RefOrder>2</b:RefOrder>
  </b:Source>
</b:Sources>
</file>

<file path=customXml/itemProps1.xml><?xml version="1.0" encoding="utf-8"?>
<ds:datastoreItem xmlns:ds="http://schemas.openxmlformats.org/officeDocument/2006/customXml" ds:itemID="{98D989A7-7754-44B7-806A-1F4703F76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44</Pages>
  <Words>12121</Words>
  <Characters>69091</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ECOWAS Economic Partnership Agreement with the EU and Nigerian Trade and Development</vt:lpstr>
    </vt:vector>
  </TitlesOfParts>
  <Company>The World Bank Group</Company>
  <LinksUpToDate>false</LinksUpToDate>
  <CharactersWithSpaces>81050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ECOWAS Economic Partnership Agreement with the EU and Nigerian Trade and Development</dc:title>
  <dc:creator>Jan Erik von Uexkull</dc:creator>
  <cp:lastModifiedBy>Bobbie Sauer</cp:lastModifiedBy>
  <cp:revision>3</cp:revision>
  <cp:lastPrinted>2014-07-09T18:58:00Z</cp:lastPrinted>
  <dcterms:created xsi:type="dcterms:W3CDTF">2014-12-12T14:47:00Z</dcterms:created>
  <dcterms:modified xsi:type="dcterms:W3CDTF">2014-12-12T20:05:00Z</dcterms:modified>
</cp:coreProperties>
</file>