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62" w:rsidRPr="00B4742D" w:rsidRDefault="00EC7D9A" w:rsidP="008A5262">
      <w:pPr>
        <w:rPr>
          <w:rFonts w:ascii="Arial" w:hAnsi="Arial" w:cs="Arial"/>
        </w:rPr>
      </w:pPr>
      <w:bookmarkStart w:id="0" w:name="_Toc159155479"/>
      <w:r>
        <w:rPr>
          <w:noProof/>
        </w:rPr>
        <mc:AlternateContent>
          <mc:Choice Requires="wps">
            <w:drawing>
              <wp:anchor distT="0" distB="0" distL="114300" distR="114300" simplePos="0" relativeHeight="251666432" behindDoc="0" locked="0" layoutInCell="1" allowOverlap="1" wp14:anchorId="3741036A" wp14:editId="542CCFD3">
                <wp:simplePos x="0" y="0"/>
                <wp:positionH relativeFrom="column">
                  <wp:posOffset>5726430</wp:posOffset>
                </wp:positionH>
                <wp:positionV relativeFrom="paragraph">
                  <wp:posOffset>148590</wp:posOffset>
                </wp:positionV>
                <wp:extent cx="1828800" cy="182880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7D9A" w:rsidRPr="00EC7D9A" w:rsidRDefault="00EC7D9A" w:rsidP="00EC7D9A">
                            <w:pPr>
                              <w:jc w:val="center"/>
                              <w:rPr>
                                <w:rFonts w:ascii="Arial" w:hAnsi="Arial" w:cs="Arial"/>
                                <w:b/>
                                <w:color w:val="auto"/>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EC7D9A">
                              <w:rPr>
                                <w:rFonts w:ascii="Arial" w:hAnsi="Arial" w:cs="Arial"/>
                                <w:b/>
                                <w:color w:val="auto"/>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81626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50.9pt;margin-top:11.7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6rJAIAAFc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" filled="f" stroked="f">
                <v:fill o:detectmouseclick="t"/>
                <v:textbox style="mso-fit-shape-to-text:t">
                  <w:txbxContent>
                    <w:p w:rsidR="00EC7D9A" w:rsidRPr="00EC7D9A" w:rsidRDefault="00EC7D9A" w:rsidP="00EC7D9A">
                      <w:pPr>
                        <w:jc w:val="center"/>
                        <w:rPr>
                          <w:rFonts w:ascii="Arial" w:hAnsi="Arial" w:cs="Arial"/>
                          <w:b/>
                          <w:color w:val="auto"/>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EC7D9A">
                        <w:rPr>
                          <w:rFonts w:ascii="Arial" w:hAnsi="Arial" w:cs="Arial"/>
                          <w:b/>
                          <w:color w:val="auto"/>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81626</w:t>
                      </w:r>
                    </w:p>
                  </w:txbxContent>
                </v:textbox>
              </v:shape>
            </w:pict>
          </mc:Fallback>
        </mc:AlternateContent>
      </w:r>
      <w:r w:rsidR="008A5262" w:rsidRPr="00B4742D">
        <w:rPr>
          <w:rFonts w:ascii="Arial" w:hAnsi="Arial" w:cs="Arial"/>
        </w:rPr>
        <w:t>Viktor Gotovac</w:t>
      </w:r>
    </w:p>
    <w:p w:rsidR="008A5262" w:rsidRPr="00B4742D" w:rsidRDefault="008A5262" w:rsidP="008A5262">
      <w:pPr>
        <w:rPr>
          <w:rFonts w:ascii="Arial" w:hAnsi="Arial" w:cs="Arial"/>
        </w:rPr>
      </w:pPr>
      <w:r w:rsidRPr="00B4742D">
        <w:rPr>
          <w:rFonts w:ascii="Arial" w:hAnsi="Arial" w:cs="Arial"/>
        </w:rPr>
        <w:t>Saša Drezgić</w:t>
      </w:r>
    </w:p>
    <w:p w:rsidR="008A5262" w:rsidRPr="00B4742D" w:rsidRDefault="008A5262" w:rsidP="008A5262">
      <w:pPr>
        <w:rPr>
          <w:rFonts w:ascii="Arial" w:hAnsi="Arial" w:cs="Arial"/>
        </w:rPr>
      </w:pPr>
      <w:r w:rsidRPr="00B4742D">
        <w:rPr>
          <w:rFonts w:ascii="Arial" w:hAnsi="Arial" w:cs="Arial"/>
        </w:rPr>
        <w:t>Ulrich Schuh</w:t>
      </w:r>
    </w:p>
    <w:p w:rsidR="008A5262" w:rsidRPr="00B4742D" w:rsidRDefault="008A5262" w:rsidP="008A5262">
      <w:pPr>
        <w:rPr>
          <w:rFonts w:ascii="Arial" w:hAnsi="Arial" w:cs="Arial"/>
        </w:rPr>
      </w:pPr>
    </w:p>
    <w:p w:rsidR="008A5262" w:rsidRPr="00B4742D" w:rsidRDefault="008A5262" w:rsidP="008A5262">
      <w:pPr>
        <w:rPr>
          <w:rFonts w:ascii="Arial" w:hAnsi="Arial" w:cs="Arial"/>
        </w:rPr>
      </w:pPr>
    </w:p>
    <w:p w:rsidR="008A5262" w:rsidRPr="00B4742D" w:rsidRDefault="008A5262" w:rsidP="008A5262">
      <w:pPr>
        <w:rPr>
          <w:rFonts w:ascii="Arial" w:hAnsi="Arial" w:cs="Arial"/>
        </w:rPr>
      </w:pPr>
    </w:p>
    <w:p w:rsidR="008A5262" w:rsidRPr="00B4742D" w:rsidRDefault="008A5262" w:rsidP="008A5262">
      <w:pPr>
        <w:rPr>
          <w:rFonts w:ascii="Arial" w:hAnsi="Arial" w:cs="Arial"/>
        </w:rPr>
      </w:pPr>
      <w:bookmarkStart w:id="1" w:name="_GoBack"/>
      <w:bookmarkEnd w:id="1"/>
    </w:p>
    <w:p w:rsidR="008A5262" w:rsidRPr="00B4742D" w:rsidRDefault="008A5262" w:rsidP="008A5262">
      <w:pPr>
        <w:rPr>
          <w:rFonts w:ascii="Arial" w:hAnsi="Arial" w:cs="Arial"/>
        </w:rPr>
      </w:pPr>
    </w:p>
    <w:p w:rsidR="008A5262" w:rsidRPr="00B4742D" w:rsidRDefault="008A5262" w:rsidP="008A5262">
      <w:pPr>
        <w:pStyle w:val="Heading1"/>
        <w:jc w:val="center"/>
        <w:rPr>
          <w:b w:val="0"/>
          <w:sz w:val="72"/>
          <w:szCs w:val="72"/>
        </w:rPr>
      </w:pPr>
      <w:r w:rsidRPr="00B4742D">
        <w:rPr>
          <w:b w:val="0"/>
          <w:sz w:val="72"/>
          <w:szCs w:val="72"/>
        </w:rPr>
        <w:t>Analiza sustava otpremnina u Republici Hrvatskoj: sadašnje uređenje i promišljanje izmjena</w:t>
      </w:r>
    </w:p>
    <w:p w:rsidR="006D4CA2" w:rsidRPr="00B4742D" w:rsidRDefault="006D4CA2" w:rsidP="006D4CA2"/>
    <w:p w:rsidR="006D4CA2" w:rsidRPr="00B4742D" w:rsidRDefault="006D4CA2" w:rsidP="006D4CA2"/>
    <w:p w:rsidR="006D4CA2" w:rsidRPr="00B4742D" w:rsidRDefault="006D4CA2" w:rsidP="006D4CA2"/>
    <w:p w:rsidR="008A5262" w:rsidRPr="00B4742D" w:rsidRDefault="008A5262" w:rsidP="008A5262">
      <w:pPr>
        <w:pStyle w:val="Title"/>
        <w:rPr>
          <w:rFonts w:ascii="Arial" w:hAnsi="Arial" w:cs="Arial"/>
          <w:lang w:val="hr-HR"/>
        </w:rPr>
      </w:pPr>
    </w:p>
    <w:p w:rsidR="00AC35FD" w:rsidRPr="00B4742D" w:rsidRDefault="008A5262" w:rsidP="008A5262">
      <w:pPr>
        <w:jc w:val="center"/>
        <w:rPr>
          <w:rFonts w:ascii="Arial" w:hAnsi="Arial" w:cs="Arial"/>
          <w:i/>
        </w:rPr>
      </w:pPr>
      <w:r w:rsidRPr="00B4742D">
        <w:rPr>
          <w:rFonts w:ascii="Arial" w:hAnsi="Arial" w:cs="Arial"/>
          <w:i/>
        </w:rPr>
        <w:t xml:space="preserve">Izvješće Svjetske banke pripremljeno na zahtjev </w:t>
      </w:r>
    </w:p>
    <w:p w:rsidR="008A5262" w:rsidRPr="00B4742D" w:rsidRDefault="008A5262" w:rsidP="008A5262">
      <w:pPr>
        <w:jc w:val="center"/>
        <w:rPr>
          <w:rFonts w:ascii="Cambria" w:hAnsi="Cambria"/>
          <w:i/>
        </w:rPr>
      </w:pPr>
      <w:r w:rsidRPr="00B4742D">
        <w:rPr>
          <w:rFonts w:ascii="Arial" w:hAnsi="Arial" w:cs="Arial"/>
          <w:i/>
        </w:rPr>
        <w:t>Ministarstva rada i mirovinskog sustava</w:t>
      </w:r>
      <w:r w:rsidR="00AC35FD" w:rsidRPr="00B4742D">
        <w:rPr>
          <w:rFonts w:ascii="Arial" w:hAnsi="Arial" w:cs="Arial"/>
          <w:i/>
        </w:rPr>
        <w:t xml:space="preserve"> Republike Hrvatske</w:t>
      </w:r>
      <w:r w:rsidRPr="00B4742D">
        <w:rPr>
          <w:rFonts w:ascii="Arial" w:hAnsi="Arial" w:cs="Arial"/>
          <w:i/>
        </w:rPr>
        <w:t xml:space="preserve"> </w:t>
      </w:r>
    </w:p>
    <w:p w:rsidR="008A5262" w:rsidRPr="00B4742D" w:rsidRDefault="008A5262" w:rsidP="008A5262">
      <w:pPr>
        <w:jc w:val="center"/>
        <w:rPr>
          <w:rFonts w:ascii="Cambria" w:hAnsi="Cambria"/>
          <w:i/>
        </w:rPr>
      </w:pPr>
    </w:p>
    <w:p w:rsidR="008A5262" w:rsidRPr="00B4742D" w:rsidRDefault="008A5262" w:rsidP="008A5262">
      <w:pPr>
        <w:jc w:val="center"/>
        <w:rPr>
          <w:rFonts w:ascii="Cambria" w:hAnsi="Cambria"/>
          <w:i/>
        </w:rPr>
      </w:pPr>
    </w:p>
    <w:p w:rsidR="008A5262" w:rsidRPr="00B4742D" w:rsidRDefault="00314088" w:rsidP="00314088">
      <w:pPr>
        <w:jc w:val="center"/>
        <w:rPr>
          <w:rFonts w:ascii="Cambria" w:hAnsi="Cambria"/>
          <w:i/>
        </w:rPr>
      </w:pPr>
      <w:r>
        <w:rPr>
          <w:rFonts w:ascii="Cambria" w:hAnsi="Cambria"/>
          <w:i/>
        </w:rPr>
        <w:t>Rujan 2013.</w:t>
      </w:r>
    </w:p>
    <w:p w:rsidR="008A5262" w:rsidRPr="00B4742D" w:rsidRDefault="008A5262">
      <w:pPr>
        <w:tabs>
          <w:tab w:val="clear" w:pos="0"/>
          <w:tab w:val="clear" w:pos="9360"/>
        </w:tabs>
        <w:spacing w:line="240" w:lineRule="auto"/>
        <w:jc w:val="left"/>
        <w:rPr>
          <w:b/>
          <w:i/>
        </w:rPr>
      </w:pPr>
      <w:r w:rsidRPr="00B4742D">
        <w:br w:type="page"/>
      </w:r>
    </w:p>
    <w:sdt>
      <w:sdtPr>
        <w:rPr>
          <w:rFonts w:ascii="Times New Roman" w:hAnsi="Times New Roman"/>
          <w:b w:val="0"/>
          <w:i w:val="0"/>
          <w:sz w:val="24"/>
          <w:szCs w:val="24"/>
          <w:lang w:eastAsia="hr-HR"/>
        </w:rPr>
        <w:id w:val="-475913442"/>
        <w:docPartObj>
          <w:docPartGallery w:val="Table of Contents"/>
          <w:docPartUnique/>
        </w:docPartObj>
      </w:sdtPr>
      <w:sdtEndPr>
        <w:rPr>
          <w:noProof/>
        </w:rPr>
      </w:sdtEndPr>
      <w:sdtContent>
        <w:p w:rsidR="00726FF8" w:rsidRPr="00B4742D" w:rsidRDefault="00726FF8" w:rsidP="00725AF6">
          <w:pPr>
            <w:pStyle w:val="Heading5"/>
            <w:tabs>
              <w:tab w:val="clear" w:pos="9360"/>
              <w:tab w:val="left" w:pos="8820"/>
            </w:tabs>
          </w:pPr>
          <w:r w:rsidRPr="00B4742D">
            <w:t>Sadržaj</w:t>
          </w:r>
          <w:r w:rsidR="00725AF6">
            <w:tab/>
          </w:r>
        </w:p>
        <w:p w:rsidR="00726FF8" w:rsidRPr="00B4742D" w:rsidRDefault="00726FF8">
          <w:pPr>
            <w:pStyle w:val="TOC1"/>
            <w:tabs>
              <w:tab w:val="right" w:pos="9536"/>
            </w:tabs>
            <w:rPr>
              <w:rFonts w:asciiTheme="minorHAnsi" w:eastAsiaTheme="minorEastAsia" w:hAnsiTheme="minorHAnsi" w:cstheme="minorBidi"/>
              <w:bCs w:val="0"/>
              <w:noProof/>
              <w:color w:val="auto"/>
              <w:sz w:val="22"/>
              <w:szCs w:val="22"/>
            </w:rPr>
          </w:pPr>
          <w:r w:rsidRPr="00B4742D">
            <w:fldChar w:fldCharType="begin"/>
          </w:r>
          <w:r w:rsidRPr="00B4742D">
            <w:instrText xml:space="preserve"> TOC \o "1-3" \h \z \u </w:instrText>
          </w:r>
          <w:r w:rsidRPr="00B4742D">
            <w:fldChar w:fldCharType="separate"/>
          </w:r>
          <w:hyperlink w:anchor="_Toc365828820" w:history="1">
            <w:r w:rsidRPr="00B4742D">
              <w:rPr>
                <w:rStyle w:val="Hyperlink"/>
                <w:noProof/>
              </w:rPr>
              <w:t>Analiza sustava otpremnina u Republici Hrvatskoj: sadašnje uređenje i promišljanje izmjena</w:t>
            </w:r>
            <w:r w:rsidRPr="00B4742D">
              <w:rPr>
                <w:noProof/>
                <w:webHidden/>
              </w:rPr>
              <w:tab/>
            </w:r>
            <w:r w:rsidRPr="00B4742D">
              <w:rPr>
                <w:noProof/>
                <w:webHidden/>
              </w:rPr>
              <w:fldChar w:fldCharType="begin"/>
            </w:r>
            <w:r w:rsidRPr="00B4742D">
              <w:rPr>
                <w:noProof/>
                <w:webHidden/>
              </w:rPr>
              <w:instrText xml:space="preserve"> PAGEREF _Toc365828820 \h </w:instrText>
            </w:r>
            <w:r w:rsidRPr="00B4742D">
              <w:rPr>
                <w:noProof/>
                <w:webHidden/>
              </w:rPr>
            </w:r>
            <w:r w:rsidRPr="00B4742D">
              <w:rPr>
                <w:noProof/>
                <w:webHidden/>
              </w:rPr>
              <w:fldChar w:fldCharType="separate"/>
            </w:r>
            <w:r w:rsidR="00725AF6">
              <w:rPr>
                <w:noProof/>
                <w:webHidden/>
              </w:rPr>
              <w:t>4</w:t>
            </w:r>
            <w:r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21" w:history="1">
            <w:r w:rsidR="00726FF8" w:rsidRPr="00B4742D">
              <w:rPr>
                <w:rStyle w:val="Hyperlink"/>
                <w:noProof/>
              </w:rPr>
              <w:t>0. Sažetak</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_Toc365828821 \h </w:instrText>
            </w:r>
            <w:r w:rsidR="00726FF8" w:rsidRPr="00B4742D">
              <w:rPr>
                <w:noProof/>
                <w:webHidden/>
              </w:rPr>
            </w:r>
            <w:r w:rsidR="00726FF8" w:rsidRPr="00B4742D">
              <w:rPr>
                <w:noProof/>
                <w:webHidden/>
              </w:rPr>
              <w:fldChar w:fldCharType="separate"/>
            </w:r>
            <w:r w:rsidR="00725AF6">
              <w:rPr>
                <w:noProof/>
                <w:webHidden/>
              </w:rPr>
              <w:t>4</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22" w:history="1">
            <w:r w:rsidR="00726FF8" w:rsidRPr="00B4742D">
              <w:rPr>
                <w:rStyle w:val="Hyperlink"/>
                <w:noProof/>
              </w:rPr>
              <w:t>1. Uvod</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_Toc365828822 \h </w:instrText>
            </w:r>
            <w:r w:rsidR="00726FF8" w:rsidRPr="00B4742D">
              <w:rPr>
                <w:noProof/>
                <w:webHidden/>
              </w:rPr>
            </w:r>
            <w:r w:rsidR="00726FF8" w:rsidRPr="00B4742D">
              <w:rPr>
                <w:noProof/>
                <w:webHidden/>
              </w:rPr>
              <w:fldChar w:fldCharType="separate"/>
            </w:r>
            <w:r w:rsidR="00725AF6">
              <w:rPr>
                <w:noProof/>
                <w:webHidden/>
              </w:rPr>
              <w:t>6</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23" w:history="1">
            <w:r w:rsidR="00726FF8" w:rsidRPr="00B4742D">
              <w:rPr>
                <w:rStyle w:val="Hyperlink"/>
                <w:noProof/>
              </w:rPr>
              <w:t>1.1. Pojam otpremnine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_Toc365828823 \h </w:instrText>
            </w:r>
            <w:r w:rsidR="00726FF8" w:rsidRPr="00B4742D">
              <w:rPr>
                <w:noProof/>
                <w:webHidden/>
              </w:rPr>
            </w:r>
            <w:r w:rsidR="00726FF8" w:rsidRPr="00B4742D">
              <w:rPr>
                <w:noProof/>
                <w:webHidden/>
              </w:rPr>
              <w:fldChar w:fldCharType="separate"/>
            </w:r>
            <w:r w:rsidR="00725AF6">
              <w:rPr>
                <w:noProof/>
                <w:webHidden/>
              </w:rPr>
              <w:t>6</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24" w:history="1">
            <w:r w:rsidR="00726FF8" w:rsidRPr="00B4742D">
              <w:rPr>
                <w:rStyle w:val="Hyperlink"/>
                <w:noProof/>
              </w:rPr>
              <w:t>1.2. Funkcija otpremnine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_Toc365828824 \h </w:instrText>
            </w:r>
            <w:r w:rsidR="00726FF8" w:rsidRPr="00B4742D">
              <w:rPr>
                <w:noProof/>
                <w:webHidden/>
              </w:rPr>
            </w:r>
            <w:r w:rsidR="00726FF8" w:rsidRPr="00B4742D">
              <w:rPr>
                <w:noProof/>
                <w:webHidden/>
              </w:rPr>
              <w:fldChar w:fldCharType="separate"/>
            </w:r>
            <w:r w:rsidR="00725AF6">
              <w:rPr>
                <w:noProof/>
                <w:webHidden/>
              </w:rPr>
              <w:t>7</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25" w:history="1">
            <w:r w:rsidR="00726FF8" w:rsidRPr="00B4742D">
              <w:rPr>
                <w:rStyle w:val="Hyperlink"/>
                <w:noProof/>
              </w:rPr>
              <w:t>1.3. Pravni izvori otpremnine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_Toc365828825 \h </w:instrText>
            </w:r>
            <w:r w:rsidR="00726FF8" w:rsidRPr="00B4742D">
              <w:rPr>
                <w:noProof/>
                <w:webHidden/>
              </w:rPr>
            </w:r>
            <w:r w:rsidR="00726FF8" w:rsidRPr="00B4742D">
              <w:rPr>
                <w:noProof/>
                <w:webHidden/>
              </w:rPr>
              <w:fldChar w:fldCharType="separate"/>
            </w:r>
            <w:r w:rsidR="00725AF6">
              <w:rPr>
                <w:noProof/>
                <w:webHidden/>
              </w:rPr>
              <w:t>10</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26" w:history="1">
            <w:r w:rsidR="00726FF8" w:rsidRPr="00B4742D">
              <w:rPr>
                <w:rStyle w:val="Hyperlink"/>
                <w:noProof/>
              </w:rPr>
              <w:t>1.4. Pravna osnova isplate otpremnine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_Toc365828826 \h </w:instrText>
            </w:r>
            <w:r w:rsidR="00726FF8" w:rsidRPr="00B4742D">
              <w:rPr>
                <w:noProof/>
                <w:webHidden/>
              </w:rPr>
            </w:r>
            <w:r w:rsidR="00726FF8" w:rsidRPr="00B4742D">
              <w:rPr>
                <w:noProof/>
                <w:webHidden/>
              </w:rPr>
              <w:fldChar w:fldCharType="separate"/>
            </w:r>
            <w:r w:rsidR="00725AF6">
              <w:rPr>
                <w:noProof/>
                <w:webHidden/>
              </w:rPr>
              <w:t>11</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27" w:history="1">
            <w:r w:rsidR="00726FF8" w:rsidRPr="00B4742D">
              <w:rPr>
                <w:rStyle w:val="Hyperlink"/>
                <w:noProof/>
              </w:rPr>
              <w:t>1.5. Iznos otpremnine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_Toc365828827 \h </w:instrText>
            </w:r>
            <w:r w:rsidR="00726FF8" w:rsidRPr="00B4742D">
              <w:rPr>
                <w:noProof/>
                <w:webHidden/>
              </w:rPr>
            </w:r>
            <w:r w:rsidR="00726FF8" w:rsidRPr="00B4742D">
              <w:rPr>
                <w:noProof/>
                <w:webHidden/>
              </w:rPr>
              <w:fldChar w:fldCharType="separate"/>
            </w:r>
            <w:r w:rsidR="00725AF6">
              <w:rPr>
                <w:noProof/>
                <w:webHidden/>
              </w:rPr>
              <w:t>12</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28" w:history="1">
            <w:r w:rsidR="00726FF8" w:rsidRPr="00B4742D">
              <w:rPr>
                <w:rStyle w:val="Hyperlink"/>
                <w:noProof/>
              </w:rPr>
              <w:t>1.6. Financiranje otpremnine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_Toc365828828 \h </w:instrText>
            </w:r>
            <w:r w:rsidR="00726FF8" w:rsidRPr="00B4742D">
              <w:rPr>
                <w:noProof/>
                <w:webHidden/>
              </w:rPr>
            </w:r>
            <w:r w:rsidR="00726FF8" w:rsidRPr="00B4742D">
              <w:rPr>
                <w:noProof/>
                <w:webHidden/>
              </w:rPr>
              <w:fldChar w:fldCharType="separate"/>
            </w:r>
            <w:r w:rsidR="00725AF6">
              <w:rPr>
                <w:noProof/>
                <w:webHidden/>
              </w:rPr>
              <w:t>13</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29" w:history="1">
            <w:r w:rsidR="00726FF8" w:rsidRPr="00B4742D">
              <w:rPr>
                <w:rStyle w:val="Hyperlink"/>
                <w:noProof/>
              </w:rPr>
              <w:t>1.7. Oporezivanje otpremnina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_Toc365828829 \h </w:instrText>
            </w:r>
            <w:r w:rsidR="00726FF8" w:rsidRPr="00B4742D">
              <w:rPr>
                <w:noProof/>
                <w:webHidden/>
              </w:rPr>
            </w:r>
            <w:r w:rsidR="00726FF8" w:rsidRPr="00B4742D">
              <w:rPr>
                <w:noProof/>
                <w:webHidden/>
              </w:rPr>
              <w:fldChar w:fldCharType="separate"/>
            </w:r>
            <w:r w:rsidR="00725AF6">
              <w:rPr>
                <w:noProof/>
                <w:webHidden/>
              </w:rPr>
              <w:t>14</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30" w:history="1">
            <w:r w:rsidR="00726FF8" w:rsidRPr="00B4742D">
              <w:rPr>
                <w:rStyle w:val="Hyperlink"/>
                <w:noProof/>
              </w:rPr>
              <w:t>2. Pravno uređenje sustava otpremnina u Republici Hrvatskoj</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_Toc365828830 \h </w:instrText>
            </w:r>
            <w:r w:rsidR="00726FF8" w:rsidRPr="00B4742D">
              <w:rPr>
                <w:noProof/>
                <w:webHidden/>
              </w:rPr>
            </w:r>
            <w:r w:rsidR="00726FF8" w:rsidRPr="00B4742D">
              <w:rPr>
                <w:noProof/>
                <w:webHidden/>
              </w:rPr>
              <w:fldChar w:fldCharType="separate"/>
            </w:r>
            <w:r w:rsidR="00725AF6">
              <w:rPr>
                <w:noProof/>
                <w:webHidden/>
              </w:rPr>
              <w:t>14</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31" w:history="1">
            <w:r w:rsidR="00726FF8" w:rsidRPr="00B4742D">
              <w:rPr>
                <w:rStyle w:val="Hyperlink"/>
                <w:noProof/>
              </w:rPr>
              <w:t>2.1. Zakonodavni historijat suvremenog uređenja otpremnina u Republici Hrvatskoj</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_Toc365828831 \h </w:instrText>
            </w:r>
            <w:r w:rsidR="00726FF8" w:rsidRPr="00B4742D">
              <w:rPr>
                <w:noProof/>
                <w:webHidden/>
              </w:rPr>
            </w:r>
            <w:r w:rsidR="00726FF8" w:rsidRPr="00B4742D">
              <w:rPr>
                <w:noProof/>
                <w:webHidden/>
              </w:rPr>
              <w:fldChar w:fldCharType="separate"/>
            </w:r>
            <w:r w:rsidR="00725AF6">
              <w:rPr>
                <w:noProof/>
                <w:webHidden/>
              </w:rPr>
              <w:t>15</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32" w:history="1">
            <w:r w:rsidR="00726FF8" w:rsidRPr="00B4742D">
              <w:rPr>
                <w:rStyle w:val="Hyperlink"/>
                <w:noProof/>
              </w:rPr>
              <w:t>2.2. Uređenje otpremnina u odredbama Zakona o radu</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_Toc365828832 \h </w:instrText>
            </w:r>
            <w:r w:rsidR="00726FF8" w:rsidRPr="00B4742D">
              <w:rPr>
                <w:noProof/>
                <w:webHidden/>
              </w:rPr>
            </w:r>
            <w:r w:rsidR="00726FF8" w:rsidRPr="00B4742D">
              <w:rPr>
                <w:noProof/>
                <w:webHidden/>
              </w:rPr>
              <w:fldChar w:fldCharType="separate"/>
            </w:r>
            <w:r w:rsidR="00725AF6">
              <w:rPr>
                <w:noProof/>
                <w:webHidden/>
              </w:rPr>
              <w:t>16</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33" w:history="1">
            <w:r w:rsidR="00726FF8" w:rsidRPr="00B4742D">
              <w:rPr>
                <w:rStyle w:val="Hyperlink"/>
                <w:noProof/>
              </w:rPr>
              <w:t>2.3. Uređenje otpremnina u kolektivnim ugovorima i pravilnicima o radu</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_Toc365828833 \h </w:instrText>
            </w:r>
            <w:r w:rsidR="00726FF8" w:rsidRPr="00B4742D">
              <w:rPr>
                <w:noProof/>
                <w:webHidden/>
              </w:rPr>
            </w:r>
            <w:r w:rsidR="00726FF8" w:rsidRPr="00B4742D">
              <w:rPr>
                <w:noProof/>
                <w:webHidden/>
              </w:rPr>
              <w:fldChar w:fldCharType="separate"/>
            </w:r>
            <w:r w:rsidR="00725AF6">
              <w:rPr>
                <w:noProof/>
                <w:webHidden/>
              </w:rPr>
              <w:t>19</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34" w:history="1">
            <w:r w:rsidR="00726FF8" w:rsidRPr="00B4742D">
              <w:rPr>
                <w:rStyle w:val="Hyperlink"/>
                <w:noProof/>
              </w:rPr>
              <w:t>2.4. Status otpremnina u odredbama poreznih propisa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_Toc365828834 \h </w:instrText>
            </w:r>
            <w:r w:rsidR="00726FF8" w:rsidRPr="00B4742D">
              <w:rPr>
                <w:noProof/>
                <w:webHidden/>
              </w:rPr>
            </w:r>
            <w:r w:rsidR="00726FF8" w:rsidRPr="00B4742D">
              <w:rPr>
                <w:noProof/>
                <w:webHidden/>
              </w:rPr>
              <w:fldChar w:fldCharType="separate"/>
            </w:r>
            <w:r w:rsidR="00725AF6">
              <w:rPr>
                <w:noProof/>
                <w:webHidden/>
              </w:rPr>
              <w:t>22</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35" w:history="1">
            <w:r w:rsidR="00726FF8" w:rsidRPr="00B4742D">
              <w:rPr>
                <w:rStyle w:val="Hyperlink"/>
                <w:noProof/>
              </w:rPr>
              <w:t>3. Ekonomska obilježja sustava otpremnina u Republici Hrvatskoj</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_Toc365828835 \h </w:instrText>
            </w:r>
            <w:r w:rsidR="00726FF8" w:rsidRPr="00B4742D">
              <w:rPr>
                <w:noProof/>
                <w:webHidden/>
              </w:rPr>
            </w:r>
            <w:r w:rsidR="00726FF8" w:rsidRPr="00B4742D">
              <w:rPr>
                <w:noProof/>
                <w:webHidden/>
              </w:rPr>
              <w:fldChar w:fldCharType="separate"/>
            </w:r>
            <w:r w:rsidR="00725AF6">
              <w:rPr>
                <w:noProof/>
                <w:webHidden/>
              </w:rPr>
              <w:t>23</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36" w:history="1">
            <w:r w:rsidR="00726FF8" w:rsidRPr="00B4742D">
              <w:rPr>
                <w:rStyle w:val="Hyperlink"/>
                <w:noProof/>
              </w:rPr>
              <w:t>3.1. Obilježja hrvatskog sustava isplate otpremnina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_Toc365828836 \h </w:instrText>
            </w:r>
            <w:r w:rsidR="00726FF8" w:rsidRPr="00B4742D">
              <w:rPr>
                <w:noProof/>
                <w:webHidden/>
              </w:rPr>
            </w:r>
            <w:r w:rsidR="00726FF8" w:rsidRPr="00B4742D">
              <w:rPr>
                <w:noProof/>
                <w:webHidden/>
              </w:rPr>
              <w:fldChar w:fldCharType="separate"/>
            </w:r>
            <w:r w:rsidR="00725AF6">
              <w:rPr>
                <w:noProof/>
                <w:webHidden/>
              </w:rPr>
              <w:t>24</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37" w:history="1">
            <w:r w:rsidR="00726FF8" w:rsidRPr="00B4742D">
              <w:rPr>
                <w:rStyle w:val="Hyperlink"/>
                <w:noProof/>
              </w:rPr>
              <w:t>3.1.1. Isplate otpremnine u javnom sektoru</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_Toc365828837 \h </w:instrText>
            </w:r>
            <w:r w:rsidR="00726FF8" w:rsidRPr="00B4742D">
              <w:rPr>
                <w:noProof/>
                <w:webHidden/>
              </w:rPr>
            </w:r>
            <w:r w:rsidR="00726FF8" w:rsidRPr="00B4742D">
              <w:rPr>
                <w:noProof/>
                <w:webHidden/>
              </w:rPr>
              <w:fldChar w:fldCharType="separate"/>
            </w:r>
            <w:r w:rsidR="00725AF6">
              <w:rPr>
                <w:noProof/>
                <w:webHidden/>
              </w:rPr>
              <w:t>25</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38" w:history="1">
            <w:r w:rsidR="00726FF8" w:rsidRPr="00B4742D">
              <w:rPr>
                <w:rStyle w:val="Hyperlink"/>
                <w:noProof/>
              </w:rPr>
              <w:t>3.1.2. Isplate otpremnine u slučaju stečaja poslodavca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_Toc365828838 \h </w:instrText>
            </w:r>
            <w:r w:rsidR="00726FF8" w:rsidRPr="00B4742D">
              <w:rPr>
                <w:noProof/>
                <w:webHidden/>
              </w:rPr>
            </w:r>
            <w:r w:rsidR="00726FF8" w:rsidRPr="00B4742D">
              <w:rPr>
                <w:noProof/>
                <w:webHidden/>
              </w:rPr>
              <w:fldChar w:fldCharType="separate"/>
            </w:r>
            <w:r w:rsidR="00725AF6">
              <w:rPr>
                <w:noProof/>
                <w:webHidden/>
              </w:rPr>
              <w:t>29</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39" w:history="1">
            <w:r w:rsidR="00726FF8" w:rsidRPr="00B4742D">
              <w:rPr>
                <w:rStyle w:val="Hyperlink"/>
                <w:noProof/>
              </w:rPr>
              <w:t>3.1.3. Isplate otpremnine u privatnom sektoru</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_Toc365828839 \h </w:instrText>
            </w:r>
            <w:r w:rsidR="00726FF8" w:rsidRPr="00B4742D">
              <w:rPr>
                <w:noProof/>
                <w:webHidden/>
              </w:rPr>
            </w:r>
            <w:r w:rsidR="00726FF8" w:rsidRPr="00B4742D">
              <w:rPr>
                <w:noProof/>
                <w:webHidden/>
              </w:rPr>
              <w:fldChar w:fldCharType="separate"/>
            </w:r>
            <w:r w:rsidR="00725AF6">
              <w:rPr>
                <w:noProof/>
                <w:webHidden/>
              </w:rPr>
              <w:t>32</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40" w:history="1">
            <w:r w:rsidR="00726FF8" w:rsidRPr="00B4742D">
              <w:rPr>
                <w:rStyle w:val="Hyperlink"/>
                <w:noProof/>
              </w:rPr>
              <w:t>4. Uređenje sustava otpremnina u drugim državama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_Toc365828840 \h </w:instrText>
            </w:r>
            <w:r w:rsidR="00726FF8" w:rsidRPr="00B4742D">
              <w:rPr>
                <w:noProof/>
                <w:webHidden/>
              </w:rPr>
            </w:r>
            <w:r w:rsidR="00726FF8" w:rsidRPr="00B4742D">
              <w:rPr>
                <w:noProof/>
                <w:webHidden/>
              </w:rPr>
              <w:fldChar w:fldCharType="separate"/>
            </w:r>
            <w:r w:rsidR="00725AF6">
              <w:rPr>
                <w:noProof/>
                <w:webHidden/>
              </w:rPr>
              <w:t>33</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41" w:history="1">
            <w:r w:rsidR="00726FF8" w:rsidRPr="00B4742D">
              <w:rPr>
                <w:rStyle w:val="Hyperlink"/>
                <w:noProof/>
              </w:rPr>
              <w:t>4.1. Uređenje otpremnina u državama članicama Europska unije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_Toc365828841 \h </w:instrText>
            </w:r>
            <w:r w:rsidR="00726FF8" w:rsidRPr="00B4742D">
              <w:rPr>
                <w:noProof/>
                <w:webHidden/>
              </w:rPr>
            </w:r>
            <w:r w:rsidR="00726FF8" w:rsidRPr="00B4742D">
              <w:rPr>
                <w:noProof/>
                <w:webHidden/>
              </w:rPr>
              <w:fldChar w:fldCharType="separate"/>
            </w:r>
            <w:r w:rsidR="00725AF6">
              <w:rPr>
                <w:noProof/>
                <w:webHidden/>
              </w:rPr>
              <w:t>33</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42" w:history="1">
            <w:r w:rsidR="00726FF8" w:rsidRPr="00B4742D">
              <w:rPr>
                <w:rStyle w:val="Hyperlink"/>
                <w:noProof/>
              </w:rPr>
              <w:t>4.1.1. Uređenje otpremnina u državama članicama Europska unije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_Toc365828842 \h </w:instrText>
            </w:r>
            <w:r w:rsidR="00726FF8" w:rsidRPr="00B4742D">
              <w:rPr>
                <w:noProof/>
                <w:webHidden/>
              </w:rPr>
            </w:r>
            <w:r w:rsidR="00726FF8" w:rsidRPr="00B4742D">
              <w:rPr>
                <w:noProof/>
                <w:webHidden/>
              </w:rPr>
              <w:fldChar w:fldCharType="separate"/>
            </w:r>
            <w:r w:rsidR="00725AF6">
              <w:rPr>
                <w:noProof/>
                <w:webHidden/>
              </w:rPr>
              <w:t>33</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43" w:history="1">
            <w:r w:rsidR="00726FF8" w:rsidRPr="00B4742D">
              <w:rPr>
                <w:rStyle w:val="Hyperlink"/>
                <w:noProof/>
              </w:rPr>
              <w:t>4.1.2. Gospodarski učinci otpremnina u državama članicama Europska unije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_Toc365828843 \h </w:instrText>
            </w:r>
            <w:r w:rsidR="00726FF8" w:rsidRPr="00B4742D">
              <w:rPr>
                <w:noProof/>
                <w:webHidden/>
              </w:rPr>
            </w:r>
            <w:r w:rsidR="00726FF8" w:rsidRPr="00B4742D">
              <w:rPr>
                <w:noProof/>
                <w:webHidden/>
              </w:rPr>
              <w:fldChar w:fldCharType="separate"/>
            </w:r>
            <w:r w:rsidR="00725AF6">
              <w:rPr>
                <w:noProof/>
                <w:webHidden/>
              </w:rPr>
              <w:t>36</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44" w:history="1">
            <w:r w:rsidR="00726FF8" w:rsidRPr="00B4742D">
              <w:rPr>
                <w:rStyle w:val="Hyperlink"/>
                <w:noProof/>
              </w:rPr>
              <w:t>4.2. Uređenje otpremnina u susjednim i relevantnim državama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_Toc365828844 \h </w:instrText>
            </w:r>
            <w:r w:rsidR="00726FF8" w:rsidRPr="00B4742D">
              <w:rPr>
                <w:noProof/>
                <w:webHidden/>
              </w:rPr>
            </w:r>
            <w:r w:rsidR="00726FF8" w:rsidRPr="00B4742D">
              <w:rPr>
                <w:noProof/>
                <w:webHidden/>
              </w:rPr>
              <w:fldChar w:fldCharType="separate"/>
            </w:r>
            <w:r w:rsidR="00725AF6">
              <w:rPr>
                <w:noProof/>
                <w:webHidden/>
              </w:rPr>
              <w:t>38</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45" w:history="1">
            <w:r w:rsidR="00726FF8" w:rsidRPr="00B4742D">
              <w:rPr>
                <w:rStyle w:val="Hyperlink"/>
                <w:noProof/>
              </w:rPr>
              <w:t>5. Reforma nacionalnog sustava otpremnina u Republici Austriji</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_Toc365828845 \h </w:instrText>
            </w:r>
            <w:r w:rsidR="00726FF8" w:rsidRPr="00B4742D">
              <w:rPr>
                <w:noProof/>
                <w:webHidden/>
              </w:rPr>
            </w:r>
            <w:r w:rsidR="00726FF8" w:rsidRPr="00B4742D">
              <w:rPr>
                <w:noProof/>
                <w:webHidden/>
              </w:rPr>
              <w:fldChar w:fldCharType="separate"/>
            </w:r>
            <w:r w:rsidR="00725AF6">
              <w:rPr>
                <w:noProof/>
                <w:webHidden/>
              </w:rPr>
              <w:t>39</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46" w:history="1">
            <w:r w:rsidR="00726FF8" w:rsidRPr="00B4742D">
              <w:rPr>
                <w:rStyle w:val="Hyperlink"/>
                <w:noProof/>
              </w:rPr>
              <w:t>5.1. Stanje prije reforme nacionalnog sustava otpremnina u Republici Austriji 2003. godine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_Toc365828846 \h </w:instrText>
            </w:r>
            <w:r w:rsidR="00726FF8" w:rsidRPr="00B4742D">
              <w:rPr>
                <w:noProof/>
                <w:webHidden/>
              </w:rPr>
            </w:r>
            <w:r w:rsidR="00726FF8" w:rsidRPr="00B4742D">
              <w:rPr>
                <w:noProof/>
                <w:webHidden/>
              </w:rPr>
              <w:fldChar w:fldCharType="separate"/>
            </w:r>
            <w:r w:rsidR="00725AF6">
              <w:rPr>
                <w:noProof/>
                <w:webHidden/>
              </w:rPr>
              <w:t>39</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47" w:history="1">
            <w:r w:rsidR="00726FF8" w:rsidRPr="00B4742D">
              <w:rPr>
                <w:rStyle w:val="Hyperlink"/>
                <w:noProof/>
              </w:rPr>
              <w:t>5.2. Novi austrijski nacionalni sustav otpremnina nakon reforme nacionalnog sustava otpremnina u Republici Austriji 2003. godine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_Toc365828847 \h </w:instrText>
            </w:r>
            <w:r w:rsidR="00726FF8" w:rsidRPr="00B4742D">
              <w:rPr>
                <w:noProof/>
                <w:webHidden/>
              </w:rPr>
            </w:r>
            <w:r w:rsidR="00726FF8" w:rsidRPr="00B4742D">
              <w:rPr>
                <w:noProof/>
                <w:webHidden/>
              </w:rPr>
              <w:fldChar w:fldCharType="separate"/>
            </w:r>
            <w:r w:rsidR="00725AF6">
              <w:rPr>
                <w:noProof/>
                <w:webHidden/>
              </w:rPr>
              <w:t>40</w:t>
            </w:r>
            <w:r w:rsidR="00726FF8" w:rsidRPr="00B4742D">
              <w:rPr>
                <w:noProof/>
                <w:webHidden/>
              </w:rPr>
              <w:fldChar w:fldCharType="end"/>
            </w:r>
          </w:hyperlink>
        </w:p>
        <w:p w:rsidR="00726FF8" w:rsidRPr="00B4742D" w:rsidRDefault="00EC7D9A">
          <w:pPr>
            <w:pStyle w:val="TOC2"/>
            <w:tabs>
              <w:tab w:val="right" w:pos="9536"/>
            </w:tabs>
            <w:rPr>
              <w:rFonts w:asciiTheme="minorHAnsi" w:eastAsiaTheme="minorEastAsia" w:hAnsiTheme="minorHAnsi" w:cstheme="minorBidi"/>
              <w:bCs w:val="0"/>
              <w:noProof/>
              <w:color w:val="auto"/>
              <w:sz w:val="22"/>
              <w:szCs w:val="22"/>
            </w:rPr>
          </w:pPr>
          <w:hyperlink w:anchor="_Toc365828848" w:history="1">
            <w:r w:rsidR="00726FF8" w:rsidRPr="00B4742D">
              <w:rPr>
                <w:rStyle w:val="Hyperlink"/>
                <w:noProof/>
              </w:rPr>
              <w:t>5.3. Pouke novog austrijskog nacionalnog sustava otpremnina nakon reforme nacionalnog sustava otpremnina u Republici Austriji 2003. godine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_Toc365828848 \h </w:instrText>
            </w:r>
            <w:r w:rsidR="00726FF8" w:rsidRPr="00B4742D">
              <w:rPr>
                <w:noProof/>
                <w:webHidden/>
              </w:rPr>
            </w:r>
            <w:r w:rsidR="00726FF8" w:rsidRPr="00B4742D">
              <w:rPr>
                <w:noProof/>
                <w:webHidden/>
              </w:rPr>
              <w:fldChar w:fldCharType="separate"/>
            </w:r>
            <w:r w:rsidR="00725AF6">
              <w:rPr>
                <w:noProof/>
                <w:webHidden/>
              </w:rPr>
              <w:t>42</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49" w:history="1">
            <w:r w:rsidR="00726FF8" w:rsidRPr="00B4742D">
              <w:rPr>
                <w:rStyle w:val="Hyperlink"/>
                <w:noProof/>
              </w:rPr>
              <w:t>5.3.1. Pokrivenost</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_Toc365828849 \h </w:instrText>
            </w:r>
            <w:r w:rsidR="00726FF8" w:rsidRPr="00B4742D">
              <w:rPr>
                <w:noProof/>
                <w:webHidden/>
              </w:rPr>
            </w:r>
            <w:r w:rsidR="00726FF8" w:rsidRPr="00B4742D">
              <w:rPr>
                <w:noProof/>
                <w:webHidden/>
              </w:rPr>
              <w:fldChar w:fldCharType="separate"/>
            </w:r>
            <w:r w:rsidR="00725AF6">
              <w:rPr>
                <w:noProof/>
                <w:webHidden/>
              </w:rPr>
              <w:t>42</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50" w:history="1">
            <w:r w:rsidR="00726FF8" w:rsidRPr="00B4742D">
              <w:rPr>
                <w:rStyle w:val="Hyperlink"/>
                <w:noProof/>
              </w:rPr>
              <w:t>5.3.2. Mobilnost radne snage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_Toc365828850 \h </w:instrText>
            </w:r>
            <w:r w:rsidR="00726FF8" w:rsidRPr="00B4742D">
              <w:rPr>
                <w:noProof/>
                <w:webHidden/>
              </w:rPr>
            </w:r>
            <w:r w:rsidR="00726FF8" w:rsidRPr="00B4742D">
              <w:rPr>
                <w:noProof/>
                <w:webHidden/>
              </w:rPr>
              <w:fldChar w:fldCharType="separate"/>
            </w:r>
            <w:r w:rsidR="00725AF6">
              <w:rPr>
                <w:noProof/>
                <w:webHidden/>
              </w:rPr>
              <w:t>43</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51" w:history="1">
            <w:r w:rsidR="00726FF8" w:rsidRPr="00B4742D">
              <w:rPr>
                <w:rStyle w:val="Hyperlink"/>
                <w:noProof/>
              </w:rPr>
              <w:t>5.3.3. Akumulacija kapitala i stopa povrata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_Toc365828851 \h </w:instrText>
            </w:r>
            <w:r w:rsidR="00726FF8" w:rsidRPr="00B4742D">
              <w:rPr>
                <w:noProof/>
                <w:webHidden/>
              </w:rPr>
            </w:r>
            <w:r w:rsidR="00726FF8" w:rsidRPr="00B4742D">
              <w:rPr>
                <w:noProof/>
                <w:webHidden/>
              </w:rPr>
              <w:fldChar w:fldCharType="separate"/>
            </w:r>
            <w:r w:rsidR="00725AF6">
              <w:rPr>
                <w:noProof/>
                <w:webHidden/>
              </w:rPr>
              <w:t>45</w:t>
            </w:r>
            <w:r w:rsidR="00726FF8" w:rsidRPr="00B4742D">
              <w:rPr>
                <w:noProof/>
                <w:webHidden/>
              </w:rPr>
              <w:fldChar w:fldCharType="end"/>
            </w:r>
          </w:hyperlink>
        </w:p>
        <w:p w:rsidR="00726FF8" w:rsidRPr="00B4742D" w:rsidRDefault="00EC7D9A">
          <w:pPr>
            <w:pStyle w:val="TOC3"/>
            <w:tabs>
              <w:tab w:val="right" w:pos="9536"/>
            </w:tabs>
            <w:rPr>
              <w:rFonts w:asciiTheme="minorHAnsi" w:eastAsiaTheme="minorEastAsia" w:hAnsiTheme="minorHAnsi" w:cstheme="minorBidi"/>
              <w:bCs w:val="0"/>
              <w:noProof/>
              <w:color w:val="auto"/>
              <w:sz w:val="22"/>
              <w:szCs w:val="22"/>
            </w:rPr>
          </w:pPr>
          <w:hyperlink w:anchor="_Toc365828852" w:history="1">
            <w:r w:rsidR="00726FF8" w:rsidRPr="00B4742D">
              <w:rPr>
                <w:rStyle w:val="Hyperlink"/>
                <w:noProof/>
              </w:rPr>
              <w:t>5.3.4. Zaključno o novom austrijskom nacionalnom sustavu otpremnina nakon reforme nacionalnog sustava otpremnina u Republici Austriji 2003. godine</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_Toc365828852 \h </w:instrText>
            </w:r>
            <w:r w:rsidR="00726FF8" w:rsidRPr="00B4742D">
              <w:rPr>
                <w:noProof/>
                <w:webHidden/>
              </w:rPr>
            </w:r>
            <w:r w:rsidR="00726FF8" w:rsidRPr="00B4742D">
              <w:rPr>
                <w:noProof/>
                <w:webHidden/>
              </w:rPr>
              <w:fldChar w:fldCharType="separate"/>
            </w:r>
            <w:r w:rsidR="00725AF6">
              <w:rPr>
                <w:noProof/>
                <w:webHidden/>
              </w:rPr>
              <w:t>47</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53" w:history="1">
            <w:r w:rsidR="00726FF8" w:rsidRPr="00B4742D">
              <w:rPr>
                <w:rStyle w:val="Hyperlink"/>
                <w:noProof/>
              </w:rPr>
              <w:t>6. Usporedba relevantnih ekonomskih kategorija Republike Hrvatske i Republike Austrije te refleksije na hrvatsko tržište rada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_Toc365828853 \h </w:instrText>
            </w:r>
            <w:r w:rsidR="00726FF8" w:rsidRPr="00B4742D">
              <w:rPr>
                <w:noProof/>
                <w:webHidden/>
              </w:rPr>
            </w:r>
            <w:r w:rsidR="00726FF8" w:rsidRPr="00B4742D">
              <w:rPr>
                <w:noProof/>
                <w:webHidden/>
              </w:rPr>
              <w:fldChar w:fldCharType="separate"/>
            </w:r>
            <w:r w:rsidR="00725AF6">
              <w:rPr>
                <w:noProof/>
                <w:webHidden/>
              </w:rPr>
              <w:t>49</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54" w:history="1">
            <w:r w:rsidR="00726FF8" w:rsidRPr="00B4742D">
              <w:rPr>
                <w:rStyle w:val="Hyperlink"/>
                <w:noProof/>
              </w:rPr>
              <w:t>7. Simulacija primjene modela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_Toc365828854 \h </w:instrText>
            </w:r>
            <w:r w:rsidR="00726FF8" w:rsidRPr="00B4742D">
              <w:rPr>
                <w:noProof/>
                <w:webHidden/>
              </w:rPr>
            </w:r>
            <w:r w:rsidR="00726FF8" w:rsidRPr="00B4742D">
              <w:rPr>
                <w:noProof/>
                <w:webHidden/>
              </w:rPr>
              <w:fldChar w:fldCharType="separate"/>
            </w:r>
            <w:r w:rsidR="00725AF6">
              <w:rPr>
                <w:noProof/>
                <w:webHidden/>
              </w:rPr>
              <w:t>53</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55" w:history="1">
            <w:r w:rsidR="00726FF8" w:rsidRPr="00B4742D">
              <w:rPr>
                <w:rStyle w:val="Hyperlink"/>
                <w:noProof/>
              </w:rPr>
              <w:t>8. Načelna otvorena pitanja u pogledu reforme i uređenja sustava otpremnina u Republici Hrvatskoj te pristupi njihovom razrješenju</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_Toc365828855 \h </w:instrText>
            </w:r>
            <w:r w:rsidR="00726FF8" w:rsidRPr="00B4742D">
              <w:rPr>
                <w:noProof/>
                <w:webHidden/>
              </w:rPr>
            </w:r>
            <w:r w:rsidR="00726FF8" w:rsidRPr="00B4742D">
              <w:rPr>
                <w:noProof/>
                <w:webHidden/>
              </w:rPr>
              <w:fldChar w:fldCharType="separate"/>
            </w:r>
            <w:r w:rsidR="00725AF6">
              <w:rPr>
                <w:noProof/>
                <w:webHidden/>
              </w:rPr>
              <w:t>56</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56" w:history="1">
            <w:r w:rsidR="00726FF8" w:rsidRPr="00B4742D">
              <w:rPr>
                <w:rStyle w:val="Hyperlink"/>
                <w:noProof/>
              </w:rPr>
              <w:t>9. Zaključno o prednostima i nedostacima uvođenja novog modela nacionalnog sustava otpremnina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_Toc365828856 \h </w:instrText>
            </w:r>
            <w:r w:rsidR="00726FF8" w:rsidRPr="00B4742D">
              <w:rPr>
                <w:noProof/>
                <w:webHidden/>
              </w:rPr>
            </w:r>
            <w:r w:rsidR="00726FF8" w:rsidRPr="00B4742D">
              <w:rPr>
                <w:noProof/>
                <w:webHidden/>
              </w:rPr>
              <w:fldChar w:fldCharType="separate"/>
            </w:r>
            <w:r w:rsidR="00725AF6">
              <w:rPr>
                <w:noProof/>
                <w:webHidden/>
              </w:rPr>
              <w:t>57</w:t>
            </w:r>
            <w:r w:rsidR="00726FF8" w:rsidRPr="00B4742D">
              <w:rPr>
                <w:noProof/>
                <w:webHidden/>
              </w:rPr>
              <w:fldChar w:fldCharType="end"/>
            </w:r>
          </w:hyperlink>
        </w:p>
        <w:p w:rsidR="00726FF8" w:rsidRPr="00B4742D" w:rsidRDefault="00EC7D9A">
          <w:pPr>
            <w:pStyle w:val="TOC1"/>
            <w:tabs>
              <w:tab w:val="right" w:pos="9536"/>
            </w:tabs>
            <w:rPr>
              <w:rFonts w:asciiTheme="minorHAnsi" w:eastAsiaTheme="minorEastAsia" w:hAnsiTheme="minorHAnsi" w:cstheme="minorBidi"/>
              <w:bCs w:val="0"/>
              <w:noProof/>
              <w:color w:val="auto"/>
              <w:sz w:val="22"/>
              <w:szCs w:val="22"/>
            </w:rPr>
          </w:pPr>
          <w:hyperlink w:anchor="_Toc365828857" w:history="1">
            <w:r w:rsidR="00726FF8" w:rsidRPr="00B4742D">
              <w:rPr>
                <w:rStyle w:val="Hyperlink"/>
                <w:noProof/>
              </w:rPr>
              <w:t>10. Literatura</w:t>
            </w:r>
            <w:r w:rsidR="00726FF8" w:rsidRPr="00B4742D">
              <w:rPr>
                <w:noProof/>
                <w:webHidden/>
              </w:rPr>
              <w:tab/>
            </w:r>
            <w:r w:rsidR="00726FF8" w:rsidRPr="00B4742D">
              <w:rPr>
                <w:noProof/>
                <w:webHidden/>
              </w:rPr>
              <w:fldChar w:fldCharType="begin"/>
            </w:r>
            <w:r w:rsidR="00726FF8" w:rsidRPr="00B4742D">
              <w:rPr>
                <w:noProof/>
                <w:webHidden/>
              </w:rPr>
              <w:instrText xml:space="preserve"> PAGEREF _Toc365828857 \h </w:instrText>
            </w:r>
            <w:r w:rsidR="00726FF8" w:rsidRPr="00B4742D">
              <w:rPr>
                <w:noProof/>
                <w:webHidden/>
              </w:rPr>
            </w:r>
            <w:r w:rsidR="00726FF8" w:rsidRPr="00B4742D">
              <w:rPr>
                <w:noProof/>
                <w:webHidden/>
              </w:rPr>
              <w:fldChar w:fldCharType="separate"/>
            </w:r>
            <w:r w:rsidR="00725AF6">
              <w:rPr>
                <w:noProof/>
                <w:webHidden/>
              </w:rPr>
              <w:t>62</w:t>
            </w:r>
            <w:r w:rsidR="00726FF8" w:rsidRPr="00B4742D">
              <w:rPr>
                <w:noProof/>
                <w:webHidden/>
              </w:rPr>
              <w:fldChar w:fldCharType="end"/>
            </w:r>
          </w:hyperlink>
        </w:p>
        <w:p w:rsidR="00726FF8" w:rsidRPr="00B4742D" w:rsidRDefault="00726FF8">
          <w:r w:rsidRPr="00B4742D">
            <w:rPr>
              <w:b/>
              <w:noProof/>
            </w:rPr>
            <w:fldChar w:fldCharType="end"/>
          </w:r>
        </w:p>
      </w:sdtContent>
    </w:sdt>
    <w:p w:rsidR="00726FF8" w:rsidRPr="00B4742D" w:rsidRDefault="00726FF8">
      <w:pPr>
        <w:tabs>
          <w:tab w:val="clear" w:pos="0"/>
          <w:tab w:val="clear" w:pos="9360"/>
        </w:tabs>
        <w:spacing w:line="240" w:lineRule="auto"/>
        <w:jc w:val="left"/>
        <w:rPr>
          <w:rFonts w:ascii="Arial" w:eastAsia="Lucida Sans Unicode" w:hAnsi="Arial" w:cs="Arial"/>
          <w:b/>
          <w:bCs w:val="0"/>
          <w:sz w:val="32"/>
          <w:szCs w:val="32"/>
        </w:rPr>
      </w:pPr>
      <w:r w:rsidRPr="00B4742D">
        <w:br w:type="page"/>
      </w:r>
    </w:p>
    <w:p w:rsidR="00482542" w:rsidRPr="00B4742D" w:rsidRDefault="0082108F" w:rsidP="00DC670F">
      <w:pPr>
        <w:pStyle w:val="Heading1"/>
      </w:pPr>
      <w:bookmarkStart w:id="2" w:name="_Toc365828820"/>
      <w:r w:rsidRPr="00B4742D">
        <w:lastRenderedPageBreak/>
        <w:t>Analiza sustava otpremnina u Republici Hrvatskoj</w:t>
      </w:r>
      <w:r w:rsidR="00FB0E94" w:rsidRPr="00B4742D">
        <w:t xml:space="preserve">: </w:t>
      </w:r>
      <w:r w:rsidR="00D738D5" w:rsidRPr="00B4742D">
        <w:t>s</w:t>
      </w:r>
      <w:r w:rsidRPr="00B4742D">
        <w:t>adašnje uređenje i promišljanje izmjena</w:t>
      </w:r>
      <w:bookmarkEnd w:id="2"/>
    </w:p>
    <w:p w:rsidR="00482542" w:rsidRPr="00B4742D" w:rsidRDefault="00482542" w:rsidP="00DC670F">
      <w:pPr>
        <w:spacing w:line="240" w:lineRule="auto"/>
      </w:pPr>
    </w:p>
    <w:p w:rsidR="001B1BF3" w:rsidRPr="00B4742D" w:rsidRDefault="001B1BF3" w:rsidP="00DC670F">
      <w:pPr>
        <w:pStyle w:val="Heading1"/>
      </w:pPr>
      <w:bookmarkStart w:id="3" w:name="_Toc365828821"/>
      <w:r w:rsidRPr="00B4742D">
        <w:t xml:space="preserve">0. </w:t>
      </w:r>
      <w:r w:rsidR="0082108F" w:rsidRPr="00B4742D">
        <w:t>Sažetak</w:t>
      </w:r>
      <w:bookmarkEnd w:id="3"/>
    </w:p>
    <w:p w:rsidR="001B1BF3" w:rsidRPr="00B4742D" w:rsidRDefault="001B1BF3" w:rsidP="00466D80">
      <w:pPr>
        <w:spacing w:line="240" w:lineRule="auto"/>
      </w:pPr>
    </w:p>
    <w:p w:rsidR="00311C21" w:rsidRPr="00B4742D" w:rsidRDefault="003D0744" w:rsidP="00220386">
      <w:pPr>
        <w:spacing w:line="240" w:lineRule="auto"/>
      </w:pPr>
      <w:r w:rsidRPr="00B4742D">
        <w:t xml:space="preserve">Nacionalni sustav otpremnina, njegova uređenost zakonom i drugim izvorima, praksa i praktična primjena, pa i moguće izmjene i dopune zakonske i druge </w:t>
      </w:r>
      <w:r w:rsidR="00BF0FBC" w:rsidRPr="00B4742D">
        <w:t xml:space="preserve">pravne </w:t>
      </w:r>
      <w:r w:rsidRPr="00B4742D">
        <w:t>osnovanosti</w:t>
      </w:r>
      <w:r w:rsidR="00220386" w:rsidRPr="00B4742D">
        <w:t xml:space="preserve"> toga sustava</w:t>
      </w:r>
      <w:r w:rsidRPr="00B4742D">
        <w:t xml:space="preserve">, </w:t>
      </w:r>
      <w:r w:rsidR="00BF0FBC" w:rsidRPr="00B4742D">
        <w:t>posljedični</w:t>
      </w:r>
      <w:r w:rsidRPr="00B4742D">
        <w:t xml:space="preserve"> </w:t>
      </w:r>
      <w:r w:rsidR="00220386" w:rsidRPr="00B4742D">
        <w:t>su</w:t>
      </w:r>
      <w:r w:rsidRPr="00B4742D">
        <w:t xml:space="preserve"> promišljanj</w:t>
      </w:r>
      <w:r w:rsidR="00BF0FBC" w:rsidRPr="00B4742D">
        <w:t>u</w:t>
      </w:r>
      <w:r w:rsidRPr="00B4742D">
        <w:t xml:space="preserve"> odnosa individualnih i socijalnih implikacija prestanka ugovora o radu, odnosno radnog odnosa, na neki od Zakonom o radu propisanih</w:t>
      </w:r>
      <w:r w:rsidR="00311C21" w:rsidRPr="00B4742D">
        <w:t xml:space="preserve"> načina</w:t>
      </w:r>
      <w:r w:rsidR="006854F2" w:rsidRPr="00B4742D">
        <w:t xml:space="preserve">. </w:t>
      </w:r>
    </w:p>
    <w:p w:rsidR="00311C21" w:rsidRPr="00B4742D" w:rsidRDefault="00311C21" w:rsidP="00220386">
      <w:pPr>
        <w:spacing w:line="240" w:lineRule="auto"/>
      </w:pPr>
    </w:p>
    <w:p w:rsidR="006377F0" w:rsidRPr="002017C6" w:rsidRDefault="006854F2" w:rsidP="00220386">
      <w:pPr>
        <w:spacing w:line="240" w:lineRule="auto"/>
      </w:pPr>
      <w:r w:rsidRPr="00B4742D">
        <w:t xml:space="preserve">Svaka je promjena u nacionalnom sustavu otpremnina nužno povezana s </w:t>
      </w:r>
      <w:r w:rsidR="003D0744" w:rsidRPr="00B4742D">
        <w:t>redefiniranje</w:t>
      </w:r>
      <w:r w:rsidRPr="00B4742D">
        <w:t>m</w:t>
      </w:r>
      <w:r w:rsidR="003D0744" w:rsidRPr="00B4742D">
        <w:t xml:space="preserve"> i nov</w:t>
      </w:r>
      <w:r w:rsidRPr="00B4742D">
        <w:t>im</w:t>
      </w:r>
      <w:r w:rsidR="003D0744" w:rsidRPr="00B4742D">
        <w:t xml:space="preserve"> uravnoteženje</w:t>
      </w:r>
      <w:r w:rsidRPr="00B4742D">
        <w:t>m</w:t>
      </w:r>
      <w:r w:rsidR="003D0744" w:rsidRPr="00B4742D">
        <w:t xml:space="preserve"> radnikovih i poslodavčevih interesa, silnica sigurnosti i fleksibilnosti u radnom odnosu</w:t>
      </w:r>
      <w:r w:rsidRPr="00B4742D">
        <w:t xml:space="preserve"> te podrazumijeva potrebu obrade i analize odrednica </w:t>
      </w:r>
      <w:r w:rsidR="006377F0" w:rsidRPr="00B4742D">
        <w:t>nacionaln</w:t>
      </w:r>
      <w:r w:rsidRPr="00B4742D">
        <w:t>og</w:t>
      </w:r>
      <w:r w:rsidR="006377F0" w:rsidRPr="00B4742D">
        <w:t xml:space="preserve"> sustav</w:t>
      </w:r>
      <w:r w:rsidRPr="00B4742D">
        <w:t>a</w:t>
      </w:r>
      <w:r w:rsidR="00951F6C" w:rsidRPr="00B4742D">
        <w:t xml:space="preserve"> otpremnina. </w:t>
      </w:r>
      <w:r w:rsidRPr="00B4742D">
        <w:t xml:space="preserve">S tim ciljem </w:t>
      </w:r>
      <w:r w:rsidR="00951F6C" w:rsidRPr="00B4742D">
        <w:t xml:space="preserve">ovo izvješće nastoji prikazati i analizirati sve povezane odrednice </w:t>
      </w:r>
      <w:r w:rsidR="00CE5B73" w:rsidRPr="002017C6">
        <w:t xml:space="preserve">nacionalnog </w:t>
      </w:r>
      <w:r w:rsidR="00951F6C" w:rsidRPr="002017C6">
        <w:t xml:space="preserve">sustava otpremnina </w:t>
      </w:r>
      <w:r w:rsidR="00311C21" w:rsidRPr="002017C6">
        <w:t>kao što su</w:t>
      </w:r>
      <w:r w:rsidR="00A30DB8" w:rsidRPr="002017C6">
        <w:t>:</w:t>
      </w:r>
    </w:p>
    <w:p w:rsidR="00A30DB8" w:rsidRPr="00C7332E" w:rsidRDefault="00A30DB8" w:rsidP="00743034">
      <w:pPr>
        <w:pStyle w:val="ListParagraph"/>
        <w:numPr>
          <w:ilvl w:val="0"/>
          <w:numId w:val="3"/>
        </w:numPr>
        <w:ind w:left="567" w:hanging="567"/>
        <w:jc w:val="both"/>
      </w:pPr>
      <w:r w:rsidRPr="009336BF">
        <w:t>pregled teorijskih k</w:t>
      </w:r>
      <w:r w:rsidR="006854F2" w:rsidRPr="009336BF">
        <w:t>valifikacija</w:t>
      </w:r>
      <w:r w:rsidRPr="00C7332E">
        <w:t xml:space="preserve"> i odrednica ostvarenih u nacionalnom sustavu otpremnina;</w:t>
      </w:r>
    </w:p>
    <w:p w:rsidR="00A30DB8" w:rsidRPr="006C4F67" w:rsidRDefault="00A30DB8" w:rsidP="00743034">
      <w:pPr>
        <w:pStyle w:val="ListParagraph"/>
        <w:numPr>
          <w:ilvl w:val="0"/>
          <w:numId w:val="3"/>
        </w:numPr>
        <w:ind w:left="567" w:hanging="567"/>
        <w:jc w:val="both"/>
      </w:pPr>
      <w:r w:rsidRPr="00C7332E">
        <w:t>pregled uređenja nacionalnog sustava otpremnina kroz zakonsk</w:t>
      </w:r>
      <w:r w:rsidR="006854F2" w:rsidRPr="00C7332E">
        <w:t>a</w:t>
      </w:r>
      <w:r w:rsidRPr="006C4F67">
        <w:t xml:space="preserve"> i druga pravna uređenja;</w:t>
      </w:r>
    </w:p>
    <w:p w:rsidR="003D0744" w:rsidRPr="006C4F67" w:rsidRDefault="003D0744" w:rsidP="00743034">
      <w:pPr>
        <w:pStyle w:val="ListParagraph"/>
        <w:numPr>
          <w:ilvl w:val="0"/>
          <w:numId w:val="3"/>
        </w:numPr>
        <w:ind w:left="567" w:hanging="567"/>
        <w:jc w:val="both"/>
      </w:pPr>
      <w:r w:rsidRPr="006C4F67">
        <w:t xml:space="preserve">pregled uređenja </w:t>
      </w:r>
      <w:r w:rsidR="00A30DB8" w:rsidRPr="006C4F67">
        <w:t>različitih usporedivih nacionalnih sustava otpremnina;</w:t>
      </w:r>
    </w:p>
    <w:p w:rsidR="006854F2" w:rsidRPr="00E1401E" w:rsidRDefault="003D0744" w:rsidP="00743034">
      <w:pPr>
        <w:pStyle w:val="ListParagraph"/>
        <w:numPr>
          <w:ilvl w:val="0"/>
          <w:numId w:val="3"/>
        </w:numPr>
        <w:ind w:left="567" w:hanging="567"/>
        <w:jc w:val="both"/>
      </w:pPr>
      <w:r w:rsidRPr="00B74757">
        <w:t>poseban osvrt na aktualne reforme sustava otpremnina u relevantnim nacionalnim okruženjima</w:t>
      </w:r>
      <w:r w:rsidR="00A30DB8" w:rsidRPr="009769E7">
        <w:t>;</w:t>
      </w:r>
    </w:p>
    <w:p w:rsidR="006854F2" w:rsidRPr="008B2ED7" w:rsidRDefault="006854F2" w:rsidP="00743034">
      <w:pPr>
        <w:pStyle w:val="ListParagraph"/>
        <w:numPr>
          <w:ilvl w:val="0"/>
          <w:numId w:val="3"/>
        </w:numPr>
        <w:ind w:left="567" w:hanging="567"/>
        <w:jc w:val="both"/>
      </w:pPr>
      <w:r w:rsidRPr="00D00975">
        <w:t>predstavljanje scenarija izmjena i dopuna zakonskih i drugih pravnih uređenja</w:t>
      </w:r>
      <w:r w:rsidR="00A30DB8" w:rsidRPr="008B2ED7">
        <w:t xml:space="preserve">; </w:t>
      </w:r>
    </w:p>
    <w:p w:rsidR="006854F2" w:rsidRPr="008B2ED7" w:rsidRDefault="006854F2" w:rsidP="00743034">
      <w:pPr>
        <w:pStyle w:val="ListParagraph"/>
        <w:numPr>
          <w:ilvl w:val="0"/>
          <w:numId w:val="3"/>
        </w:numPr>
        <w:ind w:left="567" w:hanging="567"/>
        <w:jc w:val="both"/>
      </w:pPr>
      <w:r w:rsidRPr="008B2ED7">
        <w:t>procjenu praktičnih implikacija scenarija izmjena i dopuna zakonskih i drugih pravnih uređenja te njihovog učinka na nacionalni sustav otpremnina; i</w:t>
      </w:r>
      <w:r w:rsidR="00951F6C" w:rsidRPr="008B2ED7">
        <w:t xml:space="preserve"> na kraju </w:t>
      </w:r>
    </w:p>
    <w:p w:rsidR="00A30DB8" w:rsidRPr="00B4742D" w:rsidRDefault="006854F2" w:rsidP="00743034">
      <w:pPr>
        <w:pStyle w:val="ListParagraph"/>
        <w:numPr>
          <w:ilvl w:val="0"/>
          <w:numId w:val="3"/>
        </w:numPr>
        <w:ind w:left="567" w:hanging="567"/>
        <w:jc w:val="both"/>
      </w:pPr>
      <w:r w:rsidRPr="00B4742D">
        <w:t>zaključne prijedloge i primjedbe</w:t>
      </w:r>
      <w:r w:rsidR="00A30DB8" w:rsidRPr="00B4742D">
        <w:t>.</w:t>
      </w:r>
    </w:p>
    <w:p w:rsidR="00A30DB8" w:rsidRPr="00B4742D" w:rsidRDefault="00A30DB8" w:rsidP="00466D80">
      <w:pPr>
        <w:spacing w:line="240" w:lineRule="auto"/>
      </w:pPr>
    </w:p>
    <w:p w:rsidR="008B2ED7" w:rsidRDefault="00311C21" w:rsidP="00466D80">
      <w:pPr>
        <w:spacing w:line="240" w:lineRule="auto"/>
      </w:pPr>
      <w:r w:rsidRPr="00B4742D">
        <w:rPr>
          <w:rStyle w:val="Strong"/>
          <w:b w:val="0"/>
          <w:color w:val="333333"/>
        </w:rPr>
        <w:t xml:space="preserve">Promišljanja predlagača zakona, Zakona o radu i njegovih izmjena i dopuna, a posljedično diskusije njegovih socijalnih partnera, sindikata i udruga poslodavaca, usmjerena su prema </w:t>
      </w:r>
      <w:r w:rsidR="006377F0" w:rsidRPr="00B4742D">
        <w:rPr>
          <w:rStyle w:val="Strong"/>
          <w:b w:val="0"/>
          <w:color w:val="333333"/>
        </w:rPr>
        <w:t>razmatra</w:t>
      </w:r>
      <w:r w:rsidRPr="00B4742D">
        <w:rPr>
          <w:rStyle w:val="Strong"/>
          <w:b w:val="0"/>
          <w:color w:val="333333"/>
        </w:rPr>
        <w:t>nju</w:t>
      </w:r>
      <w:r w:rsidR="005D4C97" w:rsidRPr="00B4742D">
        <w:rPr>
          <w:rStyle w:val="Strong"/>
          <w:b w:val="0"/>
          <w:color w:val="333333"/>
        </w:rPr>
        <w:t xml:space="preserve"> mogućnost</w:t>
      </w:r>
      <w:r w:rsidR="00951F6C" w:rsidRPr="00B4742D">
        <w:rPr>
          <w:rStyle w:val="Strong"/>
          <w:b w:val="0"/>
          <w:color w:val="333333"/>
        </w:rPr>
        <w:t>i</w:t>
      </w:r>
      <w:r w:rsidR="005D4C97" w:rsidRPr="00B4742D">
        <w:rPr>
          <w:rStyle w:val="Strong"/>
          <w:b w:val="0"/>
          <w:color w:val="333333"/>
        </w:rPr>
        <w:t xml:space="preserve"> i smislenost</w:t>
      </w:r>
      <w:r w:rsidR="00951F6C" w:rsidRPr="00B4742D">
        <w:rPr>
          <w:rStyle w:val="Strong"/>
          <w:b w:val="0"/>
          <w:color w:val="333333"/>
        </w:rPr>
        <w:t>i</w:t>
      </w:r>
      <w:r w:rsidR="005D4C97" w:rsidRPr="00B4742D">
        <w:rPr>
          <w:rStyle w:val="Strong"/>
          <w:b w:val="0"/>
          <w:color w:val="333333"/>
        </w:rPr>
        <w:t xml:space="preserve"> </w:t>
      </w:r>
      <w:r w:rsidR="006377F0" w:rsidRPr="00B4742D">
        <w:rPr>
          <w:rStyle w:val="Strong"/>
          <w:b w:val="0"/>
          <w:color w:val="333333"/>
        </w:rPr>
        <w:t>osnivanj</w:t>
      </w:r>
      <w:r w:rsidR="005D4C97" w:rsidRPr="00B4742D">
        <w:rPr>
          <w:rStyle w:val="Strong"/>
          <w:b w:val="0"/>
          <w:color w:val="333333"/>
        </w:rPr>
        <w:t>a</w:t>
      </w:r>
      <w:r w:rsidR="006377F0" w:rsidRPr="00B4742D">
        <w:rPr>
          <w:rStyle w:val="Strong"/>
          <w:b w:val="0"/>
          <w:color w:val="333333"/>
        </w:rPr>
        <w:t xml:space="preserve"> fonda za otpremnine</w:t>
      </w:r>
      <w:r w:rsidRPr="00B4742D">
        <w:rPr>
          <w:rStyle w:val="Strong"/>
          <w:b w:val="0"/>
          <w:color w:val="333333"/>
        </w:rPr>
        <w:t xml:space="preserve"> u Republici Hrvatskoj</w:t>
      </w:r>
      <w:r w:rsidR="005D4C97" w:rsidRPr="00B4742D">
        <w:rPr>
          <w:rStyle w:val="Strong"/>
          <w:b w:val="0"/>
          <w:color w:val="333333"/>
        </w:rPr>
        <w:t>,</w:t>
      </w:r>
      <w:r w:rsidR="006377F0" w:rsidRPr="00B4742D">
        <w:rPr>
          <w:rStyle w:val="Strong"/>
          <w:b w:val="0"/>
          <w:color w:val="333333"/>
        </w:rPr>
        <w:t xml:space="preserve"> </w:t>
      </w:r>
      <w:r w:rsidR="005D4C97" w:rsidRPr="00B4742D">
        <w:rPr>
          <w:rStyle w:val="Strong"/>
          <w:b w:val="0"/>
          <w:color w:val="333333"/>
        </w:rPr>
        <w:t xml:space="preserve">s </w:t>
      </w:r>
      <w:r w:rsidR="006377F0" w:rsidRPr="00B4742D">
        <w:rPr>
          <w:rStyle w:val="Strong"/>
          <w:b w:val="0"/>
          <w:color w:val="333333"/>
        </w:rPr>
        <w:t>posebn</w:t>
      </w:r>
      <w:r w:rsidR="005D4C97" w:rsidRPr="00B4742D">
        <w:rPr>
          <w:rStyle w:val="Strong"/>
          <w:b w:val="0"/>
          <w:color w:val="333333"/>
        </w:rPr>
        <w:t>im</w:t>
      </w:r>
      <w:r w:rsidR="006377F0" w:rsidRPr="00B4742D">
        <w:rPr>
          <w:rStyle w:val="Strong"/>
          <w:b w:val="0"/>
          <w:color w:val="333333"/>
        </w:rPr>
        <w:t xml:space="preserve"> račun</w:t>
      </w:r>
      <w:r w:rsidR="005D4C97" w:rsidRPr="00B4742D">
        <w:rPr>
          <w:rStyle w:val="Strong"/>
          <w:b w:val="0"/>
          <w:color w:val="333333"/>
        </w:rPr>
        <w:t>ima radnika</w:t>
      </w:r>
      <w:r w:rsidR="006377F0" w:rsidRPr="00B4742D">
        <w:rPr>
          <w:rStyle w:val="Strong"/>
          <w:b w:val="0"/>
          <w:color w:val="333333"/>
        </w:rPr>
        <w:t xml:space="preserve"> na koj</w:t>
      </w:r>
      <w:r w:rsidR="005D4C97" w:rsidRPr="00B4742D">
        <w:rPr>
          <w:rStyle w:val="Strong"/>
          <w:b w:val="0"/>
          <w:color w:val="333333"/>
        </w:rPr>
        <w:t>e</w:t>
      </w:r>
      <w:r w:rsidR="006377F0" w:rsidRPr="00B4742D">
        <w:rPr>
          <w:rStyle w:val="Strong"/>
          <w:b w:val="0"/>
          <w:color w:val="333333"/>
        </w:rPr>
        <w:t xml:space="preserve"> bi poslodavci mjesečno uplaćivali određen</w:t>
      </w:r>
      <w:r w:rsidR="005D4C97" w:rsidRPr="00B4742D">
        <w:rPr>
          <w:rStyle w:val="Strong"/>
          <w:b w:val="0"/>
          <w:color w:val="333333"/>
        </w:rPr>
        <w:t>e</w:t>
      </w:r>
      <w:r w:rsidR="006377F0" w:rsidRPr="00B4742D">
        <w:rPr>
          <w:rStyle w:val="Strong"/>
          <w:b w:val="0"/>
          <w:color w:val="333333"/>
        </w:rPr>
        <w:t xml:space="preserve"> iznos</w:t>
      </w:r>
      <w:r w:rsidR="005D4C97" w:rsidRPr="00B4742D">
        <w:rPr>
          <w:rStyle w:val="Strong"/>
          <w:b w:val="0"/>
          <w:color w:val="333333"/>
        </w:rPr>
        <w:t>e</w:t>
      </w:r>
      <w:r w:rsidR="00951F6C" w:rsidRPr="00B4742D">
        <w:rPr>
          <w:rStyle w:val="Strong"/>
          <w:b w:val="0"/>
          <w:color w:val="333333"/>
        </w:rPr>
        <w:t>, tzv. "austrijskom modelu"</w:t>
      </w:r>
      <w:r w:rsidRPr="00B4742D">
        <w:rPr>
          <w:rStyle w:val="Strong"/>
          <w:b w:val="0"/>
          <w:color w:val="333333"/>
        </w:rPr>
        <w:t xml:space="preserve">. Time bi se </w:t>
      </w:r>
      <w:r w:rsidRPr="00B4742D">
        <w:rPr>
          <w:color w:val="333333"/>
        </w:rPr>
        <w:t>izgubile</w:t>
      </w:r>
      <w:r w:rsidR="006377F0" w:rsidRPr="00B4742D">
        <w:rPr>
          <w:color w:val="333333"/>
        </w:rPr>
        <w:t xml:space="preserve"> </w:t>
      </w:r>
      <w:r w:rsidRPr="00B4742D">
        <w:t>sadašnje definicije</w:t>
      </w:r>
      <w:r w:rsidR="006377F0" w:rsidRPr="00B4742D">
        <w:t xml:space="preserve"> </w:t>
      </w:r>
      <w:r w:rsidR="005D4C97" w:rsidRPr="00B4742D">
        <w:t>i uređenje</w:t>
      </w:r>
      <w:r w:rsidRPr="00B4742D">
        <w:t xml:space="preserve"> sustava otpremnina, a uspostavio bi se novi sustav u </w:t>
      </w:r>
      <w:r w:rsidR="005D4C97" w:rsidRPr="00B4742D">
        <w:t>po</w:t>
      </w:r>
      <w:r w:rsidR="006377F0" w:rsidRPr="00B4742D">
        <w:t xml:space="preserve">najvećoj mjeri </w:t>
      </w:r>
      <w:r w:rsidR="005D4C97" w:rsidRPr="00B4742D">
        <w:t>zasnovan</w:t>
      </w:r>
      <w:r w:rsidRPr="00B4742D">
        <w:t xml:space="preserve"> na obilježjima</w:t>
      </w:r>
      <w:r w:rsidR="005D4C97" w:rsidRPr="00B4742D">
        <w:t xml:space="preserve"> </w:t>
      </w:r>
      <w:r w:rsidRPr="00B4742D">
        <w:t xml:space="preserve">globalno inovativnog </w:t>
      </w:r>
      <w:r w:rsidR="005D4C97" w:rsidRPr="00B4742D">
        <w:t>reformirano</w:t>
      </w:r>
      <w:r w:rsidR="00CC15EC" w:rsidRPr="00B4742D">
        <w:t>g</w:t>
      </w:r>
      <w:r w:rsidR="005D4C97" w:rsidRPr="00B4742D">
        <w:t xml:space="preserve"> model</w:t>
      </w:r>
      <w:r w:rsidR="00CC15EC" w:rsidRPr="00B4742D">
        <w:t>a</w:t>
      </w:r>
      <w:r w:rsidR="005D4C97" w:rsidRPr="00B4742D">
        <w:t xml:space="preserve"> sustava otpremnina u Republici Austriji</w:t>
      </w:r>
      <w:r w:rsidR="006377F0" w:rsidRPr="00B4742D">
        <w:t xml:space="preserve">. </w:t>
      </w:r>
    </w:p>
    <w:p w:rsidR="008B2ED7" w:rsidRDefault="008B2ED7" w:rsidP="00466D80">
      <w:pPr>
        <w:spacing w:line="240" w:lineRule="auto"/>
      </w:pPr>
    </w:p>
    <w:p w:rsidR="008B2ED7" w:rsidRDefault="005D4C97" w:rsidP="00466D80">
      <w:pPr>
        <w:spacing w:line="240" w:lineRule="auto"/>
      </w:pPr>
      <w:r w:rsidRPr="008B2ED7">
        <w:t xml:space="preserve">S obzirom na </w:t>
      </w:r>
      <w:r w:rsidR="004E2535" w:rsidRPr="008B2ED7">
        <w:t>izražena</w:t>
      </w:r>
      <w:r w:rsidRPr="008B2ED7">
        <w:t xml:space="preserve"> pozitivna očekivanja od navedenog, a uvažavajući postojanja brojnih prepreka </w:t>
      </w:r>
      <w:r w:rsidR="004E2535" w:rsidRPr="008B2ED7">
        <w:t xml:space="preserve">među njima i </w:t>
      </w:r>
      <w:r w:rsidR="006377F0" w:rsidRPr="008B2ED7">
        <w:t>gospodarsk</w:t>
      </w:r>
      <w:r w:rsidR="004E2535" w:rsidRPr="008B2ED7">
        <w:t>ih</w:t>
      </w:r>
      <w:r w:rsidR="006377F0" w:rsidRPr="008B2ED7">
        <w:t xml:space="preserve"> </w:t>
      </w:r>
      <w:r w:rsidRPr="008B2ED7">
        <w:t>po</w:t>
      </w:r>
      <w:r w:rsidR="006377F0" w:rsidRPr="008B2ED7">
        <w:t>teškoć</w:t>
      </w:r>
      <w:r w:rsidR="004E2535" w:rsidRPr="008B2ED7">
        <w:t>a</w:t>
      </w:r>
      <w:r w:rsidRPr="008B2ED7">
        <w:t xml:space="preserve"> u Republici Hrvatskoj</w:t>
      </w:r>
      <w:r w:rsidR="006377F0" w:rsidRPr="008B2ED7">
        <w:t xml:space="preserve">, </w:t>
      </w:r>
      <w:r w:rsidRPr="008B2ED7">
        <w:t xml:space="preserve">razvidna je rizičnost </w:t>
      </w:r>
      <w:r w:rsidR="004E2535" w:rsidRPr="008B2ED7">
        <w:t>neinformiranog i nerazrađenog pristupanja</w:t>
      </w:r>
      <w:r w:rsidRPr="008B2ED7">
        <w:t xml:space="preserve"> ovakv</w:t>
      </w:r>
      <w:r w:rsidR="004E2535" w:rsidRPr="008B2ED7">
        <w:t>oj</w:t>
      </w:r>
      <w:r w:rsidRPr="008B2ED7">
        <w:t xml:space="preserve"> reform</w:t>
      </w:r>
      <w:r w:rsidR="004E2535" w:rsidRPr="008B2ED7">
        <w:t>i</w:t>
      </w:r>
      <w:r w:rsidRPr="008B2ED7">
        <w:t xml:space="preserve"> nacionalnog sustava otpremnina u Republici Hrvatskoj</w:t>
      </w:r>
      <w:r w:rsidR="006377F0" w:rsidRPr="007544D9">
        <w:t>.</w:t>
      </w:r>
      <w:r w:rsidRPr="007544D9">
        <w:t xml:space="preserve"> </w:t>
      </w:r>
      <w:r w:rsidR="008B2ED7">
        <w:t>Zaključci ove studije upravo ukazuju na nekoliko ključnih etapa kroz koje je potrebno proći odnosno problema koje valja promisliti prije konačn</w:t>
      </w:r>
      <w:r w:rsidR="00BF61FB">
        <w:t>e</w:t>
      </w:r>
      <w:r w:rsidR="008B2ED7">
        <w:t xml:space="preserve"> odlu</w:t>
      </w:r>
      <w:r w:rsidR="00BF61FB">
        <w:t>ke</w:t>
      </w:r>
      <w:r w:rsidR="008B2ED7">
        <w:t xml:space="preserve"> o pristupanju izmjenama nacionalnog sustava otpremnina u Republici Hrvatskoj.</w:t>
      </w:r>
    </w:p>
    <w:p w:rsidR="008B2ED7" w:rsidRPr="008B2ED7" w:rsidRDefault="008B2ED7" w:rsidP="008B2ED7">
      <w:pPr>
        <w:pStyle w:val="ListParagraph"/>
        <w:numPr>
          <w:ilvl w:val="0"/>
          <w:numId w:val="32"/>
        </w:numPr>
        <w:ind w:left="567" w:hanging="567"/>
        <w:jc w:val="both"/>
      </w:pPr>
      <w:r>
        <w:t>Činjenični zaključci koji proizlaze iz prakse, ali i iz stavova različitih autora, ukazuju da p</w:t>
      </w:r>
      <w:r w:rsidRPr="008B2ED7">
        <w:t xml:space="preserve">ostojeći sustav obilježavaju brojni problemi te </w:t>
      </w:r>
      <w:r>
        <w:t xml:space="preserve">da </w:t>
      </w:r>
      <w:r w:rsidRPr="008B2ED7">
        <w:t xml:space="preserve">ga je potrebno unaprijediti. </w:t>
      </w:r>
    </w:p>
    <w:p w:rsidR="008B2ED7" w:rsidRPr="005C5040" w:rsidRDefault="008B2ED7" w:rsidP="007544D9">
      <w:pPr>
        <w:pStyle w:val="ListParagraph"/>
        <w:numPr>
          <w:ilvl w:val="0"/>
          <w:numId w:val="32"/>
        </w:numPr>
        <w:ind w:left="567" w:hanging="567"/>
        <w:jc w:val="both"/>
      </w:pPr>
      <w:r>
        <w:t>Uvažavajući gornji zaključak, p</w:t>
      </w:r>
      <w:r w:rsidRPr="005C5040">
        <w:t>retpostavka bilo kakvog djelovanja jest detaljn</w:t>
      </w:r>
      <w:r w:rsidR="00BF61FB">
        <w:t>a</w:t>
      </w:r>
      <w:r w:rsidRPr="005C5040">
        <w:t xml:space="preserve"> analiza postojećeg</w:t>
      </w:r>
      <w:r>
        <w:t xml:space="preserve"> stanja nacionalnog</w:t>
      </w:r>
      <w:r w:rsidRPr="005C5040">
        <w:t xml:space="preserve"> sustava otpremnina.</w:t>
      </w:r>
    </w:p>
    <w:p w:rsidR="008B2ED7" w:rsidRPr="005C5040" w:rsidRDefault="008B2ED7" w:rsidP="008B2ED7">
      <w:pPr>
        <w:pStyle w:val="ListParagraph"/>
        <w:numPr>
          <w:ilvl w:val="0"/>
          <w:numId w:val="32"/>
        </w:numPr>
        <w:ind w:left="567" w:hanging="567"/>
        <w:jc w:val="both"/>
      </w:pPr>
      <w:r>
        <w:lastRenderedPageBreak/>
        <w:t xml:space="preserve">Nakon analize </w:t>
      </w:r>
      <w:r w:rsidRPr="005C5040">
        <w:t>postojećeg</w:t>
      </w:r>
      <w:r>
        <w:t xml:space="preserve"> stanja nacionalnog</w:t>
      </w:r>
      <w:r w:rsidRPr="005C5040">
        <w:t xml:space="preserve"> sustava otpremnina </w:t>
      </w:r>
      <w:r>
        <w:t>valja odrediti</w:t>
      </w:r>
      <w:r w:rsidRPr="005C5040">
        <w:t xml:space="preserve"> </w:t>
      </w:r>
      <w:r>
        <w:t xml:space="preserve">probleme koji se reformom žele obuhvatiti i </w:t>
      </w:r>
      <w:r w:rsidRPr="005C5040">
        <w:t>ciljeve</w:t>
      </w:r>
      <w:r>
        <w:t xml:space="preserve"> koji se </w:t>
      </w:r>
      <w:r w:rsidRPr="005C5040">
        <w:t>reform</w:t>
      </w:r>
      <w:r>
        <w:t>om žele postići</w:t>
      </w:r>
      <w:r w:rsidRPr="005C5040">
        <w:t>.</w:t>
      </w:r>
    </w:p>
    <w:p w:rsidR="008B2ED7" w:rsidRPr="005C5040" w:rsidRDefault="008B2ED7" w:rsidP="008B2ED7">
      <w:pPr>
        <w:pStyle w:val="ListParagraph"/>
        <w:numPr>
          <w:ilvl w:val="0"/>
          <w:numId w:val="32"/>
        </w:numPr>
        <w:ind w:left="567" w:hanging="567"/>
        <w:jc w:val="both"/>
      </w:pPr>
      <w:r>
        <w:t xml:space="preserve">S obzorom na </w:t>
      </w:r>
      <w:r w:rsidR="007544D9">
        <w:t>ciljeve koji se žele postići jedna od mogućnosti obuhvaća i r</w:t>
      </w:r>
      <w:r w:rsidRPr="005C5040">
        <w:t>eform</w:t>
      </w:r>
      <w:r w:rsidR="007544D9">
        <w:t>u nacionalnog sustava otpremnina</w:t>
      </w:r>
      <w:r w:rsidRPr="005C5040">
        <w:t xml:space="preserve"> po uzoru na austrijski sustav otpremnina</w:t>
      </w:r>
      <w:r w:rsidR="007544D9">
        <w:t>, no ta odluka</w:t>
      </w:r>
      <w:r w:rsidRPr="005C5040">
        <w:t xml:space="preserve"> podrazumijeva </w:t>
      </w:r>
      <w:r w:rsidR="007544D9">
        <w:t>radikalne</w:t>
      </w:r>
      <w:r w:rsidRPr="005C5040">
        <w:t xml:space="preserve"> promjene</w:t>
      </w:r>
      <w:r w:rsidR="007544D9">
        <w:t xml:space="preserve"> nacionalnog sustava otpremnina</w:t>
      </w:r>
      <w:r w:rsidRPr="005C5040">
        <w:t>.</w:t>
      </w:r>
    </w:p>
    <w:p w:rsidR="008B2ED7" w:rsidRPr="005C5040" w:rsidRDefault="007544D9" w:rsidP="008B2ED7">
      <w:pPr>
        <w:pStyle w:val="ListParagraph"/>
        <w:numPr>
          <w:ilvl w:val="0"/>
          <w:numId w:val="32"/>
        </w:numPr>
        <w:ind w:left="567" w:hanging="567"/>
        <w:jc w:val="both"/>
      </w:pPr>
      <w:r>
        <w:t>Postoje i alternative r</w:t>
      </w:r>
      <w:r w:rsidRPr="005C5040">
        <w:t>eform</w:t>
      </w:r>
      <w:r>
        <w:t>i nacionalnog sustava otpremnina</w:t>
      </w:r>
      <w:r w:rsidRPr="005C5040">
        <w:t xml:space="preserve"> po uzoru na austrijski sustav otpremnina</w:t>
      </w:r>
      <w:r w:rsidR="008B2ED7" w:rsidRPr="005C5040">
        <w:t xml:space="preserve"> – moguće je</w:t>
      </w:r>
      <w:r>
        <w:t>, primjerice, mijenjati parametre i poboljšavati ishode</w:t>
      </w:r>
      <w:r w:rsidR="008B2ED7" w:rsidRPr="005C5040">
        <w:t xml:space="preserve"> </w:t>
      </w:r>
      <w:r>
        <w:t>postojećeg nacionalnog</w:t>
      </w:r>
      <w:r w:rsidR="008B2ED7" w:rsidRPr="005C5040">
        <w:t xml:space="preserve"> sustav</w:t>
      </w:r>
      <w:r>
        <w:t>a</w:t>
      </w:r>
      <w:r w:rsidR="008B2ED7" w:rsidRPr="005C5040">
        <w:t xml:space="preserve"> otpremnina.</w:t>
      </w:r>
    </w:p>
    <w:p w:rsidR="008B2ED7" w:rsidRPr="005C5040" w:rsidRDefault="007544D9" w:rsidP="008B2ED7">
      <w:pPr>
        <w:pStyle w:val="ListParagraph"/>
        <w:numPr>
          <w:ilvl w:val="0"/>
          <w:numId w:val="32"/>
        </w:numPr>
        <w:ind w:left="567" w:hanging="567"/>
        <w:jc w:val="both"/>
      </w:pPr>
      <w:r>
        <w:t>Nema jednoznačnih argumenata za definitivnu preporuku koji od mogućih puteva odabrati – za to v</w:t>
      </w:r>
      <w:r w:rsidR="008B2ED7" w:rsidRPr="005C5040">
        <w:t>alja testirati održivost i implikacije svakog predloženog djelovanja</w:t>
      </w:r>
      <w:r>
        <w:t>, posebno uzimajući u obzir</w:t>
      </w:r>
      <w:r w:rsidRPr="007544D9">
        <w:t xml:space="preserve"> </w:t>
      </w:r>
      <w:r>
        <w:t xml:space="preserve">probleme koji se reformom žele obuhvatiti i </w:t>
      </w:r>
      <w:r w:rsidRPr="005C5040">
        <w:t>ciljeve</w:t>
      </w:r>
      <w:r>
        <w:t xml:space="preserve"> koji se </w:t>
      </w:r>
      <w:r w:rsidRPr="005C5040">
        <w:t>reform</w:t>
      </w:r>
      <w:r>
        <w:t>om žele postići te procijeniti izvedivost odnosno ekonomsku opravdanost svakog takvog djelovanja osobito s gledišta provedbe u trenutnom stanju gospodarske krize</w:t>
      </w:r>
      <w:r w:rsidR="008B2ED7" w:rsidRPr="005C5040">
        <w:t>.</w:t>
      </w:r>
    </w:p>
    <w:p w:rsidR="008B2ED7" w:rsidRPr="005C5040" w:rsidRDefault="008B2ED7" w:rsidP="008B2ED7">
      <w:pPr>
        <w:pStyle w:val="ListParagraph"/>
        <w:numPr>
          <w:ilvl w:val="0"/>
          <w:numId w:val="32"/>
        </w:numPr>
        <w:ind w:left="567" w:hanging="567"/>
        <w:jc w:val="both"/>
      </w:pPr>
      <w:r w:rsidRPr="005C5040">
        <w:t>Za uvođenje novog nacionalnog sustava otpremnina valjalo bi u najvećoj mjeri ostvariti konsenzus socijalnih aktera i dionika</w:t>
      </w:r>
      <w:r w:rsidR="007544D9">
        <w:t xml:space="preserve"> te treba izbjeći svako </w:t>
      </w:r>
      <w:r w:rsidR="007544D9" w:rsidRPr="007544D9">
        <w:rPr>
          <w:rFonts w:eastAsia="Calibri"/>
        </w:rPr>
        <w:t xml:space="preserve">žurno odlučivanje </w:t>
      </w:r>
      <w:r w:rsidR="007544D9">
        <w:rPr>
          <w:rFonts w:eastAsia="Calibri"/>
        </w:rPr>
        <w:t>posebice ako bi vodilo radikalnim</w:t>
      </w:r>
      <w:r w:rsidR="007544D9" w:rsidRPr="007544D9">
        <w:rPr>
          <w:rFonts w:eastAsia="Calibri"/>
        </w:rPr>
        <w:t xml:space="preserve"> promjenama postojećeg stanja</w:t>
      </w:r>
      <w:r w:rsidRPr="005C5040">
        <w:t>.</w:t>
      </w:r>
    </w:p>
    <w:p w:rsidR="008B2ED7" w:rsidRPr="00B4742D" w:rsidRDefault="008B2ED7" w:rsidP="00466D80">
      <w:pPr>
        <w:spacing w:line="240" w:lineRule="auto"/>
      </w:pPr>
    </w:p>
    <w:p w:rsidR="001B1BF3" w:rsidRPr="002017C6" w:rsidRDefault="005D4C97" w:rsidP="00466D80">
      <w:pPr>
        <w:spacing w:line="240" w:lineRule="auto"/>
      </w:pPr>
      <w:r w:rsidRPr="002017C6">
        <w:t>Slijedom narečenog</w:t>
      </w:r>
      <w:r w:rsidR="00EE1C55" w:rsidRPr="002017C6">
        <w:t>, izrađena je ova analiza sustava otpremnina u Republici Hrvatskoj</w:t>
      </w:r>
      <w:r w:rsidR="00D732F9" w:rsidRPr="002017C6">
        <w:t xml:space="preserve"> te se isporučuje kao tehnička pomoć Svjetske banke Vladi Republike Hrvatske.</w:t>
      </w:r>
      <w:r w:rsidR="00EE1C55" w:rsidRPr="00EB67A0">
        <w:t xml:space="preserve"> </w:t>
      </w:r>
      <w:r w:rsidR="00951F6C" w:rsidRPr="00EB67A0">
        <w:t>Svojom sustavnošću i analitičkom podlogom</w:t>
      </w:r>
      <w:r w:rsidR="00D732F9" w:rsidRPr="009336BF">
        <w:t>, te</w:t>
      </w:r>
      <w:r w:rsidR="00EE1C55" w:rsidRPr="009336BF">
        <w:t xml:space="preserve"> zaključni</w:t>
      </w:r>
      <w:r w:rsidR="00D732F9" w:rsidRPr="009336BF">
        <w:t>m</w:t>
      </w:r>
      <w:r w:rsidR="00EE1C55" w:rsidRPr="00C7332E">
        <w:t xml:space="preserve"> prijedlo</w:t>
      </w:r>
      <w:r w:rsidR="00D732F9" w:rsidRPr="00C7332E">
        <w:t>zima</w:t>
      </w:r>
      <w:r w:rsidR="00EE1C55" w:rsidRPr="00C7332E">
        <w:t xml:space="preserve"> i primjedb</w:t>
      </w:r>
      <w:r w:rsidR="00D732F9" w:rsidRPr="006C4F67">
        <w:t xml:space="preserve">ama </w:t>
      </w:r>
      <w:r w:rsidR="00EE1C55" w:rsidRPr="006C4F67">
        <w:t>u vezi različitih scenarija izmjena i dopuna zakonskih i drugih pravnih uređenja</w:t>
      </w:r>
      <w:r w:rsidR="00D732F9" w:rsidRPr="006C4F67">
        <w:t xml:space="preserve">, ona nastoji doprinijeti diskusiji o mogućim reformama ovog izuzetno važnog segmenta radnih odnosa, radnog prava i </w:t>
      </w:r>
      <w:r w:rsidR="00D732F9" w:rsidRPr="00B74757">
        <w:t>života svakog radno aktivnog poje</w:t>
      </w:r>
      <w:r w:rsidR="00CE5B73" w:rsidRPr="00B74757">
        <w:t>d</w:t>
      </w:r>
      <w:r w:rsidR="00D732F9" w:rsidRPr="009769E7">
        <w:t>inca.</w:t>
      </w:r>
      <w:r w:rsidR="002017C6">
        <w:t xml:space="preserve">  </w:t>
      </w:r>
    </w:p>
    <w:p w:rsidR="001279AE" w:rsidRPr="002017C6" w:rsidRDefault="001279AE">
      <w:pPr>
        <w:tabs>
          <w:tab w:val="clear" w:pos="0"/>
          <w:tab w:val="clear" w:pos="9360"/>
        </w:tabs>
        <w:spacing w:line="240" w:lineRule="auto"/>
        <w:jc w:val="left"/>
      </w:pPr>
      <w:r w:rsidRPr="002017C6">
        <w:br w:type="page"/>
      </w:r>
    </w:p>
    <w:p w:rsidR="00CC68D1" w:rsidRPr="002017C6" w:rsidRDefault="00CC68D1" w:rsidP="00CC68D1">
      <w:pPr>
        <w:pStyle w:val="Heading1"/>
      </w:pPr>
      <w:bookmarkStart w:id="4" w:name="_Toc365828822"/>
      <w:r w:rsidRPr="002017C6">
        <w:lastRenderedPageBreak/>
        <w:t>1. Uvod</w:t>
      </w:r>
      <w:bookmarkEnd w:id="4"/>
    </w:p>
    <w:p w:rsidR="00CC68D1" w:rsidRPr="002017C6" w:rsidRDefault="00CC68D1" w:rsidP="00CC68D1"/>
    <w:p w:rsidR="00CC68D1" w:rsidRPr="009336BF" w:rsidRDefault="00CC68D1" w:rsidP="00CC68D1">
      <w:pPr>
        <w:pStyle w:val="Heading2"/>
      </w:pPr>
      <w:bookmarkStart w:id="5" w:name="_Toc365828823"/>
      <w:r w:rsidRPr="009336BF">
        <w:t>1.1. Pojam otpremnine</w:t>
      </w:r>
      <w:bookmarkEnd w:id="5"/>
    </w:p>
    <w:p w:rsidR="00466D80" w:rsidRPr="009336BF" w:rsidRDefault="00466D80" w:rsidP="00466D80">
      <w:pPr>
        <w:spacing w:line="240" w:lineRule="auto"/>
      </w:pPr>
    </w:p>
    <w:p w:rsidR="00B410F2" w:rsidRPr="00B4742D" w:rsidRDefault="00B410F2" w:rsidP="003B6394">
      <w:pPr>
        <w:tabs>
          <w:tab w:val="clear" w:pos="0"/>
          <w:tab w:val="clear" w:pos="9360"/>
        </w:tabs>
        <w:autoSpaceDE w:val="0"/>
        <w:autoSpaceDN w:val="0"/>
        <w:adjustRightInd w:val="0"/>
        <w:spacing w:line="240" w:lineRule="auto"/>
      </w:pPr>
      <w:r w:rsidRPr="00C7332E">
        <w:t>Otpremnina</w:t>
      </w:r>
      <w:r w:rsidR="00E24EF2" w:rsidRPr="00C7332E">
        <w:t xml:space="preserve"> (engl. </w:t>
      </w:r>
      <w:r w:rsidR="00E24EF2" w:rsidRPr="00C7332E">
        <w:rPr>
          <w:i/>
          <w:iCs/>
        </w:rPr>
        <w:t>severa</w:t>
      </w:r>
      <w:r w:rsidR="00E24EF2" w:rsidRPr="006C4F67">
        <w:rPr>
          <w:i/>
          <w:iCs/>
        </w:rPr>
        <w:t>nce pay</w:t>
      </w:r>
      <w:r w:rsidR="00E24EF2" w:rsidRPr="006C4F67">
        <w:t xml:space="preserve">, </w:t>
      </w:r>
      <w:r w:rsidR="00E24EF2" w:rsidRPr="006C4F67">
        <w:rPr>
          <w:i/>
          <w:iCs/>
        </w:rPr>
        <w:t>severance allowance</w:t>
      </w:r>
      <w:r w:rsidR="00E24EF2" w:rsidRPr="006C4F67">
        <w:t>; njem</w:t>
      </w:r>
      <w:r w:rsidR="00E24EF2" w:rsidRPr="006C4F67">
        <w:rPr>
          <w:i/>
          <w:iCs/>
        </w:rPr>
        <w:t>. Abfindung</w:t>
      </w:r>
      <w:r w:rsidR="00E24EF2" w:rsidRPr="006C4F67">
        <w:rPr>
          <w:iCs/>
        </w:rPr>
        <w:t xml:space="preserve">, </w:t>
      </w:r>
      <w:r w:rsidR="00E24EF2" w:rsidRPr="006C4F67">
        <w:rPr>
          <w:i/>
          <w:iCs/>
        </w:rPr>
        <w:t>Abfertigung</w:t>
      </w:r>
      <w:r w:rsidR="00E24EF2" w:rsidRPr="006C4F67">
        <w:t xml:space="preserve">; franc. </w:t>
      </w:r>
      <w:r w:rsidR="00E24EF2" w:rsidRPr="006C4F67">
        <w:rPr>
          <w:i/>
          <w:iCs/>
        </w:rPr>
        <w:t>indemnité de résiliation du contrat du travail</w:t>
      </w:r>
      <w:r w:rsidR="00E24EF2" w:rsidRPr="006C4F67">
        <w:t xml:space="preserve">, </w:t>
      </w:r>
      <w:r w:rsidR="00E24EF2" w:rsidRPr="006C4F67">
        <w:rPr>
          <w:i/>
          <w:iCs/>
        </w:rPr>
        <w:t>indemnité de résiliation de licenciement</w:t>
      </w:r>
      <w:r w:rsidR="00E24EF2" w:rsidRPr="006C4F67">
        <w:t>)</w:t>
      </w:r>
      <w:r w:rsidRPr="006C4F67">
        <w:t xml:space="preserve">, odnosno sustav otpremnina, jedan je od najuobičajenijih </w:t>
      </w:r>
      <w:r w:rsidR="003B6394" w:rsidRPr="00B74757">
        <w:t>i najzastupljenijih, ali i najkontroverznijih socijalnih sustava.</w:t>
      </w:r>
      <w:r w:rsidR="003B6394" w:rsidRPr="00B4742D">
        <w:rPr>
          <w:rStyle w:val="FootnoteReference"/>
        </w:rPr>
        <w:footnoteReference w:id="1"/>
      </w:r>
      <w:r w:rsidR="003B6394" w:rsidRPr="00B4742D">
        <w:t xml:space="preserve"> Radi se o jamstvu novčane prestacije radniku nakon otkaza ili prestanka ugovora o radu, koje jamstvo postoji u gotovo svim pravnim sustavima svijeta.</w:t>
      </w:r>
      <w:r w:rsidR="003B6394" w:rsidRPr="00B4742D">
        <w:rPr>
          <w:rStyle w:val="FootnoteReference"/>
        </w:rPr>
        <w:footnoteReference w:id="2"/>
      </w:r>
      <w:r w:rsidR="003B6394" w:rsidRPr="00B4742D">
        <w:t xml:space="preserve"> Ipak, globalna uobičajenost i zastupljenost otpremnine ne implicira </w:t>
      </w:r>
      <w:r w:rsidR="00F67C38" w:rsidRPr="002017C6">
        <w:t xml:space="preserve">i </w:t>
      </w:r>
      <w:r w:rsidR="003B6394" w:rsidRPr="002017C6">
        <w:t>globalnu istoznačnost pojma otpremnine, njene funkcije,</w:t>
      </w:r>
      <w:r w:rsidR="00951AD5" w:rsidRPr="002017C6">
        <w:t xml:space="preserve"> pravn</w:t>
      </w:r>
      <w:r w:rsidR="00427F32" w:rsidRPr="002017C6">
        <w:t>ih</w:t>
      </w:r>
      <w:r w:rsidR="00951AD5" w:rsidRPr="002017C6">
        <w:t xml:space="preserve"> izvora, </w:t>
      </w:r>
      <w:r w:rsidR="003B6394" w:rsidRPr="00EB67A0">
        <w:t xml:space="preserve">pravne osnove, iznosa i načina njena financiranja, već su tu </w:t>
      </w:r>
      <w:r w:rsidR="00E24EF2" w:rsidRPr="00EB67A0">
        <w:t xml:space="preserve">prisutne </w:t>
      </w:r>
      <w:r w:rsidR="003B6394" w:rsidRPr="009336BF">
        <w:t>značajne</w:t>
      </w:r>
      <w:r w:rsidR="00E24EF2" w:rsidRPr="009336BF">
        <w:t>, čak sustavne,</w:t>
      </w:r>
      <w:r w:rsidR="003B6394" w:rsidRPr="009336BF">
        <w:t xml:space="preserve"> razlike</w:t>
      </w:r>
      <w:r w:rsidRPr="009336BF">
        <w:t>.</w:t>
      </w:r>
      <w:r w:rsidR="003B6394" w:rsidRPr="009336BF">
        <w:t xml:space="preserve"> </w:t>
      </w:r>
      <w:r w:rsidR="00E24EF2" w:rsidRPr="009336BF">
        <w:t xml:space="preserve">Iz tog je razloga </w:t>
      </w:r>
      <w:r w:rsidR="003B6394" w:rsidRPr="009336BF">
        <w:t>teško postaviti jedinstvenu definiciju</w:t>
      </w:r>
      <w:r w:rsidR="00E24EF2" w:rsidRPr="009336BF">
        <w:t xml:space="preserve"> pojma otpremnine</w:t>
      </w:r>
      <w:r w:rsidR="003B6394" w:rsidRPr="00C7332E">
        <w:t xml:space="preserve">, </w:t>
      </w:r>
      <w:r w:rsidR="00E24EF2" w:rsidRPr="00C7332E">
        <w:t xml:space="preserve">jer </w:t>
      </w:r>
      <w:r w:rsidR="003B6394" w:rsidRPr="00C7332E">
        <w:t>takva bi def</w:t>
      </w:r>
      <w:r w:rsidR="003B6394" w:rsidRPr="006C4F67">
        <w:t>inicija</w:t>
      </w:r>
      <w:r w:rsidR="00E24EF2" w:rsidRPr="006C4F67">
        <w:t>, a da bi bila valjana, morala obuhvatiti globalno vrlo različita obilježja, što dovodi do nje</w:t>
      </w:r>
      <w:r w:rsidR="00BF5CA2" w:rsidRPr="006C4F67">
        <w:t>zi</w:t>
      </w:r>
      <w:r w:rsidR="00E24EF2" w:rsidRPr="006C4F67">
        <w:t xml:space="preserve">na pojednostavljenja. Takva jedna definicija jest </w:t>
      </w:r>
      <w:r w:rsidR="0023766A" w:rsidRPr="006C4F67">
        <w:t xml:space="preserve">i </w:t>
      </w:r>
      <w:r w:rsidR="00E24EF2" w:rsidRPr="006C4F67">
        <w:t>ona koja pojam otpremnine dovodi u svezu s konačnom isplatom poslod</w:t>
      </w:r>
      <w:r w:rsidR="00304876" w:rsidRPr="00B74757">
        <w:t>a</w:t>
      </w:r>
      <w:r w:rsidR="00E24EF2" w:rsidRPr="00B74757">
        <w:t>vca radniku kojem prestaje ugovor</w:t>
      </w:r>
      <w:r w:rsidR="00E24EF2" w:rsidRPr="009769E7">
        <w:t xml:space="preserve"> o radu</w:t>
      </w:r>
      <w:r w:rsidR="00E24EF2" w:rsidRPr="00B4742D">
        <w:rPr>
          <w:rStyle w:val="FootnoteReference"/>
        </w:rPr>
        <w:footnoteReference w:id="3"/>
      </w:r>
      <w:r w:rsidR="00E24EF2" w:rsidRPr="00B4742D">
        <w:t>, a iz koje definicije ne proizlazi bitno zaključivanje o pojmu otpremnine.</w:t>
      </w:r>
    </w:p>
    <w:p w:rsidR="00B410F2" w:rsidRPr="00B4742D" w:rsidRDefault="00B410F2" w:rsidP="00466D80">
      <w:pPr>
        <w:spacing w:line="240" w:lineRule="auto"/>
      </w:pPr>
    </w:p>
    <w:p w:rsidR="00B410F2" w:rsidRPr="006C4F67" w:rsidRDefault="0023766A" w:rsidP="00466D80">
      <w:pPr>
        <w:spacing w:line="240" w:lineRule="auto"/>
      </w:pPr>
      <w:r w:rsidRPr="002017C6">
        <w:t xml:space="preserve">S obzirom na ovo pojednostavljenje </w:t>
      </w:r>
      <w:r w:rsidR="00E24EF2" w:rsidRPr="002017C6">
        <w:t>definiciju pojma otpremnine</w:t>
      </w:r>
      <w:r w:rsidRPr="002017C6">
        <w:rPr>
          <w:i/>
        </w:rPr>
        <w:t xml:space="preserve"> </w:t>
      </w:r>
      <w:r w:rsidR="00E24EF2" w:rsidRPr="002017C6">
        <w:t xml:space="preserve">valja </w:t>
      </w:r>
      <w:r w:rsidR="00F67C38" w:rsidRPr="002017C6">
        <w:rPr>
          <w:i/>
        </w:rPr>
        <w:t>par excellence</w:t>
      </w:r>
      <w:r w:rsidR="00F67C38" w:rsidRPr="00EB67A0">
        <w:t xml:space="preserve"> </w:t>
      </w:r>
      <w:r w:rsidR="00E24EF2" w:rsidRPr="00EB67A0">
        <w:t>tražiti u nacionalnom okruženju, u konkretnom slučaju u hrvatskom pravnom poretku</w:t>
      </w:r>
      <w:r w:rsidR="00E3539B" w:rsidRPr="009336BF">
        <w:t xml:space="preserve">. Nakon toga </w:t>
      </w:r>
      <w:r w:rsidR="00E24EF2" w:rsidRPr="009336BF">
        <w:t>će se</w:t>
      </w:r>
      <w:r w:rsidR="00E3539B" w:rsidRPr="009336BF">
        <w:t>,</w:t>
      </w:r>
      <w:r w:rsidR="00E24EF2" w:rsidRPr="009336BF">
        <w:t xml:space="preserve"> nastavno</w:t>
      </w:r>
      <w:r w:rsidR="00E3539B" w:rsidRPr="009336BF">
        <w:t>,</w:t>
      </w:r>
      <w:r w:rsidR="00E24EF2" w:rsidRPr="00C7332E">
        <w:t xml:space="preserve"> </w:t>
      </w:r>
      <w:r w:rsidR="00E3539B" w:rsidRPr="00C7332E">
        <w:t xml:space="preserve">uvodno </w:t>
      </w:r>
      <w:r w:rsidR="00E24EF2" w:rsidRPr="00C7332E">
        <w:t xml:space="preserve">istaknuti neke temeljne razlike </w:t>
      </w:r>
      <w:r w:rsidR="00E3539B" w:rsidRPr="006C4F67">
        <w:t xml:space="preserve">funkcije, </w:t>
      </w:r>
      <w:r w:rsidR="00951AD5" w:rsidRPr="006C4F67">
        <w:t>pravn</w:t>
      </w:r>
      <w:r w:rsidR="00427F32" w:rsidRPr="006C4F67">
        <w:t>ih</w:t>
      </w:r>
      <w:r w:rsidR="00951AD5" w:rsidRPr="006C4F67">
        <w:t xml:space="preserve"> izvora, </w:t>
      </w:r>
      <w:r w:rsidR="00E3539B" w:rsidRPr="006C4F67">
        <w:t>pravne osnove, iznosa i načina financiranja otpremnina, što će kasnije biti obrađeno i u tekstu.</w:t>
      </w:r>
    </w:p>
    <w:p w:rsidR="00B410F2" w:rsidRPr="00B74757" w:rsidRDefault="00B410F2" w:rsidP="00466D80">
      <w:pPr>
        <w:spacing w:line="240" w:lineRule="auto"/>
      </w:pPr>
    </w:p>
    <w:p w:rsidR="00EA307C" w:rsidRPr="00B4742D" w:rsidRDefault="00B410F2" w:rsidP="009336BF">
      <w:pPr>
        <w:spacing w:line="240" w:lineRule="auto"/>
      </w:pPr>
      <w:r w:rsidRPr="00B74757">
        <w:t>Pojam otpremnine</w:t>
      </w:r>
      <w:r w:rsidR="00E3539B" w:rsidRPr="009769E7">
        <w:t xml:space="preserve"> u Republici Hrvatskoj</w:t>
      </w:r>
      <w:r w:rsidRPr="00E1401E">
        <w:t xml:space="preserve"> najčešće se definira kao </w:t>
      </w:r>
      <w:r w:rsidR="00986536" w:rsidRPr="00D00975">
        <w:t>novča</w:t>
      </w:r>
      <w:r w:rsidR="00986536" w:rsidRPr="008B2ED7">
        <w:t>ni iznos kojeg poslodavac, pored plaće, plaća radniku kojem otkazuje ugovor o radu</w:t>
      </w:r>
      <w:r w:rsidR="00E3539B" w:rsidRPr="008B2ED7">
        <w:t>.</w:t>
      </w:r>
      <w:r w:rsidR="00F95318" w:rsidRPr="00B4742D">
        <w:rPr>
          <w:rStyle w:val="FootnoteReference"/>
        </w:rPr>
        <w:footnoteReference w:id="4"/>
      </w:r>
      <w:r w:rsidR="006908EE" w:rsidRPr="00B4742D">
        <w:t xml:space="preserve"> </w:t>
      </w:r>
      <w:r w:rsidR="004D6A9E" w:rsidRPr="00B4742D">
        <w:t xml:space="preserve">Taj iznos </w:t>
      </w:r>
      <w:r w:rsidR="00986536" w:rsidRPr="00B4742D">
        <w:t xml:space="preserve">radniku pripada protekom otkaznog roka, po prestanku ugovora o radu. Iako </w:t>
      </w:r>
      <w:r w:rsidR="004D6A9E" w:rsidRPr="00B4742D">
        <w:t xml:space="preserve">je </w:t>
      </w:r>
      <w:r w:rsidR="00986536" w:rsidRPr="002017C6">
        <w:t>izvorno</w:t>
      </w:r>
      <w:r w:rsidR="004D6A9E" w:rsidRPr="002017C6">
        <w:t xml:space="preserve"> osmišljen kao</w:t>
      </w:r>
      <w:r w:rsidR="00986536" w:rsidRPr="002017C6">
        <w:t xml:space="preserve"> nagrada radniku za vjernost poslodavcu, smisao o</w:t>
      </w:r>
      <w:r w:rsidR="004D6A9E" w:rsidRPr="002017C6">
        <w:t xml:space="preserve">tpremnine svakako jest </w:t>
      </w:r>
      <w:r w:rsidR="00986536" w:rsidRPr="00EB67A0">
        <w:t>i u ublažavanju štetnih posljedica koje otkaz proizvodi za radnika</w:t>
      </w:r>
      <w:r w:rsidR="006F0782" w:rsidRPr="00B4742D">
        <w:rPr>
          <w:rStyle w:val="FootnoteReference"/>
        </w:rPr>
        <w:footnoteReference w:id="5"/>
      </w:r>
      <w:r w:rsidR="00986536" w:rsidRPr="00B4742D">
        <w:t xml:space="preserve"> </w:t>
      </w:r>
      <w:r w:rsidR="004D6A9E" w:rsidRPr="00B4742D">
        <w:t>te</w:t>
      </w:r>
      <w:r w:rsidR="00986536" w:rsidRPr="00B4742D">
        <w:t xml:space="preserve"> se često smatra i sredstvom osiguravanja prihoda, odnosno zamjene</w:t>
      </w:r>
      <w:r w:rsidR="004D6A9E" w:rsidRPr="00B4742D">
        <w:t xml:space="preserve"> za</w:t>
      </w:r>
      <w:r w:rsidR="00986536" w:rsidRPr="002017C6">
        <w:t xml:space="preserve"> doho</w:t>
      </w:r>
      <w:r w:rsidR="004D6A9E" w:rsidRPr="002017C6">
        <w:t>dak</w:t>
      </w:r>
      <w:r w:rsidR="00986536" w:rsidRPr="002017C6">
        <w:t xml:space="preserve">, koje sadržava </w:t>
      </w:r>
      <w:r w:rsidR="004D6A9E" w:rsidRPr="002017C6">
        <w:t xml:space="preserve">i </w:t>
      </w:r>
      <w:r w:rsidR="00986536" w:rsidRPr="002017C6">
        <w:t>elemente socijalne sigurnosti</w:t>
      </w:r>
      <w:r w:rsidR="00986536" w:rsidRPr="00EB67A0">
        <w:t>.</w:t>
      </w:r>
      <w:r w:rsidR="004D6A9E" w:rsidRPr="00B4742D">
        <w:rPr>
          <w:rStyle w:val="FootnoteReference"/>
        </w:rPr>
        <w:footnoteReference w:id="6"/>
      </w:r>
      <w:r w:rsidR="00986536" w:rsidRPr="00B4742D">
        <w:t xml:space="preserve"> </w:t>
      </w:r>
      <w:r w:rsidR="00EA307C" w:rsidRPr="00B4742D">
        <w:t>U teoriji je prisutno i shvaćanje kako</w:t>
      </w:r>
      <w:r w:rsidR="00EA307C" w:rsidRPr="002017C6">
        <w:t xml:space="preserve"> se</w:t>
      </w:r>
      <w:r w:rsidR="0023766A" w:rsidRPr="002017C6">
        <w:t xml:space="preserve"> kod</w:t>
      </w:r>
      <w:r w:rsidR="00EA307C" w:rsidRPr="002017C6">
        <w:t xml:space="preserve"> otpremnine radi </w:t>
      </w:r>
      <w:r w:rsidR="0023766A" w:rsidRPr="002017C6">
        <w:t xml:space="preserve">i </w:t>
      </w:r>
      <w:r w:rsidR="00EA307C" w:rsidRPr="002017C6">
        <w:t>o odgođenoj isplati plaće.</w:t>
      </w:r>
      <w:r w:rsidR="00EA307C" w:rsidRPr="00B4742D">
        <w:rPr>
          <w:rStyle w:val="FootnoteReference"/>
        </w:rPr>
        <w:footnoteReference w:id="7"/>
      </w:r>
    </w:p>
    <w:p w:rsidR="00EA307C" w:rsidRPr="00B4742D" w:rsidRDefault="00EA307C" w:rsidP="00466D80">
      <w:pPr>
        <w:spacing w:line="240" w:lineRule="auto"/>
      </w:pPr>
    </w:p>
    <w:p w:rsidR="00CC68D1" w:rsidRPr="00B4742D" w:rsidRDefault="00986536" w:rsidP="00466D80">
      <w:pPr>
        <w:spacing w:line="240" w:lineRule="auto"/>
      </w:pPr>
      <w:r w:rsidRPr="002017C6">
        <w:t>Osim zakonske definicije</w:t>
      </w:r>
      <w:r w:rsidR="004D6A9E" w:rsidRPr="002017C6">
        <w:t xml:space="preserve"> otpremnine kao prava radnika kojem poslodavac otkazuje ugovor o radu nakon dvije godine neprekidnog rada, ovo iz razloga koji nisu uvjetovani ponašanjem radnika</w:t>
      </w:r>
      <w:r w:rsidRPr="002017C6">
        <w:t xml:space="preserve">, </w:t>
      </w:r>
      <w:r w:rsidRPr="002017C6">
        <w:lastRenderedPageBreak/>
        <w:t>pojam o</w:t>
      </w:r>
      <w:r w:rsidR="004D6A9E" w:rsidRPr="002017C6">
        <w:t xml:space="preserve">tpremnine </w:t>
      </w:r>
      <w:r w:rsidR="0023766A" w:rsidRPr="00EB67A0">
        <w:t xml:space="preserve">se </w:t>
      </w:r>
      <w:r w:rsidR="004D6A9E" w:rsidRPr="00EB67A0">
        <w:t>u nas</w:t>
      </w:r>
      <w:r w:rsidR="00E3539B" w:rsidRPr="00FE70C5">
        <w:t>,</w:t>
      </w:r>
      <w:r w:rsidRPr="00FE70C5">
        <w:t xml:space="preserve"> u širem s</w:t>
      </w:r>
      <w:r w:rsidR="00EA307C" w:rsidRPr="00FE70C5">
        <w:t>m</w:t>
      </w:r>
      <w:r w:rsidRPr="00FE70C5">
        <w:t>islu</w:t>
      </w:r>
      <w:r w:rsidR="00E3539B" w:rsidRPr="00FE70C5">
        <w:t>,</w:t>
      </w:r>
      <w:r w:rsidRPr="00FE70C5">
        <w:t xml:space="preserve"> koristi </w:t>
      </w:r>
      <w:r w:rsidR="004D6A9E" w:rsidRPr="00FE70C5">
        <w:t xml:space="preserve">i </w:t>
      </w:r>
      <w:r w:rsidRPr="009336BF">
        <w:t>tako da obuhvaća svaku isplatu poslodavca radniku u slučaju</w:t>
      </w:r>
      <w:r w:rsidR="0023766A" w:rsidRPr="009336BF">
        <w:t>,</w:t>
      </w:r>
      <w:r w:rsidR="004D6A9E" w:rsidRPr="009336BF">
        <w:t xml:space="preserve"> i posljedičn</w:t>
      </w:r>
      <w:r w:rsidR="0023766A" w:rsidRPr="009336BF">
        <w:t>o,</w:t>
      </w:r>
      <w:r w:rsidR="004D6A9E" w:rsidRPr="009336BF">
        <w:t xml:space="preserve"> </w:t>
      </w:r>
      <w:r w:rsidRPr="009336BF">
        <w:t>prestank</w:t>
      </w:r>
      <w:r w:rsidR="004D6A9E" w:rsidRPr="009336BF">
        <w:t>u</w:t>
      </w:r>
      <w:r w:rsidRPr="009336BF">
        <w:t xml:space="preserve"> radnog odnosa utemeljenu na nekom izvoru prava za radne odnose ili jednostranoj odluci poslodavca</w:t>
      </w:r>
      <w:r w:rsidR="004D6A9E" w:rsidRPr="009336BF">
        <w:t xml:space="preserve">, </w:t>
      </w:r>
      <w:r w:rsidRPr="009336BF">
        <w:t>primjerice u slučaju umirovljenja, sporazumn</w:t>
      </w:r>
      <w:r w:rsidRPr="00C7332E">
        <w:t>og prestanka ugovora o radu, sudskog raskida ugovora o radu</w:t>
      </w:r>
      <w:r w:rsidR="006F0782" w:rsidRPr="00B4742D">
        <w:rPr>
          <w:rStyle w:val="FootnoteReference"/>
        </w:rPr>
        <w:footnoteReference w:id="8"/>
      </w:r>
      <w:r w:rsidRPr="00B4742D">
        <w:t>.</w:t>
      </w:r>
      <w:r w:rsidR="004D6A9E" w:rsidRPr="00B4742D">
        <w:rPr>
          <w:rStyle w:val="FootnoteReference"/>
        </w:rPr>
        <w:footnoteReference w:id="9"/>
      </w:r>
    </w:p>
    <w:p w:rsidR="00466D80" w:rsidRPr="00B4742D" w:rsidRDefault="00466D80" w:rsidP="00466D80">
      <w:pPr>
        <w:spacing w:line="240" w:lineRule="auto"/>
      </w:pPr>
    </w:p>
    <w:p w:rsidR="00CC68D1" w:rsidRPr="002017C6" w:rsidRDefault="00CC68D1" w:rsidP="00CC68D1">
      <w:pPr>
        <w:pStyle w:val="Heading2"/>
      </w:pPr>
      <w:bookmarkStart w:id="6" w:name="_Toc365828824"/>
      <w:r w:rsidRPr="002017C6">
        <w:t>1.2. Funkcija otpremnine</w:t>
      </w:r>
      <w:bookmarkEnd w:id="6"/>
    </w:p>
    <w:p w:rsidR="00D036F6" w:rsidRPr="002017C6" w:rsidRDefault="00D036F6" w:rsidP="00466D80">
      <w:pPr>
        <w:spacing w:line="240" w:lineRule="auto"/>
      </w:pPr>
    </w:p>
    <w:p w:rsidR="00F95318" w:rsidRPr="009336BF" w:rsidRDefault="0023766A" w:rsidP="00466D80">
      <w:pPr>
        <w:spacing w:line="240" w:lineRule="auto"/>
      </w:pPr>
      <w:r w:rsidRPr="002017C6">
        <w:t>D</w:t>
      </w:r>
      <w:r w:rsidR="00F95318" w:rsidRPr="002017C6">
        <w:t>efinicijsko diferenciranje pojma otpremnine kao</w:t>
      </w:r>
      <w:r w:rsidRPr="00EB67A0">
        <w:t>,</w:t>
      </w:r>
      <w:r w:rsidR="00F95318" w:rsidRPr="00EB67A0">
        <w:t xml:space="preserve"> s jedne strane nagrade radniku za vjernost poslodavcu, </w:t>
      </w:r>
      <w:r w:rsidRPr="009336BF">
        <w:t xml:space="preserve">a </w:t>
      </w:r>
      <w:r w:rsidR="00F95318" w:rsidRPr="009336BF">
        <w:t>s druge strane i kao sredstva ublažavanja štetnih posljedica koje otkaz za radnika proizvodi,</w:t>
      </w:r>
      <w:r w:rsidR="009336BF">
        <w:t xml:space="preserve"> što neki autori nazivaju “zaštitnom klauzulom”</w:t>
      </w:r>
      <w:r w:rsidR="009336BF">
        <w:rPr>
          <w:rStyle w:val="FootnoteReference"/>
        </w:rPr>
        <w:footnoteReference w:id="10"/>
      </w:r>
      <w:r w:rsidR="009336BF">
        <w:t>,</w:t>
      </w:r>
      <w:r w:rsidR="00F95318" w:rsidRPr="009336BF">
        <w:t xml:space="preserve"> ukazuje</w:t>
      </w:r>
      <w:r w:rsidRPr="009336BF">
        <w:t xml:space="preserve"> </w:t>
      </w:r>
      <w:r w:rsidR="00F95318" w:rsidRPr="009336BF">
        <w:t>na dualizam</w:t>
      </w:r>
      <w:r w:rsidR="00222086" w:rsidRPr="009336BF">
        <w:t xml:space="preserve"> društvenih funkcija otpremnine</w:t>
      </w:r>
      <w:r w:rsidR="00163EB4" w:rsidRPr="009336BF">
        <w:t xml:space="preserve">. Taj je dualizam </w:t>
      </w:r>
      <w:r w:rsidR="00FF15CA" w:rsidRPr="009336BF">
        <w:t xml:space="preserve">moguće </w:t>
      </w:r>
      <w:r w:rsidR="00222086" w:rsidRPr="009336BF">
        <w:t>razvijati i prema pluralizmu funkcija</w:t>
      </w:r>
      <w:r w:rsidR="00163EB4" w:rsidRPr="009336BF">
        <w:t xml:space="preserve">: </w:t>
      </w:r>
      <w:r w:rsidR="00222086" w:rsidRPr="009336BF">
        <w:t>otpremninu</w:t>
      </w:r>
      <w:r w:rsidR="00163EB4" w:rsidRPr="009336BF">
        <w:t>, tako,</w:t>
      </w:r>
      <w:r w:rsidR="00222086" w:rsidRPr="009336BF">
        <w:t xml:space="preserve"> </w:t>
      </w:r>
      <w:r w:rsidR="00FF15CA" w:rsidRPr="009336BF">
        <w:t xml:space="preserve">možemo </w:t>
      </w:r>
      <w:r w:rsidR="00222086" w:rsidRPr="009336BF">
        <w:t>identificira</w:t>
      </w:r>
      <w:r w:rsidR="00FF15CA" w:rsidRPr="009336BF">
        <w:t>ti i</w:t>
      </w:r>
      <w:r w:rsidR="00222086" w:rsidRPr="009336BF">
        <w:t xml:space="preserve"> kroz</w:t>
      </w:r>
      <w:r w:rsidR="00FF15CA" w:rsidRPr="009336BF">
        <w:t xml:space="preserve"> njenu</w:t>
      </w:r>
      <w:r w:rsidR="00222086" w:rsidRPr="009336BF">
        <w:t xml:space="preserve"> “kaznenu” funkciju prema poslodavcima – jer im poskupljuje otkazivanje ugovora o radu te tako sprječava da ih olako i nepr</w:t>
      </w:r>
      <w:r w:rsidR="00FF15CA" w:rsidRPr="009336BF">
        <w:t>o</w:t>
      </w:r>
      <w:r w:rsidR="00222086" w:rsidRPr="009336BF">
        <w:t>mišljeno dijele</w:t>
      </w:r>
      <w:r w:rsidR="00222086" w:rsidRPr="00B4742D">
        <w:rPr>
          <w:rStyle w:val="FootnoteReference"/>
        </w:rPr>
        <w:footnoteReference w:id="11"/>
      </w:r>
      <w:r w:rsidR="00222086" w:rsidRPr="00B4742D">
        <w:t xml:space="preserve"> ili kroz funkciju povećanja kupovne moći radnika i njegove obitelji</w:t>
      </w:r>
      <w:r w:rsidR="00FF15CA" w:rsidRPr="00B4742D">
        <w:t>,</w:t>
      </w:r>
      <w:r w:rsidR="00222086" w:rsidRPr="00B4742D">
        <w:t xml:space="preserve"> </w:t>
      </w:r>
      <w:r w:rsidR="00FF15CA" w:rsidRPr="00B4742D">
        <w:t>što</w:t>
      </w:r>
      <w:r w:rsidR="00222086" w:rsidRPr="00B4742D">
        <w:t xml:space="preserve"> doprinosi socijalnoj sigurnosti radnika</w:t>
      </w:r>
      <w:r w:rsidR="00222086" w:rsidRPr="00B4742D">
        <w:rPr>
          <w:rStyle w:val="FootnoteReference"/>
        </w:rPr>
        <w:footnoteReference w:id="12"/>
      </w:r>
      <w:r w:rsidR="00222086" w:rsidRPr="00B4742D">
        <w:t>.</w:t>
      </w:r>
      <w:r w:rsidR="00F95318" w:rsidRPr="00B4742D">
        <w:t xml:space="preserve"> </w:t>
      </w:r>
      <w:r w:rsidR="00F44D51" w:rsidRPr="00B4742D">
        <w:t xml:space="preserve">Pluralizam društvenih funkcija otpremnine </w:t>
      </w:r>
      <w:r w:rsidR="00E3539B" w:rsidRPr="00B4742D">
        <w:t>valja promatrati kao posljedicu dinami</w:t>
      </w:r>
      <w:r w:rsidR="00BC2AE3" w:rsidRPr="002017C6">
        <w:t xml:space="preserve">ke </w:t>
      </w:r>
      <w:r w:rsidR="00E3539B" w:rsidRPr="002017C6">
        <w:t>razvitka otpremnin</w:t>
      </w:r>
      <w:r w:rsidR="00F44D51" w:rsidRPr="002017C6">
        <w:t>e</w:t>
      </w:r>
      <w:r w:rsidR="00D34AE2" w:rsidRPr="002017C6">
        <w:t xml:space="preserve"> </w:t>
      </w:r>
      <w:r w:rsidR="00F44D51" w:rsidRPr="002017C6">
        <w:t xml:space="preserve">i </w:t>
      </w:r>
      <w:r w:rsidR="00D34AE2" w:rsidRPr="00EB67A0">
        <w:t>prida</w:t>
      </w:r>
      <w:r w:rsidR="00F44D51" w:rsidRPr="00EB67A0">
        <w:t xml:space="preserve">vanje tom pravu </w:t>
      </w:r>
      <w:r w:rsidR="00D34AE2" w:rsidRPr="00FE70C5">
        <w:t>više, pa i različitih, funkcija</w:t>
      </w:r>
      <w:r w:rsidR="00F44D51" w:rsidRPr="009336BF">
        <w:t>, ovisno o vremenu, mjestu i svrsi njena uvođenja</w:t>
      </w:r>
      <w:r w:rsidR="003D5B78" w:rsidRPr="009336BF">
        <w:t xml:space="preserve"> i pravnog uređenja</w:t>
      </w:r>
      <w:r w:rsidR="00E3539B" w:rsidRPr="009336BF">
        <w:t>.</w:t>
      </w:r>
    </w:p>
    <w:p w:rsidR="00795130" w:rsidRPr="009336BF" w:rsidRDefault="00795130" w:rsidP="00BC2AE3">
      <w:pPr>
        <w:spacing w:line="240" w:lineRule="auto"/>
      </w:pPr>
    </w:p>
    <w:p w:rsidR="00E3539B" w:rsidRPr="00B4742D" w:rsidRDefault="00C91F09" w:rsidP="00BC2AE3">
      <w:pPr>
        <w:spacing w:line="240" w:lineRule="auto"/>
      </w:pPr>
      <w:r w:rsidRPr="009336BF">
        <w:t xml:space="preserve">U velikom broju </w:t>
      </w:r>
      <w:r w:rsidR="00E3539B" w:rsidRPr="009336BF">
        <w:t>država otpremnina</w:t>
      </w:r>
      <w:r w:rsidR="00D34AE2" w:rsidRPr="009336BF">
        <w:t>, i pravo na nju,</w:t>
      </w:r>
      <w:r w:rsidR="00E3539B" w:rsidRPr="009336BF">
        <w:t xml:space="preserve"> </w:t>
      </w:r>
      <w:r w:rsidR="00795130" w:rsidRPr="009336BF">
        <w:t xml:space="preserve">nacionalni sustav otpremnina, </w:t>
      </w:r>
      <w:r w:rsidRPr="009336BF">
        <w:t>prvi puta</w:t>
      </w:r>
      <w:r w:rsidR="00D34AE2" w:rsidRPr="009336BF">
        <w:t xml:space="preserve"> se</w:t>
      </w:r>
      <w:r w:rsidRPr="009336BF">
        <w:t xml:space="preserve"> pojav</w:t>
      </w:r>
      <w:r w:rsidR="003D5B78" w:rsidRPr="009336BF">
        <w:t>ljuje</w:t>
      </w:r>
      <w:r w:rsidRPr="009336BF">
        <w:t xml:space="preserve"> kroz zakonsko uređenje</w:t>
      </w:r>
      <w:r w:rsidR="00BC2AE3" w:rsidRPr="00C7332E">
        <w:t xml:space="preserve"> rada krajem </w:t>
      </w:r>
      <w:r w:rsidR="003D682D" w:rsidRPr="00C7332E">
        <w:t>devetnaestog</w:t>
      </w:r>
      <w:r w:rsidR="00BC2AE3" w:rsidRPr="00C7332E">
        <w:t xml:space="preserve"> </w:t>
      </w:r>
      <w:r w:rsidR="00795130" w:rsidRPr="006C4F67">
        <w:t>s</w:t>
      </w:r>
      <w:r w:rsidR="00BC2AE3" w:rsidRPr="006C4F67">
        <w:t>toljeća</w:t>
      </w:r>
      <w:r w:rsidR="00795130" w:rsidRPr="006C4F67">
        <w:t>, posljedično razvitku industrijske serijske masovne proizvodnje, i povezano sa razvitkom socijalne države</w:t>
      </w:r>
      <w:r w:rsidR="00BC2AE3" w:rsidRPr="006C4F67">
        <w:t xml:space="preserve">. </w:t>
      </w:r>
      <w:r w:rsidR="00795130" w:rsidRPr="006C4F67">
        <w:t xml:space="preserve">Promišljanjem prvih sveobuhvatnih industrijskih restrukturiranja implicirana je potreba za sustavnim rješenjima koja bi ublažila učinke kolektivnih viškova i otkazivanja ugovora o radu na socijalni položaj radnika te bi bila motivirajuća za preostale radnike. </w:t>
      </w:r>
      <w:r w:rsidR="00BC2AE3" w:rsidRPr="006C4F67">
        <w:t>Tada je, u razdoblju prije uvođenja sustava</w:t>
      </w:r>
      <w:r w:rsidR="00795130" w:rsidRPr="00B74757">
        <w:t xml:space="preserve"> osiguranja</w:t>
      </w:r>
      <w:r w:rsidR="00BC2AE3" w:rsidRPr="00B74757">
        <w:t xml:space="preserve"> koji bi ne</w:t>
      </w:r>
      <w:r w:rsidR="00BC2AE3" w:rsidRPr="009769E7">
        <w:t>zaposlenima nakon prestanka radnog odnosa pružao neki zaštićeni, minimalni, dohodak tijekom razdoblja nezaposlenosti</w:t>
      </w:r>
      <w:r w:rsidR="00D34AE2" w:rsidRPr="00E1401E">
        <w:t xml:space="preserve">, otpremnina </w:t>
      </w:r>
      <w:r w:rsidR="00795130" w:rsidRPr="00D00975">
        <w:t>postala</w:t>
      </w:r>
      <w:r w:rsidR="00BC2AE3" w:rsidRPr="008B2ED7">
        <w:t xml:space="preserve"> prav</w:t>
      </w:r>
      <w:r w:rsidR="00D34AE2" w:rsidRPr="008B2ED7">
        <w:t>n</w:t>
      </w:r>
      <w:r w:rsidR="00BC2AE3" w:rsidRPr="008B2ED7">
        <w:t>i institut koji je nosi</w:t>
      </w:r>
      <w:r w:rsidR="00D34AE2" w:rsidRPr="008B2ED7">
        <w:t>o</w:t>
      </w:r>
      <w:r w:rsidR="00BC2AE3" w:rsidRPr="007544D9">
        <w:t xml:space="preserve"> takvu </w:t>
      </w:r>
      <w:r w:rsidRPr="007544D9">
        <w:t>socijalno-zaštitn</w:t>
      </w:r>
      <w:r w:rsidR="00BC2AE3" w:rsidRPr="002313A4">
        <w:t>u</w:t>
      </w:r>
      <w:r w:rsidRPr="00B4742D">
        <w:t xml:space="preserve"> funkcij</w:t>
      </w:r>
      <w:r w:rsidR="00BC2AE3" w:rsidRPr="00B4742D">
        <w:t>u</w:t>
      </w:r>
      <w:r w:rsidR="001B7EE3" w:rsidRPr="00B4742D">
        <w:rPr>
          <w:rStyle w:val="FootnoteReference"/>
        </w:rPr>
        <w:footnoteReference w:id="13"/>
      </w:r>
      <w:r w:rsidR="00E3539B" w:rsidRPr="00B4742D">
        <w:t>.</w:t>
      </w:r>
      <w:r w:rsidR="00BC2AE3" w:rsidRPr="00B4742D">
        <w:t xml:space="preserve"> U </w:t>
      </w:r>
      <w:r w:rsidR="00E3539B" w:rsidRPr="00B4742D">
        <w:t xml:space="preserve">mnogim </w:t>
      </w:r>
      <w:r w:rsidR="00BC2AE3" w:rsidRPr="00B4742D">
        <w:t>državama</w:t>
      </w:r>
      <w:r w:rsidR="00E3539B" w:rsidRPr="00B4742D">
        <w:t xml:space="preserve"> u razvoju, </w:t>
      </w:r>
      <w:r w:rsidR="00BC2AE3" w:rsidRPr="00B4742D">
        <w:t xml:space="preserve">u onima u kojima je socijalni </w:t>
      </w:r>
      <w:r w:rsidR="00E3539B" w:rsidRPr="00B4742D">
        <w:t>s</w:t>
      </w:r>
      <w:r w:rsidR="00BC2AE3" w:rsidRPr="002017C6">
        <w:t>ustav</w:t>
      </w:r>
      <w:r w:rsidR="00E3539B" w:rsidRPr="002017C6">
        <w:t xml:space="preserve"> slabo razvijen, otpremnine i da</w:t>
      </w:r>
      <w:r w:rsidR="00D34AE2" w:rsidRPr="002017C6">
        <w:t>nas</w:t>
      </w:r>
      <w:r w:rsidR="00BC2AE3" w:rsidRPr="002017C6">
        <w:t xml:space="preserve"> dominantno </w:t>
      </w:r>
      <w:r w:rsidR="00D34AE2" w:rsidRPr="002017C6">
        <w:t xml:space="preserve">odražavaju </w:t>
      </w:r>
      <w:r w:rsidR="00BC2AE3" w:rsidRPr="00EB67A0">
        <w:t>takvu socijalno-zaštitnu funkciju</w:t>
      </w:r>
      <w:r w:rsidR="00E3539B" w:rsidRPr="009336BF">
        <w:t>.</w:t>
      </w:r>
      <w:r w:rsidR="00BC2AE3" w:rsidRPr="00B4742D">
        <w:rPr>
          <w:rStyle w:val="FootnoteReference"/>
        </w:rPr>
        <w:footnoteReference w:id="14"/>
      </w:r>
    </w:p>
    <w:p w:rsidR="00795130" w:rsidRPr="00B4742D" w:rsidRDefault="00795130" w:rsidP="00BC2AE3">
      <w:pPr>
        <w:spacing w:line="240" w:lineRule="auto"/>
      </w:pPr>
    </w:p>
    <w:p w:rsidR="00986536" w:rsidRPr="00B4742D" w:rsidRDefault="00BC2AE3" w:rsidP="00BC2AE3">
      <w:pPr>
        <w:spacing w:line="240" w:lineRule="auto"/>
      </w:pPr>
      <w:r w:rsidRPr="002017C6">
        <w:lastRenderedPageBreak/>
        <w:t>Nastavno na zakonsko uređenje rada</w:t>
      </w:r>
      <w:r w:rsidR="00795130" w:rsidRPr="002017C6">
        <w:t xml:space="preserve"> kojim se utvrđuju i štite prava radnika u odnosu na poslodavce</w:t>
      </w:r>
      <w:r w:rsidRPr="002017C6">
        <w:t>, na pr</w:t>
      </w:r>
      <w:r w:rsidR="00B4742D">
        <w:t>ij</w:t>
      </w:r>
      <w:r w:rsidRPr="00B4742D">
        <w:t xml:space="preserve">elazu iz </w:t>
      </w:r>
      <w:r w:rsidR="003D682D" w:rsidRPr="00B4742D">
        <w:t xml:space="preserve">devetnaestog </w:t>
      </w:r>
      <w:r w:rsidRPr="00B4742D">
        <w:t xml:space="preserve">u </w:t>
      </w:r>
      <w:r w:rsidR="003D682D" w:rsidRPr="00B4742D">
        <w:t>dvadeseto</w:t>
      </w:r>
      <w:r w:rsidRPr="00B4742D">
        <w:t xml:space="preserve"> stoljeće, </w:t>
      </w:r>
      <w:r w:rsidR="00986536" w:rsidRPr="00B4742D">
        <w:t xml:space="preserve">otpremnine su </w:t>
      </w:r>
      <w:r w:rsidR="00795130" w:rsidRPr="00B4742D">
        <w:t xml:space="preserve">istaknute kao važna potka u </w:t>
      </w:r>
      <w:r w:rsidR="00795130" w:rsidRPr="002017C6">
        <w:t>pravnom definiranju uvjet</w:t>
      </w:r>
      <w:r w:rsidR="00795130" w:rsidRPr="00EB67A0">
        <w:t>a za otkazivanje ugovora o radu, ovo na način da im je pridana uloga u jamčenju odštete radnicima kojima su, otkazom, poslodavci okončali ugovorni radni odnos, te time, na neki način, “pov</w:t>
      </w:r>
      <w:r w:rsidR="00795130" w:rsidRPr="009336BF">
        <w:t xml:space="preserve">rijedili” (smisao postojanja) ugovora o radu. Tada su otpremnine, </w:t>
      </w:r>
      <w:r w:rsidR="00986536" w:rsidRPr="009336BF">
        <w:t>često</w:t>
      </w:r>
      <w:r w:rsidR="00795130" w:rsidRPr="009336BF">
        <w:t>,</w:t>
      </w:r>
      <w:r w:rsidR="00466D80" w:rsidRPr="009336BF">
        <w:t xml:space="preserve"> </w:t>
      </w:r>
      <w:r w:rsidR="00CA65D9" w:rsidRPr="009336BF">
        <w:rPr>
          <w:i/>
        </w:rPr>
        <w:t xml:space="preserve">ad-hoc </w:t>
      </w:r>
      <w:r w:rsidR="00986536" w:rsidRPr="00C7332E">
        <w:t>dogovarane</w:t>
      </w:r>
      <w:r w:rsidR="00CA65D9" w:rsidRPr="00C7332E">
        <w:t xml:space="preserve"> </w:t>
      </w:r>
      <w:r w:rsidR="00795130" w:rsidRPr="00C7332E">
        <w:t>između poslodavaca i sindikata</w:t>
      </w:r>
      <w:r w:rsidR="00795130" w:rsidRPr="006C4F67">
        <w:rPr>
          <w:i/>
        </w:rPr>
        <w:t xml:space="preserve"> </w:t>
      </w:r>
      <w:r w:rsidR="00CA65D9" w:rsidRPr="006C4F67">
        <w:t xml:space="preserve">s ciljem </w:t>
      </w:r>
      <w:r w:rsidR="00986536" w:rsidRPr="006C4F67">
        <w:t>smanji</w:t>
      </w:r>
      <w:r w:rsidR="00CA65D9" w:rsidRPr="006C4F67">
        <w:t>vanja</w:t>
      </w:r>
      <w:r w:rsidR="00986536" w:rsidRPr="006C4F67">
        <w:t xml:space="preserve"> otpor</w:t>
      </w:r>
      <w:r w:rsidR="00CA65D9" w:rsidRPr="006C4F67">
        <w:t>a</w:t>
      </w:r>
      <w:r w:rsidR="00986536" w:rsidRPr="006C4F67">
        <w:t xml:space="preserve"> </w:t>
      </w:r>
      <w:r w:rsidR="00CA65D9" w:rsidRPr="00B74757">
        <w:t xml:space="preserve">radnika </w:t>
      </w:r>
      <w:r w:rsidR="00986536" w:rsidRPr="00B74757">
        <w:t>prema restrukturiranj</w:t>
      </w:r>
      <w:r w:rsidR="00CA65D9" w:rsidRPr="009769E7">
        <w:t>u</w:t>
      </w:r>
      <w:r w:rsidR="00986536" w:rsidRPr="00E1401E">
        <w:t xml:space="preserve"> koj</w:t>
      </w:r>
      <w:r w:rsidR="00CA65D9" w:rsidRPr="00D00975">
        <w:t xml:space="preserve">e </w:t>
      </w:r>
      <w:r w:rsidR="00986536" w:rsidRPr="008B2ED7">
        <w:t>uključ</w:t>
      </w:r>
      <w:r w:rsidR="00CA65D9" w:rsidRPr="008B2ED7">
        <w:t>uje</w:t>
      </w:r>
      <w:r w:rsidR="00986536" w:rsidRPr="008B2ED7">
        <w:t xml:space="preserve"> ukidanje</w:t>
      </w:r>
      <w:r w:rsidR="00466D80" w:rsidRPr="008B2ED7">
        <w:t xml:space="preserve"> </w:t>
      </w:r>
      <w:r w:rsidR="00986536" w:rsidRPr="007544D9">
        <w:t>većeg broja radnih m</w:t>
      </w:r>
      <w:r w:rsidR="00EA4816" w:rsidRPr="002313A4">
        <w:t>j</w:t>
      </w:r>
      <w:r w:rsidR="00986536" w:rsidRPr="00B4742D">
        <w:t>esta</w:t>
      </w:r>
      <w:r w:rsidR="00CA65D9" w:rsidRPr="00B4742D">
        <w:t xml:space="preserve">. Istovremeno su u nekim proizvodnim sektorima, granama i djelatnostima, ponajprije </w:t>
      </w:r>
      <w:r w:rsidR="00986536" w:rsidRPr="00B4742D">
        <w:t>onim</w:t>
      </w:r>
      <w:r w:rsidR="00CA65D9" w:rsidRPr="00B4742D">
        <w:t>a</w:t>
      </w:r>
      <w:r w:rsidR="00986536" w:rsidRPr="00B4742D">
        <w:t xml:space="preserve"> </w:t>
      </w:r>
      <w:r w:rsidR="00CA65D9" w:rsidRPr="00B4742D">
        <w:t xml:space="preserve">u </w:t>
      </w:r>
      <w:r w:rsidR="00986536" w:rsidRPr="00B4742D">
        <w:t>koj</w:t>
      </w:r>
      <w:r w:rsidR="00CA65D9" w:rsidRPr="00B4742D">
        <w:t>ima se</w:t>
      </w:r>
      <w:r w:rsidR="00986536" w:rsidRPr="00B4742D">
        <w:t xml:space="preserve"> </w:t>
      </w:r>
      <w:r w:rsidR="00B4742D" w:rsidRPr="00B4742D">
        <w:t>zahtijevaju</w:t>
      </w:r>
      <w:r w:rsidR="00986536" w:rsidRPr="00B4742D">
        <w:t xml:space="preserve"> vi</w:t>
      </w:r>
      <w:r w:rsidR="00CA65D9" w:rsidRPr="00B4742D">
        <w:t xml:space="preserve">še </w:t>
      </w:r>
      <w:r w:rsidR="00986536" w:rsidRPr="00B4742D">
        <w:t xml:space="preserve">kvalifikacije </w:t>
      </w:r>
      <w:r w:rsidR="00CA65D9" w:rsidRPr="00B4742D">
        <w:t>odnosno</w:t>
      </w:r>
      <w:r w:rsidR="00986536" w:rsidRPr="00B4742D">
        <w:t xml:space="preserve"> znanj</w:t>
      </w:r>
      <w:r w:rsidR="00EA4816" w:rsidRPr="00B4742D">
        <w:t>e i stručnost</w:t>
      </w:r>
      <w:r w:rsidR="00795130" w:rsidRPr="00B4742D">
        <w:t>,</w:t>
      </w:r>
      <w:r w:rsidR="00EA4816" w:rsidRPr="00B4742D">
        <w:t xml:space="preserve"> pa</w:t>
      </w:r>
      <w:r w:rsidR="00CA65D9" w:rsidRPr="00B4742D">
        <w:t xml:space="preserve"> je </w:t>
      </w:r>
      <w:r w:rsidR="00EA4816" w:rsidRPr="00B4742D">
        <w:t xml:space="preserve">i </w:t>
      </w:r>
      <w:r w:rsidR="00CA65D9" w:rsidRPr="00B4742D">
        <w:t>veće</w:t>
      </w:r>
      <w:r w:rsidR="00986536" w:rsidRPr="00B4742D">
        <w:t xml:space="preserve"> investiranje u </w:t>
      </w:r>
      <w:r w:rsidR="00CA65D9" w:rsidRPr="00B4742D">
        <w:t>obrazovanje radnika</w:t>
      </w:r>
      <w:r w:rsidR="00986536" w:rsidRPr="00B4742D">
        <w:t xml:space="preserve">, poslodavci dobrovoljno </w:t>
      </w:r>
      <w:r w:rsidR="00CA65D9" w:rsidRPr="00B4742D">
        <w:t xml:space="preserve">predlagali ugovaranje </w:t>
      </w:r>
      <w:r w:rsidR="00986536" w:rsidRPr="00B4742D">
        <w:t>visok</w:t>
      </w:r>
      <w:r w:rsidR="00CA65D9" w:rsidRPr="00B4742D">
        <w:t>ih</w:t>
      </w:r>
      <w:r w:rsidR="00986536" w:rsidRPr="00B4742D">
        <w:t xml:space="preserve"> otpremnin</w:t>
      </w:r>
      <w:r w:rsidR="00CA65D9" w:rsidRPr="00B4742D">
        <w:t>a i druga prava radnika sa s</w:t>
      </w:r>
      <w:r w:rsidR="00986536" w:rsidRPr="00B4742D">
        <w:t>vrh</w:t>
      </w:r>
      <w:r w:rsidR="00CA65D9" w:rsidRPr="00B4742D">
        <w:t xml:space="preserve">om obvezivanja samih poslodavaca </w:t>
      </w:r>
      <w:r w:rsidR="00EA4816" w:rsidRPr="00B4742D">
        <w:t>prema radnicima te</w:t>
      </w:r>
      <w:r w:rsidR="00CA65D9" w:rsidRPr="00B4742D">
        <w:t xml:space="preserve"> </w:t>
      </w:r>
      <w:r w:rsidR="00986536" w:rsidRPr="00B4742D">
        <w:t>uspostave pov</w:t>
      </w:r>
      <w:r w:rsidR="00CA65D9" w:rsidRPr="00B4742D">
        <w:t>j</w:t>
      </w:r>
      <w:r w:rsidR="00986536" w:rsidRPr="00B4742D">
        <w:t xml:space="preserve">erenje između </w:t>
      </w:r>
      <w:r w:rsidR="00CA65D9" w:rsidRPr="00B4742D">
        <w:t xml:space="preserve">poslodavaca i radnika. Na taj je način </w:t>
      </w:r>
      <w:r w:rsidR="00986536" w:rsidRPr="00B4742D">
        <w:t>poslodavac sebi povećavao trošak</w:t>
      </w:r>
      <w:r w:rsidR="00CA65D9" w:rsidRPr="00B4742D">
        <w:t xml:space="preserve"> otkazivanja radnicima</w:t>
      </w:r>
      <w:r w:rsidR="00986536" w:rsidRPr="00B4742D">
        <w:t xml:space="preserve">, </w:t>
      </w:r>
      <w:r w:rsidR="00CA65D9" w:rsidRPr="00B4742D">
        <w:t xml:space="preserve">čime se radnicima davao </w:t>
      </w:r>
      <w:r w:rsidR="00986536" w:rsidRPr="00B4742D">
        <w:t>os</w:t>
      </w:r>
      <w:r w:rsidR="00CA65D9" w:rsidRPr="00B4742D">
        <w:t>j</w:t>
      </w:r>
      <w:r w:rsidR="00986536" w:rsidRPr="00B4742D">
        <w:t xml:space="preserve">ećaj sigurnosti </w:t>
      </w:r>
      <w:r w:rsidR="00CA65D9" w:rsidRPr="00B4742D">
        <w:t xml:space="preserve">te se smanjivala vjerojatnost </w:t>
      </w:r>
      <w:r w:rsidR="00986536" w:rsidRPr="00B4742D">
        <w:t>da</w:t>
      </w:r>
      <w:r w:rsidR="00CA65D9" w:rsidRPr="00B4742D">
        <w:t xml:space="preserve"> oni</w:t>
      </w:r>
      <w:r w:rsidR="00986536" w:rsidRPr="00B4742D">
        <w:t xml:space="preserve"> pr</w:t>
      </w:r>
      <w:r w:rsidR="00CA65D9" w:rsidRPr="00B4742D">
        <w:t>ij</w:t>
      </w:r>
      <w:r w:rsidR="00986536" w:rsidRPr="00B4742D">
        <w:t xml:space="preserve">eđu </w:t>
      </w:r>
      <w:r w:rsidR="003D5B78" w:rsidRPr="00B4742D">
        <w:t xml:space="preserve">na rad </w:t>
      </w:r>
      <w:r w:rsidR="00986536" w:rsidRPr="00B4742D">
        <w:t>kod drugog poslodavca</w:t>
      </w:r>
      <w:r w:rsidR="00466D80" w:rsidRPr="00B4742D">
        <w:t xml:space="preserve"> </w:t>
      </w:r>
      <w:r w:rsidR="00CA65D9" w:rsidRPr="00B4742D">
        <w:t xml:space="preserve">zbog </w:t>
      </w:r>
      <w:r w:rsidR="00986536" w:rsidRPr="00B4742D">
        <w:t>veće pla</w:t>
      </w:r>
      <w:r w:rsidR="00CA65D9" w:rsidRPr="00B4742D">
        <w:t>će</w:t>
      </w:r>
      <w:r w:rsidR="00986536" w:rsidRPr="00B4742D">
        <w:t xml:space="preserve">, </w:t>
      </w:r>
      <w:r w:rsidR="00EA4816" w:rsidRPr="00B4742D">
        <w:t xml:space="preserve">a </w:t>
      </w:r>
      <w:r w:rsidR="00986536" w:rsidRPr="00B4742D">
        <w:t xml:space="preserve">zbog </w:t>
      </w:r>
      <w:r w:rsidR="00CA65D9" w:rsidRPr="00B4742D">
        <w:t xml:space="preserve">čega bi </w:t>
      </w:r>
      <w:r w:rsidR="00EA4816" w:rsidRPr="00B4742D">
        <w:t xml:space="preserve">prvi </w:t>
      </w:r>
      <w:r w:rsidR="00CA65D9" w:rsidRPr="00B4742D">
        <w:t>poslodavac pre</w:t>
      </w:r>
      <w:r w:rsidR="00986536" w:rsidRPr="00B4742D">
        <w:t>trp</w:t>
      </w:r>
      <w:r w:rsidR="00CA65D9" w:rsidRPr="00B4742D">
        <w:t>i</w:t>
      </w:r>
      <w:r w:rsidR="00986536" w:rsidRPr="00B4742D">
        <w:t>o</w:t>
      </w:r>
      <w:r w:rsidR="00466D80" w:rsidRPr="00B4742D">
        <w:t xml:space="preserve"> </w:t>
      </w:r>
      <w:r w:rsidR="00986536" w:rsidRPr="00B4742D">
        <w:t>gubitke u poslovanju. Otpremnine su</w:t>
      </w:r>
      <w:r w:rsidR="00CA65D9" w:rsidRPr="00B4742D">
        <w:t xml:space="preserve"> time</w:t>
      </w:r>
      <w:r w:rsidR="00986536" w:rsidRPr="00B4742D">
        <w:t>, dakle,</w:t>
      </w:r>
      <w:r w:rsidR="00CA65D9" w:rsidRPr="00B4742D">
        <w:t xml:space="preserve"> usvojile</w:t>
      </w:r>
      <w:r w:rsidR="00EA4816" w:rsidRPr="00B4742D">
        <w:t xml:space="preserve"> i</w:t>
      </w:r>
      <w:r w:rsidR="00CA65D9" w:rsidRPr="00B4742D">
        <w:t xml:space="preserve"> </w:t>
      </w:r>
      <w:r w:rsidR="005875F7" w:rsidRPr="00B4742D">
        <w:t xml:space="preserve">obilježje </w:t>
      </w:r>
      <w:r w:rsidR="00CA65D9" w:rsidRPr="00B4742D">
        <w:t>zaštitne nagrade radniku za vjernost</w:t>
      </w:r>
      <w:r w:rsidR="005875F7" w:rsidRPr="00B4742D">
        <w:t xml:space="preserve"> poslodavcu </w:t>
      </w:r>
      <w:r w:rsidR="0000343E" w:rsidRPr="00B4742D">
        <w:t xml:space="preserve">te </w:t>
      </w:r>
      <w:r w:rsidR="005875F7" w:rsidRPr="00B4742D">
        <w:t>im je osmišljena i uloga u</w:t>
      </w:r>
      <w:r w:rsidR="00986536" w:rsidRPr="00B4742D">
        <w:t xml:space="preserve"> svrhu</w:t>
      </w:r>
      <w:r w:rsidR="00466D80" w:rsidRPr="00B4742D">
        <w:t xml:space="preserve"> </w:t>
      </w:r>
      <w:r w:rsidR="001B5F10" w:rsidRPr="00B4742D">
        <w:t>učinkovitijeg</w:t>
      </w:r>
      <w:r w:rsidR="00986536" w:rsidRPr="00B4742D">
        <w:t xml:space="preserve"> upravljanja ljudskim resursima.</w:t>
      </w:r>
      <w:r w:rsidR="005875F7" w:rsidRPr="00B4742D">
        <w:rPr>
          <w:rStyle w:val="FootnoteReference"/>
        </w:rPr>
        <w:footnoteReference w:id="15"/>
      </w:r>
    </w:p>
    <w:p w:rsidR="005875F7" w:rsidRPr="00B4742D" w:rsidRDefault="005875F7" w:rsidP="00BC2AE3">
      <w:pPr>
        <w:spacing w:line="240" w:lineRule="auto"/>
      </w:pPr>
    </w:p>
    <w:p w:rsidR="00986536" w:rsidRPr="00B4742D" w:rsidRDefault="00DA13A7" w:rsidP="00BC2AE3">
      <w:pPr>
        <w:spacing w:line="240" w:lineRule="auto"/>
      </w:pPr>
      <w:r w:rsidRPr="002017C6">
        <w:t>Konačno, n</w:t>
      </w:r>
      <w:r w:rsidR="005875F7" w:rsidRPr="002017C6">
        <w:t xml:space="preserve">akon Drugog svjetskog rada, emanacijom </w:t>
      </w:r>
      <w:r w:rsidR="00031544" w:rsidRPr="002017C6">
        <w:t>socijalnih država</w:t>
      </w:r>
      <w:r w:rsidR="005875F7" w:rsidRPr="00B4742D">
        <w:rPr>
          <w:rStyle w:val="FootnoteReference"/>
        </w:rPr>
        <w:footnoteReference w:id="16"/>
      </w:r>
      <w:r w:rsidR="005875F7" w:rsidRPr="00B4742D">
        <w:t xml:space="preserve"> između </w:t>
      </w:r>
      <w:r w:rsidR="00986536" w:rsidRPr="00B4742D">
        <w:t>razvijeni</w:t>
      </w:r>
      <w:r w:rsidR="005875F7" w:rsidRPr="00B4742D">
        <w:t xml:space="preserve">h </w:t>
      </w:r>
      <w:r w:rsidR="00031544" w:rsidRPr="00B4742D">
        <w:t>država blagostanja</w:t>
      </w:r>
      <w:r w:rsidR="00986536" w:rsidRPr="00B4742D">
        <w:t>,</w:t>
      </w:r>
      <w:r w:rsidR="00031544" w:rsidRPr="002017C6">
        <w:t xml:space="preserve"> otpremnine nisu ukinute, bez obzir</w:t>
      </w:r>
      <w:r w:rsidR="00AD6D05" w:rsidRPr="002017C6">
        <w:t>a</w:t>
      </w:r>
      <w:r w:rsidR="00031544" w:rsidRPr="002017C6">
        <w:t xml:space="preserve"> što se razvio i zaseban socijalno-zaštitni sustav </w:t>
      </w:r>
      <w:r w:rsidRPr="002017C6">
        <w:lastRenderedPageBreak/>
        <w:t xml:space="preserve">osiguranja </w:t>
      </w:r>
      <w:r w:rsidR="00031544" w:rsidRPr="00EB67A0">
        <w:t>koji je nezaposlenima, nakon prestanka radnog odnosa, pružao zaštićeni, minimalni, dohodak tijekom razdoblja nezaposlenosti</w:t>
      </w:r>
      <w:r w:rsidR="00986536" w:rsidRPr="009336BF">
        <w:t xml:space="preserve">. </w:t>
      </w:r>
      <w:r w:rsidRPr="009336BF">
        <w:t xml:space="preserve">Upravo suprotno, postojeće je ugovorno ili dobrovoljno uređenje prava na otpremnine prošireno na cjelokupnu </w:t>
      </w:r>
      <w:r w:rsidR="00AD6D05" w:rsidRPr="009336BF">
        <w:t xml:space="preserve">zaposlenu </w:t>
      </w:r>
      <w:r w:rsidRPr="009336BF">
        <w:t xml:space="preserve">populaciju radne snage te je i ozakonjeno. Uvođenjem zakonske pravne osnovanosti prava na otpremninu, </w:t>
      </w:r>
      <w:r w:rsidR="00031544" w:rsidRPr="00C7332E">
        <w:t>naprosto,</w:t>
      </w:r>
      <w:r w:rsidRPr="00C7332E">
        <w:t xml:space="preserve"> je</w:t>
      </w:r>
      <w:r w:rsidR="00031544" w:rsidRPr="00C7332E">
        <w:t xml:space="preserve"> otpremninama naglašena zaštitna funkcija u pogledu radnih </w:t>
      </w:r>
      <w:r w:rsidR="0000343E" w:rsidRPr="006C4F67">
        <w:t xml:space="preserve">odnosa </w:t>
      </w:r>
      <w:r w:rsidR="00031544" w:rsidRPr="006C4F67">
        <w:t>odnosno zaposlenosti, dakle obilježje zaštitne nagrade radniku za vjernost poslodavcu</w:t>
      </w:r>
      <w:r w:rsidR="00986536" w:rsidRPr="006C4F67">
        <w:t>.</w:t>
      </w:r>
      <w:r w:rsidR="00031544" w:rsidRPr="00B4742D">
        <w:rPr>
          <w:rStyle w:val="FootnoteReference"/>
        </w:rPr>
        <w:footnoteReference w:id="17"/>
      </w:r>
    </w:p>
    <w:p w:rsidR="00DA13A7" w:rsidRPr="00B4742D" w:rsidRDefault="00DA13A7" w:rsidP="003C3983">
      <w:pPr>
        <w:spacing w:line="240" w:lineRule="auto"/>
      </w:pPr>
    </w:p>
    <w:p w:rsidR="001B5F10" w:rsidRPr="009336BF" w:rsidRDefault="003D5B78" w:rsidP="0000343E">
      <w:pPr>
        <w:tabs>
          <w:tab w:val="clear" w:pos="0"/>
          <w:tab w:val="clear" w:pos="9360"/>
        </w:tabs>
        <w:autoSpaceDE w:val="0"/>
        <w:autoSpaceDN w:val="0"/>
        <w:adjustRightInd w:val="0"/>
        <w:spacing w:line="240" w:lineRule="auto"/>
      </w:pPr>
      <w:r w:rsidRPr="002017C6">
        <w:t>Kroz</w:t>
      </w:r>
      <w:r w:rsidR="001B5F10" w:rsidRPr="002017C6">
        <w:t xml:space="preserve"> ove tri faze razvitka otpremnin</w:t>
      </w:r>
      <w:r w:rsidR="003841AC" w:rsidRPr="002017C6">
        <w:t>e</w:t>
      </w:r>
      <w:r w:rsidR="001B5F10" w:rsidRPr="002017C6">
        <w:t xml:space="preserve"> se</w:t>
      </w:r>
      <w:r w:rsidRPr="002017C6">
        <w:t>,</w:t>
      </w:r>
      <w:r w:rsidR="001B5F10" w:rsidRPr="00EB67A0">
        <w:t xml:space="preserve"> pojednostavljeno</w:t>
      </w:r>
      <w:r w:rsidRPr="00EB67A0">
        <w:t>,</w:t>
      </w:r>
      <w:r w:rsidR="001B5F10" w:rsidRPr="00FE70C5">
        <w:t xml:space="preserve"> može identificirati </w:t>
      </w:r>
      <w:r w:rsidR="003841AC" w:rsidRPr="00FE70C5">
        <w:t xml:space="preserve">sa </w:t>
      </w:r>
      <w:r w:rsidRPr="00FE70C5">
        <w:t xml:space="preserve">više smjeranih svrha: </w:t>
      </w:r>
    </w:p>
    <w:p w:rsidR="001B5F10" w:rsidRPr="00C7332E" w:rsidRDefault="001B5F10" w:rsidP="00743034">
      <w:pPr>
        <w:pStyle w:val="ListParagraph"/>
        <w:numPr>
          <w:ilvl w:val="0"/>
          <w:numId w:val="5"/>
        </w:numPr>
        <w:autoSpaceDE w:val="0"/>
        <w:autoSpaceDN w:val="0"/>
        <w:adjustRightInd w:val="0"/>
        <w:ind w:left="567" w:hanging="567"/>
        <w:jc w:val="both"/>
      </w:pPr>
      <w:r w:rsidRPr="009336BF">
        <w:t>“primitivni” oblik socijalnog davanja koje prethodi uvođenju osiguranja od nezaposlenosti i mirovinskog osiguranja koji jamči zamjenu</w:t>
      </w:r>
      <w:r w:rsidRPr="00C7332E">
        <w:t xml:space="preserve"> za dohodak namjesto tih oblika osiguranja;</w:t>
      </w:r>
    </w:p>
    <w:p w:rsidR="001B5F10" w:rsidRPr="00C7332E" w:rsidRDefault="001B5F10" w:rsidP="00743034">
      <w:pPr>
        <w:pStyle w:val="ListParagraph"/>
        <w:numPr>
          <w:ilvl w:val="0"/>
          <w:numId w:val="5"/>
        </w:numPr>
        <w:autoSpaceDE w:val="0"/>
        <w:autoSpaceDN w:val="0"/>
        <w:adjustRightInd w:val="0"/>
        <w:ind w:left="567" w:hanging="567"/>
        <w:jc w:val="both"/>
      </w:pPr>
      <w:r w:rsidRPr="00C7332E">
        <w:t>instrument za povećanje učinkovitosti upravljanja ljudskim resursima koji, zajedno sa drugim komponentama naknađivanja, jamči uravnoteženje inter</w:t>
      </w:r>
      <w:r w:rsidR="00AD6D05" w:rsidRPr="00C7332E">
        <w:t>e</w:t>
      </w:r>
      <w:r w:rsidRPr="00C7332E">
        <w:t>sa poslodavaca i radnika u znanjem-intenzivnim proizvodnjama; i</w:t>
      </w:r>
    </w:p>
    <w:p w:rsidR="001B5F10" w:rsidRPr="009769E7" w:rsidRDefault="001B5F10" w:rsidP="00743034">
      <w:pPr>
        <w:pStyle w:val="ListParagraph"/>
        <w:numPr>
          <w:ilvl w:val="0"/>
          <w:numId w:val="5"/>
        </w:numPr>
        <w:autoSpaceDE w:val="0"/>
        <w:autoSpaceDN w:val="0"/>
        <w:adjustRightInd w:val="0"/>
        <w:ind w:left="567" w:hanging="567"/>
        <w:jc w:val="both"/>
      </w:pPr>
      <w:r w:rsidRPr="006C4F67">
        <w:t>sredstvo zaštite zaposlenosti</w:t>
      </w:r>
      <w:r w:rsidR="00F84724" w:rsidRPr="006C4F67">
        <w:t>,</w:t>
      </w:r>
      <w:r w:rsidRPr="006C4F67">
        <w:t xml:space="preserve"> kao </w:t>
      </w:r>
      <w:r w:rsidR="00F84724" w:rsidRPr="006C4F67">
        <w:t>nenaumljena posljedica naslijeđenih pravnih uređenja ili naumljena posljedi</w:t>
      </w:r>
      <w:r w:rsidR="0000343E" w:rsidRPr="00B74757">
        <w:t>ca proširenja pravnih uređenja,</w:t>
      </w:r>
      <w:r w:rsidR="00F84724" w:rsidRPr="00B74757">
        <w:t xml:space="preserve"> sve kao posljedica odluka političke ekonomije, koje se ne mogu promijeniti</w:t>
      </w:r>
      <w:r w:rsidRPr="009769E7">
        <w:t>.</w:t>
      </w:r>
      <w:r w:rsidRPr="009769E7">
        <w:rPr>
          <w:rStyle w:val="FootnoteReference"/>
          <w:bCs/>
        </w:rPr>
        <w:footnoteReference w:id="18"/>
      </w:r>
    </w:p>
    <w:p w:rsidR="001B5F10" w:rsidRPr="00E1401E" w:rsidRDefault="001B5F10" w:rsidP="003C3983">
      <w:pPr>
        <w:spacing w:line="240" w:lineRule="auto"/>
      </w:pPr>
    </w:p>
    <w:p w:rsidR="00DA0EDA" w:rsidRPr="00B4742D" w:rsidRDefault="003C3983" w:rsidP="003C3983">
      <w:pPr>
        <w:tabs>
          <w:tab w:val="clear" w:pos="0"/>
          <w:tab w:val="clear" w:pos="9360"/>
        </w:tabs>
        <w:autoSpaceDE w:val="0"/>
        <w:autoSpaceDN w:val="0"/>
        <w:adjustRightInd w:val="0"/>
        <w:spacing w:line="240" w:lineRule="auto"/>
        <w:rPr>
          <w:bCs w:val="0"/>
          <w:color w:val="auto"/>
        </w:rPr>
      </w:pPr>
      <w:r w:rsidRPr="00D00975">
        <w:rPr>
          <w:bCs w:val="0"/>
          <w:color w:val="auto"/>
        </w:rPr>
        <w:t>Slijedom narečenog</w:t>
      </w:r>
      <w:r w:rsidR="00DA0EDA" w:rsidRPr="008B2ED7">
        <w:rPr>
          <w:bCs w:val="0"/>
          <w:color w:val="auto"/>
        </w:rPr>
        <w:t>,</w:t>
      </w:r>
      <w:r w:rsidRPr="008B2ED7">
        <w:rPr>
          <w:bCs w:val="0"/>
          <w:color w:val="auto"/>
        </w:rPr>
        <w:t xml:space="preserve"> </w:t>
      </w:r>
      <w:r w:rsidR="003841AC" w:rsidRPr="008B2ED7">
        <w:rPr>
          <w:bCs w:val="0"/>
          <w:color w:val="auto"/>
        </w:rPr>
        <w:t xml:space="preserve">uvažavajući svrhe koje im se pridaju, </w:t>
      </w:r>
      <w:r w:rsidRPr="008B2ED7">
        <w:rPr>
          <w:bCs w:val="0"/>
          <w:color w:val="auto"/>
        </w:rPr>
        <w:t>u pogledu otpremnine može se</w:t>
      </w:r>
      <w:r w:rsidR="003841AC" w:rsidRPr="008B2ED7">
        <w:rPr>
          <w:bCs w:val="0"/>
          <w:color w:val="auto"/>
        </w:rPr>
        <w:t xml:space="preserve"> posustaviti više društvenih </w:t>
      </w:r>
      <w:r w:rsidR="00DA0EDA" w:rsidRPr="008B2ED7">
        <w:rPr>
          <w:bCs w:val="0"/>
          <w:color w:val="auto"/>
        </w:rPr>
        <w:t>funkcij</w:t>
      </w:r>
      <w:r w:rsidR="0000343E" w:rsidRPr="007544D9">
        <w:rPr>
          <w:bCs w:val="0"/>
          <w:color w:val="auto"/>
        </w:rPr>
        <w:t>a</w:t>
      </w:r>
      <w:r w:rsidR="003841AC" w:rsidRPr="007544D9">
        <w:rPr>
          <w:bCs w:val="0"/>
          <w:color w:val="auto"/>
        </w:rPr>
        <w:t xml:space="preserve"> kojima one trebaju poslužiti. Inicijalno radilo se o</w:t>
      </w:r>
      <w:r w:rsidR="00DA0EDA" w:rsidRPr="00B4742D">
        <w:rPr>
          <w:bCs w:val="0"/>
          <w:color w:val="auto"/>
        </w:rPr>
        <w:t>:</w:t>
      </w:r>
    </w:p>
    <w:p w:rsidR="00DA0EDA" w:rsidRPr="00B4742D" w:rsidRDefault="00DA0EDA" w:rsidP="00743034">
      <w:pPr>
        <w:pStyle w:val="ListParagraph"/>
        <w:numPr>
          <w:ilvl w:val="0"/>
          <w:numId w:val="4"/>
        </w:numPr>
        <w:autoSpaceDE w:val="0"/>
        <w:autoSpaceDN w:val="0"/>
        <w:adjustRightInd w:val="0"/>
        <w:ind w:left="567" w:hanging="567"/>
      </w:pPr>
      <w:r w:rsidRPr="00B4742D">
        <w:t>nagrađivanj</w:t>
      </w:r>
      <w:r w:rsidR="003841AC" w:rsidRPr="00B4742D">
        <w:t>u</w:t>
      </w:r>
      <w:r w:rsidRPr="00B4742D">
        <w:t xml:space="preserve"> radnika za vjernost poslodavcu; i</w:t>
      </w:r>
    </w:p>
    <w:p w:rsidR="004B2EF7" w:rsidRPr="009336BF" w:rsidRDefault="006C4F67" w:rsidP="009336BF">
      <w:pPr>
        <w:pStyle w:val="ListParagraph"/>
        <w:numPr>
          <w:ilvl w:val="0"/>
          <w:numId w:val="4"/>
        </w:numPr>
        <w:autoSpaceDE w:val="0"/>
        <w:autoSpaceDN w:val="0"/>
        <w:adjustRightInd w:val="0"/>
        <w:ind w:left="567" w:hanging="567"/>
        <w:jc w:val="both"/>
      </w:pPr>
      <w:r>
        <w:t>pomoći</w:t>
      </w:r>
      <w:r>
        <w:rPr>
          <w:rStyle w:val="FootnoteReference"/>
        </w:rPr>
        <w:footnoteReference w:id="19"/>
      </w:r>
      <w:r>
        <w:t xml:space="preserve"> za </w:t>
      </w:r>
      <w:r w:rsidR="00DA0EDA" w:rsidRPr="009336BF">
        <w:t>ublažavanj</w:t>
      </w:r>
      <w:r>
        <w:t>e</w:t>
      </w:r>
      <w:r w:rsidR="00DA0EDA" w:rsidRPr="009336BF">
        <w:t xml:space="preserve"> štetnih posljedica koje otkaz </w:t>
      </w:r>
      <w:r w:rsidR="0000343E" w:rsidRPr="009336BF">
        <w:t xml:space="preserve">ugovora o radu </w:t>
      </w:r>
      <w:r w:rsidR="00DA0EDA" w:rsidRPr="009336BF">
        <w:t xml:space="preserve">za radnika proizvodi, </w:t>
      </w:r>
      <w:r w:rsidR="009336BF">
        <w:t xml:space="preserve">u vidu </w:t>
      </w:r>
      <w:r w:rsidR="009336BF" w:rsidRPr="00B4742D">
        <w:t>osiguravanja prihoda, odnosno zamjene za</w:t>
      </w:r>
      <w:r w:rsidR="009336BF" w:rsidRPr="002017C6">
        <w:t xml:space="preserve"> dohodak</w:t>
      </w:r>
      <w:r w:rsidR="009336BF">
        <w:t>, dakle egzistencije radnika do sklapanja novog ugovora o radu ili nekog drugog izvora prihoda</w:t>
      </w:r>
      <w:r w:rsidR="009336BF">
        <w:rPr>
          <w:rStyle w:val="FootnoteReference"/>
        </w:rPr>
        <w:footnoteReference w:id="20"/>
      </w:r>
      <w:r w:rsidR="009336BF">
        <w:t xml:space="preserve">, </w:t>
      </w:r>
    </w:p>
    <w:p w:rsidR="003C3983" w:rsidRPr="009336BF" w:rsidRDefault="003841AC" w:rsidP="004B2EF7">
      <w:pPr>
        <w:autoSpaceDE w:val="0"/>
        <w:autoSpaceDN w:val="0"/>
        <w:adjustRightInd w:val="0"/>
        <w:spacing w:line="240" w:lineRule="auto"/>
        <w:rPr>
          <w:color w:val="auto"/>
        </w:rPr>
      </w:pPr>
      <w:r w:rsidRPr="009336BF">
        <w:rPr>
          <w:color w:val="auto"/>
        </w:rPr>
        <w:t xml:space="preserve">no kroz etape kasnijeg razvitka moguće je </w:t>
      </w:r>
      <w:r w:rsidR="003C3983" w:rsidRPr="009336BF">
        <w:rPr>
          <w:color w:val="auto"/>
        </w:rPr>
        <w:t xml:space="preserve">identificirati </w:t>
      </w:r>
      <w:r w:rsidR="004B2EF7" w:rsidRPr="009336BF">
        <w:rPr>
          <w:color w:val="auto"/>
        </w:rPr>
        <w:t>i neke daljnje, razmjerno sofist</w:t>
      </w:r>
      <w:r w:rsidR="0000343E" w:rsidRPr="009336BF">
        <w:rPr>
          <w:color w:val="auto"/>
        </w:rPr>
        <w:t>iciranije</w:t>
      </w:r>
      <w:r w:rsidR="004B2EF7" w:rsidRPr="009336BF">
        <w:rPr>
          <w:color w:val="auto"/>
        </w:rPr>
        <w:t xml:space="preserve">, </w:t>
      </w:r>
      <w:r w:rsidR="003C3983" w:rsidRPr="009336BF">
        <w:rPr>
          <w:color w:val="auto"/>
        </w:rPr>
        <w:t>funkcij</w:t>
      </w:r>
      <w:r w:rsidR="004B2EF7" w:rsidRPr="009336BF">
        <w:rPr>
          <w:color w:val="auto"/>
        </w:rPr>
        <w:t xml:space="preserve">e </w:t>
      </w:r>
      <w:r w:rsidRPr="009336BF">
        <w:rPr>
          <w:color w:val="auto"/>
        </w:rPr>
        <w:t xml:space="preserve">kojima </w:t>
      </w:r>
      <w:r w:rsidR="004B2EF7" w:rsidRPr="009336BF">
        <w:rPr>
          <w:color w:val="auto"/>
        </w:rPr>
        <w:t>na tržištu rada</w:t>
      </w:r>
      <w:r w:rsidRPr="009336BF">
        <w:rPr>
          <w:color w:val="auto"/>
        </w:rPr>
        <w:t xml:space="preserve"> služe otpremnine i nacionalni sustavi otpremnina, kao što su</w:t>
      </w:r>
      <w:r w:rsidR="003C3983" w:rsidRPr="009336BF">
        <w:rPr>
          <w:color w:val="auto"/>
        </w:rPr>
        <w:t>:</w:t>
      </w:r>
    </w:p>
    <w:p w:rsidR="003C3983" w:rsidRPr="006C4F67" w:rsidRDefault="00DA0EDA" w:rsidP="00743034">
      <w:pPr>
        <w:pStyle w:val="ListParagraph"/>
        <w:numPr>
          <w:ilvl w:val="0"/>
          <w:numId w:val="4"/>
        </w:numPr>
        <w:autoSpaceDE w:val="0"/>
        <w:autoSpaceDN w:val="0"/>
        <w:adjustRightInd w:val="0"/>
        <w:ind w:left="567" w:hanging="567"/>
      </w:pPr>
      <w:r w:rsidRPr="00C7332E">
        <w:t>nakna</w:t>
      </w:r>
      <w:r w:rsidR="003841AC" w:rsidRPr="00C7332E">
        <w:t>đivanje</w:t>
      </w:r>
      <w:r w:rsidRPr="00C7332E">
        <w:t xml:space="preserve"> za prestanak ugovora o radu odnosno gubitak radnog mjesta;</w:t>
      </w:r>
    </w:p>
    <w:p w:rsidR="00B410F2" w:rsidRPr="009336BF" w:rsidRDefault="00DA0EDA" w:rsidP="00743034">
      <w:pPr>
        <w:pStyle w:val="ListParagraph"/>
        <w:numPr>
          <w:ilvl w:val="0"/>
          <w:numId w:val="4"/>
        </w:numPr>
        <w:autoSpaceDE w:val="0"/>
        <w:autoSpaceDN w:val="0"/>
        <w:adjustRightInd w:val="0"/>
        <w:ind w:left="567" w:hanging="567"/>
        <w:jc w:val="both"/>
      </w:pPr>
      <w:r w:rsidRPr="006C4F67">
        <w:lastRenderedPageBreak/>
        <w:t>stabilizacija radnog odnosa i preveniranje nezaposlenosti obeshrabrivanjem prestanka ugovora o radu</w:t>
      </w:r>
      <w:r w:rsidR="006F0782" w:rsidRPr="009336BF">
        <w:rPr>
          <w:rStyle w:val="FootnoteReference"/>
        </w:rPr>
        <w:footnoteReference w:id="21"/>
      </w:r>
      <w:r w:rsidRPr="009336BF">
        <w:t>; i</w:t>
      </w:r>
    </w:p>
    <w:p w:rsidR="003C3983" w:rsidRPr="009336BF" w:rsidRDefault="00DA0EDA" w:rsidP="00743034">
      <w:pPr>
        <w:pStyle w:val="ListParagraph"/>
        <w:numPr>
          <w:ilvl w:val="0"/>
          <w:numId w:val="4"/>
        </w:numPr>
        <w:autoSpaceDE w:val="0"/>
        <w:autoSpaceDN w:val="0"/>
        <w:adjustRightInd w:val="0"/>
        <w:ind w:left="567" w:hanging="567"/>
        <w:jc w:val="both"/>
      </w:pPr>
      <w:r w:rsidRPr="009336BF">
        <w:t>ohrabrivanje dugotrajnih radnih odnosa kroz koje se zadržavaju vrijedni radnici i umanjuju transakcijski troškovi koji proizlaze iz</w:t>
      </w:r>
      <w:r w:rsidR="004B2EF7" w:rsidRPr="009336BF">
        <w:t xml:space="preserve"> oscilacije radne snage kod poslodavca</w:t>
      </w:r>
      <w:r w:rsidR="00B410F2" w:rsidRPr="00C7332E">
        <w:t>.</w:t>
      </w:r>
      <w:r w:rsidRPr="009336BF">
        <w:rPr>
          <w:rStyle w:val="FootnoteReference"/>
          <w:bCs/>
        </w:rPr>
        <w:footnoteReference w:id="22"/>
      </w:r>
    </w:p>
    <w:p w:rsidR="00F95318" w:rsidRPr="00C7332E" w:rsidRDefault="00F95318" w:rsidP="003C3983">
      <w:pPr>
        <w:spacing w:line="240" w:lineRule="auto"/>
      </w:pPr>
    </w:p>
    <w:p w:rsidR="00CC68D1" w:rsidRPr="00C7332E" w:rsidRDefault="00CC68D1" w:rsidP="00CC68D1">
      <w:pPr>
        <w:pStyle w:val="Heading2"/>
      </w:pPr>
      <w:bookmarkStart w:id="7" w:name="_Toc365828825"/>
      <w:r w:rsidRPr="00C7332E">
        <w:t>1.3. Pravn</w:t>
      </w:r>
      <w:r w:rsidR="00951AD5" w:rsidRPr="00C7332E">
        <w:t>i izvo</w:t>
      </w:r>
      <w:r w:rsidR="00427F32" w:rsidRPr="00C7332E">
        <w:t>ri</w:t>
      </w:r>
      <w:r w:rsidRPr="00C7332E">
        <w:t xml:space="preserve"> otpremnine</w:t>
      </w:r>
      <w:bookmarkEnd w:id="7"/>
    </w:p>
    <w:p w:rsidR="00466D80" w:rsidRPr="006C4F67" w:rsidRDefault="00466D80" w:rsidP="00466D80">
      <w:pPr>
        <w:spacing w:line="240" w:lineRule="auto"/>
      </w:pPr>
    </w:p>
    <w:p w:rsidR="00986536" w:rsidRPr="008B2ED7" w:rsidRDefault="00227012" w:rsidP="00466D80">
      <w:pPr>
        <w:spacing w:line="240" w:lineRule="auto"/>
      </w:pPr>
      <w:r w:rsidRPr="006C4F67">
        <w:t>Više je pravnih izvora kroz koje je moguće i kroz koje se otpremnine uređuju. Tako p</w:t>
      </w:r>
      <w:r w:rsidR="0070240C" w:rsidRPr="006C4F67">
        <w:t>ravn</w:t>
      </w:r>
      <w:r w:rsidR="00427F32" w:rsidRPr="006C4F67">
        <w:t>i</w:t>
      </w:r>
      <w:r w:rsidR="0070240C" w:rsidRPr="006C4F67">
        <w:t xml:space="preserve"> </w:t>
      </w:r>
      <w:r w:rsidR="00427F32" w:rsidRPr="006C4F67">
        <w:t xml:space="preserve">izvor </w:t>
      </w:r>
      <w:r w:rsidR="0070240C" w:rsidRPr="00B74757">
        <w:t>otpremnin</w:t>
      </w:r>
      <w:r w:rsidR="00427F32" w:rsidRPr="00B74757">
        <w:t>e</w:t>
      </w:r>
      <w:r w:rsidR="0070240C" w:rsidRPr="009769E7">
        <w:t xml:space="preserve"> odnosno </w:t>
      </w:r>
      <w:r w:rsidRPr="00E1401E">
        <w:t>isplate</w:t>
      </w:r>
      <w:r w:rsidR="00986536" w:rsidRPr="00D00975">
        <w:t xml:space="preserve"> otpremnin</w:t>
      </w:r>
      <w:r w:rsidR="00427F32" w:rsidRPr="008B2ED7">
        <w:t>e</w:t>
      </w:r>
      <w:r w:rsidR="0081114B" w:rsidRPr="008B2ED7">
        <w:t>, na nacionalnoj razini,</w:t>
      </w:r>
      <w:r w:rsidR="00986536" w:rsidRPr="008B2ED7">
        <w:t xml:space="preserve"> može biti:</w:t>
      </w:r>
    </w:p>
    <w:p w:rsidR="0070240C" w:rsidRPr="008B2ED7" w:rsidRDefault="0070240C" w:rsidP="00743034">
      <w:pPr>
        <w:pStyle w:val="ListParagraph"/>
        <w:numPr>
          <w:ilvl w:val="0"/>
          <w:numId w:val="6"/>
        </w:numPr>
        <w:ind w:left="567" w:hanging="567"/>
      </w:pPr>
      <w:r w:rsidRPr="008B2ED7">
        <w:t xml:space="preserve">zakonsko uređenje – obveza isplate otpremnina uređena zakonom; </w:t>
      </w:r>
    </w:p>
    <w:p w:rsidR="0070240C" w:rsidRPr="00B4742D" w:rsidRDefault="00227012" w:rsidP="00227012">
      <w:pPr>
        <w:pStyle w:val="ListParagraph"/>
        <w:numPr>
          <w:ilvl w:val="0"/>
          <w:numId w:val="6"/>
        </w:numPr>
        <w:ind w:left="567" w:hanging="567"/>
        <w:jc w:val="both"/>
      </w:pPr>
      <w:r w:rsidRPr="00B4742D">
        <w:t>uređenje</w:t>
      </w:r>
      <w:r w:rsidR="0070240C" w:rsidRPr="00B4742D">
        <w:t xml:space="preserve"> </w:t>
      </w:r>
      <w:r w:rsidR="00986536" w:rsidRPr="00B4742D">
        <w:t>kolektivni</w:t>
      </w:r>
      <w:r w:rsidRPr="00B4742D">
        <w:t>m</w:t>
      </w:r>
      <w:r w:rsidR="00986536" w:rsidRPr="00B4742D">
        <w:t xml:space="preserve"> ugovor</w:t>
      </w:r>
      <w:r w:rsidRPr="00B4742D">
        <w:t>ima</w:t>
      </w:r>
      <w:r w:rsidR="0070240C" w:rsidRPr="00B4742D">
        <w:t xml:space="preserve"> – obveza isplate otpremnina ugovorena kolektivnim ugovorom;</w:t>
      </w:r>
    </w:p>
    <w:p w:rsidR="0070240C" w:rsidRPr="00B4742D" w:rsidRDefault="00227012" w:rsidP="00743034">
      <w:pPr>
        <w:pStyle w:val="ListParagraph"/>
        <w:numPr>
          <w:ilvl w:val="0"/>
          <w:numId w:val="6"/>
        </w:numPr>
        <w:ind w:left="567" w:hanging="567"/>
        <w:jc w:val="both"/>
      </w:pPr>
      <w:r w:rsidRPr="00B4742D">
        <w:t xml:space="preserve">jednostrano, </w:t>
      </w:r>
      <w:r w:rsidR="00986536" w:rsidRPr="00B4742D">
        <w:t>dobrovoljn</w:t>
      </w:r>
      <w:r w:rsidRPr="00B4742D">
        <w:t>o, uređenje poslodavca</w:t>
      </w:r>
      <w:r w:rsidR="0070240C" w:rsidRPr="00B4742D">
        <w:t xml:space="preserve"> </w:t>
      </w:r>
      <w:r w:rsidR="00A63383" w:rsidRPr="00B4742D">
        <w:t xml:space="preserve">(pravilnik o radu ili odluka) </w:t>
      </w:r>
      <w:r w:rsidR="0070240C" w:rsidRPr="00B4742D">
        <w:t>– poslodavac sam odlučuje kako će otpremnine isplaćivati i u slučajevima kada za to ne postoji obveza iz zakona ili kolektivnog ugovora ili preko iznosa iz zakona ili kolektivnog ugovora, ovo osobito u situaciji kada postoji viša</w:t>
      </w:r>
      <w:r w:rsidR="0028745A" w:rsidRPr="00B4742D">
        <w:t>k</w:t>
      </w:r>
      <w:r w:rsidR="0070240C" w:rsidRPr="00B4742D">
        <w:t xml:space="preserve"> radnika te je odluka o isplati otpremnina utemeljena na poticanju dobrovoljnosti u prestanku ugovora o radu; i</w:t>
      </w:r>
      <w:r w:rsidR="00986536" w:rsidRPr="00B4742D">
        <w:t xml:space="preserve"> </w:t>
      </w:r>
    </w:p>
    <w:p w:rsidR="00986536" w:rsidRPr="00B4742D" w:rsidRDefault="0070240C" w:rsidP="00743034">
      <w:pPr>
        <w:pStyle w:val="ListParagraph"/>
        <w:numPr>
          <w:ilvl w:val="0"/>
          <w:numId w:val="6"/>
        </w:numPr>
        <w:ind w:left="567" w:hanging="567"/>
      </w:pPr>
      <w:r w:rsidRPr="00B4742D">
        <w:t>k</w:t>
      </w:r>
      <w:r w:rsidR="00986536" w:rsidRPr="00B4742D">
        <w:t>ombinacija</w:t>
      </w:r>
      <w:r w:rsidR="0000343E" w:rsidRPr="00B4742D">
        <w:t xml:space="preserve"> različitih</w:t>
      </w:r>
      <w:r w:rsidR="00986536" w:rsidRPr="00B4742D">
        <w:t xml:space="preserve"> </w:t>
      </w:r>
      <w:r w:rsidRPr="00B4742D">
        <w:t xml:space="preserve">gore-spomenutih </w:t>
      </w:r>
      <w:r w:rsidR="00951AD5" w:rsidRPr="00B4742D">
        <w:t xml:space="preserve">pravnih </w:t>
      </w:r>
      <w:r w:rsidR="00427F32" w:rsidRPr="00B4742D">
        <w:t>izvora</w:t>
      </w:r>
      <w:r w:rsidR="00986536" w:rsidRPr="00B4742D">
        <w:t>.</w:t>
      </w:r>
    </w:p>
    <w:p w:rsidR="0070240C" w:rsidRPr="00B4742D" w:rsidRDefault="0070240C" w:rsidP="00466D80">
      <w:pPr>
        <w:spacing w:line="240" w:lineRule="auto"/>
      </w:pPr>
    </w:p>
    <w:p w:rsidR="00E71850" w:rsidRPr="00C7332E" w:rsidRDefault="00A63383" w:rsidP="0000343E">
      <w:pPr>
        <w:spacing w:line="240" w:lineRule="auto"/>
      </w:pPr>
      <w:r w:rsidRPr="00B4742D">
        <w:t>I</w:t>
      </w:r>
      <w:r w:rsidR="0070240C" w:rsidRPr="00B4742D">
        <w:t>zvješć</w:t>
      </w:r>
      <w:r w:rsidRPr="00B4742D">
        <w:t>e</w:t>
      </w:r>
      <w:r w:rsidR="0070240C" w:rsidRPr="00B4742D">
        <w:t xml:space="preserve"> Svjetske banke </w:t>
      </w:r>
      <w:r w:rsidR="00986536" w:rsidRPr="00B4742D">
        <w:t>“Severance Pay Programs Around the World”</w:t>
      </w:r>
      <w:r w:rsidRPr="00B4742D">
        <w:t xml:space="preserve"> donosi pregled </w:t>
      </w:r>
      <w:r w:rsidR="00986536" w:rsidRPr="00B4742D">
        <w:t xml:space="preserve">183 </w:t>
      </w:r>
      <w:r w:rsidR="0070240C" w:rsidRPr="00B4742D">
        <w:t>države</w:t>
      </w:r>
      <w:r w:rsidRPr="00B4742D">
        <w:t xml:space="preserve"> prema kojem </w:t>
      </w:r>
      <w:r w:rsidR="00986536" w:rsidRPr="00B4742D">
        <w:t xml:space="preserve">u </w:t>
      </w:r>
      <w:r w:rsidR="003D682D" w:rsidRPr="00B4742D">
        <w:t>sto</w:t>
      </w:r>
      <w:r w:rsidR="0014661A" w:rsidRPr="00B4742D">
        <w:t>tinu</w:t>
      </w:r>
      <w:r w:rsidR="003D682D" w:rsidRPr="00B4742D">
        <w:t>pedesetdvije</w:t>
      </w:r>
      <w:r w:rsidR="00986536" w:rsidRPr="00B4742D">
        <w:t xml:space="preserve"> </w:t>
      </w:r>
      <w:r w:rsidR="0000343E" w:rsidRPr="00B4742D">
        <w:t>države -</w:t>
      </w:r>
      <w:r w:rsidR="0070240C" w:rsidRPr="00B4742D">
        <w:t xml:space="preserve"> to čini </w:t>
      </w:r>
      <w:r w:rsidR="003D682D" w:rsidRPr="00B4742D">
        <w:t>osamdesetdva</w:t>
      </w:r>
      <w:r w:rsidR="00BE7C3B" w:rsidRPr="00B4742D">
        <w:t xml:space="preserve"> posto</w:t>
      </w:r>
      <w:r w:rsidR="0070240C" w:rsidRPr="00B4742D">
        <w:t xml:space="preserve"> </w:t>
      </w:r>
      <w:r w:rsidR="0000343E" w:rsidRPr="00B4742D">
        <w:t>- postoji za</w:t>
      </w:r>
      <w:r w:rsidR="00986536" w:rsidRPr="00B4742D">
        <w:t>konsk</w:t>
      </w:r>
      <w:r w:rsidRPr="00B4742D">
        <w:t>a</w:t>
      </w:r>
      <w:r w:rsidR="00466D80" w:rsidRPr="00B4742D">
        <w:t xml:space="preserve"> </w:t>
      </w:r>
      <w:r w:rsidR="00986536" w:rsidRPr="00B4742D">
        <w:t>obvez</w:t>
      </w:r>
      <w:r w:rsidR="0000343E" w:rsidRPr="00B4742D">
        <w:t>a</w:t>
      </w:r>
      <w:r w:rsidR="00986536" w:rsidRPr="00B4742D">
        <w:t xml:space="preserve"> ispla</w:t>
      </w:r>
      <w:r w:rsidR="0070240C" w:rsidRPr="00B4742D">
        <w:t>te</w:t>
      </w:r>
      <w:r w:rsidR="00986536" w:rsidRPr="00B4742D">
        <w:t xml:space="preserve"> otpremnina u različitim situacijama kada dođe do prekida</w:t>
      </w:r>
      <w:r w:rsidR="00466D80" w:rsidRPr="00B4742D">
        <w:t xml:space="preserve"> </w:t>
      </w:r>
      <w:r w:rsidR="00986536" w:rsidRPr="00B4742D">
        <w:t>radnog odnosa</w:t>
      </w:r>
      <w:r w:rsidR="0000343E" w:rsidRPr="00B4742D">
        <w:t>. U</w:t>
      </w:r>
      <w:r w:rsidR="0070240C" w:rsidRPr="00B4742D">
        <w:t xml:space="preserve"> daljnjih </w:t>
      </w:r>
      <w:r w:rsidR="003D682D" w:rsidRPr="00B4742D">
        <w:t>osamnaest</w:t>
      </w:r>
      <w:r w:rsidR="00986536" w:rsidRPr="00B4742D">
        <w:t xml:space="preserve"> </w:t>
      </w:r>
      <w:r w:rsidR="0070240C" w:rsidRPr="00B4742D">
        <w:t xml:space="preserve">država </w:t>
      </w:r>
      <w:r w:rsidR="00BE7C3B" w:rsidRPr="00B4742D">
        <w:t>–</w:t>
      </w:r>
      <w:r w:rsidR="0070240C" w:rsidRPr="00B4742D">
        <w:t xml:space="preserve"> </w:t>
      </w:r>
      <w:r w:rsidR="003D682D" w:rsidRPr="00B4742D">
        <w:t>deset</w:t>
      </w:r>
      <w:r w:rsidR="00BE7C3B" w:rsidRPr="00B4742D">
        <w:t xml:space="preserve"> posto</w:t>
      </w:r>
      <w:r w:rsidR="0070240C" w:rsidRPr="00B4742D">
        <w:t xml:space="preserve"> - </w:t>
      </w:r>
      <w:r w:rsidR="00986536" w:rsidRPr="00B4742D">
        <w:t>ista obveza</w:t>
      </w:r>
      <w:r w:rsidR="0070240C" w:rsidRPr="00B4742D">
        <w:t xml:space="preserve"> postoji </w:t>
      </w:r>
      <w:r w:rsidR="00986536" w:rsidRPr="00B4742D">
        <w:t xml:space="preserve">na osnovu kolektivnih ugovora, dok u </w:t>
      </w:r>
      <w:r w:rsidR="003D682D" w:rsidRPr="00B4742D">
        <w:t>trinaest</w:t>
      </w:r>
      <w:r w:rsidR="00986536" w:rsidRPr="00B4742D">
        <w:t xml:space="preserve"> </w:t>
      </w:r>
      <w:r w:rsidRPr="00B4742D">
        <w:t xml:space="preserve">država </w:t>
      </w:r>
      <w:r w:rsidR="00BE7C3B" w:rsidRPr="00B4742D">
        <w:t>–</w:t>
      </w:r>
      <w:r w:rsidRPr="00B4742D">
        <w:t xml:space="preserve"> </w:t>
      </w:r>
      <w:r w:rsidR="003D682D" w:rsidRPr="00B4742D">
        <w:t>sedam</w:t>
      </w:r>
      <w:r w:rsidR="00BE7C3B" w:rsidRPr="00B4742D">
        <w:t xml:space="preserve"> posto</w:t>
      </w:r>
      <w:r w:rsidRPr="00B4742D">
        <w:t xml:space="preserve"> - </w:t>
      </w:r>
      <w:r w:rsidR="00986536" w:rsidRPr="00B4742D">
        <w:t>ne postoji obveza</w:t>
      </w:r>
      <w:r w:rsidRPr="00B4742D">
        <w:t xml:space="preserve"> isplate otpremnina</w:t>
      </w:r>
      <w:r w:rsidR="00986536" w:rsidRPr="00B4742D">
        <w:t>.</w:t>
      </w:r>
      <w:r w:rsidRPr="00B4742D">
        <w:rPr>
          <w:rStyle w:val="FootnoteReference"/>
        </w:rPr>
        <w:footnoteReference w:id="23"/>
      </w:r>
      <w:r w:rsidRPr="00B4742D">
        <w:t xml:space="preserve"> U istom se izvješću navode još neki zaključci. Tako </w:t>
      </w:r>
      <w:r w:rsidR="00986536" w:rsidRPr="00B4742D">
        <w:t xml:space="preserve">u velikom broju razvijenih </w:t>
      </w:r>
      <w:r w:rsidRPr="002017C6">
        <w:t xml:space="preserve">država </w:t>
      </w:r>
      <w:r w:rsidR="00986536" w:rsidRPr="002017C6">
        <w:t xml:space="preserve">otpremnine </w:t>
      </w:r>
      <w:r w:rsidRPr="002017C6">
        <w:t xml:space="preserve">jesu predmetom uređenja </w:t>
      </w:r>
      <w:r w:rsidR="00986536" w:rsidRPr="002017C6">
        <w:t xml:space="preserve">kombinacijom zakonskih propisa, kolektivnih ugovora i </w:t>
      </w:r>
      <w:r w:rsidRPr="00EB67A0">
        <w:t>dobrovoljnog postupanja poslodavaca pravilnikom o</w:t>
      </w:r>
      <w:r w:rsidRPr="009336BF">
        <w:t xml:space="preserve"> radu ili jednostranom njegovom odlukom. Nadalje, u većini država obveza isplate otpremnina obuhvaća sve poslodavce, dok u manjem broju država ta obveza jest uvjetovana </w:t>
      </w:r>
      <w:r w:rsidR="0000343E" w:rsidRPr="009336BF">
        <w:t xml:space="preserve">minimalnim </w:t>
      </w:r>
      <w:r w:rsidRPr="009336BF">
        <w:t xml:space="preserve">brojem radnika, ako poslodavci zapošljavaju više od, između </w:t>
      </w:r>
      <w:r w:rsidR="003D682D" w:rsidRPr="00C7332E">
        <w:t>pet</w:t>
      </w:r>
      <w:r w:rsidRPr="00C7332E">
        <w:t xml:space="preserve"> i </w:t>
      </w:r>
      <w:r w:rsidR="003D682D" w:rsidRPr="00C7332E">
        <w:t>dvadeset</w:t>
      </w:r>
      <w:r w:rsidRPr="00C7332E">
        <w:t>, radnika</w:t>
      </w:r>
      <w:r w:rsidR="000D55A1" w:rsidRPr="006C4F67">
        <w:t>.</w:t>
      </w:r>
      <w:r w:rsidR="000D55A1" w:rsidRPr="00B4742D">
        <w:rPr>
          <w:rStyle w:val="FootnoteReference"/>
        </w:rPr>
        <w:footnoteReference w:id="24"/>
      </w:r>
      <w:r w:rsidRPr="00B4742D">
        <w:t xml:space="preserve"> Također, u</w:t>
      </w:r>
      <w:r w:rsidR="00D817DA" w:rsidRPr="00B4742D">
        <w:t xml:space="preserve"> nekim </w:t>
      </w:r>
      <w:r w:rsidRPr="002017C6">
        <w:t xml:space="preserve">je državama </w:t>
      </w:r>
      <w:r w:rsidR="0000343E" w:rsidRPr="002017C6">
        <w:t>zakonska ob</w:t>
      </w:r>
      <w:r w:rsidR="00D817DA" w:rsidRPr="002017C6">
        <w:t xml:space="preserve">veza </w:t>
      </w:r>
      <w:r w:rsidR="000D55A1" w:rsidRPr="002017C6">
        <w:t>i</w:t>
      </w:r>
      <w:r w:rsidR="00D817DA" w:rsidRPr="002017C6">
        <w:t>spla</w:t>
      </w:r>
      <w:r w:rsidRPr="00EB67A0">
        <w:t>te</w:t>
      </w:r>
      <w:r w:rsidR="00D817DA" w:rsidRPr="00EB67A0">
        <w:t xml:space="preserve"> otpremnina </w:t>
      </w:r>
      <w:r w:rsidRPr="00FE70C5">
        <w:t xml:space="preserve">usmjerena samo prema </w:t>
      </w:r>
      <w:r w:rsidR="00D817DA" w:rsidRPr="009336BF">
        <w:t>privatn</w:t>
      </w:r>
      <w:r w:rsidRPr="009336BF">
        <w:t>om</w:t>
      </w:r>
      <w:r w:rsidR="00D817DA" w:rsidRPr="009336BF">
        <w:t xml:space="preserve"> sektor</w:t>
      </w:r>
      <w:r w:rsidRPr="009336BF">
        <w:t xml:space="preserve">u, dok </w:t>
      </w:r>
      <w:r w:rsidR="00D817DA" w:rsidRPr="009336BF">
        <w:t xml:space="preserve">za državne službenike </w:t>
      </w:r>
      <w:r w:rsidRPr="00C7332E">
        <w:t>vrijedi drugačiji režim kojim se postiže slična svrha.</w:t>
      </w:r>
      <w:r w:rsidR="00E71850" w:rsidRPr="00B4742D">
        <w:rPr>
          <w:rStyle w:val="FootnoteReference"/>
        </w:rPr>
        <w:footnoteReference w:id="25"/>
      </w:r>
      <w:r w:rsidRPr="00B4742D">
        <w:t xml:space="preserve"> To je razvidno i u tome što je u </w:t>
      </w:r>
      <w:r w:rsidR="00D817DA" w:rsidRPr="00B4742D">
        <w:t xml:space="preserve">najrazvijenijim </w:t>
      </w:r>
      <w:r w:rsidRPr="00B4742D">
        <w:t xml:space="preserve">državama </w:t>
      </w:r>
      <w:r w:rsidR="00D817DA" w:rsidRPr="00B4742D">
        <w:t>najčešć</w:t>
      </w:r>
      <w:r w:rsidRPr="00B4742D">
        <w:t xml:space="preserve">e </w:t>
      </w:r>
      <w:r w:rsidR="00D817DA" w:rsidRPr="00B4742D">
        <w:t>zakon</w:t>
      </w:r>
      <w:r w:rsidRPr="002017C6">
        <w:t xml:space="preserve">sko uređenje </w:t>
      </w:r>
      <w:r w:rsidR="00D817DA" w:rsidRPr="002017C6">
        <w:lastRenderedPageBreak/>
        <w:t>otpremnin</w:t>
      </w:r>
      <w:r w:rsidRPr="002017C6">
        <w:t>a</w:t>
      </w:r>
      <w:r w:rsidR="00D817DA" w:rsidRPr="002017C6">
        <w:t xml:space="preserve"> obvezujuće za privatni sektor, dok je u</w:t>
      </w:r>
      <w:r w:rsidR="00466D80" w:rsidRPr="002017C6">
        <w:t xml:space="preserve"> </w:t>
      </w:r>
      <w:r w:rsidRPr="00EB67A0">
        <w:t xml:space="preserve">državama </w:t>
      </w:r>
      <w:r w:rsidR="00D817DA" w:rsidRPr="00EB67A0">
        <w:t>istočn</w:t>
      </w:r>
      <w:r w:rsidRPr="00FE70C5">
        <w:t xml:space="preserve">e Europe </w:t>
      </w:r>
      <w:r w:rsidR="00D817DA" w:rsidRPr="00FE70C5">
        <w:t>češća praksa da se zakonom</w:t>
      </w:r>
      <w:r w:rsidR="00466D80" w:rsidRPr="009336BF">
        <w:t xml:space="preserve"> </w:t>
      </w:r>
      <w:r w:rsidR="00D817DA" w:rsidRPr="009336BF">
        <w:t>obv</w:t>
      </w:r>
      <w:r w:rsidRPr="009336BF">
        <w:t>e</w:t>
      </w:r>
      <w:r w:rsidR="00D817DA" w:rsidRPr="009336BF">
        <w:t>zuje</w:t>
      </w:r>
      <w:r w:rsidRPr="009336BF">
        <w:t xml:space="preserve"> na isplatu</w:t>
      </w:r>
      <w:r w:rsidR="00D817DA" w:rsidRPr="00C7332E">
        <w:t xml:space="preserve"> otpremnin</w:t>
      </w:r>
      <w:r w:rsidRPr="00C7332E">
        <w:t>a</w:t>
      </w:r>
      <w:r w:rsidR="00D817DA" w:rsidRPr="00C7332E">
        <w:t xml:space="preserve"> za sve.</w:t>
      </w:r>
      <w:r w:rsidR="00E71850" w:rsidRPr="00C7332E">
        <w:t xml:space="preserve"> </w:t>
      </w:r>
    </w:p>
    <w:p w:rsidR="00D817DA" w:rsidRPr="006C4F67" w:rsidRDefault="00D817DA" w:rsidP="00466D80">
      <w:pPr>
        <w:spacing w:line="240" w:lineRule="auto"/>
      </w:pPr>
    </w:p>
    <w:p w:rsidR="00951AD5" w:rsidRPr="006C4F67" w:rsidRDefault="00951AD5" w:rsidP="00951AD5">
      <w:pPr>
        <w:pStyle w:val="Heading2"/>
      </w:pPr>
      <w:bookmarkStart w:id="8" w:name="_Toc365828826"/>
      <w:r w:rsidRPr="006C4F67">
        <w:t>1.4. Pravna osnova isplate otpremnine</w:t>
      </w:r>
      <w:bookmarkEnd w:id="8"/>
    </w:p>
    <w:p w:rsidR="00951AD5" w:rsidRPr="006C4F67" w:rsidRDefault="00951AD5" w:rsidP="00466D80">
      <w:pPr>
        <w:spacing w:line="240" w:lineRule="auto"/>
      </w:pPr>
    </w:p>
    <w:p w:rsidR="00E40837" w:rsidRPr="00B4742D" w:rsidRDefault="00427F32" w:rsidP="0081114B">
      <w:pPr>
        <w:spacing w:line="240" w:lineRule="auto"/>
      </w:pPr>
      <w:r w:rsidRPr="006C4F67">
        <w:t>Pravna osnova isplate otpremnine, odnosno njenom i</w:t>
      </w:r>
      <w:r w:rsidR="000D55A1" w:rsidRPr="006C4F67">
        <w:t>ndividua</w:t>
      </w:r>
      <w:r w:rsidR="0081114B" w:rsidRPr="006C4F67">
        <w:t>l</w:t>
      </w:r>
      <w:r w:rsidR="000D55A1" w:rsidRPr="006C4F67">
        <w:t>nom konkretizacijom odgovorit</w:t>
      </w:r>
      <w:r w:rsidRPr="006C4F67">
        <w:t xml:space="preserve"> će se </w:t>
      </w:r>
      <w:r w:rsidR="000D55A1" w:rsidRPr="00B74757">
        <w:t>na pitanje u</w:t>
      </w:r>
      <w:r w:rsidR="00D817DA" w:rsidRPr="00B74757">
        <w:t xml:space="preserve"> kojim </w:t>
      </w:r>
      <w:r w:rsidR="000D55A1" w:rsidRPr="009769E7">
        <w:t xml:space="preserve">pravnim </w:t>
      </w:r>
      <w:r w:rsidR="00D817DA" w:rsidRPr="00E1401E">
        <w:t xml:space="preserve">situacijama </w:t>
      </w:r>
      <w:r w:rsidR="000D55A1" w:rsidRPr="00D00975">
        <w:t xml:space="preserve">postoji obveza </w:t>
      </w:r>
      <w:r w:rsidR="00D817DA" w:rsidRPr="00D00975">
        <w:t>ispla</w:t>
      </w:r>
      <w:r w:rsidR="000D55A1" w:rsidRPr="008B2ED7">
        <w:t>te</w:t>
      </w:r>
      <w:r w:rsidR="00D817DA" w:rsidRPr="008B2ED7">
        <w:t xml:space="preserve"> otpremnine</w:t>
      </w:r>
      <w:r w:rsidRPr="008B2ED7">
        <w:t>. Time</w:t>
      </w:r>
      <w:r w:rsidR="00D817DA" w:rsidRPr="008B2ED7">
        <w:t xml:space="preserve"> </w:t>
      </w:r>
      <w:r w:rsidR="0081114B" w:rsidRPr="008B2ED7">
        <w:t>postaje razvidno kako u</w:t>
      </w:r>
      <w:r w:rsidR="00D817DA" w:rsidRPr="00B4742D">
        <w:t xml:space="preserve"> najvećem broju </w:t>
      </w:r>
      <w:r w:rsidR="0081114B" w:rsidRPr="00B4742D">
        <w:t>država</w:t>
      </w:r>
      <w:r w:rsidR="00D817DA" w:rsidRPr="00B4742D">
        <w:t>,</w:t>
      </w:r>
      <w:r w:rsidR="0081114B" w:rsidRPr="00B4742D">
        <w:t xml:space="preserve"> obveza isplate otpremni</w:t>
      </w:r>
      <w:r w:rsidRPr="00B4742D">
        <w:t>n</w:t>
      </w:r>
      <w:r w:rsidR="0081114B" w:rsidRPr="00B4742D">
        <w:t xml:space="preserve">e postoji kao posljedica prestanka ugovora o radu otkazom, nakon što je radnik utvrđen </w:t>
      </w:r>
      <w:r w:rsidR="00D817DA" w:rsidRPr="00B4742D">
        <w:t>tehnolo</w:t>
      </w:r>
      <w:r w:rsidR="0081114B" w:rsidRPr="00B4742D">
        <w:t>š</w:t>
      </w:r>
      <w:r w:rsidR="00D817DA" w:rsidRPr="00B4742D">
        <w:t>kim viškom</w:t>
      </w:r>
      <w:r w:rsidR="0081114B" w:rsidRPr="00B4742D">
        <w:t xml:space="preserve">. </w:t>
      </w:r>
      <w:r w:rsidR="00E40837" w:rsidRPr="00B4742D">
        <w:t>Ključni okidač isplate otpremnin</w:t>
      </w:r>
      <w:r w:rsidR="0081114B" w:rsidRPr="00B4742D">
        <w:t>e, stoga, jest</w:t>
      </w:r>
      <w:r w:rsidR="00EB3313" w:rsidRPr="00B4742D">
        <w:t xml:space="preserve"> </w:t>
      </w:r>
      <w:r w:rsidR="00951BA4" w:rsidRPr="00B4742D">
        <w:t>ugovora o radu</w:t>
      </w:r>
      <w:r w:rsidR="0081114B" w:rsidRPr="00B4742D">
        <w:t xml:space="preserve"> iz razloga koji nisu uvjetovani ponašanjem radnika</w:t>
      </w:r>
      <w:r w:rsidR="00D817DA" w:rsidRPr="00B4742D">
        <w:t>,</w:t>
      </w:r>
      <w:r w:rsidR="0081114B" w:rsidRPr="00B4742D">
        <w:t xml:space="preserve"> a što odgovara i navedenom u definiranju pojma otpremnine</w:t>
      </w:r>
      <w:r w:rsidR="00D817DA" w:rsidRPr="00B4742D">
        <w:t xml:space="preserve">. </w:t>
      </w:r>
      <w:r w:rsidR="00E40837" w:rsidRPr="00B4742D">
        <w:t>Ta se pravna osnova može, dakle, postaviti bilo na način da se definira u svezi sa otkazom</w:t>
      </w:r>
      <w:r w:rsidR="00951BA4" w:rsidRPr="00B4742D">
        <w:t xml:space="preserve"> ugovora o radu</w:t>
      </w:r>
      <w:r w:rsidR="00E40837" w:rsidRPr="00B4742D">
        <w:t xml:space="preserve"> koji je posljedičan utvrđenom tehnološkom višku ili otkazom iz razloga koji nisu uvjetovani ponašanjem radnika</w:t>
      </w:r>
      <w:r w:rsidR="008E02C0" w:rsidRPr="00B4742D">
        <w:t>.</w:t>
      </w:r>
      <w:r w:rsidR="00EB3313" w:rsidRPr="00B4742D">
        <w:t xml:space="preserve"> </w:t>
      </w:r>
    </w:p>
    <w:p w:rsidR="00E40837" w:rsidRPr="00B4742D" w:rsidRDefault="00E40837" w:rsidP="0081114B">
      <w:pPr>
        <w:spacing w:line="240" w:lineRule="auto"/>
      </w:pPr>
    </w:p>
    <w:p w:rsidR="000C52F7" w:rsidRPr="00B4742D" w:rsidRDefault="00951BA4" w:rsidP="0081114B">
      <w:pPr>
        <w:spacing w:line="240" w:lineRule="auto"/>
      </w:pPr>
      <w:r w:rsidRPr="00B4742D">
        <w:t>Ipak</w:t>
      </w:r>
      <w:r w:rsidR="00D817DA" w:rsidRPr="00B4742D">
        <w:t>, u nekim se</w:t>
      </w:r>
      <w:r w:rsidR="0081114B" w:rsidRPr="00B4742D">
        <w:t xml:space="preserve"> državama</w:t>
      </w:r>
      <w:r w:rsidR="00D817DA" w:rsidRPr="00B4742D">
        <w:t xml:space="preserve"> otpremnine</w:t>
      </w:r>
      <w:r w:rsidR="00466D80" w:rsidRPr="00B4742D">
        <w:t xml:space="preserve"> </w:t>
      </w:r>
      <w:r w:rsidR="00D817DA" w:rsidRPr="00B4742D">
        <w:t>isplaćuju i u</w:t>
      </w:r>
      <w:r w:rsidR="000C52F7" w:rsidRPr="00B4742D">
        <w:t xml:space="preserve"> najširem obuhvatu</w:t>
      </w:r>
      <w:r w:rsidR="00D817DA" w:rsidRPr="00B4742D">
        <w:t xml:space="preserve"> slučaj</w:t>
      </w:r>
      <w:r w:rsidR="000C52F7" w:rsidRPr="00B4742D">
        <w:t>eva.</w:t>
      </w:r>
      <w:r w:rsidR="00E71850" w:rsidRPr="00B4742D">
        <w:t xml:space="preserve"> Tako postoje države u kojima se otpremnina isplaćuje u svakom slučaju prestanka ugovora o radu. D</w:t>
      </w:r>
      <w:r w:rsidRPr="00B4742D">
        <w:t>ruge države nisu usmjerene prema</w:t>
      </w:r>
      <w:r w:rsidR="00E71850" w:rsidRPr="00B4742D">
        <w:t xml:space="preserve"> ukupnosti svih načina prestanka ugovora o radu, već prema </w:t>
      </w:r>
      <w:r w:rsidRPr="00B4742D">
        <w:t xml:space="preserve">svim onima </w:t>
      </w:r>
      <w:r w:rsidR="00E71850" w:rsidRPr="00B4742D">
        <w:t>koji su osnovan</w:t>
      </w:r>
      <w:r w:rsidRPr="00B4742D">
        <w:t>i na otkazu ugovora o radu. No</w:t>
      </w:r>
      <w:r w:rsidR="00E71850" w:rsidRPr="00B4742D">
        <w:t xml:space="preserve"> u oba ova primjera ponajčešće se isključuju neki načini prestanka ugovora o radu odnosno otkaza ugovora o radu, </w:t>
      </w:r>
      <w:r w:rsidRPr="00B4742D">
        <w:t>tako</w:t>
      </w:r>
      <w:r w:rsidR="00E71850" w:rsidRPr="00B4742D">
        <w:t xml:space="preserve"> ako je prestanak ugovora o radu ili otkaz ugovora o radu skrivljen ponašanjem radnika, ili </w:t>
      </w:r>
      <w:r w:rsidRPr="00B4742D">
        <w:t>predstavlja</w:t>
      </w:r>
      <w:r w:rsidR="00E71850" w:rsidRPr="00B4742D">
        <w:t xml:space="preserve"> izraz volje radnika</w:t>
      </w:r>
      <w:r w:rsidRPr="00B4742D">
        <w:t xml:space="preserve"> - sam </w:t>
      </w:r>
      <w:r w:rsidR="00E71850" w:rsidRPr="00B4742D">
        <w:t>radnik otkazuje ugovor o radu.</w:t>
      </w:r>
      <w:r w:rsidR="00E71850" w:rsidRPr="00B4742D">
        <w:rPr>
          <w:rStyle w:val="FootnoteReference"/>
        </w:rPr>
        <w:footnoteReference w:id="26"/>
      </w:r>
      <w:r w:rsidR="00E71850" w:rsidRPr="00B4742D">
        <w:t xml:space="preserve"> </w:t>
      </w:r>
    </w:p>
    <w:p w:rsidR="000C52F7" w:rsidRPr="00B4742D" w:rsidRDefault="000C52F7" w:rsidP="0081114B">
      <w:pPr>
        <w:spacing w:line="240" w:lineRule="auto"/>
      </w:pPr>
    </w:p>
    <w:p w:rsidR="00852341" w:rsidRPr="00C7332E" w:rsidRDefault="00852341" w:rsidP="0081114B">
      <w:pPr>
        <w:spacing w:line="240" w:lineRule="auto"/>
      </w:pPr>
      <w:r w:rsidRPr="002017C6">
        <w:t xml:space="preserve">Uz navedeno, kao pravna osnova isplate otpremnine, pojavljuje se i </w:t>
      </w:r>
      <w:r w:rsidR="0081114B" w:rsidRPr="002017C6">
        <w:t>prestan</w:t>
      </w:r>
      <w:r w:rsidRPr="002017C6">
        <w:t>a</w:t>
      </w:r>
      <w:r w:rsidR="0081114B" w:rsidRPr="002017C6">
        <w:t xml:space="preserve">k ugovora o radu </w:t>
      </w:r>
      <w:r w:rsidR="00D817DA" w:rsidRPr="002017C6">
        <w:t>kao posl</w:t>
      </w:r>
      <w:r w:rsidR="0081114B" w:rsidRPr="009336BF">
        <w:t>j</w:t>
      </w:r>
      <w:r w:rsidR="00D817DA" w:rsidRPr="009336BF">
        <w:t>edic</w:t>
      </w:r>
      <w:r w:rsidRPr="009336BF">
        <w:t>a</w:t>
      </w:r>
      <w:r w:rsidR="00D817DA" w:rsidRPr="00C7332E">
        <w:t xml:space="preserve"> stečaja, </w:t>
      </w:r>
      <w:r w:rsidR="0081114B" w:rsidRPr="00C7332E">
        <w:t xml:space="preserve">umirovljenja zbog starosti </w:t>
      </w:r>
      <w:r w:rsidR="00D817DA" w:rsidRPr="00C7332E">
        <w:t>ili invalidnosti.</w:t>
      </w:r>
      <w:r w:rsidR="0081114B" w:rsidRPr="00C7332E">
        <w:t xml:space="preserve"> </w:t>
      </w:r>
    </w:p>
    <w:p w:rsidR="00852341" w:rsidRPr="006C4F67" w:rsidRDefault="00852341" w:rsidP="0081114B">
      <w:pPr>
        <w:spacing w:line="240" w:lineRule="auto"/>
      </w:pPr>
    </w:p>
    <w:p w:rsidR="00E71850" w:rsidRPr="006C4F67" w:rsidRDefault="00852341" w:rsidP="00E71850">
      <w:pPr>
        <w:spacing w:line="240" w:lineRule="auto"/>
      </w:pPr>
      <w:r w:rsidRPr="006C4F67">
        <w:t>U konačnici, moguće je pravnu osnovu za isplatu otpremnine podijeliti na sljedeći način:</w:t>
      </w:r>
    </w:p>
    <w:p w:rsidR="00E71850" w:rsidRPr="00C7332E" w:rsidRDefault="00852341" w:rsidP="00743034">
      <w:pPr>
        <w:pStyle w:val="ListParagraph"/>
        <w:numPr>
          <w:ilvl w:val="0"/>
          <w:numId w:val="7"/>
        </w:numPr>
        <w:ind w:left="567" w:hanging="567"/>
        <w:jc w:val="both"/>
      </w:pPr>
      <w:r w:rsidRPr="009336BF">
        <w:rPr>
          <w:noProof/>
          <w:lang w:val="en-US" w:eastAsia="en-US"/>
        </w:rPr>
        <mc:AlternateContent>
          <mc:Choice Requires="wps">
            <w:drawing>
              <wp:anchor distT="0" distB="0" distL="114300" distR="114300" simplePos="0" relativeHeight="251663360" behindDoc="0" locked="0" layoutInCell="1" allowOverlap="1" wp14:anchorId="477F729C" wp14:editId="7F5CB0CC">
                <wp:simplePos x="0" y="0"/>
                <wp:positionH relativeFrom="column">
                  <wp:posOffset>3838575</wp:posOffset>
                </wp:positionH>
                <wp:positionV relativeFrom="paragraph">
                  <wp:posOffset>43180</wp:posOffset>
                </wp:positionV>
                <wp:extent cx="113030" cy="669290"/>
                <wp:effectExtent l="0" t="0" r="20320" b="16510"/>
                <wp:wrapNone/>
                <wp:docPr id="9" name="Right Brace 9"/>
                <wp:cNvGraphicFramePr/>
                <a:graphic xmlns:a="http://schemas.openxmlformats.org/drawingml/2006/main">
                  <a:graphicData uri="http://schemas.microsoft.com/office/word/2010/wordprocessingShape">
                    <wps:wsp>
                      <wps:cNvSpPr/>
                      <wps:spPr>
                        <a:xfrm>
                          <a:off x="0" y="0"/>
                          <a:ext cx="113030" cy="669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02.25pt;margin-top:3.4pt;width:8.9pt;height:5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" adj="304" strokecolor="#4579b8 [3044]"/>
            </w:pict>
          </mc:Fallback>
        </mc:AlternateContent>
      </w:r>
      <w:r w:rsidR="00D535ED" w:rsidRPr="009336BF">
        <w:t>o</w:t>
      </w:r>
      <w:r w:rsidRPr="00C7332E">
        <w:t>tkaz iz razloga neuvjetovanih ponašanjem radnika</w:t>
      </w:r>
      <w:r w:rsidR="00912F76" w:rsidRPr="00C7332E">
        <w:t>;</w:t>
      </w:r>
      <w:r w:rsidRPr="00C7332E">
        <w:rPr>
          <w:noProof/>
        </w:rPr>
        <w:t xml:space="preserve"> </w:t>
      </w:r>
    </w:p>
    <w:p w:rsidR="00E71850" w:rsidRPr="006C4F67" w:rsidRDefault="00D535ED" w:rsidP="00743034">
      <w:pPr>
        <w:pStyle w:val="ListParagraph"/>
        <w:numPr>
          <w:ilvl w:val="0"/>
          <w:numId w:val="7"/>
        </w:numPr>
        <w:ind w:left="567" w:hanging="567"/>
        <w:jc w:val="both"/>
      </w:pPr>
      <w:r w:rsidRPr="006C4F67">
        <w:t>o</w:t>
      </w:r>
      <w:r w:rsidR="00852341" w:rsidRPr="006C4F67">
        <w:t>tkaz zbog utvrđenja tehnološkog viška radnika</w:t>
      </w:r>
      <w:r w:rsidR="00912F76" w:rsidRPr="006C4F67">
        <w:t>;</w:t>
      </w:r>
      <w:r w:rsidR="00852341" w:rsidRPr="006C4F67">
        <w:tab/>
      </w:r>
      <w:r w:rsidR="00852341" w:rsidRPr="006C4F67">
        <w:tab/>
        <w:t>Prestanak bez volje radnika</w:t>
      </w:r>
    </w:p>
    <w:p w:rsidR="00E71850" w:rsidRPr="00E1401E" w:rsidRDefault="00D535ED" w:rsidP="00743034">
      <w:pPr>
        <w:pStyle w:val="ListParagraph"/>
        <w:numPr>
          <w:ilvl w:val="0"/>
          <w:numId w:val="7"/>
        </w:numPr>
        <w:ind w:left="567" w:hanging="567"/>
        <w:jc w:val="both"/>
      </w:pPr>
      <w:r w:rsidRPr="00B74757">
        <w:t>p</w:t>
      </w:r>
      <w:r w:rsidR="00852341" w:rsidRPr="00B74757">
        <w:t>restanak ugovora o radu zbog stečaja</w:t>
      </w:r>
      <w:r w:rsidR="00912F76" w:rsidRPr="009769E7">
        <w:t>;</w:t>
      </w:r>
    </w:p>
    <w:p w:rsidR="00E71850" w:rsidRPr="008B2ED7" w:rsidRDefault="00D535ED" w:rsidP="00743034">
      <w:pPr>
        <w:pStyle w:val="ListParagraph"/>
        <w:numPr>
          <w:ilvl w:val="0"/>
          <w:numId w:val="7"/>
        </w:numPr>
        <w:ind w:left="567" w:hanging="567"/>
        <w:jc w:val="both"/>
      </w:pPr>
      <w:r w:rsidRPr="00D00975">
        <w:t>p</w:t>
      </w:r>
      <w:r w:rsidR="00852341" w:rsidRPr="008B2ED7">
        <w:t>restanak ugovora o radu zbog invalidnosti</w:t>
      </w:r>
      <w:r w:rsidR="00912F76" w:rsidRPr="008B2ED7">
        <w:t>;</w:t>
      </w:r>
    </w:p>
    <w:p w:rsidR="00304876" w:rsidRPr="00C7332E" w:rsidRDefault="00E71850" w:rsidP="00743034">
      <w:pPr>
        <w:pStyle w:val="ListParagraph"/>
        <w:numPr>
          <w:ilvl w:val="0"/>
          <w:numId w:val="7"/>
        </w:numPr>
        <w:ind w:left="567" w:hanging="567"/>
        <w:jc w:val="both"/>
      </w:pPr>
      <w:r w:rsidRPr="009336BF">
        <w:rPr>
          <w:noProof/>
          <w:lang w:val="en-US" w:eastAsia="en-US"/>
        </w:rPr>
        <mc:AlternateContent>
          <mc:Choice Requires="wps">
            <w:drawing>
              <wp:anchor distT="0" distB="0" distL="114300" distR="114300" simplePos="0" relativeHeight="251664384" behindDoc="0" locked="0" layoutInCell="1" allowOverlap="1" wp14:anchorId="151BDB58" wp14:editId="68BA7F08">
                <wp:simplePos x="0" y="0"/>
                <wp:positionH relativeFrom="column">
                  <wp:posOffset>3839210</wp:posOffset>
                </wp:positionH>
                <wp:positionV relativeFrom="paragraph">
                  <wp:posOffset>8992</wp:posOffset>
                </wp:positionV>
                <wp:extent cx="112539" cy="339365"/>
                <wp:effectExtent l="0" t="0" r="20955" b="22860"/>
                <wp:wrapNone/>
                <wp:docPr id="10" name="Right Brace 10"/>
                <wp:cNvGraphicFramePr/>
                <a:graphic xmlns:a="http://schemas.openxmlformats.org/drawingml/2006/main">
                  <a:graphicData uri="http://schemas.microsoft.com/office/word/2010/wordprocessingShape">
                    <wps:wsp>
                      <wps:cNvSpPr/>
                      <wps:spPr>
                        <a:xfrm>
                          <a:off x="0" y="0"/>
                          <a:ext cx="112539" cy="33936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302.3pt;margin-top:.7pt;width:8.85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" adj="597" strokecolor="#4579b8 [3044]"/>
            </w:pict>
          </mc:Fallback>
        </mc:AlternateContent>
      </w:r>
      <w:r w:rsidR="00D535ED" w:rsidRPr="009336BF">
        <w:t>u</w:t>
      </w:r>
      <w:r w:rsidR="00852341" w:rsidRPr="00C7332E">
        <w:t>mirovljenje</w:t>
      </w:r>
      <w:r w:rsidR="00912F76" w:rsidRPr="00C7332E">
        <w:t>; i</w:t>
      </w:r>
      <w:r w:rsidR="00304876" w:rsidRPr="00C7332E">
        <w:tab/>
      </w:r>
      <w:r w:rsidR="00304876" w:rsidRPr="00C7332E">
        <w:tab/>
      </w:r>
      <w:r w:rsidR="00304876" w:rsidRPr="00C7332E">
        <w:tab/>
      </w:r>
      <w:r w:rsidR="00304876" w:rsidRPr="00C7332E">
        <w:tab/>
      </w:r>
      <w:r w:rsidR="00304876" w:rsidRPr="00C7332E">
        <w:tab/>
      </w:r>
      <w:r w:rsidR="00304876" w:rsidRPr="00C7332E">
        <w:tab/>
      </w:r>
      <w:r w:rsidR="00304876" w:rsidRPr="00C7332E">
        <w:tab/>
        <w:t>Prestanak voljom radnika</w:t>
      </w:r>
    </w:p>
    <w:p w:rsidR="00304876" w:rsidRPr="006C4F67" w:rsidRDefault="00D535ED" w:rsidP="00743034">
      <w:pPr>
        <w:pStyle w:val="ListParagraph"/>
        <w:numPr>
          <w:ilvl w:val="0"/>
          <w:numId w:val="7"/>
        </w:numPr>
        <w:ind w:left="567" w:hanging="567"/>
        <w:jc w:val="both"/>
      </w:pPr>
      <w:r w:rsidRPr="006C4F67">
        <w:t>s</w:t>
      </w:r>
      <w:r w:rsidR="00912F76" w:rsidRPr="006C4F67">
        <w:t>vaki (drugi)</w:t>
      </w:r>
      <w:r w:rsidR="00852341" w:rsidRPr="006C4F67">
        <w:t xml:space="preserve"> način prestanka ugovora o radu</w:t>
      </w:r>
    </w:p>
    <w:p w:rsidR="00304876" w:rsidRPr="00B74757" w:rsidRDefault="00304876" w:rsidP="00304876">
      <w:pPr>
        <w:spacing w:line="240" w:lineRule="auto"/>
      </w:pPr>
    </w:p>
    <w:p w:rsidR="005F3CD9" w:rsidRPr="00B4742D" w:rsidRDefault="00304876" w:rsidP="006C3334">
      <w:pPr>
        <w:spacing w:line="240" w:lineRule="auto"/>
      </w:pPr>
      <w:r w:rsidRPr="00B74757">
        <w:t xml:space="preserve">Između navedenih pravnih osnova za isplatu otpremnine sasvim je razvidno </w:t>
      </w:r>
      <w:r w:rsidR="00951BA4" w:rsidRPr="009769E7">
        <w:t>kako</w:t>
      </w:r>
      <w:r w:rsidRPr="00E1401E">
        <w:t xml:space="preserve"> na jednoj strani stoji isplata otpremnine posljedična odluci poslodavca o prestanku ugovora o radu u čemu se otpremnina pojavljuje kao naknada odnosno na</w:t>
      </w:r>
      <w:r w:rsidRPr="00D00975">
        <w:t>grada radniku za vjernost poslodavcu za prestanak ugovora o radu kojeg radnik nije uzrokovao, dok je na drugoj strani isplata otpremnine predstavlja konačnu isplatu poslodavca radniku kojem prestaje ugovor o radu, u svakom takvom slučaju prestanka</w:t>
      </w:r>
      <w:r w:rsidRPr="00B4742D">
        <w:rPr>
          <w:rStyle w:val="FootnoteReference"/>
        </w:rPr>
        <w:footnoteReference w:id="27"/>
      </w:r>
      <w:r w:rsidRPr="00B4742D">
        <w:t>. Promatrajući te dvije “krajnosti”</w:t>
      </w:r>
      <w:r w:rsidR="00EC0561" w:rsidRPr="00B4742D">
        <w:t xml:space="preserve"> razvidno jest kako što je više </w:t>
      </w:r>
      <w:r w:rsidR="00224CB5" w:rsidRPr="00B4742D">
        <w:t xml:space="preserve">mogućnosti odnosno </w:t>
      </w:r>
      <w:r w:rsidR="00EC0561" w:rsidRPr="002017C6">
        <w:t xml:space="preserve">slučajeva uključeno u pravnu osnovu za isplatu otpremnine, to otpremnina </w:t>
      </w:r>
      <w:r w:rsidR="00224CB5" w:rsidRPr="002017C6">
        <w:t xml:space="preserve">više </w:t>
      </w:r>
      <w:r w:rsidR="00EC0561" w:rsidRPr="002017C6">
        <w:t xml:space="preserve">gubi obilježja </w:t>
      </w:r>
      <w:r w:rsidR="00EC0561" w:rsidRPr="002017C6">
        <w:lastRenderedPageBreak/>
        <w:t xml:space="preserve">nagrade radniku za vjernost poslodavcu prema kojima </w:t>
      </w:r>
      <w:r w:rsidR="00224CB5" w:rsidRPr="002017C6">
        <w:t xml:space="preserve">je se može klasificirati izričito u institut radnog prava, sa samo marginalnom poveznicom na određene </w:t>
      </w:r>
      <w:r w:rsidR="00EC0561" w:rsidRPr="002017C6">
        <w:t>element</w:t>
      </w:r>
      <w:r w:rsidR="00224CB5" w:rsidRPr="00EB67A0">
        <w:t>e</w:t>
      </w:r>
      <w:r w:rsidR="00EC0561" w:rsidRPr="00EB67A0">
        <w:t xml:space="preserve"> sustava (socijalnog) osiguranja</w:t>
      </w:r>
      <w:r w:rsidR="00EC0561" w:rsidRPr="00B4742D">
        <w:rPr>
          <w:rStyle w:val="FootnoteReference"/>
        </w:rPr>
        <w:footnoteReference w:id="28"/>
      </w:r>
      <w:r w:rsidR="00EC0561" w:rsidRPr="00B4742D">
        <w:t xml:space="preserve"> od prestanka ugovora o radu kojeg radnik nije uzrokovao, </w:t>
      </w:r>
      <w:r w:rsidR="00224CB5" w:rsidRPr="00B4742D">
        <w:t xml:space="preserve">a </w:t>
      </w:r>
      <w:r w:rsidR="00EC0561" w:rsidRPr="00B4742D">
        <w:t>nadjačavaju</w:t>
      </w:r>
      <w:r w:rsidR="00224CB5" w:rsidRPr="00B4742D">
        <w:t xml:space="preserve"> ih</w:t>
      </w:r>
      <w:r w:rsidR="00EC0561" w:rsidRPr="00B4742D">
        <w:t xml:space="preserve"> obilježja </w:t>
      </w:r>
      <w:r w:rsidR="00224CB5" w:rsidRPr="002017C6">
        <w:t xml:space="preserve">socijalnog </w:t>
      </w:r>
      <w:r w:rsidR="00EC0561" w:rsidRPr="002017C6">
        <w:t>sustava (javnih) štednih fondova</w:t>
      </w:r>
      <w:r w:rsidR="00EC0561" w:rsidRPr="00B4742D">
        <w:rPr>
          <w:rStyle w:val="FootnoteReference"/>
        </w:rPr>
        <w:footnoteReference w:id="29"/>
      </w:r>
      <w:r w:rsidR="00EC0561" w:rsidRPr="00B4742D">
        <w:t xml:space="preserve"> koji imaju jasni učinak na poslodavčeve troškove zapošljavanja i otkazivanja. </w:t>
      </w:r>
      <w:r w:rsidR="00F82ACF" w:rsidRPr="00B4742D">
        <w:t>Naravno, u</w:t>
      </w:r>
      <w:r w:rsidR="00224CB5" w:rsidRPr="002017C6">
        <w:t xml:space="preserve"> potonjem slučaju otpremnina primarno počinje služiti ublažavanju štetnih posljedica koje prestanak ugovora o radu proizvodi za radnika te tako predstavlja sredstvo osiguravanja prihoda, odnosno zamjene za dohodak.</w:t>
      </w:r>
      <w:r w:rsidR="006C3334" w:rsidRPr="00B4742D">
        <w:rPr>
          <w:rStyle w:val="FootnoteReference"/>
        </w:rPr>
        <w:footnoteReference w:id="30"/>
      </w:r>
    </w:p>
    <w:p w:rsidR="006C3334" w:rsidRPr="00B4742D" w:rsidRDefault="006C3334" w:rsidP="006C3334">
      <w:pPr>
        <w:spacing w:line="240" w:lineRule="auto"/>
      </w:pPr>
    </w:p>
    <w:p w:rsidR="00304876" w:rsidRPr="00B4742D" w:rsidRDefault="00BE5B27" w:rsidP="00304876">
      <w:pPr>
        <w:spacing w:line="240" w:lineRule="auto"/>
      </w:pPr>
      <w:r w:rsidRPr="002017C6">
        <w:t>Ovdje v</w:t>
      </w:r>
      <w:r w:rsidR="00304876" w:rsidRPr="002017C6">
        <w:t xml:space="preserve">alja napomenuti </w:t>
      </w:r>
      <w:r w:rsidRPr="002017C6">
        <w:t xml:space="preserve">i </w:t>
      </w:r>
      <w:r w:rsidR="00304876" w:rsidRPr="002017C6">
        <w:t xml:space="preserve">kako način prestanka ugovora o radu </w:t>
      </w:r>
      <w:r w:rsidRPr="002017C6">
        <w:t xml:space="preserve">sam za sebe </w:t>
      </w:r>
      <w:r w:rsidR="00304876" w:rsidRPr="002017C6">
        <w:t xml:space="preserve">ponajčešće ne predstavlja dovoljnu pravnu osnovanost za isplatu otpremnine, već dolazi do kombinacije i sa čimbenikom ispunjenja </w:t>
      </w:r>
      <w:r w:rsidR="00304876" w:rsidRPr="009336BF">
        <w:t>minimalnog razdoblja</w:t>
      </w:r>
      <w:r w:rsidR="00826A27" w:rsidRPr="009336BF">
        <w:t xml:space="preserve"> trajanja</w:t>
      </w:r>
      <w:r w:rsidR="00304876" w:rsidRPr="009336BF">
        <w:t xml:space="preserve"> zaposlenja odnosno staža</w:t>
      </w:r>
      <w:r w:rsidR="00F82ACF" w:rsidRPr="00C7332E">
        <w:t xml:space="preserve"> koji je neophodan kako</w:t>
      </w:r>
      <w:r w:rsidR="00304876" w:rsidRPr="00C7332E">
        <w:t xml:space="preserve"> bi poslodavac imao obvezu isplate otpremnine radniku. Sve to odgovara i definiciji pojma otpremnine kako je ranije predstavljena.</w:t>
      </w:r>
      <w:r w:rsidR="00304876" w:rsidRPr="00B4742D">
        <w:rPr>
          <w:rStyle w:val="FootnoteReference"/>
        </w:rPr>
        <w:footnoteReference w:id="31"/>
      </w:r>
    </w:p>
    <w:p w:rsidR="00304876" w:rsidRPr="00B4742D" w:rsidRDefault="00304876" w:rsidP="00466D80">
      <w:pPr>
        <w:spacing w:line="240" w:lineRule="auto"/>
      </w:pPr>
    </w:p>
    <w:p w:rsidR="00CC68D1" w:rsidRPr="002017C6" w:rsidRDefault="00CC68D1" w:rsidP="00CC68D1">
      <w:pPr>
        <w:pStyle w:val="Heading2"/>
      </w:pPr>
      <w:bookmarkStart w:id="9" w:name="_Toc365828827"/>
      <w:r w:rsidRPr="002017C6">
        <w:t>1.</w:t>
      </w:r>
      <w:r w:rsidR="00951AD5" w:rsidRPr="002017C6">
        <w:t>5</w:t>
      </w:r>
      <w:r w:rsidRPr="002017C6">
        <w:t>. Iznos otpremnine</w:t>
      </w:r>
      <w:bookmarkEnd w:id="9"/>
    </w:p>
    <w:p w:rsidR="00466D80" w:rsidRPr="002017C6" w:rsidRDefault="00466D80" w:rsidP="00466D80">
      <w:pPr>
        <w:spacing w:line="240" w:lineRule="auto"/>
      </w:pPr>
    </w:p>
    <w:p w:rsidR="00D535ED" w:rsidRPr="00C7332E" w:rsidRDefault="000D3075" w:rsidP="00466D80">
      <w:pPr>
        <w:spacing w:line="240" w:lineRule="auto"/>
      </w:pPr>
      <w:r w:rsidRPr="009336BF">
        <w:t xml:space="preserve">Iznos </w:t>
      </w:r>
      <w:r w:rsidR="00D817DA" w:rsidRPr="009336BF">
        <w:t>otpremnine koji radniku</w:t>
      </w:r>
      <w:r w:rsidRPr="00C7332E">
        <w:t xml:space="preserve"> pripada </w:t>
      </w:r>
      <w:r w:rsidR="0083322E" w:rsidRPr="00C7332E">
        <w:t xml:space="preserve">izravno je povezan s </w:t>
      </w:r>
      <w:r w:rsidRPr="00C7332E">
        <w:t>pravnom osnovom otpremnine. Naime, taj je iznos povezan sa individualnom konkretizacijom pravne osnove, trajanjem radnog odnosa koji prestaje, pri čemu relevantne varijable najčešće jesu</w:t>
      </w:r>
      <w:r w:rsidR="002C39B9" w:rsidRPr="00C7332E">
        <w:t xml:space="preserve">: </w:t>
      </w:r>
    </w:p>
    <w:p w:rsidR="00D535ED" w:rsidRPr="00C7332E" w:rsidRDefault="000D3075" w:rsidP="00D535ED">
      <w:pPr>
        <w:pStyle w:val="ListParagraph"/>
        <w:numPr>
          <w:ilvl w:val="0"/>
          <w:numId w:val="17"/>
        </w:numPr>
        <w:ind w:left="567" w:hanging="567"/>
      </w:pPr>
      <w:r w:rsidRPr="006C4F67">
        <w:t>trajanje radnog odnosa</w:t>
      </w:r>
      <w:r w:rsidR="00D70E2A" w:rsidRPr="009336BF">
        <w:rPr>
          <w:rStyle w:val="FootnoteReference"/>
        </w:rPr>
        <w:footnoteReference w:id="32"/>
      </w:r>
      <w:r w:rsidR="00D535ED" w:rsidRPr="009336BF">
        <w:t>;</w:t>
      </w:r>
      <w:r w:rsidRPr="00C7332E">
        <w:t xml:space="preserve"> i </w:t>
      </w:r>
    </w:p>
    <w:p w:rsidR="00D535ED" w:rsidRPr="00C7332E" w:rsidRDefault="000D3075" w:rsidP="00D535ED">
      <w:pPr>
        <w:pStyle w:val="ListParagraph"/>
        <w:numPr>
          <w:ilvl w:val="0"/>
          <w:numId w:val="17"/>
        </w:numPr>
        <w:ind w:left="567" w:hanging="567"/>
      </w:pPr>
      <w:r w:rsidRPr="00C7332E">
        <w:t>iznos plaće</w:t>
      </w:r>
      <w:r w:rsidR="0093586A" w:rsidRPr="009336BF">
        <w:rPr>
          <w:rStyle w:val="FootnoteReference"/>
        </w:rPr>
        <w:footnoteReference w:id="33"/>
      </w:r>
      <w:r w:rsidRPr="009336BF">
        <w:t xml:space="preserve"> konkretnog radnika. </w:t>
      </w:r>
    </w:p>
    <w:p w:rsidR="00D535ED" w:rsidRPr="00C7332E" w:rsidRDefault="00D535ED" w:rsidP="00D535ED">
      <w:pPr>
        <w:spacing w:line="240" w:lineRule="auto"/>
      </w:pPr>
    </w:p>
    <w:p w:rsidR="0018289A" w:rsidRPr="00B4742D" w:rsidRDefault="000D3075" w:rsidP="00D535ED">
      <w:pPr>
        <w:spacing w:line="240" w:lineRule="auto"/>
      </w:pPr>
      <w:r w:rsidRPr="00C7332E">
        <w:t>S</w:t>
      </w:r>
      <w:r w:rsidR="00D535ED" w:rsidRPr="00C7332E">
        <w:t xml:space="preserve">lijedom navedene dvije varijable </w:t>
      </w:r>
      <w:r w:rsidRPr="00C7332E">
        <w:t>iznos otpremnine u isplati</w:t>
      </w:r>
      <w:r w:rsidR="00D817DA" w:rsidRPr="00C7332E">
        <w:t xml:space="preserve"> najče</w:t>
      </w:r>
      <w:r w:rsidRPr="006C4F67">
        <w:t>š</w:t>
      </w:r>
      <w:r w:rsidR="00D817DA" w:rsidRPr="006C4F67">
        <w:t xml:space="preserve">će </w:t>
      </w:r>
      <w:r w:rsidR="00D535ED" w:rsidRPr="006C4F67">
        <w:t xml:space="preserve">biva </w:t>
      </w:r>
      <w:r w:rsidR="00D817DA" w:rsidRPr="006C4F67">
        <w:t>defini</w:t>
      </w:r>
      <w:r w:rsidRPr="006C4F67">
        <w:t>ran</w:t>
      </w:r>
      <w:r w:rsidR="00D817DA" w:rsidRPr="006C4F67">
        <w:t xml:space="preserve"> formulom </w:t>
      </w:r>
      <w:r w:rsidRPr="006C4F67">
        <w:t xml:space="preserve">u kojoj se </w:t>
      </w:r>
      <w:r w:rsidR="00D817DA" w:rsidRPr="00B74757">
        <w:t>broj</w:t>
      </w:r>
      <w:r w:rsidR="00466D80" w:rsidRPr="00B74757">
        <w:t xml:space="preserve"> </w:t>
      </w:r>
      <w:r w:rsidR="00D817DA" w:rsidRPr="009769E7">
        <w:t xml:space="preserve">godina staža </w:t>
      </w:r>
      <w:r w:rsidRPr="00E1401E">
        <w:t xml:space="preserve">radnika </w:t>
      </w:r>
      <w:r w:rsidR="00D535ED" w:rsidRPr="00D00975">
        <w:t xml:space="preserve">ostvaren </w:t>
      </w:r>
      <w:r w:rsidR="00D817DA" w:rsidRPr="00D00975">
        <w:t xml:space="preserve">kod </w:t>
      </w:r>
      <w:r w:rsidR="00D535ED" w:rsidRPr="008B2ED7">
        <w:t xml:space="preserve">pojedinog </w:t>
      </w:r>
      <w:r w:rsidR="00D817DA" w:rsidRPr="008B2ED7">
        <w:t xml:space="preserve">poslodavca </w:t>
      </w:r>
      <w:r w:rsidR="00D535ED" w:rsidRPr="008B2ED7">
        <w:t xml:space="preserve">uzima </w:t>
      </w:r>
      <w:r w:rsidR="00D817DA" w:rsidRPr="008B2ED7">
        <w:t xml:space="preserve">pomnožen s </w:t>
      </w:r>
      <w:r w:rsidR="0083322E" w:rsidRPr="008B2ED7">
        <w:t xml:space="preserve">iznosom </w:t>
      </w:r>
      <w:r w:rsidR="00D817DA" w:rsidRPr="00B4742D">
        <w:t>ili d</w:t>
      </w:r>
      <w:r w:rsidRPr="00B4742D">
        <w:t>ij</w:t>
      </w:r>
      <w:r w:rsidR="00D817DA" w:rsidRPr="00B4742D">
        <w:t>elom</w:t>
      </w:r>
      <w:r w:rsidR="0083322E" w:rsidRPr="00B4742D">
        <w:t xml:space="preserve"> iznosa </w:t>
      </w:r>
      <w:r w:rsidR="00D817DA" w:rsidRPr="00B4742D">
        <w:t>pla</w:t>
      </w:r>
      <w:r w:rsidR="0083322E" w:rsidRPr="00B4742D">
        <w:t>ć</w:t>
      </w:r>
      <w:r w:rsidR="00D817DA" w:rsidRPr="00B4742D">
        <w:t>e</w:t>
      </w:r>
      <w:r w:rsidRPr="00B4742D">
        <w:t xml:space="preserve"> radnika</w:t>
      </w:r>
      <w:r w:rsidR="00D817DA" w:rsidRPr="00B4742D">
        <w:t>.</w:t>
      </w:r>
      <w:r w:rsidR="00063A47" w:rsidRPr="00B4742D">
        <w:rPr>
          <w:rStyle w:val="FootnoteReference"/>
        </w:rPr>
        <w:footnoteReference w:id="34"/>
      </w:r>
      <w:r w:rsidR="00D817DA" w:rsidRPr="00B4742D">
        <w:t xml:space="preserve"> </w:t>
      </w:r>
    </w:p>
    <w:p w:rsidR="0018289A" w:rsidRPr="00B4742D" w:rsidRDefault="0018289A" w:rsidP="00D535ED">
      <w:pPr>
        <w:spacing w:line="240" w:lineRule="auto"/>
      </w:pPr>
    </w:p>
    <w:p w:rsidR="002C39B9" w:rsidRPr="00B4742D" w:rsidRDefault="00D535ED" w:rsidP="00D535ED">
      <w:pPr>
        <w:spacing w:line="240" w:lineRule="auto"/>
      </w:pPr>
      <w:r w:rsidRPr="002017C6">
        <w:t>U velikoj većini nacionalnih sustava otpremnina t</w:t>
      </w:r>
      <w:r w:rsidR="0083322E" w:rsidRPr="002017C6">
        <w:t xml:space="preserve">a </w:t>
      </w:r>
      <w:r w:rsidRPr="002017C6">
        <w:t>se</w:t>
      </w:r>
      <w:r w:rsidR="00D817DA" w:rsidRPr="002017C6">
        <w:t xml:space="preserve"> formula</w:t>
      </w:r>
      <w:r w:rsidRPr="002017C6">
        <w:t xml:space="preserve"> na </w:t>
      </w:r>
      <w:r w:rsidR="00D817DA" w:rsidRPr="002017C6">
        <w:t>i</w:t>
      </w:r>
      <w:r w:rsidR="0083322E" w:rsidRPr="00EB67A0">
        <w:t>dentiča</w:t>
      </w:r>
      <w:r w:rsidRPr="00EB67A0">
        <w:t xml:space="preserve">n način primjenjuje </w:t>
      </w:r>
      <w:r w:rsidR="0083322E" w:rsidRPr="00FE70C5">
        <w:t>u svim slučajevima isplate otpremnine</w:t>
      </w:r>
      <w:r w:rsidR="00D817DA" w:rsidRPr="009336BF">
        <w:t xml:space="preserve">, međutim </w:t>
      </w:r>
      <w:r w:rsidRPr="009336BF">
        <w:t xml:space="preserve">nacionalni sustavi otpremnina </w:t>
      </w:r>
      <w:r w:rsidR="00D817DA" w:rsidRPr="009336BF">
        <w:t>neki</w:t>
      </w:r>
      <w:r w:rsidRPr="00C7332E">
        <w:t xml:space="preserve">h </w:t>
      </w:r>
      <w:r w:rsidR="0083322E" w:rsidRPr="00C7332E">
        <w:t xml:space="preserve">država </w:t>
      </w:r>
      <w:r w:rsidR="00D817DA" w:rsidRPr="00C7332E">
        <w:t>defini</w:t>
      </w:r>
      <w:r w:rsidR="0083322E" w:rsidRPr="00C7332E">
        <w:t>r</w:t>
      </w:r>
      <w:r w:rsidR="00D817DA" w:rsidRPr="00C7332E">
        <w:t>a</w:t>
      </w:r>
      <w:r w:rsidRPr="00C7332E">
        <w:t>ju</w:t>
      </w:r>
      <w:r w:rsidR="00466D80" w:rsidRPr="006C4F67">
        <w:t xml:space="preserve"> </w:t>
      </w:r>
      <w:r w:rsidR="00D817DA" w:rsidRPr="006C4F67">
        <w:t xml:space="preserve">različite formule za </w:t>
      </w:r>
      <w:r w:rsidR="00D70E2A" w:rsidRPr="006C4F67">
        <w:t xml:space="preserve">izračun iznosa </w:t>
      </w:r>
      <w:r w:rsidR="00D817DA" w:rsidRPr="006C4F67">
        <w:t>otpremnin</w:t>
      </w:r>
      <w:r w:rsidR="00D70E2A" w:rsidRPr="006C4F67">
        <w:t>e</w:t>
      </w:r>
      <w:r w:rsidR="00D817DA" w:rsidRPr="006C4F67">
        <w:t xml:space="preserve"> u zavisnosti od razloga za pre</w:t>
      </w:r>
      <w:r w:rsidR="0018289A" w:rsidRPr="006C4F67">
        <w:t>stanak</w:t>
      </w:r>
      <w:r w:rsidR="00466D80" w:rsidRPr="006C4F67">
        <w:t xml:space="preserve"> </w:t>
      </w:r>
      <w:r w:rsidR="0018289A" w:rsidRPr="00B74757">
        <w:t>radnog odnosa, čime se i načinu prestanka ugovora o radu pridaje određena uloga, odnosno utjecaj, na formulu kojom se odre</w:t>
      </w:r>
      <w:r w:rsidR="0061528D" w:rsidRPr="00B74757">
        <w:t xml:space="preserve">đuje otpremnina. S druge, pak, strane način prestanka ugovora o radu, odnosno </w:t>
      </w:r>
      <w:r w:rsidR="0018289A" w:rsidRPr="009769E7">
        <w:t>različite</w:t>
      </w:r>
      <w:r w:rsidR="0018289A" w:rsidRPr="00E1401E">
        <w:t xml:space="preserve"> situacije pravnih osnova isplate otpremnin</w:t>
      </w:r>
      <w:r w:rsidR="0018289A" w:rsidRPr="00D00975">
        <w:t>e u kojima je poslodavac obvezatan radniku isplatiti otpremninu</w:t>
      </w:r>
      <w:r w:rsidR="0061528D" w:rsidRPr="00D00975">
        <w:t>, može djelovati i na način da samo uvećava (ili smanjuje) iznos otpremnine, određen jedinstvenom formulom.</w:t>
      </w:r>
      <w:r w:rsidR="0018289A" w:rsidRPr="008B2ED7">
        <w:t xml:space="preserve"> </w:t>
      </w:r>
      <w:r w:rsidR="0061528D" w:rsidRPr="008B2ED7">
        <w:t xml:space="preserve">Tako se, primjerice u Republici Hrvatskoj, kod određenih štićenih kategorija iznos otpremnine uvećava, odnosno se </w:t>
      </w:r>
      <w:r w:rsidR="0018289A" w:rsidRPr="008B2ED7">
        <w:t xml:space="preserve">u </w:t>
      </w:r>
      <w:r w:rsidR="0061528D" w:rsidRPr="007544D9">
        <w:t xml:space="preserve">primjenjuje multiplikator </w:t>
      </w:r>
      <w:r w:rsidR="0018289A" w:rsidRPr="007544D9">
        <w:t>za određivanje visine otpremnine.</w:t>
      </w:r>
      <w:r w:rsidR="0018289A" w:rsidRPr="00B4742D">
        <w:rPr>
          <w:rStyle w:val="FootnoteReference"/>
        </w:rPr>
        <w:footnoteReference w:id="35"/>
      </w:r>
    </w:p>
    <w:p w:rsidR="002C39B9" w:rsidRPr="00B4742D" w:rsidRDefault="002C39B9" w:rsidP="00D535ED">
      <w:pPr>
        <w:spacing w:line="240" w:lineRule="auto"/>
      </w:pPr>
    </w:p>
    <w:p w:rsidR="00D535ED" w:rsidRPr="009336BF" w:rsidRDefault="0018289A" w:rsidP="00466D80">
      <w:pPr>
        <w:spacing w:line="240" w:lineRule="auto"/>
      </w:pPr>
      <w:r w:rsidRPr="002017C6">
        <w:t>Uz konkretizaciju načina prestanka ugovora o radu s</w:t>
      </w:r>
      <w:r w:rsidR="00D70E2A" w:rsidRPr="002017C6">
        <w:t xml:space="preserve">pecifičan </w:t>
      </w:r>
      <w:r w:rsidRPr="002017C6">
        <w:t xml:space="preserve">korektivni </w:t>
      </w:r>
      <w:r w:rsidR="00D70E2A" w:rsidRPr="002017C6">
        <w:t>utjecaj na formulu</w:t>
      </w:r>
      <w:r w:rsidR="002C39B9" w:rsidRPr="002017C6">
        <w:t xml:space="preserve"> otpremnine</w:t>
      </w:r>
      <w:r w:rsidR="00D70E2A" w:rsidRPr="009336BF">
        <w:t xml:space="preserve"> može imati i</w:t>
      </w:r>
      <w:r w:rsidR="00D535ED" w:rsidRPr="009336BF">
        <w:t>:</w:t>
      </w:r>
    </w:p>
    <w:p w:rsidR="00D535ED" w:rsidRPr="00C7332E" w:rsidRDefault="0093586A" w:rsidP="00D535ED">
      <w:pPr>
        <w:pStyle w:val="ListParagraph"/>
        <w:numPr>
          <w:ilvl w:val="0"/>
          <w:numId w:val="18"/>
        </w:numPr>
        <w:ind w:left="567" w:hanging="567"/>
      </w:pPr>
      <w:r w:rsidRPr="009336BF">
        <w:t>dob</w:t>
      </w:r>
      <w:r w:rsidR="00D535ED" w:rsidRPr="00C7332E">
        <w:t>; i</w:t>
      </w:r>
    </w:p>
    <w:p w:rsidR="0018289A" w:rsidRPr="00C7332E" w:rsidRDefault="0018289A" w:rsidP="00D535ED">
      <w:pPr>
        <w:pStyle w:val="ListParagraph"/>
        <w:numPr>
          <w:ilvl w:val="0"/>
          <w:numId w:val="18"/>
        </w:numPr>
        <w:ind w:left="567" w:hanging="567"/>
        <w:jc w:val="both"/>
      </w:pPr>
      <w:r w:rsidRPr="00C7332E">
        <w:t>ponovno, dodatno, trajanja radnog odnosa.</w:t>
      </w:r>
    </w:p>
    <w:p w:rsidR="0018289A" w:rsidRPr="00C7332E" w:rsidRDefault="0018289A" w:rsidP="0018289A">
      <w:pPr>
        <w:spacing w:line="240" w:lineRule="auto"/>
      </w:pPr>
    </w:p>
    <w:p w:rsidR="00D817DA" w:rsidRPr="00B4742D" w:rsidRDefault="0018289A" w:rsidP="0018289A">
      <w:pPr>
        <w:spacing w:line="240" w:lineRule="auto"/>
      </w:pPr>
      <w:r w:rsidRPr="006C4F67">
        <w:t xml:space="preserve">Ove se dvije varijable mogu ponekad uvrstiti odnosno koristiti na </w:t>
      </w:r>
      <w:r w:rsidR="00D70E2A" w:rsidRPr="006C4F67">
        <w:t xml:space="preserve">način da se ovisno o </w:t>
      </w:r>
      <w:r w:rsidRPr="006C4F67">
        <w:t xml:space="preserve">dobi i </w:t>
      </w:r>
      <w:r w:rsidR="00D70E2A" w:rsidRPr="006C4F67">
        <w:t>trajanju radnog odnosa varijabla iznosa plaće konkretnog radnika</w:t>
      </w:r>
      <w:r w:rsidR="002C39B9" w:rsidRPr="006C4F67">
        <w:t xml:space="preserve"> korigira</w:t>
      </w:r>
      <w:r w:rsidR="0093586A" w:rsidRPr="006C4F67">
        <w:t xml:space="preserve">, najčešće ovlašćujući starije ili radnike </w:t>
      </w:r>
      <w:r w:rsidR="0093586A" w:rsidRPr="00B74757">
        <w:t>koji su kod poslodavca duže radili, na uvećane iznose.</w:t>
      </w:r>
      <w:r w:rsidR="0093586A" w:rsidRPr="00B4742D">
        <w:rPr>
          <w:rStyle w:val="FootnoteReference"/>
        </w:rPr>
        <w:footnoteReference w:id="36"/>
      </w:r>
      <w:r w:rsidR="00D70E2A" w:rsidRPr="00B4742D">
        <w:t xml:space="preserve"> </w:t>
      </w:r>
    </w:p>
    <w:p w:rsidR="00AA03B1" w:rsidRPr="00B4742D" w:rsidRDefault="00AA03B1" w:rsidP="0018289A">
      <w:pPr>
        <w:spacing w:line="240" w:lineRule="auto"/>
      </w:pPr>
    </w:p>
    <w:p w:rsidR="0083322E" w:rsidRPr="006C4F67" w:rsidRDefault="00063A47" w:rsidP="0018289A">
      <w:pPr>
        <w:spacing w:line="240" w:lineRule="auto"/>
      </w:pPr>
      <w:r w:rsidRPr="002017C6">
        <w:t xml:space="preserve">Gotovo </w:t>
      </w:r>
      <w:r w:rsidR="002C39B9" w:rsidRPr="002017C6">
        <w:t xml:space="preserve">se </w:t>
      </w:r>
      <w:r w:rsidRPr="002017C6">
        <w:t xml:space="preserve">u pravilu otpremnina isplaćuje jednokratno, u punom iznosu, iako postoji mogućnost isplate i u mjesečnim ratama. Potonje bi bilo moguće ponajprije u onim državama u kojima otpremnine imaju snažna obilježja socijalnog sustava (javnih) štednih fondova </w:t>
      </w:r>
      <w:r w:rsidRPr="00EB67A0">
        <w:t>ili izraženu socijalno-zaštitnu funkciju</w:t>
      </w:r>
      <w:r w:rsidR="0083322E" w:rsidRPr="009336BF">
        <w:t xml:space="preserve">. </w:t>
      </w:r>
      <w:r w:rsidRPr="009336BF">
        <w:t>Također, otpremnina se isplaćuje nakon nastanka slučaja koji predstavlja individualnu konkretizaciju pravne osnove isplate otpremnine, dok u sustavima koji imaju obilježja socijalnog sustava (javnih) štednih sredstva sa individualnih štednih računa mogu biti povučena prigodom prestanka radnog odnosa, odnosno povlačenje se može odgo</w:t>
      </w:r>
      <w:r w:rsidR="009B141A" w:rsidRPr="00C7332E">
        <w:t>diti</w:t>
      </w:r>
      <w:r w:rsidRPr="00C7332E">
        <w:t xml:space="preserve"> do povlačenja s tržišta rada, umirovljenja, kada bi se isplaćivala u mjesečnim ratama, specifično f</w:t>
      </w:r>
      <w:r w:rsidR="00460794" w:rsidRPr="00C7332E">
        <w:t>ingirajući stup mirovinskog osi</w:t>
      </w:r>
      <w:r w:rsidRPr="006C4F67">
        <w:t>guranja</w:t>
      </w:r>
      <w:r w:rsidR="0083322E" w:rsidRPr="006C4F67">
        <w:t>.</w:t>
      </w:r>
    </w:p>
    <w:p w:rsidR="00D817DA" w:rsidRPr="006C4F67" w:rsidRDefault="00D817DA" w:rsidP="00466D80">
      <w:pPr>
        <w:spacing w:line="240" w:lineRule="auto"/>
      </w:pPr>
    </w:p>
    <w:p w:rsidR="00CC68D1" w:rsidRPr="006C4F67" w:rsidRDefault="00CC68D1" w:rsidP="00CC68D1">
      <w:pPr>
        <w:pStyle w:val="Heading2"/>
      </w:pPr>
      <w:bookmarkStart w:id="10" w:name="_Toc365828828"/>
      <w:r w:rsidRPr="006C4F67">
        <w:t>1.</w:t>
      </w:r>
      <w:r w:rsidR="00951AD5" w:rsidRPr="006C4F67">
        <w:t>6</w:t>
      </w:r>
      <w:r w:rsidRPr="006C4F67">
        <w:t>. Financiranje otpremnine</w:t>
      </w:r>
      <w:bookmarkEnd w:id="10"/>
    </w:p>
    <w:p w:rsidR="00466D80" w:rsidRPr="006C4F67" w:rsidRDefault="00466D80" w:rsidP="00466D80">
      <w:pPr>
        <w:spacing w:line="240" w:lineRule="auto"/>
      </w:pPr>
    </w:p>
    <w:p w:rsidR="00F74B26" w:rsidRPr="00E1401E" w:rsidRDefault="00A60C32" w:rsidP="00466D80">
      <w:pPr>
        <w:spacing w:line="240" w:lineRule="auto"/>
      </w:pPr>
      <w:r w:rsidRPr="00B74757">
        <w:t>Isplata o</w:t>
      </w:r>
      <w:r w:rsidR="00D817DA" w:rsidRPr="00B74757">
        <w:t>tpremnin</w:t>
      </w:r>
      <w:r w:rsidRPr="009769E7">
        <w:t>a može se financirati</w:t>
      </w:r>
      <w:r w:rsidR="00F74B26" w:rsidRPr="00E1401E">
        <w:t>:</w:t>
      </w:r>
    </w:p>
    <w:p w:rsidR="00F74B26" w:rsidRPr="008B2ED7" w:rsidRDefault="00D817DA" w:rsidP="00F74B26">
      <w:pPr>
        <w:pStyle w:val="ListParagraph"/>
        <w:numPr>
          <w:ilvl w:val="0"/>
          <w:numId w:val="19"/>
        </w:numPr>
        <w:ind w:left="567" w:hanging="567"/>
      </w:pPr>
      <w:r w:rsidRPr="00D00975">
        <w:t>interno</w:t>
      </w:r>
      <w:r w:rsidR="00F74B26" w:rsidRPr="008B2ED7">
        <w:t>;</w:t>
      </w:r>
      <w:r w:rsidR="00A60C32" w:rsidRPr="008B2ED7">
        <w:t xml:space="preserve"> ili</w:t>
      </w:r>
    </w:p>
    <w:p w:rsidR="00F74B26" w:rsidRPr="007544D9" w:rsidRDefault="00A60C32" w:rsidP="00F74B26">
      <w:pPr>
        <w:pStyle w:val="ListParagraph"/>
        <w:numPr>
          <w:ilvl w:val="0"/>
          <w:numId w:val="19"/>
        </w:numPr>
        <w:ind w:left="567" w:hanging="567"/>
      </w:pPr>
      <w:r w:rsidRPr="008B2ED7">
        <w:lastRenderedPageBreak/>
        <w:t>eksterno.</w:t>
      </w:r>
      <w:r w:rsidR="00184074" w:rsidRPr="008B2ED7">
        <w:t xml:space="preserve"> </w:t>
      </w:r>
    </w:p>
    <w:p w:rsidR="00F74B26" w:rsidRPr="00B4742D" w:rsidRDefault="00F74B26" w:rsidP="00F74B26">
      <w:pPr>
        <w:spacing w:line="240" w:lineRule="auto"/>
      </w:pPr>
    </w:p>
    <w:p w:rsidR="00CC1E58" w:rsidRPr="00B4742D" w:rsidRDefault="00184074" w:rsidP="00F74B26">
      <w:pPr>
        <w:spacing w:line="240" w:lineRule="auto"/>
      </w:pPr>
      <w:r w:rsidRPr="00B4742D">
        <w:t xml:space="preserve">Interno financiranje moguće je iz sredstava tekućih prihoda poslodavca, u trenutku isplate, odnosno moguće </w:t>
      </w:r>
      <w:r w:rsidR="00F74B26" w:rsidRPr="00B4742D">
        <w:t xml:space="preserve">je </w:t>
      </w:r>
      <w:r w:rsidRPr="00B4742D">
        <w:t xml:space="preserve">knjigovodstveno rezervirati sredstva </w:t>
      </w:r>
      <w:r w:rsidR="00D817DA" w:rsidRPr="00B4742D">
        <w:t>za otpremnine</w:t>
      </w:r>
      <w:r w:rsidRPr="00B4742D">
        <w:t>. Eksterno financiranje podrazum</w:t>
      </w:r>
      <w:r w:rsidR="0028745A" w:rsidRPr="00B4742D">
        <w:t>i</w:t>
      </w:r>
      <w:r w:rsidRPr="00B4742D">
        <w:t xml:space="preserve">jeva da izvan poslodavca postoje individualni štedni računi pojedinačnog radnika, u javnim ili privatnim fondovima, na koje se uplaćuju doprinosi, odnosno je moguće financirati ih iz općih centraliziranih, najčešće </w:t>
      </w:r>
      <w:r w:rsidR="00D817DA" w:rsidRPr="00B4742D">
        <w:t>državnih,</w:t>
      </w:r>
      <w:r w:rsidR="00466D80" w:rsidRPr="00B4742D">
        <w:t xml:space="preserve"> </w:t>
      </w:r>
      <w:r w:rsidR="00D817DA" w:rsidRPr="00B4742D">
        <w:t xml:space="preserve">fondova u koje su doprinosi za otpremnine uplaćivani. </w:t>
      </w:r>
    </w:p>
    <w:p w:rsidR="00CC1E58" w:rsidRPr="00B4742D" w:rsidRDefault="00CC1E58" w:rsidP="00F74B26">
      <w:pPr>
        <w:spacing w:line="240" w:lineRule="auto"/>
      </w:pPr>
    </w:p>
    <w:p w:rsidR="00CC68D1" w:rsidRPr="00B4742D" w:rsidRDefault="00D817DA" w:rsidP="00466D80">
      <w:pPr>
        <w:spacing w:line="240" w:lineRule="auto"/>
      </w:pPr>
      <w:r w:rsidRPr="00B4742D">
        <w:t>U praksi</w:t>
      </w:r>
      <w:r w:rsidR="00CC1E58" w:rsidRPr="00B4742D">
        <w:t xml:space="preserve"> se</w:t>
      </w:r>
      <w:r w:rsidRPr="00B4742D">
        <w:t>, u najvećem</w:t>
      </w:r>
      <w:r w:rsidRPr="00B4742D">
        <w:rPr>
          <w:b/>
        </w:rPr>
        <w:t xml:space="preserve"> </w:t>
      </w:r>
      <w:r w:rsidRPr="00B4742D">
        <w:t xml:space="preserve">broju </w:t>
      </w:r>
      <w:r w:rsidR="00CC1E58" w:rsidRPr="00B4742D">
        <w:t>država,</w:t>
      </w:r>
      <w:r w:rsidR="00466D80" w:rsidRPr="00B4742D">
        <w:t xml:space="preserve"> </w:t>
      </w:r>
      <w:r w:rsidR="00CC1E58" w:rsidRPr="00B4742D">
        <w:t>o</w:t>
      </w:r>
      <w:r w:rsidRPr="00B4742D">
        <w:t>tpremnine finan</w:t>
      </w:r>
      <w:r w:rsidR="00CC1E58" w:rsidRPr="00B4742D">
        <w:t>ciraju</w:t>
      </w:r>
      <w:r w:rsidRPr="00B4742D">
        <w:t xml:space="preserve"> </w:t>
      </w:r>
      <w:r w:rsidR="00CC1E58" w:rsidRPr="00B4742D">
        <w:t xml:space="preserve">interno, </w:t>
      </w:r>
      <w:r w:rsidRPr="00B4742D">
        <w:t xml:space="preserve">iz tekućih prihoda </w:t>
      </w:r>
      <w:r w:rsidR="00F74B26" w:rsidRPr="00B4742D">
        <w:t>poslodavaca</w:t>
      </w:r>
      <w:r w:rsidRPr="00B4742D">
        <w:t>.</w:t>
      </w:r>
    </w:p>
    <w:p w:rsidR="00826A27" w:rsidRPr="00B4742D" w:rsidRDefault="00826A27" w:rsidP="0017744F">
      <w:pPr>
        <w:spacing w:line="240" w:lineRule="auto"/>
      </w:pPr>
    </w:p>
    <w:p w:rsidR="00826A27" w:rsidRPr="00B4742D" w:rsidRDefault="00826A27" w:rsidP="00826A27">
      <w:pPr>
        <w:pStyle w:val="Heading2"/>
      </w:pPr>
      <w:bookmarkStart w:id="11" w:name="_Toc365828829"/>
      <w:r w:rsidRPr="00B4742D">
        <w:t>1.7. Oporezivanje otpremnina</w:t>
      </w:r>
      <w:bookmarkEnd w:id="11"/>
    </w:p>
    <w:p w:rsidR="00826A27" w:rsidRPr="00B4742D" w:rsidRDefault="00826A27" w:rsidP="0017744F">
      <w:pPr>
        <w:spacing w:line="240" w:lineRule="auto"/>
      </w:pPr>
    </w:p>
    <w:p w:rsidR="004F112E" w:rsidRPr="00B4742D" w:rsidRDefault="00826A27" w:rsidP="0017744F">
      <w:pPr>
        <w:spacing w:line="240" w:lineRule="auto"/>
      </w:pPr>
      <w:r w:rsidRPr="00B4742D">
        <w:t>Važan element promišljanja otpremnina može biti i pitanje op</w:t>
      </w:r>
      <w:r w:rsidR="0028745A" w:rsidRPr="00B4742D">
        <w:t>o</w:t>
      </w:r>
      <w:r w:rsidRPr="00B4742D">
        <w:t>rezivanje otpremnina. Naime, otpremnine mogu biti u različitim režimima oporezivanja</w:t>
      </w:r>
      <w:r w:rsidR="004F112E" w:rsidRPr="00B4742D">
        <w:t>. O</w:t>
      </w:r>
      <w:r w:rsidRPr="00B4742D">
        <w:t>ne mogu biti</w:t>
      </w:r>
      <w:r w:rsidR="004F112E" w:rsidRPr="00B4742D">
        <w:t>:</w:t>
      </w:r>
    </w:p>
    <w:p w:rsidR="004F112E" w:rsidRPr="00B4742D" w:rsidRDefault="00826A27" w:rsidP="004F112E">
      <w:pPr>
        <w:pStyle w:val="ListParagraph"/>
        <w:numPr>
          <w:ilvl w:val="0"/>
          <w:numId w:val="20"/>
        </w:numPr>
        <w:ind w:left="567" w:hanging="567"/>
      </w:pPr>
      <w:r w:rsidRPr="00B4742D">
        <w:t>porezno povlaštene na način da budu</w:t>
      </w:r>
      <w:r w:rsidR="00724838" w:rsidRPr="00B4742D">
        <w:t xml:space="preserve"> (a1)</w:t>
      </w:r>
      <w:r w:rsidRPr="00B4742D">
        <w:t xml:space="preserve"> </w:t>
      </w:r>
      <w:r w:rsidR="00724838" w:rsidRPr="00B4742D">
        <w:t xml:space="preserve">izuzete odnosno </w:t>
      </w:r>
      <w:r w:rsidRPr="00B4742D">
        <w:t>oslobođene opo</w:t>
      </w:r>
      <w:r w:rsidR="00724838" w:rsidRPr="00B4742D">
        <w:t xml:space="preserve">rezivanja; ili (a2) da se za njih predvide porezni odbici, olakšice ili poticaji; ili </w:t>
      </w:r>
    </w:p>
    <w:p w:rsidR="004F112E" w:rsidRPr="00B4742D" w:rsidRDefault="00724838" w:rsidP="004F112E">
      <w:pPr>
        <w:pStyle w:val="ListParagraph"/>
        <w:numPr>
          <w:ilvl w:val="0"/>
          <w:numId w:val="20"/>
        </w:numPr>
        <w:ind w:left="567" w:hanging="567"/>
      </w:pPr>
      <w:r w:rsidRPr="00B4742D">
        <w:t xml:space="preserve">oporezovane kao plaće ili dohodak. </w:t>
      </w:r>
    </w:p>
    <w:p w:rsidR="004F112E" w:rsidRPr="00B4742D" w:rsidRDefault="004F112E" w:rsidP="004F112E">
      <w:pPr>
        <w:spacing w:line="240" w:lineRule="auto"/>
      </w:pPr>
    </w:p>
    <w:p w:rsidR="00A60C32" w:rsidRPr="00B4742D" w:rsidRDefault="00724838" w:rsidP="004F112E">
      <w:pPr>
        <w:spacing w:line="240" w:lineRule="auto"/>
      </w:pPr>
      <w:r w:rsidRPr="00B4742D">
        <w:t xml:space="preserve">Ovdje valja napomenuti da svako diferencirano porezno postupanje i tretiranje u odnosu na plaće ili dohodak, predstavljaju poticaj poreznoj evaziji i korištenju </w:t>
      </w:r>
      <w:r w:rsidR="0056553B" w:rsidRPr="00B4742D">
        <w:t xml:space="preserve">nekog konkretnog </w:t>
      </w:r>
      <w:r w:rsidRPr="00B4742D">
        <w:t>posebnog poreznog statusa.</w:t>
      </w:r>
    </w:p>
    <w:p w:rsidR="00A60C32" w:rsidRPr="00B4742D" w:rsidRDefault="00A60C32" w:rsidP="004F112E">
      <w:pPr>
        <w:spacing w:line="240" w:lineRule="auto"/>
      </w:pPr>
    </w:p>
    <w:p w:rsidR="00482542" w:rsidRPr="00B4742D" w:rsidRDefault="00CC68D1" w:rsidP="00A175CA">
      <w:pPr>
        <w:pStyle w:val="Heading1"/>
      </w:pPr>
      <w:bookmarkStart w:id="12" w:name="_Toc365828830"/>
      <w:r w:rsidRPr="00B4742D">
        <w:t>2</w:t>
      </w:r>
      <w:r w:rsidR="00482542" w:rsidRPr="00B4742D">
        <w:t xml:space="preserve">. </w:t>
      </w:r>
      <w:r w:rsidR="00641867" w:rsidRPr="00B4742D">
        <w:t>Pravno u</w:t>
      </w:r>
      <w:r w:rsidR="0082108F" w:rsidRPr="00B4742D">
        <w:t xml:space="preserve">ređenje </w:t>
      </w:r>
      <w:r w:rsidR="00A30DB8" w:rsidRPr="00B4742D">
        <w:t>su</w:t>
      </w:r>
      <w:r w:rsidR="00367E35" w:rsidRPr="00B4742D">
        <w:t>s</w:t>
      </w:r>
      <w:r w:rsidR="00A30DB8" w:rsidRPr="00B4742D">
        <w:t xml:space="preserve">tava </w:t>
      </w:r>
      <w:r w:rsidR="0082108F" w:rsidRPr="00B4742D">
        <w:t>otpremnina u Republici Hrvatskoj</w:t>
      </w:r>
      <w:bookmarkEnd w:id="12"/>
    </w:p>
    <w:p w:rsidR="004A73E8" w:rsidRPr="00B4742D" w:rsidRDefault="004A73E8" w:rsidP="006F0C76">
      <w:pPr>
        <w:spacing w:line="240" w:lineRule="auto"/>
      </w:pPr>
    </w:p>
    <w:p w:rsidR="006F0C76" w:rsidRPr="009336BF" w:rsidRDefault="006F0C76" w:rsidP="006F0C76">
      <w:pPr>
        <w:spacing w:line="240" w:lineRule="auto"/>
      </w:pPr>
      <w:r w:rsidRPr="00B4742D">
        <w:t xml:space="preserve">Dana 4. prosinca 2010. godine, nakon dugotrajnih priprema i iscrpljujućeg usklađivanja stajališta socijalnih partnera, Hrvatski je sabor donio Zakon o radu, objavljen u Narodnim novinama 149/09 od dana 15. prosinca 2009. godine, kao zakonodavstvo rada - novi izvor uređenja prava za radne odnose u Republici Hrvatskoj. Stupanjem na snagu ovoga zakona, dana 1. siječnja 2010. godine, nakon </w:t>
      </w:r>
      <w:r w:rsidR="0028745A" w:rsidRPr="00B4742D">
        <w:t>četrnaestogodišnje</w:t>
      </w:r>
      <w:r w:rsidRPr="00B4742D">
        <w:t xml:space="preserve"> primjene, prestao je važiti prethodni istoimeni zakon, donesen dana 17. svibnja 1995. godine, ob</w:t>
      </w:r>
      <w:r w:rsidR="008D0FF0" w:rsidRPr="00B4742D">
        <w:t>javljen u Narodnim novinama 38/9</w:t>
      </w:r>
      <w:r w:rsidRPr="00B4742D">
        <w:t>5 od dana 8. lipnja 1995. godine. Potonji je Zakon o radu, primjena kojeg je započela još dana 01. siječnja 1996. godine, bio jedan od “dugovječnijih” hrvatskih zakona koji, unatoč višekratnim, ali ne i strukturalnim izmjenama i dopunama</w:t>
      </w:r>
      <w:r w:rsidRPr="00B4742D">
        <w:rPr>
          <w:rStyle w:val="FootnoteReference"/>
        </w:rPr>
        <w:footnoteReference w:id="37"/>
      </w:r>
      <w:r w:rsidRPr="00B4742D">
        <w:t>, danas možemo ocijeniti zakonom koji je sadržajno i nomotehnički na odgovarajuć</w:t>
      </w:r>
      <w:r w:rsidR="0028745A" w:rsidRPr="00B4742D">
        <w:t>i</w:t>
      </w:r>
      <w:r w:rsidRPr="00B4742D">
        <w:t xml:space="preserve"> način odgovorio potrebi uspostavljanja interesno-uravnoteženog suvremenog radnog zakonodavstva kao općeg okvira prava i obveza u individualnom i kolektivnom radnom odnosu, a također i specifičnih institucionalnih struktura inherentnih socijalno-tržišnom gospodarstvu tzv</w:t>
      </w:r>
      <w:r w:rsidR="0028745A" w:rsidRPr="002017C6">
        <w:t>.</w:t>
      </w:r>
      <w:r w:rsidRPr="002017C6">
        <w:t xml:space="preserve"> </w:t>
      </w:r>
      <w:r w:rsidRPr="002017C6">
        <w:rPr>
          <w:i/>
        </w:rPr>
        <w:lastRenderedPageBreak/>
        <w:t>rajnskog</w:t>
      </w:r>
      <w:r w:rsidRPr="002017C6">
        <w:t xml:space="preserve"> modela kojemu Republika Hrvatska, kao socijalna država, stremi. Samom činjenicom uravnoteženosti, a posebice u svezi s time što je to inicijalni izvor ugovorne osnove uređenja radnog prava, ovaj je zakon praktično snažno utjecao na gospodarstvo i socijalnu zbilju Republike Hrvatske.</w:t>
      </w:r>
    </w:p>
    <w:p w:rsidR="006F0C76" w:rsidRPr="009336BF" w:rsidRDefault="006F0C76" w:rsidP="006F0C76">
      <w:pPr>
        <w:spacing w:line="240" w:lineRule="auto"/>
      </w:pPr>
    </w:p>
    <w:p w:rsidR="006F0C76" w:rsidRPr="00B4742D" w:rsidRDefault="006F0C76" w:rsidP="006F0C76">
      <w:pPr>
        <w:spacing w:line="240" w:lineRule="auto"/>
      </w:pPr>
      <w:r w:rsidRPr="00C7332E">
        <w:t>Zakon o radu</w:t>
      </w:r>
      <w:r w:rsidRPr="00B4742D">
        <w:rPr>
          <w:rStyle w:val="FootnoteReference"/>
        </w:rPr>
        <w:footnoteReference w:id="38"/>
      </w:r>
      <w:r w:rsidRPr="00B4742D">
        <w:t xml:space="preserve"> nastavno je višekratno, u razmjerno kratkom razdoblju, mijenjan. Tako je 2011. godine Zakon o izmjenama i dopunama Zakona o radu</w:t>
      </w:r>
      <w:r w:rsidRPr="00B4742D">
        <w:rPr>
          <w:rStyle w:val="FootnoteReference"/>
        </w:rPr>
        <w:footnoteReference w:id="39"/>
      </w:r>
      <w:r w:rsidRPr="00B4742D">
        <w:t xml:space="preserve"> u samo manjoj mjeri “ispravio” neke uočene nedostatke u pogledu uređenja individualnog radnog odnosa. Potom je Zakonom o kriterijima za sudjelovanje u tripartitnim tijelima i reprezentativnosti za kolektivno pregovaranje</w:t>
      </w:r>
      <w:r w:rsidRPr="00B4742D">
        <w:rPr>
          <w:rStyle w:val="FootnoteReference"/>
        </w:rPr>
        <w:footnoteReference w:id="40"/>
      </w:r>
      <w:r w:rsidRPr="00B4742D">
        <w:t xml:space="preserve"> došlo do izmjena u pogledu uređenje kolektivnih radnih odnosa, ponajprije kolektivnog pregovaranja i kolektivnih ugovora, metodom direktnih, izravnih, te indirektnih, neizravnih, derogacija odredbi Zakona o radu. Konačno je </w:t>
      </w:r>
      <w:r w:rsidR="001B09C2" w:rsidRPr="002017C6">
        <w:t>Zakonom o izmjenama i dopunama Zakona o radu</w:t>
      </w:r>
      <w:r w:rsidR="001B09C2" w:rsidRPr="00B4742D">
        <w:rPr>
          <w:rStyle w:val="FootnoteReference"/>
        </w:rPr>
        <w:footnoteReference w:id="41"/>
      </w:r>
      <w:r w:rsidR="001B09C2" w:rsidRPr="00B4742D">
        <w:t xml:space="preserve"> iz lipnja 2013. godine Zakon o radu mijenjan u sadašnji sadržaj.</w:t>
      </w:r>
    </w:p>
    <w:p w:rsidR="006F0C76" w:rsidRPr="002017C6" w:rsidRDefault="006F0C76" w:rsidP="006F0C76">
      <w:pPr>
        <w:spacing w:line="240" w:lineRule="auto"/>
      </w:pPr>
    </w:p>
    <w:p w:rsidR="0009262F" w:rsidRPr="008B2ED7" w:rsidRDefault="006F0C76" w:rsidP="00466D80">
      <w:pPr>
        <w:spacing w:line="240" w:lineRule="auto"/>
      </w:pPr>
      <w:r w:rsidRPr="002017C6">
        <w:t>Zakon o radu</w:t>
      </w:r>
      <w:r w:rsidR="00027FCE" w:rsidRPr="002017C6">
        <w:t xml:space="preserve"> </w:t>
      </w:r>
      <w:r w:rsidRPr="002017C6">
        <w:t xml:space="preserve">iz 2009. godine, u stvarnosti jest </w:t>
      </w:r>
      <w:r w:rsidR="00027FCE" w:rsidRPr="002017C6">
        <w:t xml:space="preserve">iteracija, kojom je, </w:t>
      </w:r>
      <w:r w:rsidRPr="00EB67A0">
        <w:t>samo u dijelu, preoblikovan sadržaj normativnih rješenja Zakona o radu iz 1995. godine, mijenjanog i dopunjavanog, kako je zatečen danom donošenja novoga zakona, dopunjen tek sadržajem kojim je ispunjen uvjet zatvaranja pregovora u pregovaračkom pogla</w:t>
      </w:r>
      <w:r w:rsidRPr="009336BF">
        <w:t xml:space="preserve">vlju </w:t>
      </w:r>
      <w:r w:rsidR="003D682D" w:rsidRPr="009336BF">
        <w:t>devetnaest</w:t>
      </w:r>
      <w:r w:rsidRPr="009336BF">
        <w:t xml:space="preserve"> “Socijalna politika i zapošljavanje”, odnosno pravnom stečevinom Europske unije u području koje pokriva zakonodavstvo rada, kao nužnim preduvjetom postizanja potpunog usklađivanja nacionalnog radnog zakonodavstva s onim Europske unije.</w:t>
      </w:r>
      <w:r w:rsidR="00027FCE" w:rsidRPr="00C7332E">
        <w:t xml:space="preserve"> To se tiče i s</w:t>
      </w:r>
      <w:r w:rsidRPr="00C7332E">
        <w:t>ustav</w:t>
      </w:r>
      <w:r w:rsidR="00027FCE" w:rsidRPr="00C7332E">
        <w:t>a</w:t>
      </w:r>
      <w:r w:rsidRPr="00C7332E">
        <w:t xml:space="preserve"> otpremnina u Republici Hrvatskoj</w:t>
      </w:r>
      <w:r w:rsidR="00027FCE" w:rsidRPr="006C4F67">
        <w:t>. On je</w:t>
      </w:r>
      <w:r w:rsidRPr="006C4F67">
        <w:t xml:space="preserve"> na zakonodavnoj ravni uređen </w:t>
      </w:r>
      <w:r w:rsidR="00D3452B" w:rsidRPr="006C4F67">
        <w:t>odredbama Zakona o radu</w:t>
      </w:r>
      <w:r w:rsidR="00027FCE" w:rsidRPr="006C4F67">
        <w:t xml:space="preserve">. U tome sadašnje uređenje </w:t>
      </w:r>
      <w:r w:rsidR="009D162E" w:rsidRPr="006C4F67">
        <w:t xml:space="preserve">datira </w:t>
      </w:r>
      <w:r w:rsidRPr="006C4F67">
        <w:t xml:space="preserve">još iz </w:t>
      </w:r>
      <w:r w:rsidR="00027FCE" w:rsidRPr="006C4F67">
        <w:t>2003. godine, i izmjena i dopuna Zakona o radu iz te godine, dok postoji i vezanost sa izvornikom</w:t>
      </w:r>
      <w:r w:rsidR="009D162E" w:rsidRPr="00B74757">
        <w:t xml:space="preserve"> </w:t>
      </w:r>
      <w:r w:rsidR="00A359E0" w:rsidRPr="00B74757">
        <w:t>Z</w:t>
      </w:r>
      <w:r w:rsidR="009D162E" w:rsidRPr="009769E7">
        <w:t>akon</w:t>
      </w:r>
      <w:r w:rsidR="00027FCE" w:rsidRPr="00E1401E">
        <w:t>a</w:t>
      </w:r>
      <w:r w:rsidR="00A359E0" w:rsidRPr="00D00975">
        <w:t xml:space="preserve"> o radu </w:t>
      </w:r>
      <w:r w:rsidR="00027FCE" w:rsidRPr="00D00975">
        <w:t>iz 1995. godine</w:t>
      </w:r>
      <w:r w:rsidR="009D162E" w:rsidRPr="008B2ED7">
        <w:t xml:space="preserve">. </w:t>
      </w:r>
    </w:p>
    <w:p w:rsidR="004A73E8" w:rsidRPr="008B2ED7" w:rsidRDefault="004A73E8" w:rsidP="00466D80">
      <w:pPr>
        <w:spacing w:line="240" w:lineRule="auto"/>
      </w:pPr>
    </w:p>
    <w:p w:rsidR="00862215" w:rsidRPr="00B4742D" w:rsidRDefault="00CC68D1" w:rsidP="00DC670F">
      <w:pPr>
        <w:pStyle w:val="Heading2"/>
        <w:spacing w:line="240" w:lineRule="auto"/>
      </w:pPr>
      <w:bookmarkStart w:id="13" w:name="_Toc365828831"/>
      <w:r w:rsidRPr="008B2ED7">
        <w:t>2</w:t>
      </w:r>
      <w:r w:rsidR="00862215" w:rsidRPr="007544D9">
        <w:t xml:space="preserve">.1. </w:t>
      </w:r>
      <w:r w:rsidR="0082108F" w:rsidRPr="002313A4">
        <w:t>Zakonodavni h</w:t>
      </w:r>
      <w:r w:rsidR="0082108F" w:rsidRPr="00B4742D">
        <w:t xml:space="preserve">istorijat </w:t>
      </w:r>
      <w:r w:rsidR="00D817DA" w:rsidRPr="00B4742D">
        <w:t xml:space="preserve">suvremenog </w:t>
      </w:r>
      <w:r w:rsidR="0082108F" w:rsidRPr="00B4742D">
        <w:t>uređenja otpremnina u Republici Hrvatskoj</w:t>
      </w:r>
      <w:bookmarkEnd w:id="13"/>
    </w:p>
    <w:p w:rsidR="00862215" w:rsidRPr="00B4742D" w:rsidRDefault="00862215" w:rsidP="00466D80">
      <w:pPr>
        <w:spacing w:line="240" w:lineRule="auto"/>
      </w:pPr>
    </w:p>
    <w:p w:rsidR="003D1A76" w:rsidRPr="00B4742D" w:rsidRDefault="003D1A76" w:rsidP="003D1A76">
      <w:pPr>
        <w:spacing w:line="240" w:lineRule="auto"/>
        <w:rPr>
          <w:bCs w:val="0"/>
          <w:color w:val="auto"/>
        </w:rPr>
      </w:pPr>
      <w:r w:rsidRPr="00B4742D">
        <w:t xml:space="preserve">Zakon o radu iz 1995. godine otpremnine je uređivao u dvije odredbe članka 118. </w:t>
      </w:r>
      <w:r w:rsidR="00DD7D5A" w:rsidRPr="00B4742D">
        <w:t xml:space="preserve">Pravo na otpremninu </w:t>
      </w:r>
      <w:r w:rsidRPr="00B4742D">
        <w:t>pripadal</w:t>
      </w:r>
      <w:r w:rsidR="00DD7D5A" w:rsidRPr="00B4742D">
        <w:t xml:space="preserve">o je </w:t>
      </w:r>
      <w:r w:rsidRPr="00B4742D">
        <w:t>radniku</w:t>
      </w:r>
      <w:r w:rsidR="00DD7D5A" w:rsidRPr="00B4742D">
        <w:t xml:space="preserve">, tada </w:t>
      </w:r>
      <w:r w:rsidRPr="00B4742D">
        <w:t>z</w:t>
      </w:r>
      <w:r w:rsidRPr="00B4742D">
        <w:rPr>
          <w:bCs w:val="0"/>
          <w:color w:val="auto"/>
        </w:rPr>
        <w:t>aposleniku, stranci ugovora o radu sklopljenoga na neodređeno vrijeme, kojem je poslodavac otkazivao taj ugovor nakon dvije godine neprekidnog rada, i to u sva</w:t>
      </w:r>
      <w:r w:rsidR="00DD7D5A" w:rsidRPr="00B4742D">
        <w:rPr>
          <w:bCs w:val="0"/>
          <w:color w:val="auto"/>
        </w:rPr>
        <w:t>kom slučaju otkazivanja ugovora o radu, izuzev</w:t>
      </w:r>
      <w:r w:rsidRPr="00B4742D">
        <w:rPr>
          <w:bCs w:val="0"/>
          <w:color w:val="auto"/>
        </w:rPr>
        <w:t xml:space="preserve"> onog ako se otkaz</w:t>
      </w:r>
      <w:r w:rsidR="00DD7D5A" w:rsidRPr="00B4742D">
        <w:rPr>
          <w:bCs w:val="0"/>
          <w:color w:val="auto"/>
        </w:rPr>
        <w:t>ivalo</w:t>
      </w:r>
      <w:r w:rsidRPr="00B4742D">
        <w:rPr>
          <w:bCs w:val="0"/>
          <w:color w:val="auto"/>
        </w:rPr>
        <w:t xml:space="preserve"> iz razloga uvjetovanih ponašanjem zaposlenika. Otpremnina se određivala s obzirom na dužinu prethodnoga neprekidnoga trajanja radnog odnosa s tim poslodavcem i nije se smjela ugovoriti, odnosno odrediti, u iznosu manjem od jedne polovine prosječne mjesečne plaće, isplaćene </w:t>
      </w:r>
      <w:r w:rsidR="00DD7D5A" w:rsidRPr="00B4742D">
        <w:rPr>
          <w:bCs w:val="0"/>
          <w:color w:val="auto"/>
        </w:rPr>
        <w:t>radniku</w:t>
      </w:r>
      <w:r w:rsidRPr="00B4742D">
        <w:rPr>
          <w:bCs w:val="0"/>
          <w:color w:val="auto"/>
        </w:rPr>
        <w:t xml:space="preserve"> u </w:t>
      </w:r>
      <w:r w:rsidR="00DD7D5A" w:rsidRPr="00B4742D">
        <w:rPr>
          <w:bCs w:val="0"/>
          <w:color w:val="auto"/>
        </w:rPr>
        <w:t xml:space="preserve">razdoblju od </w:t>
      </w:r>
      <w:r w:rsidRPr="00B4742D">
        <w:rPr>
          <w:bCs w:val="0"/>
          <w:color w:val="auto"/>
        </w:rPr>
        <w:t xml:space="preserve">tri mjeseca </w:t>
      </w:r>
      <w:r w:rsidR="00DD7D5A" w:rsidRPr="00B4742D">
        <w:rPr>
          <w:bCs w:val="0"/>
          <w:color w:val="auto"/>
        </w:rPr>
        <w:t>koja su prethodila</w:t>
      </w:r>
      <w:r w:rsidRPr="00B4742D">
        <w:rPr>
          <w:bCs w:val="0"/>
          <w:color w:val="auto"/>
        </w:rPr>
        <w:t xml:space="preserve"> prestank</w:t>
      </w:r>
      <w:r w:rsidR="00DD7D5A" w:rsidRPr="00B4742D">
        <w:rPr>
          <w:bCs w:val="0"/>
          <w:color w:val="auto"/>
        </w:rPr>
        <w:t>u</w:t>
      </w:r>
      <w:r w:rsidRPr="00B4742D">
        <w:rPr>
          <w:bCs w:val="0"/>
          <w:color w:val="auto"/>
        </w:rPr>
        <w:t xml:space="preserve"> ugovora o radu, za svaku navršenu godinu rada kod toga poslodavca. </w:t>
      </w:r>
    </w:p>
    <w:p w:rsidR="003D1A76" w:rsidRPr="00B4742D" w:rsidRDefault="003D1A76" w:rsidP="003D1A76">
      <w:pPr>
        <w:spacing w:line="240" w:lineRule="auto"/>
      </w:pPr>
    </w:p>
    <w:p w:rsidR="00DD7D5A" w:rsidRPr="006C4F67" w:rsidRDefault="003D1A76" w:rsidP="00466D80">
      <w:pPr>
        <w:spacing w:line="240" w:lineRule="auto"/>
      </w:pPr>
      <w:r w:rsidRPr="00B4742D">
        <w:t>Zakonom o izmjenama i dopunama Zakona o radu iz 2001. godine, odredbom njegova članka 42.</w:t>
      </w:r>
      <w:r w:rsidR="00DD7D5A" w:rsidRPr="00B4742D">
        <w:t>,</w:t>
      </w:r>
      <w:r w:rsidRPr="00B4742D">
        <w:t xml:space="preserve"> u članak 118. dodan je stavak 3. prema kojem se plaće koje se isplaćuju na osnovu menadžerskog </w:t>
      </w:r>
      <w:r w:rsidRPr="00B4742D">
        <w:lastRenderedPageBreak/>
        <w:t>ugovora ne mogu uzimati za osnovic</w:t>
      </w:r>
      <w:r w:rsidR="00DD7D5A" w:rsidRPr="00B4742D">
        <w:t>u</w:t>
      </w:r>
      <w:r w:rsidRPr="00B4742D">
        <w:t xml:space="preserve"> za određivanje otpremnine. Dikcija navedene odredbe </w:t>
      </w:r>
      <w:r w:rsidR="00DD7D5A" w:rsidRPr="00B4742D">
        <w:t>nikada nije bila razumljiva te je</w:t>
      </w:r>
      <w:r w:rsidRPr="00B4742D">
        <w:t xml:space="preserve"> ostavljala prostora neujednačenom tumačenju njena sadržaja tako da je već</w:t>
      </w:r>
      <w:r w:rsidR="00DD7D5A" w:rsidRPr="00B4742D">
        <w:t xml:space="preserve"> sljedećim Zakonom o izmjenama i dopunama Zakona o radu</w:t>
      </w:r>
      <w:r w:rsidRPr="00B4742D">
        <w:t xml:space="preserve"> </w:t>
      </w:r>
      <w:r w:rsidR="009E57B0" w:rsidRPr="00B4742D">
        <w:t>brisana</w:t>
      </w:r>
      <w:r w:rsidRPr="00B4742D">
        <w:t xml:space="preserve">. </w:t>
      </w:r>
      <w:r w:rsidR="00DD7D5A" w:rsidRPr="00B4742D">
        <w:t>Dakle, istom je n</w:t>
      </w:r>
      <w:r w:rsidRPr="00B4742D">
        <w:t xml:space="preserve">ovelom, Zakonom o izmjenama i dopunama Zakona o radu, iz 2003. godine </w:t>
      </w:r>
      <w:r w:rsidR="00C45B2C" w:rsidRPr="00B4742D">
        <w:t>uređenje sustava otpremnina dovedeno u sadašnj</w:t>
      </w:r>
      <w:r w:rsidR="00DD7D5A" w:rsidRPr="00B4742D">
        <w:t>i sadržaj</w:t>
      </w:r>
      <w:r w:rsidR="00C45B2C" w:rsidRPr="00B4742D">
        <w:t xml:space="preserve">. </w:t>
      </w:r>
      <w:r w:rsidR="00DD7D5A" w:rsidRPr="00B4742D">
        <w:t>Uz brisanje odredbe o osnovici</w:t>
      </w:r>
      <w:r w:rsidR="009E57B0" w:rsidRPr="00B4742D">
        <w:t xml:space="preserve"> za određivanje otpremnine kod menadžerskog ugovora k</w:t>
      </w:r>
      <w:r w:rsidR="000D10E3" w:rsidRPr="00B4742D">
        <w:t>ljučna je izmjena bila u tome što je na sasvim razvidan i nesumnjiv način utvrđeno da se iznos otpremnine određuje od bruto plaće radnika</w:t>
      </w:r>
      <w:r w:rsidR="000D10E3" w:rsidRPr="00B4742D">
        <w:rPr>
          <w:rStyle w:val="FootnoteReference"/>
        </w:rPr>
        <w:footnoteReference w:id="42"/>
      </w:r>
      <w:r w:rsidR="000D10E3" w:rsidRPr="00B4742D">
        <w:t>.</w:t>
      </w:r>
      <w:r w:rsidR="009E57B0" w:rsidRPr="00B4742D">
        <w:t xml:space="preserve"> Tada je brisana</w:t>
      </w:r>
      <w:r w:rsidR="00DD7D5A" w:rsidRPr="00B4742D">
        <w:t xml:space="preserve"> i</w:t>
      </w:r>
      <w:r w:rsidR="009E57B0" w:rsidRPr="00B4742D">
        <w:t xml:space="preserve"> poveznica </w:t>
      </w:r>
      <w:r w:rsidR="00DD7D5A" w:rsidRPr="00B4742D">
        <w:t xml:space="preserve">prava na </w:t>
      </w:r>
      <w:r w:rsidR="009E57B0" w:rsidRPr="00B4742D">
        <w:t>otpremnin</w:t>
      </w:r>
      <w:r w:rsidR="00DD7D5A" w:rsidRPr="002017C6">
        <w:t>u</w:t>
      </w:r>
      <w:r w:rsidR="009E57B0" w:rsidRPr="002017C6">
        <w:t xml:space="preserve"> s otkazivanjem </w:t>
      </w:r>
      <w:r w:rsidR="00DD7D5A" w:rsidRPr="002017C6">
        <w:t>isključivo</w:t>
      </w:r>
      <w:r w:rsidR="009E57B0" w:rsidRPr="002017C6">
        <w:t xml:space="preserve"> ugovora o radu na neodređeno vrijeme, čime je otvorena mogućnost isplate otpremnine prigodom otkazivanja svakog ugovora o radu, pa i onog na određeno vrijeme, </w:t>
      </w:r>
      <w:r w:rsidR="00DD7D5A" w:rsidRPr="009336BF">
        <w:t>naravno, uz uvjet da je nepreki</w:t>
      </w:r>
      <w:r w:rsidR="008E28FF" w:rsidRPr="009336BF">
        <w:t>dno</w:t>
      </w:r>
      <w:r w:rsidR="00DD7D5A" w:rsidRPr="009336BF">
        <w:t xml:space="preserve"> </w:t>
      </w:r>
      <w:r w:rsidR="009E57B0" w:rsidRPr="00C7332E">
        <w:t xml:space="preserve">trajao najmanje dvije godine. Istom je iznos minimalne zakonske otpremnine redefiniran na način da se ona ne smije ugovoriti, odnosno odrediti u iznosu manjem od jedne trećine prosječne mjesečne plaće koju je radnik ostvario u tri mjeseca prije prestanka ugovora o </w:t>
      </w:r>
      <w:r w:rsidR="00DD7D5A" w:rsidRPr="00C7332E">
        <w:t>radu,</w:t>
      </w:r>
      <w:r w:rsidR="009E57B0" w:rsidRPr="00C7332E">
        <w:t xml:space="preserve"> za svaku navršenu godinu rada kod toga poslodavca, s ograničenjem na šest prosječ</w:t>
      </w:r>
      <w:r w:rsidR="009E57B0" w:rsidRPr="006C4F67">
        <w:t>nih mjesečnih plaća koje je radnik ostvario u tri mjeseca prije prestanka ugovora o radu, ovo ako to zakonom, kolektivnim ugovorom, pravilnikom o radu ili ugovorom o radu nije određeno</w:t>
      </w:r>
      <w:r w:rsidR="00DD7D5A" w:rsidRPr="006C4F67">
        <w:t xml:space="preserve"> odnosno uređeno na </w:t>
      </w:r>
      <w:r w:rsidR="009E57B0" w:rsidRPr="006C4F67">
        <w:t>dru</w:t>
      </w:r>
      <w:r w:rsidR="00DD7D5A" w:rsidRPr="006C4F67">
        <w:t>gačiji način</w:t>
      </w:r>
      <w:r w:rsidR="009E57B0" w:rsidRPr="006C4F67">
        <w:t xml:space="preserve">. </w:t>
      </w:r>
    </w:p>
    <w:p w:rsidR="00DD7D5A" w:rsidRPr="006C4F67" w:rsidRDefault="00DD7D5A" w:rsidP="00466D80">
      <w:pPr>
        <w:spacing w:line="240" w:lineRule="auto"/>
      </w:pPr>
    </w:p>
    <w:p w:rsidR="009E57B0" w:rsidRPr="00B74757" w:rsidRDefault="00DD7D5A" w:rsidP="00466D80">
      <w:pPr>
        <w:spacing w:line="240" w:lineRule="auto"/>
      </w:pPr>
      <w:r w:rsidRPr="006C4F67">
        <w:t>Kako je i narečeno, donošenjem Zakona o radu 2009. godine, kao i odgovarajućim kasnijim izmjenama i dopunama Zakona o radu, zakonsko uređenje prava na otpremninu nije se mijenjalo</w:t>
      </w:r>
      <w:r w:rsidR="009E57B0" w:rsidRPr="00B74757">
        <w:t>.</w:t>
      </w:r>
    </w:p>
    <w:p w:rsidR="00641867" w:rsidRPr="00B74757" w:rsidRDefault="00641867" w:rsidP="00466D80">
      <w:pPr>
        <w:spacing w:line="240" w:lineRule="auto"/>
      </w:pPr>
    </w:p>
    <w:p w:rsidR="00862215" w:rsidRPr="00D00975" w:rsidRDefault="00CC68D1" w:rsidP="00DC670F">
      <w:pPr>
        <w:pStyle w:val="Heading2"/>
        <w:spacing w:line="240" w:lineRule="auto"/>
      </w:pPr>
      <w:bookmarkStart w:id="14" w:name="_Toc365828832"/>
      <w:r w:rsidRPr="009769E7">
        <w:t>2</w:t>
      </w:r>
      <w:r w:rsidR="00862215" w:rsidRPr="00692DE5">
        <w:t xml:space="preserve">.2. </w:t>
      </w:r>
      <w:r w:rsidR="00380807" w:rsidRPr="00692DE5">
        <w:t>Uređenje otpremnina u o</w:t>
      </w:r>
      <w:r w:rsidR="0082108F" w:rsidRPr="004D0AD5">
        <w:t>dredb</w:t>
      </w:r>
      <w:r w:rsidR="00380807" w:rsidRPr="004D0AD5">
        <w:t>ama</w:t>
      </w:r>
      <w:r w:rsidR="0082108F" w:rsidRPr="00E1401E">
        <w:t xml:space="preserve"> Zakona o radu</w:t>
      </w:r>
      <w:bookmarkEnd w:id="14"/>
      <w:r w:rsidR="003A0896" w:rsidRPr="00D00975">
        <w:t xml:space="preserve"> </w:t>
      </w:r>
    </w:p>
    <w:p w:rsidR="00862215" w:rsidRPr="00D00975" w:rsidRDefault="00862215" w:rsidP="00466D80">
      <w:pPr>
        <w:spacing w:line="240" w:lineRule="auto"/>
      </w:pPr>
    </w:p>
    <w:p w:rsidR="00672F8D" w:rsidRPr="00B4742D" w:rsidRDefault="00AE306F" w:rsidP="00466D80">
      <w:pPr>
        <w:spacing w:line="240" w:lineRule="auto"/>
      </w:pPr>
      <w:r w:rsidRPr="008B2ED7">
        <w:t xml:space="preserve">Sustav otpremnina, pravo na otpremninu i otpremnine same, </w:t>
      </w:r>
      <w:r w:rsidR="005435F5" w:rsidRPr="008B2ED7">
        <w:t xml:space="preserve">uređeni su, u Zakonu o radu, </w:t>
      </w:r>
      <w:r w:rsidRPr="008B2ED7">
        <w:t xml:space="preserve">u </w:t>
      </w:r>
      <w:r w:rsidR="005435F5" w:rsidRPr="008B2ED7">
        <w:t>Glav</w:t>
      </w:r>
      <w:r w:rsidRPr="007544D9">
        <w:t>i</w:t>
      </w:r>
      <w:r w:rsidR="005435F5" w:rsidRPr="007544D9">
        <w:t xml:space="preserve"> XI</w:t>
      </w:r>
      <w:r w:rsidRPr="00B4742D">
        <w:t>V</w:t>
      </w:r>
      <w:r w:rsidR="005435F5" w:rsidRPr="00B4742D">
        <w:t>. “</w:t>
      </w:r>
      <w:r w:rsidRPr="00B4742D">
        <w:t>Prestanak ugovora o radu</w:t>
      </w:r>
      <w:r w:rsidR="005435F5" w:rsidRPr="00B4742D">
        <w:t>”</w:t>
      </w:r>
      <w:r w:rsidRPr="00B4742D">
        <w:t>, odredbama</w:t>
      </w:r>
      <w:r w:rsidR="0028745A" w:rsidRPr="00B4742D">
        <w:t xml:space="preserve"> </w:t>
      </w:r>
      <w:r w:rsidRPr="00B4742D">
        <w:t>tri stavka članka 119. “Otpremnina”</w:t>
      </w:r>
      <w:r w:rsidR="005435F5" w:rsidRPr="00B4742D">
        <w:t xml:space="preserve">. </w:t>
      </w:r>
    </w:p>
    <w:p w:rsidR="00473031" w:rsidRPr="00B4742D" w:rsidRDefault="00473031" w:rsidP="00466D80">
      <w:pPr>
        <w:spacing w:line="240" w:lineRule="auto"/>
      </w:pPr>
    </w:p>
    <w:p w:rsidR="00F33152" w:rsidRPr="00C7332E" w:rsidRDefault="007C4F28" w:rsidP="00466D80">
      <w:pPr>
        <w:spacing w:line="240" w:lineRule="auto"/>
      </w:pPr>
      <w:r w:rsidRPr="00B4742D">
        <w:tab/>
      </w:r>
      <w:r w:rsidR="00AE306F" w:rsidRPr="00B4742D">
        <w:t>Prvim stavkom članka 119. Zakon o radu</w:t>
      </w:r>
      <w:r w:rsidRPr="00B4742D">
        <w:t xml:space="preserve"> predvi</w:t>
      </w:r>
      <w:r w:rsidR="00DF3A80" w:rsidRPr="00B4742D">
        <w:t>đ</w:t>
      </w:r>
      <w:r w:rsidR="009D5FC6" w:rsidRPr="00B4742D">
        <w:t>ena je isplata</w:t>
      </w:r>
      <w:r w:rsidRPr="00B4742D">
        <w:t xml:space="preserve"> otpremnine radniku kojem poslodavac otkazuje nakon dvije godine neprekidnog rada, osim ako </w:t>
      </w:r>
      <w:r w:rsidR="009D5FC6" w:rsidRPr="00B4742D">
        <w:t xml:space="preserve">se ugovor o radu </w:t>
      </w:r>
      <w:r w:rsidRPr="00B4742D">
        <w:t xml:space="preserve">otkazuje iz razloga uvjetovanih ponašanjem radnika. Dakle, pravo na otpremninu </w:t>
      </w:r>
      <w:r w:rsidR="009D5FC6" w:rsidRPr="00B4742D">
        <w:t xml:space="preserve">pripada </w:t>
      </w:r>
      <w:r w:rsidRPr="00B4742D">
        <w:t>radnici</w:t>
      </w:r>
      <w:r w:rsidR="009D5FC6" w:rsidRPr="00B4742D">
        <w:t>ma</w:t>
      </w:r>
      <w:r w:rsidR="00C7332E">
        <w:t xml:space="preserve"> koji kumulativno ispunjavaju pretpostavku neprekidnog dvogodišnjeg trajanja radnog odnosa i</w:t>
      </w:r>
      <w:r w:rsidRPr="00C7332E">
        <w:t xml:space="preserve"> kojima poslodavac </w:t>
      </w:r>
      <w:r w:rsidR="009D5FC6" w:rsidRPr="00C7332E">
        <w:t xml:space="preserve">ugovor o radu okončava </w:t>
      </w:r>
      <w:r w:rsidRPr="00C7332E">
        <w:t>poslovno ili osobno uvjetovani</w:t>
      </w:r>
      <w:r w:rsidR="009D5FC6" w:rsidRPr="00C7332E">
        <w:t>m</w:t>
      </w:r>
      <w:r w:rsidRPr="00C7332E">
        <w:t xml:space="preserve"> redoviti</w:t>
      </w:r>
      <w:r w:rsidR="009D5FC6" w:rsidRPr="00C7332E">
        <w:t>m</w:t>
      </w:r>
      <w:r w:rsidRPr="00C7332E">
        <w:t xml:space="preserve"> otkaz</w:t>
      </w:r>
      <w:r w:rsidR="009D5FC6" w:rsidRPr="00C7332E">
        <w:t>om ugovora o radu, dok to p</w:t>
      </w:r>
      <w:r w:rsidRPr="00C7332E">
        <w:t>ravo nemaju radnici kojima je otkaz</w:t>
      </w:r>
      <w:r w:rsidR="009D5FC6" w:rsidRPr="00C7332E">
        <w:t xml:space="preserve"> ugovora o radu</w:t>
      </w:r>
      <w:r w:rsidRPr="00C7332E">
        <w:t xml:space="preserve"> uvjetovan</w:t>
      </w:r>
      <w:r w:rsidR="009D5FC6" w:rsidRPr="00C7332E">
        <w:t xml:space="preserve"> njihovim</w:t>
      </w:r>
      <w:r w:rsidRPr="00C7332E">
        <w:t xml:space="preserve"> skrivljenim ponašanjem, niti radnici kojima je zbog njihovog ponašanja</w:t>
      </w:r>
      <w:r w:rsidR="009D5FC6" w:rsidRPr="00C7332E">
        <w:t>, teške povrede obveza iz radnog odnosa,</w:t>
      </w:r>
      <w:r w:rsidRPr="00C7332E">
        <w:t xml:space="preserve"> izvanredn</w:t>
      </w:r>
      <w:r w:rsidR="009D5FC6" w:rsidRPr="00C7332E">
        <w:t>o</w:t>
      </w:r>
      <w:r w:rsidRPr="00C7332E">
        <w:t xml:space="preserve"> otkaz</w:t>
      </w:r>
      <w:r w:rsidR="006D190D" w:rsidRPr="00C7332E">
        <w:t>a</w:t>
      </w:r>
      <w:r w:rsidR="009D5FC6" w:rsidRPr="00C7332E">
        <w:t>n ugovor</w:t>
      </w:r>
      <w:r w:rsidRPr="00C7332E">
        <w:t xml:space="preserve"> o radu.</w:t>
      </w:r>
      <w:r w:rsidR="00C205E4" w:rsidRPr="00C7332E">
        <w:t xml:space="preserve"> To pravo, također, na pripada niti radnicima kojima ugovor o radu prestaje sudskim raskidom.</w:t>
      </w:r>
      <w:r w:rsidR="00B43D42" w:rsidRPr="00B4742D">
        <w:rPr>
          <w:rStyle w:val="FootnoteReference"/>
        </w:rPr>
        <w:footnoteReference w:id="43"/>
      </w:r>
      <w:r w:rsidRPr="00B4742D">
        <w:t xml:space="preserve"> </w:t>
      </w:r>
      <w:r w:rsidR="006D190D" w:rsidRPr="00FE70C5">
        <w:rPr>
          <w:i/>
        </w:rPr>
        <w:t>A</w:t>
      </w:r>
      <w:r w:rsidR="006D190D" w:rsidRPr="00B4742D">
        <w:rPr>
          <w:i/>
        </w:rPr>
        <w:t>rgumento a</w:t>
      </w:r>
      <w:r w:rsidR="006D190D" w:rsidRPr="00FE70C5">
        <w:rPr>
          <w:i/>
        </w:rPr>
        <w:t xml:space="preserve"> contrario</w:t>
      </w:r>
      <w:r w:rsidR="006D190D" w:rsidRPr="00B4742D">
        <w:t xml:space="preserve"> potonjem</w:t>
      </w:r>
      <w:r w:rsidR="00F33152" w:rsidRPr="00B4742D">
        <w:t>,</w:t>
      </w:r>
      <w:r w:rsidR="006D190D" w:rsidRPr="00B4742D">
        <w:t xml:space="preserve"> pravo na </w:t>
      </w:r>
      <w:r w:rsidR="006D190D" w:rsidRPr="00B4742D">
        <w:lastRenderedPageBreak/>
        <w:t>otpremninu pripadalo bi i</w:t>
      </w:r>
      <w:r w:rsidRPr="00B4742D">
        <w:t xml:space="preserve"> radnik</w:t>
      </w:r>
      <w:r w:rsidR="006D190D" w:rsidRPr="002017C6">
        <w:t>u</w:t>
      </w:r>
      <w:r w:rsidRPr="002017C6">
        <w:t xml:space="preserve"> kojem je poslodavac izvanredno otkazao ugovor o radu zbog </w:t>
      </w:r>
      <w:r w:rsidR="006D190D" w:rsidRPr="002017C6">
        <w:t>“neke druge osobito važne činjenice”</w:t>
      </w:r>
      <w:r w:rsidR="00F33152" w:rsidRPr="002017C6">
        <w:t xml:space="preserve"> kada niti “uz uvažavanje svih okolnosti i interesa obiju ugovornih stranaka, nastavak radn</w:t>
      </w:r>
      <w:r w:rsidR="00B43D42" w:rsidRPr="002017C6">
        <w:t>o</w:t>
      </w:r>
      <w:r w:rsidR="00F33152" w:rsidRPr="00EB67A0">
        <w:t>g odnosa nije moguć”.</w:t>
      </w:r>
      <w:r w:rsidR="006D190D" w:rsidRPr="00FE70C5">
        <w:t xml:space="preserve"> </w:t>
      </w:r>
      <w:r w:rsidR="00F33152" w:rsidRPr="00FE70C5">
        <w:t xml:space="preserve">Naime, kako se radi o okolnostima izvan utjecaja </w:t>
      </w:r>
      <w:r w:rsidRPr="009336BF">
        <w:t>radnik</w:t>
      </w:r>
      <w:r w:rsidR="00F33152" w:rsidRPr="009336BF">
        <w:t>a</w:t>
      </w:r>
      <w:r w:rsidRPr="009336BF">
        <w:t xml:space="preserve"> i</w:t>
      </w:r>
      <w:r w:rsidR="00F33152" w:rsidRPr="00C7332E">
        <w:t>li njegove</w:t>
      </w:r>
      <w:r w:rsidRPr="00C7332E">
        <w:t xml:space="preserve"> odgovornosti</w:t>
      </w:r>
      <w:r w:rsidR="00F33152" w:rsidRPr="00C7332E">
        <w:t>, tu nema isključenja prava na otpremninu zbog uvjetovanosti ponašanjem radnika</w:t>
      </w:r>
      <w:r w:rsidRPr="00C7332E">
        <w:t xml:space="preserve">. </w:t>
      </w:r>
    </w:p>
    <w:p w:rsidR="00F33152" w:rsidRDefault="00F33152" w:rsidP="00466D80">
      <w:pPr>
        <w:spacing w:line="240" w:lineRule="auto"/>
      </w:pPr>
    </w:p>
    <w:p w:rsidR="00C7332E" w:rsidRPr="00C7332E" w:rsidRDefault="00C7332E" w:rsidP="00C7332E">
      <w:pPr>
        <w:spacing w:line="240" w:lineRule="auto"/>
      </w:pPr>
      <w:r w:rsidRPr="00C7332E">
        <w:t xml:space="preserve">Iz zakonskog uređenja prava na otpremninu posredno su isključene osobe iz odredbe članka 2. </w:t>
      </w:r>
      <w:r w:rsidR="00B74757">
        <w:t>s</w:t>
      </w:r>
      <w:r w:rsidRPr="00C7332E">
        <w:t xml:space="preserve">tavka 3. Zakona o radu. Naime, </w:t>
      </w:r>
      <w:r>
        <w:t>f</w:t>
      </w:r>
      <w:r w:rsidRPr="00C7332E">
        <w:t>izička osoba koja je kao član uprave, izvršni direktor ili u drugom svojstvu prema posebnom zakonu, pojedinačno i samostalno ili zajedno i skupno, ovlaštena voditi poslove poslodavca, može</w:t>
      </w:r>
      <w:r>
        <w:t xml:space="preserve"> – ali i ne mora – kao </w:t>
      </w:r>
      <w:r w:rsidRPr="00C7332E">
        <w:t>radnik u radnom odnosu obavljati</w:t>
      </w:r>
      <w:r>
        <w:t xml:space="preserve"> određene poslove za poslodavca, a ako te poslove obavlja u radnom odnosu na nju se ne </w:t>
      </w:r>
      <w:r w:rsidRPr="00C7332E">
        <w:t>primjenjuju odredbe Zakona</w:t>
      </w:r>
      <w:r>
        <w:t xml:space="preserve"> o radu</w:t>
      </w:r>
      <w:r w:rsidRPr="00C7332E">
        <w:t xml:space="preserve"> o prestanku ugovora o radu</w:t>
      </w:r>
      <w:r>
        <w:t>, pa ni ona o pravu na otpremninu.</w:t>
      </w:r>
      <w:r>
        <w:rPr>
          <w:rStyle w:val="FootnoteReference"/>
        </w:rPr>
        <w:footnoteReference w:id="44"/>
      </w:r>
      <w:r>
        <w:t xml:space="preserve"> Slijedom ovog uređenja otpremnine za ovu katogoriju radnika, “menadžera”, pravo na otpremninu sasvim je autonomno ugovorive, obveznopravne, naravi.</w:t>
      </w:r>
    </w:p>
    <w:p w:rsidR="00C7332E" w:rsidRPr="00C7332E" w:rsidRDefault="00C7332E" w:rsidP="00466D80">
      <w:pPr>
        <w:spacing w:line="240" w:lineRule="auto"/>
      </w:pPr>
    </w:p>
    <w:p w:rsidR="00AA649E" w:rsidRPr="00C7332E" w:rsidRDefault="00F33152" w:rsidP="00466D80">
      <w:pPr>
        <w:spacing w:line="240" w:lineRule="auto"/>
      </w:pPr>
      <w:r w:rsidRPr="00C7332E">
        <w:t>Uz utvrđenje razloga za otkaz ugovora o radu, u</w:t>
      </w:r>
      <w:r w:rsidR="007C4F28" w:rsidRPr="00C7332E">
        <w:t>vjet za stjecanje prava na otpremninu je</w:t>
      </w:r>
      <w:r w:rsidRPr="00C7332E">
        <w:t>st i</w:t>
      </w:r>
      <w:r w:rsidR="007C4F28" w:rsidRPr="00C7332E">
        <w:t xml:space="preserve"> prethodno nepreki</w:t>
      </w:r>
      <w:r w:rsidRPr="006C4F67">
        <w:t>dno</w:t>
      </w:r>
      <w:r w:rsidR="007C4F28" w:rsidRPr="006C4F67">
        <w:t xml:space="preserve"> trajanje </w:t>
      </w:r>
      <w:r w:rsidR="008E28FF" w:rsidRPr="006C4F67">
        <w:t xml:space="preserve">konkretnog </w:t>
      </w:r>
      <w:r w:rsidR="007C4F28" w:rsidRPr="006C4F67">
        <w:t xml:space="preserve">radnog odnosa </w:t>
      </w:r>
      <w:r w:rsidR="008E28FF" w:rsidRPr="006C4F67">
        <w:t xml:space="preserve">u trajanju </w:t>
      </w:r>
      <w:r w:rsidR="007C4F28" w:rsidRPr="006C4F67">
        <w:t>od najmanje dvije godine.</w:t>
      </w:r>
      <w:r w:rsidR="00AA649E" w:rsidRPr="006C4F67">
        <w:t xml:space="preserve"> Istom se i iznos odnosno</w:t>
      </w:r>
      <w:r w:rsidR="007C4F28" w:rsidRPr="006C4F67">
        <w:t xml:space="preserve"> visina otpremnine određuje s obzirom na dužinu prethodnoga nepr</w:t>
      </w:r>
      <w:r w:rsidR="00AA649E" w:rsidRPr="006C4F67">
        <w:t xml:space="preserve">ekidnoga trajanja radnog odnosa. Odredbom članka 119. stavka 2. Zakona o radu utvrđen je i najniži </w:t>
      </w:r>
      <w:r w:rsidR="007C4F28" w:rsidRPr="00B74757">
        <w:t xml:space="preserve">iznos </w:t>
      </w:r>
      <w:r w:rsidR="00AA649E" w:rsidRPr="00B74757">
        <w:t xml:space="preserve">zakonske </w:t>
      </w:r>
      <w:r w:rsidR="007C4F28" w:rsidRPr="00B74757">
        <w:t xml:space="preserve">otpremnine </w:t>
      </w:r>
      <w:r w:rsidR="00AA649E" w:rsidRPr="00B74757">
        <w:t>na način da se ona ne smije ugovoriti</w:t>
      </w:r>
      <w:r w:rsidR="007C4F28" w:rsidRPr="00B74757">
        <w:t xml:space="preserve"> odnosno odrediti u iznosu manjem od jedne trećine p</w:t>
      </w:r>
      <w:r w:rsidR="00AA649E" w:rsidRPr="00B74757">
        <w:t>rosječne mjesečne plaće,</w:t>
      </w:r>
      <w:r w:rsidR="007C4F28" w:rsidRPr="009769E7">
        <w:t xml:space="preserve"> koju je radnik ostvario u tri mjeseca prije prestanka ugovora o radu, za svaku navršenu godinu rada kod toga poslodavca.</w:t>
      </w:r>
      <w:r w:rsidR="007C4F28" w:rsidRPr="00B4742D">
        <w:rPr>
          <w:vertAlign w:val="superscript"/>
        </w:rPr>
        <w:footnoteReference w:id="45"/>
      </w:r>
      <w:r w:rsidR="007C4F28" w:rsidRPr="00B4742D">
        <w:t xml:space="preserve"> Dakle, </w:t>
      </w:r>
      <w:r w:rsidR="00AA649E" w:rsidRPr="00B4742D">
        <w:t xml:space="preserve">najniži </w:t>
      </w:r>
      <w:r w:rsidR="007C4F28" w:rsidRPr="00B4742D">
        <w:t xml:space="preserve">iznos otpremnine </w:t>
      </w:r>
      <w:r w:rsidR="00AA649E" w:rsidRPr="002017C6">
        <w:t xml:space="preserve">prema Zakonu o radu </w:t>
      </w:r>
      <w:r w:rsidR="007C4F28" w:rsidRPr="002017C6">
        <w:t>izračunava se</w:t>
      </w:r>
      <w:r w:rsidR="00AA649E" w:rsidRPr="002017C6">
        <w:t xml:space="preserve"> kao</w:t>
      </w:r>
      <w:r w:rsidR="007C4F28" w:rsidRPr="002017C6">
        <w:t xml:space="preserve"> </w:t>
      </w:r>
      <w:r w:rsidR="00AA649E" w:rsidRPr="002017C6">
        <w:t>um</w:t>
      </w:r>
      <w:r w:rsidR="007C4F28" w:rsidRPr="00EB67A0">
        <w:t>no</w:t>
      </w:r>
      <w:r w:rsidR="00AA649E" w:rsidRPr="00FE70C5">
        <w:t>žak</w:t>
      </w:r>
      <w:r w:rsidR="007C4F28" w:rsidRPr="00FE70C5">
        <w:t xml:space="preserve"> jedne trećine radnikove prosječne mjesečne plaće ostvarene u tri mjeseca pri</w:t>
      </w:r>
      <w:r w:rsidR="007C4F28" w:rsidRPr="009336BF">
        <w:t xml:space="preserve">je otkaza </w:t>
      </w:r>
      <w:r w:rsidR="00AA649E" w:rsidRPr="009336BF">
        <w:t xml:space="preserve">i broja </w:t>
      </w:r>
      <w:r w:rsidR="007C4F28" w:rsidRPr="009336BF">
        <w:t>navršeni</w:t>
      </w:r>
      <w:r w:rsidR="00AA649E" w:rsidRPr="00C7332E">
        <w:t>h</w:t>
      </w:r>
      <w:r w:rsidR="007C4F28" w:rsidRPr="00C7332E">
        <w:t xml:space="preserve"> godina neprekinutog staža</w:t>
      </w:r>
      <w:r w:rsidR="00AA649E" w:rsidRPr="00C7332E">
        <w:t xml:space="preserve"> radnika</w:t>
      </w:r>
      <w:r w:rsidR="007C4F28" w:rsidRPr="00C7332E">
        <w:t xml:space="preserve"> kod </w:t>
      </w:r>
      <w:r w:rsidR="00AA649E" w:rsidRPr="00C7332E">
        <w:t xml:space="preserve">konkretnog </w:t>
      </w:r>
      <w:r w:rsidR="007C4F28" w:rsidRPr="00C7332E">
        <w:t xml:space="preserve">poslodavca. </w:t>
      </w:r>
    </w:p>
    <w:p w:rsidR="00AA649E" w:rsidRPr="00C7332E" w:rsidRDefault="00AA649E" w:rsidP="00466D80">
      <w:pPr>
        <w:spacing w:line="240" w:lineRule="auto"/>
      </w:pPr>
    </w:p>
    <w:p w:rsidR="00527038" w:rsidRPr="00B4742D" w:rsidRDefault="00AA649E" w:rsidP="00466D80">
      <w:pPr>
        <w:spacing w:line="240" w:lineRule="auto"/>
      </w:pPr>
      <w:r w:rsidRPr="00C7332E">
        <w:t xml:space="preserve">Osim što se </w:t>
      </w:r>
      <w:r w:rsidR="007C4F28" w:rsidRPr="00C7332E">
        <w:t>određ</w:t>
      </w:r>
      <w:r w:rsidRPr="00C7332E">
        <w:t xml:space="preserve">uje </w:t>
      </w:r>
      <w:r w:rsidR="007C4F28" w:rsidRPr="00C7332E">
        <w:t>najniž</w:t>
      </w:r>
      <w:r w:rsidRPr="00C7332E">
        <w:t>i</w:t>
      </w:r>
      <w:r w:rsidR="007C4F28" w:rsidRPr="00C7332E">
        <w:t xml:space="preserve"> iznos otpremnine, </w:t>
      </w:r>
      <w:r w:rsidRPr="00C7332E">
        <w:t xml:space="preserve">Zakonom o radu određuje se i najviši iznos </w:t>
      </w:r>
      <w:r w:rsidR="007C4F28" w:rsidRPr="006C4F67">
        <w:t xml:space="preserve">otpremnine. Naime, ako se otpremnina određuje samo na temelju </w:t>
      </w:r>
      <w:r w:rsidR="00D262AD" w:rsidRPr="006C4F67">
        <w:t xml:space="preserve">zakonskih </w:t>
      </w:r>
      <w:r w:rsidR="007C4F28" w:rsidRPr="006C4F67">
        <w:t xml:space="preserve">odredbi, </w:t>
      </w:r>
      <w:r w:rsidR="00D262AD" w:rsidRPr="006C4F67">
        <w:t xml:space="preserve">ona </w:t>
      </w:r>
      <w:r w:rsidR="007C4F28" w:rsidRPr="006C4F67">
        <w:t xml:space="preserve">ne </w:t>
      </w:r>
      <w:r w:rsidR="00D262AD" w:rsidRPr="006C4F67">
        <w:t xml:space="preserve">može </w:t>
      </w:r>
      <w:r w:rsidR="007C4F28" w:rsidRPr="006C4F67">
        <w:t>biti</w:t>
      </w:r>
      <w:r w:rsidR="00D262AD" w:rsidRPr="006C4F67">
        <w:t xml:space="preserve"> u iznosu </w:t>
      </w:r>
      <w:r w:rsidR="007C4F28" w:rsidRPr="006C4F67">
        <w:t>već</w:t>
      </w:r>
      <w:r w:rsidR="00D262AD" w:rsidRPr="00B74757">
        <w:t>em</w:t>
      </w:r>
      <w:r w:rsidR="007C4F28" w:rsidRPr="00B74757">
        <w:t xml:space="preserve"> od šest prosječnih mjesečnih plaća koje je radnik ostvario u tri mjeseca prije prestanka ugovora o radu. </w:t>
      </w:r>
      <w:r w:rsidR="00C601A0" w:rsidRPr="00B74757">
        <w:t>Ova je odredba</w:t>
      </w:r>
      <w:r w:rsidR="00D262AD" w:rsidRPr="009769E7">
        <w:t xml:space="preserve"> članka 119. stavka 3. Zakona o radu samo</w:t>
      </w:r>
      <w:r w:rsidR="007C4F28" w:rsidRPr="009769E7">
        <w:t xml:space="preserve"> relativno kogentne naravi jer </w:t>
      </w:r>
      <w:r w:rsidR="00D262AD" w:rsidRPr="00E1401E">
        <w:t xml:space="preserve">predviđa da se nekim drugim </w:t>
      </w:r>
      <w:r w:rsidR="007C4F28" w:rsidRPr="00D00975">
        <w:t>zakonom</w:t>
      </w:r>
      <w:r w:rsidR="00D262AD" w:rsidRPr="00D00975">
        <w:t>,</w:t>
      </w:r>
      <w:r w:rsidR="007C4F28" w:rsidRPr="00D00975">
        <w:t xml:space="preserve"> kolektivn</w:t>
      </w:r>
      <w:r w:rsidR="007C4F28" w:rsidRPr="008B2ED7">
        <w:t>im ugovorom, pravilnikom o radu ili ugovorom o radu otpremnina</w:t>
      </w:r>
      <w:r w:rsidR="00C601A0" w:rsidRPr="008B2ED7">
        <w:t xml:space="preserve"> može i drugačije urediti</w:t>
      </w:r>
      <w:r w:rsidR="007C4F28" w:rsidRPr="008B2ED7">
        <w:t>.</w:t>
      </w:r>
      <w:r w:rsidR="00527038" w:rsidRPr="007544D9">
        <w:t xml:space="preserve"> U potonjem se slučaju </w:t>
      </w:r>
      <w:r w:rsidR="00C601A0" w:rsidRPr="007544D9">
        <w:t>otpremnina</w:t>
      </w:r>
      <w:r w:rsidR="00527038" w:rsidRPr="00B4742D">
        <w:t xml:space="preserve"> može ugovoriti, odnosno utvrditi, </w:t>
      </w:r>
      <w:r w:rsidR="00C601A0" w:rsidRPr="00B4742D">
        <w:t>p</w:t>
      </w:r>
      <w:r w:rsidR="00527038" w:rsidRPr="00B4742D">
        <w:t>od povoljnijim uvjetima odnosno u iznosu višem od zakonskog. Kada se pravo na otpremninu ugovori odnosno utvrdi za slučaj odlaska u mirovinu, tada</w:t>
      </w:r>
      <w:r w:rsidR="0028745A" w:rsidRPr="00B4742D">
        <w:t xml:space="preserve"> </w:t>
      </w:r>
      <w:r w:rsidR="00527038" w:rsidRPr="00B4742D">
        <w:t>se</w:t>
      </w:r>
      <w:r w:rsidR="0028745A" w:rsidRPr="00B4742D">
        <w:t xml:space="preserve"> </w:t>
      </w:r>
      <w:r w:rsidR="00527038" w:rsidRPr="00B4742D">
        <w:t>to ne smatra pravom iz Zakona o radu, već pravom iz kolektivnog ugovora, pravilnika o radu ili ugovora o radu, obzirom za taj slučaj Zakon o radu ne predviđa pravo na otpremninu.</w:t>
      </w:r>
    </w:p>
    <w:p w:rsidR="00527038" w:rsidRPr="00B4742D" w:rsidRDefault="00527038" w:rsidP="00466D80">
      <w:pPr>
        <w:spacing w:line="240" w:lineRule="auto"/>
      </w:pPr>
    </w:p>
    <w:p w:rsidR="00686775" w:rsidRPr="00C7332E" w:rsidRDefault="00D262AD" w:rsidP="00466D80">
      <w:pPr>
        <w:spacing w:line="240" w:lineRule="auto"/>
      </w:pPr>
      <w:r w:rsidRPr="00B4742D">
        <w:lastRenderedPageBreak/>
        <w:t xml:space="preserve">Zakonom o radu, odredbama članka 80., za posebno zaštićene skupine radnika koji su pretrpjeli ozljedu na radu odnosno su oboljeli od profesionalne bolesti </w:t>
      </w:r>
      <w:r w:rsidR="0094345A" w:rsidRPr="00B4742D">
        <w:t>iznimno je</w:t>
      </w:r>
      <w:r w:rsidR="00686775" w:rsidRPr="00B4742D">
        <w:t>, pod određenim uvjetima,</w:t>
      </w:r>
      <w:r w:rsidR="0094345A" w:rsidRPr="00B4742D">
        <w:t xml:space="preserve"> </w:t>
      </w:r>
      <w:r w:rsidRPr="00B4742D">
        <w:t>utvrđeno pravo na otpremninu najmanje u dvostrukom iznosu u odnosu na iznos otpremnine koji bi im inače pripadao.</w:t>
      </w:r>
      <w:r w:rsidR="00686775" w:rsidRPr="00B4742D">
        <w:t xml:space="preserve"> Radi se o radnicima koje poslodavac, nakon završenog liječenja i oporavka, ne može vratiti na rad, odnosno ne može</w:t>
      </w:r>
      <w:r w:rsidR="0028745A" w:rsidRPr="00B4742D">
        <w:t xml:space="preserve"> </w:t>
      </w:r>
      <w:r w:rsidR="00686775" w:rsidRPr="00B4742D">
        <w:t>im ponuditi ugovor o radu za rad niti na drugim poslovima, pa će im otkazati redovitim, osobno uvjetovanim, otkazom ugovora o radu, nakon prethodno provedenog postupka.</w:t>
      </w:r>
      <w:r w:rsidR="00C7332E">
        <w:rPr>
          <w:rStyle w:val="FootnoteReference"/>
        </w:rPr>
        <w:footnoteReference w:id="46"/>
      </w:r>
    </w:p>
    <w:p w:rsidR="00686775" w:rsidRPr="00C7332E" w:rsidRDefault="00686775" w:rsidP="00466D80">
      <w:pPr>
        <w:spacing w:line="240" w:lineRule="auto"/>
      </w:pPr>
    </w:p>
    <w:p w:rsidR="00EA04DC" w:rsidRPr="006C4F67" w:rsidRDefault="00EA04DC" w:rsidP="00EA04DC">
      <w:pPr>
        <w:spacing w:line="240" w:lineRule="auto"/>
      </w:pPr>
      <w:r w:rsidRPr="00C7332E">
        <w:t xml:space="preserve">Pravo na otpremninu može se utvrditi i programom zbrinjavanja viška radnika. Tu se radnicima može priznati pravo na otpremninu pod povoljnijim uvjetima i u višem iznosu od iznosa određenog odredbama članka 119. Zakona o radu. Program zbrinjavanja viška radnika donosi se kao jednostrani akt poslodavca, no u njegovom donošenju može sudjelovati i </w:t>
      </w:r>
      <w:r w:rsidR="0028745A" w:rsidRPr="006C4F67">
        <w:t>predstavnik</w:t>
      </w:r>
      <w:r w:rsidRPr="006C4F67">
        <w:t xml:space="preserve"> radnika pa </w:t>
      </w:r>
      <w:r w:rsidR="0028745A" w:rsidRPr="006C4F67">
        <w:t xml:space="preserve">navedeni program </w:t>
      </w:r>
      <w:r w:rsidRPr="006C4F67">
        <w:t>može imati i oblik kolektivnog ugovora ili sporazuma poslodavca s radničkim vijećem.</w:t>
      </w:r>
    </w:p>
    <w:p w:rsidR="00EA04DC" w:rsidRPr="006C4F67" w:rsidRDefault="00EA04DC" w:rsidP="00EA04DC">
      <w:pPr>
        <w:spacing w:line="240" w:lineRule="auto"/>
      </w:pPr>
    </w:p>
    <w:p w:rsidR="00EA04DC" w:rsidRPr="009336BF" w:rsidRDefault="00EA04DC" w:rsidP="00EA04DC">
      <w:pPr>
        <w:spacing w:line="240" w:lineRule="auto"/>
      </w:pPr>
      <w:r w:rsidRPr="00B74757">
        <w:t>U poslodavčevoj odluci o otkazu ugovora o radu može se, no ne mora, utvrditi pravo na otpremninu niti odrediti iznos otpremnine.</w:t>
      </w:r>
      <w:r w:rsidRPr="00B4742D">
        <w:rPr>
          <w:vertAlign w:val="superscript"/>
        </w:rPr>
        <w:footnoteReference w:id="47"/>
      </w:r>
      <w:r w:rsidRPr="00B4742D">
        <w:t xml:space="preserve"> Obveza isplate otpremnine dospijeva posljednjeg dana radnog odnosa. Činjenica da bi radnik, na zahtjev ili odlukom poslodavca presta</w:t>
      </w:r>
      <w:r w:rsidRPr="002017C6">
        <w:t xml:space="preserve">o raditi prije isteka zakonskog ili ugovorenog otkaznog roka, ne utječe </w:t>
      </w:r>
      <w:r w:rsidRPr="00EB67A0">
        <w:t>na postojanje prava na otpremninu, a također kada je za stjecanje ili određivanje visine otpremnine važno razdoblje prethodnog trajanja radnog od</w:t>
      </w:r>
      <w:r w:rsidRPr="009336BF">
        <w:t xml:space="preserve">nosa, u to se razdoblje uračunava razdoblje otkaznog roka i plaća ostvarena tijekom otkaznog roka. </w:t>
      </w:r>
    </w:p>
    <w:p w:rsidR="00EA04DC" w:rsidRDefault="00EA04DC" w:rsidP="00EA04DC">
      <w:pPr>
        <w:spacing w:line="240" w:lineRule="auto"/>
      </w:pPr>
    </w:p>
    <w:p w:rsidR="009769E7" w:rsidRDefault="009769E7" w:rsidP="00EA04DC">
      <w:pPr>
        <w:spacing w:line="240" w:lineRule="auto"/>
      </w:pPr>
      <w:r>
        <w:t>Dospjeće prava na otpremninu jest danom prestanka ugovora o radu, odnosno radnog odnosa, a za slučajeve kada postoji pravo na otpremninu to je ponajčešće istek otkaznog roka, osim ako stranke ne bi ugovorile neki kasniji datum dospjeća.</w:t>
      </w:r>
      <w:r>
        <w:rPr>
          <w:rStyle w:val="FootnoteReference"/>
        </w:rPr>
        <w:footnoteReference w:id="48"/>
      </w:r>
      <w:r>
        <w:t xml:space="preserve"> Od toga dana kreće i trogodišnje zastarjevanje ostvarenja ispunjenja obveze poslodavca koja proizlazi iz radnikova prava na otpremninu. </w:t>
      </w:r>
    </w:p>
    <w:p w:rsidR="009769E7" w:rsidRPr="009336BF" w:rsidRDefault="009769E7" w:rsidP="00EA04DC">
      <w:pPr>
        <w:spacing w:line="240" w:lineRule="auto"/>
      </w:pPr>
    </w:p>
    <w:p w:rsidR="00686775" w:rsidRPr="00C7332E" w:rsidRDefault="00FC71B0" w:rsidP="00466D80">
      <w:pPr>
        <w:spacing w:line="240" w:lineRule="auto"/>
      </w:pPr>
      <w:r w:rsidRPr="00C7332E">
        <w:t xml:space="preserve">U svezi s dosadašnjim uređenjem prava na otpremninu u praksi su se pojavila </w:t>
      </w:r>
      <w:r w:rsidR="00527038" w:rsidRPr="00C7332E">
        <w:t>n</w:t>
      </w:r>
      <w:r w:rsidRPr="00C7332E">
        <w:t>eka pitanja</w:t>
      </w:r>
      <w:r w:rsidR="00686775" w:rsidRPr="00C7332E">
        <w:t xml:space="preserve"> i nejasnoće</w:t>
      </w:r>
      <w:r w:rsidRPr="00C7332E">
        <w:t xml:space="preserve">. </w:t>
      </w:r>
    </w:p>
    <w:p w:rsidR="00686775" w:rsidRPr="00C7332E" w:rsidRDefault="00686775" w:rsidP="00466D80">
      <w:pPr>
        <w:spacing w:line="240" w:lineRule="auto"/>
      </w:pPr>
    </w:p>
    <w:p w:rsidR="004963FD" w:rsidRPr="00B4742D" w:rsidRDefault="00FC71B0" w:rsidP="00466D80">
      <w:pPr>
        <w:spacing w:line="240" w:lineRule="auto"/>
      </w:pPr>
      <w:r w:rsidRPr="006C4F67">
        <w:t xml:space="preserve">Tako </w:t>
      </w:r>
      <w:r w:rsidR="00686775" w:rsidRPr="006C4F67">
        <w:t xml:space="preserve">se spornim pokazalo pitanje </w:t>
      </w:r>
      <w:r w:rsidRPr="006C4F67">
        <w:t>prav</w:t>
      </w:r>
      <w:r w:rsidR="00686775" w:rsidRPr="006C4F67">
        <w:t>a</w:t>
      </w:r>
      <w:r w:rsidRPr="006C4F67">
        <w:t xml:space="preserve"> na </w:t>
      </w:r>
      <w:r w:rsidR="007C4F28" w:rsidRPr="006C4F67">
        <w:t>otpremnin</w:t>
      </w:r>
      <w:r w:rsidRPr="006C4F67">
        <w:t xml:space="preserve">u </w:t>
      </w:r>
      <w:r w:rsidR="007C4F28" w:rsidRPr="006C4F67">
        <w:t xml:space="preserve">kod </w:t>
      </w:r>
      <w:r w:rsidRPr="00B74757">
        <w:t xml:space="preserve">primjene instituta otkaza s ponudom izmijenjenog ugovora o radu, odnosno kod </w:t>
      </w:r>
      <w:r w:rsidR="007C4F28" w:rsidRPr="00B74757">
        <w:t>radnika koji su odbili prihvatiti ponudu poslodavca za izmjenu ugovora o radu</w:t>
      </w:r>
      <w:r w:rsidRPr="009769E7">
        <w:t>, već su “prihvatili”</w:t>
      </w:r>
      <w:r w:rsidR="007C4F28" w:rsidRPr="009769E7">
        <w:t xml:space="preserve"> </w:t>
      </w:r>
      <w:r w:rsidRPr="009769E7">
        <w:t>otkaz ugovora o radu</w:t>
      </w:r>
      <w:r w:rsidR="007C4F28" w:rsidRPr="009769E7">
        <w:t xml:space="preserve">. </w:t>
      </w:r>
      <w:r w:rsidRPr="009769E7">
        <w:t xml:space="preserve">Radi se o slučaju </w:t>
      </w:r>
      <w:r w:rsidR="007C4F28" w:rsidRPr="009769E7">
        <w:t>pokušaja da se ugovor o radu izmij</w:t>
      </w:r>
      <w:r w:rsidR="007C4F28" w:rsidRPr="00E1401E">
        <w:t xml:space="preserve">eni na prijedlog </w:t>
      </w:r>
      <w:r w:rsidRPr="00E1401E">
        <w:t xml:space="preserve">poslodavca kao </w:t>
      </w:r>
      <w:r w:rsidR="007C4F28" w:rsidRPr="00D00975">
        <w:t>ugovorne strane, a ako je takva izmjena za</w:t>
      </w:r>
      <w:r w:rsidRPr="00D00975">
        <w:t xml:space="preserve"> radnika kao </w:t>
      </w:r>
      <w:r w:rsidR="007C4F28" w:rsidRPr="00D00975">
        <w:t>drugu</w:t>
      </w:r>
      <w:r w:rsidRPr="006605D0">
        <w:t xml:space="preserve"> stranu</w:t>
      </w:r>
      <w:r w:rsidR="007C4F28" w:rsidRPr="008B2ED7">
        <w:t xml:space="preserve"> neprihvatljiva, </w:t>
      </w:r>
      <w:r w:rsidRPr="008B2ED7">
        <w:t xml:space="preserve">tada se ostvaruje mogućnost za </w:t>
      </w:r>
      <w:r w:rsidR="007C4F28" w:rsidRPr="008B2ED7">
        <w:t>poslodavc</w:t>
      </w:r>
      <w:r w:rsidRPr="007544D9">
        <w:t>a</w:t>
      </w:r>
      <w:r w:rsidR="007C4F28" w:rsidRPr="002313A4">
        <w:t xml:space="preserve"> </w:t>
      </w:r>
      <w:r w:rsidRPr="00B4742D">
        <w:t xml:space="preserve">da </w:t>
      </w:r>
      <w:r w:rsidR="007C4F28" w:rsidRPr="00B4742D">
        <w:t>otka</w:t>
      </w:r>
      <w:r w:rsidRPr="00B4742D">
        <w:t>že</w:t>
      </w:r>
      <w:r w:rsidR="007C4F28" w:rsidRPr="00B4742D">
        <w:t xml:space="preserve"> ugovor</w:t>
      </w:r>
      <w:r w:rsidRPr="00B4742D">
        <w:t xml:space="preserve"> o radu i tu se </w:t>
      </w:r>
      <w:r w:rsidR="007C4F28" w:rsidRPr="00B4742D">
        <w:t xml:space="preserve">radnika štiti na gotovo </w:t>
      </w:r>
      <w:r w:rsidRPr="00B4742D">
        <w:t>identičan</w:t>
      </w:r>
      <w:r w:rsidR="007C4F28" w:rsidRPr="00B4742D">
        <w:t xml:space="preserve"> način kao u slučaju kada se otkaz daje bez ponude sklapanj</w:t>
      </w:r>
      <w:r w:rsidRPr="00B4742D">
        <w:t>a</w:t>
      </w:r>
      <w:r w:rsidR="007C4F28" w:rsidRPr="00B4742D">
        <w:t xml:space="preserve"> izmijenjenog ugovora o radu. Stoga, a i zbog izričite zakonske odredbe o tome tko </w:t>
      </w:r>
      <w:r w:rsidRPr="00B4742D">
        <w:t xml:space="preserve">je ovlaštenik prava na </w:t>
      </w:r>
      <w:r w:rsidR="007C4F28" w:rsidRPr="00B4742D">
        <w:t xml:space="preserve">otpremninu, pravo na otpremninu ima i radnik kojem se otkazuje </w:t>
      </w:r>
      <w:r w:rsidRPr="00B4742D">
        <w:t xml:space="preserve">ugovor o radu </w:t>
      </w:r>
      <w:r w:rsidR="007C4F28" w:rsidRPr="00B4742D">
        <w:t>jer je odbio ponudu izm</w:t>
      </w:r>
      <w:r w:rsidRPr="00B4742D">
        <w:t>i</w:t>
      </w:r>
      <w:r w:rsidR="007C4F28" w:rsidRPr="00B4742D">
        <w:t>jen</w:t>
      </w:r>
      <w:r w:rsidRPr="00B4742D">
        <w:t>jenog</w:t>
      </w:r>
      <w:r w:rsidR="007C4F28" w:rsidRPr="00B4742D">
        <w:t xml:space="preserve"> ugovora o radu. </w:t>
      </w:r>
      <w:r w:rsidR="004963FD" w:rsidRPr="00B4742D">
        <w:t xml:space="preserve">Jednako tako, </w:t>
      </w:r>
      <w:r w:rsidR="007C4F28" w:rsidRPr="00B4742D">
        <w:t xml:space="preserve">ako radnik prihvati ponudu </w:t>
      </w:r>
      <w:r w:rsidR="004963FD" w:rsidRPr="00B4742D">
        <w:t xml:space="preserve">izmijenjenog </w:t>
      </w:r>
      <w:r w:rsidR="007C4F28" w:rsidRPr="00B4742D">
        <w:t xml:space="preserve">izmjenu ugovora o radu, </w:t>
      </w:r>
      <w:r w:rsidR="004963FD" w:rsidRPr="00B4742D">
        <w:t xml:space="preserve">on neće imati </w:t>
      </w:r>
      <w:r w:rsidR="007C4F28" w:rsidRPr="00B4742D">
        <w:t xml:space="preserve">pravo na otpremninu, jer </w:t>
      </w:r>
      <w:r w:rsidR="004963FD" w:rsidRPr="00B4742D">
        <w:t>tada</w:t>
      </w:r>
      <w:r w:rsidR="007C4F28" w:rsidRPr="00B4742D">
        <w:t xml:space="preserve"> ne dolazi do </w:t>
      </w:r>
      <w:r w:rsidR="004963FD" w:rsidRPr="00B4742D">
        <w:t xml:space="preserve">otkazivanja </w:t>
      </w:r>
      <w:r w:rsidR="007C4F28" w:rsidRPr="00B4742D">
        <w:t xml:space="preserve">ugovora o radu. </w:t>
      </w:r>
    </w:p>
    <w:p w:rsidR="004963FD" w:rsidRPr="00B4742D" w:rsidRDefault="004963FD" w:rsidP="00466D80">
      <w:pPr>
        <w:spacing w:line="240" w:lineRule="auto"/>
      </w:pPr>
    </w:p>
    <w:p w:rsidR="007C4F28" w:rsidRPr="00B4742D" w:rsidRDefault="00686775" w:rsidP="00466D80">
      <w:pPr>
        <w:spacing w:line="240" w:lineRule="auto"/>
      </w:pPr>
      <w:r w:rsidRPr="00B4742D">
        <w:t>Nadalje, i u</w:t>
      </w:r>
      <w:r w:rsidR="004963FD" w:rsidRPr="00B4742D">
        <w:t xml:space="preserve"> slučaju kada se provodi restrukturiranje poslovanja kod poslodavca na način da </w:t>
      </w:r>
      <w:r w:rsidR="007C4F28" w:rsidRPr="00B4742D">
        <w:t>postojeći ugovor o radu prestaje sporazumom</w:t>
      </w:r>
      <w:r w:rsidR="004963FD" w:rsidRPr="00B4742D">
        <w:t xml:space="preserve"> radnika i poslodavca</w:t>
      </w:r>
      <w:r w:rsidR="007C4F28" w:rsidRPr="00B4742D">
        <w:t xml:space="preserve">, a istovremeno radnik sklapa ugovor o radu s drugim poslodavcem, </w:t>
      </w:r>
      <w:r w:rsidRPr="00B4742D">
        <w:t xml:space="preserve">nameće se pitanje postojanja </w:t>
      </w:r>
      <w:r w:rsidR="004963FD" w:rsidRPr="00B4742D">
        <w:t>prav</w:t>
      </w:r>
      <w:r w:rsidRPr="00B4742D">
        <w:t>a</w:t>
      </w:r>
      <w:r w:rsidR="004963FD" w:rsidRPr="00B4742D">
        <w:t xml:space="preserve"> na </w:t>
      </w:r>
      <w:r w:rsidR="007C4F28" w:rsidRPr="00B4742D">
        <w:t>otpremnin</w:t>
      </w:r>
      <w:r w:rsidR="004963FD" w:rsidRPr="00B4742D">
        <w:t>u</w:t>
      </w:r>
      <w:r w:rsidR="007C4F28" w:rsidRPr="00B4742D">
        <w:t>.</w:t>
      </w:r>
      <w:r w:rsidRPr="00B4742D">
        <w:t xml:space="preserve"> No, zbog činjenice da ne dolazi do prestanka ugovora o radu</w:t>
      </w:r>
      <w:r w:rsidR="00EA04DC" w:rsidRPr="00B4742D">
        <w:t xml:space="preserve"> radniku ne</w:t>
      </w:r>
      <w:r w:rsidR="00C94CB4" w:rsidRPr="00B4742D">
        <w:t xml:space="preserve"> </w:t>
      </w:r>
      <w:r w:rsidR="00EA04DC" w:rsidRPr="00B4742D">
        <w:t>pripada pravo na otpremninu. Time se, prema našem mišljenju, jasno odgovara na općenito pitanje o pravu na otpremninu – to pravo jest posljedično otkazu ugovoru o radu iz razloga koji nisu uvjetovani ponašanjem radnika, ali je potrebno i da radni odnos radnika kod konkretnog poslodavca efekt</w:t>
      </w:r>
      <w:r w:rsidR="0028745A" w:rsidRPr="00B4742D">
        <w:t>i</w:t>
      </w:r>
      <w:r w:rsidR="00EA04DC" w:rsidRPr="00B4742D">
        <w:t xml:space="preserve">vno prestaje. U tom smislu </w:t>
      </w:r>
      <w:r w:rsidR="007C4F28" w:rsidRPr="00B4742D">
        <w:t>radnik ne</w:t>
      </w:r>
      <w:r w:rsidR="004963FD" w:rsidRPr="00B4742D">
        <w:t>će imati</w:t>
      </w:r>
      <w:r w:rsidR="007C4F28" w:rsidRPr="00B4742D">
        <w:t xml:space="preserve"> pravo na otpremnin</w:t>
      </w:r>
      <w:r w:rsidR="004963FD" w:rsidRPr="00B4742D">
        <w:t>u</w:t>
      </w:r>
      <w:r w:rsidR="007C4F28" w:rsidRPr="00B4742D">
        <w:t xml:space="preserve"> </w:t>
      </w:r>
      <w:r w:rsidR="00EA04DC" w:rsidRPr="00B4742D">
        <w:t xml:space="preserve">niti </w:t>
      </w:r>
      <w:r w:rsidR="007C4F28" w:rsidRPr="00B4742D">
        <w:t>ako se na novog poslodavca prenosi poduzeće ili dio poduzeća,</w:t>
      </w:r>
      <w:r w:rsidR="004963FD" w:rsidRPr="00B4742D">
        <w:t xml:space="preserve"> gospodarska djelatnost ili dio gospodarske djelatnosti,</w:t>
      </w:r>
      <w:r w:rsidR="007C4F28" w:rsidRPr="00B4742D">
        <w:t xml:space="preserve"> jer se u tom slučaju na novog poslodavca prenosi, </w:t>
      </w:r>
      <w:r w:rsidR="004963FD" w:rsidRPr="00B4742D">
        <w:t>u</w:t>
      </w:r>
      <w:r w:rsidR="007C4F28" w:rsidRPr="00B4742D">
        <w:t xml:space="preserve"> neizmijenjen</w:t>
      </w:r>
      <w:r w:rsidR="004963FD" w:rsidRPr="00B4742D">
        <w:t>om sadržaju</w:t>
      </w:r>
      <w:r w:rsidR="007C4F28" w:rsidRPr="00B4742D">
        <w:t>,</w:t>
      </w:r>
      <w:r w:rsidR="004963FD" w:rsidRPr="00B4742D">
        <w:t xml:space="preserve"> i</w:t>
      </w:r>
      <w:r w:rsidR="007C4F28" w:rsidRPr="00B4742D">
        <w:t xml:space="preserve"> postojeći ugovor o radu</w:t>
      </w:r>
      <w:r w:rsidR="00EA04DC" w:rsidRPr="00B4742D">
        <w:t xml:space="preserve"> te se radni odnos nastavlja,</w:t>
      </w:r>
      <w:r w:rsidR="00C601A0" w:rsidRPr="00B4742D">
        <w:t xml:space="preserve"> </w:t>
      </w:r>
      <w:r w:rsidR="00EA04DC" w:rsidRPr="00B4742D">
        <w:t>dakle ne prestaje</w:t>
      </w:r>
      <w:r w:rsidR="007C4F28" w:rsidRPr="00B4742D">
        <w:t>.</w:t>
      </w:r>
    </w:p>
    <w:p w:rsidR="0092424F" w:rsidRDefault="0092424F" w:rsidP="00466D80">
      <w:pPr>
        <w:spacing w:line="240" w:lineRule="auto"/>
      </w:pPr>
    </w:p>
    <w:p w:rsidR="004D0AD5" w:rsidRPr="004D0AD5" w:rsidRDefault="004D0AD5" w:rsidP="004D0AD5">
      <w:pPr>
        <w:spacing w:line="240" w:lineRule="auto"/>
      </w:pPr>
      <w:r>
        <w:t xml:space="preserve">Valja spomenuti kako, sasvim izvan dohvata uređenja otpremnina Zakonom o radu, u Republici Hrvatsko postoji </w:t>
      </w:r>
      <w:r>
        <w:rPr>
          <w:i/>
        </w:rPr>
        <w:t>sui generis</w:t>
      </w:r>
      <w:r>
        <w:t xml:space="preserve"> otpremnina.</w:t>
      </w:r>
      <w:r w:rsidR="00D00975">
        <w:rPr>
          <w:rStyle w:val="FootnoteReference"/>
        </w:rPr>
        <w:footnoteReference w:id="49"/>
      </w:r>
      <w:r>
        <w:t xml:space="preserve"> Radi se o institutu koji se identificira “dokupom mirovine”,</w:t>
      </w:r>
      <w:r w:rsidRPr="004D0AD5">
        <w:rPr>
          <w:iCs/>
        </w:rPr>
        <w:t xml:space="preserve"> </w:t>
      </w:r>
      <w:r w:rsidRPr="00B848F5">
        <w:rPr>
          <w:iCs/>
        </w:rPr>
        <w:t>oblik</w:t>
      </w:r>
      <w:r>
        <w:rPr>
          <w:iCs/>
        </w:rPr>
        <w:t>u</w:t>
      </w:r>
      <w:r w:rsidRPr="00B848F5">
        <w:rPr>
          <w:iCs/>
        </w:rPr>
        <w:t xml:space="preserve"> </w:t>
      </w:r>
      <w:r>
        <w:rPr>
          <w:iCs/>
        </w:rPr>
        <w:t>višekrat</w:t>
      </w:r>
      <w:r w:rsidR="00BF61FB">
        <w:rPr>
          <w:iCs/>
        </w:rPr>
        <w:t>n</w:t>
      </w:r>
      <w:r>
        <w:rPr>
          <w:iCs/>
        </w:rPr>
        <w:t xml:space="preserve">o isplative </w:t>
      </w:r>
      <w:r w:rsidRPr="00B848F5">
        <w:rPr>
          <w:iCs/>
        </w:rPr>
        <w:t xml:space="preserve">doživotne </w:t>
      </w:r>
      <w:r>
        <w:rPr>
          <w:iCs/>
        </w:rPr>
        <w:t>otpremnine</w:t>
      </w:r>
      <w:r w:rsidRPr="00B848F5">
        <w:rPr>
          <w:iCs/>
        </w:rPr>
        <w:t xml:space="preserve"> kojom poslodavac </w:t>
      </w:r>
      <w:r>
        <w:rPr>
          <w:iCs/>
        </w:rPr>
        <w:t>“</w:t>
      </w:r>
      <w:r w:rsidRPr="00B848F5">
        <w:rPr>
          <w:iCs/>
        </w:rPr>
        <w:t>obeštećuje</w:t>
      </w:r>
      <w:r>
        <w:rPr>
          <w:iCs/>
        </w:rPr>
        <w:t>”</w:t>
      </w:r>
      <w:r w:rsidRPr="00B848F5">
        <w:rPr>
          <w:iCs/>
        </w:rPr>
        <w:t xml:space="preserve"> radnike koji su </w:t>
      </w:r>
      <w:r>
        <w:rPr>
          <w:iCs/>
        </w:rPr>
        <w:t xml:space="preserve">otišli </w:t>
      </w:r>
      <w:r w:rsidRPr="00B848F5">
        <w:rPr>
          <w:iCs/>
        </w:rPr>
        <w:t>u</w:t>
      </w:r>
      <w:r>
        <w:rPr>
          <w:iCs/>
        </w:rPr>
        <w:t xml:space="preserve"> prijevremenu starosnu mirovinu, i to </w:t>
      </w:r>
      <w:r w:rsidRPr="00B848F5">
        <w:rPr>
          <w:iCs/>
        </w:rPr>
        <w:t>za iznos koji odgovara umanjenju njihove prijevremene mirovine</w:t>
      </w:r>
      <w:r>
        <w:rPr>
          <w:iCs/>
        </w:rPr>
        <w:t xml:space="preserve"> u odnosu na puni iznos starosne mirovine</w:t>
      </w:r>
      <w:r w:rsidRPr="00B848F5">
        <w:rPr>
          <w:iCs/>
        </w:rPr>
        <w:t xml:space="preserve">. </w:t>
      </w:r>
      <w:r>
        <w:rPr>
          <w:iCs/>
        </w:rPr>
        <w:t xml:space="preserve">Time taj institut </w:t>
      </w:r>
      <w:r w:rsidRPr="00B848F5">
        <w:rPr>
          <w:iCs/>
        </w:rPr>
        <w:t xml:space="preserve">u sebi </w:t>
      </w:r>
      <w:r>
        <w:rPr>
          <w:iCs/>
        </w:rPr>
        <w:t xml:space="preserve">uključuje i </w:t>
      </w:r>
      <w:r w:rsidRPr="00B848F5">
        <w:rPr>
          <w:iCs/>
        </w:rPr>
        <w:t>socijaln</w:t>
      </w:r>
      <w:r>
        <w:rPr>
          <w:iCs/>
        </w:rPr>
        <w:t xml:space="preserve">o-sigurnosnu ulogu, </w:t>
      </w:r>
      <w:r w:rsidRPr="00B848F5">
        <w:rPr>
          <w:iCs/>
        </w:rPr>
        <w:t xml:space="preserve">jer </w:t>
      </w:r>
      <w:r>
        <w:rPr>
          <w:iCs/>
        </w:rPr>
        <w:t xml:space="preserve">umirovljenik, prije radnik, zahvaljujući svom bivšem poslodavcu, svakog mjeseca prima doživotnu </w:t>
      </w:r>
      <w:r w:rsidRPr="00B848F5">
        <w:rPr>
          <w:iCs/>
        </w:rPr>
        <w:t>otpremninu</w:t>
      </w:r>
      <w:r>
        <w:rPr>
          <w:iCs/>
        </w:rPr>
        <w:t>, koja je precizno izračunata u visini „penalizacije“.</w:t>
      </w:r>
      <w:r w:rsidR="00E1401E">
        <w:rPr>
          <w:iCs/>
        </w:rPr>
        <w:t xml:space="preserve"> Ova je “</w:t>
      </w:r>
      <w:r>
        <w:rPr>
          <w:iCs/>
        </w:rPr>
        <w:t>depenalizacija</w:t>
      </w:r>
      <w:r w:rsidR="00E1401E">
        <w:rPr>
          <w:iCs/>
        </w:rPr>
        <w:t>” za radnika</w:t>
      </w:r>
      <w:r>
        <w:rPr>
          <w:iCs/>
        </w:rPr>
        <w:t xml:space="preserve"> </w:t>
      </w:r>
      <w:r w:rsidR="00E1401E">
        <w:rPr>
          <w:iCs/>
        </w:rPr>
        <w:t xml:space="preserve">vrsta nagrade, a </w:t>
      </w:r>
      <w:r w:rsidRPr="00B848F5">
        <w:rPr>
          <w:iCs/>
        </w:rPr>
        <w:t>što je važna poruka o pristupu najstarijim radnicima i zaštiti dostojanstva rada upućena novim, mlađim generacijama</w:t>
      </w:r>
      <w:r w:rsidR="00A26596">
        <w:rPr>
          <w:iCs/>
        </w:rPr>
        <w:t xml:space="preserve"> te je </w:t>
      </w:r>
      <w:r w:rsidRPr="00B848F5">
        <w:rPr>
          <w:iCs/>
        </w:rPr>
        <w:t>sa socijalnog i financijskog gledišta povoljnija od isplate jednokratne otpremnine.</w:t>
      </w:r>
      <w:r w:rsidR="00E1401E">
        <w:rPr>
          <w:rStyle w:val="FootnoteReference"/>
          <w:iCs/>
        </w:rPr>
        <w:footnoteReference w:id="50"/>
      </w:r>
      <w:r w:rsidRPr="00B848F5">
        <w:rPr>
          <w:iCs/>
        </w:rPr>
        <w:t xml:space="preserve"> </w:t>
      </w:r>
      <w:r w:rsidR="00A26596">
        <w:rPr>
          <w:iCs/>
        </w:rPr>
        <w:t>Narav i obilježja ove vrste otpremnine takvi su da se ona neće detaljizirati ni dalje obrađivati u ovom tekstu, no svakako da ona može prestavljati obrazac promišljanja različitih funkcija koje se mogu pridati otpremninama u Republici Hrvatskoj.</w:t>
      </w:r>
    </w:p>
    <w:p w:rsidR="004D0AD5" w:rsidRPr="004D0AD5" w:rsidRDefault="004D0AD5" w:rsidP="00E1401E">
      <w:pPr>
        <w:spacing w:line="240" w:lineRule="auto"/>
      </w:pPr>
    </w:p>
    <w:p w:rsidR="00E01089" w:rsidRPr="004D0AD5" w:rsidRDefault="00380807" w:rsidP="0092424F">
      <w:pPr>
        <w:pStyle w:val="Heading2"/>
      </w:pPr>
      <w:bookmarkStart w:id="15" w:name="_Toc365828833"/>
      <w:r w:rsidRPr="004D0AD5">
        <w:t>2</w:t>
      </w:r>
      <w:r w:rsidR="00E01089" w:rsidRPr="004D0AD5">
        <w:t>.</w:t>
      </w:r>
      <w:r w:rsidR="001D7323" w:rsidRPr="004D0AD5">
        <w:t>3</w:t>
      </w:r>
      <w:r w:rsidR="00E01089" w:rsidRPr="004D0AD5">
        <w:t xml:space="preserve">. </w:t>
      </w:r>
      <w:r w:rsidR="0082108F" w:rsidRPr="004D0AD5">
        <w:t xml:space="preserve">Uređenje otpremnina u kolektivnim ugovorima </w:t>
      </w:r>
      <w:r w:rsidR="00A70D09" w:rsidRPr="004D0AD5">
        <w:t>i pravilnicima o radu</w:t>
      </w:r>
      <w:bookmarkEnd w:id="15"/>
    </w:p>
    <w:p w:rsidR="00E01089" w:rsidRPr="00E1401E" w:rsidRDefault="00E01089" w:rsidP="00466D80">
      <w:pPr>
        <w:spacing w:line="240" w:lineRule="auto"/>
      </w:pPr>
    </w:p>
    <w:p w:rsidR="00381D2B" w:rsidRPr="00D00975" w:rsidRDefault="005924F2" w:rsidP="00466D80">
      <w:pPr>
        <w:spacing w:line="240" w:lineRule="auto"/>
      </w:pPr>
      <w:r w:rsidRPr="00D00975">
        <w:t xml:space="preserve">O analizi </w:t>
      </w:r>
      <w:r w:rsidRPr="004D0AD5">
        <w:t xml:space="preserve">uređenja prava na otpremninu u kolektivnim ugovorima, podredno i pravilnicima o radu, u Republici Hrvatskoj nemamo saznanja. U tom smislu ovdje se mogu samo sporadično navesti mogućnosti detaljiziranja prava na otpremninu </w:t>
      </w:r>
      <w:r w:rsidR="00A70D09" w:rsidRPr="00E1401E">
        <w:t xml:space="preserve">za </w:t>
      </w:r>
      <w:r w:rsidRPr="00E1401E">
        <w:t xml:space="preserve">koja </w:t>
      </w:r>
      <w:r w:rsidR="00A70D09" w:rsidRPr="00E1401E">
        <w:t xml:space="preserve">očekujemo kako </w:t>
      </w:r>
      <w:r w:rsidRPr="00E1401E">
        <w:t>se, u kolektivnim ugovorima, i koriste.</w:t>
      </w:r>
    </w:p>
    <w:p w:rsidR="00C601A0" w:rsidRPr="00D00975" w:rsidRDefault="00C601A0" w:rsidP="00466D80">
      <w:pPr>
        <w:spacing w:line="240" w:lineRule="auto"/>
      </w:pPr>
    </w:p>
    <w:p w:rsidR="00C601A0" w:rsidRPr="006C4F67" w:rsidRDefault="00257D8A" w:rsidP="00C601A0">
      <w:pPr>
        <w:spacing w:line="240" w:lineRule="auto"/>
      </w:pPr>
      <w:r w:rsidRPr="008B2ED7">
        <w:t>O</w:t>
      </w:r>
      <w:r w:rsidR="00C601A0" w:rsidRPr="008B2ED7">
        <w:t>dre</w:t>
      </w:r>
      <w:r w:rsidR="0064103C" w:rsidRPr="008B2ED7">
        <w:t>d</w:t>
      </w:r>
      <w:r w:rsidR="00C601A0" w:rsidRPr="008B2ED7">
        <w:t>bom članka 119. stavka 3. Zakona o radu omogućeno jest nek</w:t>
      </w:r>
      <w:r w:rsidRPr="007544D9">
        <w:t>i</w:t>
      </w:r>
      <w:r w:rsidR="00C601A0" w:rsidRPr="002313A4">
        <w:t>m drug</w:t>
      </w:r>
      <w:r w:rsidRPr="00B4742D">
        <w:t>i</w:t>
      </w:r>
      <w:r w:rsidR="00C601A0" w:rsidRPr="00B4742D">
        <w:t>m zakon</w:t>
      </w:r>
      <w:r w:rsidRPr="00B4742D">
        <w:t>om</w:t>
      </w:r>
      <w:r w:rsidR="00C601A0" w:rsidRPr="00B4742D">
        <w:t>, kolektivnim ugovorom, pravilnikom o radu ili ugovorom o radu otpremninu i drugačije urediti, pod povoljnijim uvjetima odnosno u iznosu višem od onog iz Zakona o radu.</w:t>
      </w:r>
      <w:r w:rsidRPr="00B4742D">
        <w:t xml:space="preserve"> Tu</w:t>
      </w:r>
      <w:r w:rsidR="006C4F67">
        <w:t>, slijedom autonomije volje,</w:t>
      </w:r>
      <w:r w:rsidRPr="006C4F67">
        <w:t xml:space="preserve"> leži ovlaštenje na </w:t>
      </w:r>
      <w:r w:rsidR="006C4F67">
        <w:t xml:space="preserve">slobodno </w:t>
      </w:r>
      <w:r w:rsidRPr="006C4F67">
        <w:t xml:space="preserve">dvostrano sporazumijevanje o otpremninama kroz kolektivne ugovore, odnosno na dobrovoljno jednostrano uređenje poslodavca, ali samo na način koji će, za radnika, biti u uvjetima povoljniji, odnosno u iznosu izdašniji, u usporedbi s uređenjem </w:t>
      </w:r>
      <w:r w:rsidRPr="006C4F67">
        <w:lastRenderedPageBreak/>
        <w:t>iz Zakona o radu.</w:t>
      </w:r>
      <w:r w:rsidR="006C4F67">
        <w:rPr>
          <w:rStyle w:val="FootnoteReference"/>
        </w:rPr>
        <w:footnoteReference w:id="51"/>
      </w:r>
      <w:r w:rsidR="00B74757">
        <w:t xml:space="preserve"> Uz spomen autonomije volje, odmah valja uputiti i na to da i u slučaju postizanja sporazuma o prestanku ugovora o radu radnik i poslodavac, ili </w:t>
      </w:r>
      <w:r w:rsidR="00B74757">
        <w:rPr>
          <w:i/>
        </w:rPr>
        <w:t xml:space="preserve">per analogiam </w:t>
      </w:r>
      <w:r w:rsidR="00B74757">
        <w:t>i u slučaju otkazivanja kada ne postoji obveza isplate otpremnine poslodavac sam, može biti uspostavljeno pravo na otpremninu, odnosno ono može biti uspostavljeno u iznosu koji nadmašuje onaj koji bi bio obvezujuć.</w:t>
      </w:r>
      <w:r w:rsidR="00B74757">
        <w:rPr>
          <w:rStyle w:val="FootnoteReference"/>
        </w:rPr>
        <w:footnoteReference w:id="52"/>
      </w:r>
      <w:r w:rsidR="00B74757">
        <w:t xml:space="preserve"> </w:t>
      </w:r>
    </w:p>
    <w:p w:rsidR="00B74757" w:rsidRPr="006C4F67" w:rsidRDefault="00B74757" w:rsidP="00C601A0">
      <w:pPr>
        <w:spacing w:line="240" w:lineRule="auto"/>
      </w:pPr>
    </w:p>
    <w:p w:rsidR="0070553A" w:rsidRPr="00B4742D" w:rsidRDefault="00C601A0" w:rsidP="0070553A">
      <w:pPr>
        <w:tabs>
          <w:tab w:val="clear" w:pos="0"/>
          <w:tab w:val="clear" w:pos="9360"/>
        </w:tabs>
        <w:spacing w:line="240" w:lineRule="auto"/>
        <w:rPr>
          <w:bCs w:val="0"/>
          <w:color w:val="auto"/>
        </w:rPr>
      </w:pPr>
      <w:r w:rsidRPr="006C4F67">
        <w:t>Tako se, primjerice, u Temeljnom kolektivnom ugovoru za službenike i namještenike u javnim službama</w:t>
      </w:r>
      <w:r w:rsidRPr="00B4742D">
        <w:rPr>
          <w:rStyle w:val="FootnoteReference"/>
        </w:rPr>
        <w:footnoteReference w:id="53"/>
      </w:r>
      <w:r w:rsidRPr="00B4742D">
        <w:t xml:space="preserve"> pravo na otpremn</w:t>
      </w:r>
      <w:r w:rsidR="000A5303" w:rsidRPr="00B4742D">
        <w:rPr>
          <w:bCs w:val="0"/>
          <w:color w:val="auto"/>
        </w:rPr>
        <w:t>in</w:t>
      </w:r>
      <w:r w:rsidRPr="00B4742D">
        <w:rPr>
          <w:bCs w:val="0"/>
          <w:color w:val="auto"/>
        </w:rPr>
        <w:t xml:space="preserve">u uređuje u odredbama članka 47. stavaka 2. do 5. </w:t>
      </w:r>
      <w:r w:rsidR="000A5303" w:rsidRPr="00B4742D">
        <w:rPr>
          <w:bCs w:val="0"/>
          <w:color w:val="auto"/>
        </w:rPr>
        <w:t xml:space="preserve">Svakom </w:t>
      </w:r>
      <w:r w:rsidRPr="00B4742D">
        <w:rPr>
          <w:bCs w:val="0"/>
          <w:color w:val="auto"/>
        </w:rPr>
        <w:t>“</w:t>
      </w:r>
      <w:r w:rsidR="000A5303" w:rsidRPr="00B4742D">
        <w:rPr>
          <w:bCs w:val="0"/>
          <w:color w:val="auto"/>
        </w:rPr>
        <w:t>zaposleniku</w:t>
      </w:r>
      <w:r w:rsidRPr="00B4742D">
        <w:rPr>
          <w:bCs w:val="0"/>
          <w:color w:val="auto"/>
        </w:rPr>
        <w:t>” u javnim službama, “službeniku” i “namješteniku</w:t>
      </w:r>
      <w:r w:rsidR="0070553A" w:rsidRPr="00B4742D">
        <w:rPr>
          <w:bCs w:val="0"/>
          <w:color w:val="auto"/>
        </w:rPr>
        <w:t>”</w:t>
      </w:r>
      <w:r w:rsidR="000A5303" w:rsidRPr="002017C6">
        <w:rPr>
          <w:bCs w:val="0"/>
          <w:color w:val="auto"/>
        </w:rPr>
        <w:t>, kojemu poslodavac otkazuje, a razlog otkaza nije skrivljeno ponašanje zaposlenika, pripada otpremnina u skladu sa Zakonom o radu.</w:t>
      </w:r>
      <w:r w:rsidR="0070553A" w:rsidRPr="002017C6">
        <w:rPr>
          <w:bCs w:val="0"/>
          <w:color w:val="auto"/>
        </w:rPr>
        <w:t xml:space="preserve"> U odredbi članka 47. stavka 3. </w:t>
      </w:r>
      <w:r w:rsidR="0070553A" w:rsidRPr="002017C6">
        <w:t>Temeljnog kolektivnog ugovora za službenike i namještenike u javnim službama</w:t>
      </w:r>
      <w:r w:rsidR="0070553A" w:rsidRPr="009336BF">
        <w:rPr>
          <w:bCs w:val="0"/>
          <w:color w:val="auto"/>
        </w:rPr>
        <w:t xml:space="preserve"> predviđa se iznimka od općeg uređenja prava na otpremninu u javnim službama na način da se “</w:t>
      </w:r>
      <w:r w:rsidR="000A5303" w:rsidRPr="009336BF">
        <w:rPr>
          <w:bCs w:val="0"/>
          <w:color w:val="auto"/>
        </w:rPr>
        <w:t>zaposleniku</w:t>
      </w:r>
      <w:r w:rsidR="0070553A" w:rsidRPr="00C7332E">
        <w:rPr>
          <w:bCs w:val="0"/>
          <w:color w:val="auto"/>
        </w:rPr>
        <w:t>”</w:t>
      </w:r>
      <w:r w:rsidR="000A5303" w:rsidRPr="00C7332E">
        <w:rPr>
          <w:bCs w:val="0"/>
          <w:color w:val="auto"/>
        </w:rPr>
        <w:t xml:space="preserve"> s </w:t>
      </w:r>
      <w:r w:rsidR="0070553A" w:rsidRPr="00C7332E">
        <w:rPr>
          <w:bCs w:val="0"/>
          <w:color w:val="auto"/>
        </w:rPr>
        <w:t>trideset</w:t>
      </w:r>
      <w:r w:rsidR="000A5303" w:rsidRPr="00C7332E">
        <w:rPr>
          <w:bCs w:val="0"/>
          <w:color w:val="auto"/>
        </w:rPr>
        <w:t xml:space="preserve"> i više godina staža kod istog poslodavca, isplaćuje povlaštena otpremnina u visini najmanje </w:t>
      </w:r>
      <w:r w:rsidR="003D682D" w:rsidRPr="00C7332E">
        <w:rPr>
          <w:bCs w:val="0"/>
          <w:color w:val="auto"/>
        </w:rPr>
        <w:t>šezdesetpet</w:t>
      </w:r>
      <w:r w:rsidR="00BE7C3B" w:rsidRPr="00C7332E">
        <w:rPr>
          <w:bCs w:val="0"/>
          <w:color w:val="auto"/>
        </w:rPr>
        <w:t xml:space="preserve"> posto</w:t>
      </w:r>
      <w:r w:rsidR="000A5303" w:rsidRPr="00C7332E">
        <w:rPr>
          <w:bCs w:val="0"/>
          <w:color w:val="auto"/>
        </w:rPr>
        <w:t xml:space="preserve"> prosječne mjesečne bruto plaće, isplaćene zaposleniku u tri mjeseca </w:t>
      </w:r>
      <w:r w:rsidR="000A5303" w:rsidRPr="006C4F67">
        <w:rPr>
          <w:bCs w:val="0"/>
          <w:color w:val="auto"/>
        </w:rPr>
        <w:t>prije prestanka ugovora o radu, za svaku navršenu godinu rada.</w:t>
      </w:r>
      <w:r w:rsidR="0070553A" w:rsidRPr="006C4F67">
        <w:rPr>
          <w:bCs w:val="0"/>
          <w:color w:val="auto"/>
        </w:rPr>
        <w:t xml:space="preserve"> Pri tome se kao staž kod istog poslodavca, prema odredbama članka 49. </w:t>
      </w:r>
      <w:r w:rsidR="0070553A" w:rsidRPr="006C4F67">
        <w:t xml:space="preserve">Temeljnog kolektivnog ugovora za službenike i namještenike u javnim službama, </w:t>
      </w:r>
      <w:r w:rsidR="0070553A" w:rsidRPr="006C4F67">
        <w:rPr>
          <w:bCs w:val="0"/>
          <w:color w:val="auto"/>
        </w:rPr>
        <w:t>računa neprekidni staž u javnim službama, bez obzira na promjenu poslodavca.</w:t>
      </w:r>
      <w:r w:rsidR="0070553A" w:rsidRPr="00B4742D">
        <w:rPr>
          <w:rStyle w:val="FootnoteReference"/>
          <w:bCs w:val="0"/>
          <w:color w:val="auto"/>
        </w:rPr>
        <w:footnoteReference w:id="54"/>
      </w:r>
    </w:p>
    <w:p w:rsidR="0070553A" w:rsidRPr="00B4742D" w:rsidRDefault="0070553A" w:rsidP="0070553A">
      <w:pPr>
        <w:tabs>
          <w:tab w:val="clear" w:pos="0"/>
          <w:tab w:val="clear" w:pos="9360"/>
        </w:tabs>
        <w:spacing w:line="240" w:lineRule="auto"/>
        <w:rPr>
          <w:bCs w:val="0"/>
          <w:color w:val="auto"/>
        </w:rPr>
      </w:pPr>
    </w:p>
    <w:p w:rsidR="0070553A" w:rsidRPr="00B4742D" w:rsidRDefault="0070553A" w:rsidP="0070553A">
      <w:pPr>
        <w:tabs>
          <w:tab w:val="clear" w:pos="0"/>
          <w:tab w:val="clear" w:pos="9360"/>
        </w:tabs>
        <w:spacing w:line="240" w:lineRule="auto"/>
        <w:rPr>
          <w:bCs w:val="0"/>
          <w:color w:val="auto"/>
        </w:rPr>
      </w:pPr>
      <w:r w:rsidRPr="00B4742D">
        <w:rPr>
          <w:bCs w:val="0"/>
          <w:color w:val="auto"/>
        </w:rPr>
        <w:t>Dakle, u javnim se službama kao staž kod poslodavca uzima neprekidni staž u javnim službama, bez obzira na promjenu poslodavca</w:t>
      </w:r>
      <w:r w:rsidRPr="002017C6">
        <w:rPr>
          <w:bCs w:val="0"/>
          <w:color w:val="auto"/>
        </w:rPr>
        <w:t>, što omogućava kumuliranje staževa ostvarenih kod faktički različitih poslodavaca – ustanova u istoj ili različitim javnim službama. U pogle</w:t>
      </w:r>
      <w:r w:rsidR="00A52D40" w:rsidRPr="002017C6">
        <w:rPr>
          <w:bCs w:val="0"/>
          <w:color w:val="auto"/>
        </w:rPr>
        <w:t>d</w:t>
      </w:r>
      <w:r w:rsidRPr="002017C6">
        <w:rPr>
          <w:bCs w:val="0"/>
          <w:color w:val="auto"/>
        </w:rPr>
        <w:t xml:space="preserve">u visine otpremnine, za </w:t>
      </w:r>
      <w:r w:rsidR="00A52D40" w:rsidRPr="002017C6">
        <w:rPr>
          <w:bCs w:val="0"/>
          <w:color w:val="auto"/>
        </w:rPr>
        <w:t>osobu koja ima trideset</w:t>
      </w:r>
      <w:r w:rsidR="00A52D40" w:rsidRPr="00EB67A0">
        <w:rPr>
          <w:bCs w:val="0"/>
          <w:color w:val="auto"/>
        </w:rPr>
        <w:t xml:space="preserve"> i više godina staža u javnim službama kod istog poslodavca, predviđena je isplata povlaštene otpremnine u visini od najmanje </w:t>
      </w:r>
      <w:r w:rsidR="003D682D" w:rsidRPr="009336BF">
        <w:rPr>
          <w:bCs w:val="0"/>
          <w:color w:val="auto"/>
        </w:rPr>
        <w:t>šezd</w:t>
      </w:r>
      <w:r w:rsidR="0028745A" w:rsidRPr="009336BF">
        <w:rPr>
          <w:bCs w:val="0"/>
          <w:color w:val="auto"/>
        </w:rPr>
        <w:t>e</w:t>
      </w:r>
      <w:r w:rsidR="003D682D" w:rsidRPr="009336BF">
        <w:rPr>
          <w:bCs w:val="0"/>
          <w:color w:val="auto"/>
        </w:rPr>
        <w:t>setpet</w:t>
      </w:r>
      <w:r w:rsidR="00BE7C3B" w:rsidRPr="00C7332E">
        <w:rPr>
          <w:bCs w:val="0"/>
          <w:color w:val="auto"/>
        </w:rPr>
        <w:t xml:space="preserve"> posto</w:t>
      </w:r>
      <w:r w:rsidR="00A52D40" w:rsidRPr="00C7332E">
        <w:rPr>
          <w:bCs w:val="0"/>
          <w:color w:val="auto"/>
        </w:rPr>
        <w:t xml:space="preserve"> prosječne mjesečne bruto plaće, isplaćene zaposleniku u tri mjeseca prije prestanka ugovora o radu, za svaku navršenu godinu rada.</w:t>
      </w:r>
      <w:r w:rsidR="00A52D40" w:rsidRPr="00B4742D">
        <w:rPr>
          <w:rStyle w:val="FootnoteReference"/>
          <w:bCs w:val="0"/>
          <w:color w:val="auto"/>
        </w:rPr>
        <w:footnoteReference w:id="55"/>
      </w:r>
      <w:r w:rsidR="00A52D40" w:rsidRPr="00B4742D">
        <w:rPr>
          <w:bCs w:val="0"/>
          <w:color w:val="auto"/>
        </w:rPr>
        <w:t xml:space="preserve"> Time je u </w:t>
      </w:r>
      <w:r w:rsidR="00C62EAC" w:rsidRPr="00B4742D">
        <w:rPr>
          <w:bCs w:val="0"/>
          <w:color w:val="auto"/>
        </w:rPr>
        <w:t xml:space="preserve">ova </w:t>
      </w:r>
      <w:r w:rsidR="00A52D40" w:rsidRPr="00B4742D">
        <w:rPr>
          <w:bCs w:val="0"/>
          <w:color w:val="auto"/>
        </w:rPr>
        <w:t>dva elementa došlo do “osnaženja” prava na otpremninu u javnim službama.</w:t>
      </w:r>
      <w:r w:rsidR="00A52D40" w:rsidRPr="00B4742D">
        <w:rPr>
          <w:rStyle w:val="FootnoteReference"/>
          <w:bCs w:val="0"/>
          <w:color w:val="auto"/>
        </w:rPr>
        <w:footnoteReference w:id="56"/>
      </w:r>
    </w:p>
    <w:p w:rsidR="0070553A" w:rsidRPr="00B4742D" w:rsidRDefault="0070553A" w:rsidP="0070553A">
      <w:pPr>
        <w:spacing w:line="240" w:lineRule="auto"/>
        <w:rPr>
          <w:bCs w:val="0"/>
          <w:color w:val="auto"/>
        </w:rPr>
      </w:pPr>
    </w:p>
    <w:p w:rsidR="000A5303" w:rsidRPr="009336BF" w:rsidRDefault="00C62EAC" w:rsidP="00C62EAC">
      <w:pPr>
        <w:spacing w:line="240" w:lineRule="auto"/>
        <w:rPr>
          <w:bCs w:val="0"/>
          <w:color w:val="auto"/>
        </w:rPr>
      </w:pPr>
      <w:r w:rsidRPr="00B4742D">
        <w:rPr>
          <w:bCs w:val="0"/>
          <w:color w:val="auto"/>
        </w:rPr>
        <w:t xml:space="preserve">Uz navedenu otpremninu koja normativno odgovara sadržaju prava na otpremninu iz Zakona o radu, </w:t>
      </w:r>
      <w:r w:rsidRPr="002017C6">
        <w:t xml:space="preserve">Temeljni kolektivni ugovor za službenike i namještenike u javnim službama, u odredbi </w:t>
      </w:r>
      <w:r w:rsidRPr="002017C6">
        <w:lastRenderedPageBreak/>
        <w:t>članka 61. uređuje i o</w:t>
      </w:r>
      <w:r w:rsidR="000A5303" w:rsidRPr="002017C6">
        <w:rPr>
          <w:bCs w:val="0"/>
          <w:color w:val="auto"/>
        </w:rPr>
        <w:t>tpremnin</w:t>
      </w:r>
      <w:r w:rsidRPr="002017C6">
        <w:rPr>
          <w:bCs w:val="0"/>
          <w:color w:val="auto"/>
        </w:rPr>
        <w:t>u</w:t>
      </w:r>
      <w:r w:rsidR="000A5303" w:rsidRPr="00EB67A0">
        <w:rPr>
          <w:bCs w:val="0"/>
          <w:color w:val="auto"/>
        </w:rPr>
        <w:t xml:space="preserve"> pri odlasku u mirovinu</w:t>
      </w:r>
      <w:r w:rsidRPr="00FE70C5">
        <w:rPr>
          <w:bCs w:val="0"/>
          <w:color w:val="auto"/>
        </w:rPr>
        <w:t xml:space="preserve"> - “zaposleniku” u javnim službama koji </w:t>
      </w:r>
      <w:r w:rsidR="000A5303" w:rsidRPr="009336BF">
        <w:rPr>
          <w:bCs w:val="0"/>
          <w:color w:val="auto"/>
        </w:rPr>
        <w:t>odlazi u mirovinu pripada pravo na otpremninu u iznosu tri proračunske osnovice.</w:t>
      </w:r>
    </w:p>
    <w:p w:rsidR="000A5303" w:rsidRPr="009336BF" w:rsidRDefault="000A5303" w:rsidP="000A5303">
      <w:pPr>
        <w:spacing w:line="240" w:lineRule="auto"/>
      </w:pPr>
    </w:p>
    <w:p w:rsidR="00684C2E" w:rsidRPr="00B74757" w:rsidRDefault="00684C2E" w:rsidP="00684C2E">
      <w:pPr>
        <w:spacing w:line="240" w:lineRule="auto"/>
      </w:pPr>
      <w:r w:rsidRPr="00C7332E">
        <w:t>Pregledom nekih drugih kolektivn</w:t>
      </w:r>
      <w:r w:rsidR="00A94425" w:rsidRPr="00C7332E">
        <w:t>ih</w:t>
      </w:r>
      <w:r w:rsidRPr="00C7332E">
        <w:t xml:space="preserve"> ugovora u Republici Hrvatskoj, ponajprije onih u državnim i javnim službama te oni</w:t>
      </w:r>
      <w:r w:rsidR="007E4AF0" w:rsidRPr="00C7332E">
        <w:t>h</w:t>
      </w:r>
      <w:r w:rsidRPr="00C7332E">
        <w:t xml:space="preserve"> kod </w:t>
      </w:r>
      <w:r w:rsidR="002479D6" w:rsidRPr="00C7332E">
        <w:t>poslodavaca</w:t>
      </w:r>
      <w:r w:rsidR="00E01089" w:rsidRPr="006C4F67">
        <w:t xml:space="preserve"> </w:t>
      </w:r>
      <w:r w:rsidR="003A20EE" w:rsidRPr="006C4F67">
        <w:t>“</w:t>
      </w:r>
      <w:r w:rsidR="00E01089" w:rsidRPr="006C4F67">
        <w:t xml:space="preserve">u </w:t>
      </w:r>
      <w:r w:rsidR="003A20EE" w:rsidRPr="006C4F67">
        <w:t>pretežitom</w:t>
      </w:r>
      <w:r w:rsidR="00E01089" w:rsidRPr="006C4F67">
        <w:t xml:space="preserve"> vlasništvu Republike Hrvatske</w:t>
      </w:r>
      <w:r w:rsidR="003A20EE" w:rsidRPr="006C4F67">
        <w:t>”</w:t>
      </w:r>
      <w:r w:rsidRPr="006C4F67">
        <w:t xml:space="preserve"> može se utvrditi kako se u nji</w:t>
      </w:r>
      <w:r w:rsidRPr="00B74757">
        <w:t>ma, na više načina</w:t>
      </w:r>
      <w:r w:rsidR="00A94425" w:rsidRPr="00B74757">
        <w:t xml:space="preserve"> odnosno u više elemenata</w:t>
      </w:r>
      <w:r w:rsidRPr="00B74757">
        <w:t>, uređuje pitanje prava na otpremninu.</w:t>
      </w:r>
    </w:p>
    <w:p w:rsidR="00684C2E" w:rsidRPr="00B74757" w:rsidRDefault="00684C2E" w:rsidP="00684C2E">
      <w:pPr>
        <w:spacing w:line="240" w:lineRule="auto"/>
      </w:pPr>
    </w:p>
    <w:p w:rsidR="007E4AF0" w:rsidRPr="007544D9" w:rsidRDefault="00A94425" w:rsidP="00684C2E">
      <w:pPr>
        <w:spacing w:line="240" w:lineRule="auto"/>
      </w:pPr>
      <w:r w:rsidRPr="009769E7">
        <w:t>U</w:t>
      </w:r>
      <w:r w:rsidR="00684C2E" w:rsidRPr="009769E7">
        <w:t xml:space="preserve"> nekim </w:t>
      </w:r>
      <w:r w:rsidRPr="00692DE5">
        <w:t xml:space="preserve">se </w:t>
      </w:r>
      <w:r w:rsidR="00684C2E" w:rsidRPr="004D0AD5">
        <w:t>kolektivnim ugovorima djeluje na iznos, odnosno visinu otpremnine na način da se po godini staža kod poslodavca određuje iznos otpremnine u iznosu većem od onog i</w:t>
      </w:r>
      <w:r w:rsidR="00684C2E" w:rsidRPr="00E1401E">
        <w:t>z Zakona o radu – jedna trećine prosječne mjesečne plaće ko</w:t>
      </w:r>
      <w:r w:rsidR="00684C2E" w:rsidRPr="00D00975">
        <w:t>ju je radnik ostvario u tri mjeseca pr</w:t>
      </w:r>
      <w:r w:rsidR="0028745A" w:rsidRPr="00D00975">
        <w:t>i</w:t>
      </w:r>
      <w:r w:rsidR="00684C2E" w:rsidRPr="00A26596">
        <w:t>je prestanka ugovora o radu</w:t>
      </w:r>
      <w:r w:rsidR="007E4AF0" w:rsidRPr="008B2ED7">
        <w:t xml:space="preserve"> – bilo u postotku ili u razmjeru s prosječnom plaćom ili u </w:t>
      </w:r>
      <w:r w:rsidRPr="008B2ED7">
        <w:t>a</w:t>
      </w:r>
      <w:r w:rsidR="007E4AF0" w:rsidRPr="008B2ED7">
        <w:t>psolutnom broju, u valuti.</w:t>
      </w:r>
      <w:r w:rsidR="00684C2E" w:rsidRPr="008B2ED7">
        <w:t xml:space="preserve"> </w:t>
      </w:r>
    </w:p>
    <w:p w:rsidR="007E4AF0" w:rsidRPr="00B4742D" w:rsidRDefault="007E4AF0" w:rsidP="00684C2E">
      <w:pPr>
        <w:spacing w:line="240" w:lineRule="auto"/>
      </w:pPr>
    </w:p>
    <w:p w:rsidR="00684C2E" w:rsidRPr="00B4742D" w:rsidRDefault="007E4AF0" w:rsidP="00684C2E">
      <w:pPr>
        <w:spacing w:line="240" w:lineRule="auto"/>
      </w:pPr>
      <w:r w:rsidRPr="00B4742D">
        <w:t xml:space="preserve">Također se, u kolektivnim ugovorima, drugačije, u višem iznosu, određuje najveći iznos otpremnine, bilo da se za takav iznos </w:t>
      </w:r>
      <w:r w:rsidR="00684C2E" w:rsidRPr="00B4742D">
        <w:t>postavlja veći broj mjesečnih plaća</w:t>
      </w:r>
      <w:r w:rsidRPr="00B4742D">
        <w:t>,</w:t>
      </w:r>
      <w:r w:rsidR="00684C2E" w:rsidRPr="00B4742D">
        <w:t xml:space="preserve"> u odnosu na šest prosječnih m</w:t>
      </w:r>
      <w:r w:rsidRPr="00B4742D">
        <w:t xml:space="preserve">jesečnih plaća iz Zakona o radu, bilo da se najveći iznos otpremnine određuje u </w:t>
      </w:r>
      <w:r w:rsidR="00913929" w:rsidRPr="00B4742D">
        <w:t xml:space="preserve">nekom </w:t>
      </w:r>
      <w:r w:rsidRPr="00B4742D">
        <w:t xml:space="preserve">apsolutnom </w:t>
      </w:r>
      <w:r w:rsidR="00913929" w:rsidRPr="00B4742D">
        <w:t>iznosu.</w:t>
      </w:r>
    </w:p>
    <w:p w:rsidR="007E4AF0" w:rsidRPr="00B4742D" w:rsidRDefault="007E4AF0" w:rsidP="00684C2E">
      <w:pPr>
        <w:spacing w:line="240" w:lineRule="auto"/>
      </w:pPr>
    </w:p>
    <w:p w:rsidR="007E4AF0" w:rsidRPr="00B4742D" w:rsidRDefault="007E4AF0" w:rsidP="00684C2E">
      <w:pPr>
        <w:spacing w:line="240" w:lineRule="auto"/>
      </w:pPr>
      <w:r w:rsidRPr="00B4742D">
        <w:t>Istom se može utvrditi kako se za neke kategorije radnika, starije radnike ili radnike s više staža kod poslodavca, ponekad predviđaju stimulativni elementi u formuli za izračun otpremnine, na način da se za njih iznos otpremnine uvećava. Također se, u nekim kolektivnim ugovorima, diferenciraju elementi formule za izračun otpremnine kod radnika koji rade n</w:t>
      </w:r>
      <w:r w:rsidR="00A94425" w:rsidRPr="00B4742D">
        <w:t>a</w:t>
      </w:r>
      <w:r w:rsidRPr="00B4742D">
        <w:t xml:space="preserve"> različitim radnim mjestima.</w:t>
      </w:r>
    </w:p>
    <w:p w:rsidR="00684C2E" w:rsidRPr="00B4742D" w:rsidRDefault="00684C2E" w:rsidP="00684C2E">
      <w:pPr>
        <w:spacing w:line="240" w:lineRule="auto"/>
      </w:pPr>
    </w:p>
    <w:p w:rsidR="008C0676" w:rsidRPr="00B4742D" w:rsidRDefault="008C0676" w:rsidP="00466D80">
      <w:pPr>
        <w:spacing w:line="240" w:lineRule="auto"/>
      </w:pPr>
      <w:r w:rsidRPr="00B4742D">
        <w:t xml:space="preserve">Već samo </w:t>
      </w:r>
      <w:r w:rsidR="007E4AF0" w:rsidRPr="00B4742D">
        <w:t>predstavljanje</w:t>
      </w:r>
      <w:r w:rsidRPr="00B4742D">
        <w:t>m mogućnosti</w:t>
      </w:r>
      <w:r w:rsidR="007E4AF0" w:rsidRPr="00B4742D">
        <w:t xml:space="preserve"> različitih nač</w:t>
      </w:r>
      <w:r w:rsidRPr="00B4742D">
        <w:t>ina uređenja prava na otpremninu</w:t>
      </w:r>
      <w:r w:rsidR="007E4AF0" w:rsidRPr="00B4742D">
        <w:t xml:space="preserve"> u kolektivnim ugovorima</w:t>
      </w:r>
      <w:r w:rsidRPr="00B4742D">
        <w:t>, podredno i pravilnicima o radu,</w:t>
      </w:r>
      <w:r w:rsidR="007E4AF0" w:rsidRPr="00B4742D">
        <w:t xml:space="preserve"> </w:t>
      </w:r>
      <w:r w:rsidR="000D27A8" w:rsidRPr="00B4742D">
        <w:t>uočen</w:t>
      </w:r>
      <w:r w:rsidRPr="00B4742D">
        <w:t>im</w:t>
      </w:r>
      <w:r w:rsidR="007E4AF0" w:rsidRPr="00B4742D">
        <w:t xml:space="preserve"> pregledom više kole</w:t>
      </w:r>
      <w:r w:rsidR="000D27A8" w:rsidRPr="00B4742D">
        <w:t>k</w:t>
      </w:r>
      <w:r w:rsidR="007E4AF0" w:rsidRPr="00B4742D">
        <w:t>tivnih ugovora</w:t>
      </w:r>
      <w:r w:rsidRPr="00B4742D">
        <w:t xml:space="preserve"> i pravilnika o radu</w:t>
      </w:r>
      <w:r w:rsidR="007E4AF0" w:rsidRPr="00B4742D">
        <w:t xml:space="preserve"> u Republici Hrvatskoj</w:t>
      </w:r>
      <w:r w:rsidRPr="00B4742D">
        <w:t>, a</w:t>
      </w:r>
      <w:r w:rsidR="007E4AF0" w:rsidRPr="00B4742D">
        <w:t xml:space="preserve"> št</w:t>
      </w:r>
      <w:r w:rsidRPr="00B4742D">
        <w:t>o</w:t>
      </w:r>
      <w:r w:rsidR="007E4AF0" w:rsidRPr="00B4742D">
        <w:t xml:space="preserve">, s obzirom da ne postoji podrobnija i </w:t>
      </w:r>
      <w:r w:rsidRPr="00B4742D">
        <w:t>posustavljena</w:t>
      </w:r>
      <w:r w:rsidR="007E4AF0" w:rsidRPr="00B4742D">
        <w:t xml:space="preserve"> analiza </w:t>
      </w:r>
      <w:r w:rsidR="000D27A8" w:rsidRPr="00B4742D">
        <w:t>uređenja prava na otpremninu</w:t>
      </w:r>
      <w:r w:rsidRPr="00B4742D">
        <w:t xml:space="preserve">, </w:t>
      </w:r>
      <w:r w:rsidR="00492AF2" w:rsidRPr="00B4742D">
        <w:t xml:space="preserve">a što </w:t>
      </w:r>
      <w:r w:rsidRPr="00B4742D">
        <w:t xml:space="preserve">jest praktično jedini način </w:t>
      </w:r>
      <w:r w:rsidR="000D27A8" w:rsidRPr="00B4742D">
        <w:t>zahvata ove materije</w:t>
      </w:r>
      <w:r w:rsidR="00492AF2" w:rsidRPr="00B4742D">
        <w:t>,</w:t>
      </w:r>
      <w:r w:rsidRPr="00B4742D">
        <w:t xml:space="preserve"> uočljivo jest kako se u nas na više načina uvodilo različite korektivne elemente kojima se djelovalo na povećanje iznos</w:t>
      </w:r>
      <w:r w:rsidR="0028745A" w:rsidRPr="00B4742D">
        <w:t>a</w:t>
      </w:r>
      <w:r w:rsidRPr="00B4742D">
        <w:t xml:space="preserve"> otpremnine, prema svim ili dijelu radnika</w:t>
      </w:r>
      <w:r w:rsidR="000D27A8" w:rsidRPr="00B4742D">
        <w:t xml:space="preserve">. </w:t>
      </w:r>
    </w:p>
    <w:p w:rsidR="008C0676" w:rsidRPr="00B4742D" w:rsidRDefault="008C0676" w:rsidP="00466D80">
      <w:pPr>
        <w:spacing w:line="240" w:lineRule="auto"/>
      </w:pPr>
    </w:p>
    <w:p w:rsidR="008C0676" w:rsidRPr="00B4742D" w:rsidRDefault="008C0676" w:rsidP="00466D80">
      <w:pPr>
        <w:spacing w:line="240" w:lineRule="auto"/>
      </w:pPr>
      <w:r w:rsidRPr="00B4742D">
        <w:t>Uz to v</w:t>
      </w:r>
      <w:r w:rsidR="000D27A8" w:rsidRPr="00B4742D">
        <w:t>alja spomenuti</w:t>
      </w:r>
      <w:r w:rsidRPr="00B4742D">
        <w:t xml:space="preserve"> i</w:t>
      </w:r>
      <w:r w:rsidR="000D27A8" w:rsidRPr="00B4742D">
        <w:t xml:space="preserve"> kako se</w:t>
      </w:r>
      <w:r w:rsidRPr="00B4742D">
        <w:t xml:space="preserve"> mogućnost da se kolektivnim ugovorima i pravilnicima o radu pravo na otpremninu može i drugačije urediti, pod povoljnijim uvjetima odnosno u iznosu višem od onog iz Zakona o radu, između mogućnosti ova dva izvora ipak uviđaju </w:t>
      </w:r>
      <w:r w:rsidR="0028745A" w:rsidRPr="00B4742D">
        <w:t>izvjesne</w:t>
      </w:r>
      <w:r w:rsidRPr="00B4742D">
        <w:t xml:space="preserve"> razlike – iako je </w:t>
      </w:r>
      <w:r w:rsidR="000D27A8" w:rsidRPr="00B4742D">
        <w:t xml:space="preserve">sve ono što je ovdje u pogledu kolektivnih ugovora narečeno primjenjivo i za uređenje prava na otpremninu pravilnicima o radu, </w:t>
      </w:r>
      <w:r w:rsidRPr="00B4742D">
        <w:t xml:space="preserve">ipak je ključna činjenica kako je </w:t>
      </w:r>
      <w:r w:rsidR="000D27A8" w:rsidRPr="00B4742D">
        <w:t xml:space="preserve">izdašnost uređenja </w:t>
      </w:r>
      <w:r w:rsidRPr="00B4742D">
        <w:t xml:space="preserve">pravilnikom o radu </w:t>
      </w:r>
      <w:r w:rsidR="000D27A8" w:rsidRPr="00B4742D">
        <w:t>bitno manja, slijedom činjenice kako se radi o jednostranom (samo)uređenju poslodavca</w:t>
      </w:r>
      <w:r w:rsidRPr="00B4742D">
        <w:t>, koji će ponajčešće u svom pravilniku o radu, uz samo minimalne korekcije, ponoviti uređenje iz Zakona o radu</w:t>
      </w:r>
      <w:r w:rsidR="000D27A8" w:rsidRPr="00B4742D">
        <w:t>.</w:t>
      </w:r>
      <w:r w:rsidRPr="00B4742D">
        <w:t xml:space="preserve"> Određena iznimka, ovdje, može se spomenuti u vezi s restrukturiranjem poslodavca kod kojeg poslodavci ponekad, jednostrano i dobrovoljno, podižu iznose pripadne za otpremninu, po godini staža kod poslodavca, radi motivacije radnika za “prihvat” otkaza ugovora o radu</w:t>
      </w:r>
      <w:r w:rsidRPr="00B4742D">
        <w:rPr>
          <w:rStyle w:val="FootnoteReference"/>
        </w:rPr>
        <w:footnoteReference w:id="57"/>
      </w:r>
      <w:r w:rsidRPr="00B4742D">
        <w:t xml:space="preserve">, ili prihvat ponude za sklapanjem sporazuma o prestanku ugovora o radu. </w:t>
      </w:r>
    </w:p>
    <w:p w:rsidR="00E01089" w:rsidRPr="00B4742D" w:rsidRDefault="00E01089" w:rsidP="00466D80">
      <w:pPr>
        <w:spacing w:line="240" w:lineRule="auto"/>
      </w:pPr>
    </w:p>
    <w:p w:rsidR="00635259" w:rsidRPr="002017C6" w:rsidRDefault="00635259" w:rsidP="00635259">
      <w:pPr>
        <w:pStyle w:val="Heading2"/>
        <w:spacing w:line="240" w:lineRule="auto"/>
      </w:pPr>
      <w:bookmarkStart w:id="16" w:name="_Toc365828834"/>
      <w:r w:rsidRPr="002017C6">
        <w:t>2.4. Status otpremnina u odredbama poreznih propisa</w:t>
      </w:r>
      <w:bookmarkEnd w:id="16"/>
      <w:r w:rsidRPr="002017C6">
        <w:t xml:space="preserve"> </w:t>
      </w:r>
    </w:p>
    <w:p w:rsidR="00635259" w:rsidRPr="002017C6" w:rsidRDefault="00635259" w:rsidP="000D245B">
      <w:pPr>
        <w:spacing w:line="240" w:lineRule="auto"/>
      </w:pPr>
    </w:p>
    <w:p w:rsidR="009813E5" w:rsidRPr="009336BF" w:rsidRDefault="009813E5" w:rsidP="009813E5">
      <w:pPr>
        <w:spacing w:line="240" w:lineRule="auto"/>
      </w:pPr>
      <w:r w:rsidRPr="002017C6">
        <w:t xml:space="preserve">Zakon o radu sadrži kogentne odredbe o otpremnini kojima se jamči najniža razina prava u pogledu otpremnine. </w:t>
      </w:r>
      <w:r w:rsidRPr="009336BF">
        <w:t>U poreznim se propisima zrcali status otpremnina, u dijelu koji je neoporeziv i dijelu koji je oporeziv.</w:t>
      </w:r>
    </w:p>
    <w:p w:rsidR="009813E5" w:rsidRPr="009336BF" w:rsidRDefault="009813E5" w:rsidP="000D245B">
      <w:pPr>
        <w:spacing w:line="240" w:lineRule="auto"/>
      </w:pPr>
    </w:p>
    <w:p w:rsidR="00635259" w:rsidRPr="006C4F67" w:rsidRDefault="00635259" w:rsidP="00380C28">
      <w:pPr>
        <w:tabs>
          <w:tab w:val="clear" w:pos="0"/>
          <w:tab w:val="clear" w:pos="9360"/>
          <w:tab w:val="left" w:pos="8820"/>
        </w:tabs>
        <w:spacing w:line="240" w:lineRule="auto"/>
      </w:pPr>
      <w:r w:rsidRPr="00C7332E">
        <w:t>Neoporeziv</w:t>
      </w:r>
      <w:r w:rsidR="00380C28" w:rsidRPr="00C7332E">
        <w:t xml:space="preserve">i </w:t>
      </w:r>
      <w:r w:rsidRPr="00C7332E">
        <w:t xml:space="preserve">iznos otpremnine koju poslodavac može isplatiti svojim radnicima i uvjeti za isplatu određenog neoporezivog primitka, propisani su odredbama članka 13. </w:t>
      </w:r>
      <w:r w:rsidR="000D245B" w:rsidRPr="00C7332E">
        <w:t>s</w:t>
      </w:r>
      <w:r w:rsidRPr="006C4F67">
        <w:t>tavaka 1. i 2. Pravilnika o porezu na dohodak</w:t>
      </w:r>
      <w:r w:rsidRPr="00B4742D">
        <w:rPr>
          <w:vertAlign w:val="superscript"/>
        </w:rPr>
        <w:footnoteReference w:id="58"/>
      </w:r>
      <w:r w:rsidR="000D245B" w:rsidRPr="00B4742D">
        <w:t xml:space="preserve">, a slijedom </w:t>
      </w:r>
      <w:r w:rsidR="000D245B" w:rsidRPr="00B4742D">
        <w:rPr>
          <w:bCs w:val="0"/>
          <w:color w:val="auto"/>
        </w:rPr>
        <w:t>odredbi članka 14. stavka 1. točke 1. podtočke 1.2. Zakona o porezu na dohodak</w:t>
      </w:r>
      <w:r w:rsidR="000D245B" w:rsidRPr="00B4742D">
        <w:rPr>
          <w:rStyle w:val="FootnoteReference"/>
          <w:bCs w:val="0"/>
          <w:color w:val="auto"/>
        </w:rPr>
        <w:footnoteReference w:id="59"/>
      </w:r>
      <w:r w:rsidR="000D245B" w:rsidRPr="00B4742D">
        <w:rPr>
          <w:bCs w:val="0"/>
          <w:color w:val="auto"/>
        </w:rPr>
        <w:t>.</w:t>
      </w:r>
      <w:r w:rsidR="00890C05" w:rsidRPr="00B4742D">
        <w:rPr>
          <w:bCs w:val="0"/>
          <w:color w:val="auto"/>
        </w:rPr>
        <w:t xml:space="preserve"> </w:t>
      </w:r>
      <w:r w:rsidR="00380C28" w:rsidRPr="00B4742D">
        <w:rPr>
          <w:bCs w:val="0"/>
          <w:color w:val="auto"/>
        </w:rPr>
        <w:t>A</w:t>
      </w:r>
      <w:r w:rsidR="00380C28" w:rsidRPr="00B4742D">
        <w:t>ko nisu ispunjeni uvjeti za isplatu neoporeziv</w:t>
      </w:r>
      <w:r w:rsidR="00380C28" w:rsidRPr="002017C6">
        <w:t>og otpremnine, cijeli se</w:t>
      </w:r>
      <w:r w:rsidR="00380C28" w:rsidRPr="00EB67A0">
        <w:t xml:space="preserve"> isplaćeni iznos, u poreznom smislu, smatra isplatom plaće i podliježe plaćanju poreza, prireza i doprinosa. Također, u</w:t>
      </w:r>
      <w:r w:rsidRPr="009336BF">
        <w:t xml:space="preserve"> iznosu preko neoporezivog </w:t>
      </w:r>
      <w:r w:rsidR="00890C05" w:rsidRPr="009336BF">
        <w:t xml:space="preserve">iznosa </w:t>
      </w:r>
      <w:r w:rsidRPr="009336BF">
        <w:t>razlika iznad neoporezivog iznosa</w:t>
      </w:r>
      <w:r w:rsidR="00890C05" w:rsidRPr="00C7332E">
        <w:t>,</w:t>
      </w:r>
      <w:r w:rsidRPr="00C7332E">
        <w:t xml:space="preserve"> u poreznom smislu</w:t>
      </w:r>
      <w:r w:rsidR="00890C05" w:rsidRPr="00C7332E">
        <w:t>,</w:t>
      </w:r>
      <w:r w:rsidRPr="00C7332E">
        <w:t xml:space="preserve"> izjednačena </w:t>
      </w:r>
      <w:r w:rsidR="00890C05" w:rsidRPr="006C4F67">
        <w:t xml:space="preserve">je </w:t>
      </w:r>
      <w:r w:rsidR="00380C28" w:rsidRPr="006C4F67">
        <w:t>s isplatom plaće.</w:t>
      </w:r>
    </w:p>
    <w:p w:rsidR="00380C28" w:rsidRPr="006C4F67" w:rsidRDefault="00380C28" w:rsidP="00380C28">
      <w:pPr>
        <w:spacing w:line="240" w:lineRule="auto"/>
      </w:pPr>
    </w:p>
    <w:p w:rsidR="009813E5" w:rsidRPr="00B4742D" w:rsidRDefault="009813E5" w:rsidP="00380C28">
      <w:pPr>
        <w:spacing w:line="240" w:lineRule="auto"/>
      </w:pPr>
      <w:r w:rsidRPr="00B74757">
        <w:t>Dakle,</w:t>
      </w:r>
      <w:r w:rsidR="0064103C" w:rsidRPr="00B74757">
        <w:t xml:space="preserve"> prema odredbi članka 13. stavaka 2. točke 21. Pravilnika o porezu na dohodak</w:t>
      </w:r>
      <w:r w:rsidRPr="00B74757">
        <w:t xml:space="preserve"> otpremnina zbog poslovno i osobno uvjetovanih otkaza ugovora o radu, koja je određena prema Zakonu o radu jest neoporeziva do iznosa HRK 6.400,00, za svaku navršenu godinu rada kod poslodavca. Na jednak je </w:t>
      </w:r>
      <w:r w:rsidR="0028745A" w:rsidRPr="00B74757">
        <w:t>n</w:t>
      </w:r>
      <w:r w:rsidRPr="00B74757">
        <w:t>ačin neoporeziva i otpremnina posljedična prestanku ugovora o radu zbog ozljede na radu ili profesionalne bolesti do iznosa HRK 8.000,00, za svaku navršenu godinu rada kod poslodavca. Porezni pro</w:t>
      </w:r>
      <w:r w:rsidRPr="009769E7">
        <w:t xml:space="preserve">pisi </w:t>
      </w:r>
      <w:r w:rsidR="0064103C" w:rsidRPr="009769E7">
        <w:t>r</w:t>
      </w:r>
      <w:r w:rsidRPr="004D0AD5">
        <w:t>adom kod istog poslodavca smatra</w:t>
      </w:r>
      <w:r w:rsidR="0064103C" w:rsidRPr="004D0AD5">
        <w:t xml:space="preserve">ju </w:t>
      </w:r>
      <w:r w:rsidRPr="004D0AD5">
        <w:t>i razdoblje rada kod prethodnog poslodavca, ako s</w:t>
      </w:r>
      <w:r w:rsidR="0064103C" w:rsidRPr="00E1401E">
        <w:t>u</w:t>
      </w:r>
      <w:r w:rsidRPr="00E1401E">
        <w:t>, prema odredbama Zakona o radu, na novog poslodavca pren</w:t>
      </w:r>
      <w:r w:rsidR="0064103C" w:rsidRPr="00D00975">
        <w:t>eseni</w:t>
      </w:r>
      <w:r w:rsidRPr="00D00975">
        <w:t xml:space="preserve"> ugovori o radu radnika koji rade u poduzeću ili dijelu poduzeća koje se statusnom promjenom ili pravnim poslom prenosi na novog poslodavca</w:t>
      </w:r>
      <w:r w:rsidR="0064103C" w:rsidRPr="008B2ED7">
        <w:t>, a n</w:t>
      </w:r>
      <w:r w:rsidRPr="008B2ED7">
        <w:t xml:space="preserve">avedena </w:t>
      </w:r>
      <w:r w:rsidR="0064103C" w:rsidRPr="008B2ED7">
        <w:t xml:space="preserve">se </w:t>
      </w:r>
      <w:r w:rsidRPr="008B2ED7">
        <w:t>odredba</w:t>
      </w:r>
      <w:r w:rsidRPr="007544D9">
        <w:t xml:space="preserve"> se na odgovarajući način primjenjuje i n</w:t>
      </w:r>
      <w:r w:rsidR="0064103C" w:rsidRPr="00B4742D">
        <w:t>a ustanove i druge pravne osobe.</w:t>
      </w:r>
    </w:p>
    <w:p w:rsidR="009813E5" w:rsidRPr="00B4742D" w:rsidRDefault="009813E5" w:rsidP="00380C28">
      <w:pPr>
        <w:spacing w:line="240" w:lineRule="auto"/>
        <w:rPr>
          <w:color w:val="auto"/>
        </w:rPr>
      </w:pPr>
    </w:p>
    <w:p w:rsidR="0064103C" w:rsidRPr="00B4742D" w:rsidRDefault="0064103C" w:rsidP="00380C28">
      <w:pPr>
        <w:spacing w:line="240" w:lineRule="auto"/>
        <w:rPr>
          <w:color w:val="auto"/>
        </w:rPr>
      </w:pPr>
      <w:r w:rsidRPr="00B4742D">
        <w:rPr>
          <w:color w:val="auto"/>
        </w:rPr>
        <w:t xml:space="preserve">U ovom uređenju nekoliko je otvorenih pitanja. Prije svega, dikcija odredbe </w:t>
      </w:r>
      <w:r w:rsidRPr="00B74757">
        <w:rPr>
          <w:color w:val="auto"/>
        </w:rPr>
        <w:t>Pravilnika o porezu na dohodak nije sasvim jas</w:t>
      </w:r>
      <w:r w:rsidRPr="009769E7">
        <w:rPr>
          <w:color w:val="auto"/>
        </w:rPr>
        <w:t>na – ona, naime, kazuje “</w:t>
      </w:r>
      <w:r w:rsidRPr="009769E7">
        <w:rPr>
          <w:rFonts w:cs="Arial"/>
          <w:color w:val="auto"/>
        </w:rPr>
        <w:t>otpremnine zbog poslovno uvjetovanih otkaza i osobno uvjetovanih otkaza, prema Zakonu o radu</w:t>
      </w:r>
      <w:r w:rsidRPr="004D0AD5">
        <w:rPr>
          <w:color w:val="auto"/>
        </w:rPr>
        <w:t>”</w:t>
      </w:r>
      <w:r w:rsidRPr="004D0AD5">
        <w:rPr>
          <w:rFonts w:cs="Arial"/>
          <w:color w:val="auto"/>
        </w:rPr>
        <w:t>, pri čemu nije sasvim jasno radi li se tu o tome da je neoporeziva otpremnina koja je posljedica poslovno i osobno uvjetovanih otkaza pre</w:t>
      </w:r>
      <w:r w:rsidRPr="00E1401E">
        <w:rPr>
          <w:rFonts w:cs="Arial"/>
          <w:color w:val="auto"/>
        </w:rPr>
        <w:t>ma Zakonu o radu, a što je notorno, ili je, pak, neoporeziv</w:t>
      </w:r>
      <w:r w:rsidRPr="00D00975">
        <w:rPr>
          <w:rFonts w:cs="Arial"/>
          <w:color w:val="auto"/>
        </w:rPr>
        <w:t xml:space="preserve">a otpremnina u tom slučaju koja se daje prema parametrima i obračunskoj formuli iz Zakona o radu, ili je neoporeziva </w:t>
      </w:r>
      <w:r w:rsidR="00C94FAE" w:rsidRPr="008B2ED7">
        <w:rPr>
          <w:rFonts w:cs="Arial"/>
          <w:color w:val="auto"/>
        </w:rPr>
        <w:t xml:space="preserve">i </w:t>
      </w:r>
      <w:r w:rsidRPr="008B2ED7">
        <w:rPr>
          <w:rFonts w:cs="Arial"/>
          <w:color w:val="auto"/>
        </w:rPr>
        <w:t xml:space="preserve">svaka otpremnina koja se daje bilo prema parametrima i obračunskoj formuli iz Zakona o radu, bilo prema nekim drugim parametrima iz drugog zakona, kolektivnog ugovora, </w:t>
      </w:r>
      <w:r w:rsidRPr="008B2ED7">
        <w:t>pravilnika o radu ili ugovora o radu kojima je</w:t>
      </w:r>
      <w:r w:rsidR="00C94FAE" w:rsidRPr="00B4742D">
        <w:t xml:space="preserve">, slijedom odredbe </w:t>
      </w:r>
      <w:r w:rsidRPr="00B4742D">
        <w:t>članka 119. stavka 3. Zakona o radu</w:t>
      </w:r>
      <w:r w:rsidR="00C94FAE" w:rsidRPr="00B4742D">
        <w:t xml:space="preserve">, </w:t>
      </w:r>
      <w:r w:rsidRPr="00B4742D">
        <w:t>otpremnin</w:t>
      </w:r>
      <w:r w:rsidR="00C94FAE" w:rsidRPr="00B4742D">
        <w:t>a</w:t>
      </w:r>
      <w:r w:rsidRPr="00B4742D">
        <w:t xml:space="preserve"> drugačije ure</w:t>
      </w:r>
      <w:r w:rsidR="00C94FAE" w:rsidRPr="00B4742D">
        <w:t>đena</w:t>
      </w:r>
      <w:r w:rsidRPr="00B4742D">
        <w:t>, pod povoljnijim uvjetima odnosno u iznosu višem od onog iz Zakona o radu</w:t>
      </w:r>
      <w:r w:rsidR="00C94FAE" w:rsidRPr="00B4742D">
        <w:t>. Činjenica da se poreznim propisima ne ograničava najviši iznos neoporezive otpremnine ovdje ne pomaže.</w:t>
      </w:r>
      <w:r w:rsidR="00C94FAE" w:rsidRPr="00B4742D">
        <w:rPr>
          <w:rStyle w:val="FootnoteReference"/>
        </w:rPr>
        <w:footnoteReference w:id="60"/>
      </w:r>
      <w:r w:rsidR="00C94FAE" w:rsidRPr="00B4742D">
        <w:t xml:space="preserve"> </w:t>
      </w:r>
    </w:p>
    <w:p w:rsidR="00885E48" w:rsidRPr="00B4742D" w:rsidRDefault="00885E48" w:rsidP="00380C28">
      <w:pPr>
        <w:spacing w:line="240" w:lineRule="auto"/>
        <w:rPr>
          <w:color w:val="auto"/>
        </w:rPr>
      </w:pPr>
    </w:p>
    <w:p w:rsidR="00EE6840" w:rsidRPr="00B74757" w:rsidRDefault="00DE1BA7" w:rsidP="00EE6840">
      <w:pPr>
        <w:spacing w:line="240" w:lineRule="auto"/>
      </w:pPr>
      <w:r w:rsidRPr="00B4742D">
        <w:t xml:space="preserve">Povezano i s određivanjem iznos otpremnine nije sasvim jasno i to je li </w:t>
      </w:r>
      <w:r w:rsidR="00EE6840" w:rsidRPr="00B4742D">
        <w:t>otpremnin</w:t>
      </w:r>
      <w:r w:rsidRPr="002017C6">
        <w:t>a</w:t>
      </w:r>
      <w:r w:rsidR="00EE6840" w:rsidRPr="002017C6">
        <w:t xml:space="preserve"> određen</w:t>
      </w:r>
      <w:r w:rsidRPr="002017C6">
        <w:t>a</w:t>
      </w:r>
      <w:r w:rsidR="00EE6840" w:rsidRPr="002017C6">
        <w:t xml:space="preserve"> u </w:t>
      </w:r>
      <w:r w:rsidRPr="009336BF">
        <w:t xml:space="preserve">iznosu </w:t>
      </w:r>
      <w:r w:rsidR="00EE6840" w:rsidRPr="009336BF">
        <w:t>već</w:t>
      </w:r>
      <w:r w:rsidRPr="009336BF">
        <w:t>em</w:t>
      </w:r>
      <w:r w:rsidR="00EE6840" w:rsidRPr="00C7332E">
        <w:t xml:space="preserve"> od neoporezivog</w:t>
      </w:r>
      <w:r w:rsidRPr="00C7332E">
        <w:t xml:space="preserve"> pripadna radniku u </w:t>
      </w:r>
      <w:r w:rsidR="00EE6840" w:rsidRPr="00C7332E">
        <w:t xml:space="preserve">neto </w:t>
      </w:r>
      <w:r w:rsidRPr="00C7332E">
        <w:t xml:space="preserve">iznosu ili se radi o </w:t>
      </w:r>
      <w:r w:rsidR="00EE6840" w:rsidRPr="006C4F67">
        <w:t>bruto iznos</w:t>
      </w:r>
      <w:r w:rsidRPr="006C4F67">
        <w:t xml:space="preserve">u, od kojih treba odbiti </w:t>
      </w:r>
      <w:r w:rsidR="00EE6840" w:rsidRPr="006C4F67">
        <w:t xml:space="preserve">doprinose iz plaće i porez na dohodak. </w:t>
      </w:r>
      <w:r w:rsidRPr="006C4F67">
        <w:t>Kako potonje predstavlja značajne izdatke to bi s</w:t>
      </w:r>
      <w:r w:rsidR="00EE6840" w:rsidRPr="00B74757">
        <w:t>tran</w:t>
      </w:r>
      <w:r w:rsidRPr="00B74757">
        <w:t>e takvog ugovaranja (poslodavci, sindikati i radnici) i odlučivanja (poslodavci) sporove s tim u vezi trebali prevenirati jasnim sadržajnim uređenjem iznosa otpremnine i obveza snošenja svih daljnjih opterećenja</w:t>
      </w:r>
      <w:r w:rsidR="00EE6840" w:rsidRPr="00B74757">
        <w:t>.</w:t>
      </w:r>
    </w:p>
    <w:p w:rsidR="00EE6840" w:rsidRPr="009769E7" w:rsidRDefault="00EE6840" w:rsidP="00EE6840">
      <w:pPr>
        <w:spacing w:line="240" w:lineRule="auto"/>
      </w:pPr>
    </w:p>
    <w:p w:rsidR="00380C28" w:rsidRPr="00D00975" w:rsidRDefault="00BE244B" w:rsidP="00380C28">
      <w:pPr>
        <w:spacing w:line="240" w:lineRule="auto"/>
        <w:rPr>
          <w:color w:val="auto"/>
        </w:rPr>
      </w:pPr>
      <w:r w:rsidRPr="004D0AD5">
        <w:t xml:space="preserve">Odredba članka 13. stavka 2. točke 20. Pravilnika o porezu na dohodak također neoporezivim tretira i </w:t>
      </w:r>
      <w:r w:rsidR="00E223F2" w:rsidRPr="00E1401E">
        <w:rPr>
          <w:color w:val="auto"/>
        </w:rPr>
        <w:t xml:space="preserve">otpremnine prilikom odlaska u mirovinu do </w:t>
      </w:r>
      <w:r w:rsidRPr="00E1401E">
        <w:rPr>
          <w:color w:val="auto"/>
        </w:rPr>
        <w:t xml:space="preserve">iznos od HRK </w:t>
      </w:r>
      <w:r w:rsidR="00E223F2" w:rsidRPr="00E1401E">
        <w:rPr>
          <w:color w:val="auto"/>
        </w:rPr>
        <w:t>8.000,00</w:t>
      </w:r>
      <w:r w:rsidRPr="00D00975">
        <w:rPr>
          <w:color w:val="auto"/>
        </w:rPr>
        <w:t>.</w:t>
      </w:r>
    </w:p>
    <w:p w:rsidR="00380C28" w:rsidRDefault="00380C28" w:rsidP="00380C28">
      <w:pPr>
        <w:spacing w:line="240" w:lineRule="auto"/>
      </w:pPr>
    </w:p>
    <w:p w:rsidR="00B74757" w:rsidRDefault="00B74757" w:rsidP="00380C28">
      <w:pPr>
        <w:spacing w:line="240" w:lineRule="auto"/>
      </w:pPr>
      <w:r>
        <w:t>Kako su i</w:t>
      </w:r>
      <w:r w:rsidRPr="00C7332E">
        <w:t>z zakonskog uređenja prava na otpremninu posredno isključene</w:t>
      </w:r>
      <w:r>
        <w:t xml:space="preserve"> fizičke </w:t>
      </w:r>
      <w:r w:rsidRPr="00C7332E">
        <w:t xml:space="preserve">osobe </w:t>
      </w:r>
      <w:r>
        <w:t xml:space="preserve">koje </w:t>
      </w:r>
      <w:r w:rsidRPr="00C7332E">
        <w:t>kao član</w:t>
      </w:r>
      <w:r>
        <w:t>ovi</w:t>
      </w:r>
      <w:r w:rsidRPr="00C7332E">
        <w:t xml:space="preserve"> uprave, izvršni direktor</w:t>
      </w:r>
      <w:r>
        <w:t>i</w:t>
      </w:r>
      <w:r w:rsidRPr="00C7332E">
        <w:t xml:space="preserve"> ili u drugom svojstvu prema posebnom zakonu, pojedinačno i samostalno ili zajedno i skupno, </w:t>
      </w:r>
      <w:r>
        <w:t xml:space="preserve">jesu </w:t>
      </w:r>
      <w:r w:rsidRPr="00C7332E">
        <w:t>ovlašten</w:t>
      </w:r>
      <w:r>
        <w:t>e</w:t>
      </w:r>
      <w:r w:rsidRPr="00C7332E">
        <w:t xml:space="preserve"> voditi poslove poslodavca</w:t>
      </w:r>
      <w:r>
        <w:rPr>
          <w:rStyle w:val="FootnoteReference"/>
        </w:rPr>
        <w:footnoteReference w:id="61"/>
      </w:r>
      <w:r w:rsidRPr="00C7332E">
        <w:t xml:space="preserve">, </w:t>
      </w:r>
      <w:r>
        <w:t xml:space="preserve">na koje se i ako svoje poslove obavljaju u radnom odnosu ne </w:t>
      </w:r>
      <w:r w:rsidRPr="00C7332E">
        <w:t>primjenjuju odredbe Zakona</w:t>
      </w:r>
      <w:r>
        <w:t xml:space="preserve"> o radu</w:t>
      </w:r>
      <w:r w:rsidRPr="00C7332E">
        <w:t xml:space="preserve"> o prestanku ugovora o radu</w:t>
      </w:r>
      <w:r>
        <w:t xml:space="preserve">, pa ni ona o pravu na otpremninu, to će one, ako imaju neko obveznopravno ugovoreno pravo na otpremninu, biti isključene i iz “povlastica” neoporezivih iznosa otpremnine iz </w:t>
      </w:r>
      <w:r w:rsidRPr="00B74757">
        <w:rPr>
          <w:color w:val="auto"/>
        </w:rPr>
        <w:t>Pravilnika o porezu na dohodak</w:t>
      </w:r>
      <w:r>
        <w:rPr>
          <w:color w:val="auto"/>
        </w:rPr>
        <w:t>, odnosno će im otpremnina uvijek i u punom iznosu biti oporeziva.</w:t>
      </w:r>
      <w:r>
        <w:t xml:space="preserve"> </w:t>
      </w:r>
    </w:p>
    <w:p w:rsidR="00B74757" w:rsidRPr="00B74757" w:rsidRDefault="00B74757" w:rsidP="00380C28">
      <w:pPr>
        <w:spacing w:line="240" w:lineRule="auto"/>
      </w:pPr>
    </w:p>
    <w:p w:rsidR="00641867" w:rsidRPr="00B74757" w:rsidRDefault="00641867" w:rsidP="00641867">
      <w:pPr>
        <w:pStyle w:val="Heading1"/>
      </w:pPr>
      <w:bookmarkStart w:id="17" w:name="_Toc365828835"/>
      <w:r w:rsidRPr="00B74757">
        <w:t>3. Ekonomska obilježja sustava otpremnina u Republici Hrvatskoj</w:t>
      </w:r>
      <w:bookmarkEnd w:id="17"/>
      <w:r w:rsidRPr="00B74757">
        <w:t xml:space="preserve"> </w:t>
      </w:r>
    </w:p>
    <w:p w:rsidR="00641867" w:rsidRPr="00B74757" w:rsidRDefault="00641867" w:rsidP="00641867">
      <w:pPr>
        <w:spacing w:line="240" w:lineRule="auto"/>
      </w:pPr>
    </w:p>
    <w:p w:rsidR="003F6130" w:rsidRPr="00B4742D" w:rsidRDefault="00381D2B" w:rsidP="007B0ACA">
      <w:pPr>
        <w:spacing w:line="240" w:lineRule="auto"/>
      </w:pPr>
      <w:r w:rsidRPr="009769E7">
        <w:t>K</w:t>
      </w:r>
      <w:r w:rsidR="00641867" w:rsidRPr="009769E7">
        <w:t>ada je riječ o</w:t>
      </w:r>
      <w:r w:rsidRPr="004D0AD5">
        <w:t xml:space="preserve"> sustavu o</w:t>
      </w:r>
      <w:r w:rsidR="00641867" w:rsidRPr="004D0AD5">
        <w:t>tpremnina</w:t>
      </w:r>
      <w:r w:rsidRPr="004D0AD5">
        <w:t xml:space="preserve"> u Republici Hrvatskoj</w:t>
      </w:r>
      <w:r w:rsidR="00641867" w:rsidRPr="004D0AD5">
        <w:t xml:space="preserve"> možemo </w:t>
      </w:r>
      <w:r w:rsidRPr="004D0AD5">
        <w:t>diferencirati</w:t>
      </w:r>
      <w:r w:rsidR="00641867" w:rsidRPr="004D0AD5">
        <w:t xml:space="preserve"> tri segmenta tržišta rada. Prvi</w:t>
      </w:r>
      <w:r w:rsidRPr="00E1401E">
        <w:t xml:space="preserve"> se</w:t>
      </w:r>
      <w:r w:rsidR="00641867" w:rsidRPr="00E1401E">
        <w:t xml:space="preserve"> segment odnosi na radnike u javnom sektoru koji su najvećim dijelom pokriveni kolektivnim ugovorima koji nude više nego izdašne otpremnine. U okviru tog</w:t>
      </w:r>
      <w:r w:rsidR="007B0ACA" w:rsidRPr="00D00975">
        <w:t>a</w:t>
      </w:r>
      <w:r w:rsidR="00641867" w:rsidRPr="00D00975">
        <w:t xml:space="preserve"> sustava u praksi su primijećene brojne m</w:t>
      </w:r>
      <w:r w:rsidR="00641867" w:rsidRPr="008B2ED7">
        <w:t>anipulacije</w:t>
      </w:r>
      <w:r w:rsidR="00495508" w:rsidRPr="00B4742D">
        <w:rPr>
          <w:rStyle w:val="FootnoteReference"/>
        </w:rPr>
        <w:footnoteReference w:id="62"/>
      </w:r>
      <w:r w:rsidR="00CE5B73" w:rsidRPr="00B4742D">
        <w:t xml:space="preserve">. </w:t>
      </w:r>
    </w:p>
    <w:p w:rsidR="003F6130" w:rsidRPr="00B4742D" w:rsidRDefault="003F6130" w:rsidP="007B0ACA">
      <w:pPr>
        <w:spacing w:line="240" w:lineRule="auto"/>
      </w:pPr>
    </w:p>
    <w:p w:rsidR="003F6130" w:rsidRPr="002017C6" w:rsidRDefault="00641867" w:rsidP="007B0ACA">
      <w:pPr>
        <w:spacing w:line="240" w:lineRule="auto"/>
      </w:pPr>
      <w:r w:rsidRPr="00B4742D">
        <w:t xml:space="preserve">Drugi </w:t>
      </w:r>
      <w:r w:rsidR="007B0ACA" w:rsidRPr="002017C6">
        <w:t xml:space="preserve">se </w:t>
      </w:r>
      <w:r w:rsidRPr="002017C6">
        <w:t xml:space="preserve">segment odnosi na radnike </w:t>
      </w:r>
      <w:r w:rsidR="007B0ACA" w:rsidRPr="002017C6">
        <w:t>poslodavaca</w:t>
      </w:r>
      <w:r w:rsidRPr="002017C6">
        <w:t xml:space="preserve"> u stečaju koji dio naknada za otpremnine</w:t>
      </w:r>
      <w:r w:rsidR="007B0ACA" w:rsidRPr="002017C6">
        <w:t xml:space="preserve">, u iznosu </w:t>
      </w:r>
      <w:r w:rsidRPr="009336BF">
        <w:t>polovic</w:t>
      </w:r>
      <w:r w:rsidR="007B0ACA" w:rsidRPr="009336BF">
        <w:t>e Zakonom o radu utvrđenog iznosa,</w:t>
      </w:r>
      <w:r w:rsidRPr="009336BF">
        <w:t xml:space="preserve"> dobivaju putem Agencije za osiguranje radničkih potraživanja u slučaju stečaja poslodavca.</w:t>
      </w:r>
      <w:r w:rsidR="00E02E69" w:rsidRPr="00B4742D">
        <w:rPr>
          <w:rStyle w:val="FootnoteReference"/>
        </w:rPr>
        <w:footnoteReference w:id="63"/>
      </w:r>
      <w:r w:rsidRPr="00B4742D">
        <w:t xml:space="preserve"> Međutim, ostatak iznosa otpremnine koji im pripada najčešće ne </w:t>
      </w:r>
      <w:r w:rsidR="007B0ACA" w:rsidRPr="00B4742D">
        <w:t xml:space="preserve">ostvaruju obzirom kod poslodavaca </w:t>
      </w:r>
      <w:r w:rsidRPr="00B4742D">
        <w:t xml:space="preserve">u stečaju rijetko ostane dovoljna stečajna masa kojom </w:t>
      </w:r>
      <w:r w:rsidRPr="002017C6">
        <w:t>se mogu namiriti n</w:t>
      </w:r>
      <w:r w:rsidR="007B0ACA" w:rsidRPr="002017C6">
        <w:t xml:space="preserve">avedena potraživanja. </w:t>
      </w:r>
    </w:p>
    <w:p w:rsidR="003F6130" w:rsidRPr="002017C6" w:rsidRDefault="003F6130" w:rsidP="007B0ACA">
      <w:pPr>
        <w:spacing w:line="240" w:lineRule="auto"/>
      </w:pPr>
    </w:p>
    <w:p w:rsidR="007B0ACA" w:rsidRPr="00D00975" w:rsidRDefault="007B0ACA" w:rsidP="007B0ACA">
      <w:pPr>
        <w:spacing w:line="240" w:lineRule="auto"/>
      </w:pPr>
      <w:r w:rsidRPr="009336BF">
        <w:lastRenderedPageBreak/>
        <w:t xml:space="preserve">Treći </w:t>
      </w:r>
      <w:r w:rsidR="003F6130" w:rsidRPr="009336BF">
        <w:t xml:space="preserve">se </w:t>
      </w:r>
      <w:r w:rsidRPr="009336BF">
        <w:t>segme</w:t>
      </w:r>
      <w:r w:rsidR="00641867" w:rsidRPr="00C7332E">
        <w:t>nt odnosi na radnike u privatnom sektoru koji ne ostvar</w:t>
      </w:r>
      <w:r w:rsidRPr="00C7332E">
        <w:t>uju</w:t>
      </w:r>
      <w:r w:rsidR="00641867" w:rsidRPr="00C7332E">
        <w:t xml:space="preserve"> pravo na otpremnine bilo na način da se po</w:t>
      </w:r>
      <w:r w:rsidRPr="00C7332E">
        <w:t xml:space="preserve">slodavci </w:t>
      </w:r>
      <w:r w:rsidR="00641867" w:rsidRPr="006C4F67">
        <w:t>ne pridržavaju zakonom utvrđeni</w:t>
      </w:r>
      <w:r w:rsidRPr="006C4F67">
        <w:t>h</w:t>
      </w:r>
      <w:r w:rsidR="00641867" w:rsidRPr="006C4F67">
        <w:t xml:space="preserve"> obveza</w:t>
      </w:r>
      <w:r w:rsidRPr="006C4F67">
        <w:t xml:space="preserve">, bilo na način da poslodavci </w:t>
      </w:r>
      <w:r w:rsidR="00641867" w:rsidRPr="00B74757">
        <w:t xml:space="preserve">nastoje manipulirati načinom </w:t>
      </w:r>
      <w:r w:rsidRPr="00B74757">
        <w:t>prestanka ugovora o radu svojih radnika</w:t>
      </w:r>
      <w:r w:rsidR="00641867" w:rsidRPr="00B74757">
        <w:t>. S obzirom da se pravo na otpremnin</w:t>
      </w:r>
      <w:r w:rsidRPr="00B74757">
        <w:t xml:space="preserve">u ostvaruje </w:t>
      </w:r>
      <w:r w:rsidR="00641867" w:rsidRPr="00B74757">
        <w:t xml:space="preserve">samo u slučaju otkaza </w:t>
      </w:r>
      <w:r w:rsidRPr="00B74757">
        <w:t xml:space="preserve">ugovora o radu sa strane </w:t>
      </w:r>
      <w:r w:rsidR="00641867" w:rsidRPr="00B74757">
        <w:t>poslodavca</w:t>
      </w:r>
      <w:r w:rsidRPr="00B74757">
        <w:t xml:space="preserve">, tada poslodavci ili nameću </w:t>
      </w:r>
      <w:r w:rsidR="00641867" w:rsidRPr="00B74757">
        <w:t>sklapa</w:t>
      </w:r>
      <w:r w:rsidRPr="00B74757">
        <w:t>nje ugovora o radu na određeno vrijeme, ili ugovore o radu otkazuju prije stjecanja prava na otpremninu protekom dvije godine neprekidnog trajanja radnog odnosa kod poslodavca</w:t>
      </w:r>
      <w:r w:rsidR="00641867" w:rsidRPr="009769E7">
        <w:t xml:space="preserve"> ili</w:t>
      </w:r>
      <w:r w:rsidRPr="009769E7">
        <w:t xml:space="preserve">, </w:t>
      </w:r>
      <w:r w:rsidR="00641867" w:rsidRPr="004D0AD5">
        <w:t>u slučaju dugoročnih ugovora</w:t>
      </w:r>
      <w:r w:rsidRPr="004D0AD5">
        <w:t>,</w:t>
      </w:r>
      <w:r w:rsidR="00641867" w:rsidRPr="004D0AD5">
        <w:t xml:space="preserve"> ne dolazi do otkaza</w:t>
      </w:r>
      <w:r w:rsidRPr="004D0AD5">
        <w:t xml:space="preserve"> ugovora o radu</w:t>
      </w:r>
      <w:r w:rsidR="00641867" w:rsidRPr="004D0AD5">
        <w:t xml:space="preserve"> te se tako smanjuje </w:t>
      </w:r>
      <w:r w:rsidR="00641867" w:rsidRPr="00E1401E">
        <w:t xml:space="preserve">radna mobilnost. </w:t>
      </w:r>
      <w:r w:rsidRPr="00E1401E">
        <w:t xml:space="preserve">Dakle, iz potonjeg je razvidno kako problem koji se javlja u praksi u Republici Hrvatskoj jest da radnici u privatnom sektoru najčešće ne ostvare pravo na </w:t>
      </w:r>
      <w:r w:rsidRPr="00D00975">
        <w:t>otpremninu te ne dolazi do isplate otpremnina koje im pripadaju ili je ta isplata bitno otežana ili umanjena.</w:t>
      </w:r>
    </w:p>
    <w:p w:rsidR="007B0ACA" w:rsidRPr="008B2ED7" w:rsidRDefault="007B0ACA" w:rsidP="00641867">
      <w:pPr>
        <w:spacing w:line="240" w:lineRule="auto"/>
      </w:pPr>
    </w:p>
    <w:p w:rsidR="00641867" w:rsidRPr="00B4742D" w:rsidRDefault="007B0ACA" w:rsidP="00641867">
      <w:pPr>
        <w:spacing w:line="240" w:lineRule="auto"/>
      </w:pPr>
      <w:r w:rsidRPr="008B2ED7">
        <w:t xml:space="preserve">Ovdje valja </w:t>
      </w:r>
      <w:r w:rsidR="00641867" w:rsidRPr="008B2ED7">
        <w:t>ista</w:t>
      </w:r>
      <w:r w:rsidRPr="007544D9">
        <w:t>ći kako</w:t>
      </w:r>
      <w:r w:rsidR="00641867" w:rsidRPr="00B4742D">
        <w:t xml:space="preserve"> ne postoji centralizirana baza podataka koja bilježi potraživanja po osnovi</w:t>
      </w:r>
      <w:r w:rsidR="008238E9" w:rsidRPr="00B4742D">
        <w:t xml:space="preserve"> prava na otpremnine</w:t>
      </w:r>
      <w:r w:rsidR="00641867" w:rsidRPr="00B4742D">
        <w:t xml:space="preserve"> niti</w:t>
      </w:r>
      <w:r w:rsidR="008238E9" w:rsidRPr="00B4742D">
        <w:t xml:space="preserve"> u koju bi se evidentirale</w:t>
      </w:r>
      <w:r w:rsidR="00641867" w:rsidRPr="00B4742D">
        <w:t xml:space="preserve"> isplaćene otpremnine u javnom i privatnom sektoru</w:t>
      </w:r>
      <w:r w:rsidR="008238E9" w:rsidRPr="00B4742D">
        <w:t>. Iznimku tu predstavlja Agencija za osiguranje radničkih potraživanja u slučaju stečaja poslodavca, obz</w:t>
      </w:r>
      <w:r w:rsidR="003F6130" w:rsidRPr="00B4742D">
        <w:t>i</w:t>
      </w:r>
      <w:r w:rsidR="008238E9" w:rsidRPr="00B4742D">
        <w:t>rom je rezultate njenog djelovanja moguće analitički pratiti</w:t>
      </w:r>
      <w:r w:rsidR="00641867" w:rsidRPr="00B4742D">
        <w:t xml:space="preserve">. Stoga </w:t>
      </w:r>
      <w:r w:rsidR="008238E9" w:rsidRPr="00B4742D">
        <w:t>s</w:t>
      </w:r>
      <w:r w:rsidR="00641867" w:rsidRPr="00B4742D">
        <w:t xml:space="preserve">e do zaključaka moguće doći samo na temelju podataka iz više izvora te </w:t>
      </w:r>
      <w:r w:rsidR="008238E9" w:rsidRPr="00B4742D">
        <w:t>postavljanjem pretpostavki temeljenih</w:t>
      </w:r>
      <w:r w:rsidR="00641867" w:rsidRPr="00B4742D">
        <w:t xml:space="preserve"> na procjenama zaposlenosti te mobilnosti rada. U svakom slučaju može se ustvrditi </w:t>
      </w:r>
      <w:r w:rsidR="008238E9" w:rsidRPr="00B4742D">
        <w:t>kako</w:t>
      </w:r>
      <w:r w:rsidR="00641867" w:rsidRPr="00B4742D">
        <w:t xml:space="preserve"> teret implementacije postojećeg sustava </w:t>
      </w:r>
      <w:r w:rsidR="008238E9" w:rsidRPr="00B4742D">
        <w:t xml:space="preserve">u velikoj mjeri </w:t>
      </w:r>
      <w:r w:rsidR="00641867" w:rsidRPr="00B4742D">
        <w:t xml:space="preserve">snosi </w:t>
      </w:r>
      <w:r w:rsidR="008238E9" w:rsidRPr="00B4742D">
        <w:t>D</w:t>
      </w:r>
      <w:r w:rsidR="00641867" w:rsidRPr="00B4742D">
        <w:t>ržavni proračun</w:t>
      </w:r>
      <w:r w:rsidR="008238E9" w:rsidRPr="00B4742D">
        <w:t xml:space="preserve"> Republike Hrvatske</w:t>
      </w:r>
      <w:r w:rsidR="00641867" w:rsidRPr="00B4742D">
        <w:t xml:space="preserve"> te radnici kojima su </w:t>
      </w:r>
      <w:r w:rsidR="008238E9" w:rsidRPr="00B4742D">
        <w:t>se uskraćuju</w:t>
      </w:r>
      <w:r w:rsidR="00641867" w:rsidRPr="00B4742D">
        <w:t xml:space="preserve"> z</w:t>
      </w:r>
      <w:r w:rsidR="008238E9" w:rsidRPr="00B4742D">
        <w:t>akonska</w:t>
      </w:r>
      <w:r w:rsidR="00641867" w:rsidRPr="00B4742D">
        <w:t xml:space="preserve"> prava.</w:t>
      </w:r>
    </w:p>
    <w:p w:rsidR="00381D2B" w:rsidRPr="00B4742D" w:rsidRDefault="00381D2B" w:rsidP="00641867">
      <w:pPr>
        <w:spacing w:line="240" w:lineRule="auto"/>
      </w:pPr>
    </w:p>
    <w:p w:rsidR="00641867" w:rsidRPr="00B4742D" w:rsidRDefault="00641867" w:rsidP="00641867">
      <w:pPr>
        <w:spacing w:line="240" w:lineRule="auto"/>
      </w:pPr>
      <w:r w:rsidRPr="00B4742D">
        <w:t xml:space="preserve">S obzirom na navedeno, može se ustvrditi </w:t>
      </w:r>
      <w:r w:rsidR="003F6130" w:rsidRPr="00B4742D">
        <w:t>kako</w:t>
      </w:r>
      <w:r w:rsidRPr="00B4742D">
        <w:t xml:space="preserve"> je postojeći mehanizam isplata otpremnina neodgovarajuć</w:t>
      </w:r>
      <w:r w:rsidR="0028745A" w:rsidRPr="00B4742D">
        <w:t>i</w:t>
      </w:r>
      <w:r w:rsidR="008238E9" w:rsidRPr="00B4742D">
        <w:t xml:space="preserve">, dakle da postoje praktične prepreke ostvarenju zakonskih ciljeva i parametara sustava otpremnina što ukazuje na </w:t>
      </w:r>
      <w:r w:rsidRPr="00B4742D">
        <w:t>važno</w:t>
      </w:r>
      <w:r w:rsidR="008238E9" w:rsidRPr="00B4742D">
        <w:t>st pristupa</w:t>
      </w:r>
      <w:r w:rsidRPr="00B4742D">
        <w:t xml:space="preserve"> </w:t>
      </w:r>
      <w:r w:rsidR="008238E9" w:rsidRPr="00B4742D">
        <w:t xml:space="preserve">uklanjanju ili </w:t>
      </w:r>
      <w:r w:rsidRPr="00B4742D">
        <w:t xml:space="preserve">unapređenju nedostataka bilo kroz parcijalnu ili cjelovitu reformu sustava. </w:t>
      </w:r>
      <w:r w:rsidR="008238E9" w:rsidRPr="00B4742D">
        <w:t xml:space="preserve">Tu bi se kao ciljevi </w:t>
      </w:r>
      <w:r w:rsidRPr="00B4742D">
        <w:t xml:space="preserve">reforme </w:t>
      </w:r>
      <w:r w:rsidR="008238E9" w:rsidRPr="00B4742D">
        <w:t>iskazali</w:t>
      </w:r>
      <w:r w:rsidRPr="00B4742D">
        <w:t>:</w:t>
      </w:r>
    </w:p>
    <w:p w:rsidR="00641867" w:rsidRPr="00B4742D" w:rsidRDefault="008238E9" w:rsidP="00743034">
      <w:pPr>
        <w:numPr>
          <w:ilvl w:val="0"/>
          <w:numId w:val="13"/>
        </w:numPr>
        <w:tabs>
          <w:tab w:val="clear" w:pos="0"/>
          <w:tab w:val="clear" w:pos="9360"/>
        </w:tabs>
        <w:spacing w:line="240" w:lineRule="auto"/>
        <w:ind w:left="567" w:hanging="567"/>
      </w:pPr>
      <w:r w:rsidRPr="00B4742D">
        <w:t>smanjivanje</w:t>
      </w:r>
      <w:r w:rsidR="00641867" w:rsidRPr="00B4742D">
        <w:t xml:space="preserve"> teret</w:t>
      </w:r>
      <w:r w:rsidRPr="00B4742D">
        <w:t>a</w:t>
      </w:r>
      <w:r w:rsidR="00641867" w:rsidRPr="00B4742D">
        <w:t xml:space="preserve"> isplate otpremnina za poslodavca;</w:t>
      </w:r>
    </w:p>
    <w:p w:rsidR="00641867" w:rsidRPr="00B4742D" w:rsidRDefault="008238E9" w:rsidP="00743034">
      <w:pPr>
        <w:numPr>
          <w:ilvl w:val="0"/>
          <w:numId w:val="13"/>
        </w:numPr>
        <w:tabs>
          <w:tab w:val="clear" w:pos="0"/>
          <w:tab w:val="clear" w:pos="9360"/>
        </w:tabs>
        <w:spacing w:line="240" w:lineRule="auto"/>
        <w:ind w:left="567" w:hanging="567"/>
      </w:pPr>
      <w:r w:rsidRPr="00B4742D">
        <w:t>osiguravanje</w:t>
      </w:r>
      <w:r w:rsidR="00641867" w:rsidRPr="00B4742D">
        <w:t xml:space="preserve"> isplat</w:t>
      </w:r>
      <w:r w:rsidRPr="00B4742D">
        <w:t>e</w:t>
      </w:r>
      <w:r w:rsidR="00641867" w:rsidRPr="00B4742D">
        <w:t xml:space="preserve"> otpremnina radnicima kako bi osigurali dohodak u vrijeme nezaposlenosti;</w:t>
      </w:r>
    </w:p>
    <w:p w:rsidR="00641867" w:rsidRPr="00B4742D" w:rsidRDefault="008238E9" w:rsidP="00743034">
      <w:pPr>
        <w:numPr>
          <w:ilvl w:val="0"/>
          <w:numId w:val="13"/>
        </w:numPr>
        <w:tabs>
          <w:tab w:val="clear" w:pos="0"/>
          <w:tab w:val="clear" w:pos="9360"/>
        </w:tabs>
        <w:spacing w:line="240" w:lineRule="auto"/>
        <w:ind w:left="567" w:hanging="567"/>
      </w:pPr>
      <w:r w:rsidRPr="00B4742D">
        <w:t>povećavanje</w:t>
      </w:r>
      <w:r w:rsidR="00641867" w:rsidRPr="00B4742D">
        <w:t xml:space="preserve"> mobilnost</w:t>
      </w:r>
      <w:r w:rsidRPr="00B4742D">
        <w:t>i</w:t>
      </w:r>
      <w:r w:rsidR="00641867" w:rsidRPr="00B4742D">
        <w:t xml:space="preserve"> radne snage;</w:t>
      </w:r>
      <w:r w:rsidRPr="00B4742D">
        <w:t xml:space="preserve"> i</w:t>
      </w:r>
    </w:p>
    <w:p w:rsidR="00641867" w:rsidRPr="00B4742D" w:rsidRDefault="008238E9" w:rsidP="00743034">
      <w:pPr>
        <w:numPr>
          <w:ilvl w:val="0"/>
          <w:numId w:val="13"/>
        </w:numPr>
        <w:tabs>
          <w:tab w:val="clear" w:pos="0"/>
          <w:tab w:val="clear" w:pos="9360"/>
        </w:tabs>
        <w:spacing w:line="240" w:lineRule="auto"/>
        <w:ind w:left="567" w:hanging="567"/>
      </w:pPr>
      <w:r w:rsidRPr="00B4742D">
        <w:t>smanjivanje</w:t>
      </w:r>
      <w:r w:rsidR="00641867" w:rsidRPr="00B4742D">
        <w:t xml:space="preserve"> opterećenj</w:t>
      </w:r>
      <w:r w:rsidRPr="00B4742D">
        <w:t xml:space="preserve">a Državnog </w:t>
      </w:r>
      <w:r w:rsidR="00641867" w:rsidRPr="00B4742D">
        <w:t>proračuna</w:t>
      </w:r>
      <w:r w:rsidRPr="00B4742D">
        <w:t xml:space="preserve"> Republike Hrvatske</w:t>
      </w:r>
      <w:r w:rsidR="00641867" w:rsidRPr="00B4742D">
        <w:t>.</w:t>
      </w:r>
    </w:p>
    <w:p w:rsidR="00641867" w:rsidRPr="00B4742D" w:rsidRDefault="00641867" w:rsidP="00641867">
      <w:pPr>
        <w:spacing w:line="240" w:lineRule="auto"/>
      </w:pPr>
    </w:p>
    <w:p w:rsidR="00641867" w:rsidRPr="00B4742D" w:rsidRDefault="008238E9" w:rsidP="008238E9">
      <w:pPr>
        <w:pStyle w:val="Heading2"/>
      </w:pPr>
      <w:bookmarkStart w:id="18" w:name="_Toc365828836"/>
      <w:r w:rsidRPr="00B4742D">
        <w:t>3.</w:t>
      </w:r>
      <w:r w:rsidR="00641867" w:rsidRPr="00B4742D">
        <w:t>1. Obilježja hrvatskog sustava isplate otpremnina</w:t>
      </w:r>
      <w:bookmarkEnd w:id="18"/>
      <w:r w:rsidR="00641867" w:rsidRPr="00B4742D">
        <w:t xml:space="preserve"> </w:t>
      </w:r>
    </w:p>
    <w:p w:rsidR="00641867" w:rsidRPr="00B4742D" w:rsidRDefault="00641867" w:rsidP="00641867">
      <w:pPr>
        <w:spacing w:line="240" w:lineRule="auto"/>
      </w:pPr>
    </w:p>
    <w:p w:rsidR="00641867" w:rsidRPr="00B4742D" w:rsidRDefault="000C58F6" w:rsidP="00641867">
      <w:pPr>
        <w:spacing w:line="240" w:lineRule="auto"/>
      </w:pPr>
      <w:r w:rsidRPr="00B4742D">
        <w:t>Ovdje je opisano u</w:t>
      </w:r>
      <w:r w:rsidR="00BB3CE3" w:rsidRPr="00B4742D">
        <w:t xml:space="preserve">ređenje hrvatskog nacionalnog sustava otpremnina. </w:t>
      </w:r>
      <w:r w:rsidR="00495272" w:rsidRPr="00B4742D">
        <w:t>Zakonom o radu uređeno p</w:t>
      </w:r>
      <w:r w:rsidR="00641867" w:rsidRPr="00B4742D">
        <w:t>ravo na otpremninu</w:t>
      </w:r>
      <w:r w:rsidR="00BB3CE3" w:rsidRPr="00B4742D">
        <w:t xml:space="preserve"> ukoliko je radnik bio u neprekidnom radnom odnosu kod istog poslodavca duže od dvije godine</w:t>
      </w:r>
      <w:r w:rsidR="00495272" w:rsidRPr="00B4742D">
        <w:t>,</w:t>
      </w:r>
      <w:r w:rsidR="00641867" w:rsidRPr="00B4742D">
        <w:t xml:space="preserve"> u visini jedne trećine plaće za svaku navršenu godinu rada kod poslodavca, a najviše šest plaća</w:t>
      </w:r>
      <w:r w:rsidR="00BB3CE3" w:rsidRPr="00B4742D">
        <w:t xml:space="preserve"> moguće je povoljnije urediti k</w:t>
      </w:r>
      <w:r w:rsidR="00641867" w:rsidRPr="00B4742D">
        <w:t>olektivnim ugovorom, pravilnikom o radu ili pojedinačnim ugovorom o radu</w:t>
      </w:r>
      <w:r w:rsidRPr="00B4742D">
        <w:t>.</w:t>
      </w:r>
      <w:r w:rsidR="00641867" w:rsidRPr="00B4742D">
        <w:t xml:space="preserve"> Uglavnom, takvi se povoljniji iznosi </w:t>
      </w:r>
      <w:r w:rsidR="00BB3CE3" w:rsidRPr="00B4742D">
        <w:t xml:space="preserve">uređuju i </w:t>
      </w:r>
      <w:r w:rsidR="00641867" w:rsidRPr="00B4742D">
        <w:t>odnose na radnike u javnom sektoru.</w:t>
      </w:r>
    </w:p>
    <w:p w:rsidR="00641867" w:rsidRPr="00B4742D" w:rsidRDefault="00641867" w:rsidP="00641867">
      <w:pPr>
        <w:spacing w:line="240" w:lineRule="auto"/>
      </w:pPr>
    </w:p>
    <w:p w:rsidR="00641867" w:rsidRPr="00B4742D" w:rsidRDefault="00641867" w:rsidP="00641867">
      <w:pPr>
        <w:spacing w:line="240" w:lineRule="auto"/>
      </w:pPr>
      <w:r w:rsidRPr="00B4742D">
        <w:t>Prema kriteriju razloga prestanka ugovora o radu, u praksi se isplaćuju sljedeće vrste otpremnina:</w:t>
      </w:r>
    </w:p>
    <w:p w:rsidR="00641867" w:rsidRPr="00B4742D" w:rsidRDefault="00641867" w:rsidP="00743034">
      <w:pPr>
        <w:numPr>
          <w:ilvl w:val="0"/>
          <w:numId w:val="14"/>
        </w:numPr>
        <w:tabs>
          <w:tab w:val="clear" w:pos="0"/>
          <w:tab w:val="clear" w:pos="9360"/>
        </w:tabs>
        <w:spacing w:line="240" w:lineRule="auto"/>
        <w:ind w:left="567" w:hanging="567"/>
      </w:pPr>
      <w:r w:rsidRPr="00B4742D">
        <w:t>otpremnine zbog poslovno ili osobno uvjetovanog otkaza ugovora o radu,</w:t>
      </w:r>
    </w:p>
    <w:p w:rsidR="00641867" w:rsidRPr="00B4742D" w:rsidRDefault="00641867" w:rsidP="00743034">
      <w:pPr>
        <w:numPr>
          <w:ilvl w:val="0"/>
          <w:numId w:val="14"/>
        </w:numPr>
        <w:tabs>
          <w:tab w:val="clear" w:pos="0"/>
          <w:tab w:val="clear" w:pos="9360"/>
        </w:tabs>
        <w:spacing w:line="240" w:lineRule="auto"/>
        <w:ind w:left="567" w:hanging="567"/>
      </w:pPr>
      <w:r w:rsidRPr="00B4742D">
        <w:t>otpremnine za sporazumni prestanak radnog odnosa,</w:t>
      </w:r>
    </w:p>
    <w:p w:rsidR="00641867" w:rsidRPr="00B4742D" w:rsidRDefault="00641867" w:rsidP="00743034">
      <w:pPr>
        <w:numPr>
          <w:ilvl w:val="0"/>
          <w:numId w:val="14"/>
        </w:numPr>
        <w:tabs>
          <w:tab w:val="clear" w:pos="0"/>
          <w:tab w:val="clear" w:pos="9360"/>
        </w:tabs>
        <w:spacing w:line="240" w:lineRule="auto"/>
        <w:ind w:left="567" w:hanging="567"/>
      </w:pPr>
      <w:r w:rsidRPr="00B4742D">
        <w:t>stimulativne (poticajne) otpremnine, koje se isplaćuju na temelju poslovno uvjetovanih otkaza ugovora o radu ili sporazuma o prestanku radnog odnosa, i</w:t>
      </w:r>
    </w:p>
    <w:p w:rsidR="00641867" w:rsidRPr="00B4742D" w:rsidRDefault="00641867" w:rsidP="00743034">
      <w:pPr>
        <w:numPr>
          <w:ilvl w:val="0"/>
          <w:numId w:val="14"/>
        </w:numPr>
        <w:tabs>
          <w:tab w:val="clear" w:pos="0"/>
          <w:tab w:val="clear" w:pos="9360"/>
        </w:tabs>
        <w:spacing w:line="240" w:lineRule="auto"/>
        <w:ind w:left="567" w:hanging="567"/>
      </w:pPr>
      <w:r w:rsidRPr="00B4742D">
        <w:t>otpremnine za odlazak u mirovinu.</w:t>
      </w:r>
    </w:p>
    <w:p w:rsidR="00641867" w:rsidRPr="00B4742D" w:rsidRDefault="00641867" w:rsidP="00641867">
      <w:pPr>
        <w:spacing w:line="240" w:lineRule="auto"/>
      </w:pPr>
    </w:p>
    <w:p w:rsidR="00641867" w:rsidRPr="00B4742D" w:rsidRDefault="00641867" w:rsidP="00641867">
      <w:pPr>
        <w:spacing w:line="240" w:lineRule="auto"/>
      </w:pPr>
      <w:r w:rsidRPr="00B4742D">
        <w:t>U okviru analize sustava važno je razlikovati tri sektora. U prvom dijelu radi se o javnom sektoru koji je dobro zaštićen kolektivnim ugovorima i gdje su prisutne izdašne otpremnine. Zatim se izdvaja sustav osiguranja zaštite potraživanja radnika u slučaju stečaja koji provodi Agencija za osiguranje radničkih potraživanja u slučaju stečaja poslodavca. Treći dio sustava je</w:t>
      </w:r>
      <w:r w:rsidR="00BB3CE3" w:rsidRPr="00B4742D">
        <w:t>st</w:t>
      </w:r>
      <w:r w:rsidRPr="00B4742D">
        <w:t xml:space="preserve"> i naj</w:t>
      </w:r>
      <w:r w:rsidR="00BB3CE3" w:rsidRPr="00B4742D">
        <w:t>obuhvatniji</w:t>
      </w:r>
      <w:r w:rsidRPr="00B4742D">
        <w:t xml:space="preserve">, a odnosi se na radnike u privatnom sektoru čija su prava na otpremnine regulirana općim odredbama zakona o radu ili pojedinim granskim kolektivnim ugovorima. Ovaj dio sustava najmanje </w:t>
      </w:r>
      <w:r w:rsidR="00BB3CE3" w:rsidRPr="00B4742D">
        <w:t xml:space="preserve">jest </w:t>
      </w:r>
      <w:r w:rsidRPr="00B4742D">
        <w:t xml:space="preserve">transparentan te je </w:t>
      </w:r>
      <w:r w:rsidR="00BB3CE3" w:rsidRPr="00B4742D">
        <w:t xml:space="preserve">moguća </w:t>
      </w:r>
      <w:r w:rsidRPr="00B4742D">
        <w:t>reforma upravo usmjerena na rješavan</w:t>
      </w:r>
      <w:r w:rsidR="00BB3CE3" w:rsidRPr="00B4742D">
        <w:t>j</w:t>
      </w:r>
      <w:r w:rsidRPr="00B4742D">
        <w:t>e problema u okviru osiguranja zaštite isplate otpremnina za radnike u ovom sektoru. Nažalost, iako postoje sve zakonske pretpostavke za kreiranje centralizirane baze podataka koja pruža uvid o stanju potraživanja po osnovi prava na isplate otpremnine te isplaćenih otpremnina, takva baza ne postoji. Postoje podaci o visini isplaćenih otpremnina u javnom sektoru te isti podaci u okviru Agencije za osiguranje radničkih potraživanja u slučaju stečaja poslodavca.</w:t>
      </w:r>
    </w:p>
    <w:p w:rsidR="00641867" w:rsidRPr="00B4742D" w:rsidRDefault="00641867" w:rsidP="00641867">
      <w:pPr>
        <w:spacing w:line="240" w:lineRule="auto"/>
      </w:pPr>
    </w:p>
    <w:p w:rsidR="00641867" w:rsidRPr="00B4742D" w:rsidRDefault="00641867" w:rsidP="00641867">
      <w:pPr>
        <w:spacing w:line="240" w:lineRule="auto"/>
      </w:pPr>
      <w:r w:rsidRPr="00B4742D">
        <w:t>Iako ne postoji centralizirana baza podataka, treba napomenuti da u postojećem regulatornom i institucionalnom okviru postoje sve pretpostavke za evidenciju potraživanja te isplata p</w:t>
      </w:r>
      <w:r w:rsidR="00763783" w:rsidRPr="00B4742D">
        <w:t>o</w:t>
      </w:r>
      <w:r w:rsidRPr="00B4742D">
        <w:t xml:space="preserve"> osnovi prava na otpremnine. Naime, prema Zakonu o radu</w:t>
      </w:r>
      <w:r w:rsidR="00BB3CE3" w:rsidRPr="00B4742D">
        <w:t xml:space="preserve">, odredbama njegovog </w:t>
      </w:r>
      <w:r w:rsidRPr="00B4742D">
        <w:t>čl</w:t>
      </w:r>
      <w:r w:rsidR="00BB3CE3" w:rsidRPr="00B4742D">
        <w:t>anka</w:t>
      </w:r>
      <w:r w:rsidRPr="00B4742D">
        <w:t xml:space="preserve"> 85, poslodavac koji na dan dospjelosti ne isplati plaću, naknadu plaće ili otpremninu ili ih ne isplati u cijelosti, dužan je do kraja mjeseca u kojem je dospjela isplata plaće, naknada plaće ili otpremnine radniku dostaviti obračun iznosa koje je bio dužan isplatiti (obračun predstavlja ovršnu ispravu). Stoga bi, na temelju dokumentacije koje dostave radnici kojima nisu isplaćene otpremnine, porezna uprava mogla voditi potpunu evidenciju o stanju potraživanja radnika na temelju prava na isplatu otpremnina. Trenutno se evidentiraju samo isplaćene otpremnine putem obrasca </w:t>
      </w:r>
      <w:r w:rsidR="00BB3CE3" w:rsidRPr="00B4742D">
        <w:t>“</w:t>
      </w:r>
      <w:r w:rsidRPr="00B4742D">
        <w:t>OTP</w:t>
      </w:r>
      <w:r w:rsidR="00BB3CE3" w:rsidRPr="00B4742D">
        <w:t>”</w:t>
      </w:r>
      <w:r w:rsidRPr="00B4742D">
        <w:t xml:space="preserve"> koji poslodavac dostavlja poreznoj upravi prilikom isplate otpremnine.</w:t>
      </w:r>
      <w:r w:rsidR="00BB3CE3" w:rsidRPr="00B4742D">
        <w:rPr>
          <w:rStyle w:val="FootnoteReference"/>
        </w:rPr>
        <w:footnoteReference w:id="64"/>
      </w:r>
      <w:r w:rsidRPr="00B4742D">
        <w:t xml:space="preserve"> </w:t>
      </w:r>
    </w:p>
    <w:p w:rsidR="00641867" w:rsidRPr="00B4742D" w:rsidRDefault="00641867" w:rsidP="00641867">
      <w:pPr>
        <w:spacing w:line="240" w:lineRule="auto"/>
      </w:pPr>
    </w:p>
    <w:p w:rsidR="007050AD" w:rsidRPr="002017C6" w:rsidRDefault="007A3055" w:rsidP="007A3055">
      <w:pPr>
        <w:pStyle w:val="Heading3"/>
      </w:pPr>
      <w:bookmarkStart w:id="19" w:name="_Toc365828837"/>
      <w:r w:rsidRPr="002017C6">
        <w:t>3.1.1. Isplate otpremnine u javnom sektoru</w:t>
      </w:r>
      <w:bookmarkEnd w:id="19"/>
    </w:p>
    <w:p w:rsidR="007050AD" w:rsidRPr="002017C6" w:rsidRDefault="007050AD" w:rsidP="00641867">
      <w:pPr>
        <w:spacing w:line="240" w:lineRule="auto"/>
      </w:pPr>
    </w:p>
    <w:p w:rsidR="00641867" w:rsidRPr="002017C6" w:rsidRDefault="00641867" w:rsidP="00641867">
      <w:pPr>
        <w:spacing w:line="240" w:lineRule="auto"/>
      </w:pPr>
      <w:r w:rsidRPr="002017C6">
        <w:t>Što se tiče javnog sektora</w:t>
      </w:r>
      <w:r w:rsidRPr="00EB67A0">
        <w:t>,</w:t>
      </w:r>
      <w:r w:rsidR="00EB3313" w:rsidRPr="00FE70C5">
        <w:t xml:space="preserve"> </w:t>
      </w:r>
      <w:r w:rsidRPr="009336BF">
        <w:t xml:space="preserve">detaljan pregled problematike isplate otpremnina kao i važne elemente položaja dohodaka na temelju prava na otpremninu u okviru poreznog sustava daje </w:t>
      </w:r>
      <w:r w:rsidR="00EB49DB" w:rsidRPr="009336BF">
        <w:t>Marija Zuber</w:t>
      </w:r>
      <w:r w:rsidR="00EB49DB" w:rsidRPr="00B4742D">
        <w:rPr>
          <w:rStyle w:val="FootnoteReference"/>
        </w:rPr>
        <w:footnoteReference w:id="65"/>
      </w:r>
      <w:r w:rsidRPr="00B4742D">
        <w:t xml:space="preserve">. Kao što je navedeno, prava radnika u okviru javnog sektora zaštićena su kolektivnim ugovorima te su isti u značajno boljem položaju u odnosu na privatni sektor. </w:t>
      </w:r>
    </w:p>
    <w:p w:rsidR="00641867" w:rsidRPr="002017C6" w:rsidRDefault="00641867" w:rsidP="00641867">
      <w:pPr>
        <w:spacing w:line="240" w:lineRule="auto"/>
      </w:pPr>
    </w:p>
    <w:p w:rsidR="00641867" w:rsidRPr="006C4F67" w:rsidRDefault="00641867" w:rsidP="00641867">
      <w:pPr>
        <w:spacing w:line="240" w:lineRule="auto"/>
      </w:pPr>
      <w:r w:rsidRPr="002017C6">
        <w:t xml:space="preserve">U </w:t>
      </w:r>
      <w:r w:rsidR="00EB49DB" w:rsidRPr="002017C6">
        <w:t>T</w:t>
      </w:r>
      <w:r w:rsidRPr="00EB67A0">
        <w:t>ablicama 1</w:t>
      </w:r>
      <w:r w:rsidR="00EB49DB" w:rsidRPr="00FE70C5">
        <w:t>.</w:t>
      </w:r>
      <w:r w:rsidRPr="009336BF">
        <w:t xml:space="preserve"> i 2</w:t>
      </w:r>
      <w:r w:rsidR="00EB49DB" w:rsidRPr="009336BF">
        <w:t>.</w:t>
      </w:r>
      <w:r w:rsidRPr="009336BF">
        <w:t xml:space="preserve"> prikazane su vrijednosti isplaćenih otpremnina za proračunske korisnike središnje države od 2009. go</w:t>
      </w:r>
      <w:r w:rsidRPr="00C7332E">
        <w:t xml:space="preserve">dine. Može se vidjeti da se iznos isplaćenih otpremnina značajno smanjio od 2009. godine te ustalio na razini od oko </w:t>
      </w:r>
      <w:r w:rsidR="00EB49DB" w:rsidRPr="00C7332E">
        <w:t xml:space="preserve">HRK </w:t>
      </w:r>
      <w:r w:rsidRPr="00C7332E">
        <w:t>60</w:t>
      </w:r>
      <w:r w:rsidR="003D682D" w:rsidRPr="00C7332E">
        <w:t>,0</w:t>
      </w:r>
      <w:r w:rsidRPr="006C4F67">
        <w:t xml:space="preserve"> mil</w:t>
      </w:r>
      <w:r w:rsidR="003D682D" w:rsidRPr="006C4F67">
        <w:t>ijuna</w:t>
      </w:r>
      <w:r w:rsidRPr="006C4F67">
        <w:t xml:space="preserve"> godišnje. Najveći iznos isplaćenih otpremnina odnosi se na Ministarstvo obrane, Ministarstvo obrazovanja, znanosti i sporta te Ministarstvo unutarnjih poslova.</w:t>
      </w:r>
    </w:p>
    <w:p w:rsidR="00C84BF9" w:rsidRPr="00B74757" w:rsidRDefault="00C84BF9">
      <w:pPr>
        <w:tabs>
          <w:tab w:val="clear" w:pos="0"/>
          <w:tab w:val="clear" w:pos="9360"/>
        </w:tabs>
        <w:spacing w:line="240" w:lineRule="auto"/>
        <w:jc w:val="left"/>
      </w:pPr>
      <w:r w:rsidRPr="00B74757">
        <w:br w:type="page"/>
      </w:r>
    </w:p>
    <w:p w:rsidR="00641867" w:rsidRPr="00D00975" w:rsidRDefault="00641867" w:rsidP="00641867">
      <w:pPr>
        <w:spacing w:line="240" w:lineRule="auto"/>
      </w:pPr>
      <w:r w:rsidRPr="00B74757">
        <w:lastRenderedPageBreak/>
        <w:t>Tablica 1</w:t>
      </w:r>
      <w:r w:rsidR="00EB49DB" w:rsidRPr="00B74757">
        <w:t>.</w:t>
      </w:r>
      <w:r w:rsidRPr="00B74757">
        <w:t xml:space="preserve">: Isplaćene otpremnine na razini središnje države </w:t>
      </w:r>
      <w:r w:rsidR="003D682D" w:rsidRPr="00B74757">
        <w:t>od 2</w:t>
      </w:r>
      <w:r w:rsidRPr="009769E7">
        <w:t xml:space="preserve">012. </w:t>
      </w:r>
      <w:r w:rsidR="003D682D" w:rsidRPr="004D0AD5">
        <w:t>do</w:t>
      </w:r>
      <w:r w:rsidRPr="004D0AD5">
        <w:t xml:space="preserve"> lipanj 2013.</w:t>
      </w:r>
      <w:r w:rsidR="003D682D" w:rsidRPr="004D0AD5">
        <w:t xml:space="preserve"> godine</w:t>
      </w:r>
      <w:r w:rsidRPr="00E1401E">
        <w:t xml:space="preserve"> (u </w:t>
      </w:r>
      <w:r w:rsidR="003D682D" w:rsidRPr="00E1401E">
        <w:t xml:space="preserve">milijunima </w:t>
      </w:r>
      <w:r w:rsidRPr="00D00975">
        <w:t>HRK)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1720"/>
        <w:gridCol w:w="1768"/>
      </w:tblGrid>
      <w:tr w:rsidR="00641867" w:rsidRPr="00B4742D" w:rsidTr="0000766F">
        <w:trPr>
          <w:trHeight w:val="300"/>
        </w:trPr>
        <w:tc>
          <w:tcPr>
            <w:tcW w:w="6151" w:type="dxa"/>
            <w:shd w:val="clear" w:color="auto" w:fill="auto"/>
            <w:noWrap/>
            <w:vAlign w:val="center"/>
            <w:hideMark/>
          </w:tcPr>
          <w:p w:rsidR="00641867" w:rsidRPr="008B2ED7" w:rsidRDefault="00641867" w:rsidP="0000766F">
            <w:pPr>
              <w:tabs>
                <w:tab w:val="clear" w:pos="0"/>
                <w:tab w:val="clear" w:pos="9360"/>
                <w:tab w:val="right" w:pos="9531"/>
              </w:tabs>
              <w:spacing w:line="240" w:lineRule="auto"/>
              <w:ind w:left="-108"/>
              <w:jc w:val="center"/>
            </w:pPr>
          </w:p>
        </w:tc>
        <w:tc>
          <w:tcPr>
            <w:tcW w:w="1720" w:type="dxa"/>
            <w:shd w:val="clear" w:color="auto" w:fill="auto"/>
            <w:noWrap/>
            <w:vAlign w:val="center"/>
            <w:hideMark/>
          </w:tcPr>
          <w:p w:rsidR="00641867" w:rsidRPr="007544D9" w:rsidRDefault="00641867" w:rsidP="0000766F">
            <w:pPr>
              <w:tabs>
                <w:tab w:val="clear" w:pos="0"/>
                <w:tab w:val="clear" w:pos="9360"/>
                <w:tab w:val="right" w:pos="9531"/>
              </w:tabs>
              <w:spacing w:line="240" w:lineRule="auto"/>
              <w:ind w:left="-108"/>
              <w:jc w:val="center"/>
            </w:pPr>
            <w:r w:rsidRPr="008B2ED7">
              <w:t>2012</w:t>
            </w:r>
            <w:r w:rsidR="003D682D" w:rsidRPr="008B2ED7">
              <w:t>.</w:t>
            </w:r>
          </w:p>
        </w:tc>
        <w:tc>
          <w:tcPr>
            <w:tcW w:w="1768" w:type="dxa"/>
            <w:shd w:val="clear" w:color="auto" w:fill="auto"/>
            <w:noWrap/>
            <w:vAlign w:val="center"/>
            <w:hideMark/>
          </w:tcPr>
          <w:p w:rsidR="00641867" w:rsidRPr="00B4742D" w:rsidRDefault="00641867" w:rsidP="0000766F">
            <w:pPr>
              <w:tabs>
                <w:tab w:val="clear" w:pos="0"/>
                <w:tab w:val="clear" w:pos="9360"/>
                <w:tab w:val="right" w:pos="9531"/>
              </w:tabs>
              <w:spacing w:line="240" w:lineRule="auto"/>
              <w:ind w:left="-108"/>
              <w:jc w:val="center"/>
            </w:pPr>
            <w:r w:rsidRPr="00B4742D">
              <w:t>2013</w:t>
            </w:r>
            <w:r w:rsidR="003D682D" w:rsidRPr="00B4742D">
              <w:t>.</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bookmarkStart w:id="20" w:name="RANGE!G15:J47"/>
            <w:bookmarkEnd w:id="20"/>
            <w:r w:rsidRPr="00B4742D">
              <w:t>UKUPNO</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63,17</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29,64</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HRVATSKI SABOR</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0,07</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0,00</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URED PREDSJEDNIKA REPUBLIKE HRVATSKE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0,04</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0,00</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VLADA REPUBLIKE HRVATSKE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0,02</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FINANCIJA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1,29</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0,65</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OBRANE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20,23</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5,67</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center" w:pos="169"/>
                <w:tab w:val="right" w:pos="9531"/>
              </w:tabs>
              <w:spacing w:line="240" w:lineRule="auto"/>
              <w:ind w:left="-108"/>
              <w:jc w:val="center"/>
            </w:pPr>
            <w:r w:rsidRPr="00B4742D">
              <w:t>DRŽAVNI URED ZA HRVATE IZVAN REPUBLIKE HRVATSKE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0,04</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UNUTARNJIH POSLOVA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3,61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7,28</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BRANITELJA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0,09</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0,02</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VANJSKIH I EUROPSKIH POSLOVA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0,15</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0,16</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GOSPODARSTVA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0,14</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0,03</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PODUZETNIŠTVA I OBRTA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0,19</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0,04</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KULTURE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0,31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0,28</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POLJOPRIVREDE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0,25</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0,23</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REGIONALNOGA RAZVOJA I FONDOVA EUROPSKE UNIJE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0,14</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0,03</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POMORSTVA, PROMETA I INFRASTRUKTURE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0,24</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0,18</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GRADITELJSTVA I PROSTORNOGA UREĐENJA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0,39</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0,22</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ZAŠTITE OKOLIŠA I PRIRODE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0,12</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0,09</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ZNANOSTI, OBRAZOVANJA I SPORTA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26,14</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6,87</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RADA I MIROVINSKOGA SUSTAVA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1,59</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0,57</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TURIZMA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0,00</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0,01</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UPRAVE</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0,71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0,56</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ZDRAVLJA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0,91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0,58</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SOCIJALNE POLITIKE I MLADIH</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1,51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0,71</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HRVATSKA AKADEMIJA ZNANOSTI I UMJETNOSTI</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0,11</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0,04</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MINISTARSTVO PRAVOSUĐA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4,28</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5,26</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URED PUČKOG PRAVOBRANITELJA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0,00</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0,01</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PRAVOBRANITELJ/ICA ZA RAVNOPRAVNOST SPOLOVA</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0,02</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0,00</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DRŽAVNI ZAVOD ZA STATISTIKU</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0,28</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0,04</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DRŽAVNI URED ZA REVIZIJU</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0,08</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0,00</w:t>
            </w:r>
          </w:p>
        </w:tc>
      </w:tr>
      <w:tr w:rsidR="00641867" w:rsidRPr="00B4742D" w:rsidTr="0000766F">
        <w:trPr>
          <w:trHeight w:val="300"/>
        </w:trPr>
        <w:tc>
          <w:tcPr>
            <w:tcW w:w="6151" w:type="dxa"/>
            <w:shd w:val="clear" w:color="auto" w:fill="auto"/>
            <w:noWrap/>
            <w:vAlign w:val="center"/>
            <w:hideMark/>
          </w:tcPr>
          <w:p w:rsidR="00641867" w:rsidRPr="00B4742D" w:rsidRDefault="00641867" w:rsidP="0000766F">
            <w:pPr>
              <w:tabs>
                <w:tab w:val="clear" w:pos="0"/>
                <w:tab w:val="clear" w:pos="9360"/>
                <w:tab w:val="center" w:pos="-540"/>
                <w:tab w:val="right" w:pos="9531"/>
              </w:tabs>
              <w:spacing w:line="240" w:lineRule="auto"/>
              <w:ind w:left="-108"/>
              <w:jc w:val="center"/>
            </w:pPr>
            <w:r w:rsidRPr="00B4742D">
              <w:t>DRŽAVNI INSPEKTORAT</w:t>
            </w:r>
          </w:p>
        </w:tc>
        <w:tc>
          <w:tcPr>
            <w:tcW w:w="1720"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0,17</w:t>
            </w:r>
          </w:p>
        </w:tc>
        <w:tc>
          <w:tcPr>
            <w:tcW w:w="1768" w:type="dxa"/>
            <w:shd w:val="clear" w:color="auto" w:fill="auto"/>
            <w:noWrap/>
            <w:vAlign w:val="bottom"/>
            <w:hideMark/>
          </w:tcPr>
          <w:p w:rsidR="00641867" w:rsidRPr="00B4742D" w:rsidRDefault="00641867" w:rsidP="0000766F">
            <w:pPr>
              <w:tabs>
                <w:tab w:val="clear" w:pos="0"/>
                <w:tab w:val="clear" w:pos="9360"/>
                <w:tab w:val="right" w:pos="9531"/>
              </w:tabs>
              <w:spacing w:line="240" w:lineRule="auto"/>
              <w:ind w:left="-108"/>
              <w:jc w:val="center"/>
            </w:pPr>
            <w:r w:rsidRPr="00B4742D">
              <w:t>0,03</w:t>
            </w:r>
          </w:p>
        </w:tc>
      </w:tr>
    </w:tbl>
    <w:p w:rsidR="00641867" w:rsidRPr="00B4742D" w:rsidRDefault="00641867" w:rsidP="00641867">
      <w:pPr>
        <w:spacing w:line="240" w:lineRule="auto"/>
      </w:pPr>
      <w:r w:rsidRPr="00B4742D">
        <w:t>Izvor: Ministarstvo financija</w:t>
      </w:r>
    </w:p>
    <w:p w:rsidR="00641867" w:rsidRPr="00B4742D" w:rsidRDefault="00641867" w:rsidP="00641867">
      <w:pPr>
        <w:spacing w:line="240" w:lineRule="auto"/>
      </w:pPr>
    </w:p>
    <w:p w:rsidR="00641867" w:rsidRPr="00B4742D" w:rsidRDefault="00641867" w:rsidP="0000766F">
      <w:pPr>
        <w:tabs>
          <w:tab w:val="clear" w:pos="0"/>
          <w:tab w:val="center" w:pos="-142"/>
        </w:tabs>
        <w:spacing w:line="240" w:lineRule="auto"/>
      </w:pPr>
      <w:r w:rsidRPr="00B4742D">
        <w:lastRenderedPageBreak/>
        <w:t>Tablica 2</w:t>
      </w:r>
      <w:r w:rsidR="00EB49DB" w:rsidRPr="00B4742D">
        <w:t>.</w:t>
      </w:r>
      <w:r w:rsidRPr="00B4742D">
        <w:t xml:space="preserve">: Isplaćene otpremnine na razini središnje države </w:t>
      </w:r>
      <w:r w:rsidR="003D682D" w:rsidRPr="00B4742D">
        <w:t xml:space="preserve">od </w:t>
      </w:r>
      <w:r w:rsidRPr="00B4742D">
        <w:t>2009</w:t>
      </w:r>
      <w:r w:rsidR="003D682D" w:rsidRPr="00B4742D">
        <w:t xml:space="preserve"> do </w:t>
      </w:r>
      <w:r w:rsidRPr="00B4742D">
        <w:t>2011</w:t>
      </w:r>
      <w:r w:rsidR="003D682D" w:rsidRPr="00B4742D">
        <w:t>. godine</w:t>
      </w:r>
      <w:r w:rsidRPr="00B4742D">
        <w:t xml:space="preserve"> (u </w:t>
      </w:r>
      <w:r w:rsidR="003D682D" w:rsidRPr="00B4742D">
        <w:t xml:space="preserve">milijunima </w:t>
      </w:r>
      <w:r w:rsidRPr="00B4742D">
        <w:t>HRK)</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2"/>
        <w:gridCol w:w="993"/>
        <w:gridCol w:w="1134"/>
        <w:gridCol w:w="1134"/>
      </w:tblGrid>
      <w:tr w:rsidR="00641867" w:rsidRPr="00B4742D" w:rsidTr="0000766F">
        <w:trPr>
          <w:trHeight w:val="70"/>
        </w:trPr>
        <w:tc>
          <w:tcPr>
            <w:tcW w:w="6372" w:type="dxa"/>
            <w:shd w:val="clear" w:color="auto" w:fill="auto"/>
            <w:noWrap/>
            <w:vAlign w:val="center"/>
            <w:hideMark/>
          </w:tcPr>
          <w:p w:rsidR="00641867" w:rsidRPr="00BF61FB" w:rsidRDefault="00641867" w:rsidP="0000766F">
            <w:pPr>
              <w:tabs>
                <w:tab w:val="clear" w:pos="0"/>
                <w:tab w:val="center" w:pos="-399"/>
              </w:tabs>
              <w:spacing w:line="240" w:lineRule="auto"/>
              <w:ind w:left="-108"/>
              <w:jc w:val="center"/>
            </w:pPr>
          </w:p>
        </w:tc>
        <w:tc>
          <w:tcPr>
            <w:tcW w:w="993" w:type="dxa"/>
            <w:shd w:val="clear" w:color="auto" w:fill="auto"/>
            <w:noWrap/>
            <w:vAlign w:val="bottom"/>
            <w:hideMark/>
          </w:tcPr>
          <w:p w:rsidR="00641867" w:rsidRPr="00B4742D" w:rsidRDefault="00641867" w:rsidP="003D682D">
            <w:pPr>
              <w:spacing w:line="240" w:lineRule="auto"/>
              <w:jc w:val="center"/>
            </w:pPr>
            <w:r w:rsidRPr="00B4742D">
              <w:t>2009</w:t>
            </w:r>
            <w:r w:rsidR="003D682D" w:rsidRPr="00B4742D">
              <w:t>.</w:t>
            </w:r>
          </w:p>
        </w:tc>
        <w:tc>
          <w:tcPr>
            <w:tcW w:w="1134" w:type="dxa"/>
            <w:shd w:val="clear" w:color="auto" w:fill="auto"/>
            <w:noWrap/>
            <w:vAlign w:val="bottom"/>
            <w:hideMark/>
          </w:tcPr>
          <w:p w:rsidR="00641867" w:rsidRPr="00B4742D" w:rsidRDefault="00641867" w:rsidP="003D682D">
            <w:pPr>
              <w:spacing w:line="240" w:lineRule="auto"/>
              <w:jc w:val="center"/>
            </w:pPr>
            <w:r w:rsidRPr="00B4742D">
              <w:t>2010</w:t>
            </w:r>
            <w:r w:rsidR="003D682D" w:rsidRPr="00B4742D">
              <w:t>.</w:t>
            </w:r>
          </w:p>
        </w:tc>
        <w:tc>
          <w:tcPr>
            <w:tcW w:w="1134" w:type="dxa"/>
            <w:shd w:val="clear" w:color="auto" w:fill="auto"/>
            <w:noWrap/>
            <w:vAlign w:val="bottom"/>
            <w:hideMark/>
          </w:tcPr>
          <w:p w:rsidR="00641867" w:rsidRPr="00B4742D" w:rsidRDefault="00641867" w:rsidP="003D682D">
            <w:pPr>
              <w:spacing w:line="240" w:lineRule="auto"/>
              <w:jc w:val="center"/>
            </w:pPr>
            <w:r w:rsidRPr="00B4742D">
              <w:t>2011</w:t>
            </w:r>
            <w:r w:rsidR="003D682D" w:rsidRPr="00B4742D">
              <w:t>.</w:t>
            </w:r>
          </w:p>
        </w:tc>
      </w:tr>
      <w:tr w:rsidR="00641867" w:rsidRPr="00B4742D" w:rsidTr="0000766F">
        <w:trPr>
          <w:trHeight w:val="7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UKUPNO</w:t>
            </w:r>
          </w:p>
        </w:tc>
        <w:tc>
          <w:tcPr>
            <w:tcW w:w="993" w:type="dxa"/>
            <w:shd w:val="clear" w:color="auto" w:fill="auto"/>
            <w:noWrap/>
            <w:vAlign w:val="bottom"/>
            <w:hideMark/>
          </w:tcPr>
          <w:p w:rsidR="00641867" w:rsidRPr="00B4742D" w:rsidRDefault="00641867" w:rsidP="003D682D">
            <w:pPr>
              <w:spacing w:line="240" w:lineRule="auto"/>
              <w:jc w:val="center"/>
            </w:pPr>
            <w:r w:rsidRPr="00B4742D">
              <w:t>245,01</w:t>
            </w:r>
          </w:p>
        </w:tc>
        <w:tc>
          <w:tcPr>
            <w:tcW w:w="1134" w:type="dxa"/>
            <w:shd w:val="clear" w:color="auto" w:fill="auto"/>
            <w:noWrap/>
            <w:vAlign w:val="bottom"/>
            <w:hideMark/>
          </w:tcPr>
          <w:p w:rsidR="00641867" w:rsidRPr="00B4742D" w:rsidRDefault="00641867" w:rsidP="003D682D">
            <w:pPr>
              <w:spacing w:line="240" w:lineRule="auto"/>
              <w:jc w:val="center"/>
            </w:pPr>
            <w:r w:rsidRPr="00B4742D">
              <w:t>128,27</w:t>
            </w:r>
          </w:p>
        </w:tc>
        <w:tc>
          <w:tcPr>
            <w:tcW w:w="1134" w:type="dxa"/>
            <w:shd w:val="clear" w:color="auto" w:fill="auto"/>
            <w:noWrap/>
            <w:vAlign w:val="bottom"/>
            <w:hideMark/>
          </w:tcPr>
          <w:p w:rsidR="00641867" w:rsidRPr="00B4742D" w:rsidRDefault="00641867" w:rsidP="003D682D">
            <w:pPr>
              <w:spacing w:line="240" w:lineRule="auto"/>
              <w:jc w:val="center"/>
            </w:pPr>
            <w:r w:rsidRPr="00B4742D">
              <w:t>67,84</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HRVATSKI SABOR</w:t>
            </w:r>
          </w:p>
        </w:tc>
        <w:tc>
          <w:tcPr>
            <w:tcW w:w="993" w:type="dxa"/>
            <w:shd w:val="clear" w:color="auto" w:fill="auto"/>
            <w:noWrap/>
            <w:vAlign w:val="bottom"/>
            <w:hideMark/>
          </w:tcPr>
          <w:p w:rsidR="00641867" w:rsidRPr="00B4742D" w:rsidRDefault="00641867" w:rsidP="003D682D">
            <w:pPr>
              <w:spacing w:line="240" w:lineRule="auto"/>
              <w:jc w:val="center"/>
            </w:pPr>
            <w:r w:rsidRPr="00B4742D">
              <w:t>0,02</w:t>
            </w:r>
          </w:p>
        </w:tc>
        <w:tc>
          <w:tcPr>
            <w:tcW w:w="1134" w:type="dxa"/>
            <w:shd w:val="clear" w:color="auto" w:fill="auto"/>
            <w:noWrap/>
            <w:vAlign w:val="bottom"/>
            <w:hideMark/>
          </w:tcPr>
          <w:p w:rsidR="00641867" w:rsidRPr="00B4742D" w:rsidRDefault="00641867" w:rsidP="003D682D">
            <w:pPr>
              <w:spacing w:line="240" w:lineRule="auto"/>
              <w:jc w:val="center"/>
            </w:pPr>
            <w:r w:rsidRPr="00B4742D">
              <w:t>0,11</w:t>
            </w:r>
          </w:p>
        </w:tc>
        <w:tc>
          <w:tcPr>
            <w:tcW w:w="1134" w:type="dxa"/>
            <w:shd w:val="clear" w:color="auto" w:fill="auto"/>
            <w:noWrap/>
            <w:vAlign w:val="bottom"/>
            <w:hideMark/>
          </w:tcPr>
          <w:p w:rsidR="00641867" w:rsidRPr="00B4742D" w:rsidRDefault="00641867" w:rsidP="003D682D">
            <w:pPr>
              <w:spacing w:line="240" w:lineRule="auto"/>
              <w:jc w:val="center"/>
            </w:pPr>
            <w:r w:rsidRPr="00B4742D">
              <w:t>0,11</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URED PREDSJEDNIKA REPUBLIKE HRVATSKE</w:t>
            </w:r>
          </w:p>
        </w:tc>
        <w:tc>
          <w:tcPr>
            <w:tcW w:w="993" w:type="dxa"/>
            <w:shd w:val="clear" w:color="auto" w:fill="auto"/>
            <w:noWrap/>
            <w:vAlign w:val="bottom"/>
            <w:hideMark/>
          </w:tcPr>
          <w:p w:rsidR="00641867" w:rsidRPr="00B4742D" w:rsidRDefault="00641867" w:rsidP="003D682D">
            <w:pPr>
              <w:spacing w:line="240" w:lineRule="auto"/>
              <w:jc w:val="center"/>
            </w:pPr>
            <w:r w:rsidRPr="00B4742D">
              <w:t>0,05</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0,05</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USTAVNI SUD REPUBLIKE HRVATSKE</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0,01</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AGENCIJA ZA ZAŠTITU TRŽIŠNOG NATJECANJA</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0,02</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VLADA REPUBLIKE HRVATSKE</w:t>
            </w:r>
          </w:p>
        </w:tc>
        <w:tc>
          <w:tcPr>
            <w:tcW w:w="993" w:type="dxa"/>
            <w:shd w:val="clear" w:color="auto" w:fill="auto"/>
            <w:noWrap/>
            <w:vAlign w:val="bottom"/>
            <w:hideMark/>
          </w:tcPr>
          <w:p w:rsidR="00641867" w:rsidRPr="00B4742D" w:rsidRDefault="00641867" w:rsidP="003D682D">
            <w:pPr>
              <w:spacing w:line="240" w:lineRule="auto"/>
              <w:jc w:val="center"/>
            </w:pPr>
            <w:r w:rsidRPr="00B4742D">
              <w:t>0,13</w:t>
            </w:r>
          </w:p>
        </w:tc>
        <w:tc>
          <w:tcPr>
            <w:tcW w:w="1134" w:type="dxa"/>
            <w:shd w:val="clear" w:color="auto" w:fill="auto"/>
            <w:noWrap/>
            <w:vAlign w:val="bottom"/>
            <w:hideMark/>
          </w:tcPr>
          <w:p w:rsidR="00641867" w:rsidRPr="00B4742D" w:rsidRDefault="00641867" w:rsidP="003D682D">
            <w:pPr>
              <w:spacing w:line="240" w:lineRule="auto"/>
              <w:jc w:val="center"/>
            </w:pPr>
            <w:r w:rsidRPr="00B4742D">
              <w:t>0,21</w:t>
            </w:r>
          </w:p>
        </w:tc>
        <w:tc>
          <w:tcPr>
            <w:tcW w:w="1134" w:type="dxa"/>
            <w:shd w:val="clear" w:color="auto" w:fill="auto"/>
            <w:noWrap/>
            <w:vAlign w:val="bottom"/>
            <w:hideMark/>
          </w:tcPr>
          <w:p w:rsidR="00641867" w:rsidRPr="00B4742D" w:rsidRDefault="00641867" w:rsidP="003D682D">
            <w:pPr>
              <w:spacing w:line="240" w:lineRule="auto"/>
              <w:jc w:val="center"/>
            </w:pPr>
            <w:r w:rsidRPr="00B4742D">
              <w:t>0,09</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SREDIŠNJI DRŽAVNI URED ZA E-HRVATSKU</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0,01</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SREDIŠNJI DRŽAVNI URED ZA UPRAVLJANJE DRŽAVNOM IMOVINOM</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0,02</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FINANCIJA</w:t>
            </w:r>
          </w:p>
        </w:tc>
        <w:tc>
          <w:tcPr>
            <w:tcW w:w="993" w:type="dxa"/>
            <w:shd w:val="clear" w:color="auto" w:fill="auto"/>
            <w:noWrap/>
            <w:vAlign w:val="bottom"/>
            <w:hideMark/>
          </w:tcPr>
          <w:p w:rsidR="00641867" w:rsidRPr="00B4742D" w:rsidRDefault="00641867" w:rsidP="003D682D">
            <w:pPr>
              <w:spacing w:line="240" w:lineRule="auto"/>
              <w:jc w:val="center"/>
            </w:pPr>
            <w:r w:rsidRPr="00B4742D">
              <w:t>1,10</w:t>
            </w:r>
          </w:p>
        </w:tc>
        <w:tc>
          <w:tcPr>
            <w:tcW w:w="1134" w:type="dxa"/>
            <w:shd w:val="clear" w:color="auto" w:fill="auto"/>
            <w:noWrap/>
            <w:vAlign w:val="bottom"/>
            <w:hideMark/>
          </w:tcPr>
          <w:p w:rsidR="00641867" w:rsidRPr="00B4742D" w:rsidRDefault="00641867" w:rsidP="003D682D">
            <w:pPr>
              <w:spacing w:line="240" w:lineRule="auto"/>
              <w:jc w:val="center"/>
            </w:pPr>
            <w:r w:rsidRPr="00B4742D">
              <w:t>1,52</w:t>
            </w:r>
          </w:p>
        </w:tc>
        <w:tc>
          <w:tcPr>
            <w:tcW w:w="1134" w:type="dxa"/>
            <w:shd w:val="clear" w:color="auto" w:fill="auto"/>
            <w:noWrap/>
            <w:vAlign w:val="bottom"/>
            <w:hideMark/>
          </w:tcPr>
          <w:p w:rsidR="00641867" w:rsidRPr="00B4742D" w:rsidRDefault="00641867" w:rsidP="003D682D">
            <w:pPr>
              <w:spacing w:line="240" w:lineRule="auto"/>
              <w:jc w:val="center"/>
            </w:pPr>
            <w:r w:rsidRPr="00B4742D">
              <w:t>1,17</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OBRANE</w:t>
            </w:r>
          </w:p>
        </w:tc>
        <w:tc>
          <w:tcPr>
            <w:tcW w:w="993" w:type="dxa"/>
            <w:shd w:val="clear" w:color="auto" w:fill="auto"/>
            <w:noWrap/>
            <w:vAlign w:val="bottom"/>
            <w:hideMark/>
          </w:tcPr>
          <w:p w:rsidR="00641867" w:rsidRPr="00B4742D" w:rsidRDefault="00641867" w:rsidP="003D682D">
            <w:pPr>
              <w:spacing w:line="240" w:lineRule="auto"/>
              <w:jc w:val="center"/>
            </w:pPr>
            <w:r w:rsidRPr="00B4742D">
              <w:t>179,49</w:t>
            </w:r>
          </w:p>
        </w:tc>
        <w:tc>
          <w:tcPr>
            <w:tcW w:w="1134" w:type="dxa"/>
            <w:shd w:val="clear" w:color="auto" w:fill="auto"/>
            <w:noWrap/>
            <w:vAlign w:val="bottom"/>
            <w:hideMark/>
          </w:tcPr>
          <w:p w:rsidR="00641867" w:rsidRPr="00B4742D" w:rsidRDefault="00641867" w:rsidP="003D682D">
            <w:pPr>
              <w:spacing w:line="240" w:lineRule="auto"/>
              <w:jc w:val="center"/>
            </w:pPr>
            <w:r w:rsidRPr="00B4742D">
              <w:t>43,68</w:t>
            </w:r>
          </w:p>
        </w:tc>
        <w:tc>
          <w:tcPr>
            <w:tcW w:w="1134" w:type="dxa"/>
            <w:shd w:val="clear" w:color="auto" w:fill="auto"/>
            <w:noWrap/>
            <w:vAlign w:val="bottom"/>
            <w:hideMark/>
          </w:tcPr>
          <w:p w:rsidR="00641867" w:rsidRPr="00B4742D" w:rsidRDefault="00641867" w:rsidP="003D682D">
            <w:pPr>
              <w:spacing w:line="240" w:lineRule="auto"/>
              <w:jc w:val="center"/>
            </w:pPr>
            <w:r w:rsidRPr="00B4742D">
              <w:t>21,38</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UNUTARNJIH POSLOVA</w:t>
            </w:r>
          </w:p>
        </w:tc>
        <w:tc>
          <w:tcPr>
            <w:tcW w:w="993" w:type="dxa"/>
            <w:shd w:val="clear" w:color="auto" w:fill="auto"/>
            <w:noWrap/>
            <w:vAlign w:val="bottom"/>
            <w:hideMark/>
          </w:tcPr>
          <w:p w:rsidR="00641867" w:rsidRPr="00B4742D" w:rsidRDefault="00641867" w:rsidP="003D682D">
            <w:pPr>
              <w:spacing w:line="240" w:lineRule="auto"/>
              <w:jc w:val="center"/>
            </w:pPr>
            <w:r w:rsidRPr="00B4742D">
              <w:t>10,69</w:t>
            </w:r>
          </w:p>
        </w:tc>
        <w:tc>
          <w:tcPr>
            <w:tcW w:w="1134" w:type="dxa"/>
            <w:shd w:val="clear" w:color="auto" w:fill="auto"/>
            <w:noWrap/>
            <w:vAlign w:val="bottom"/>
            <w:hideMark/>
          </w:tcPr>
          <w:p w:rsidR="00641867" w:rsidRPr="00B4742D" w:rsidRDefault="00641867" w:rsidP="003D682D">
            <w:pPr>
              <w:spacing w:line="240" w:lineRule="auto"/>
              <w:jc w:val="center"/>
            </w:pPr>
            <w:r w:rsidRPr="00B4742D">
              <w:t>9,59</w:t>
            </w:r>
          </w:p>
        </w:tc>
        <w:tc>
          <w:tcPr>
            <w:tcW w:w="1134" w:type="dxa"/>
            <w:shd w:val="clear" w:color="auto" w:fill="auto"/>
            <w:noWrap/>
            <w:vAlign w:val="bottom"/>
            <w:hideMark/>
          </w:tcPr>
          <w:p w:rsidR="00641867" w:rsidRPr="00B4742D" w:rsidRDefault="00641867" w:rsidP="003D682D">
            <w:pPr>
              <w:spacing w:line="240" w:lineRule="auto"/>
              <w:jc w:val="center"/>
            </w:pPr>
            <w:r w:rsidRPr="00B4742D">
              <w:t>6,88</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OBITELJI, BRANITELJA I MEĐUGENERACIJSKE SOLIDAR</w:t>
            </w:r>
          </w:p>
        </w:tc>
        <w:tc>
          <w:tcPr>
            <w:tcW w:w="993" w:type="dxa"/>
            <w:shd w:val="clear" w:color="auto" w:fill="auto"/>
            <w:noWrap/>
            <w:vAlign w:val="bottom"/>
            <w:hideMark/>
          </w:tcPr>
          <w:p w:rsidR="00641867" w:rsidRPr="00B4742D" w:rsidRDefault="00641867" w:rsidP="003D682D">
            <w:pPr>
              <w:spacing w:line="240" w:lineRule="auto"/>
              <w:jc w:val="center"/>
            </w:pPr>
            <w:r w:rsidRPr="00B4742D">
              <w:t>0,12</w:t>
            </w:r>
          </w:p>
        </w:tc>
        <w:tc>
          <w:tcPr>
            <w:tcW w:w="1134" w:type="dxa"/>
            <w:shd w:val="clear" w:color="auto" w:fill="auto"/>
            <w:noWrap/>
            <w:vAlign w:val="bottom"/>
            <w:hideMark/>
          </w:tcPr>
          <w:p w:rsidR="00641867" w:rsidRPr="00B4742D" w:rsidRDefault="00641867" w:rsidP="003D682D">
            <w:pPr>
              <w:spacing w:line="240" w:lineRule="auto"/>
              <w:jc w:val="center"/>
            </w:pPr>
            <w:r w:rsidRPr="00B4742D">
              <w:t>0,05</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VANJSKIH POSLOVA I EUROPSKIH INTEGRACIJA</w:t>
            </w:r>
          </w:p>
        </w:tc>
        <w:tc>
          <w:tcPr>
            <w:tcW w:w="993" w:type="dxa"/>
            <w:shd w:val="clear" w:color="auto" w:fill="auto"/>
            <w:noWrap/>
            <w:vAlign w:val="bottom"/>
            <w:hideMark/>
          </w:tcPr>
          <w:p w:rsidR="00641867" w:rsidRPr="00B4742D" w:rsidRDefault="00641867" w:rsidP="003D682D">
            <w:pPr>
              <w:spacing w:line="240" w:lineRule="auto"/>
              <w:jc w:val="center"/>
            </w:pPr>
            <w:r w:rsidRPr="00B4742D">
              <w:t>0,23</w:t>
            </w:r>
          </w:p>
        </w:tc>
        <w:tc>
          <w:tcPr>
            <w:tcW w:w="1134" w:type="dxa"/>
            <w:shd w:val="clear" w:color="auto" w:fill="auto"/>
            <w:noWrap/>
            <w:vAlign w:val="bottom"/>
            <w:hideMark/>
          </w:tcPr>
          <w:p w:rsidR="00641867" w:rsidRPr="00B4742D" w:rsidRDefault="00641867" w:rsidP="003D682D">
            <w:pPr>
              <w:spacing w:line="240" w:lineRule="auto"/>
              <w:jc w:val="center"/>
            </w:pPr>
            <w:r w:rsidRPr="00B4742D">
              <w:t>0,11</w:t>
            </w:r>
          </w:p>
        </w:tc>
        <w:tc>
          <w:tcPr>
            <w:tcW w:w="1134" w:type="dxa"/>
            <w:shd w:val="clear" w:color="auto" w:fill="auto"/>
            <w:noWrap/>
            <w:vAlign w:val="bottom"/>
            <w:hideMark/>
          </w:tcPr>
          <w:p w:rsidR="00641867" w:rsidRPr="00B4742D" w:rsidRDefault="00641867" w:rsidP="003D682D">
            <w:pPr>
              <w:spacing w:line="240" w:lineRule="auto"/>
              <w:jc w:val="center"/>
            </w:pPr>
            <w:r w:rsidRPr="00B4742D">
              <w:t>0,18</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GOSPODARSTVA, RADA I PODUZETNIŠTVA</w:t>
            </w:r>
          </w:p>
        </w:tc>
        <w:tc>
          <w:tcPr>
            <w:tcW w:w="993" w:type="dxa"/>
            <w:shd w:val="clear" w:color="auto" w:fill="auto"/>
            <w:noWrap/>
            <w:vAlign w:val="bottom"/>
            <w:hideMark/>
          </w:tcPr>
          <w:p w:rsidR="00641867" w:rsidRPr="00B4742D" w:rsidRDefault="00641867" w:rsidP="003D682D">
            <w:pPr>
              <w:spacing w:line="240" w:lineRule="auto"/>
              <w:jc w:val="center"/>
            </w:pPr>
            <w:r w:rsidRPr="00B4742D">
              <w:t>1,17</w:t>
            </w:r>
          </w:p>
        </w:tc>
        <w:tc>
          <w:tcPr>
            <w:tcW w:w="1134" w:type="dxa"/>
            <w:shd w:val="clear" w:color="auto" w:fill="auto"/>
            <w:noWrap/>
            <w:vAlign w:val="bottom"/>
            <w:hideMark/>
          </w:tcPr>
          <w:p w:rsidR="00641867" w:rsidRPr="00B4742D" w:rsidRDefault="00641867" w:rsidP="003D682D">
            <w:pPr>
              <w:spacing w:line="240" w:lineRule="auto"/>
              <w:jc w:val="center"/>
            </w:pPr>
            <w:r w:rsidRPr="00B4742D">
              <w:t>1,32</w:t>
            </w:r>
          </w:p>
        </w:tc>
        <w:tc>
          <w:tcPr>
            <w:tcW w:w="1134" w:type="dxa"/>
            <w:shd w:val="clear" w:color="auto" w:fill="auto"/>
            <w:noWrap/>
            <w:vAlign w:val="bottom"/>
            <w:hideMark/>
          </w:tcPr>
          <w:p w:rsidR="00641867" w:rsidRPr="00B4742D" w:rsidRDefault="00641867" w:rsidP="003D682D">
            <w:pPr>
              <w:spacing w:line="240" w:lineRule="auto"/>
              <w:jc w:val="center"/>
            </w:pPr>
            <w:r w:rsidRPr="00B4742D">
              <w:t>1,07</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KULTURE</w:t>
            </w:r>
          </w:p>
        </w:tc>
        <w:tc>
          <w:tcPr>
            <w:tcW w:w="993" w:type="dxa"/>
            <w:shd w:val="clear" w:color="auto" w:fill="auto"/>
            <w:noWrap/>
            <w:vAlign w:val="bottom"/>
            <w:hideMark/>
          </w:tcPr>
          <w:p w:rsidR="00641867" w:rsidRPr="00B4742D" w:rsidRDefault="00641867" w:rsidP="003D682D">
            <w:pPr>
              <w:spacing w:line="240" w:lineRule="auto"/>
              <w:jc w:val="center"/>
            </w:pPr>
            <w:r w:rsidRPr="00B4742D">
              <w:t>0,20</w:t>
            </w:r>
          </w:p>
        </w:tc>
        <w:tc>
          <w:tcPr>
            <w:tcW w:w="1134" w:type="dxa"/>
            <w:shd w:val="clear" w:color="auto" w:fill="auto"/>
            <w:noWrap/>
            <w:vAlign w:val="bottom"/>
            <w:hideMark/>
          </w:tcPr>
          <w:p w:rsidR="00641867" w:rsidRPr="00B4742D" w:rsidRDefault="00641867" w:rsidP="003D682D">
            <w:pPr>
              <w:spacing w:line="240" w:lineRule="auto"/>
              <w:jc w:val="center"/>
            </w:pPr>
            <w:r w:rsidRPr="00B4742D">
              <w:t>0,30</w:t>
            </w:r>
          </w:p>
        </w:tc>
        <w:tc>
          <w:tcPr>
            <w:tcW w:w="1134" w:type="dxa"/>
            <w:shd w:val="clear" w:color="auto" w:fill="auto"/>
            <w:noWrap/>
            <w:vAlign w:val="bottom"/>
            <w:hideMark/>
          </w:tcPr>
          <w:p w:rsidR="00641867" w:rsidRPr="00B4742D" w:rsidRDefault="00641867" w:rsidP="003D682D">
            <w:pPr>
              <w:spacing w:line="240" w:lineRule="auto"/>
              <w:jc w:val="center"/>
            </w:pPr>
            <w:r w:rsidRPr="00B4742D">
              <w:t>0,33</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POLJOPRIVREDE, RIBARSTVA I RURALNOG RAZVOJA</w:t>
            </w:r>
          </w:p>
        </w:tc>
        <w:tc>
          <w:tcPr>
            <w:tcW w:w="993" w:type="dxa"/>
            <w:shd w:val="clear" w:color="auto" w:fill="auto"/>
            <w:noWrap/>
            <w:vAlign w:val="bottom"/>
            <w:hideMark/>
          </w:tcPr>
          <w:p w:rsidR="00641867" w:rsidRPr="00B4742D" w:rsidRDefault="00641867" w:rsidP="003D682D">
            <w:pPr>
              <w:spacing w:line="240" w:lineRule="auto"/>
              <w:jc w:val="center"/>
            </w:pPr>
            <w:r w:rsidRPr="00B4742D">
              <w:t>0,08</w:t>
            </w:r>
          </w:p>
        </w:tc>
        <w:tc>
          <w:tcPr>
            <w:tcW w:w="1134" w:type="dxa"/>
            <w:shd w:val="clear" w:color="auto" w:fill="auto"/>
            <w:noWrap/>
            <w:vAlign w:val="bottom"/>
            <w:hideMark/>
          </w:tcPr>
          <w:p w:rsidR="00641867" w:rsidRPr="00B4742D" w:rsidRDefault="00641867" w:rsidP="003D682D">
            <w:pPr>
              <w:spacing w:line="240" w:lineRule="auto"/>
              <w:jc w:val="center"/>
            </w:pPr>
            <w:r w:rsidRPr="00B4742D">
              <w:t>0,54</w:t>
            </w:r>
          </w:p>
        </w:tc>
        <w:tc>
          <w:tcPr>
            <w:tcW w:w="1134" w:type="dxa"/>
            <w:shd w:val="clear" w:color="auto" w:fill="auto"/>
            <w:noWrap/>
            <w:vAlign w:val="bottom"/>
            <w:hideMark/>
          </w:tcPr>
          <w:p w:rsidR="00641867" w:rsidRPr="00B4742D" w:rsidRDefault="00641867" w:rsidP="003D682D">
            <w:pPr>
              <w:spacing w:line="240" w:lineRule="auto"/>
              <w:jc w:val="center"/>
            </w:pPr>
            <w:r w:rsidRPr="00B4742D">
              <w:t>0,22</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REGIONALNOG RAZVOJA, ŠUMARSTVA I VODNOG GOSPODA</w:t>
            </w:r>
          </w:p>
        </w:tc>
        <w:tc>
          <w:tcPr>
            <w:tcW w:w="993" w:type="dxa"/>
            <w:shd w:val="clear" w:color="auto" w:fill="auto"/>
            <w:noWrap/>
            <w:vAlign w:val="bottom"/>
            <w:hideMark/>
          </w:tcPr>
          <w:p w:rsidR="00641867" w:rsidRPr="00B4742D" w:rsidRDefault="00641867" w:rsidP="003D682D">
            <w:pPr>
              <w:spacing w:line="240" w:lineRule="auto"/>
              <w:jc w:val="center"/>
            </w:pPr>
            <w:r w:rsidRPr="00B4742D">
              <w:t>0,06</w:t>
            </w:r>
          </w:p>
        </w:tc>
        <w:tc>
          <w:tcPr>
            <w:tcW w:w="1134" w:type="dxa"/>
            <w:shd w:val="clear" w:color="auto" w:fill="auto"/>
            <w:noWrap/>
            <w:vAlign w:val="bottom"/>
            <w:hideMark/>
          </w:tcPr>
          <w:p w:rsidR="00641867" w:rsidRPr="00B4742D" w:rsidRDefault="00641867" w:rsidP="003D682D">
            <w:pPr>
              <w:spacing w:line="240" w:lineRule="auto"/>
              <w:jc w:val="center"/>
            </w:pPr>
            <w:r w:rsidRPr="00B4742D">
              <w:t>0,03</w:t>
            </w:r>
          </w:p>
        </w:tc>
        <w:tc>
          <w:tcPr>
            <w:tcW w:w="1134" w:type="dxa"/>
            <w:shd w:val="clear" w:color="auto" w:fill="auto"/>
            <w:noWrap/>
            <w:vAlign w:val="bottom"/>
            <w:hideMark/>
          </w:tcPr>
          <w:p w:rsidR="00641867" w:rsidRPr="00B4742D" w:rsidRDefault="00641867" w:rsidP="003D682D">
            <w:pPr>
              <w:spacing w:line="240" w:lineRule="auto"/>
              <w:jc w:val="center"/>
            </w:pPr>
            <w:r w:rsidRPr="00B4742D">
              <w:t>0,08</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MORA, PROMETA I INFRASTRUKTURE</w:t>
            </w:r>
          </w:p>
        </w:tc>
        <w:tc>
          <w:tcPr>
            <w:tcW w:w="993" w:type="dxa"/>
            <w:shd w:val="clear" w:color="auto" w:fill="auto"/>
            <w:noWrap/>
            <w:vAlign w:val="bottom"/>
            <w:hideMark/>
          </w:tcPr>
          <w:p w:rsidR="00641867" w:rsidRPr="00B4742D" w:rsidRDefault="00641867" w:rsidP="003D682D">
            <w:pPr>
              <w:spacing w:line="240" w:lineRule="auto"/>
              <w:jc w:val="center"/>
            </w:pPr>
            <w:r w:rsidRPr="00B4742D">
              <w:t>0,14</w:t>
            </w:r>
          </w:p>
        </w:tc>
        <w:tc>
          <w:tcPr>
            <w:tcW w:w="1134" w:type="dxa"/>
            <w:shd w:val="clear" w:color="auto" w:fill="auto"/>
            <w:noWrap/>
            <w:vAlign w:val="bottom"/>
            <w:hideMark/>
          </w:tcPr>
          <w:p w:rsidR="00641867" w:rsidRPr="00B4742D" w:rsidRDefault="00641867" w:rsidP="003D682D">
            <w:pPr>
              <w:spacing w:line="240" w:lineRule="auto"/>
              <w:jc w:val="center"/>
            </w:pPr>
            <w:r w:rsidRPr="00B4742D">
              <w:t>0,10</w:t>
            </w:r>
          </w:p>
        </w:tc>
        <w:tc>
          <w:tcPr>
            <w:tcW w:w="1134" w:type="dxa"/>
            <w:shd w:val="clear" w:color="auto" w:fill="auto"/>
            <w:noWrap/>
            <w:vAlign w:val="bottom"/>
            <w:hideMark/>
          </w:tcPr>
          <w:p w:rsidR="00641867" w:rsidRPr="00B4742D" w:rsidRDefault="00641867" w:rsidP="003D682D">
            <w:pPr>
              <w:spacing w:line="240" w:lineRule="auto"/>
              <w:jc w:val="center"/>
            </w:pPr>
            <w:r w:rsidRPr="00B4742D">
              <w:t>0,18</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ZAŠTITE OKOLIŠA, PROSTORNOG UREĐENJA I GRADITEL</w:t>
            </w:r>
          </w:p>
        </w:tc>
        <w:tc>
          <w:tcPr>
            <w:tcW w:w="993" w:type="dxa"/>
            <w:shd w:val="clear" w:color="auto" w:fill="auto"/>
            <w:noWrap/>
            <w:vAlign w:val="bottom"/>
            <w:hideMark/>
          </w:tcPr>
          <w:p w:rsidR="00641867" w:rsidRPr="00B4742D" w:rsidRDefault="00641867" w:rsidP="003D682D">
            <w:pPr>
              <w:spacing w:line="240" w:lineRule="auto"/>
              <w:jc w:val="center"/>
            </w:pPr>
            <w:r w:rsidRPr="00B4742D">
              <w:t>0,47</w:t>
            </w:r>
          </w:p>
        </w:tc>
        <w:tc>
          <w:tcPr>
            <w:tcW w:w="1134" w:type="dxa"/>
            <w:shd w:val="clear" w:color="auto" w:fill="auto"/>
            <w:noWrap/>
            <w:vAlign w:val="bottom"/>
            <w:hideMark/>
          </w:tcPr>
          <w:p w:rsidR="00641867" w:rsidRPr="00B4742D" w:rsidRDefault="00641867" w:rsidP="003D682D">
            <w:pPr>
              <w:spacing w:line="240" w:lineRule="auto"/>
              <w:jc w:val="center"/>
            </w:pPr>
            <w:r w:rsidRPr="00B4742D">
              <w:t>0,57</w:t>
            </w:r>
          </w:p>
        </w:tc>
        <w:tc>
          <w:tcPr>
            <w:tcW w:w="1134" w:type="dxa"/>
            <w:shd w:val="clear" w:color="auto" w:fill="auto"/>
            <w:noWrap/>
            <w:vAlign w:val="bottom"/>
            <w:hideMark/>
          </w:tcPr>
          <w:p w:rsidR="00641867" w:rsidRPr="00B4742D" w:rsidRDefault="00641867" w:rsidP="003D682D">
            <w:pPr>
              <w:spacing w:line="240" w:lineRule="auto"/>
              <w:jc w:val="center"/>
            </w:pPr>
            <w:r w:rsidRPr="00B4742D">
              <w:t>0,34</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ZNANOSTI, OBRAZOVANJA I ŠPORTA</w:t>
            </w:r>
          </w:p>
        </w:tc>
        <w:tc>
          <w:tcPr>
            <w:tcW w:w="993" w:type="dxa"/>
            <w:shd w:val="clear" w:color="auto" w:fill="auto"/>
            <w:noWrap/>
            <w:vAlign w:val="bottom"/>
            <w:hideMark/>
          </w:tcPr>
          <w:p w:rsidR="00641867" w:rsidRPr="00B4742D" w:rsidRDefault="00641867" w:rsidP="003D682D">
            <w:pPr>
              <w:spacing w:line="240" w:lineRule="auto"/>
              <w:jc w:val="center"/>
            </w:pPr>
            <w:r w:rsidRPr="00B4742D">
              <w:t>40,72</w:t>
            </w:r>
          </w:p>
        </w:tc>
        <w:tc>
          <w:tcPr>
            <w:tcW w:w="1134" w:type="dxa"/>
            <w:shd w:val="clear" w:color="auto" w:fill="auto"/>
            <w:noWrap/>
            <w:vAlign w:val="bottom"/>
            <w:hideMark/>
          </w:tcPr>
          <w:p w:rsidR="00641867" w:rsidRPr="00B4742D" w:rsidRDefault="00641867" w:rsidP="003D682D">
            <w:pPr>
              <w:spacing w:line="240" w:lineRule="auto"/>
              <w:jc w:val="center"/>
            </w:pPr>
            <w:r w:rsidRPr="00B4742D">
              <w:t>59,74</w:t>
            </w:r>
          </w:p>
        </w:tc>
        <w:tc>
          <w:tcPr>
            <w:tcW w:w="1134" w:type="dxa"/>
            <w:shd w:val="clear" w:color="auto" w:fill="auto"/>
            <w:noWrap/>
            <w:vAlign w:val="bottom"/>
            <w:hideMark/>
          </w:tcPr>
          <w:p w:rsidR="00641867" w:rsidRPr="00B4742D" w:rsidRDefault="00641867" w:rsidP="003D682D">
            <w:pPr>
              <w:spacing w:line="240" w:lineRule="auto"/>
              <w:jc w:val="center"/>
            </w:pPr>
            <w:r w:rsidRPr="00B4742D">
              <w:t>25,15</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TURIZMA</w:t>
            </w:r>
          </w:p>
        </w:tc>
        <w:tc>
          <w:tcPr>
            <w:tcW w:w="993" w:type="dxa"/>
            <w:shd w:val="clear" w:color="auto" w:fill="auto"/>
            <w:noWrap/>
            <w:vAlign w:val="bottom"/>
            <w:hideMark/>
          </w:tcPr>
          <w:p w:rsidR="00641867" w:rsidRPr="00B4742D" w:rsidRDefault="00641867" w:rsidP="003D682D">
            <w:pPr>
              <w:spacing w:line="240" w:lineRule="auto"/>
              <w:jc w:val="center"/>
            </w:pPr>
            <w:r w:rsidRPr="00B4742D">
              <w:t>0,02</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UPRAVE</w:t>
            </w:r>
          </w:p>
        </w:tc>
        <w:tc>
          <w:tcPr>
            <w:tcW w:w="993" w:type="dxa"/>
            <w:shd w:val="clear" w:color="auto" w:fill="auto"/>
            <w:noWrap/>
            <w:vAlign w:val="bottom"/>
            <w:hideMark/>
          </w:tcPr>
          <w:p w:rsidR="00641867" w:rsidRPr="00B4742D" w:rsidRDefault="00641867" w:rsidP="003D682D">
            <w:pPr>
              <w:spacing w:line="240" w:lineRule="auto"/>
              <w:jc w:val="center"/>
            </w:pPr>
            <w:r w:rsidRPr="00B4742D">
              <w:t>0,63</w:t>
            </w:r>
          </w:p>
        </w:tc>
        <w:tc>
          <w:tcPr>
            <w:tcW w:w="1134" w:type="dxa"/>
            <w:shd w:val="clear" w:color="auto" w:fill="auto"/>
            <w:noWrap/>
            <w:vAlign w:val="bottom"/>
            <w:hideMark/>
          </w:tcPr>
          <w:p w:rsidR="00641867" w:rsidRPr="00B4742D" w:rsidRDefault="00641867" w:rsidP="003D682D">
            <w:pPr>
              <w:spacing w:line="240" w:lineRule="auto"/>
              <w:jc w:val="center"/>
            </w:pPr>
            <w:r w:rsidRPr="00B4742D">
              <w:t>0,82</w:t>
            </w:r>
          </w:p>
        </w:tc>
        <w:tc>
          <w:tcPr>
            <w:tcW w:w="1134" w:type="dxa"/>
            <w:shd w:val="clear" w:color="auto" w:fill="auto"/>
            <w:noWrap/>
            <w:vAlign w:val="bottom"/>
            <w:hideMark/>
          </w:tcPr>
          <w:p w:rsidR="00641867" w:rsidRPr="00B4742D" w:rsidRDefault="00641867" w:rsidP="003D682D">
            <w:pPr>
              <w:spacing w:line="240" w:lineRule="auto"/>
              <w:jc w:val="center"/>
            </w:pPr>
            <w:r w:rsidRPr="00B4742D">
              <w:t>0,55</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ZDRAVSTVA I SOCIJALNE SKRBI</w:t>
            </w:r>
          </w:p>
        </w:tc>
        <w:tc>
          <w:tcPr>
            <w:tcW w:w="993" w:type="dxa"/>
            <w:shd w:val="clear" w:color="auto" w:fill="auto"/>
            <w:noWrap/>
            <w:vAlign w:val="bottom"/>
            <w:hideMark/>
          </w:tcPr>
          <w:p w:rsidR="00641867" w:rsidRPr="00B4742D" w:rsidRDefault="00641867" w:rsidP="003D682D">
            <w:pPr>
              <w:spacing w:line="240" w:lineRule="auto"/>
              <w:jc w:val="center"/>
            </w:pPr>
            <w:r w:rsidRPr="00B4742D">
              <w:t>2,17</w:t>
            </w:r>
          </w:p>
        </w:tc>
        <w:tc>
          <w:tcPr>
            <w:tcW w:w="1134" w:type="dxa"/>
            <w:shd w:val="clear" w:color="auto" w:fill="auto"/>
            <w:noWrap/>
            <w:vAlign w:val="bottom"/>
            <w:hideMark/>
          </w:tcPr>
          <w:p w:rsidR="00641867" w:rsidRPr="00B4742D" w:rsidRDefault="00641867" w:rsidP="003D682D">
            <w:pPr>
              <w:spacing w:line="240" w:lineRule="auto"/>
              <w:jc w:val="center"/>
            </w:pPr>
            <w:r w:rsidRPr="00B4742D">
              <w:t>3,56</w:t>
            </w:r>
          </w:p>
        </w:tc>
        <w:tc>
          <w:tcPr>
            <w:tcW w:w="1134" w:type="dxa"/>
            <w:shd w:val="clear" w:color="auto" w:fill="auto"/>
            <w:noWrap/>
            <w:vAlign w:val="bottom"/>
            <w:hideMark/>
          </w:tcPr>
          <w:p w:rsidR="00641867" w:rsidRPr="00B4742D" w:rsidRDefault="00641867" w:rsidP="003D682D">
            <w:pPr>
              <w:spacing w:line="240" w:lineRule="auto"/>
              <w:jc w:val="center"/>
            </w:pPr>
            <w:r w:rsidRPr="00B4742D">
              <w:t>2,21</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HRVATSKA AKADEMIJA ZNANOSTI I UMJETNOSTI</w:t>
            </w:r>
          </w:p>
        </w:tc>
        <w:tc>
          <w:tcPr>
            <w:tcW w:w="993" w:type="dxa"/>
            <w:shd w:val="clear" w:color="auto" w:fill="auto"/>
            <w:noWrap/>
            <w:vAlign w:val="bottom"/>
            <w:hideMark/>
          </w:tcPr>
          <w:p w:rsidR="00641867" w:rsidRPr="00B4742D" w:rsidRDefault="00641867" w:rsidP="003D682D">
            <w:pPr>
              <w:spacing w:line="240" w:lineRule="auto"/>
              <w:jc w:val="center"/>
            </w:pPr>
            <w:r w:rsidRPr="00B4742D">
              <w:t>0,06</w:t>
            </w:r>
          </w:p>
        </w:tc>
        <w:tc>
          <w:tcPr>
            <w:tcW w:w="1134" w:type="dxa"/>
            <w:shd w:val="clear" w:color="auto" w:fill="auto"/>
            <w:noWrap/>
            <w:vAlign w:val="bottom"/>
            <w:hideMark/>
          </w:tcPr>
          <w:p w:rsidR="00641867" w:rsidRPr="00B4742D" w:rsidRDefault="00641867" w:rsidP="003D682D">
            <w:pPr>
              <w:spacing w:line="240" w:lineRule="auto"/>
              <w:jc w:val="center"/>
            </w:pPr>
            <w:r w:rsidRPr="00B4742D">
              <w:t>0,06</w:t>
            </w:r>
          </w:p>
        </w:tc>
        <w:tc>
          <w:tcPr>
            <w:tcW w:w="1134" w:type="dxa"/>
            <w:shd w:val="clear" w:color="auto" w:fill="auto"/>
            <w:noWrap/>
            <w:vAlign w:val="bottom"/>
            <w:hideMark/>
          </w:tcPr>
          <w:p w:rsidR="00641867" w:rsidRPr="00B4742D" w:rsidRDefault="00641867" w:rsidP="003D682D">
            <w:pPr>
              <w:spacing w:line="240" w:lineRule="auto"/>
              <w:jc w:val="center"/>
            </w:pPr>
            <w:r w:rsidRPr="00B4742D">
              <w:t>0,05</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MINISTARSTVO PRAVOSUĐA</w:t>
            </w:r>
          </w:p>
        </w:tc>
        <w:tc>
          <w:tcPr>
            <w:tcW w:w="993" w:type="dxa"/>
            <w:shd w:val="clear" w:color="auto" w:fill="auto"/>
            <w:noWrap/>
            <w:vAlign w:val="bottom"/>
            <w:hideMark/>
          </w:tcPr>
          <w:p w:rsidR="00641867" w:rsidRPr="00B4742D" w:rsidRDefault="00641867" w:rsidP="003D682D">
            <w:pPr>
              <w:spacing w:line="240" w:lineRule="auto"/>
              <w:jc w:val="center"/>
            </w:pPr>
            <w:r w:rsidRPr="00B4742D">
              <w:t>6,90</w:t>
            </w:r>
          </w:p>
        </w:tc>
        <w:tc>
          <w:tcPr>
            <w:tcW w:w="1134" w:type="dxa"/>
            <w:shd w:val="clear" w:color="auto" w:fill="auto"/>
            <w:noWrap/>
            <w:vAlign w:val="bottom"/>
            <w:hideMark/>
          </w:tcPr>
          <w:p w:rsidR="00641867" w:rsidRPr="00B4742D" w:rsidRDefault="00641867" w:rsidP="003D682D">
            <w:pPr>
              <w:spacing w:line="240" w:lineRule="auto"/>
              <w:jc w:val="center"/>
            </w:pPr>
            <w:r w:rsidRPr="00B4742D">
              <w:t>5,35</w:t>
            </w:r>
          </w:p>
        </w:tc>
        <w:tc>
          <w:tcPr>
            <w:tcW w:w="1134" w:type="dxa"/>
            <w:shd w:val="clear" w:color="auto" w:fill="auto"/>
            <w:noWrap/>
            <w:vAlign w:val="bottom"/>
            <w:hideMark/>
          </w:tcPr>
          <w:p w:rsidR="00641867" w:rsidRPr="00B4742D" w:rsidRDefault="00641867" w:rsidP="003D682D">
            <w:pPr>
              <w:spacing w:line="240" w:lineRule="auto"/>
              <w:jc w:val="center"/>
            </w:pPr>
            <w:r w:rsidRPr="00B4742D">
              <w:t>7,18</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URED PUČKOG PRAVOBRANITELJA</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0,02</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PRAVOBRANITELJ/ICA ZA RAVNOPRAVNOST SPOLOVA</w:t>
            </w:r>
          </w:p>
        </w:tc>
        <w:tc>
          <w:tcPr>
            <w:tcW w:w="993" w:type="dxa"/>
            <w:shd w:val="clear" w:color="auto" w:fill="auto"/>
            <w:noWrap/>
            <w:vAlign w:val="bottom"/>
            <w:hideMark/>
          </w:tcPr>
          <w:p w:rsidR="00641867" w:rsidRPr="008B2ED7" w:rsidRDefault="00641867" w:rsidP="003D682D">
            <w:pPr>
              <w:spacing w:line="240" w:lineRule="auto"/>
              <w:jc w:val="center"/>
            </w:pPr>
            <w:r w:rsidRPr="008B2ED7">
              <w:t>0,00</w:t>
            </w:r>
          </w:p>
        </w:tc>
        <w:tc>
          <w:tcPr>
            <w:tcW w:w="1134" w:type="dxa"/>
            <w:shd w:val="clear" w:color="auto" w:fill="auto"/>
            <w:noWrap/>
            <w:vAlign w:val="bottom"/>
            <w:hideMark/>
          </w:tcPr>
          <w:p w:rsidR="00641867" w:rsidRPr="008B2ED7" w:rsidRDefault="00641867" w:rsidP="003D682D">
            <w:pPr>
              <w:spacing w:line="240" w:lineRule="auto"/>
              <w:jc w:val="center"/>
            </w:pPr>
            <w:r w:rsidRPr="008B2ED7">
              <w:t>0,01</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DRŽAVNI ZAVOD ZA STATISTIKU</w:t>
            </w:r>
          </w:p>
        </w:tc>
        <w:tc>
          <w:tcPr>
            <w:tcW w:w="993" w:type="dxa"/>
            <w:shd w:val="clear" w:color="auto" w:fill="auto"/>
            <w:noWrap/>
            <w:vAlign w:val="bottom"/>
            <w:hideMark/>
          </w:tcPr>
          <w:p w:rsidR="00641867" w:rsidRPr="00B4742D" w:rsidRDefault="00641867" w:rsidP="003D682D">
            <w:pPr>
              <w:spacing w:line="240" w:lineRule="auto"/>
              <w:jc w:val="center"/>
            </w:pPr>
            <w:r w:rsidRPr="00B4742D">
              <w:t>0,11</w:t>
            </w:r>
          </w:p>
        </w:tc>
        <w:tc>
          <w:tcPr>
            <w:tcW w:w="1134" w:type="dxa"/>
            <w:shd w:val="clear" w:color="auto" w:fill="auto"/>
            <w:noWrap/>
            <w:vAlign w:val="bottom"/>
            <w:hideMark/>
          </w:tcPr>
          <w:p w:rsidR="00641867" w:rsidRPr="00B4742D" w:rsidRDefault="00641867" w:rsidP="003D682D">
            <w:pPr>
              <w:spacing w:line="240" w:lineRule="auto"/>
              <w:jc w:val="center"/>
            </w:pPr>
            <w:r w:rsidRPr="00B4742D">
              <w:t>0,25</w:t>
            </w:r>
          </w:p>
        </w:tc>
        <w:tc>
          <w:tcPr>
            <w:tcW w:w="1134" w:type="dxa"/>
            <w:shd w:val="clear" w:color="auto" w:fill="auto"/>
            <w:noWrap/>
            <w:vAlign w:val="bottom"/>
            <w:hideMark/>
          </w:tcPr>
          <w:p w:rsidR="00641867" w:rsidRPr="00B4742D" w:rsidRDefault="00641867" w:rsidP="003D682D">
            <w:pPr>
              <w:spacing w:line="240" w:lineRule="auto"/>
              <w:jc w:val="center"/>
            </w:pPr>
            <w:r w:rsidRPr="00B4742D">
              <w:t>0,18</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DRŽAVNI URED ZA REVIZIJU</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0,05</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DRŽAVNI INSPEKTORAT</w:t>
            </w:r>
          </w:p>
        </w:tc>
        <w:tc>
          <w:tcPr>
            <w:tcW w:w="993" w:type="dxa"/>
            <w:shd w:val="clear" w:color="auto" w:fill="auto"/>
            <w:noWrap/>
            <w:vAlign w:val="bottom"/>
            <w:hideMark/>
          </w:tcPr>
          <w:p w:rsidR="00641867" w:rsidRPr="00B4742D" w:rsidRDefault="00641867" w:rsidP="003D682D">
            <w:pPr>
              <w:spacing w:line="240" w:lineRule="auto"/>
              <w:jc w:val="center"/>
            </w:pPr>
            <w:r w:rsidRPr="00B4742D">
              <w:t>0,43</w:t>
            </w:r>
          </w:p>
        </w:tc>
        <w:tc>
          <w:tcPr>
            <w:tcW w:w="1134" w:type="dxa"/>
            <w:shd w:val="clear" w:color="auto" w:fill="auto"/>
            <w:noWrap/>
            <w:vAlign w:val="bottom"/>
            <w:hideMark/>
          </w:tcPr>
          <w:p w:rsidR="00641867" w:rsidRPr="00B4742D" w:rsidRDefault="00641867" w:rsidP="003D682D">
            <w:pPr>
              <w:spacing w:line="240" w:lineRule="auto"/>
              <w:jc w:val="center"/>
            </w:pPr>
            <w:r w:rsidRPr="00B4742D">
              <w:t>0,28</w:t>
            </w:r>
          </w:p>
        </w:tc>
        <w:tc>
          <w:tcPr>
            <w:tcW w:w="1134" w:type="dxa"/>
            <w:shd w:val="clear" w:color="auto" w:fill="auto"/>
            <w:noWrap/>
            <w:vAlign w:val="bottom"/>
            <w:hideMark/>
          </w:tcPr>
          <w:p w:rsidR="00641867" w:rsidRPr="00B4742D" w:rsidRDefault="00641867" w:rsidP="003D682D">
            <w:pPr>
              <w:spacing w:line="240" w:lineRule="auto"/>
              <w:jc w:val="center"/>
            </w:pPr>
            <w:r w:rsidRPr="00B4742D">
              <w:t>0,31</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t>KOMISIJA ZA ODNOSE S VJERSKIM ZAJEDNICAMA</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0,02</w:t>
            </w:r>
          </w:p>
        </w:tc>
      </w:tr>
      <w:tr w:rsidR="00641867" w:rsidRPr="00B4742D" w:rsidTr="0000766F">
        <w:trPr>
          <w:trHeight w:val="300"/>
        </w:trPr>
        <w:tc>
          <w:tcPr>
            <w:tcW w:w="6372" w:type="dxa"/>
            <w:shd w:val="clear" w:color="auto" w:fill="auto"/>
            <w:noWrap/>
            <w:vAlign w:val="center"/>
            <w:hideMark/>
          </w:tcPr>
          <w:p w:rsidR="00641867" w:rsidRPr="00B4742D" w:rsidRDefault="00641867" w:rsidP="003D682D">
            <w:pPr>
              <w:tabs>
                <w:tab w:val="clear" w:pos="0"/>
                <w:tab w:val="center" w:pos="-399"/>
              </w:tabs>
              <w:spacing w:line="240" w:lineRule="auto"/>
              <w:jc w:val="center"/>
            </w:pPr>
            <w:r w:rsidRPr="00B4742D">
              <w:lastRenderedPageBreak/>
              <w:t>AGENCIJA ZA ZAŠTITU OSOBNIH PODATAKA</w:t>
            </w:r>
          </w:p>
        </w:tc>
        <w:tc>
          <w:tcPr>
            <w:tcW w:w="993" w:type="dxa"/>
            <w:shd w:val="clear" w:color="auto" w:fill="auto"/>
            <w:noWrap/>
            <w:vAlign w:val="bottom"/>
            <w:hideMark/>
          </w:tcPr>
          <w:p w:rsidR="00641867" w:rsidRPr="00B4742D" w:rsidRDefault="00641867" w:rsidP="003D682D">
            <w:pPr>
              <w:spacing w:line="240" w:lineRule="auto"/>
              <w:jc w:val="center"/>
            </w:pPr>
            <w:r w:rsidRPr="00B4742D">
              <w:t>0,00</w:t>
            </w:r>
          </w:p>
        </w:tc>
        <w:tc>
          <w:tcPr>
            <w:tcW w:w="1134" w:type="dxa"/>
            <w:shd w:val="clear" w:color="auto" w:fill="auto"/>
            <w:noWrap/>
            <w:vAlign w:val="bottom"/>
            <w:hideMark/>
          </w:tcPr>
          <w:p w:rsidR="00641867" w:rsidRPr="00B4742D" w:rsidRDefault="00641867" w:rsidP="003D682D">
            <w:pPr>
              <w:spacing w:line="240" w:lineRule="auto"/>
              <w:jc w:val="center"/>
            </w:pPr>
            <w:r w:rsidRPr="00B4742D">
              <w:t>0,01</w:t>
            </w:r>
          </w:p>
        </w:tc>
        <w:tc>
          <w:tcPr>
            <w:tcW w:w="1134" w:type="dxa"/>
            <w:shd w:val="clear" w:color="auto" w:fill="auto"/>
            <w:noWrap/>
            <w:vAlign w:val="bottom"/>
            <w:hideMark/>
          </w:tcPr>
          <w:p w:rsidR="00641867" w:rsidRPr="00B4742D" w:rsidRDefault="00641867" w:rsidP="003D682D">
            <w:pPr>
              <w:spacing w:line="240" w:lineRule="auto"/>
              <w:jc w:val="center"/>
            </w:pPr>
            <w:r w:rsidRPr="00B4742D">
              <w:t>0,00</w:t>
            </w:r>
          </w:p>
        </w:tc>
      </w:tr>
    </w:tbl>
    <w:p w:rsidR="00641867" w:rsidRPr="00B4742D" w:rsidRDefault="00641867" w:rsidP="00641867">
      <w:pPr>
        <w:spacing w:line="240" w:lineRule="auto"/>
      </w:pPr>
      <w:r w:rsidRPr="00B4742D">
        <w:t>Izvor: Ministarstvo financija</w:t>
      </w:r>
    </w:p>
    <w:p w:rsidR="00641867" w:rsidRPr="00B4742D" w:rsidRDefault="00641867" w:rsidP="00641867">
      <w:pPr>
        <w:spacing w:line="240" w:lineRule="auto"/>
      </w:pPr>
    </w:p>
    <w:p w:rsidR="00641867" w:rsidRPr="00B4742D" w:rsidRDefault="00641867" w:rsidP="00641867">
      <w:pPr>
        <w:spacing w:line="240" w:lineRule="auto"/>
      </w:pPr>
      <w:r w:rsidRPr="00B4742D">
        <w:t>S obzirom da je jedna trećina zaposlenih u hrvatskom javnom sektoru zaposlena u okviru lokalne i regionalne razine javne vlasti te u javnim poduzećima može se pretpostaviti da je iznos naknada za otpremnine p</w:t>
      </w:r>
      <w:r w:rsidR="00EB49DB" w:rsidRPr="00B4742D">
        <w:t>roporcionalan navedenom broju (T</w:t>
      </w:r>
      <w:r w:rsidRPr="00B4742D">
        <w:t>ablica 3</w:t>
      </w:r>
      <w:r w:rsidR="00EB49DB" w:rsidRPr="00B4742D">
        <w:t>.</w:t>
      </w:r>
      <w:r w:rsidRPr="00B4742D">
        <w:t>).</w:t>
      </w:r>
    </w:p>
    <w:p w:rsidR="00641867" w:rsidRPr="00B4742D" w:rsidRDefault="00641867" w:rsidP="00641867">
      <w:pPr>
        <w:spacing w:line="240" w:lineRule="auto"/>
      </w:pPr>
    </w:p>
    <w:p w:rsidR="00641867" w:rsidRPr="00B4742D" w:rsidRDefault="00641867" w:rsidP="00641867">
      <w:pPr>
        <w:spacing w:line="240" w:lineRule="auto"/>
      </w:pPr>
      <w:r w:rsidRPr="00B4742D">
        <w:t>Tablica 3</w:t>
      </w:r>
      <w:r w:rsidR="00EB49DB" w:rsidRPr="00B4742D">
        <w:t>.</w:t>
      </w:r>
      <w:r w:rsidRPr="00B4742D">
        <w:t>: Ukupan broj zaposlenih u hrvatskom javnom sektoru</w:t>
      </w:r>
    </w:p>
    <w:p w:rsidR="00641867" w:rsidRPr="00B4742D" w:rsidRDefault="00641867" w:rsidP="00641867">
      <w:pPr>
        <w:spacing w:line="240" w:lineRule="auto"/>
      </w:pPr>
      <w:r w:rsidRPr="00B4742D">
        <w:rPr>
          <w:noProof/>
          <w:lang w:val="en-US" w:eastAsia="en-US"/>
        </w:rPr>
        <w:drawing>
          <wp:inline distT="0" distB="0" distL="0" distR="0" wp14:anchorId="55A83B5C" wp14:editId="31FA1004">
            <wp:extent cx="6115507" cy="235514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96" cy="2355215"/>
                    </a:xfrm>
                    <a:prstGeom prst="rect">
                      <a:avLst/>
                    </a:prstGeom>
                    <a:noFill/>
                    <a:ln>
                      <a:noFill/>
                    </a:ln>
                  </pic:spPr>
                </pic:pic>
              </a:graphicData>
            </a:graphic>
          </wp:inline>
        </w:drawing>
      </w:r>
    </w:p>
    <w:p w:rsidR="00641867" w:rsidRPr="00B4742D" w:rsidRDefault="00EB49DB" w:rsidP="00641867">
      <w:pPr>
        <w:spacing w:line="240" w:lineRule="auto"/>
      </w:pPr>
      <w:r w:rsidRPr="00B4742D">
        <w:t>Izvor: Institut za javne financije</w:t>
      </w:r>
    </w:p>
    <w:p w:rsidR="00641867" w:rsidRPr="002017C6" w:rsidRDefault="00641867" w:rsidP="00641867">
      <w:pPr>
        <w:spacing w:line="240" w:lineRule="auto"/>
      </w:pPr>
    </w:p>
    <w:p w:rsidR="005271D8" w:rsidRPr="002017C6" w:rsidRDefault="00641867" w:rsidP="00641867">
      <w:pPr>
        <w:spacing w:line="240" w:lineRule="auto"/>
      </w:pPr>
      <w:r w:rsidRPr="002017C6">
        <w:t xml:space="preserve">Međutim, Republika Hrvatska ima relativno značajan broj zaposlenih u okviru nefinancijskih javnih poduzeća u kojima se u bližoj budućnosti može očekivati restrukturiranje te potencijalno veći broj potraživanja po osnovi prava na otpremnine. Također, </w:t>
      </w:r>
      <w:r w:rsidR="00EB49DB" w:rsidRPr="002017C6">
        <w:t>radnici kod poslodavaca u državnom “vlasništvu”</w:t>
      </w:r>
      <w:r w:rsidRPr="009336BF">
        <w:t xml:space="preserve"> zaštićeni su kolektivnim ugovorima pa su</w:t>
      </w:r>
      <w:r w:rsidR="009D1DEF" w:rsidRPr="009336BF">
        <w:t xml:space="preserve"> visine isplata značajno veće (T</w:t>
      </w:r>
      <w:r w:rsidRPr="00C7332E">
        <w:t>ablica 4</w:t>
      </w:r>
      <w:r w:rsidR="009D1DEF" w:rsidRPr="00C7332E">
        <w:t>.</w:t>
      </w:r>
      <w:r w:rsidRPr="00C7332E">
        <w:t xml:space="preserve">). </w:t>
      </w:r>
      <w:r w:rsidR="009D1DEF" w:rsidRPr="00C7332E">
        <w:t xml:space="preserve">Jednako </w:t>
      </w:r>
      <w:r w:rsidRPr="006C4F67">
        <w:t>tako, određena potraživanja mogu se očekivati i u okviru privatizacijskih procesa financijskih javnih poduzeća koja su najavljena</w:t>
      </w:r>
      <w:r w:rsidR="009D1DEF" w:rsidRPr="00B4742D">
        <w:rPr>
          <w:rStyle w:val="FootnoteReference"/>
        </w:rPr>
        <w:footnoteReference w:id="66"/>
      </w:r>
      <w:r w:rsidRPr="00B4742D">
        <w:t>. Međutim, vrlo je vjerojatno da će se financijski teret takvih potraživanja nadoknaditi</w:t>
      </w:r>
      <w:r w:rsidR="00EB3313" w:rsidRPr="00B4742D">
        <w:t xml:space="preserve"> </w:t>
      </w:r>
      <w:r w:rsidRPr="00B4742D">
        <w:t>u okviru procesa privatizacije te neće pasti na teret državnog proračuna.</w:t>
      </w:r>
      <w:r w:rsidRPr="002017C6">
        <w:t xml:space="preserve"> </w:t>
      </w:r>
    </w:p>
    <w:p w:rsidR="005271D8" w:rsidRPr="002017C6" w:rsidRDefault="005271D8" w:rsidP="00641867">
      <w:pPr>
        <w:spacing w:line="240" w:lineRule="auto"/>
      </w:pPr>
    </w:p>
    <w:p w:rsidR="00641867" w:rsidRPr="00E1401E" w:rsidRDefault="00E13B98" w:rsidP="00641867">
      <w:pPr>
        <w:spacing w:line="240" w:lineRule="auto"/>
      </w:pPr>
      <w:r w:rsidRPr="002017C6">
        <w:t xml:space="preserve">Zaključno </w:t>
      </w:r>
      <w:r w:rsidRPr="00FE70C5">
        <w:t>v</w:t>
      </w:r>
      <w:r w:rsidR="005271D8" w:rsidRPr="009336BF">
        <w:t>alja</w:t>
      </w:r>
      <w:r w:rsidR="00641867" w:rsidRPr="009336BF">
        <w:t xml:space="preserve"> </w:t>
      </w:r>
      <w:r w:rsidRPr="00C7332E">
        <w:t>izvesti</w:t>
      </w:r>
      <w:r w:rsidR="00641867" w:rsidRPr="00C7332E">
        <w:t xml:space="preserve"> </w:t>
      </w:r>
      <w:r w:rsidR="00680A34" w:rsidRPr="00C7332E">
        <w:t>kako</w:t>
      </w:r>
      <w:r w:rsidR="00641867" w:rsidRPr="006C4F67">
        <w:t xml:space="preserve"> je upravo u okviru isplata otpremnina </w:t>
      </w:r>
      <w:r w:rsidR="007A3055" w:rsidRPr="006C4F67">
        <w:t>kod poslodavaca</w:t>
      </w:r>
      <w:r w:rsidR="00641867" w:rsidRPr="006C4F67">
        <w:t xml:space="preserve"> </w:t>
      </w:r>
      <w:r w:rsidRPr="006C4F67">
        <w:t xml:space="preserve">u javnom sektoru, bilo da se radi o javnim i državnim službama ili o poslodavcima </w:t>
      </w:r>
      <w:r w:rsidR="007A3055" w:rsidRPr="00B74757">
        <w:t xml:space="preserve">“u pretežitom vlasništvu Republike Hrvatske” </w:t>
      </w:r>
      <w:r w:rsidR="00641867" w:rsidRPr="00B74757">
        <w:t>primijećen najveći broj manipu</w:t>
      </w:r>
      <w:r w:rsidR="00641867" w:rsidRPr="00B4742D">
        <w:t>lacija</w:t>
      </w:r>
      <w:r w:rsidR="006C5B95" w:rsidRPr="00B4742D">
        <w:t xml:space="preserve"> otpremninama</w:t>
      </w:r>
      <w:r w:rsidR="007544D9">
        <w:t xml:space="preserve"> koje </w:t>
      </w:r>
      <w:r w:rsidRPr="002017C6">
        <w:t xml:space="preserve">su se </w:t>
      </w:r>
      <w:r w:rsidRPr="00EB67A0">
        <w:t xml:space="preserve">svodile na </w:t>
      </w:r>
      <w:r w:rsidRPr="00FE70C5">
        <w:t>uvođenj</w:t>
      </w:r>
      <w:r w:rsidR="007F7478">
        <w:t>e</w:t>
      </w:r>
      <w:r w:rsidRPr="00FE70C5">
        <w:t xml:space="preserve"> elemenata koji u bitnome odudaraju od zakonske svrhe i uređenja otpremnina</w:t>
      </w:r>
      <w:r w:rsidRPr="00B4742D">
        <w:rPr>
          <w:rStyle w:val="FootnoteReference"/>
        </w:rPr>
        <w:footnoteReference w:id="67"/>
      </w:r>
      <w:r w:rsidRPr="00B4742D">
        <w:t xml:space="preserve"> do nezakonitog postupanja</w:t>
      </w:r>
      <w:r w:rsidR="00096F38" w:rsidRPr="00B4742D">
        <w:rPr>
          <w:rStyle w:val="FootnoteReference"/>
        </w:rPr>
        <w:footnoteReference w:id="68"/>
      </w:r>
      <w:r w:rsidR="00096F38" w:rsidRPr="00B4742D">
        <w:t xml:space="preserve">, a bile su usmjerene prema </w:t>
      </w:r>
      <w:r w:rsidR="00096F38" w:rsidRPr="002017C6">
        <w:t xml:space="preserve">nepripadnoj </w:t>
      </w:r>
      <w:r w:rsidR="00B4742D" w:rsidRPr="002017C6">
        <w:t>i</w:t>
      </w:r>
      <w:r w:rsidR="00096F38" w:rsidRPr="002017C6">
        <w:t xml:space="preserve">splati otpremnina, nepripadnom </w:t>
      </w:r>
      <w:r w:rsidR="00096F38" w:rsidRPr="002017C6">
        <w:lastRenderedPageBreak/>
        <w:t xml:space="preserve">uvećanju njihova iznosa ili zlorabljenju neoporezivih iznosa otpremnina </w:t>
      </w:r>
      <w:r w:rsidR="00096F38" w:rsidRPr="009336BF">
        <w:t xml:space="preserve">na način da se </w:t>
      </w:r>
      <w:r w:rsidR="00641867" w:rsidRPr="00C7332E">
        <w:t>omogući isplat</w:t>
      </w:r>
      <w:r w:rsidR="00096F38" w:rsidRPr="006C4F67">
        <w:t>a</w:t>
      </w:r>
      <w:r w:rsidR="00641867" w:rsidRPr="006C4F67">
        <w:t xml:space="preserve"> visokih otpremnina koje su u najvećoj mjeri bile neoporezive. </w:t>
      </w:r>
      <w:r w:rsidR="00096F38" w:rsidRPr="006C4F67">
        <w:t>Teret takvog postupanja ponajčešće je snosio sam poslodavac i Državni proračun Republike Hrvatske</w:t>
      </w:r>
      <w:r w:rsidR="00096F38" w:rsidRPr="00B74757">
        <w:t xml:space="preserve">, kojem su uskraćeni porezni prihodi, a počesto je iz njega financiran i iznos otpremnine. </w:t>
      </w:r>
      <w:r w:rsidR="00641867" w:rsidRPr="00B74757">
        <w:t xml:space="preserve">Kolektivni ugovori koji otvaraju prostor za moralni hazard (dogovor poslodavca </w:t>
      </w:r>
      <w:r w:rsidR="006933B1" w:rsidRPr="009769E7">
        <w:t>i</w:t>
      </w:r>
      <w:r w:rsidR="00641867" w:rsidRPr="004D0AD5">
        <w:t xml:space="preserve"> radnika na teret države) te velikodušan porezni tretman potakli su brojne radnike da iskoriste ovakvu mogućnost n</w:t>
      </w:r>
      <w:r w:rsidR="00641867" w:rsidRPr="00E1401E">
        <w:t>a teret državnog proračuna. Takvom stanju svakako je pomogao i nedostatak transparentnosti te evidencije isplata te kontrole.</w:t>
      </w:r>
    </w:p>
    <w:p w:rsidR="00E13B98" w:rsidRPr="00D00975" w:rsidRDefault="00E13B98" w:rsidP="00641867">
      <w:pPr>
        <w:spacing w:line="240" w:lineRule="auto"/>
      </w:pPr>
    </w:p>
    <w:p w:rsidR="00641867" w:rsidRPr="008B2ED7" w:rsidRDefault="00641867" w:rsidP="00E13B98">
      <w:pPr>
        <w:tabs>
          <w:tab w:val="clear" w:pos="0"/>
          <w:tab w:val="clear" w:pos="9360"/>
        </w:tabs>
        <w:spacing w:line="240" w:lineRule="auto"/>
        <w:jc w:val="left"/>
      </w:pPr>
      <w:r w:rsidRPr="008B2ED7">
        <w:t>Tablica 4</w:t>
      </w:r>
      <w:r w:rsidR="005271D8" w:rsidRPr="008B2ED7">
        <w:t>.</w:t>
      </w:r>
      <w:r w:rsidRPr="008B2ED7">
        <w:t>: Broj zaposlenih u nefinancijskim javnim po</w:t>
      </w:r>
      <w:r w:rsidR="003D682D" w:rsidRPr="008B2ED7">
        <w:t>slodavcima</w:t>
      </w:r>
    </w:p>
    <w:p w:rsidR="00641867" w:rsidRPr="00B4742D" w:rsidRDefault="00641867" w:rsidP="00641867">
      <w:pPr>
        <w:spacing w:line="240" w:lineRule="auto"/>
      </w:pPr>
      <w:r w:rsidRPr="00B4742D">
        <w:rPr>
          <w:noProof/>
          <w:lang w:val="en-US" w:eastAsia="en-US"/>
        </w:rPr>
        <w:drawing>
          <wp:inline distT="0" distB="0" distL="0" distR="0" wp14:anchorId="614529E4" wp14:editId="3564F1C3">
            <wp:extent cx="6078931" cy="346009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8975" cy="3460115"/>
                    </a:xfrm>
                    <a:prstGeom prst="rect">
                      <a:avLst/>
                    </a:prstGeom>
                    <a:noFill/>
                    <a:ln>
                      <a:noFill/>
                    </a:ln>
                  </pic:spPr>
                </pic:pic>
              </a:graphicData>
            </a:graphic>
          </wp:inline>
        </w:drawing>
      </w:r>
    </w:p>
    <w:p w:rsidR="00641867" w:rsidRPr="002017C6" w:rsidRDefault="00641867" w:rsidP="00641867">
      <w:pPr>
        <w:spacing w:line="240" w:lineRule="auto"/>
      </w:pPr>
      <w:r w:rsidRPr="00B4742D">
        <w:t>Izvor: In</w:t>
      </w:r>
      <w:r w:rsidR="000C1365" w:rsidRPr="002017C6">
        <w:t>stitut za javne financije</w:t>
      </w:r>
    </w:p>
    <w:p w:rsidR="00641867" w:rsidRPr="002017C6" w:rsidRDefault="00641867" w:rsidP="00641867">
      <w:pPr>
        <w:spacing w:line="240" w:lineRule="auto"/>
      </w:pPr>
    </w:p>
    <w:p w:rsidR="007A3055" w:rsidRPr="00FE70C5" w:rsidRDefault="007A3055" w:rsidP="007A3055">
      <w:pPr>
        <w:pStyle w:val="Heading3"/>
      </w:pPr>
      <w:bookmarkStart w:id="21" w:name="_Toc365828838"/>
      <w:r w:rsidRPr="002017C6">
        <w:t>3.1.2. Isplate otpremnine u slučaju stečaja poslodavca</w:t>
      </w:r>
      <w:bookmarkEnd w:id="21"/>
    </w:p>
    <w:p w:rsidR="007050AD" w:rsidRPr="009336BF" w:rsidRDefault="007050AD" w:rsidP="00641867">
      <w:pPr>
        <w:spacing w:line="240" w:lineRule="auto"/>
      </w:pPr>
    </w:p>
    <w:p w:rsidR="00641867" w:rsidRPr="009769E7" w:rsidRDefault="00E86A4A" w:rsidP="00641867">
      <w:pPr>
        <w:spacing w:line="240" w:lineRule="auto"/>
      </w:pPr>
      <w:r w:rsidRPr="009336BF">
        <w:t xml:space="preserve">U pogledu radnika čiji je </w:t>
      </w:r>
      <w:r w:rsidR="00680A34" w:rsidRPr="00C7332E">
        <w:t xml:space="preserve">ugovor o radu </w:t>
      </w:r>
      <w:r w:rsidRPr="00C7332E">
        <w:t>presta</w:t>
      </w:r>
      <w:r w:rsidR="00680A34" w:rsidRPr="00C7332E">
        <w:t>o</w:t>
      </w:r>
      <w:r w:rsidRPr="00C7332E">
        <w:t xml:space="preserve"> slijedom </w:t>
      </w:r>
      <w:r w:rsidR="00641867" w:rsidRPr="006C4F67">
        <w:t>stečaj</w:t>
      </w:r>
      <w:r w:rsidRPr="006C4F67">
        <w:t>a poslodavca</w:t>
      </w:r>
      <w:r w:rsidR="00641867" w:rsidRPr="006C4F67">
        <w:t>, kako je</w:t>
      </w:r>
      <w:r w:rsidR="00680A34" w:rsidRPr="006C4F67">
        <w:t xml:space="preserve"> već navedeno</w:t>
      </w:r>
      <w:r w:rsidR="00641867" w:rsidRPr="00B74757">
        <w:t xml:space="preserve">, </w:t>
      </w:r>
      <w:r w:rsidR="00680A34" w:rsidRPr="00B74757">
        <w:t>njihova se potraživanja jamče putem</w:t>
      </w:r>
      <w:r w:rsidR="00641867" w:rsidRPr="00B74757">
        <w:t xml:space="preserve"> Agencij</w:t>
      </w:r>
      <w:r w:rsidR="00680A34" w:rsidRPr="00B74757">
        <w:t>e</w:t>
      </w:r>
      <w:r w:rsidR="00641867" w:rsidRPr="009769E7">
        <w:t xml:space="preserve"> za osiguranje radničkih potraživanja u slučaju stečaja poslodavca. </w:t>
      </w:r>
    </w:p>
    <w:p w:rsidR="00680A34" w:rsidRPr="004D0AD5" w:rsidRDefault="00680A34" w:rsidP="00641867">
      <w:pPr>
        <w:spacing w:line="240" w:lineRule="auto"/>
      </w:pPr>
    </w:p>
    <w:p w:rsidR="00641867" w:rsidRPr="00B4742D" w:rsidRDefault="00641867" w:rsidP="00641867">
      <w:pPr>
        <w:spacing w:line="240" w:lineRule="auto"/>
      </w:pPr>
      <w:r w:rsidRPr="00E1401E">
        <w:t>Agencija za o</w:t>
      </w:r>
      <w:r w:rsidRPr="00D00975">
        <w:t xml:space="preserve">siguranje radničkih potraživanja u slučaju stečaja poslodavca osnovana je Zakonom o osiguranju potraživanja radnika u slučaju stečaja poslodavca. </w:t>
      </w:r>
      <w:r w:rsidR="00E4795B" w:rsidRPr="00D00975">
        <w:t>Njen je o</w:t>
      </w:r>
      <w:r w:rsidRPr="00A26596">
        <w:t>snivač Republika Hrvatska, a osnivačka prava i obveze ostvaruje Vlada Republike Hrvatske. U okvir</w:t>
      </w:r>
      <w:r w:rsidR="00E4795B" w:rsidRPr="008B2ED7">
        <w:t>u</w:t>
      </w:r>
      <w:r w:rsidRPr="008B2ED7">
        <w:t xml:space="preserve"> Zakona</w:t>
      </w:r>
      <w:r w:rsidR="00E4795B" w:rsidRPr="008B2ED7">
        <w:t xml:space="preserve"> o osiguranju potraživanja radnika u slučaju stečaja poslodavca</w:t>
      </w:r>
      <w:r w:rsidRPr="008B2ED7">
        <w:t>, Agencija</w:t>
      </w:r>
      <w:r w:rsidR="00E4795B" w:rsidRPr="008B2ED7">
        <w:t xml:space="preserve"> za osiguranje radničkih potraživanja u slučaju stečaja poslodavca</w:t>
      </w:r>
      <w:r w:rsidRPr="00B4742D">
        <w:t>:</w:t>
      </w:r>
    </w:p>
    <w:p w:rsidR="00641867" w:rsidRPr="00B4742D" w:rsidRDefault="00641867" w:rsidP="00034521">
      <w:pPr>
        <w:numPr>
          <w:ilvl w:val="0"/>
          <w:numId w:val="9"/>
        </w:numPr>
        <w:tabs>
          <w:tab w:val="clear" w:pos="0"/>
          <w:tab w:val="clear" w:pos="9360"/>
        </w:tabs>
        <w:spacing w:line="240" w:lineRule="auto"/>
        <w:ind w:left="567" w:hanging="567"/>
      </w:pPr>
      <w:r w:rsidRPr="00B4742D">
        <w:t>rješava u prvom stupnju o materijalnim pravima radnika u slučaju stečaja poslodavca i obavlja uplate na temelju donesenih rješenja na namjenski račun stečajnog dužnika, isključivo u svrhu isplate potraživanja radnika;</w:t>
      </w:r>
    </w:p>
    <w:p w:rsidR="00641867" w:rsidRPr="00B4742D" w:rsidRDefault="00641867" w:rsidP="00034521">
      <w:pPr>
        <w:numPr>
          <w:ilvl w:val="0"/>
          <w:numId w:val="9"/>
        </w:numPr>
        <w:tabs>
          <w:tab w:val="clear" w:pos="0"/>
          <w:tab w:val="clear" w:pos="9360"/>
        </w:tabs>
        <w:spacing w:line="240" w:lineRule="auto"/>
        <w:ind w:left="567" w:hanging="567"/>
      </w:pPr>
      <w:r w:rsidRPr="00B4742D">
        <w:lastRenderedPageBreak/>
        <w:t>osigurava zakonitost u postupku ostvarivanja prava radnika;</w:t>
      </w:r>
    </w:p>
    <w:p w:rsidR="00641867" w:rsidRPr="00B4742D" w:rsidRDefault="00641867" w:rsidP="00034521">
      <w:pPr>
        <w:numPr>
          <w:ilvl w:val="0"/>
          <w:numId w:val="9"/>
        </w:numPr>
        <w:tabs>
          <w:tab w:val="clear" w:pos="0"/>
          <w:tab w:val="clear" w:pos="9360"/>
        </w:tabs>
        <w:spacing w:line="240" w:lineRule="auto"/>
        <w:ind w:left="567" w:hanging="567"/>
      </w:pPr>
      <w:r w:rsidRPr="00B4742D">
        <w:t>pruža stručnu pomoć radnicima pri ostvarivanju prava utvrđenih Zakonom</w:t>
      </w:r>
      <w:r w:rsidR="008F6167" w:rsidRPr="00B4742D">
        <w:t xml:space="preserve"> o osiguranju potraživanja radnika u slučaju stečaja poslodavca</w:t>
      </w:r>
      <w:r w:rsidRPr="00B4742D">
        <w:t>;</w:t>
      </w:r>
    </w:p>
    <w:p w:rsidR="00641867" w:rsidRPr="00B4742D" w:rsidRDefault="00641867" w:rsidP="00034521">
      <w:pPr>
        <w:numPr>
          <w:ilvl w:val="0"/>
          <w:numId w:val="9"/>
        </w:numPr>
        <w:tabs>
          <w:tab w:val="clear" w:pos="0"/>
          <w:tab w:val="clear" w:pos="9360"/>
        </w:tabs>
        <w:spacing w:line="240" w:lineRule="auto"/>
        <w:ind w:left="567" w:hanging="567"/>
      </w:pPr>
      <w:r w:rsidRPr="00B4742D">
        <w:t>usmjerava i upravlja sredstvima osiguranim za namjenu utvrđenu Zakonom</w:t>
      </w:r>
      <w:r w:rsidR="008F6167" w:rsidRPr="00B4742D">
        <w:t xml:space="preserve"> o osiguranju potraživanja radnika u slučaju stečaja poslodavca</w:t>
      </w:r>
      <w:r w:rsidRPr="00B4742D">
        <w:t>;</w:t>
      </w:r>
    </w:p>
    <w:p w:rsidR="00641867" w:rsidRPr="00B4742D" w:rsidRDefault="00641867" w:rsidP="00034521">
      <w:pPr>
        <w:numPr>
          <w:ilvl w:val="0"/>
          <w:numId w:val="9"/>
        </w:numPr>
        <w:tabs>
          <w:tab w:val="clear" w:pos="0"/>
          <w:tab w:val="clear" w:pos="9360"/>
        </w:tabs>
        <w:spacing w:line="240" w:lineRule="auto"/>
        <w:ind w:left="567" w:hanging="567"/>
      </w:pPr>
      <w:r w:rsidRPr="00B4742D">
        <w:t>ostvaruje procesna prava stečajnog vjerovnika u stečajnom postupku za potraživanja koja je isplatila;</w:t>
      </w:r>
    </w:p>
    <w:p w:rsidR="00641867" w:rsidRPr="00B4742D" w:rsidRDefault="00641867" w:rsidP="00034521">
      <w:pPr>
        <w:numPr>
          <w:ilvl w:val="0"/>
          <w:numId w:val="9"/>
        </w:numPr>
        <w:tabs>
          <w:tab w:val="clear" w:pos="0"/>
          <w:tab w:val="clear" w:pos="9360"/>
        </w:tabs>
        <w:spacing w:line="240" w:lineRule="auto"/>
        <w:ind w:left="567" w:hanging="567"/>
      </w:pPr>
      <w:r w:rsidRPr="00B4742D">
        <w:t>razmjenjuje relevantne informacija s nadležnim tijelima ili jamstvenim institucijama drugih zemalja u slučajevima poslovnih aktivnosti na području dvije ili više država Europskoga gospodarskog prostora;</w:t>
      </w:r>
    </w:p>
    <w:p w:rsidR="00641867" w:rsidRPr="00B4742D" w:rsidRDefault="00641867" w:rsidP="00034521">
      <w:pPr>
        <w:numPr>
          <w:ilvl w:val="0"/>
          <w:numId w:val="9"/>
        </w:numPr>
        <w:tabs>
          <w:tab w:val="clear" w:pos="0"/>
          <w:tab w:val="clear" w:pos="9360"/>
        </w:tabs>
        <w:spacing w:line="240" w:lineRule="auto"/>
        <w:ind w:left="567" w:hanging="567"/>
      </w:pPr>
      <w:r w:rsidRPr="00B4742D">
        <w:t>ostvaruje regresna prava za isplaćena potraživanja radnicima u slučajevima stečaja stranog poslodavca;</w:t>
      </w:r>
      <w:r w:rsidR="008F6167" w:rsidRPr="00B4742D">
        <w:t xml:space="preserve"> i</w:t>
      </w:r>
    </w:p>
    <w:p w:rsidR="00641867" w:rsidRPr="00B4742D" w:rsidRDefault="00641867" w:rsidP="00034521">
      <w:pPr>
        <w:numPr>
          <w:ilvl w:val="0"/>
          <w:numId w:val="9"/>
        </w:numPr>
        <w:tabs>
          <w:tab w:val="clear" w:pos="0"/>
          <w:tab w:val="clear" w:pos="9360"/>
        </w:tabs>
        <w:spacing w:line="240" w:lineRule="auto"/>
        <w:ind w:left="567" w:hanging="567"/>
      </w:pPr>
      <w:r w:rsidRPr="00B4742D">
        <w:t>obavlja i druge poslove utvrđene zakonom, Statutom i aktima Agencije</w:t>
      </w:r>
      <w:r w:rsidR="008F6167" w:rsidRPr="00B4742D">
        <w:t xml:space="preserve"> za osiguranje radničkih potraživanja u slučaju stečaja poslodavca</w:t>
      </w:r>
      <w:r w:rsidRPr="00B4742D">
        <w:t>.</w:t>
      </w:r>
    </w:p>
    <w:p w:rsidR="00641867" w:rsidRPr="00B4742D" w:rsidRDefault="00641867" w:rsidP="00641867">
      <w:pPr>
        <w:spacing w:line="240" w:lineRule="auto"/>
      </w:pPr>
    </w:p>
    <w:p w:rsidR="00641867" w:rsidRPr="00B4742D" w:rsidRDefault="00641867" w:rsidP="00641867">
      <w:pPr>
        <w:spacing w:line="240" w:lineRule="auto"/>
      </w:pPr>
      <w:r w:rsidRPr="00B4742D">
        <w:t xml:space="preserve">Administrativne poslove zaprimanja zahtjeva za osiguranje potraživanja uz Agenciju </w:t>
      </w:r>
      <w:r w:rsidR="008F6167" w:rsidRPr="00B4742D">
        <w:t xml:space="preserve">za osiguranje radničkih potraživanja u slučaju stečaja poslodavca </w:t>
      </w:r>
      <w:r w:rsidRPr="00B4742D">
        <w:t>obavlja i Hrvatski zavod za zapošljavanje.</w:t>
      </w:r>
    </w:p>
    <w:p w:rsidR="00641867" w:rsidRPr="00B4742D" w:rsidRDefault="00641867" w:rsidP="00641867">
      <w:pPr>
        <w:spacing w:line="240" w:lineRule="auto"/>
      </w:pPr>
    </w:p>
    <w:p w:rsidR="00641867" w:rsidRPr="00B4742D" w:rsidRDefault="00641867" w:rsidP="00641867">
      <w:pPr>
        <w:spacing w:line="240" w:lineRule="auto"/>
      </w:pPr>
      <w:r w:rsidRPr="00B4742D">
        <w:t xml:space="preserve">U slučaju stečaja poslodavca, Agencija </w:t>
      </w:r>
      <w:r w:rsidR="008F6167" w:rsidRPr="00B4742D">
        <w:t xml:space="preserve">za osiguranje radničkih potraživanja u slučaju stečaja poslodavca </w:t>
      </w:r>
      <w:r w:rsidRPr="00B4742D">
        <w:t>osigurava ostvarivanje prava na:</w:t>
      </w:r>
    </w:p>
    <w:p w:rsidR="00641867" w:rsidRPr="00B4742D" w:rsidRDefault="00641867" w:rsidP="008F6167">
      <w:pPr>
        <w:numPr>
          <w:ilvl w:val="0"/>
          <w:numId w:val="10"/>
        </w:numPr>
        <w:tabs>
          <w:tab w:val="clear" w:pos="0"/>
          <w:tab w:val="clear" w:pos="9360"/>
        </w:tabs>
        <w:spacing w:line="240" w:lineRule="auto"/>
        <w:ind w:left="567" w:hanging="567"/>
      </w:pPr>
      <w:r w:rsidRPr="00B4742D">
        <w:t>neisplaćenu plaću za posljednja tri mjeseca prije otvaranja stečaja, ili prije prestanka radnog odnosa ako je isti prestao unutar tri mjeseca prije otvaranja stečaja</w:t>
      </w:r>
      <w:r w:rsidR="00EB3313" w:rsidRPr="00B4742D">
        <w:t xml:space="preserve"> </w:t>
      </w:r>
      <w:r w:rsidRPr="00B4742D">
        <w:t>-</w:t>
      </w:r>
      <w:r w:rsidR="00EB3313" w:rsidRPr="00B4742D">
        <w:t xml:space="preserve"> </w:t>
      </w:r>
      <w:r w:rsidRPr="00B4742D">
        <w:t>u visini najviše do visine minimalne plaće u Republici Hrvatskoj za svaki mjesec za ko</w:t>
      </w:r>
      <w:r w:rsidR="008F6167" w:rsidRPr="00B4742D">
        <w:t>ji radniku nije isplaćena plaća</w:t>
      </w:r>
      <w:r w:rsidR="008F6167" w:rsidRPr="00B4742D">
        <w:rPr>
          <w:rStyle w:val="FootnoteReference"/>
        </w:rPr>
        <w:footnoteReference w:id="69"/>
      </w:r>
      <w:r w:rsidRPr="00B4742D">
        <w:t>;</w:t>
      </w:r>
    </w:p>
    <w:p w:rsidR="00641867" w:rsidRPr="00FE70C5" w:rsidRDefault="00641867" w:rsidP="008F6167">
      <w:pPr>
        <w:numPr>
          <w:ilvl w:val="0"/>
          <w:numId w:val="10"/>
        </w:numPr>
        <w:tabs>
          <w:tab w:val="clear" w:pos="0"/>
          <w:tab w:val="clear" w:pos="9360"/>
        </w:tabs>
        <w:spacing w:line="240" w:lineRule="auto"/>
        <w:ind w:left="567" w:hanging="567"/>
      </w:pPr>
      <w:r w:rsidRPr="00B4742D">
        <w:t>neisplaćenu naknadu plaće za bolovanje na teret poslodavca u posljednja tri mjeseca prije otvaranja stečaja, ili prije prestanka radnog odnosa ako je isti prestao unutar tri mjeseca prije otvaranja stečaja</w:t>
      </w:r>
      <w:r w:rsidR="00EB3313" w:rsidRPr="002017C6">
        <w:t xml:space="preserve"> </w:t>
      </w:r>
      <w:r w:rsidRPr="002017C6">
        <w:t>-</w:t>
      </w:r>
      <w:r w:rsidR="00EB3313" w:rsidRPr="002017C6">
        <w:t xml:space="preserve"> </w:t>
      </w:r>
      <w:r w:rsidRPr="00FE70C5">
        <w:t>u visini najviše do visine minimalne plaće u Republici Hrvatskoj za svaki mjesec za koji radniku nije isplaćena naknada plaće;</w:t>
      </w:r>
    </w:p>
    <w:p w:rsidR="00641867" w:rsidRPr="00C7332E" w:rsidRDefault="00641867" w:rsidP="008F6167">
      <w:pPr>
        <w:numPr>
          <w:ilvl w:val="0"/>
          <w:numId w:val="10"/>
        </w:numPr>
        <w:tabs>
          <w:tab w:val="clear" w:pos="0"/>
          <w:tab w:val="clear" w:pos="9360"/>
        </w:tabs>
        <w:spacing w:line="240" w:lineRule="auto"/>
        <w:ind w:left="567" w:hanging="567"/>
      </w:pPr>
      <w:r w:rsidRPr="009336BF">
        <w:t>naknadu plaće za neiskorišteni godišnji odmor na koji je radnik stekao pravo u kalendarskoj godini u kojoj je prestao radni odnos, odnosno u kojoj je otvoren stečaj</w:t>
      </w:r>
      <w:r w:rsidR="00EB3313" w:rsidRPr="00C7332E">
        <w:t xml:space="preserve"> </w:t>
      </w:r>
      <w:r w:rsidRPr="00C7332E">
        <w:t>-</w:t>
      </w:r>
      <w:r w:rsidR="00EB3313" w:rsidRPr="00C7332E">
        <w:t xml:space="preserve"> </w:t>
      </w:r>
      <w:r w:rsidRPr="00C7332E">
        <w:t>u visini najviše do polovice minimalne plaće u Republici Hrvatskoj;</w:t>
      </w:r>
    </w:p>
    <w:p w:rsidR="00641867" w:rsidRPr="004D0AD5" w:rsidRDefault="00641867" w:rsidP="008F6167">
      <w:pPr>
        <w:numPr>
          <w:ilvl w:val="0"/>
          <w:numId w:val="10"/>
        </w:numPr>
        <w:tabs>
          <w:tab w:val="clear" w:pos="0"/>
          <w:tab w:val="clear" w:pos="9360"/>
        </w:tabs>
        <w:spacing w:line="240" w:lineRule="auto"/>
        <w:ind w:left="567" w:hanging="567"/>
      </w:pPr>
      <w:r w:rsidRPr="006C4F67">
        <w:t>otpremninu pod uvjetima utvrđenim zakonom</w:t>
      </w:r>
      <w:r w:rsidR="00EB3313" w:rsidRPr="006C4F67">
        <w:t xml:space="preserve"> </w:t>
      </w:r>
      <w:r w:rsidRPr="006C4F67">
        <w:t>-</w:t>
      </w:r>
      <w:r w:rsidR="00EB3313" w:rsidRPr="006C4F67">
        <w:t xml:space="preserve"> </w:t>
      </w:r>
      <w:r w:rsidRPr="00B74757">
        <w:t>u visini polovice najvišeg iznosa zakonom propisane otpremnine. Najviši iznos otpremnine određen je Zakonom o radu, i to</w:t>
      </w:r>
      <w:r w:rsidR="00EB3313" w:rsidRPr="00B74757">
        <w:t xml:space="preserve"> </w:t>
      </w:r>
      <w:r w:rsidRPr="00B74757">
        <w:t>u visini šest prosječnih mjesečnih plaća koje je radnik ostvario u tri mjeseca prije prestanka ugovora o radu;</w:t>
      </w:r>
      <w:r w:rsidR="00E53D2F" w:rsidRPr="009769E7">
        <w:t xml:space="preserve"> i</w:t>
      </w:r>
    </w:p>
    <w:p w:rsidR="00641867" w:rsidRPr="008B2ED7" w:rsidRDefault="00641867" w:rsidP="008F6167">
      <w:pPr>
        <w:numPr>
          <w:ilvl w:val="0"/>
          <w:numId w:val="10"/>
        </w:numPr>
        <w:tabs>
          <w:tab w:val="clear" w:pos="0"/>
          <w:tab w:val="clear" w:pos="9360"/>
        </w:tabs>
        <w:spacing w:line="240" w:lineRule="auto"/>
        <w:ind w:left="567" w:hanging="567"/>
      </w:pPr>
      <w:r w:rsidRPr="00E1401E">
        <w:t>isplatu pravomoćno dosuđene naknade štete zbog pretrpljene ozljede na radu ili profesionalne bolesti</w:t>
      </w:r>
      <w:r w:rsidR="00EB3313" w:rsidRPr="00D00975">
        <w:t xml:space="preserve"> </w:t>
      </w:r>
      <w:r w:rsidRPr="00A26596">
        <w:t>-</w:t>
      </w:r>
      <w:r w:rsidR="00EB3313" w:rsidRPr="008B2ED7">
        <w:t xml:space="preserve"> </w:t>
      </w:r>
      <w:r w:rsidRPr="008B2ED7">
        <w:t>najviše do jedne trećine pravomoćno dosuđene naknade štete.</w:t>
      </w:r>
    </w:p>
    <w:p w:rsidR="00641867" w:rsidRPr="008B2ED7" w:rsidRDefault="00641867" w:rsidP="00641867">
      <w:pPr>
        <w:spacing w:line="240" w:lineRule="auto"/>
      </w:pPr>
    </w:p>
    <w:p w:rsidR="00641867" w:rsidRPr="00B4742D" w:rsidRDefault="00641867" w:rsidP="00641867">
      <w:pPr>
        <w:spacing w:line="240" w:lineRule="auto"/>
      </w:pPr>
      <w:r w:rsidRPr="008B2ED7">
        <w:t>Tablica 5</w:t>
      </w:r>
      <w:r w:rsidR="00E53D2F" w:rsidRPr="007B61AF">
        <w:t>.</w:t>
      </w:r>
      <w:r w:rsidRPr="002313A4">
        <w:t xml:space="preserve"> prikazuje pregled isplata radnicima poduzeća u stečaju u okviru prethodno navedenih prava, a za koja je zadužena Agencija</w:t>
      </w:r>
      <w:r w:rsidR="00E53D2F" w:rsidRPr="00B4742D">
        <w:t xml:space="preserve"> za osiguranje radničkih potraživanja u slučaju stečaja poslodavca</w:t>
      </w:r>
      <w:r w:rsidRPr="00B4742D">
        <w:t xml:space="preserve">. Treba napomenuti da je do </w:t>
      </w:r>
      <w:r w:rsidR="00E53D2F" w:rsidRPr="00B4742D">
        <w:t xml:space="preserve">dana </w:t>
      </w:r>
      <w:r w:rsidRPr="00B4742D">
        <w:t>1.</w:t>
      </w:r>
      <w:r w:rsidR="00E53D2F" w:rsidRPr="00B4742D">
        <w:t xml:space="preserve"> siječnja</w:t>
      </w:r>
      <w:r w:rsidRPr="00B4742D">
        <w:t xml:space="preserve"> 2010. godine osiguranje potraživanja radnika u slučaju stečaja poslodavca u okviru svojih djelatnosti obavljao Fond za razvoj i zapošljavanje. Na temelju uvida u podatke mogu se ustvrditi dva važna zaključka:</w:t>
      </w:r>
    </w:p>
    <w:p w:rsidR="00641867" w:rsidRPr="00B4742D" w:rsidRDefault="00641867" w:rsidP="00E53D2F">
      <w:pPr>
        <w:numPr>
          <w:ilvl w:val="0"/>
          <w:numId w:val="11"/>
        </w:numPr>
        <w:tabs>
          <w:tab w:val="clear" w:pos="0"/>
          <w:tab w:val="clear" w:pos="9360"/>
        </w:tabs>
        <w:spacing w:line="240" w:lineRule="auto"/>
        <w:ind w:left="567" w:hanging="567"/>
      </w:pPr>
      <w:r w:rsidRPr="00B4742D">
        <w:lastRenderedPageBreak/>
        <w:t xml:space="preserve">osiguranje potraživanja radnika u cijelom vremenu djelovanja sustava većinom se financira na teret </w:t>
      </w:r>
      <w:r w:rsidR="00E53D2F" w:rsidRPr="00B4742D">
        <w:t xml:space="preserve">Državnog </w:t>
      </w:r>
      <w:r w:rsidRPr="00B4742D">
        <w:t>proračuna</w:t>
      </w:r>
      <w:r w:rsidR="00E53D2F" w:rsidRPr="00B4742D">
        <w:t xml:space="preserve"> Republike Hrvatske - </w:t>
      </w:r>
      <w:r w:rsidRPr="00B4742D">
        <w:t>dakle, nepodmirene obveze poslodavaca financiraju se uglavnom iz općih poreza</w:t>
      </w:r>
      <w:r w:rsidR="00E53D2F" w:rsidRPr="00B4742D">
        <w:t>; i</w:t>
      </w:r>
    </w:p>
    <w:p w:rsidR="00641867" w:rsidRPr="00B4742D" w:rsidRDefault="00641867" w:rsidP="00E53D2F">
      <w:pPr>
        <w:numPr>
          <w:ilvl w:val="0"/>
          <w:numId w:val="11"/>
        </w:numPr>
        <w:tabs>
          <w:tab w:val="clear" w:pos="0"/>
          <w:tab w:val="clear" w:pos="9360"/>
        </w:tabs>
        <w:spacing w:line="240" w:lineRule="auto"/>
        <w:ind w:left="567" w:hanging="567"/>
      </w:pPr>
      <w:r w:rsidRPr="00B4742D">
        <w:t>ekonomsko-financijska kriza višestruko je doprinijela povećanju potraživanja po osnovi stečaja – od 2009. godine vidljiv je značajan porast u broju zahtjeva te iznosu isplata na temelju ostvarenih prava.</w:t>
      </w:r>
    </w:p>
    <w:p w:rsidR="00641867" w:rsidRPr="00B4742D" w:rsidRDefault="00641867" w:rsidP="00641867">
      <w:pPr>
        <w:spacing w:line="240" w:lineRule="auto"/>
      </w:pPr>
    </w:p>
    <w:p w:rsidR="00641867" w:rsidRPr="00B4742D" w:rsidRDefault="00641867" w:rsidP="00CE6179">
      <w:pPr>
        <w:tabs>
          <w:tab w:val="left" w:pos="7938"/>
        </w:tabs>
        <w:spacing w:line="240" w:lineRule="auto"/>
      </w:pPr>
      <w:r w:rsidRPr="00B4742D">
        <w:t>Tablica 5</w:t>
      </w:r>
      <w:r w:rsidR="00E53D2F" w:rsidRPr="00B4742D">
        <w:t>.</w:t>
      </w:r>
      <w:r w:rsidRPr="00B4742D">
        <w:t xml:space="preserve">: Pregled isplata potraživanja radnika i povrata u </w:t>
      </w:r>
      <w:r w:rsidR="00096F38" w:rsidRPr="00B4742D">
        <w:t>D</w:t>
      </w:r>
      <w:r w:rsidRPr="00B4742D">
        <w:t>ržavni proračun</w:t>
      </w:r>
      <w:r w:rsidR="00096F38" w:rsidRPr="00B4742D">
        <w:t xml:space="preserve"> Republike Hrvatske</w:t>
      </w:r>
      <w:r w:rsidRPr="00B4742D">
        <w:t xml:space="preserve"> u okviru djelovanja </w:t>
      </w:r>
      <w:r w:rsidR="00E53D2F" w:rsidRPr="00B4742D">
        <w:t>Agencije za osiguranje radničkih potraživanja u slučaju stečaja poslodavca</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223"/>
        <w:gridCol w:w="1574"/>
        <w:gridCol w:w="1574"/>
        <w:gridCol w:w="2992"/>
      </w:tblGrid>
      <w:tr w:rsidR="00641867" w:rsidRPr="00B4742D" w:rsidTr="00CE6179">
        <w:trPr>
          <w:trHeight w:val="300"/>
        </w:trPr>
        <w:tc>
          <w:tcPr>
            <w:tcW w:w="1291" w:type="dxa"/>
            <w:shd w:val="clear" w:color="auto" w:fill="auto"/>
            <w:noWrap/>
            <w:hideMark/>
          </w:tcPr>
          <w:p w:rsidR="00641867" w:rsidRPr="007B61AF" w:rsidRDefault="00641867" w:rsidP="00CE6179">
            <w:pPr>
              <w:tabs>
                <w:tab w:val="clear" w:pos="0"/>
                <w:tab w:val="center" w:pos="-377"/>
              </w:tabs>
              <w:spacing w:line="240" w:lineRule="auto"/>
              <w:ind w:left="-93"/>
              <w:jc w:val="center"/>
            </w:pPr>
          </w:p>
        </w:tc>
        <w:tc>
          <w:tcPr>
            <w:tcW w:w="2223" w:type="dxa"/>
            <w:shd w:val="clear" w:color="auto" w:fill="auto"/>
            <w:noWrap/>
            <w:hideMark/>
          </w:tcPr>
          <w:p w:rsidR="00641867" w:rsidRPr="00B4742D" w:rsidRDefault="00641867" w:rsidP="00311C21">
            <w:pPr>
              <w:spacing w:line="240" w:lineRule="auto"/>
              <w:jc w:val="center"/>
            </w:pPr>
            <w:r w:rsidRPr="00B4742D">
              <w:t>Broj isplaćenih zahtjeva</w:t>
            </w:r>
          </w:p>
        </w:tc>
        <w:tc>
          <w:tcPr>
            <w:tcW w:w="1574" w:type="dxa"/>
            <w:shd w:val="clear" w:color="auto" w:fill="auto"/>
            <w:noWrap/>
            <w:hideMark/>
          </w:tcPr>
          <w:p w:rsidR="00641867" w:rsidRPr="00B4742D" w:rsidRDefault="00641867" w:rsidP="003D682D">
            <w:pPr>
              <w:spacing w:line="240" w:lineRule="auto"/>
              <w:jc w:val="center"/>
            </w:pPr>
            <w:r w:rsidRPr="00B4742D">
              <w:t>Ukupna isplata (</w:t>
            </w:r>
            <w:r w:rsidR="003D682D" w:rsidRPr="00B4742D">
              <w:t xml:space="preserve">milijuna </w:t>
            </w:r>
            <w:r w:rsidRPr="00B4742D">
              <w:t>HRK)</w:t>
            </w:r>
          </w:p>
        </w:tc>
        <w:tc>
          <w:tcPr>
            <w:tcW w:w="1574" w:type="dxa"/>
            <w:shd w:val="clear" w:color="auto" w:fill="auto"/>
            <w:noWrap/>
            <w:hideMark/>
          </w:tcPr>
          <w:p w:rsidR="00641867" w:rsidRPr="00B4742D" w:rsidRDefault="00641867" w:rsidP="003D682D">
            <w:pPr>
              <w:spacing w:line="240" w:lineRule="auto"/>
              <w:jc w:val="center"/>
            </w:pPr>
            <w:r w:rsidRPr="00B4742D">
              <w:t>Ukupni povrat (</w:t>
            </w:r>
            <w:r w:rsidR="003D682D" w:rsidRPr="00B4742D">
              <w:t xml:space="preserve">milijuna </w:t>
            </w:r>
            <w:r w:rsidRPr="00B4742D">
              <w:t>HRK)</w:t>
            </w:r>
          </w:p>
        </w:tc>
        <w:tc>
          <w:tcPr>
            <w:tcW w:w="2992" w:type="dxa"/>
            <w:shd w:val="clear" w:color="auto" w:fill="auto"/>
            <w:noWrap/>
            <w:hideMark/>
          </w:tcPr>
          <w:p w:rsidR="00641867" w:rsidRPr="00B4742D" w:rsidRDefault="00641867" w:rsidP="00CE6179">
            <w:pPr>
              <w:spacing w:line="240" w:lineRule="auto"/>
              <w:ind w:right="-108"/>
              <w:jc w:val="center"/>
            </w:pPr>
            <w:r w:rsidRPr="00B4742D">
              <w:t>Udio povrata (</w:t>
            </w:r>
            <w:r w:rsidR="00BE7C3B" w:rsidRPr="00B4742D">
              <w:t>postotak</w:t>
            </w:r>
            <w:r w:rsidRPr="00B4742D">
              <w:t>)</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2003</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142</w:t>
            </w:r>
          </w:p>
        </w:tc>
        <w:tc>
          <w:tcPr>
            <w:tcW w:w="1574" w:type="dxa"/>
            <w:shd w:val="clear" w:color="auto" w:fill="auto"/>
            <w:noWrap/>
            <w:hideMark/>
          </w:tcPr>
          <w:p w:rsidR="00641867" w:rsidRPr="00B4742D" w:rsidRDefault="00641867" w:rsidP="00311C21">
            <w:pPr>
              <w:spacing w:line="240" w:lineRule="auto"/>
              <w:jc w:val="center"/>
            </w:pPr>
            <w:r w:rsidRPr="00B4742D">
              <w:t>0,41</w:t>
            </w:r>
          </w:p>
        </w:tc>
        <w:tc>
          <w:tcPr>
            <w:tcW w:w="1574" w:type="dxa"/>
            <w:shd w:val="clear" w:color="auto" w:fill="auto"/>
            <w:noWrap/>
            <w:hideMark/>
          </w:tcPr>
          <w:p w:rsidR="00641867" w:rsidRPr="00B4742D" w:rsidRDefault="00641867" w:rsidP="00311C21">
            <w:pPr>
              <w:spacing w:line="240" w:lineRule="auto"/>
              <w:jc w:val="center"/>
            </w:pPr>
            <w:r w:rsidRPr="00B4742D">
              <w:t>0,00</w:t>
            </w:r>
          </w:p>
        </w:tc>
        <w:tc>
          <w:tcPr>
            <w:tcW w:w="2992" w:type="dxa"/>
            <w:shd w:val="clear" w:color="auto" w:fill="auto"/>
            <w:noWrap/>
            <w:hideMark/>
          </w:tcPr>
          <w:p w:rsidR="00641867" w:rsidRPr="00B4742D" w:rsidRDefault="00641867" w:rsidP="00CE6179">
            <w:pPr>
              <w:spacing w:line="240" w:lineRule="auto"/>
              <w:ind w:right="-108"/>
              <w:jc w:val="center"/>
            </w:pPr>
            <w:r w:rsidRPr="00B4742D">
              <w:t>0,00</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2004</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4982</w:t>
            </w:r>
          </w:p>
        </w:tc>
        <w:tc>
          <w:tcPr>
            <w:tcW w:w="1574" w:type="dxa"/>
            <w:shd w:val="clear" w:color="auto" w:fill="auto"/>
            <w:noWrap/>
            <w:hideMark/>
          </w:tcPr>
          <w:p w:rsidR="00641867" w:rsidRPr="00B4742D" w:rsidRDefault="00641867" w:rsidP="00311C21">
            <w:pPr>
              <w:spacing w:line="240" w:lineRule="auto"/>
              <w:jc w:val="center"/>
            </w:pPr>
            <w:r w:rsidRPr="00B4742D">
              <w:t>32,70</w:t>
            </w:r>
          </w:p>
        </w:tc>
        <w:tc>
          <w:tcPr>
            <w:tcW w:w="1574" w:type="dxa"/>
            <w:shd w:val="clear" w:color="auto" w:fill="auto"/>
            <w:noWrap/>
            <w:hideMark/>
          </w:tcPr>
          <w:p w:rsidR="00641867" w:rsidRPr="00B4742D" w:rsidRDefault="00641867" w:rsidP="00311C21">
            <w:pPr>
              <w:spacing w:line="240" w:lineRule="auto"/>
              <w:jc w:val="center"/>
            </w:pPr>
            <w:r w:rsidRPr="00B4742D">
              <w:t>4,38</w:t>
            </w:r>
          </w:p>
        </w:tc>
        <w:tc>
          <w:tcPr>
            <w:tcW w:w="2992" w:type="dxa"/>
            <w:shd w:val="clear" w:color="auto" w:fill="auto"/>
            <w:noWrap/>
            <w:hideMark/>
          </w:tcPr>
          <w:p w:rsidR="00641867" w:rsidRPr="00B4742D" w:rsidRDefault="00641867" w:rsidP="00CE6179">
            <w:pPr>
              <w:spacing w:line="240" w:lineRule="auto"/>
              <w:ind w:right="-108"/>
              <w:jc w:val="center"/>
            </w:pPr>
            <w:r w:rsidRPr="00B4742D">
              <w:t>13,41</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2005</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1886</w:t>
            </w:r>
          </w:p>
        </w:tc>
        <w:tc>
          <w:tcPr>
            <w:tcW w:w="1574" w:type="dxa"/>
            <w:shd w:val="clear" w:color="auto" w:fill="auto"/>
            <w:noWrap/>
            <w:hideMark/>
          </w:tcPr>
          <w:p w:rsidR="00641867" w:rsidRPr="00B4742D" w:rsidRDefault="00641867" w:rsidP="00311C21">
            <w:pPr>
              <w:spacing w:line="240" w:lineRule="auto"/>
              <w:jc w:val="center"/>
            </w:pPr>
            <w:r w:rsidRPr="00B4742D">
              <w:t>28,96</w:t>
            </w:r>
          </w:p>
        </w:tc>
        <w:tc>
          <w:tcPr>
            <w:tcW w:w="1574" w:type="dxa"/>
            <w:shd w:val="clear" w:color="auto" w:fill="auto"/>
            <w:noWrap/>
            <w:hideMark/>
          </w:tcPr>
          <w:p w:rsidR="00641867" w:rsidRPr="00B4742D" w:rsidRDefault="00641867" w:rsidP="00311C21">
            <w:pPr>
              <w:spacing w:line="240" w:lineRule="auto"/>
              <w:jc w:val="center"/>
            </w:pPr>
            <w:r w:rsidRPr="00B4742D">
              <w:t>6,99</w:t>
            </w:r>
          </w:p>
        </w:tc>
        <w:tc>
          <w:tcPr>
            <w:tcW w:w="2992" w:type="dxa"/>
            <w:shd w:val="clear" w:color="auto" w:fill="auto"/>
            <w:noWrap/>
            <w:hideMark/>
          </w:tcPr>
          <w:p w:rsidR="00641867" w:rsidRPr="00B4742D" w:rsidRDefault="00641867" w:rsidP="00CE6179">
            <w:pPr>
              <w:spacing w:line="240" w:lineRule="auto"/>
              <w:ind w:right="-108"/>
              <w:jc w:val="center"/>
            </w:pPr>
            <w:r w:rsidRPr="00B4742D">
              <w:t>24,13</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2006</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1710</w:t>
            </w:r>
          </w:p>
        </w:tc>
        <w:tc>
          <w:tcPr>
            <w:tcW w:w="1574" w:type="dxa"/>
            <w:shd w:val="clear" w:color="auto" w:fill="auto"/>
            <w:noWrap/>
            <w:hideMark/>
          </w:tcPr>
          <w:p w:rsidR="00641867" w:rsidRPr="00B4742D" w:rsidRDefault="00641867" w:rsidP="00311C21">
            <w:pPr>
              <w:spacing w:line="240" w:lineRule="auto"/>
              <w:jc w:val="center"/>
            </w:pPr>
            <w:r w:rsidRPr="00B4742D">
              <w:t>20,81</w:t>
            </w:r>
          </w:p>
        </w:tc>
        <w:tc>
          <w:tcPr>
            <w:tcW w:w="1574" w:type="dxa"/>
            <w:shd w:val="clear" w:color="auto" w:fill="auto"/>
            <w:noWrap/>
            <w:hideMark/>
          </w:tcPr>
          <w:p w:rsidR="00641867" w:rsidRPr="00B4742D" w:rsidRDefault="00641867" w:rsidP="00311C21">
            <w:pPr>
              <w:spacing w:line="240" w:lineRule="auto"/>
              <w:jc w:val="center"/>
            </w:pPr>
            <w:r w:rsidRPr="00B4742D">
              <w:t>5,81</w:t>
            </w:r>
          </w:p>
        </w:tc>
        <w:tc>
          <w:tcPr>
            <w:tcW w:w="2992" w:type="dxa"/>
            <w:shd w:val="clear" w:color="auto" w:fill="auto"/>
            <w:noWrap/>
            <w:hideMark/>
          </w:tcPr>
          <w:p w:rsidR="00641867" w:rsidRPr="00B4742D" w:rsidRDefault="00641867" w:rsidP="00CE6179">
            <w:pPr>
              <w:spacing w:line="240" w:lineRule="auto"/>
              <w:ind w:right="-108"/>
              <w:jc w:val="center"/>
            </w:pPr>
            <w:r w:rsidRPr="00B4742D">
              <w:t>27,91</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2007</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1038</w:t>
            </w:r>
          </w:p>
        </w:tc>
        <w:tc>
          <w:tcPr>
            <w:tcW w:w="1574" w:type="dxa"/>
            <w:shd w:val="clear" w:color="auto" w:fill="auto"/>
            <w:noWrap/>
            <w:hideMark/>
          </w:tcPr>
          <w:p w:rsidR="00641867" w:rsidRPr="00B4742D" w:rsidRDefault="00641867" w:rsidP="00311C21">
            <w:pPr>
              <w:spacing w:line="240" w:lineRule="auto"/>
              <w:jc w:val="center"/>
            </w:pPr>
            <w:r w:rsidRPr="00B4742D">
              <w:t>11,36</w:t>
            </w:r>
          </w:p>
        </w:tc>
        <w:tc>
          <w:tcPr>
            <w:tcW w:w="1574" w:type="dxa"/>
            <w:shd w:val="clear" w:color="auto" w:fill="auto"/>
            <w:noWrap/>
            <w:hideMark/>
          </w:tcPr>
          <w:p w:rsidR="00641867" w:rsidRPr="00B4742D" w:rsidRDefault="00641867" w:rsidP="00311C21">
            <w:pPr>
              <w:spacing w:line="240" w:lineRule="auto"/>
              <w:jc w:val="center"/>
            </w:pPr>
            <w:r w:rsidRPr="00B4742D">
              <w:t>3,00</w:t>
            </w:r>
          </w:p>
        </w:tc>
        <w:tc>
          <w:tcPr>
            <w:tcW w:w="2992" w:type="dxa"/>
            <w:shd w:val="clear" w:color="auto" w:fill="auto"/>
            <w:noWrap/>
            <w:hideMark/>
          </w:tcPr>
          <w:p w:rsidR="00641867" w:rsidRPr="00B4742D" w:rsidRDefault="00641867" w:rsidP="00CE6179">
            <w:pPr>
              <w:spacing w:line="240" w:lineRule="auto"/>
              <w:ind w:right="-108"/>
              <w:jc w:val="center"/>
            </w:pPr>
            <w:r w:rsidRPr="00B4742D">
              <w:t>26,39</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2008</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2585</w:t>
            </w:r>
          </w:p>
        </w:tc>
        <w:tc>
          <w:tcPr>
            <w:tcW w:w="1574" w:type="dxa"/>
            <w:shd w:val="clear" w:color="auto" w:fill="auto"/>
            <w:noWrap/>
            <w:hideMark/>
          </w:tcPr>
          <w:p w:rsidR="00641867" w:rsidRPr="00B4742D" w:rsidRDefault="00641867" w:rsidP="00311C21">
            <w:pPr>
              <w:spacing w:line="240" w:lineRule="auto"/>
              <w:jc w:val="center"/>
            </w:pPr>
            <w:r w:rsidRPr="00B4742D">
              <w:t>11,84</w:t>
            </w:r>
          </w:p>
        </w:tc>
        <w:tc>
          <w:tcPr>
            <w:tcW w:w="1574" w:type="dxa"/>
            <w:shd w:val="clear" w:color="auto" w:fill="auto"/>
            <w:noWrap/>
            <w:hideMark/>
          </w:tcPr>
          <w:p w:rsidR="00641867" w:rsidRPr="00B4742D" w:rsidRDefault="00641867" w:rsidP="00311C21">
            <w:pPr>
              <w:spacing w:line="240" w:lineRule="auto"/>
              <w:jc w:val="center"/>
            </w:pPr>
            <w:r w:rsidRPr="00B4742D">
              <w:t>2,80</w:t>
            </w:r>
          </w:p>
        </w:tc>
        <w:tc>
          <w:tcPr>
            <w:tcW w:w="2992" w:type="dxa"/>
            <w:shd w:val="clear" w:color="auto" w:fill="auto"/>
            <w:noWrap/>
            <w:hideMark/>
          </w:tcPr>
          <w:p w:rsidR="00641867" w:rsidRPr="00B4742D" w:rsidRDefault="00641867" w:rsidP="00CE6179">
            <w:pPr>
              <w:spacing w:line="240" w:lineRule="auto"/>
              <w:ind w:right="-108"/>
              <w:jc w:val="center"/>
            </w:pPr>
            <w:r w:rsidRPr="00B4742D">
              <w:t>23,67</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2009</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2734</w:t>
            </w:r>
          </w:p>
        </w:tc>
        <w:tc>
          <w:tcPr>
            <w:tcW w:w="1574" w:type="dxa"/>
            <w:shd w:val="clear" w:color="auto" w:fill="auto"/>
            <w:noWrap/>
            <w:hideMark/>
          </w:tcPr>
          <w:p w:rsidR="00641867" w:rsidRPr="00B4742D" w:rsidRDefault="00641867" w:rsidP="00311C21">
            <w:pPr>
              <w:spacing w:line="240" w:lineRule="auto"/>
              <w:jc w:val="center"/>
            </w:pPr>
            <w:r w:rsidRPr="00B4742D">
              <w:t>42,93</w:t>
            </w:r>
          </w:p>
        </w:tc>
        <w:tc>
          <w:tcPr>
            <w:tcW w:w="1574" w:type="dxa"/>
            <w:shd w:val="clear" w:color="auto" w:fill="auto"/>
            <w:noWrap/>
            <w:hideMark/>
          </w:tcPr>
          <w:p w:rsidR="00641867" w:rsidRPr="00B4742D" w:rsidRDefault="00641867" w:rsidP="00311C21">
            <w:pPr>
              <w:spacing w:line="240" w:lineRule="auto"/>
              <w:jc w:val="center"/>
            </w:pPr>
            <w:r w:rsidRPr="00B4742D">
              <w:t>11,90</w:t>
            </w:r>
          </w:p>
        </w:tc>
        <w:tc>
          <w:tcPr>
            <w:tcW w:w="2992" w:type="dxa"/>
            <w:shd w:val="clear" w:color="auto" w:fill="auto"/>
            <w:noWrap/>
            <w:hideMark/>
          </w:tcPr>
          <w:p w:rsidR="00641867" w:rsidRPr="00B4742D" w:rsidRDefault="00641867" w:rsidP="00CE6179">
            <w:pPr>
              <w:spacing w:line="240" w:lineRule="auto"/>
              <w:ind w:right="-108"/>
              <w:jc w:val="center"/>
            </w:pPr>
            <w:r w:rsidRPr="00B4742D">
              <w:t>27,72</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2010</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6789</w:t>
            </w:r>
          </w:p>
        </w:tc>
        <w:tc>
          <w:tcPr>
            <w:tcW w:w="1574" w:type="dxa"/>
            <w:shd w:val="clear" w:color="auto" w:fill="auto"/>
            <w:noWrap/>
            <w:hideMark/>
          </w:tcPr>
          <w:p w:rsidR="00641867" w:rsidRPr="00B4742D" w:rsidRDefault="00641867" w:rsidP="00311C21">
            <w:pPr>
              <w:spacing w:line="240" w:lineRule="auto"/>
              <w:jc w:val="center"/>
            </w:pPr>
            <w:r w:rsidRPr="00B4742D">
              <w:t>84,16</w:t>
            </w:r>
          </w:p>
        </w:tc>
        <w:tc>
          <w:tcPr>
            <w:tcW w:w="1574" w:type="dxa"/>
            <w:shd w:val="clear" w:color="auto" w:fill="auto"/>
            <w:noWrap/>
            <w:hideMark/>
          </w:tcPr>
          <w:p w:rsidR="00641867" w:rsidRPr="00B4742D" w:rsidRDefault="00641867" w:rsidP="00311C21">
            <w:pPr>
              <w:spacing w:line="240" w:lineRule="auto"/>
              <w:jc w:val="center"/>
            </w:pPr>
            <w:r w:rsidRPr="00B4742D">
              <w:t>10,37</w:t>
            </w:r>
          </w:p>
        </w:tc>
        <w:tc>
          <w:tcPr>
            <w:tcW w:w="2992" w:type="dxa"/>
            <w:shd w:val="clear" w:color="auto" w:fill="auto"/>
            <w:noWrap/>
            <w:hideMark/>
          </w:tcPr>
          <w:p w:rsidR="00641867" w:rsidRPr="00B4742D" w:rsidRDefault="00641867" w:rsidP="00CE6179">
            <w:pPr>
              <w:spacing w:line="240" w:lineRule="auto"/>
              <w:ind w:right="-108"/>
              <w:jc w:val="center"/>
            </w:pPr>
            <w:r w:rsidRPr="00B4742D">
              <w:t>12,32</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2011</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4229</w:t>
            </w:r>
          </w:p>
        </w:tc>
        <w:tc>
          <w:tcPr>
            <w:tcW w:w="1574" w:type="dxa"/>
            <w:shd w:val="clear" w:color="auto" w:fill="auto"/>
            <w:noWrap/>
            <w:hideMark/>
          </w:tcPr>
          <w:p w:rsidR="00641867" w:rsidRPr="00B4742D" w:rsidRDefault="00641867" w:rsidP="00311C21">
            <w:pPr>
              <w:spacing w:line="240" w:lineRule="auto"/>
              <w:jc w:val="center"/>
            </w:pPr>
            <w:r w:rsidRPr="00B4742D">
              <w:t>64,32</w:t>
            </w:r>
          </w:p>
        </w:tc>
        <w:tc>
          <w:tcPr>
            <w:tcW w:w="1574" w:type="dxa"/>
            <w:shd w:val="clear" w:color="auto" w:fill="auto"/>
            <w:noWrap/>
            <w:hideMark/>
          </w:tcPr>
          <w:p w:rsidR="00641867" w:rsidRPr="00B4742D" w:rsidRDefault="00641867" w:rsidP="00311C21">
            <w:pPr>
              <w:spacing w:line="240" w:lineRule="auto"/>
              <w:jc w:val="center"/>
            </w:pPr>
            <w:r w:rsidRPr="00B4742D">
              <w:t>7,48</w:t>
            </w:r>
          </w:p>
        </w:tc>
        <w:tc>
          <w:tcPr>
            <w:tcW w:w="2992" w:type="dxa"/>
            <w:shd w:val="clear" w:color="auto" w:fill="auto"/>
            <w:noWrap/>
            <w:hideMark/>
          </w:tcPr>
          <w:p w:rsidR="00641867" w:rsidRPr="00B4742D" w:rsidRDefault="00641867" w:rsidP="00CE6179">
            <w:pPr>
              <w:spacing w:line="240" w:lineRule="auto"/>
              <w:ind w:right="-108"/>
              <w:jc w:val="center"/>
            </w:pPr>
            <w:r w:rsidRPr="00B4742D">
              <w:t>11,64</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2012</w:t>
            </w:r>
            <w:r w:rsidR="00E53D2F" w:rsidRPr="00B4742D">
              <w:t>.</w:t>
            </w:r>
          </w:p>
        </w:tc>
        <w:tc>
          <w:tcPr>
            <w:tcW w:w="2223" w:type="dxa"/>
            <w:shd w:val="clear" w:color="auto" w:fill="auto"/>
            <w:noWrap/>
            <w:hideMark/>
          </w:tcPr>
          <w:p w:rsidR="00641867" w:rsidRPr="00B4742D" w:rsidRDefault="00641867" w:rsidP="00311C21">
            <w:pPr>
              <w:spacing w:line="240" w:lineRule="auto"/>
              <w:jc w:val="center"/>
            </w:pPr>
            <w:r w:rsidRPr="00B4742D">
              <w:t>4031</w:t>
            </w:r>
          </w:p>
        </w:tc>
        <w:tc>
          <w:tcPr>
            <w:tcW w:w="1574" w:type="dxa"/>
            <w:shd w:val="clear" w:color="auto" w:fill="auto"/>
            <w:noWrap/>
            <w:hideMark/>
          </w:tcPr>
          <w:p w:rsidR="00641867" w:rsidRPr="00B4742D" w:rsidRDefault="00641867" w:rsidP="00311C21">
            <w:pPr>
              <w:spacing w:line="240" w:lineRule="auto"/>
              <w:jc w:val="center"/>
            </w:pPr>
            <w:r w:rsidRPr="00B4742D">
              <w:t>65,80</w:t>
            </w:r>
          </w:p>
        </w:tc>
        <w:tc>
          <w:tcPr>
            <w:tcW w:w="1574" w:type="dxa"/>
            <w:shd w:val="clear" w:color="auto" w:fill="auto"/>
            <w:noWrap/>
            <w:hideMark/>
          </w:tcPr>
          <w:p w:rsidR="00641867" w:rsidRPr="00B4742D" w:rsidRDefault="00641867" w:rsidP="00311C21">
            <w:pPr>
              <w:spacing w:line="240" w:lineRule="auto"/>
              <w:jc w:val="center"/>
            </w:pPr>
            <w:r w:rsidRPr="00B4742D">
              <w:t>15,05</w:t>
            </w:r>
          </w:p>
        </w:tc>
        <w:tc>
          <w:tcPr>
            <w:tcW w:w="2992" w:type="dxa"/>
            <w:shd w:val="clear" w:color="auto" w:fill="auto"/>
            <w:noWrap/>
            <w:hideMark/>
          </w:tcPr>
          <w:p w:rsidR="00641867" w:rsidRPr="00B4742D" w:rsidRDefault="00641867" w:rsidP="00CE6179">
            <w:pPr>
              <w:spacing w:line="240" w:lineRule="auto"/>
              <w:ind w:right="-108"/>
              <w:jc w:val="center"/>
            </w:pPr>
            <w:r w:rsidRPr="00B4742D">
              <w:t>22,87</w:t>
            </w:r>
          </w:p>
        </w:tc>
      </w:tr>
      <w:tr w:rsidR="00641867" w:rsidRPr="00B4742D" w:rsidTr="00CE6179">
        <w:trPr>
          <w:trHeight w:val="300"/>
        </w:trPr>
        <w:tc>
          <w:tcPr>
            <w:tcW w:w="1291" w:type="dxa"/>
            <w:shd w:val="clear" w:color="auto" w:fill="auto"/>
            <w:noWrap/>
            <w:hideMark/>
          </w:tcPr>
          <w:p w:rsidR="00641867" w:rsidRPr="00B4742D" w:rsidRDefault="00641867" w:rsidP="00CE6179">
            <w:pPr>
              <w:tabs>
                <w:tab w:val="clear" w:pos="0"/>
                <w:tab w:val="center" w:pos="-377"/>
              </w:tabs>
              <w:spacing w:line="240" w:lineRule="auto"/>
              <w:ind w:left="-93"/>
              <w:jc w:val="center"/>
            </w:pPr>
            <w:r w:rsidRPr="00B4742D">
              <w:t>UKUPNO</w:t>
            </w:r>
            <w:r w:rsidR="00CE6179" w:rsidRPr="00B4742D">
              <w:t>:</w:t>
            </w:r>
          </w:p>
        </w:tc>
        <w:tc>
          <w:tcPr>
            <w:tcW w:w="2223" w:type="dxa"/>
            <w:shd w:val="clear" w:color="auto" w:fill="auto"/>
            <w:noWrap/>
            <w:hideMark/>
          </w:tcPr>
          <w:p w:rsidR="00641867" w:rsidRPr="00B4742D" w:rsidRDefault="00641867" w:rsidP="00311C21">
            <w:pPr>
              <w:spacing w:line="240" w:lineRule="auto"/>
              <w:jc w:val="center"/>
            </w:pPr>
            <w:r w:rsidRPr="00B4742D">
              <w:t>30126</w:t>
            </w:r>
          </w:p>
        </w:tc>
        <w:tc>
          <w:tcPr>
            <w:tcW w:w="1574" w:type="dxa"/>
            <w:shd w:val="clear" w:color="auto" w:fill="auto"/>
            <w:noWrap/>
            <w:hideMark/>
          </w:tcPr>
          <w:p w:rsidR="00641867" w:rsidRPr="00B4742D" w:rsidRDefault="00641867" w:rsidP="00311C21">
            <w:pPr>
              <w:spacing w:line="240" w:lineRule="auto"/>
              <w:jc w:val="center"/>
            </w:pPr>
            <w:r w:rsidRPr="00B4742D">
              <w:t>363,29</w:t>
            </w:r>
          </w:p>
        </w:tc>
        <w:tc>
          <w:tcPr>
            <w:tcW w:w="1574" w:type="dxa"/>
            <w:shd w:val="clear" w:color="auto" w:fill="auto"/>
            <w:noWrap/>
            <w:hideMark/>
          </w:tcPr>
          <w:p w:rsidR="00641867" w:rsidRPr="00B4742D" w:rsidRDefault="00641867" w:rsidP="00E53D2F">
            <w:pPr>
              <w:spacing w:line="240" w:lineRule="auto"/>
              <w:jc w:val="center"/>
            </w:pPr>
            <w:r w:rsidRPr="00B4742D">
              <w:t>67</w:t>
            </w:r>
            <w:r w:rsidR="00E53D2F" w:rsidRPr="00B4742D">
              <w:t>,</w:t>
            </w:r>
            <w:r w:rsidRPr="00B4742D">
              <w:t>78</w:t>
            </w:r>
          </w:p>
        </w:tc>
        <w:tc>
          <w:tcPr>
            <w:tcW w:w="2992" w:type="dxa"/>
            <w:shd w:val="clear" w:color="auto" w:fill="auto"/>
            <w:noWrap/>
            <w:hideMark/>
          </w:tcPr>
          <w:p w:rsidR="00641867" w:rsidRPr="00B4742D" w:rsidRDefault="00641867" w:rsidP="00CE6179">
            <w:pPr>
              <w:spacing w:line="240" w:lineRule="auto"/>
              <w:ind w:right="-108"/>
              <w:jc w:val="center"/>
            </w:pPr>
            <w:r w:rsidRPr="00B4742D">
              <w:t>19,01</w:t>
            </w:r>
          </w:p>
        </w:tc>
      </w:tr>
    </w:tbl>
    <w:p w:rsidR="00641867" w:rsidRPr="00B4742D" w:rsidRDefault="00641867" w:rsidP="00641867">
      <w:pPr>
        <w:spacing w:line="240" w:lineRule="auto"/>
      </w:pPr>
      <w:r w:rsidRPr="00B4742D">
        <w:t xml:space="preserve">Izvor: </w:t>
      </w:r>
      <w:r w:rsidR="00E53D2F" w:rsidRPr="00B4742D">
        <w:t>Agencija za osiguranje radničkih potraživanja u slučaju stečaja poslodavca</w:t>
      </w:r>
    </w:p>
    <w:p w:rsidR="00641867" w:rsidRPr="00B4742D" w:rsidRDefault="00641867" w:rsidP="00641867">
      <w:pPr>
        <w:spacing w:line="240" w:lineRule="auto"/>
      </w:pPr>
    </w:p>
    <w:p w:rsidR="00641867" w:rsidRPr="00B4742D" w:rsidRDefault="00641867" w:rsidP="00641867">
      <w:pPr>
        <w:spacing w:line="240" w:lineRule="auto"/>
      </w:pPr>
      <w:r w:rsidRPr="00B4742D">
        <w:t xml:space="preserve">Navedeni podaci otkrivaju procikličnost postojećeg sustava isplate otpremnina na koju se nedovoljno ukazuje. Naime, u vrijeme ekonomsko-financijske krize, kada se </w:t>
      </w:r>
      <w:r w:rsidR="00E53D2F" w:rsidRPr="00B4742D">
        <w:t>poslodavci</w:t>
      </w:r>
      <w:r w:rsidRPr="00B4742D">
        <w:t xml:space="preserve"> nađu u financijskim problemima zbog smanjene potražnje pa tako i prihoda poslovanja, jedan od izlaza te načina opstanka u takvim vremenima je</w:t>
      </w:r>
      <w:r w:rsidR="00E53D2F" w:rsidRPr="00B4742D">
        <w:t>st</w:t>
      </w:r>
      <w:r w:rsidRPr="00B4742D">
        <w:t xml:space="preserve"> smanjenje broja zaposlenih</w:t>
      </w:r>
      <w:r w:rsidR="00E53D2F" w:rsidRPr="00B4742D">
        <w:t xml:space="preserve"> radnika</w:t>
      </w:r>
      <w:r w:rsidRPr="00B4742D">
        <w:t>. Međutim, u slučaju potrebe za značajnijim otpuštanjem radnika po</w:t>
      </w:r>
      <w:r w:rsidR="00E53D2F" w:rsidRPr="00B4742D">
        <w:t>slodavci</w:t>
      </w:r>
      <w:r w:rsidRPr="00B4742D">
        <w:t xml:space="preserve"> se mogu naći u situaciji da su zbog značajnijih potraživanja radnika na temelju isplate otpremnina prisiljena proglasiti stečaj ili se nalaze u značajnim problemima u pogledu likvidnosti. </w:t>
      </w:r>
    </w:p>
    <w:p w:rsidR="00641867" w:rsidRPr="00B4742D" w:rsidRDefault="00641867" w:rsidP="00641867">
      <w:pPr>
        <w:spacing w:line="240" w:lineRule="auto"/>
      </w:pPr>
    </w:p>
    <w:p w:rsidR="00641867" w:rsidRPr="00B74757" w:rsidRDefault="00641867" w:rsidP="00641867">
      <w:pPr>
        <w:spacing w:line="240" w:lineRule="auto"/>
      </w:pPr>
      <w:r w:rsidRPr="00B4742D">
        <w:t xml:space="preserve">Osim činjenice </w:t>
      </w:r>
      <w:r w:rsidR="00DE31AF" w:rsidRPr="00B4742D">
        <w:t>kako</w:t>
      </w:r>
      <w:r w:rsidRPr="00B4742D">
        <w:t xml:space="preserve"> potraživanja radnika prema po</w:t>
      </w:r>
      <w:r w:rsidR="00DE31AF" w:rsidRPr="00B4742D">
        <w:t>slodavcima</w:t>
      </w:r>
      <w:r w:rsidRPr="00B4742D">
        <w:t xml:space="preserve"> u stečaju kreiraju značajan teret za </w:t>
      </w:r>
      <w:r w:rsidR="00DE31AF" w:rsidRPr="00B4742D">
        <w:t>D</w:t>
      </w:r>
      <w:r w:rsidRPr="00B4742D">
        <w:t>ržavni proračun</w:t>
      </w:r>
      <w:r w:rsidR="00DE31AF" w:rsidRPr="00B4742D">
        <w:t xml:space="preserve"> Republike Hrvatske</w:t>
      </w:r>
      <w:r w:rsidRPr="00B4742D">
        <w:t xml:space="preserve">, treba istaknuti </w:t>
      </w:r>
      <w:r w:rsidR="00DE31AF" w:rsidRPr="00B4742D">
        <w:t>kako</w:t>
      </w:r>
      <w:r w:rsidRPr="00B4742D">
        <w:t xml:space="preserve"> niti ovaj sustav osiguranja potraživanja radnika ne daje maksimalnu zaštitu. Naime, Zakonom </w:t>
      </w:r>
      <w:r w:rsidR="00DE31AF" w:rsidRPr="00B4742D">
        <w:t xml:space="preserve">o osiguranju potraživanja radnika u slučaju stečaja poslodavca </w:t>
      </w:r>
      <w:r w:rsidRPr="00B4742D">
        <w:t xml:space="preserve">propisano </w:t>
      </w:r>
      <w:r w:rsidR="00DE31AF" w:rsidRPr="00B4742D">
        <w:t xml:space="preserve">jest </w:t>
      </w:r>
      <w:r w:rsidRPr="00B4742D">
        <w:t xml:space="preserve">da </w:t>
      </w:r>
      <w:r w:rsidR="00DE31AF" w:rsidRPr="00B4742D">
        <w:t>Agencija za osiguranje radničkih potraživanja u slučaju stečaja poslodavca</w:t>
      </w:r>
      <w:r w:rsidRPr="00B4742D">
        <w:t xml:space="preserve"> pruža naknadu samo dijela prava radnika, a ostatak se isplaćuje uobičajenim postupkom u skladu sa Stečajnim zakonom</w:t>
      </w:r>
      <w:r w:rsidR="00DE31AF" w:rsidRPr="00B4742D">
        <w:rPr>
          <w:rStyle w:val="FootnoteReference"/>
        </w:rPr>
        <w:footnoteReference w:id="70"/>
      </w:r>
      <w:r w:rsidR="00DE31AF" w:rsidRPr="00B4742D">
        <w:t>,</w:t>
      </w:r>
      <w:r w:rsidRPr="00B4742D">
        <w:t xml:space="preserve"> iz stečajne mase. Naravno, podmirenje potraživanja radnicima ovisit će o stanju pojedinog po</w:t>
      </w:r>
      <w:r w:rsidR="00DE31AF" w:rsidRPr="00B4742D">
        <w:t>slodavca</w:t>
      </w:r>
      <w:r w:rsidRPr="002017C6">
        <w:t xml:space="preserve"> te stečajnom postupku </w:t>
      </w:r>
      <w:r w:rsidR="00DE31AF" w:rsidRPr="002017C6">
        <w:t>pa</w:t>
      </w:r>
      <w:r w:rsidRPr="002017C6">
        <w:t xml:space="preserve"> je</w:t>
      </w:r>
      <w:r w:rsidR="00DE31AF" w:rsidRPr="00FE70C5">
        <w:t>, stoga,</w:t>
      </w:r>
      <w:r w:rsidRPr="009336BF">
        <w:t xml:space="preserve"> moguće da radnici ostanu bez značajnijeg dijela </w:t>
      </w:r>
      <w:r w:rsidR="00DE31AF" w:rsidRPr="009336BF">
        <w:t>potraživanja</w:t>
      </w:r>
      <w:r w:rsidRPr="00C7332E">
        <w:t xml:space="preserve"> koj</w:t>
      </w:r>
      <w:r w:rsidR="00DE31AF" w:rsidRPr="00C7332E">
        <w:t>e</w:t>
      </w:r>
      <w:r w:rsidRPr="00C7332E">
        <w:t xml:space="preserve"> im pripada. Stoga se može reći </w:t>
      </w:r>
      <w:r w:rsidR="00DE31AF" w:rsidRPr="00C7332E">
        <w:t>kako</w:t>
      </w:r>
      <w:r w:rsidRPr="006C4F67">
        <w:t xml:space="preserve"> najveći financijski teret u okviru ovog sustava dijele </w:t>
      </w:r>
      <w:r w:rsidR="00DE31AF" w:rsidRPr="006C4F67">
        <w:t xml:space="preserve">Državni </w:t>
      </w:r>
      <w:r w:rsidRPr="006C4F67">
        <w:t>proračun</w:t>
      </w:r>
      <w:r w:rsidR="00DE31AF" w:rsidRPr="006C4F67">
        <w:t xml:space="preserve"> Republike Hrvatske</w:t>
      </w:r>
      <w:r w:rsidRPr="00B74757">
        <w:t xml:space="preserve"> i radnici. </w:t>
      </w:r>
      <w:r w:rsidRPr="00B74757">
        <w:lastRenderedPageBreak/>
        <w:t>Također, navedeni postupci zahtijevaju vrijeme te ne osiguravaju radniku kompenzaciju dijela izgubljenog dohotka u trenutku gubitka radnog mjesta. Stoga se ne ostvaruje funkcija sustava otpremnina u teorijskom smislu kao instrumenta održavanja životnog standarda radnika u razdoblju nezaposlenosti.</w:t>
      </w:r>
    </w:p>
    <w:p w:rsidR="00641867" w:rsidRPr="00B74757" w:rsidRDefault="00641867" w:rsidP="00641867">
      <w:pPr>
        <w:spacing w:line="240" w:lineRule="auto"/>
      </w:pPr>
    </w:p>
    <w:p w:rsidR="007A3055" w:rsidRPr="009769E7" w:rsidRDefault="007A3055" w:rsidP="007A3055">
      <w:pPr>
        <w:pStyle w:val="Heading3"/>
      </w:pPr>
      <w:bookmarkStart w:id="22" w:name="_Toc365828839"/>
      <w:r w:rsidRPr="009769E7">
        <w:t>3.1.3. Isplate otpremnine u privatnom sektoru</w:t>
      </w:r>
      <w:bookmarkEnd w:id="22"/>
    </w:p>
    <w:p w:rsidR="007050AD" w:rsidRPr="004D0AD5" w:rsidRDefault="007050AD" w:rsidP="00641867">
      <w:pPr>
        <w:spacing w:line="240" w:lineRule="auto"/>
      </w:pPr>
    </w:p>
    <w:p w:rsidR="0080123B" w:rsidRPr="00B4742D" w:rsidRDefault="00641867" w:rsidP="00641867">
      <w:pPr>
        <w:spacing w:line="240" w:lineRule="auto"/>
      </w:pPr>
      <w:r w:rsidRPr="00E1401E">
        <w:t xml:space="preserve">U pogledu treće skupine radnika zaposlenih u privatnom sektoru </w:t>
      </w:r>
      <w:r w:rsidR="00DE31AF" w:rsidRPr="00D00975">
        <w:t>koji</w:t>
      </w:r>
      <w:r w:rsidRPr="00A26596">
        <w:t xml:space="preserve"> redovno obavljaju svoje djelatnosti postoji najviše nedoumica. Naime, iako postoji zako</w:t>
      </w:r>
      <w:r w:rsidRPr="008B2ED7">
        <w:t>nska obveza evidentiranja otpremnina</w:t>
      </w:r>
      <w:r w:rsidR="00DE31AF" w:rsidRPr="008B2ED7">
        <w:t>,</w:t>
      </w:r>
      <w:r w:rsidRPr="008B2ED7">
        <w:t xml:space="preserve"> ne postoje javno objavljeni podaci na temelju kojih se može utvrditi iznos potraživanja na temelju prava na isplatu otpremnine. </w:t>
      </w:r>
      <w:r w:rsidR="00DE31AF" w:rsidRPr="008B2ED7">
        <w:t>P</w:t>
      </w:r>
      <w:r w:rsidRPr="007B61AF">
        <w:t xml:space="preserve">rocjenjuje </w:t>
      </w:r>
      <w:r w:rsidR="00DE31AF" w:rsidRPr="00B4742D">
        <w:t>se kako</w:t>
      </w:r>
      <w:r w:rsidRPr="00B4742D">
        <w:t xml:space="preserve"> </w:t>
      </w:r>
      <w:r w:rsidR="00DE31AF" w:rsidRPr="00B4742D">
        <w:t xml:space="preserve">se, </w:t>
      </w:r>
      <w:r w:rsidRPr="00B4742D">
        <w:t>na godišnjoj razini</w:t>
      </w:r>
      <w:r w:rsidR="00DE31AF" w:rsidRPr="00B4742D">
        <w:t>,</w:t>
      </w:r>
      <w:r w:rsidRPr="00B4742D">
        <w:t xml:space="preserve"> broj radnika koji imaju pravo na otpremninu kreće između </w:t>
      </w:r>
      <w:r w:rsidR="003D682D" w:rsidRPr="00B4742D">
        <w:t>dv</w:t>
      </w:r>
      <w:r w:rsidR="0028745A" w:rsidRPr="00B4742D">
        <w:t>a</w:t>
      </w:r>
      <w:r w:rsidR="003D682D" w:rsidRPr="00B4742D">
        <w:t>desetpet i šezdesetsedam tisuća</w:t>
      </w:r>
      <w:r w:rsidRPr="00B4742D">
        <w:t xml:space="preserve"> radnika.</w:t>
      </w:r>
      <w:r w:rsidR="00DE31AF" w:rsidRPr="00B4742D">
        <w:rPr>
          <w:rStyle w:val="FootnoteReference"/>
        </w:rPr>
        <w:footnoteReference w:id="71"/>
      </w:r>
      <w:r w:rsidRPr="00B4742D">
        <w:t xml:space="preserve"> Broj radnika koji ima pravo na otpremninu znatno je veći u razdobljima ekonomsko-financijske krize, što predstavlja dodatan teret privatnom sektoru. Također, najveći dio </w:t>
      </w:r>
      <w:r w:rsidR="00DC01B0" w:rsidRPr="00B4742D">
        <w:t>radn</w:t>
      </w:r>
      <w:r w:rsidR="00DC01B0" w:rsidRPr="002017C6">
        <w:t>ika</w:t>
      </w:r>
      <w:r w:rsidRPr="002017C6">
        <w:t xml:space="preserve"> u privatnom sektoru nije </w:t>
      </w:r>
      <w:r w:rsidR="00DC01B0" w:rsidRPr="002017C6">
        <w:t>“</w:t>
      </w:r>
      <w:r w:rsidRPr="002017C6">
        <w:t>pokriven</w:t>
      </w:r>
      <w:r w:rsidR="00DC01B0" w:rsidRPr="00FE70C5">
        <w:t>”, obuhvaćen,</w:t>
      </w:r>
      <w:r w:rsidRPr="009336BF">
        <w:t xml:space="preserve"> kolektivnim ugovorima tako da ostvaruje pravo na otpremninu prema </w:t>
      </w:r>
      <w:r w:rsidR="00DC01B0" w:rsidRPr="009336BF">
        <w:t>standardima Zakona o radu</w:t>
      </w:r>
      <w:r w:rsidRPr="00C7332E">
        <w:t xml:space="preserve">. </w:t>
      </w:r>
      <w:r w:rsidR="00DC01B0" w:rsidRPr="00C7332E">
        <w:t xml:space="preserve">Procjena jest kako </w:t>
      </w:r>
      <w:r w:rsidRPr="00C7332E">
        <w:t>se radi o godišn</w:t>
      </w:r>
      <w:r w:rsidR="00DC01B0" w:rsidRPr="00C7332E">
        <w:t xml:space="preserve">jem iznosu između </w:t>
      </w:r>
      <w:r w:rsidR="007A55BF" w:rsidRPr="006C4F67">
        <w:t>HRK 1.150,20</w:t>
      </w:r>
      <w:r w:rsidR="00DC01B0" w:rsidRPr="006C4F67">
        <w:t xml:space="preserve"> i </w:t>
      </w:r>
      <w:r w:rsidR="007A55BF" w:rsidRPr="006C4F67">
        <w:t>3.082,20</w:t>
      </w:r>
      <w:r w:rsidR="00DC01B0" w:rsidRPr="006C4F67">
        <w:t xml:space="preserve"> m</w:t>
      </w:r>
      <w:r w:rsidR="003D682D" w:rsidRPr="00B74757">
        <w:t>ilijardi</w:t>
      </w:r>
      <w:r w:rsidRPr="00B74757">
        <w:t>.</w:t>
      </w:r>
      <w:r w:rsidR="007A55BF" w:rsidRPr="00B4742D">
        <w:rPr>
          <w:rStyle w:val="FootnoteReference"/>
        </w:rPr>
        <w:footnoteReference w:id="72"/>
      </w:r>
      <w:r w:rsidRPr="00B4742D">
        <w:t xml:space="preserve"> </w:t>
      </w:r>
    </w:p>
    <w:p w:rsidR="0080123B" w:rsidRPr="00B4742D" w:rsidRDefault="0080123B" w:rsidP="00641867">
      <w:pPr>
        <w:spacing w:line="240" w:lineRule="auto"/>
      </w:pPr>
    </w:p>
    <w:p w:rsidR="00641867" w:rsidRPr="00B4742D" w:rsidRDefault="00641867" w:rsidP="00641867">
      <w:pPr>
        <w:spacing w:line="240" w:lineRule="auto"/>
      </w:pPr>
      <w:r w:rsidRPr="002017C6">
        <w:t>Postavlja se pitanje na koji način ovako visoka financijska opterećenja za p</w:t>
      </w:r>
      <w:r w:rsidR="0080123B" w:rsidRPr="002017C6">
        <w:t>oslodavce</w:t>
      </w:r>
      <w:r w:rsidRPr="002017C6">
        <w:t xml:space="preserve"> utječu na njihove odluke u pogledu politike zapošljavanja. S jedne strane</w:t>
      </w:r>
      <w:r w:rsidR="0080123B" w:rsidRPr="009336BF">
        <w:t>,</w:t>
      </w:r>
      <w:r w:rsidRPr="009336BF">
        <w:t xml:space="preserve"> poslodavci su demotivirani za otpuštanje postojećih radnika u vrijeme krize </w:t>
      </w:r>
      <w:r w:rsidR="0080123B" w:rsidRPr="00C7332E">
        <w:t xml:space="preserve">te </w:t>
      </w:r>
      <w:r w:rsidRPr="00C7332E">
        <w:t xml:space="preserve">posežu za smanjenjem plaće, </w:t>
      </w:r>
      <w:r w:rsidR="0080123B" w:rsidRPr="00C7332E">
        <w:t>dok</w:t>
      </w:r>
      <w:r w:rsidRPr="00C7332E">
        <w:t xml:space="preserve"> s druge</w:t>
      </w:r>
      <w:r w:rsidR="0080123B" w:rsidRPr="006C4F67">
        <w:t xml:space="preserve"> strane,</w:t>
      </w:r>
      <w:r w:rsidRPr="006C4F67">
        <w:t xml:space="preserve"> </w:t>
      </w:r>
      <w:r w:rsidR="0080123B" w:rsidRPr="006C4F67">
        <w:t xml:space="preserve">to utječe i na demotiviranje u pogledu </w:t>
      </w:r>
      <w:r w:rsidRPr="00B74757">
        <w:t>zapošljavanj</w:t>
      </w:r>
      <w:r w:rsidR="0080123B" w:rsidRPr="00B74757">
        <w:t>a</w:t>
      </w:r>
      <w:r w:rsidRPr="00B74757">
        <w:t xml:space="preserve"> novih </w:t>
      </w:r>
      <w:r w:rsidR="0080123B" w:rsidRPr="00B74757">
        <w:t xml:space="preserve">radnika, i </w:t>
      </w:r>
      <w:r w:rsidRPr="009769E7">
        <w:t xml:space="preserve">u boljim poslovnim </w:t>
      </w:r>
      <w:r w:rsidR="0080123B" w:rsidRPr="004D0AD5">
        <w:t>uvjetima</w:t>
      </w:r>
      <w:r w:rsidRPr="004D0AD5">
        <w:t xml:space="preserve">. U svakom slučaju teško je utvrditi razmjere socijalnih i ekonomskih učinaka postojećeg sustava u okviru privatnog sektora. </w:t>
      </w:r>
      <w:r w:rsidR="0080123B" w:rsidRPr="00E1401E">
        <w:t xml:space="preserve">Navodi se, također, kako </w:t>
      </w:r>
      <w:r w:rsidRPr="00D00975">
        <w:t xml:space="preserve">broj radnih sporova u </w:t>
      </w:r>
      <w:r w:rsidRPr="00A26596">
        <w:t>okviru sustava iznosi oko 100</w:t>
      </w:r>
      <w:r w:rsidR="0080123B" w:rsidRPr="008B2ED7">
        <w:t>.</w:t>
      </w:r>
      <w:r w:rsidRPr="008B2ED7">
        <w:t>000.</w:t>
      </w:r>
      <w:r w:rsidR="0080123B" w:rsidRPr="00B4742D">
        <w:rPr>
          <w:rStyle w:val="FootnoteReference"/>
        </w:rPr>
        <w:footnoteReference w:id="73"/>
      </w:r>
      <w:r w:rsidRPr="00B4742D">
        <w:t xml:space="preserve"> Navedeni podatak ukazuje na činjenicu da velik broj radnika u privatnom sektoru nije</w:t>
      </w:r>
      <w:r w:rsidR="00EB3313" w:rsidRPr="00B4742D">
        <w:t xml:space="preserve"> </w:t>
      </w:r>
      <w:r w:rsidRPr="00B4742D">
        <w:t xml:space="preserve">u mogućnosti pravodobno namiriti svoja potraživanja utvrđena zakonom. </w:t>
      </w:r>
    </w:p>
    <w:p w:rsidR="00641867" w:rsidRPr="002017C6" w:rsidRDefault="00641867" w:rsidP="00641867">
      <w:pPr>
        <w:spacing w:line="240" w:lineRule="auto"/>
      </w:pPr>
    </w:p>
    <w:p w:rsidR="006C6621" w:rsidRPr="00B4742D" w:rsidRDefault="00641867" w:rsidP="00641867">
      <w:pPr>
        <w:spacing w:line="240" w:lineRule="auto"/>
      </w:pPr>
      <w:r w:rsidRPr="002017C6">
        <w:t xml:space="preserve">Kada je riječ o sustavu isplate otpremnina važnu ulogu u okviru njegovih učinaka ima njihov porezni tretman. </w:t>
      </w:r>
      <w:r w:rsidR="0080123B" w:rsidRPr="009336BF">
        <w:t>Naime, kako je p</w:t>
      </w:r>
      <w:r w:rsidRPr="009336BF">
        <w:t>rema Pravilnik</w:t>
      </w:r>
      <w:r w:rsidR="0080123B" w:rsidRPr="00C7332E">
        <w:t>u</w:t>
      </w:r>
      <w:r w:rsidRPr="00C7332E">
        <w:t xml:space="preserve"> o porezu na dohodak neoporeziv</w:t>
      </w:r>
      <w:r w:rsidR="0080123B" w:rsidRPr="00C7332E">
        <w:t xml:space="preserve"> iznos </w:t>
      </w:r>
      <w:r w:rsidRPr="00C7332E">
        <w:t xml:space="preserve">otpremnine zbog poslovno i osobno uvjetovanog otkaza ugovora o radu </w:t>
      </w:r>
      <w:r w:rsidR="0080123B" w:rsidRPr="006C4F67">
        <w:t xml:space="preserve">od HRK </w:t>
      </w:r>
      <w:r w:rsidRPr="006C4F67">
        <w:t>6.400,00</w:t>
      </w:r>
      <w:r w:rsidR="0080123B" w:rsidRPr="006C4F67">
        <w:t>,</w:t>
      </w:r>
      <w:r w:rsidRPr="006C4F67">
        <w:t xml:space="preserve"> a za otkaz ugovora invalidu rada nakon povratka s liječe</w:t>
      </w:r>
      <w:r w:rsidRPr="00B74757">
        <w:t>nja od posljedica ozljede na radu ili profesionalnog oboljenja kojem poslodavac nije ponudio odgovarajući posao, iznosi</w:t>
      </w:r>
      <w:r w:rsidR="0080123B" w:rsidRPr="00B74757">
        <w:t xml:space="preserve"> od HRK </w:t>
      </w:r>
      <w:r w:rsidRPr="00B74757">
        <w:t>8.000,00 za svaku navršenu godinu rada kod poslodavca koji otkazuje ugovor o radu</w:t>
      </w:r>
      <w:r w:rsidR="0080123B" w:rsidRPr="00B74757">
        <w:t>, a p</w:t>
      </w:r>
      <w:r w:rsidRPr="009769E7">
        <w:t>orezni propisi ne ograničavaju najvišu svot</w:t>
      </w:r>
      <w:r w:rsidRPr="004D0AD5">
        <w:t>u neoporezive otpremnine</w:t>
      </w:r>
      <w:r w:rsidR="0080123B" w:rsidRPr="004D0AD5">
        <w:t xml:space="preserve">, to će </w:t>
      </w:r>
      <w:r w:rsidRPr="004D0AD5">
        <w:t xml:space="preserve">radniku za </w:t>
      </w:r>
      <w:r w:rsidR="003D682D" w:rsidRPr="00E1401E">
        <w:t>trideset</w:t>
      </w:r>
      <w:r w:rsidRPr="00D00975">
        <w:t xml:space="preserve"> navršenih godina rada u prvom slučaju kod istog poslodavca može isplatiti neoporeziva otpremnina za otkaz u iznosu od </w:t>
      </w:r>
      <w:r w:rsidR="006C6621" w:rsidRPr="008B2ED7">
        <w:t xml:space="preserve">HRK </w:t>
      </w:r>
      <w:r w:rsidRPr="008B2ED7">
        <w:t xml:space="preserve">192.000,00, a u drugom slučaju čak </w:t>
      </w:r>
      <w:r w:rsidR="006C6621" w:rsidRPr="008B2ED7">
        <w:t xml:space="preserve">i HRK </w:t>
      </w:r>
      <w:r w:rsidRPr="008B2ED7">
        <w:t>240.000,00.</w:t>
      </w:r>
      <w:r w:rsidR="006C6621" w:rsidRPr="00B4742D">
        <w:rPr>
          <w:rStyle w:val="FootnoteReference"/>
        </w:rPr>
        <w:footnoteReference w:id="74"/>
      </w:r>
      <w:r w:rsidRPr="00B4742D">
        <w:t xml:space="preserve"> </w:t>
      </w:r>
    </w:p>
    <w:p w:rsidR="006C6621" w:rsidRPr="00B4742D" w:rsidRDefault="006C6621" w:rsidP="00641867">
      <w:pPr>
        <w:spacing w:line="240" w:lineRule="auto"/>
      </w:pPr>
    </w:p>
    <w:p w:rsidR="00641867" w:rsidRPr="00B74757" w:rsidRDefault="00641867" w:rsidP="00641867">
      <w:pPr>
        <w:spacing w:line="240" w:lineRule="auto"/>
      </w:pPr>
      <w:r w:rsidRPr="00B4742D">
        <w:lastRenderedPageBreak/>
        <w:t>P</w:t>
      </w:r>
      <w:r w:rsidRPr="002017C6">
        <w:t xml:space="preserve">ostavlja se pitanje pravednosti takvog sustava budući na taj način isplata jednog oblika dohotka odudara od progresivnosti poreza na dohodak u okviru kojeg se odražava načelo porezne sposobnosti. Dodatno </w:t>
      </w:r>
      <w:r w:rsidR="006C6621" w:rsidRPr="002017C6">
        <w:t>valja</w:t>
      </w:r>
      <w:r w:rsidRPr="002017C6">
        <w:t xml:space="preserve"> </w:t>
      </w:r>
      <w:r w:rsidR="006C6621" w:rsidRPr="002017C6">
        <w:t>navesti i</w:t>
      </w:r>
      <w:r w:rsidRPr="00FE70C5">
        <w:t xml:space="preserve"> da su radnici s pravima na manje iznose otpremnina zbog nisko</w:t>
      </w:r>
      <w:r w:rsidRPr="009336BF">
        <w:t>g dohotka u pravilu manje mobilni te imaju manje šanse za ponovnim zaposlenjem od radnika s višim dohocima</w:t>
      </w:r>
      <w:r w:rsidR="006C6621" w:rsidRPr="009336BF">
        <w:t xml:space="preserve">, </w:t>
      </w:r>
      <w:r w:rsidRPr="00C7332E">
        <w:t xml:space="preserve">pogotovo u starijoj dobi. U ovakvom sustavu otvara se prostor i za moralni hazard jer se dogovorom poslodavca i posloprimca </w:t>
      </w:r>
      <w:r w:rsidR="009A4613" w:rsidRPr="00C7332E">
        <w:t xml:space="preserve">u značajnijem iznosu </w:t>
      </w:r>
      <w:r w:rsidRPr="00C7332E">
        <w:t>može izbjeći plaćanje poreza i doprinosa. Takva mogućnost još je izražen</w:t>
      </w:r>
      <w:r w:rsidR="006C6621" w:rsidRPr="006C4F67">
        <w:t>ija</w:t>
      </w:r>
      <w:r w:rsidRPr="006C4F67">
        <w:t xml:space="preserve"> zbog nepostojanja evidencije isplaćenih otpremnina te ponovnog zapošljavanja radnika koji su ostvarili isplatu na temelju prethodnog otkaza poslodavca</w:t>
      </w:r>
      <w:r w:rsidR="006C6621" w:rsidRPr="006C4F67">
        <w:t xml:space="preserve"> - </w:t>
      </w:r>
      <w:r w:rsidRPr="006C4F67">
        <w:t>isti se mogu zaposliti na drug</w:t>
      </w:r>
      <w:r w:rsidRPr="00B74757">
        <w:t xml:space="preserve">o radno mjesto ili </w:t>
      </w:r>
      <w:r w:rsidR="006C6621" w:rsidRPr="00B74757">
        <w:t>kod povezanog poslodavca.</w:t>
      </w:r>
    </w:p>
    <w:p w:rsidR="00641867" w:rsidRPr="00B74757" w:rsidRDefault="00641867" w:rsidP="00466D80">
      <w:pPr>
        <w:spacing w:line="240" w:lineRule="auto"/>
      </w:pPr>
    </w:p>
    <w:p w:rsidR="00380807" w:rsidRPr="004D0AD5" w:rsidRDefault="00641867" w:rsidP="00380807">
      <w:pPr>
        <w:pStyle w:val="Heading1"/>
      </w:pPr>
      <w:bookmarkStart w:id="23" w:name="_Toc365828840"/>
      <w:r w:rsidRPr="009769E7">
        <w:t>4</w:t>
      </w:r>
      <w:r w:rsidR="00380807" w:rsidRPr="004D0AD5">
        <w:t xml:space="preserve">. Uređenje </w:t>
      </w:r>
      <w:r w:rsidR="00A30DB8" w:rsidRPr="004D0AD5">
        <w:t xml:space="preserve">sustava </w:t>
      </w:r>
      <w:r w:rsidR="00380807" w:rsidRPr="004D0AD5">
        <w:t>otpremnina u drugim državama</w:t>
      </w:r>
      <w:bookmarkEnd w:id="23"/>
    </w:p>
    <w:p w:rsidR="00380807" w:rsidRPr="00E1401E" w:rsidRDefault="00380807" w:rsidP="00466D80">
      <w:pPr>
        <w:spacing w:line="240" w:lineRule="auto"/>
      </w:pPr>
    </w:p>
    <w:p w:rsidR="007C4F28" w:rsidRPr="00D00975" w:rsidRDefault="007C4F28" w:rsidP="00466D80">
      <w:pPr>
        <w:spacing w:line="240" w:lineRule="auto"/>
      </w:pPr>
      <w:r w:rsidRPr="00D00975">
        <w:t>U većini država svijeta postoje programi isplate otpremnina.</w:t>
      </w:r>
      <w:r w:rsidRPr="00B4742D">
        <w:rPr>
          <w:rStyle w:val="FootnoteReference"/>
        </w:rPr>
        <w:footnoteReference w:id="75"/>
      </w:r>
      <w:r w:rsidRPr="00B4742D">
        <w:t xml:space="preserve"> </w:t>
      </w:r>
      <w:r w:rsidR="00CC06CD" w:rsidRPr="00B4742D">
        <w:t xml:space="preserve">Time se, </w:t>
      </w:r>
      <w:r w:rsidRPr="00B4742D">
        <w:t>uglavnom</w:t>
      </w:r>
      <w:r w:rsidR="00CC06CD" w:rsidRPr="002017C6">
        <w:t>,</w:t>
      </w:r>
      <w:r w:rsidRPr="002017C6">
        <w:t xml:space="preserve"> osiguravaju paušalna plaćanja </w:t>
      </w:r>
      <w:r w:rsidR="00CC06CD" w:rsidRPr="002017C6">
        <w:t>radnicima</w:t>
      </w:r>
      <w:r w:rsidRPr="002017C6">
        <w:t xml:space="preserve"> nakon </w:t>
      </w:r>
      <w:r w:rsidR="00CC06CD" w:rsidRPr="00FE70C5">
        <w:t xml:space="preserve">prestanka </w:t>
      </w:r>
      <w:r w:rsidRPr="009336BF">
        <w:t xml:space="preserve">ugovora o radu. Gotovo u svakoj državi članici Europske unije postoji neki oblik sveobuhvatnog </w:t>
      </w:r>
      <w:r w:rsidR="00CC06CD" w:rsidRPr="00C7332E">
        <w:t>pristupa</w:t>
      </w:r>
      <w:r w:rsidRPr="00C7332E">
        <w:t xml:space="preserve"> otpremnina</w:t>
      </w:r>
      <w:r w:rsidR="00CC06CD" w:rsidRPr="00C7332E">
        <w:t>, nacionalni sustav otpremnina</w:t>
      </w:r>
      <w:r w:rsidRPr="00C7332E">
        <w:t xml:space="preserve">. </w:t>
      </w:r>
      <w:r w:rsidR="00CC06CD" w:rsidRPr="006C4F67">
        <w:t>Oni se</w:t>
      </w:r>
      <w:r w:rsidRPr="006C4F67">
        <w:t xml:space="preserve"> značajno razlikuju</w:t>
      </w:r>
      <w:r w:rsidR="00CC06CD" w:rsidRPr="006C4F67">
        <w:t>,</w:t>
      </w:r>
      <w:r w:rsidRPr="006C4F67">
        <w:t xml:space="preserve"> prema opsegu i </w:t>
      </w:r>
      <w:r w:rsidR="00CC06CD" w:rsidRPr="00B74757">
        <w:t>izdašnosti,</w:t>
      </w:r>
      <w:r w:rsidRPr="00B74757">
        <w:t xml:space="preserve"> od države do države. Uz to, mo</w:t>
      </w:r>
      <w:r w:rsidR="00CC06CD" w:rsidRPr="00B74757">
        <w:t>guće je</w:t>
      </w:r>
      <w:r w:rsidRPr="00B74757">
        <w:t xml:space="preserve"> primijetiti </w:t>
      </w:r>
      <w:r w:rsidR="00CC06CD" w:rsidRPr="009769E7">
        <w:t>kako, uz sustav otpremnina ko</w:t>
      </w:r>
      <w:r w:rsidR="00CC06CD" w:rsidRPr="004D0AD5">
        <w:t xml:space="preserve">ji je zakonski nametnut i uređen, istovremeno postoji i sustav zasnovan na </w:t>
      </w:r>
      <w:r w:rsidRPr="00E1401E">
        <w:t>dobrovoljn</w:t>
      </w:r>
      <w:r w:rsidR="00CC06CD" w:rsidRPr="00E1401E">
        <w:t>osti, najčešće koji kod konkretnih individualnih poslodavaca.</w:t>
      </w:r>
      <w:r w:rsidRPr="00D00975">
        <w:t xml:space="preserve"> </w:t>
      </w:r>
    </w:p>
    <w:p w:rsidR="00380807" w:rsidRPr="008B2ED7" w:rsidRDefault="00380807" w:rsidP="00466D80">
      <w:pPr>
        <w:spacing w:line="240" w:lineRule="auto"/>
      </w:pPr>
    </w:p>
    <w:p w:rsidR="00380807" w:rsidRPr="007B61AF" w:rsidRDefault="00641867" w:rsidP="00380807">
      <w:pPr>
        <w:pStyle w:val="Heading2"/>
      </w:pPr>
      <w:bookmarkStart w:id="24" w:name="_Toc365828841"/>
      <w:r w:rsidRPr="008B2ED7">
        <w:t>4</w:t>
      </w:r>
      <w:r w:rsidR="00380807" w:rsidRPr="008B2ED7">
        <w:t>.1. Uređenje otpremnina u državama</w:t>
      </w:r>
      <w:r w:rsidR="00DB6E7D" w:rsidRPr="008B2ED7">
        <w:t xml:space="preserve"> </w:t>
      </w:r>
      <w:r w:rsidR="00380807" w:rsidRPr="007B61AF">
        <w:t>članicama Europska unije</w:t>
      </w:r>
      <w:bookmarkEnd w:id="24"/>
    </w:p>
    <w:p w:rsidR="00380807" w:rsidRPr="00B4742D" w:rsidRDefault="00380807" w:rsidP="00380807">
      <w:pPr>
        <w:spacing w:line="240" w:lineRule="auto"/>
      </w:pPr>
    </w:p>
    <w:p w:rsidR="00380807" w:rsidRPr="00B4742D" w:rsidRDefault="00641867" w:rsidP="00380807">
      <w:pPr>
        <w:pStyle w:val="Heading3"/>
      </w:pPr>
      <w:bookmarkStart w:id="25" w:name="_Toc365828842"/>
      <w:r w:rsidRPr="00B4742D">
        <w:t>4</w:t>
      </w:r>
      <w:r w:rsidR="00380807" w:rsidRPr="00B4742D">
        <w:t>.1.</w:t>
      </w:r>
      <w:r w:rsidR="00A833CA" w:rsidRPr="00B4742D">
        <w:t>1</w:t>
      </w:r>
      <w:r w:rsidR="00380807" w:rsidRPr="00B4742D">
        <w:t>. Uređenje otpremnina u državama</w:t>
      </w:r>
      <w:r w:rsidR="00DB6E7D" w:rsidRPr="00B4742D">
        <w:t xml:space="preserve"> </w:t>
      </w:r>
      <w:r w:rsidR="00380807" w:rsidRPr="00B4742D">
        <w:t>članicama Europska unije</w:t>
      </w:r>
      <w:bookmarkEnd w:id="25"/>
    </w:p>
    <w:p w:rsidR="007C4F28" w:rsidRPr="00B4742D" w:rsidRDefault="007C4F28" w:rsidP="00466D80">
      <w:pPr>
        <w:spacing w:line="240" w:lineRule="auto"/>
      </w:pPr>
    </w:p>
    <w:p w:rsidR="00592193" w:rsidRPr="00E1401E" w:rsidRDefault="00592193" w:rsidP="00466D80">
      <w:pPr>
        <w:spacing w:line="240" w:lineRule="auto"/>
      </w:pPr>
      <w:r w:rsidRPr="00B4742D">
        <w:t xml:space="preserve">Razmjerno je </w:t>
      </w:r>
      <w:r w:rsidR="007C4F28" w:rsidRPr="00B4742D">
        <w:t xml:space="preserve">teško </w:t>
      </w:r>
      <w:r w:rsidRPr="00B4742D">
        <w:t xml:space="preserve">precizno posustaviti, </w:t>
      </w:r>
      <w:r w:rsidR="007C4F28" w:rsidRPr="00B4742D">
        <w:t>klasificirati i uspore</w:t>
      </w:r>
      <w:r w:rsidRPr="00B4742D">
        <w:t>đivati</w:t>
      </w:r>
      <w:r w:rsidR="007C4F28" w:rsidRPr="00B4742D">
        <w:t xml:space="preserve"> </w:t>
      </w:r>
      <w:r w:rsidRPr="00B4742D">
        <w:t xml:space="preserve">nacionalne sustave </w:t>
      </w:r>
      <w:r w:rsidR="007C4F28" w:rsidRPr="00B4742D">
        <w:t xml:space="preserve">otpremnina, </w:t>
      </w:r>
      <w:r w:rsidRPr="00B4742D">
        <w:t>obzirom da</w:t>
      </w:r>
      <w:r w:rsidR="007C4F28" w:rsidRPr="00B4742D">
        <w:t xml:space="preserve"> države </w:t>
      </w:r>
      <w:r w:rsidRPr="00B4742D">
        <w:t>baštine</w:t>
      </w:r>
      <w:r w:rsidR="007C4F28" w:rsidRPr="00B4742D">
        <w:t xml:space="preserve"> različite tradicije i </w:t>
      </w:r>
      <w:r w:rsidRPr="00B4742D">
        <w:t>odnose spram is</w:t>
      </w:r>
      <w:r w:rsidR="007C4F28" w:rsidRPr="00B4742D">
        <w:t>pla</w:t>
      </w:r>
      <w:r w:rsidRPr="00B4742D">
        <w:t xml:space="preserve">ta radnicima po prestanku </w:t>
      </w:r>
      <w:r w:rsidR="007C4F28" w:rsidRPr="00B4742D">
        <w:t>ugovora o radu. U</w:t>
      </w:r>
      <w:r w:rsidRPr="00B4742D">
        <w:t>spoređujući nacionalna rješenja, kako je već navedeno, nacionalni sustavi otpremnina služe raznim svrhama:</w:t>
      </w:r>
      <w:r w:rsidR="007C4F28" w:rsidRPr="00B4742D">
        <w:t xml:space="preserve"> </w:t>
      </w:r>
      <w:r w:rsidRPr="00B4742D">
        <w:t xml:space="preserve">primjerice, </w:t>
      </w:r>
      <w:r w:rsidR="007C4F28" w:rsidRPr="00B4742D">
        <w:t>nakna</w:t>
      </w:r>
      <w:r w:rsidRPr="00B4742D">
        <w:t>đuju radnike u slučaju otkaza ugovora o radu, uvjetovanog nekim posebnim razlozima, načinima ili brojevima radnika, ili naprosto naknađuju u slučaju bilo kojeg načina</w:t>
      </w:r>
      <w:r w:rsidR="002017C6">
        <w:t xml:space="preserve">  </w:t>
      </w:r>
      <w:r w:rsidRPr="002017C6">
        <w:t>prestanka ugovora o radu</w:t>
      </w:r>
      <w:r w:rsidR="007C4F28" w:rsidRPr="002017C6">
        <w:t>,</w:t>
      </w:r>
      <w:r w:rsidRPr="002017C6">
        <w:t xml:space="preserve"> čak i</w:t>
      </w:r>
      <w:r w:rsidR="0028745A" w:rsidRPr="002017C6">
        <w:t xml:space="preserve"> </w:t>
      </w:r>
      <w:r w:rsidRPr="00FE70C5">
        <w:t xml:space="preserve">onda kada sam radnik okončava svoj radni odnos. Stoga se posustavljenje i klasifikacija može osnivati na </w:t>
      </w:r>
      <w:r w:rsidR="007C4F28" w:rsidRPr="009336BF">
        <w:t>pravnom izvoru</w:t>
      </w:r>
      <w:r w:rsidRPr="009336BF">
        <w:t xml:space="preserve"> prava na otpremninu</w:t>
      </w:r>
      <w:r w:rsidR="007C4F28" w:rsidRPr="00C7332E">
        <w:t xml:space="preserve">. </w:t>
      </w:r>
      <w:r w:rsidRPr="00C7332E">
        <w:t xml:space="preserve">U tom smislu, </w:t>
      </w:r>
      <w:r w:rsidR="007C4F28" w:rsidRPr="00C7332E">
        <w:t xml:space="preserve">Tablica </w:t>
      </w:r>
      <w:r w:rsidR="005523BB" w:rsidRPr="00C7332E">
        <w:t>6</w:t>
      </w:r>
      <w:r w:rsidRPr="006C4F67">
        <w:t>.</w:t>
      </w:r>
      <w:r w:rsidR="007C4F28" w:rsidRPr="006C4F67">
        <w:t xml:space="preserve"> sadrži </w:t>
      </w:r>
      <w:r w:rsidRPr="006C4F67">
        <w:t xml:space="preserve">pregled </w:t>
      </w:r>
      <w:r w:rsidR="007C4F28" w:rsidRPr="006C4F67">
        <w:t>pravn</w:t>
      </w:r>
      <w:r w:rsidRPr="00B74757">
        <w:t>e</w:t>
      </w:r>
      <w:r w:rsidR="007C4F28" w:rsidRPr="00B74757">
        <w:t xml:space="preserve"> osnov</w:t>
      </w:r>
      <w:r w:rsidRPr="00B74757">
        <w:t>anosti, pravnih izvora prava na otpremninu</w:t>
      </w:r>
      <w:r w:rsidR="007C4F28" w:rsidRPr="009769E7">
        <w:t xml:space="preserve"> u</w:t>
      </w:r>
      <w:r w:rsidRPr="004D0AD5">
        <w:t xml:space="preserve"> državama članicama</w:t>
      </w:r>
      <w:r w:rsidR="007C4F28" w:rsidRPr="004D0AD5">
        <w:t xml:space="preserve"> Europskoj unij</w:t>
      </w:r>
      <w:r w:rsidRPr="004D0AD5">
        <w:t>e</w:t>
      </w:r>
      <w:r w:rsidR="007C4F28" w:rsidRPr="00E1401E">
        <w:t xml:space="preserve">. </w:t>
      </w:r>
    </w:p>
    <w:p w:rsidR="00592193" w:rsidRPr="00D00975" w:rsidRDefault="00592193" w:rsidP="00466D80">
      <w:pPr>
        <w:spacing w:line="240" w:lineRule="auto"/>
      </w:pPr>
    </w:p>
    <w:p w:rsidR="00592193" w:rsidRPr="00B4742D" w:rsidRDefault="007C4F28" w:rsidP="00466D80">
      <w:pPr>
        <w:spacing w:line="240" w:lineRule="auto"/>
      </w:pPr>
      <w:r w:rsidRPr="008B2ED7">
        <w:t xml:space="preserve">U Europskoj uniji većina država članica, </w:t>
      </w:r>
      <w:r w:rsidR="003D682D" w:rsidRPr="008B2ED7">
        <w:t>dvadesetjedna</w:t>
      </w:r>
      <w:r w:rsidRPr="008B2ED7">
        <w:t xml:space="preserve"> </w:t>
      </w:r>
      <w:r w:rsidR="00592193" w:rsidRPr="008B2ED7">
        <w:t xml:space="preserve">od njih, nacionalni sustav otpremnina osniva na </w:t>
      </w:r>
      <w:r w:rsidRPr="008B2ED7">
        <w:t>zakon</w:t>
      </w:r>
      <w:r w:rsidR="00592193" w:rsidRPr="007B61AF">
        <w:t>skom uređenju i propisivanju</w:t>
      </w:r>
      <w:r w:rsidRPr="00B4742D">
        <w:t>. U šest država članica</w:t>
      </w:r>
      <w:r w:rsidR="00592193" w:rsidRPr="00B4742D">
        <w:t xml:space="preserve"> Europske unije</w:t>
      </w:r>
      <w:r w:rsidRPr="00B4742D">
        <w:t xml:space="preserve"> </w:t>
      </w:r>
      <w:r w:rsidR="00592193" w:rsidRPr="00B4742D">
        <w:t xml:space="preserve">pravo na otpremninu proizlazi iz </w:t>
      </w:r>
      <w:r w:rsidRPr="00B4742D">
        <w:t>uređen</w:t>
      </w:r>
      <w:r w:rsidR="00592193" w:rsidRPr="00B4742D">
        <w:t>ja k</w:t>
      </w:r>
      <w:r w:rsidRPr="00B4742D">
        <w:t>olektivnim ugovorima</w:t>
      </w:r>
      <w:r w:rsidR="00592193" w:rsidRPr="00B4742D">
        <w:t>, a n</w:t>
      </w:r>
      <w:r w:rsidRPr="00B4742D">
        <w:t xml:space="preserve">e postoji niti jedna država članica </w:t>
      </w:r>
      <w:r w:rsidR="00592193" w:rsidRPr="00B4742D">
        <w:lastRenderedPageBreak/>
        <w:t xml:space="preserve">Europske unije </w:t>
      </w:r>
      <w:r w:rsidRPr="00B4742D">
        <w:t xml:space="preserve">koja ne bi imala </w:t>
      </w:r>
      <w:r w:rsidR="00592193" w:rsidRPr="00B4742D">
        <w:t>nacionalni sustav otpremnina</w:t>
      </w:r>
      <w:r w:rsidRPr="00B4742D">
        <w:t xml:space="preserve"> </w:t>
      </w:r>
      <w:r w:rsidR="00592193" w:rsidRPr="00B4742D">
        <w:t xml:space="preserve">sveobuhvatan preko </w:t>
      </w:r>
      <w:r w:rsidR="0028745A" w:rsidRPr="00B4742D">
        <w:t>c</w:t>
      </w:r>
      <w:r w:rsidR="00592193" w:rsidRPr="00B4742D">
        <w:t>ijelog gospodarstva</w:t>
      </w:r>
      <w:r w:rsidRPr="00B4742D">
        <w:t xml:space="preserve">. </w:t>
      </w:r>
    </w:p>
    <w:p w:rsidR="00592193" w:rsidRPr="00B4742D" w:rsidRDefault="00592193" w:rsidP="00466D80">
      <w:pPr>
        <w:spacing w:line="240" w:lineRule="auto"/>
      </w:pPr>
    </w:p>
    <w:p w:rsidR="007C4F28" w:rsidRPr="00B4742D" w:rsidRDefault="00592193" w:rsidP="00466D80">
      <w:pPr>
        <w:spacing w:line="240" w:lineRule="auto"/>
      </w:pPr>
      <w:r w:rsidRPr="00B4742D">
        <w:t xml:space="preserve">Ovdje, ipak, valja navesti kako je svako posustavljenje i </w:t>
      </w:r>
      <w:r w:rsidR="007C4F28" w:rsidRPr="00B4742D">
        <w:t>klasifi</w:t>
      </w:r>
      <w:r w:rsidRPr="00B4742D">
        <w:t>ciranje podosta obilježeno proizvoljnošću.</w:t>
      </w:r>
      <w:r w:rsidR="007C4F28" w:rsidRPr="00B4742D">
        <w:t xml:space="preserve"> Primjerice</w:t>
      </w:r>
      <w:r w:rsidRPr="00B4742D">
        <w:t>,</w:t>
      </w:r>
      <w:r w:rsidR="007C4F28" w:rsidRPr="00B4742D">
        <w:t xml:space="preserve"> njemačk</w:t>
      </w:r>
      <w:r w:rsidRPr="00B4742D">
        <w:t>o zakonodavstvo rada,</w:t>
      </w:r>
      <w:r w:rsidR="007C4F28" w:rsidRPr="00B4742D">
        <w:t xml:space="preserve"> u načelu</w:t>
      </w:r>
      <w:r w:rsidRPr="00B4742D">
        <w:t>,</w:t>
      </w:r>
      <w:r w:rsidR="007C4F28" w:rsidRPr="00B4742D">
        <w:t xml:space="preserve"> ne </w:t>
      </w:r>
      <w:r w:rsidRPr="00B4742D">
        <w:t>jamči pravo na otpremninu, odnosn</w:t>
      </w:r>
      <w:r w:rsidR="0028745A" w:rsidRPr="00B4742D">
        <w:t>o</w:t>
      </w:r>
      <w:r w:rsidRPr="00B4742D">
        <w:t xml:space="preserve"> potraživanja radnika tim temeljem</w:t>
      </w:r>
      <w:r w:rsidR="007C4F28" w:rsidRPr="00B4742D">
        <w:t xml:space="preserve">. </w:t>
      </w:r>
      <w:r w:rsidRPr="00B4742D">
        <w:t xml:space="preserve">No, </w:t>
      </w:r>
      <w:r w:rsidR="00A81121" w:rsidRPr="00B4742D">
        <w:t>Z</w:t>
      </w:r>
      <w:r w:rsidR="007C4F28" w:rsidRPr="00B4742D">
        <w:t xml:space="preserve">akon </w:t>
      </w:r>
      <w:r w:rsidR="00A81121" w:rsidRPr="00B4742D">
        <w:t xml:space="preserve">koji uređuje zaštite </w:t>
      </w:r>
      <w:r w:rsidR="007C4F28" w:rsidRPr="00B4742D">
        <w:t xml:space="preserve">kod </w:t>
      </w:r>
      <w:r w:rsidR="00A81121" w:rsidRPr="00B4742D">
        <w:t xml:space="preserve">otkazivanja ugovora o radu, </w:t>
      </w:r>
      <w:r w:rsidR="007C4F28" w:rsidRPr="00B4742D">
        <w:rPr>
          <w:i/>
        </w:rPr>
        <w:t>Kündigungsschutzgesetz</w:t>
      </w:r>
      <w:r w:rsidR="00A81121" w:rsidRPr="00B4742D">
        <w:t>,</w:t>
      </w:r>
      <w:r w:rsidR="007C4F28" w:rsidRPr="00B4742D">
        <w:t xml:space="preserve"> međutim</w:t>
      </w:r>
      <w:r w:rsidR="00A81121" w:rsidRPr="00B4742D">
        <w:t>,</w:t>
      </w:r>
      <w:r w:rsidR="007C4F28" w:rsidRPr="00B4742D">
        <w:t xml:space="preserve"> </w:t>
      </w:r>
      <w:r w:rsidR="00A81121" w:rsidRPr="00B4742D">
        <w:t xml:space="preserve">uvodi i </w:t>
      </w:r>
      <w:r w:rsidR="007C4F28" w:rsidRPr="00B4742D">
        <w:t>u</w:t>
      </w:r>
      <w:r w:rsidR="00A81121" w:rsidRPr="00B4742D">
        <w:t>ređuje</w:t>
      </w:r>
      <w:r w:rsidR="007C4F28" w:rsidRPr="00B4742D">
        <w:t xml:space="preserve"> pravo na paušalni iznos u slučaju </w:t>
      </w:r>
      <w:r w:rsidR="00A81121" w:rsidRPr="00B4742D">
        <w:t xml:space="preserve">otkazivanja </w:t>
      </w:r>
      <w:r w:rsidR="007C4F28" w:rsidRPr="00B4742D">
        <w:t xml:space="preserve">ugovora o radu iz </w:t>
      </w:r>
      <w:r w:rsidR="00A81121" w:rsidRPr="00B4742D">
        <w:t>gospodarskih</w:t>
      </w:r>
      <w:r w:rsidR="007C4F28" w:rsidRPr="00B4742D">
        <w:t xml:space="preserve"> razloga.</w:t>
      </w:r>
    </w:p>
    <w:p w:rsidR="007C4F28" w:rsidRPr="00B4742D" w:rsidRDefault="007C4F28" w:rsidP="00466D80">
      <w:pPr>
        <w:spacing w:line="240" w:lineRule="auto"/>
      </w:pPr>
    </w:p>
    <w:p w:rsidR="007C4F28" w:rsidRPr="00B4742D" w:rsidRDefault="007C4F28" w:rsidP="00466D80">
      <w:pPr>
        <w:pStyle w:val="Caption"/>
        <w:spacing w:after="0"/>
        <w:rPr>
          <w:rFonts w:ascii="Times New Roman" w:hAnsi="Times New Roman"/>
          <w:b w:val="0"/>
          <w:color w:val="auto"/>
          <w:sz w:val="24"/>
          <w:szCs w:val="24"/>
        </w:rPr>
      </w:pPr>
      <w:r w:rsidRPr="00B4742D">
        <w:rPr>
          <w:rFonts w:ascii="Times New Roman" w:hAnsi="Times New Roman"/>
          <w:b w:val="0"/>
          <w:color w:val="auto"/>
          <w:sz w:val="24"/>
          <w:szCs w:val="24"/>
        </w:rPr>
        <w:t xml:space="preserve">Tablica </w:t>
      </w:r>
      <w:r w:rsidR="005523BB" w:rsidRPr="00B4742D">
        <w:rPr>
          <w:rFonts w:ascii="Times New Roman" w:hAnsi="Times New Roman"/>
          <w:b w:val="0"/>
          <w:color w:val="auto"/>
          <w:sz w:val="24"/>
          <w:szCs w:val="24"/>
        </w:rPr>
        <w:t>6</w:t>
      </w:r>
      <w:r w:rsidR="0076762D" w:rsidRPr="00B4742D">
        <w:rPr>
          <w:rFonts w:ascii="Times New Roman" w:hAnsi="Times New Roman"/>
          <w:b w:val="0"/>
          <w:color w:val="auto"/>
          <w:sz w:val="24"/>
          <w:szCs w:val="24"/>
        </w:rPr>
        <w:t>.</w:t>
      </w:r>
      <w:r w:rsidRPr="00B4742D">
        <w:rPr>
          <w:rFonts w:ascii="Times New Roman" w:hAnsi="Times New Roman"/>
          <w:b w:val="0"/>
          <w:color w:val="auto"/>
          <w:sz w:val="24"/>
          <w:szCs w:val="24"/>
        </w:rPr>
        <w:t xml:space="preserve">: Pravna osnova </w:t>
      </w:r>
      <w:r w:rsidR="00A81121" w:rsidRPr="00B4742D">
        <w:rPr>
          <w:rFonts w:ascii="Times New Roman" w:hAnsi="Times New Roman"/>
          <w:b w:val="0"/>
          <w:color w:val="auto"/>
          <w:sz w:val="24"/>
          <w:szCs w:val="24"/>
        </w:rPr>
        <w:t xml:space="preserve">prava na </w:t>
      </w:r>
      <w:r w:rsidRPr="00B4742D">
        <w:rPr>
          <w:rFonts w:ascii="Times New Roman" w:hAnsi="Times New Roman"/>
          <w:b w:val="0"/>
          <w:color w:val="auto"/>
          <w:sz w:val="24"/>
          <w:szCs w:val="24"/>
        </w:rPr>
        <w:t>otpremnin</w:t>
      </w:r>
      <w:r w:rsidR="00A81121" w:rsidRPr="00B4742D">
        <w:rPr>
          <w:rFonts w:ascii="Times New Roman" w:hAnsi="Times New Roman"/>
          <w:b w:val="0"/>
          <w:color w:val="auto"/>
          <w:sz w:val="24"/>
          <w:szCs w:val="24"/>
        </w:rPr>
        <w:t>u</w:t>
      </w:r>
      <w:r w:rsidRPr="00B4742D">
        <w:rPr>
          <w:rFonts w:ascii="Times New Roman" w:hAnsi="Times New Roman"/>
          <w:b w:val="0"/>
          <w:color w:val="auto"/>
          <w:sz w:val="24"/>
          <w:szCs w:val="24"/>
        </w:rPr>
        <w:t xml:space="preserve"> u </w:t>
      </w:r>
      <w:r w:rsidR="00A81121" w:rsidRPr="00B4742D">
        <w:rPr>
          <w:rFonts w:ascii="Times New Roman" w:hAnsi="Times New Roman"/>
          <w:b w:val="0"/>
          <w:color w:val="auto"/>
          <w:sz w:val="24"/>
          <w:szCs w:val="24"/>
        </w:rPr>
        <w:t xml:space="preserve">državama članicama </w:t>
      </w:r>
      <w:r w:rsidRPr="00B4742D">
        <w:rPr>
          <w:rFonts w:ascii="Times New Roman" w:hAnsi="Times New Roman"/>
          <w:b w:val="0"/>
          <w:color w:val="auto"/>
          <w:sz w:val="24"/>
          <w:szCs w:val="24"/>
        </w:rPr>
        <w:t>Europsk</w:t>
      </w:r>
      <w:r w:rsidR="00A81121" w:rsidRPr="00B4742D">
        <w:rPr>
          <w:rFonts w:ascii="Times New Roman" w:hAnsi="Times New Roman"/>
          <w:b w:val="0"/>
          <w:color w:val="auto"/>
          <w:sz w:val="24"/>
          <w:szCs w:val="24"/>
        </w:rPr>
        <w:t>e</w:t>
      </w:r>
      <w:r w:rsidRPr="00B4742D">
        <w:rPr>
          <w:rFonts w:ascii="Times New Roman" w:hAnsi="Times New Roman"/>
          <w:b w:val="0"/>
          <w:color w:val="auto"/>
          <w:sz w:val="24"/>
          <w:szCs w:val="24"/>
        </w:rPr>
        <w:t xml:space="preserve"> unij</w:t>
      </w:r>
      <w:r w:rsidR="00A81121" w:rsidRPr="00B4742D">
        <w:rPr>
          <w:rFonts w:ascii="Times New Roman" w:hAnsi="Times New Roman"/>
          <w:b w:val="0"/>
          <w:color w:val="auto"/>
          <w:sz w:val="24"/>
          <w:szCs w:val="24"/>
        </w:rPr>
        <w: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69"/>
      </w:tblGrid>
      <w:tr w:rsidR="007C4F28" w:rsidRPr="00B4742D" w:rsidTr="00CE6179">
        <w:trPr>
          <w:trHeight w:val="236"/>
        </w:trPr>
        <w:tc>
          <w:tcPr>
            <w:tcW w:w="5070" w:type="dxa"/>
          </w:tcPr>
          <w:p w:rsidR="007C4F28" w:rsidRPr="00BF61FB" w:rsidRDefault="00A81121" w:rsidP="00CE6179">
            <w:pPr>
              <w:tabs>
                <w:tab w:val="clear" w:pos="0"/>
                <w:tab w:val="center" w:pos="-392"/>
              </w:tabs>
              <w:spacing w:line="240" w:lineRule="auto"/>
              <w:ind w:left="-108"/>
              <w:jc w:val="center"/>
            </w:pPr>
            <w:r w:rsidRPr="00B4742D">
              <w:t>Zakonsko uređenje prava na otpremninu</w:t>
            </w:r>
          </w:p>
        </w:tc>
        <w:tc>
          <w:tcPr>
            <w:tcW w:w="4569" w:type="dxa"/>
          </w:tcPr>
          <w:p w:rsidR="007C4F28" w:rsidRPr="00B4742D" w:rsidRDefault="00A81121" w:rsidP="00CE6179">
            <w:pPr>
              <w:spacing w:line="240" w:lineRule="auto"/>
              <w:ind w:right="-108"/>
              <w:jc w:val="center"/>
            </w:pPr>
            <w:r w:rsidRPr="00B4742D">
              <w:t>Pravo na otpremninu uređeno k</w:t>
            </w:r>
            <w:r w:rsidR="007C4F28" w:rsidRPr="00B4742D">
              <w:t>olektivni</w:t>
            </w:r>
            <w:r w:rsidRPr="00B4742D">
              <w:t>m</w:t>
            </w:r>
            <w:r w:rsidR="007C4F28" w:rsidRPr="00B4742D">
              <w:t xml:space="preserve"> ugovori</w:t>
            </w:r>
            <w:r w:rsidRPr="00B4742D">
              <w:t>ma</w:t>
            </w:r>
          </w:p>
        </w:tc>
      </w:tr>
      <w:tr w:rsidR="007C4F28" w:rsidRPr="00B4742D" w:rsidTr="00CE6179">
        <w:trPr>
          <w:trHeight w:val="223"/>
        </w:trPr>
        <w:tc>
          <w:tcPr>
            <w:tcW w:w="5070" w:type="dxa"/>
          </w:tcPr>
          <w:p w:rsidR="007C4F28" w:rsidRPr="00B4742D" w:rsidRDefault="009F2654" w:rsidP="00CE6179">
            <w:pPr>
              <w:spacing w:line="240" w:lineRule="auto"/>
              <w:ind w:left="-108"/>
              <w:jc w:val="center"/>
            </w:pPr>
            <w:r w:rsidRPr="00B4742D">
              <w:t xml:space="preserve">Republika </w:t>
            </w:r>
            <w:r w:rsidR="007C4F28" w:rsidRPr="00B4742D">
              <w:t>Austrija</w:t>
            </w:r>
          </w:p>
        </w:tc>
        <w:tc>
          <w:tcPr>
            <w:tcW w:w="4569" w:type="dxa"/>
          </w:tcPr>
          <w:p w:rsidR="007C4F28" w:rsidRPr="00B4742D" w:rsidRDefault="007C4F28" w:rsidP="00CE6179">
            <w:pPr>
              <w:spacing w:line="240" w:lineRule="auto"/>
              <w:ind w:right="-108"/>
              <w:jc w:val="center"/>
            </w:pPr>
            <w:r w:rsidRPr="00B4742D">
              <w:t>Belgija</w:t>
            </w: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Bugarska</w:t>
            </w:r>
          </w:p>
        </w:tc>
        <w:tc>
          <w:tcPr>
            <w:tcW w:w="4569" w:type="dxa"/>
          </w:tcPr>
          <w:p w:rsidR="007C4F28" w:rsidRPr="00B4742D" w:rsidRDefault="007C4F28" w:rsidP="00CE6179">
            <w:pPr>
              <w:spacing w:line="240" w:lineRule="auto"/>
              <w:ind w:right="-108"/>
              <w:jc w:val="center"/>
            </w:pPr>
            <w:r w:rsidRPr="00B4742D">
              <w:t>Cipar</w:t>
            </w:r>
          </w:p>
        </w:tc>
      </w:tr>
      <w:tr w:rsidR="007C4F28" w:rsidRPr="00B4742D" w:rsidTr="00CE6179">
        <w:trPr>
          <w:trHeight w:val="236"/>
        </w:trPr>
        <w:tc>
          <w:tcPr>
            <w:tcW w:w="5070" w:type="dxa"/>
          </w:tcPr>
          <w:p w:rsidR="007C4F28" w:rsidRPr="00B4742D" w:rsidRDefault="00A5507D" w:rsidP="00CE6179">
            <w:pPr>
              <w:spacing w:line="240" w:lineRule="auto"/>
              <w:ind w:left="-108"/>
              <w:jc w:val="center"/>
            </w:pPr>
            <w:r w:rsidRPr="00B4742D">
              <w:t xml:space="preserve">Republika </w:t>
            </w:r>
            <w:r w:rsidR="007C4F28" w:rsidRPr="00B4742D">
              <w:t>Hrvatska</w:t>
            </w:r>
          </w:p>
        </w:tc>
        <w:tc>
          <w:tcPr>
            <w:tcW w:w="4569" w:type="dxa"/>
          </w:tcPr>
          <w:p w:rsidR="007C4F28" w:rsidRPr="00B4742D" w:rsidRDefault="007C4F28" w:rsidP="00CE6179">
            <w:pPr>
              <w:spacing w:line="240" w:lineRule="auto"/>
              <w:ind w:right="-108"/>
              <w:jc w:val="center"/>
            </w:pPr>
            <w:r w:rsidRPr="00B4742D">
              <w:t>Finska</w:t>
            </w: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Češka Republika</w:t>
            </w:r>
          </w:p>
        </w:tc>
        <w:tc>
          <w:tcPr>
            <w:tcW w:w="4569" w:type="dxa"/>
          </w:tcPr>
          <w:p w:rsidR="007C4F28" w:rsidRPr="00B4742D" w:rsidRDefault="007C4F28" w:rsidP="00CE6179">
            <w:pPr>
              <w:spacing w:line="240" w:lineRule="auto"/>
              <w:ind w:right="-108"/>
              <w:jc w:val="center"/>
            </w:pPr>
            <w:r w:rsidRPr="00B4742D">
              <w:t>Nizozemska</w:t>
            </w: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Danska</w:t>
            </w:r>
          </w:p>
        </w:tc>
        <w:tc>
          <w:tcPr>
            <w:tcW w:w="4569" w:type="dxa"/>
          </w:tcPr>
          <w:p w:rsidR="007C4F28" w:rsidRPr="00B4742D" w:rsidRDefault="007C4F28" w:rsidP="00CE6179">
            <w:pPr>
              <w:spacing w:line="240" w:lineRule="auto"/>
              <w:ind w:right="-108"/>
              <w:jc w:val="center"/>
            </w:pPr>
            <w:r w:rsidRPr="00B4742D">
              <w:t>Poljska</w:t>
            </w:r>
          </w:p>
        </w:tc>
      </w:tr>
      <w:tr w:rsidR="007C4F28" w:rsidRPr="00B4742D" w:rsidTr="00CE6179">
        <w:trPr>
          <w:trHeight w:val="236"/>
        </w:trPr>
        <w:tc>
          <w:tcPr>
            <w:tcW w:w="5070" w:type="dxa"/>
          </w:tcPr>
          <w:p w:rsidR="007C4F28" w:rsidRPr="00B4742D" w:rsidRDefault="007C4F28" w:rsidP="00CE6179">
            <w:pPr>
              <w:spacing w:line="240" w:lineRule="auto"/>
              <w:ind w:left="-108"/>
              <w:jc w:val="center"/>
            </w:pPr>
            <w:r w:rsidRPr="00B4742D">
              <w:t>Estonija</w:t>
            </w:r>
          </w:p>
        </w:tc>
        <w:tc>
          <w:tcPr>
            <w:tcW w:w="4569" w:type="dxa"/>
          </w:tcPr>
          <w:p w:rsidR="007C4F28" w:rsidRPr="00B4742D" w:rsidRDefault="007C4F28" w:rsidP="00CE6179">
            <w:pPr>
              <w:spacing w:line="240" w:lineRule="auto"/>
              <w:ind w:right="-108"/>
              <w:jc w:val="center"/>
            </w:pPr>
            <w:r w:rsidRPr="00B4742D">
              <w:t>Rumunjska</w:t>
            </w: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Francuska</w:t>
            </w:r>
          </w:p>
        </w:tc>
        <w:tc>
          <w:tcPr>
            <w:tcW w:w="4569" w:type="dxa"/>
          </w:tcPr>
          <w:p w:rsidR="007C4F28" w:rsidRPr="00B4742D" w:rsidRDefault="007C4F28" w:rsidP="00CE6179">
            <w:pPr>
              <w:spacing w:line="240" w:lineRule="auto"/>
              <w:ind w:right="-108"/>
              <w:jc w:val="center"/>
            </w:pPr>
            <w:r w:rsidRPr="00B4742D">
              <w:t>Švedska</w:t>
            </w: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Njemačka</w:t>
            </w:r>
          </w:p>
        </w:tc>
        <w:tc>
          <w:tcPr>
            <w:tcW w:w="4569" w:type="dxa"/>
          </w:tcPr>
          <w:p w:rsidR="007C4F28" w:rsidRPr="00BF61FB" w:rsidRDefault="007C4F28" w:rsidP="003D682D">
            <w:pPr>
              <w:spacing w:line="240" w:lineRule="auto"/>
              <w:jc w:val="center"/>
            </w:pPr>
          </w:p>
        </w:tc>
      </w:tr>
      <w:tr w:rsidR="007C4F28" w:rsidRPr="00B4742D" w:rsidTr="00CE6179">
        <w:trPr>
          <w:trHeight w:val="236"/>
        </w:trPr>
        <w:tc>
          <w:tcPr>
            <w:tcW w:w="5070" w:type="dxa"/>
          </w:tcPr>
          <w:p w:rsidR="007C4F28" w:rsidRPr="00B4742D" w:rsidRDefault="007C4F28" w:rsidP="00CE6179">
            <w:pPr>
              <w:spacing w:line="240" w:lineRule="auto"/>
              <w:ind w:left="-108"/>
              <w:jc w:val="center"/>
            </w:pPr>
            <w:r w:rsidRPr="00B4742D">
              <w:t>Grčka</w:t>
            </w:r>
          </w:p>
        </w:tc>
        <w:tc>
          <w:tcPr>
            <w:tcW w:w="4569" w:type="dxa"/>
          </w:tcPr>
          <w:p w:rsidR="007C4F28" w:rsidRPr="00BF61FB" w:rsidRDefault="007C4F28" w:rsidP="003D682D">
            <w:pPr>
              <w:spacing w:line="240" w:lineRule="auto"/>
              <w:jc w:val="center"/>
            </w:pP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Mađarska</w:t>
            </w:r>
          </w:p>
        </w:tc>
        <w:tc>
          <w:tcPr>
            <w:tcW w:w="4569" w:type="dxa"/>
          </w:tcPr>
          <w:p w:rsidR="007C4F28" w:rsidRPr="00BF61FB" w:rsidRDefault="007C4F28" w:rsidP="003D682D">
            <w:pPr>
              <w:spacing w:line="240" w:lineRule="auto"/>
              <w:jc w:val="center"/>
            </w:pPr>
          </w:p>
        </w:tc>
      </w:tr>
      <w:tr w:rsidR="007C4F28" w:rsidRPr="00B4742D" w:rsidTr="00CE6179">
        <w:trPr>
          <w:trHeight w:val="236"/>
        </w:trPr>
        <w:tc>
          <w:tcPr>
            <w:tcW w:w="5070" w:type="dxa"/>
          </w:tcPr>
          <w:p w:rsidR="007C4F28" w:rsidRPr="00B4742D" w:rsidRDefault="007C4F28" w:rsidP="00CE6179">
            <w:pPr>
              <w:spacing w:line="240" w:lineRule="auto"/>
              <w:ind w:left="-108"/>
              <w:jc w:val="center"/>
            </w:pPr>
            <w:r w:rsidRPr="00B4742D">
              <w:t>Irska</w:t>
            </w:r>
          </w:p>
        </w:tc>
        <w:tc>
          <w:tcPr>
            <w:tcW w:w="4569" w:type="dxa"/>
          </w:tcPr>
          <w:p w:rsidR="007C4F28" w:rsidRPr="00BF61FB" w:rsidRDefault="007C4F28" w:rsidP="003D682D">
            <w:pPr>
              <w:spacing w:line="240" w:lineRule="auto"/>
              <w:jc w:val="center"/>
            </w:pP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Italija</w:t>
            </w:r>
          </w:p>
        </w:tc>
        <w:tc>
          <w:tcPr>
            <w:tcW w:w="4569" w:type="dxa"/>
          </w:tcPr>
          <w:p w:rsidR="007C4F28" w:rsidRPr="00BF61FB" w:rsidRDefault="007C4F28" w:rsidP="003D682D">
            <w:pPr>
              <w:spacing w:line="240" w:lineRule="auto"/>
              <w:jc w:val="center"/>
            </w:pP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Latvija</w:t>
            </w:r>
          </w:p>
        </w:tc>
        <w:tc>
          <w:tcPr>
            <w:tcW w:w="4569" w:type="dxa"/>
          </w:tcPr>
          <w:p w:rsidR="007C4F28" w:rsidRPr="00BF61FB" w:rsidRDefault="007C4F28" w:rsidP="003D682D">
            <w:pPr>
              <w:spacing w:line="240" w:lineRule="auto"/>
              <w:jc w:val="center"/>
            </w:pPr>
          </w:p>
        </w:tc>
      </w:tr>
      <w:tr w:rsidR="007C4F28" w:rsidRPr="00B4742D" w:rsidTr="00CE6179">
        <w:trPr>
          <w:trHeight w:val="236"/>
        </w:trPr>
        <w:tc>
          <w:tcPr>
            <w:tcW w:w="5070" w:type="dxa"/>
          </w:tcPr>
          <w:p w:rsidR="007C4F28" w:rsidRPr="00B4742D" w:rsidRDefault="007C4F28" w:rsidP="00CE6179">
            <w:pPr>
              <w:spacing w:line="240" w:lineRule="auto"/>
              <w:ind w:left="-108"/>
              <w:jc w:val="center"/>
            </w:pPr>
            <w:r w:rsidRPr="00B4742D">
              <w:t>Litva</w:t>
            </w:r>
          </w:p>
        </w:tc>
        <w:tc>
          <w:tcPr>
            <w:tcW w:w="4569" w:type="dxa"/>
          </w:tcPr>
          <w:p w:rsidR="007C4F28" w:rsidRPr="00BF61FB" w:rsidRDefault="007C4F28" w:rsidP="003D682D">
            <w:pPr>
              <w:spacing w:line="240" w:lineRule="auto"/>
              <w:jc w:val="center"/>
            </w:pP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Luksemburg</w:t>
            </w:r>
          </w:p>
        </w:tc>
        <w:tc>
          <w:tcPr>
            <w:tcW w:w="4569" w:type="dxa"/>
          </w:tcPr>
          <w:p w:rsidR="007C4F28" w:rsidRPr="00BF61FB" w:rsidRDefault="007C4F28" w:rsidP="003D682D">
            <w:pPr>
              <w:spacing w:line="240" w:lineRule="auto"/>
              <w:jc w:val="center"/>
            </w:pP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Portugal</w:t>
            </w:r>
          </w:p>
        </w:tc>
        <w:tc>
          <w:tcPr>
            <w:tcW w:w="4569" w:type="dxa"/>
          </w:tcPr>
          <w:p w:rsidR="007C4F28" w:rsidRPr="00BF61FB" w:rsidRDefault="007C4F28" w:rsidP="003D682D">
            <w:pPr>
              <w:spacing w:line="240" w:lineRule="auto"/>
              <w:jc w:val="center"/>
            </w:pPr>
          </w:p>
        </w:tc>
      </w:tr>
      <w:tr w:rsidR="007C4F28" w:rsidRPr="00B4742D" w:rsidTr="00CE6179">
        <w:trPr>
          <w:trHeight w:val="236"/>
        </w:trPr>
        <w:tc>
          <w:tcPr>
            <w:tcW w:w="5070" w:type="dxa"/>
          </w:tcPr>
          <w:p w:rsidR="007C4F28" w:rsidRPr="00B4742D" w:rsidRDefault="007C4F28" w:rsidP="00CE6179">
            <w:pPr>
              <w:spacing w:line="240" w:lineRule="auto"/>
              <w:ind w:left="-108"/>
              <w:jc w:val="center"/>
            </w:pPr>
            <w:r w:rsidRPr="00B4742D">
              <w:t>Republika Slovačka</w:t>
            </w:r>
          </w:p>
        </w:tc>
        <w:tc>
          <w:tcPr>
            <w:tcW w:w="4569" w:type="dxa"/>
          </w:tcPr>
          <w:p w:rsidR="007C4F28" w:rsidRPr="00BF61FB" w:rsidRDefault="007C4F28" w:rsidP="003D682D">
            <w:pPr>
              <w:spacing w:line="240" w:lineRule="auto"/>
              <w:jc w:val="center"/>
            </w:pP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Slovenija</w:t>
            </w:r>
          </w:p>
        </w:tc>
        <w:tc>
          <w:tcPr>
            <w:tcW w:w="4569" w:type="dxa"/>
          </w:tcPr>
          <w:p w:rsidR="007C4F28" w:rsidRPr="00BF61FB" w:rsidRDefault="007C4F28" w:rsidP="003D682D">
            <w:pPr>
              <w:spacing w:line="240" w:lineRule="auto"/>
              <w:jc w:val="center"/>
            </w:pPr>
          </w:p>
        </w:tc>
      </w:tr>
      <w:tr w:rsidR="007C4F28" w:rsidRPr="00B4742D" w:rsidTr="00CE6179">
        <w:trPr>
          <w:trHeight w:val="223"/>
        </w:trPr>
        <w:tc>
          <w:tcPr>
            <w:tcW w:w="5070" w:type="dxa"/>
          </w:tcPr>
          <w:p w:rsidR="007C4F28" w:rsidRPr="00B4742D" w:rsidRDefault="007C4F28" w:rsidP="00CE6179">
            <w:pPr>
              <w:spacing w:line="240" w:lineRule="auto"/>
              <w:ind w:left="-108"/>
              <w:jc w:val="center"/>
            </w:pPr>
            <w:r w:rsidRPr="00B4742D">
              <w:t>Španjolska</w:t>
            </w:r>
          </w:p>
        </w:tc>
        <w:tc>
          <w:tcPr>
            <w:tcW w:w="4569" w:type="dxa"/>
          </w:tcPr>
          <w:p w:rsidR="007C4F28" w:rsidRPr="00BF61FB" w:rsidRDefault="007C4F28" w:rsidP="003D682D">
            <w:pPr>
              <w:spacing w:line="240" w:lineRule="auto"/>
              <w:jc w:val="center"/>
            </w:pPr>
          </w:p>
        </w:tc>
      </w:tr>
      <w:tr w:rsidR="007C4F28" w:rsidRPr="00B4742D" w:rsidTr="00CE6179">
        <w:trPr>
          <w:trHeight w:val="249"/>
        </w:trPr>
        <w:tc>
          <w:tcPr>
            <w:tcW w:w="5070" w:type="dxa"/>
          </w:tcPr>
          <w:p w:rsidR="007C4F28" w:rsidRPr="00B4742D" w:rsidRDefault="007C4F28" w:rsidP="00CE6179">
            <w:pPr>
              <w:spacing w:line="240" w:lineRule="auto"/>
              <w:ind w:left="-108"/>
              <w:jc w:val="center"/>
            </w:pPr>
            <w:r w:rsidRPr="00B4742D">
              <w:t>Ujedinjeno Kraljevstvo</w:t>
            </w:r>
          </w:p>
        </w:tc>
        <w:tc>
          <w:tcPr>
            <w:tcW w:w="4569" w:type="dxa"/>
          </w:tcPr>
          <w:p w:rsidR="007C4F28" w:rsidRPr="00BF61FB" w:rsidRDefault="007C4F28" w:rsidP="003D682D">
            <w:pPr>
              <w:spacing w:line="240" w:lineRule="auto"/>
              <w:jc w:val="center"/>
            </w:pPr>
          </w:p>
        </w:tc>
      </w:tr>
    </w:tbl>
    <w:p w:rsidR="007C4F28" w:rsidRPr="00B4742D" w:rsidRDefault="007C4F28" w:rsidP="00466D80">
      <w:pPr>
        <w:spacing w:line="240" w:lineRule="auto"/>
      </w:pPr>
      <w:r w:rsidRPr="00B4742D">
        <w:t>Izvor: Svjetska banka, ILO</w:t>
      </w:r>
    </w:p>
    <w:p w:rsidR="007C4F28" w:rsidRPr="00B4742D" w:rsidRDefault="007C4F28" w:rsidP="00466D80">
      <w:pPr>
        <w:spacing w:line="240" w:lineRule="auto"/>
      </w:pPr>
    </w:p>
    <w:p w:rsidR="00FD4893" w:rsidRPr="00B4742D" w:rsidRDefault="007C4F28" w:rsidP="00466D80">
      <w:pPr>
        <w:spacing w:line="240" w:lineRule="auto"/>
      </w:pPr>
      <w:r w:rsidRPr="00B4742D">
        <w:t>Važn</w:t>
      </w:r>
      <w:r w:rsidR="00A5507D" w:rsidRPr="00B4742D">
        <w:t xml:space="preserve">o obilježje </w:t>
      </w:r>
      <w:r w:rsidR="00B05103" w:rsidRPr="00B4742D">
        <w:t xml:space="preserve">svakog nacionalnog sustava </w:t>
      </w:r>
      <w:r w:rsidRPr="00B4742D">
        <w:t>otpremnina je</w:t>
      </w:r>
      <w:r w:rsidR="00B05103" w:rsidRPr="00B4742D">
        <w:t>st</w:t>
      </w:r>
      <w:r w:rsidRPr="00B4742D">
        <w:t xml:space="preserve"> </w:t>
      </w:r>
      <w:r w:rsidR="00B05103" w:rsidRPr="00B4742D">
        <w:t xml:space="preserve">formula odnosno </w:t>
      </w:r>
      <w:r w:rsidRPr="00B4742D">
        <w:t>defini</w:t>
      </w:r>
      <w:r w:rsidR="00B05103" w:rsidRPr="00B4742D">
        <w:t>rana</w:t>
      </w:r>
      <w:r w:rsidRPr="00B4742D">
        <w:t xml:space="preserve"> vrst</w:t>
      </w:r>
      <w:r w:rsidR="00B05103" w:rsidRPr="00B4742D">
        <w:t>a</w:t>
      </w:r>
      <w:r w:rsidRPr="00B4742D">
        <w:t xml:space="preserve"> i razine naknade</w:t>
      </w:r>
      <w:r w:rsidR="00B05103" w:rsidRPr="00B4742D">
        <w:t>, odnosno prestacije, koja predstavlja otpremninu</w:t>
      </w:r>
      <w:r w:rsidRPr="00B4742D">
        <w:t>. T</w:t>
      </w:r>
      <w:r w:rsidR="00B05103" w:rsidRPr="00B4742D">
        <w:t>u je tradicionalna povezanost, odnosno uvjetovanost, otpremnine</w:t>
      </w:r>
      <w:r w:rsidRPr="00B4742D">
        <w:t xml:space="preserve"> staž</w:t>
      </w:r>
      <w:r w:rsidR="00B05103" w:rsidRPr="00B4742D">
        <w:t xml:space="preserve">em radnika kod poslodavca, njegovim trajanjem, i </w:t>
      </w:r>
      <w:r w:rsidRPr="00B4742D">
        <w:t>ovis</w:t>
      </w:r>
      <w:r w:rsidR="00B05103" w:rsidRPr="00B4742D">
        <w:t>nost o načinu, odnosno razlogu prestanka ugovora o radu</w:t>
      </w:r>
      <w:r w:rsidRPr="00B4742D">
        <w:t xml:space="preserve">. </w:t>
      </w:r>
    </w:p>
    <w:p w:rsidR="00FD4893" w:rsidRPr="00B4742D" w:rsidRDefault="00FD4893" w:rsidP="00466D80">
      <w:pPr>
        <w:spacing w:line="240" w:lineRule="auto"/>
      </w:pPr>
    </w:p>
    <w:p w:rsidR="00F22551" w:rsidRPr="00B4742D" w:rsidRDefault="007C4F28" w:rsidP="00466D80">
      <w:pPr>
        <w:spacing w:line="240" w:lineRule="auto"/>
      </w:pPr>
      <w:r w:rsidRPr="00B4742D">
        <w:t xml:space="preserve">Većina </w:t>
      </w:r>
      <w:r w:rsidR="00B05103" w:rsidRPr="00B4742D">
        <w:t>država</w:t>
      </w:r>
      <w:r w:rsidRPr="00B4742D">
        <w:t xml:space="preserve"> </w:t>
      </w:r>
      <w:r w:rsidR="007027C9" w:rsidRPr="00B4742D">
        <w:t xml:space="preserve">koje zakonski uređuju pravo na otpremninu </w:t>
      </w:r>
      <w:r w:rsidR="00FD4893" w:rsidRPr="00B4742D">
        <w:t xml:space="preserve">uvjetuju samu primjenu prava na otpremninu i isplatu otpremnine </w:t>
      </w:r>
      <w:r w:rsidRPr="00B4742D">
        <w:t>minimalni</w:t>
      </w:r>
      <w:r w:rsidR="00FD4893" w:rsidRPr="00B4742D">
        <w:t>m</w:t>
      </w:r>
      <w:r w:rsidRPr="00B4742D">
        <w:t xml:space="preserve"> staž</w:t>
      </w:r>
      <w:r w:rsidR="00FD4893" w:rsidRPr="00B4742D">
        <w:t>em, odnosno postavljaju uvjet minimalnog trajanja staža kod poslodavca za kvalifikaciju za isplatu prava na otpremninu</w:t>
      </w:r>
      <w:r w:rsidRPr="00B4742D">
        <w:t xml:space="preserve">. </w:t>
      </w:r>
      <w:r w:rsidR="00FD4893" w:rsidRPr="00B4742D">
        <w:t xml:space="preserve">To </w:t>
      </w:r>
      <w:r w:rsidRPr="00B4742D">
        <w:t xml:space="preserve">u većini slučajeva </w:t>
      </w:r>
      <w:r w:rsidR="00FD4893" w:rsidRPr="00B4742D">
        <w:t xml:space="preserve">motivira odnosno potiče poslodavce na </w:t>
      </w:r>
      <w:r w:rsidRPr="00B4742D">
        <w:t>iskrivlj</w:t>
      </w:r>
      <w:r w:rsidR="00FD4893" w:rsidRPr="00B4742D">
        <w:t xml:space="preserve">avanje činjeničnih i pravnih situacija u svezi sa </w:t>
      </w:r>
      <w:r w:rsidRPr="00B4742D">
        <w:t>zapošljavanj</w:t>
      </w:r>
      <w:r w:rsidR="00FD4893" w:rsidRPr="00B4742D">
        <w:t xml:space="preserve">em i otkazivanje ugovora o radu, sve sa ciljem izbjegavanja </w:t>
      </w:r>
      <w:r w:rsidR="00F22551" w:rsidRPr="00B4742D">
        <w:t>financijskog opterećivanja isplatom otpremnine.</w:t>
      </w:r>
      <w:r w:rsidR="0028745A" w:rsidRPr="00B4742D">
        <w:t xml:space="preserve"> </w:t>
      </w:r>
      <w:r w:rsidR="00F22551" w:rsidRPr="00B4742D">
        <w:t>Osim uvjetovanosti i r</w:t>
      </w:r>
      <w:r w:rsidRPr="00B4742D">
        <w:t xml:space="preserve">azine </w:t>
      </w:r>
      <w:r w:rsidR="00F22551" w:rsidRPr="00B4742D">
        <w:t>izdašnosti otpremnine</w:t>
      </w:r>
      <w:r w:rsidRPr="00B4742D">
        <w:t xml:space="preserve"> </w:t>
      </w:r>
      <w:r w:rsidR="00F22551" w:rsidRPr="00B4742D">
        <w:t>u</w:t>
      </w:r>
      <w:r w:rsidRPr="00B4742D">
        <w:t>obič</w:t>
      </w:r>
      <w:r w:rsidR="00F22551" w:rsidRPr="00B4742D">
        <w:t>aje</w:t>
      </w:r>
      <w:r w:rsidRPr="00B4742D">
        <w:t>no s</w:t>
      </w:r>
      <w:r w:rsidR="00F22551" w:rsidRPr="00B4742D">
        <w:t>u razmjerne stažu kod poslodavca</w:t>
      </w:r>
      <w:r w:rsidRPr="00B4742D">
        <w:t xml:space="preserve">. </w:t>
      </w:r>
    </w:p>
    <w:p w:rsidR="00F22551" w:rsidRPr="00B4742D" w:rsidRDefault="00F22551" w:rsidP="00466D80">
      <w:pPr>
        <w:spacing w:line="240" w:lineRule="auto"/>
      </w:pPr>
    </w:p>
    <w:p w:rsidR="00D65FED" w:rsidRPr="00B4742D" w:rsidRDefault="007C4F28" w:rsidP="00466D80">
      <w:pPr>
        <w:spacing w:line="240" w:lineRule="auto"/>
      </w:pPr>
      <w:r w:rsidRPr="00B4742D">
        <w:t xml:space="preserve">Financiranje </w:t>
      </w:r>
      <w:r w:rsidR="00F22551" w:rsidRPr="00B4742D">
        <w:t xml:space="preserve">otpremnina </w:t>
      </w:r>
      <w:r w:rsidRPr="00B4742D">
        <w:t>dodatan je aspekt</w:t>
      </w:r>
      <w:r w:rsidR="00F22551" w:rsidRPr="00B4742D">
        <w:t xml:space="preserve"> koji obilježava</w:t>
      </w:r>
      <w:r w:rsidRPr="00B4742D">
        <w:t xml:space="preserve"> </w:t>
      </w:r>
      <w:r w:rsidR="00F22551" w:rsidRPr="00B4742D">
        <w:t xml:space="preserve">nacionalni </w:t>
      </w:r>
      <w:r w:rsidRPr="00B4742D">
        <w:t xml:space="preserve">sustav otpremnina. </w:t>
      </w:r>
      <w:r w:rsidR="00F22551" w:rsidRPr="00B4742D">
        <w:t>Dakle, o</w:t>
      </w:r>
      <w:r w:rsidRPr="00B4742D">
        <w:t xml:space="preserve">pćenito </w:t>
      </w:r>
      <w:r w:rsidR="00F22551" w:rsidRPr="00B4742D">
        <w:t xml:space="preserve">nacionalni </w:t>
      </w:r>
      <w:r w:rsidRPr="00B4742D">
        <w:t>sustav</w:t>
      </w:r>
      <w:r w:rsidR="00F22551" w:rsidRPr="00B4742D">
        <w:t>i</w:t>
      </w:r>
      <w:r w:rsidRPr="00B4742D">
        <w:t xml:space="preserve"> otpremnina </w:t>
      </w:r>
      <w:r w:rsidR="00F22551" w:rsidRPr="00B4742D">
        <w:t xml:space="preserve">počivaju na </w:t>
      </w:r>
      <w:r w:rsidRPr="00B4742D">
        <w:t>financira</w:t>
      </w:r>
      <w:r w:rsidR="00F22551" w:rsidRPr="00B4742D">
        <w:t>nju</w:t>
      </w:r>
      <w:r w:rsidRPr="00B4742D">
        <w:t xml:space="preserve"> </w:t>
      </w:r>
      <w:r w:rsidR="00D55AD9" w:rsidRPr="00B4742D">
        <w:t xml:space="preserve">od strane </w:t>
      </w:r>
      <w:r w:rsidRPr="00B4742D">
        <w:t>poslodav</w:t>
      </w:r>
      <w:r w:rsidR="00F22551" w:rsidRPr="00B4742D">
        <w:t>a</w:t>
      </w:r>
      <w:r w:rsidRPr="00B4742D">
        <w:t>c</w:t>
      </w:r>
      <w:r w:rsidR="00F22551" w:rsidRPr="00B4742D">
        <w:t>a</w:t>
      </w:r>
      <w:r w:rsidRPr="00B4742D">
        <w:t xml:space="preserve">, </w:t>
      </w:r>
      <w:r w:rsidR="00F22551" w:rsidRPr="00B4742D">
        <w:t xml:space="preserve">a </w:t>
      </w:r>
      <w:r w:rsidRPr="00B4742D">
        <w:t xml:space="preserve">to može predstavljati izazove za likvidnost u slučaju </w:t>
      </w:r>
      <w:r w:rsidR="00F22551" w:rsidRPr="00B4742D">
        <w:t xml:space="preserve">zbrinjavanja većeg broja radnika otkazima ugovora o radu odnosno kod </w:t>
      </w:r>
      <w:r w:rsidRPr="00B4742D">
        <w:t>kolektivn</w:t>
      </w:r>
      <w:r w:rsidR="00F22551" w:rsidRPr="00B4742D">
        <w:t>og viška radnika</w:t>
      </w:r>
      <w:r w:rsidRPr="00B4742D">
        <w:t xml:space="preserve">, </w:t>
      </w:r>
      <w:r w:rsidR="00F22551" w:rsidRPr="00B4742D">
        <w:t>ovo</w:t>
      </w:r>
      <w:r w:rsidRPr="00B4742D">
        <w:t xml:space="preserve"> poseb</w:t>
      </w:r>
      <w:r w:rsidR="00F22551" w:rsidRPr="00B4742D">
        <w:t>ice</w:t>
      </w:r>
      <w:r w:rsidRPr="00B4742D">
        <w:t xml:space="preserve"> za mal</w:t>
      </w:r>
      <w:r w:rsidR="00F22551" w:rsidRPr="00B4742D">
        <w:t xml:space="preserve">e i </w:t>
      </w:r>
      <w:r w:rsidR="007756A7" w:rsidRPr="00B4742D">
        <w:t>manje</w:t>
      </w:r>
      <w:r w:rsidR="00F22551" w:rsidRPr="00B4742D">
        <w:t xml:space="preserve"> poslodavce</w:t>
      </w:r>
      <w:r w:rsidRPr="00B4742D">
        <w:t xml:space="preserve">. To u nekim državama </w:t>
      </w:r>
      <w:r w:rsidR="00DF566A" w:rsidRPr="00B4742D">
        <w:t xml:space="preserve">uzrokuje isključivanje radnika takvih poslodavaca iz, inače, obvezujućih rješenja nacionalnih sustava otpremnina, odnosno u takvim situacijama izostaje obveza </w:t>
      </w:r>
      <w:r w:rsidRPr="00B4742D">
        <w:t>isplate otpremnina. U nekim</w:t>
      </w:r>
      <w:r w:rsidR="00DF566A" w:rsidRPr="00B4742D">
        <w:t xml:space="preserve">, pak, </w:t>
      </w:r>
      <w:r w:rsidRPr="00B4742D">
        <w:t>državama</w:t>
      </w:r>
      <w:r w:rsidR="00DF566A" w:rsidRPr="00B4742D">
        <w:t>,</w:t>
      </w:r>
      <w:r w:rsidRPr="00B4742D">
        <w:t xml:space="preserve"> </w:t>
      </w:r>
      <w:r w:rsidR="009F2654" w:rsidRPr="00B4742D">
        <w:t xml:space="preserve">tako i Republici </w:t>
      </w:r>
      <w:r w:rsidRPr="00B4742D">
        <w:t>Austriji</w:t>
      </w:r>
      <w:r w:rsidR="00DF566A" w:rsidRPr="00B4742D">
        <w:t xml:space="preserve">, nacionalni su sustavi otpremnina obilježeni financiranjem </w:t>
      </w:r>
      <w:r w:rsidRPr="00B4742D">
        <w:t xml:space="preserve">namjenskim doprinosima. Ovdje razina </w:t>
      </w:r>
      <w:r w:rsidR="00DF566A" w:rsidRPr="00B4742D">
        <w:t xml:space="preserve">izdašnosti otpremnine </w:t>
      </w:r>
      <w:r w:rsidRPr="00B4742D">
        <w:t>ovisi o akumuliranim doprinosima i</w:t>
      </w:r>
      <w:r w:rsidR="00DF566A" w:rsidRPr="00B4742D">
        <w:t>, na to,</w:t>
      </w:r>
      <w:r w:rsidRPr="00B4742D">
        <w:t xml:space="preserve"> ostvarenoj kamatn</w:t>
      </w:r>
      <w:r w:rsidR="00DF566A" w:rsidRPr="00B4742D">
        <w:t>i, a f</w:t>
      </w:r>
      <w:r w:rsidRPr="00B4742D">
        <w:t xml:space="preserve">inanciranje </w:t>
      </w:r>
      <w:r w:rsidR="00DF566A" w:rsidRPr="00B4742D">
        <w:t xml:space="preserve">se provodi kroz </w:t>
      </w:r>
      <w:r w:rsidRPr="00B4742D">
        <w:t xml:space="preserve">financijske institucije koje su zadužene za </w:t>
      </w:r>
      <w:r w:rsidR="00DF566A" w:rsidRPr="00B4742D">
        <w:t xml:space="preserve">vođenje </w:t>
      </w:r>
      <w:r w:rsidRPr="00B4742D">
        <w:t>individualn</w:t>
      </w:r>
      <w:r w:rsidR="00DF566A" w:rsidRPr="00B4742D">
        <w:t>ih</w:t>
      </w:r>
      <w:r w:rsidRPr="00B4742D">
        <w:t xml:space="preserve"> račun</w:t>
      </w:r>
      <w:r w:rsidR="00DF566A" w:rsidRPr="00B4742D">
        <w:t>a</w:t>
      </w:r>
      <w:r w:rsidRPr="00B4742D">
        <w:t xml:space="preserve"> na kojima su sredstva uložena u tržišta kapitala.</w:t>
      </w:r>
      <w:r w:rsidR="00D65FED" w:rsidRPr="00B4742D">
        <w:t xml:space="preserve"> </w:t>
      </w:r>
    </w:p>
    <w:p w:rsidR="00D65FED" w:rsidRPr="00B4742D" w:rsidRDefault="00D65FED" w:rsidP="00466D80">
      <w:pPr>
        <w:spacing w:line="240" w:lineRule="auto"/>
      </w:pPr>
    </w:p>
    <w:p w:rsidR="00A833CA" w:rsidRPr="00B4742D" w:rsidRDefault="007C4F28" w:rsidP="00A833CA">
      <w:pPr>
        <w:spacing w:line="240" w:lineRule="auto"/>
      </w:pPr>
      <w:r w:rsidRPr="00B4742D">
        <w:t xml:space="preserve">Tablica </w:t>
      </w:r>
      <w:r w:rsidR="005523BB" w:rsidRPr="00B4742D">
        <w:t>7</w:t>
      </w:r>
      <w:r w:rsidR="00DF566A" w:rsidRPr="00B4742D">
        <w:t>.</w:t>
      </w:r>
      <w:r w:rsidRPr="00B4742D">
        <w:t xml:space="preserve"> </w:t>
      </w:r>
      <w:r w:rsidR="007756A7" w:rsidRPr="00B4742D">
        <w:t>P</w:t>
      </w:r>
      <w:r w:rsidRPr="00B4742D">
        <w:t>regled</w:t>
      </w:r>
      <w:r w:rsidR="007756A7" w:rsidRPr="00B4742D">
        <w:t>no iskazuje</w:t>
      </w:r>
      <w:r w:rsidRPr="00B4742D">
        <w:t xml:space="preserve"> </w:t>
      </w:r>
      <w:r w:rsidR="007756A7" w:rsidRPr="00B4742D">
        <w:t xml:space="preserve">obilježja nacionalnih sustava otpremnina </w:t>
      </w:r>
      <w:r w:rsidRPr="00B4742D">
        <w:t xml:space="preserve">u Europskoj uniji. U dvije </w:t>
      </w:r>
      <w:r w:rsidR="007756A7" w:rsidRPr="00B4742D">
        <w:t>države,</w:t>
      </w:r>
      <w:r w:rsidRPr="00B4742D">
        <w:t xml:space="preserve"> </w:t>
      </w:r>
      <w:r w:rsidR="007756A7" w:rsidRPr="00B4742D">
        <w:t>u</w:t>
      </w:r>
      <w:r w:rsidRPr="00B4742D">
        <w:t xml:space="preserve"> </w:t>
      </w:r>
      <w:r w:rsidR="009F2654" w:rsidRPr="00B4742D">
        <w:t xml:space="preserve">Republici </w:t>
      </w:r>
      <w:r w:rsidRPr="00B4742D">
        <w:t>Austriji i Italiji</w:t>
      </w:r>
      <w:r w:rsidR="007756A7" w:rsidRPr="00B4742D">
        <w:t>,</w:t>
      </w:r>
      <w:r w:rsidRPr="00B4742D">
        <w:t xml:space="preserve"> </w:t>
      </w:r>
      <w:r w:rsidR="007756A7" w:rsidRPr="00B4742D">
        <w:t>ti su sustavi</w:t>
      </w:r>
      <w:r w:rsidRPr="00B4742D">
        <w:t xml:space="preserve"> </w:t>
      </w:r>
      <w:r w:rsidR="007756A7" w:rsidRPr="00B4742D">
        <w:t>ref</w:t>
      </w:r>
      <w:r w:rsidR="0028745A" w:rsidRPr="00B4742D">
        <w:t>o</w:t>
      </w:r>
      <w:r w:rsidR="007756A7" w:rsidRPr="00B4742D">
        <w:t>rmirani prema financiranju</w:t>
      </w:r>
      <w:r w:rsidRPr="00B4742D">
        <w:t xml:space="preserve"> namjenskim doprinosima. U većini država članica </w:t>
      </w:r>
      <w:r w:rsidR="007756A7" w:rsidRPr="00B4742D">
        <w:t xml:space="preserve">Europske unije </w:t>
      </w:r>
      <w:r w:rsidRPr="00B4742D">
        <w:t xml:space="preserve">minimalni staž </w:t>
      </w:r>
      <w:r w:rsidR="007756A7" w:rsidRPr="00B4742D">
        <w:t xml:space="preserve">radnika kod konkretnog </w:t>
      </w:r>
      <w:r w:rsidRPr="00B4742D">
        <w:t xml:space="preserve">poslodavca </w:t>
      </w:r>
      <w:r w:rsidR="007756A7" w:rsidRPr="00B4742D">
        <w:t xml:space="preserve">predstavlja temelj </w:t>
      </w:r>
      <w:r w:rsidRPr="00B4742D">
        <w:t>kvalifi</w:t>
      </w:r>
      <w:r w:rsidR="007756A7" w:rsidRPr="00B4742D">
        <w:t>kacije za pravo na otpremninu</w:t>
      </w:r>
      <w:r w:rsidRPr="00B4742D">
        <w:t>. U šest država članica Europske unije mal</w:t>
      </w:r>
      <w:r w:rsidR="007756A7" w:rsidRPr="00B4742D">
        <w:t>i su poslodavci</w:t>
      </w:r>
      <w:r w:rsidRPr="00B4742D">
        <w:t xml:space="preserve"> isključen</w:t>
      </w:r>
      <w:r w:rsidR="007756A7" w:rsidRPr="00B4742D">
        <w:t>i</w:t>
      </w:r>
      <w:r w:rsidRPr="00B4742D">
        <w:t xml:space="preserve"> iz obvezujućih </w:t>
      </w:r>
      <w:r w:rsidR="007756A7" w:rsidRPr="00B4742D">
        <w:t>rješenja nacionalnih sustava otpremnina</w:t>
      </w:r>
      <w:r w:rsidRPr="00B4742D">
        <w:t>.</w:t>
      </w:r>
    </w:p>
    <w:p w:rsidR="00A833CA" w:rsidRPr="00B4742D" w:rsidRDefault="00A833CA" w:rsidP="00A833CA">
      <w:pPr>
        <w:spacing w:line="240" w:lineRule="auto"/>
      </w:pPr>
    </w:p>
    <w:p w:rsidR="007C4F28" w:rsidRPr="00B4742D" w:rsidRDefault="007C4F28" w:rsidP="00A833CA">
      <w:pPr>
        <w:spacing w:line="240" w:lineRule="auto"/>
        <w:rPr>
          <w:color w:val="auto"/>
        </w:rPr>
      </w:pPr>
      <w:r w:rsidRPr="00B4742D">
        <w:rPr>
          <w:color w:val="auto"/>
        </w:rPr>
        <w:t xml:space="preserve">Tablica </w:t>
      </w:r>
      <w:r w:rsidR="005523BB" w:rsidRPr="00B4742D">
        <w:rPr>
          <w:color w:val="auto"/>
        </w:rPr>
        <w:t>7</w:t>
      </w:r>
      <w:r w:rsidR="0076762D" w:rsidRPr="00B4742D">
        <w:rPr>
          <w:color w:val="auto"/>
        </w:rPr>
        <w:t>.</w:t>
      </w:r>
      <w:r w:rsidRPr="00B4742D">
        <w:rPr>
          <w:color w:val="auto"/>
        </w:rPr>
        <w:t xml:space="preserve">: </w:t>
      </w:r>
      <w:r w:rsidR="007756A7" w:rsidRPr="00B4742D">
        <w:rPr>
          <w:color w:val="auto"/>
        </w:rPr>
        <w:t>Obilježja</w:t>
      </w:r>
      <w:r w:rsidRPr="00B4742D">
        <w:rPr>
          <w:color w:val="auto"/>
        </w:rPr>
        <w:t xml:space="preserve"> </w:t>
      </w:r>
      <w:r w:rsidR="007756A7" w:rsidRPr="00B4742D">
        <w:rPr>
          <w:color w:val="auto"/>
        </w:rPr>
        <w:t>nacionalnih sustava otpremnina</w:t>
      </w:r>
      <w:r w:rsidRPr="00B4742D">
        <w:rPr>
          <w:color w:val="auto"/>
        </w:rPr>
        <w:t xml:space="preserve"> u Europskoj uniji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552"/>
        <w:gridCol w:w="2409"/>
      </w:tblGrid>
      <w:tr w:rsidR="007C4F28" w:rsidRPr="00B4742D" w:rsidTr="00CE6179">
        <w:trPr>
          <w:trHeight w:val="265"/>
        </w:trPr>
        <w:tc>
          <w:tcPr>
            <w:tcW w:w="2410" w:type="dxa"/>
          </w:tcPr>
          <w:p w:rsidR="007C4F28" w:rsidRPr="00BF61FB" w:rsidRDefault="007C4F28" w:rsidP="00CE6179">
            <w:pPr>
              <w:tabs>
                <w:tab w:val="clear" w:pos="0"/>
                <w:tab w:val="center" w:pos="-534"/>
              </w:tabs>
              <w:spacing w:line="240" w:lineRule="auto"/>
              <w:ind w:left="-108"/>
              <w:jc w:val="center"/>
            </w:pPr>
            <w:r w:rsidRPr="00B4742D">
              <w:t>Država</w:t>
            </w:r>
          </w:p>
        </w:tc>
        <w:tc>
          <w:tcPr>
            <w:tcW w:w="2268" w:type="dxa"/>
          </w:tcPr>
          <w:p w:rsidR="007C4F28" w:rsidRPr="00B4742D" w:rsidRDefault="007C4F28" w:rsidP="005523BB">
            <w:pPr>
              <w:spacing w:line="240" w:lineRule="auto"/>
              <w:jc w:val="center"/>
            </w:pPr>
            <w:r w:rsidRPr="00B4742D">
              <w:t>Namjenski doprinos</w:t>
            </w:r>
          </w:p>
        </w:tc>
        <w:tc>
          <w:tcPr>
            <w:tcW w:w="2552" w:type="dxa"/>
          </w:tcPr>
          <w:p w:rsidR="007C4F28" w:rsidRPr="00B4742D" w:rsidRDefault="007C4F28" w:rsidP="005523BB">
            <w:pPr>
              <w:spacing w:line="240" w:lineRule="auto"/>
              <w:jc w:val="center"/>
            </w:pPr>
            <w:r w:rsidRPr="00B4742D">
              <w:t xml:space="preserve">Minimalni staž </w:t>
            </w:r>
            <w:r w:rsidR="007756A7" w:rsidRPr="00B4742D">
              <w:t xml:space="preserve">radnika </w:t>
            </w:r>
            <w:r w:rsidRPr="00B4742D">
              <w:t xml:space="preserve">kod </w:t>
            </w:r>
            <w:r w:rsidR="007756A7" w:rsidRPr="00B4742D">
              <w:t>konkretnog</w:t>
            </w:r>
            <w:r w:rsidRPr="00B4742D">
              <w:t xml:space="preserve"> poslodavca</w:t>
            </w:r>
          </w:p>
        </w:tc>
        <w:tc>
          <w:tcPr>
            <w:tcW w:w="2409" w:type="dxa"/>
          </w:tcPr>
          <w:p w:rsidR="007C4F28" w:rsidRPr="00B4742D" w:rsidRDefault="007C4F28" w:rsidP="00CE6179">
            <w:pPr>
              <w:spacing w:line="240" w:lineRule="auto"/>
              <w:ind w:right="-108"/>
              <w:jc w:val="center"/>
            </w:pPr>
            <w:r w:rsidRPr="00B4742D">
              <w:t>Isključen</w:t>
            </w:r>
            <w:r w:rsidR="007756A7" w:rsidRPr="00B4742D">
              <w:t>i</w:t>
            </w:r>
            <w:r w:rsidRPr="00B4742D">
              <w:t xml:space="preserve"> mal</w:t>
            </w:r>
            <w:r w:rsidR="007756A7" w:rsidRPr="00B4742D">
              <w:t>i i manji poslodavci</w:t>
            </w:r>
          </w:p>
        </w:tc>
      </w:tr>
      <w:tr w:rsidR="007C4F28" w:rsidRPr="00B4742D" w:rsidTr="00CE6179">
        <w:trPr>
          <w:trHeight w:val="130"/>
        </w:trPr>
        <w:tc>
          <w:tcPr>
            <w:tcW w:w="2410" w:type="dxa"/>
          </w:tcPr>
          <w:p w:rsidR="007C4F28" w:rsidRPr="00B4742D" w:rsidRDefault="009F2654" w:rsidP="00CE6179">
            <w:pPr>
              <w:tabs>
                <w:tab w:val="clear" w:pos="0"/>
                <w:tab w:val="center" w:pos="-534"/>
              </w:tabs>
              <w:spacing w:line="240" w:lineRule="auto"/>
              <w:ind w:left="-108"/>
              <w:jc w:val="center"/>
            </w:pPr>
            <w:r w:rsidRPr="00B4742D">
              <w:t xml:space="preserve">Republika </w:t>
            </w:r>
            <w:r w:rsidR="007C4F28" w:rsidRPr="00B4742D">
              <w:t>Austrija</w:t>
            </w:r>
          </w:p>
        </w:tc>
        <w:tc>
          <w:tcPr>
            <w:tcW w:w="2268" w:type="dxa"/>
          </w:tcPr>
          <w:p w:rsidR="007C4F28" w:rsidRPr="00B4742D" w:rsidRDefault="007C4F28" w:rsidP="005523BB">
            <w:pPr>
              <w:spacing w:line="240" w:lineRule="auto"/>
              <w:jc w:val="center"/>
            </w:pPr>
            <w:r w:rsidRPr="00B4742D">
              <w:t>da</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6"/>
        </w:trPr>
        <w:tc>
          <w:tcPr>
            <w:tcW w:w="2410" w:type="dxa"/>
          </w:tcPr>
          <w:p w:rsidR="007C4F28" w:rsidRPr="00B4742D" w:rsidRDefault="007C4F28" w:rsidP="00CE6179">
            <w:pPr>
              <w:tabs>
                <w:tab w:val="clear" w:pos="0"/>
                <w:tab w:val="center" w:pos="-534"/>
              </w:tabs>
              <w:spacing w:line="240" w:lineRule="auto"/>
              <w:ind w:left="-108"/>
              <w:jc w:val="center"/>
            </w:pPr>
            <w:r w:rsidRPr="00B4742D">
              <w:t>Bugarska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da</w:t>
            </w:r>
          </w:p>
        </w:tc>
      </w:tr>
      <w:tr w:rsidR="007C4F28" w:rsidRPr="00B4742D" w:rsidTr="00CE6179">
        <w:trPr>
          <w:trHeight w:val="136"/>
        </w:trPr>
        <w:tc>
          <w:tcPr>
            <w:tcW w:w="2410" w:type="dxa"/>
          </w:tcPr>
          <w:p w:rsidR="007C4F28" w:rsidRPr="00B4742D" w:rsidRDefault="007756A7" w:rsidP="00CE6179">
            <w:pPr>
              <w:tabs>
                <w:tab w:val="clear" w:pos="0"/>
                <w:tab w:val="center" w:pos="-534"/>
              </w:tabs>
              <w:spacing w:line="240" w:lineRule="auto"/>
              <w:ind w:left="-108"/>
              <w:jc w:val="center"/>
            </w:pPr>
            <w:r w:rsidRPr="00B4742D">
              <w:t xml:space="preserve">Republika </w:t>
            </w:r>
            <w:r w:rsidR="007C4F28" w:rsidRPr="00B4742D">
              <w:t>Hrvatska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Češka Republika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da</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Danska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da</w:t>
            </w:r>
          </w:p>
        </w:tc>
      </w:tr>
      <w:tr w:rsidR="007C4F28" w:rsidRPr="00B4742D" w:rsidTr="00CE6179">
        <w:trPr>
          <w:trHeight w:val="136"/>
        </w:trPr>
        <w:tc>
          <w:tcPr>
            <w:tcW w:w="2410" w:type="dxa"/>
          </w:tcPr>
          <w:p w:rsidR="007C4F28" w:rsidRPr="00B4742D" w:rsidRDefault="007C4F28" w:rsidP="00CE6179">
            <w:pPr>
              <w:tabs>
                <w:tab w:val="clear" w:pos="0"/>
                <w:tab w:val="center" w:pos="-534"/>
              </w:tabs>
              <w:spacing w:line="240" w:lineRule="auto"/>
              <w:ind w:left="-108"/>
              <w:jc w:val="center"/>
            </w:pPr>
            <w:r w:rsidRPr="00B4742D">
              <w:t>Estonija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Francuska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Njemačka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da</w:t>
            </w:r>
          </w:p>
        </w:tc>
      </w:tr>
      <w:tr w:rsidR="007C4F28" w:rsidRPr="00B4742D" w:rsidTr="00CE6179">
        <w:trPr>
          <w:trHeight w:val="136"/>
        </w:trPr>
        <w:tc>
          <w:tcPr>
            <w:tcW w:w="2410" w:type="dxa"/>
          </w:tcPr>
          <w:p w:rsidR="007C4F28" w:rsidRPr="00B4742D" w:rsidRDefault="007C4F28" w:rsidP="00CE6179">
            <w:pPr>
              <w:tabs>
                <w:tab w:val="clear" w:pos="0"/>
                <w:tab w:val="center" w:pos="-534"/>
              </w:tabs>
              <w:spacing w:line="240" w:lineRule="auto"/>
              <w:ind w:left="-108"/>
              <w:jc w:val="center"/>
            </w:pPr>
            <w:r w:rsidRPr="00B4742D">
              <w:t>Grčka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Mađarska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da</w:t>
            </w:r>
          </w:p>
        </w:tc>
      </w:tr>
      <w:tr w:rsidR="007C4F28" w:rsidRPr="00B4742D" w:rsidTr="00CE6179">
        <w:trPr>
          <w:trHeight w:val="136"/>
        </w:trPr>
        <w:tc>
          <w:tcPr>
            <w:tcW w:w="2410" w:type="dxa"/>
          </w:tcPr>
          <w:p w:rsidR="007C4F28" w:rsidRPr="00B4742D" w:rsidRDefault="007C4F28" w:rsidP="00CE6179">
            <w:pPr>
              <w:tabs>
                <w:tab w:val="clear" w:pos="0"/>
                <w:tab w:val="center" w:pos="-534"/>
              </w:tabs>
              <w:spacing w:line="240" w:lineRule="auto"/>
              <w:ind w:left="-108"/>
              <w:jc w:val="center"/>
            </w:pPr>
            <w:r w:rsidRPr="00B4742D">
              <w:t>Irska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Italija</w:t>
            </w:r>
          </w:p>
        </w:tc>
        <w:tc>
          <w:tcPr>
            <w:tcW w:w="2268" w:type="dxa"/>
          </w:tcPr>
          <w:p w:rsidR="007C4F28" w:rsidRPr="00B4742D" w:rsidRDefault="007C4F28" w:rsidP="005523BB">
            <w:pPr>
              <w:spacing w:line="240" w:lineRule="auto"/>
              <w:jc w:val="center"/>
            </w:pPr>
            <w:r w:rsidRPr="00B4742D">
              <w:t>da</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Latvija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6"/>
        </w:trPr>
        <w:tc>
          <w:tcPr>
            <w:tcW w:w="2410" w:type="dxa"/>
          </w:tcPr>
          <w:p w:rsidR="007C4F28" w:rsidRPr="00B4742D" w:rsidRDefault="007C4F28" w:rsidP="00CE6179">
            <w:pPr>
              <w:tabs>
                <w:tab w:val="clear" w:pos="0"/>
                <w:tab w:val="center" w:pos="-534"/>
              </w:tabs>
              <w:spacing w:line="240" w:lineRule="auto"/>
              <w:ind w:left="-108"/>
              <w:jc w:val="center"/>
            </w:pPr>
            <w:r w:rsidRPr="00B4742D">
              <w:t>Litva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Luksemburg</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Portugal</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6"/>
        </w:trPr>
        <w:tc>
          <w:tcPr>
            <w:tcW w:w="2410" w:type="dxa"/>
          </w:tcPr>
          <w:p w:rsidR="007C4F28" w:rsidRPr="00B4742D" w:rsidRDefault="007C4F28" w:rsidP="00CE6179">
            <w:pPr>
              <w:tabs>
                <w:tab w:val="clear" w:pos="0"/>
                <w:tab w:val="center" w:pos="-534"/>
              </w:tabs>
              <w:spacing w:line="240" w:lineRule="auto"/>
              <w:ind w:left="-108"/>
              <w:jc w:val="center"/>
            </w:pPr>
            <w:r w:rsidRPr="00B4742D">
              <w:t>Republika Slovačka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Slovenija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da</w:t>
            </w:r>
          </w:p>
        </w:tc>
      </w:tr>
      <w:tr w:rsidR="007C4F28" w:rsidRPr="00B4742D" w:rsidTr="00CE6179">
        <w:trPr>
          <w:trHeight w:val="130"/>
        </w:trPr>
        <w:tc>
          <w:tcPr>
            <w:tcW w:w="2410" w:type="dxa"/>
          </w:tcPr>
          <w:p w:rsidR="007C4F28" w:rsidRPr="00B4742D" w:rsidRDefault="007C4F28" w:rsidP="00CE6179">
            <w:pPr>
              <w:tabs>
                <w:tab w:val="clear" w:pos="0"/>
                <w:tab w:val="center" w:pos="-534"/>
              </w:tabs>
              <w:spacing w:line="240" w:lineRule="auto"/>
              <w:ind w:left="-108"/>
              <w:jc w:val="center"/>
            </w:pPr>
            <w:r w:rsidRPr="00B4742D">
              <w:t>Španjolska</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ne</w:t>
            </w:r>
          </w:p>
        </w:tc>
        <w:tc>
          <w:tcPr>
            <w:tcW w:w="2409" w:type="dxa"/>
          </w:tcPr>
          <w:p w:rsidR="007C4F28" w:rsidRPr="00B4742D" w:rsidRDefault="007C4F28" w:rsidP="00CE6179">
            <w:pPr>
              <w:spacing w:line="240" w:lineRule="auto"/>
              <w:ind w:right="-108"/>
              <w:jc w:val="center"/>
            </w:pPr>
            <w:r w:rsidRPr="00B4742D">
              <w:t>ne</w:t>
            </w:r>
          </w:p>
        </w:tc>
      </w:tr>
      <w:tr w:rsidR="007C4F28" w:rsidRPr="00B4742D" w:rsidTr="00CE6179">
        <w:trPr>
          <w:trHeight w:val="136"/>
        </w:trPr>
        <w:tc>
          <w:tcPr>
            <w:tcW w:w="2410" w:type="dxa"/>
          </w:tcPr>
          <w:p w:rsidR="007C4F28" w:rsidRPr="00B4742D" w:rsidRDefault="007C4F28" w:rsidP="00CE6179">
            <w:pPr>
              <w:tabs>
                <w:tab w:val="clear" w:pos="0"/>
                <w:tab w:val="center" w:pos="-534"/>
              </w:tabs>
              <w:spacing w:line="240" w:lineRule="auto"/>
              <w:ind w:left="-108"/>
              <w:jc w:val="center"/>
            </w:pPr>
            <w:r w:rsidRPr="00B4742D">
              <w:t>Ujedinjeno Kraljevstvo</w:t>
            </w:r>
          </w:p>
        </w:tc>
        <w:tc>
          <w:tcPr>
            <w:tcW w:w="2268" w:type="dxa"/>
          </w:tcPr>
          <w:p w:rsidR="007C4F28" w:rsidRPr="00B4742D" w:rsidRDefault="007C4F28" w:rsidP="005523BB">
            <w:pPr>
              <w:spacing w:line="240" w:lineRule="auto"/>
              <w:jc w:val="center"/>
            </w:pPr>
            <w:r w:rsidRPr="00B4742D">
              <w:t>ne</w:t>
            </w:r>
          </w:p>
        </w:tc>
        <w:tc>
          <w:tcPr>
            <w:tcW w:w="2552" w:type="dxa"/>
          </w:tcPr>
          <w:p w:rsidR="007C4F28" w:rsidRPr="00B4742D" w:rsidRDefault="007C4F28" w:rsidP="005523BB">
            <w:pPr>
              <w:spacing w:line="240" w:lineRule="auto"/>
              <w:jc w:val="center"/>
            </w:pPr>
            <w:r w:rsidRPr="00B4742D">
              <w:t>da</w:t>
            </w:r>
          </w:p>
        </w:tc>
        <w:tc>
          <w:tcPr>
            <w:tcW w:w="2409" w:type="dxa"/>
          </w:tcPr>
          <w:p w:rsidR="007C4F28" w:rsidRPr="00B4742D" w:rsidRDefault="007C4F28" w:rsidP="00CE6179">
            <w:pPr>
              <w:spacing w:line="240" w:lineRule="auto"/>
              <w:ind w:right="-108"/>
              <w:jc w:val="center"/>
            </w:pPr>
            <w:r w:rsidRPr="00B4742D">
              <w:t>ne</w:t>
            </w:r>
          </w:p>
        </w:tc>
      </w:tr>
    </w:tbl>
    <w:p w:rsidR="007C4F28" w:rsidRPr="00B4742D" w:rsidRDefault="007C4F28" w:rsidP="00466D80">
      <w:pPr>
        <w:spacing w:line="240" w:lineRule="auto"/>
      </w:pPr>
      <w:r w:rsidRPr="00B4742D">
        <w:t>Izvor: ILO, Svjetska banka</w:t>
      </w:r>
    </w:p>
    <w:p w:rsidR="007C4F28" w:rsidRPr="00B4742D" w:rsidRDefault="007C4F28" w:rsidP="00466D80">
      <w:pPr>
        <w:spacing w:line="240" w:lineRule="auto"/>
      </w:pPr>
    </w:p>
    <w:p w:rsidR="007C4F28" w:rsidRPr="00B4742D" w:rsidRDefault="007C4F28" w:rsidP="00466D80">
      <w:pPr>
        <w:spacing w:line="240" w:lineRule="auto"/>
      </w:pPr>
      <w:r w:rsidRPr="00B4742D">
        <w:lastRenderedPageBreak/>
        <w:t xml:space="preserve">Kako bi se </w:t>
      </w:r>
      <w:r w:rsidR="005E1669" w:rsidRPr="00B4742D">
        <w:t>postigla</w:t>
      </w:r>
      <w:r w:rsidRPr="00B4742D">
        <w:t xml:space="preserve"> djelotvornost i učink</w:t>
      </w:r>
      <w:r w:rsidR="005E1669" w:rsidRPr="00B4742D">
        <w:t xml:space="preserve">ovitost nacionalnog sustava </w:t>
      </w:r>
      <w:r w:rsidRPr="00B4742D">
        <w:t>otpremnina od ključnog značaja je</w:t>
      </w:r>
      <w:r w:rsidR="005E1669" w:rsidRPr="00B4742D">
        <w:t>st</w:t>
      </w:r>
      <w:r w:rsidRPr="00B4742D">
        <w:t xml:space="preserve"> </w:t>
      </w:r>
      <w:r w:rsidR="005E1669" w:rsidRPr="00B4742D">
        <w:t>izdašnost otpremnina u sustavu</w:t>
      </w:r>
      <w:r w:rsidRPr="00B4742D">
        <w:t xml:space="preserve">. </w:t>
      </w:r>
      <w:r w:rsidR="005523BB" w:rsidRPr="00B4742D">
        <w:t>Grafikon</w:t>
      </w:r>
      <w:r w:rsidRPr="00B4742D">
        <w:t xml:space="preserve"> 1</w:t>
      </w:r>
      <w:r w:rsidR="005E1669" w:rsidRPr="00B4742D">
        <w:t>. isk</w:t>
      </w:r>
      <w:r w:rsidRPr="00B4742D">
        <w:t xml:space="preserve">azuje </w:t>
      </w:r>
      <w:r w:rsidR="00C03160" w:rsidRPr="00B4742D">
        <w:t xml:space="preserve">izdašnost odnosno </w:t>
      </w:r>
      <w:r w:rsidRPr="00B4742D">
        <w:t xml:space="preserve">razinu </w:t>
      </w:r>
      <w:r w:rsidR="005E1669" w:rsidRPr="00B4742D">
        <w:t xml:space="preserve">otpremnina </w:t>
      </w:r>
      <w:r w:rsidR="00944FA7" w:rsidRPr="00B4742D">
        <w:t xml:space="preserve">izraženu </w:t>
      </w:r>
      <w:r w:rsidR="005E1669" w:rsidRPr="00B4742D">
        <w:t xml:space="preserve">kroz </w:t>
      </w:r>
      <w:r w:rsidRPr="00B4742D">
        <w:t xml:space="preserve">broj mjesečnih plaća </w:t>
      </w:r>
      <w:r w:rsidR="00C03160" w:rsidRPr="00B4742D">
        <w:t xml:space="preserve">koje su </w:t>
      </w:r>
      <w:r w:rsidR="00944FA7" w:rsidRPr="00B4742D">
        <w:t>stvarno</w:t>
      </w:r>
      <w:r w:rsidR="00C03160" w:rsidRPr="00B4742D">
        <w:t xml:space="preserve"> isplać</w:t>
      </w:r>
      <w:r w:rsidR="00944FA7" w:rsidRPr="00B4742D">
        <w:t>ene nakon deset godina rada kod poslodavca</w:t>
      </w:r>
      <w:r w:rsidRPr="00B4742D">
        <w:t>.</w:t>
      </w:r>
      <w:r w:rsidR="00944FA7" w:rsidRPr="00B4742D">
        <w:t xml:space="preserve"> Ovdje su u obzir uzeti ukupni isplaćeni iznosi otpremnina koji proizlaze iz svih izvora prava, pa i oni iznosi koje je poslodavac isplaćivao vlastitom voljom radi “stimuliranja” prihvata prestanka ugovora o radu.</w:t>
      </w:r>
      <w:r w:rsidRPr="00B4742D">
        <w:t xml:space="preserve"> </w:t>
      </w:r>
      <w:r w:rsidR="005E1669" w:rsidRPr="00B4742D">
        <w:t xml:space="preserve">Tu se, primjerice, </w:t>
      </w:r>
      <w:r w:rsidRPr="00B4742D">
        <w:t xml:space="preserve">otkriva </w:t>
      </w:r>
      <w:r w:rsidR="005E1669" w:rsidRPr="00B4742D">
        <w:t>kako</w:t>
      </w:r>
      <w:r w:rsidRPr="00B4742D">
        <w:t xml:space="preserve"> je </w:t>
      </w:r>
      <w:r w:rsidR="005E1669" w:rsidRPr="00B4742D">
        <w:t xml:space="preserve">Republika </w:t>
      </w:r>
      <w:r w:rsidRPr="00B4742D">
        <w:t xml:space="preserve">Hrvatska u skupini </w:t>
      </w:r>
      <w:r w:rsidR="005E1669" w:rsidRPr="00B4742D">
        <w:t xml:space="preserve">država, </w:t>
      </w:r>
      <w:r w:rsidRPr="00B4742D">
        <w:t xml:space="preserve">pod rednim brojem </w:t>
      </w:r>
      <w:r w:rsidR="005523BB" w:rsidRPr="00B4742D">
        <w:t>šest</w:t>
      </w:r>
      <w:r w:rsidR="005E1669" w:rsidRPr="00B4742D">
        <w:t>, između država članica Europske unije koje prednjače po izdašnosti otpremnina</w:t>
      </w:r>
      <w:r w:rsidRPr="00B4742D">
        <w:t xml:space="preserve">. Iako </w:t>
      </w:r>
      <w:r w:rsidR="009F2654" w:rsidRPr="00B4742D">
        <w:t xml:space="preserve">Republika </w:t>
      </w:r>
      <w:r w:rsidRPr="00B4742D">
        <w:t xml:space="preserve">Austrija i Njemačka osiguravaju više otpremnine u usporedbi s </w:t>
      </w:r>
      <w:r w:rsidR="005E1669" w:rsidRPr="00B4742D">
        <w:t xml:space="preserve">Republikom </w:t>
      </w:r>
      <w:r w:rsidRPr="00B4742D">
        <w:t>Hrvatskom</w:t>
      </w:r>
      <w:r w:rsidR="005E1669" w:rsidRPr="00B4742D">
        <w:t>,</w:t>
      </w:r>
      <w:r w:rsidRPr="00B4742D">
        <w:t xml:space="preserve"> nakon deset godina </w:t>
      </w:r>
      <w:r w:rsidR="00944FA7" w:rsidRPr="00B4742D">
        <w:t>rada</w:t>
      </w:r>
      <w:r w:rsidR="005E1669" w:rsidRPr="00B4742D">
        <w:t xml:space="preserve"> kod poslodavca</w:t>
      </w:r>
      <w:r w:rsidRPr="00B4742D">
        <w:t xml:space="preserve">, važno je primijetiti </w:t>
      </w:r>
      <w:r w:rsidR="005E1669" w:rsidRPr="00B4742D">
        <w:t>kako</w:t>
      </w:r>
      <w:r w:rsidRPr="00B4742D">
        <w:t xml:space="preserve"> </w:t>
      </w:r>
      <w:r w:rsidR="009F2654" w:rsidRPr="00B4742D">
        <w:t xml:space="preserve">Republika </w:t>
      </w:r>
      <w:r w:rsidRPr="00B4742D">
        <w:t>Austrija ima sustav s namjenskim doprinosom</w:t>
      </w:r>
      <w:r w:rsidR="005E1669" w:rsidRPr="00B4742D">
        <w:t xml:space="preserve">, a </w:t>
      </w:r>
      <w:r w:rsidRPr="00B4742D">
        <w:t xml:space="preserve">da je u Njemačkoj značajan udio </w:t>
      </w:r>
      <w:r w:rsidR="005E1669" w:rsidRPr="00B4742D">
        <w:t xml:space="preserve">radnika </w:t>
      </w:r>
      <w:r w:rsidRPr="00B4742D">
        <w:t>isključen iz sustava (mal</w:t>
      </w:r>
      <w:r w:rsidR="005E1669" w:rsidRPr="00B4742D">
        <w:t>i poslodavci</w:t>
      </w:r>
      <w:r w:rsidRPr="00B4742D">
        <w:t xml:space="preserve">, </w:t>
      </w:r>
      <w:r w:rsidR="005E1669" w:rsidRPr="00B4742D">
        <w:t xml:space="preserve">otkaz ugovora o radu </w:t>
      </w:r>
      <w:r w:rsidRPr="00B4742D">
        <w:t xml:space="preserve">bez ekonomskih razloga). </w:t>
      </w:r>
    </w:p>
    <w:p w:rsidR="007C4F28" w:rsidRPr="00B4742D" w:rsidRDefault="007C4F28" w:rsidP="00466D80">
      <w:pPr>
        <w:spacing w:line="240" w:lineRule="auto"/>
      </w:pPr>
    </w:p>
    <w:p w:rsidR="007C4F28" w:rsidRPr="00B4742D" w:rsidRDefault="005523BB" w:rsidP="00466D80">
      <w:pPr>
        <w:pStyle w:val="Caption"/>
        <w:keepNext/>
        <w:spacing w:after="0"/>
        <w:rPr>
          <w:rFonts w:ascii="Times New Roman" w:hAnsi="Times New Roman"/>
          <w:b w:val="0"/>
          <w:color w:val="auto"/>
          <w:sz w:val="24"/>
          <w:szCs w:val="24"/>
        </w:rPr>
      </w:pPr>
      <w:r w:rsidRPr="00B4742D">
        <w:rPr>
          <w:rFonts w:ascii="Times New Roman" w:hAnsi="Times New Roman"/>
          <w:b w:val="0"/>
          <w:color w:val="auto"/>
          <w:sz w:val="24"/>
          <w:szCs w:val="24"/>
        </w:rPr>
        <w:t>Grafikon</w:t>
      </w:r>
      <w:r w:rsidR="007C4F28" w:rsidRPr="00B4742D">
        <w:rPr>
          <w:rFonts w:ascii="Times New Roman" w:hAnsi="Times New Roman"/>
          <w:b w:val="0"/>
          <w:color w:val="auto"/>
          <w:sz w:val="24"/>
          <w:szCs w:val="24"/>
        </w:rPr>
        <w:t xml:space="preserve"> </w:t>
      </w:r>
      <w:r w:rsidR="007C4F28" w:rsidRPr="007F7478">
        <w:rPr>
          <w:rFonts w:ascii="Times New Roman" w:hAnsi="Times New Roman"/>
          <w:b w:val="0"/>
          <w:color w:val="auto"/>
          <w:sz w:val="24"/>
          <w:szCs w:val="24"/>
        </w:rPr>
        <w:fldChar w:fldCharType="begin"/>
      </w:r>
      <w:r w:rsidR="007C4F28" w:rsidRPr="00B4742D">
        <w:rPr>
          <w:rFonts w:ascii="Times New Roman" w:hAnsi="Times New Roman"/>
          <w:b w:val="0"/>
          <w:color w:val="auto"/>
          <w:sz w:val="24"/>
          <w:szCs w:val="24"/>
        </w:rPr>
        <w:instrText xml:space="preserve"> SEQ Figure \* ARABIC </w:instrText>
      </w:r>
      <w:r w:rsidR="007C4F28" w:rsidRPr="007F7478">
        <w:rPr>
          <w:rFonts w:ascii="Times New Roman" w:hAnsi="Times New Roman"/>
          <w:b w:val="0"/>
          <w:color w:val="auto"/>
          <w:sz w:val="24"/>
          <w:szCs w:val="24"/>
        </w:rPr>
        <w:fldChar w:fldCharType="separate"/>
      </w:r>
      <w:r w:rsidR="00A5323E" w:rsidRPr="00B4742D">
        <w:rPr>
          <w:rFonts w:ascii="Times New Roman" w:hAnsi="Times New Roman"/>
          <w:b w:val="0"/>
          <w:noProof/>
          <w:color w:val="auto"/>
          <w:sz w:val="24"/>
          <w:szCs w:val="24"/>
        </w:rPr>
        <w:t>1</w:t>
      </w:r>
      <w:r w:rsidR="007C4F28" w:rsidRPr="007F7478">
        <w:rPr>
          <w:rFonts w:ascii="Times New Roman" w:hAnsi="Times New Roman"/>
          <w:b w:val="0"/>
          <w:color w:val="auto"/>
          <w:sz w:val="24"/>
          <w:szCs w:val="24"/>
        </w:rPr>
        <w:fldChar w:fldCharType="end"/>
      </w:r>
      <w:r w:rsidR="001B018C" w:rsidRPr="00B4742D">
        <w:rPr>
          <w:rFonts w:ascii="Times New Roman" w:hAnsi="Times New Roman"/>
          <w:b w:val="0"/>
          <w:color w:val="auto"/>
          <w:sz w:val="24"/>
          <w:szCs w:val="24"/>
        </w:rPr>
        <w:t>.</w:t>
      </w:r>
      <w:r w:rsidR="007C4F28" w:rsidRPr="00B4742D">
        <w:rPr>
          <w:rFonts w:ascii="Times New Roman" w:hAnsi="Times New Roman"/>
          <w:b w:val="0"/>
          <w:color w:val="auto"/>
          <w:sz w:val="24"/>
          <w:szCs w:val="24"/>
        </w:rPr>
        <w:t xml:space="preserve">: </w:t>
      </w:r>
      <w:r w:rsidR="002F7052" w:rsidRPr="00B4742D">
        <w:rPr>
          <w:rFonts w:ascii="Times New Roman" w:hAnsi="Times New Roman"/>
          <w:b w:val="0"/>
          <w:color w:val="auto"/>
          <w:sz w:val="24"/>
          <w:szCs w:val="24"/>
        </w:rPr>
        <w:t>I</w:t>
      </w:r>
      <w:r w:rsidR="005E1669" w:rsidRPr="00B4742D">
        <w:rPr>
          <w:rFonts w:ascii="Times New Roman" w:hAnsi="Times New Roman"/>
          <w:b w:val="0"/>
          <w:color w:val="auto"/>
          <w:sz w:val="24"/>
          <w:szCs w:val="24"/>
        </w:rPr>
        <w:t>z</w:t>
      </w:r>
      <w:r w:rsidR="002F7052" w:rsidRPr="00B4742D">
        <w:rPr>
          <w:rFonts w:ascii="Times New Roman" w:hAnsi="Times New Roman"/>
          <w:b w:val="0"/>
          <w:color w:val="auto"/>
          <w:sz w:val="24"/>
          <w:szCs w:val="24"/>
        </w:rPr>
        <w:t>dašnost</w:t>
      </w:r>
      <w:r w:rsidR="007C4F28" w:rsidRPr="00B4742D">
        <w:rPr>
          <w:rFonts w:ascii="Times New Roman" w:hAnsi="Times New Roman"/>
          <w:b w:val="0"/>
          <w:color w:val="auto"/>
          <w:sz w:val="24"/>
          <w:szCs w:val="24"/>
        </w:rPr>
        <w:t xml:space="preserve"> </w:t>
      </w:r>
      <w:r w:rsidR="005E1669" w:rsidRPr="00B4742D">
        <w:rPr>
          <w:rFonts w:ascii="Times New Roman" w:hAnsi="Times New Roman"/>
          <w:b w:val="0"/>
          <w:color w:val="auto"/>
          <w:sz w:val="24"/>
          <w:szCs w:val="24"/>
        </w:rPr>
        <w:t>nacionalnih sustava otpremnina</w:t>
      </w:r>
    </w:p>
    <w:p w:rsidR="007C4F28" w:rsidRPr="00B4742D" w:rsidRDefault="007C4F28" w:rsidP="00466D80">
      <w:pPr>
        <w:spacing w:line="240" w:lineRule="auto"/>
      </w:pPr>
      <w:r w:rsidRPr="00B4742D">
        <w:rPr>
          <w:noProof/>
          <w:lang w:val="en-US" w:eastAsia="en-US"/>
        </w:rPr>
        <w:drawing>
          <wp:inline distT="0" distB="0" distL="0" distR="0" wp14:anchorId="7C9B88D3" wp14:editId="75DCEF53">
            <wp:extent cx="4549775" cy="33940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775" cy="3394075"/>
                    </a:xfrm>
                    <a:prstGeom prst="rect">
                      <a:avLst/>
                    </a:prstGeom>
                    <a:noFill/>
                    <a:ln>
                      <a:noFill/>
                    </a:ln>
                  </pic:spPr>
                </pic:pic>
              </a:graphicData>
            </a:graphic>
          </wp:inline>
        </w:drawing>
      </w:r>
    </w:p>
    <w:p w:rsidR="007C4F28" w:rsidRPr="002017C6" w:rsidRDefault="007C4F28" w:rsidP="00466D80">
      <w:pPr>
        <w:spacing w:line="240" w:lineRule="auto"/>
      </w:pPr>
      <w:r w:rsidRPr="00B4742D">
        <w:t>Izvor: ILO, Sv</w:t>
      </w:r>
      <w:r w:rsidR="0076762D" w:rsidRPr="002017C6">
        <w:t>jetska banka, vlastiti izračuni</w:t>
      </w:r>
    </w:p>
    <w:p w:rsidR="007C4F28" w:rsidRPr="009336BF" w:rsidRDefault="007C4F28" w:rsidP="00466D80">
      <w:pPr>
        <w:spacing w:line="240" w:lineRule="auto"/>
        <w:rPr>
          <w:b/>
        </w:rPr>
      </w:pPr>
    </w:p>
    <w:p w:rsidR="00DB6E7D" w:rsidRPr="00C7332E" w:rsidRDefault="00DB6E7D" w:rsidP="00DB6E7D">
      <w:pPr>
        <w:pStyle w:val="Heading3"/>
      </w:pPr>
      <w:bookmarkStart w:id="26" w:name="_Toc365828843"/>
      <w:r w:rsidRPr="009336BF">
        <w:t>4.1.</w:t>
      </w:r>
      <w:r w:rsidR="00A833CA" w:rsidRPr="00C7332E">
        <w:t>2</w:t>
      </w:r>
      <w:r w:rsidRPr="00C7332E">
        <w:t>. Gospodarski učinci otpremnina u državama članicama Europska unije</w:t>
      </w:r>
      <w:bookmarkEnd w:id="26"/>
    </w:p>
    <w:p w:rsidR="007C4F28" w:rsidRPr="00C7332E" w:rsidRDefault="007C4F28" w:rsidP="00466D80">
      <w:pPr>
        <w:spacing w:line="240" w:lineRule="auto"/>
      </w:pPr>
    </w:p>
    <w:p w:rsidR="007C4F28" w:rsidRPr="00B4742D" w:rsidRDefault="00C400F7" w:rsidP="00466D80">
      <w:pPr>
        <w:spacing w:line="240" w:lineRule="auto"/>
      </w:pPr>
      <w:r w:rsidRPr="006C4F67">
        <w:t>Više je cjelovitih studija nacionalnih sustava otpremnina</w:t>
      </w:r>
      <w:r w:rsidR="007C4F28" w:rsidRPr="006C4F67">
        <w:t>.</w:t>
      </w:r>
      <w:r w:rsidRPr="00B4742D">
        <w:rPr>
          <w:rStyle w:val="FootnoteReference"/>
        </w:rPr>
        <w:footnoteReference w:id="76"/>
      </w:r>
      <w:r w:rsidR="007C4F28" w:rsidRPr="00B4742D">
        <w:t xml:space="preserve"> Kombinacijom sveobuhvatne empirijske analize s istraživanjem literature o otpremninama, </w:t>
      </w:r>
      <w:r w:rsidRPr="002017C6">
        <w:t xml:space="preserve">moguće je postaviti određene </w:t>
      </w:r>
      <w:r w:rsidR="007C4F28" w:rsidRPr="002017C6">
        <w:t>opć</w:t>
      </w:r>
      <w:r w:rsidRPr="00EB67A0">
        <w:t>e</w:t>
      </w:r>
      <w:r w:rsidR="007C4F28" w:rsidRPr="00FE70C5">
        <w:t xml:space="preserve"> zaključ</w:t>
      </w:r>
      <w:r w:rsidRPr="009336BF">
        <w:t>ke</w:t>
      </w:r>
      <w:r w:rsidR="007C4F28" w:rsidRPr="009336BF">
        <w:t>. Kao prvo, utvrdi</w:t>
      </w:r>
      <w:r w:rsidRPr="00C7332E">
        <w:t>v jest</w:t>
      </w:r>
      <w:r w:rsidR="007C4F28" w:rsidRPr="00C7332E">
        <w:t xml:space="preserve"> stabilan i značajan negativni odnos između ekonomskog učinka mjerenog prema BDP-u po stanovniku i </w:t>
      </w:r>
      <w:r w:rsidRPr="00C7332E">
        <w:t>izdašnosti prava na</w:t>
      </w:r>
      <w:r w:rsidR="007C4F28" w:rsidRPr="006C4F67">
        <w:t xml:space="preserve"> otpremnin</w:t>
      </w:r>
      <w:r w:rsidRPr="006C4F67">
        <w:t>e – “bogatije” države</w:t>
      </w:r>
      <w:r w:rsidR="007C4F28" w:rsidRPr="006C4F67">
        <w:t xml:space="preserve"> </w:t>
      </w:r>
      <w:r w:rsidR="007C4F28" w:rsidRPr="006C4F67">
        <w:lastRenderedPageBreak/>
        <w:t xml:space="preserve">pokazuju tendenciju razmjerno nižih </w:t>
      </w:r>
      <w:r w:rsidRPr="006C4F67">
        <w:t>iznosa</w:t>
      </w:r>
      <w:r w:rsidR="007C4F28" w:rsidRPr="00B74757">
        <w:t xml:space="preserve"> otpremnin</w:t>
      </w:r>
      <w:r w:rsidRPr="00B74757">
        <w:t>a</w:t>
      </w:r>
      <w:r w:rsidR="007C4F28" w:rsidRPr="00B74757">
        <w:t xml:space="preserve"> u usporedbi sa </w:t>
      </w:r>
      <w:r w:rsidRPr="00B74757">
        <w:t>“</w:t>
      </w:r>
      <w:r w:rsidR="007C4F28" w:rsidRPr="009769E7">
        <w:t>siromašnijim</w:t>
      </w:r>
      <w:r w:rsidRPr="004D0AD5">
        <w:t>”</w:t>
      </w:r>
      <w:r w:rsidR="007C4F28" w:rsidRPr="004D0AD5">
        <w:t>. Uz to</w:t>
      </w:r>
      <w:r w:rsidRPr="004D0AD5">
        <w:t xml:space="preserve">, </w:t>
      </w:r>
      <w:r w:rsidR="007C4F28" w:rsidRPr="00E1401E">
        <w:t>moguće</w:t>
      </w:r>
      <w:r w:rsidRPr="00D00975">
        <w:t xml:space="preserve"> jest</w:t>
      </w:r>
      <w:r w:rsidR="007C4F28" w:rsidRPr="00A26596">
        <w:t xml:space="preserve"> utvrditi </w:t>
      </w:r>
      <w:r w:rsidR="007C4F28" w:rsidRPr="008B2ED7">
        <w:t>da je vjerojatnost obvezujućih</w:t>
      </w:r>
      <w:r w:rsidRPr="008B2ED7">
        <w:t xml:space="preserve"> ishoda nacionalnih sustava otpremnine </w:t>
      </w:r>
      <w:r w:rsidR="007C4F28" w:rsidRPr="008B2ED7">
        <w:t xml:space="preserve">značajno niža u </w:t>
      </w:r>
      <w:r w:rsidRPr="008B2ED7">
        <w:t xml:space="preserve">državama </w:t>
      </w:r>
      <w:r w:rsidR="007C4F28" w:rsidRPr="008B2ED7">
        <w:t>visokorazvijen</w:t>
      </w:r>
      <w:r w:rsidRPr="007544D9">
        <w:t>og</w:t>
      </w:r>
      <w:r w:rsidR="007C4F28" w:rsidRPr="007B61AF">
        <w:t xml:space="preserve"> gospodarstva. Ovaj je rezultat u skladu s povijesnim razvojem </w:t>
      </w:r>
      <w:r w:rsidRPr="00B4742D">
        <w:t xml:space="preserve">nacionalnih sustava otpremnina, </w:t>
      </w:r>
      <w:r w:rsidR="007C4F28" w:rsidRPr="00B4742D">
        <w:t xml:space="preserve">kao preteče širih intervencija socijalne politike. Kao drugo, postoji dosljedan negativni odnos između </w:t>
      </w:r>
      <w:r w:rsidRPr="00B4742D">
        <w:t>izdašnosti</w:t>
      </w:r>
      <w:r w:rsidR="007C4F28" w:rsidRPr="00B4742D">
        <w:t xml:space="preserve"> </w:t>
      </w:r>
      <w:r w:rsidRPr="00B4742D">
        <w:t xml:space="preserve">prava na </w:t>
      </w:r>
      <w:r w:rsidR="007C4F28" w:rsidRPr="00B4742D">
        <w:t xml:space="preserve">otpremnine i naknada za nezaposlene. Ovaj rezultat pokazuje </w:t>
      </w:r>
      <w:r w:rsidRPr="00B4742D">
        <w:t>kako</w:t>
      </w:r>
      <w:r w:rsidR="007C4F28" w:rsidRPr="00B4742D">
        <w:t xml:space="preserve"> je u povijesnoj perspektivi osiguranje </w:t>
      </w:r>
      <w:r w:rsidRPr="00B4742D">
        <w:t xml:space="preserve">od </w:t>
      </w:r>
      <w:r w:rsidR="007C4F28" w:rsidRPr="00B4742D">
        <w:t>nezaposl</w:t>
      </w:r>
      <w:r w:rsidRPr="00B4742D">
        <w:t xml:space="preserve">enosti </w:t>
      </w:r>
      <w:r w:rsidR="007C4F28" w:rsidRPr="00B4742D">
        <w:t xml:space="preserve">apsorbiralo ulogu </w:t>
      </w:r>
      <w:r w:rsidRPr="00B4742D">
        <w:t>nacionalnih sustava otpremnina</w:t>
      </w:r>
      <w:r w:rsidR="007C4F28" w:rsidRPr="00B4742D">
        <w:t xml:space="preserve"> kod zaštite </w:t>
      </w:r>
      <w:r w:rsidRPr="00B4742D">
        <w:t>radnika</w:t>
      </w:r>
      <w:r w:rsidR="007C4F28" w:rsidRPr="00B4742D">
        <w:t xml:space="preserve"> od posljedica gubitka posla. Ovo poziva na kritičko preispitivanje postojećih </w:t>
      </w:r>
      <w:r w:rsidRPr="00B4742D">
        <w:t>nacionalnih sustava</w:t>
      </w:r>
      <w:r w:rsidR="007C4F28" w:rsidRPr="00B4742D">
        <w:t xml:space="preserve"> otpremnina u pogledu njihove adekvatnosti. Treće, rezultati otkrivaju dosljedno pozitivni i uglavnom značajan učinak </w:t>
      </w:r>
      <w:r w:rsidRPr="00B4742D">
        <w:t xml:space="preserve">izdašnosti </w:t>
      </w:r>
      <w:r w:rsidR="007C4F28" w:rsidRPr="00B4742D">
        <w:t>mirovinskih davanja na razin</w:t>
      </w:r>
      <w:r w:rsidRPr="00B4742D">
        <w:t>e nacionalnih sustava otpremnina</w:t>
      </w:r>
      <w:r w:rsidR="007C4F28" w:rsidRPr="00B4742D">
        <w:t xml:space="preserve">. Čini se </w:t>
      </w:r>
      <w:r w:rsidRPr="00B4742D">
        <w:t>kako</w:t>
      </w:r>
      <w:r w:rsidR="007C4F28" w:rsidRPr="00B4742D">
        <w:t xml:space="preserve"> u tom području postoji komplementarna funkcija </w:t>
      </w:r>
      <w:r w:rsidRPr="00B4742D">
        <w:t>nacionalnih sustava otpremnina</w:t>
      </w:r>
      <w:r w:rsidR="007C4F28" w:rsidRPr="00B4742D">
        <w:t xml:space="preserve"> i javnih mirovinskih sustava.</w:t>
      </w:r>
    </w:p>
    <w:p w:rsidR="007C4F28" w:rsidRPr="00B4742D" w:rsidRDefault="007C4F28" w:rsidP="00466D80">
      <w:pPr>
        <w:spacing w:line="240" w:lineRule="auto"/>
      </w:pPr>
    </w:p>
    <w:p w:rsidR="007C4F28" w:rsidRPr="00B4742D" w:rsidRDefault="007C4F28" w:rsidP="00466D80">
      <w:pPr>
        <w:spacing w:line="240" w:lineRule="auto"/>
      </w:pPr>
      <w:r w:rsidRPr="00B4742D">
        <w:t>U odnosu na učinke otpremnina na ekonomsko blagostanje, u težištu znanstvenih istraživanja je</w:t>
      </w:r>
      <w:r w:rsidR="005730C9" w:rsidRPr="00B4742D">
        <w:t>st</w:t>
      </w:r>
      <w:r w:rsidRPr="00B4742D">
        <w:t xml:space="preserve"> interakcija s tržištem rada. </w:t>
      </w:r>
      <w:r w:rsidR="005730C9" w:rsidRPr="00B4742D">
        <w:t>V</w:t>
      </w:r>
      <w:r w:rsidRPr="00B4742D">
        <w:t>elik</w:t>
      </w:r>
      <w:r w:rsidR="005730C9" w:rsidRPr="00B4742D">
        <w:t xml:space="preserve"> je</w:t>
      </w:r>
      <w:r w:rsidRPr="00B4742D">
        <w:t xml:space="preserve"> broj studija koje ocjenjuju učinke zakonodavstva o zaštiti zaposlenja</w:t>
      </w:r>
      <w:r w:rsidR="005730C9" w:rsidRPr="00B4742D">
        <w:t xml:space="preserve">, </w:t>
      </w:r>
      <w:r w:rsidR="005730C9" w:rsidRPr="00B4742D">
        <w:rPr>
          <w:i/>
        </w:rPr>
        <w:t>employment protection legislation</w:t>
      </w:r>
      <w:r w:rsidR="005730C9" w:rsidRPr="00B4742D">
        <w:t xml:space="preserve"> – </w:t>
      </w:r>
      <w:r w:rsidRPr="00B4742D">
        <w:t>EPL</w:t>
      </w:r>
      <w:r w:rsidR="005730C9" w:rsidRPr="00B4742D">
        <w:t>,</w:t>
      </w:r>
      <w:r w:rsidRPr="00B4742D">
        <w:t xml:space="preserve"> na ishode na tržištu rada i ekonomsku učinkovitost</w:t>
      </w:r>
      <w:r w:rsidR="005730C9" w:rsidRPr="00B4742D">
        <w:t>.</w:t>
      </w:r>
      <w:r w:rsidR="005730C9" w:rsidRPr="00B4742D">
        <w:rPr>
          <w:rStyle w:val="FootnoteReference"/>
        </w:rPr>
        <w:footnoteReference w:id="77"/>
      </w:r>
      <w:r w:rsidRPr="00B4742D">
        <w:t xml:space="preserve"> Iako nalazi nisu uvijek podudarni, nameće se jasna slika negativnih učinaka EPL-a na razne ekonomske varijable. Dokaz</w:t>
      </w:r>
      <w:r w:rsidR="005730C9" w:rsidRPr="00B4742D">
        <w:t>ano jest kako</w:t>
      </w:r>
      <w:r w:rsidRPr="002017C6">
        <w:t xml:space="preserve"> EPL ima tendenciju smanjiti broj onih koji postaju nezaposleni i onih koji izlaze iz nezaposlenosti, čime se produljava duljina trajanja nezaposlenosti. To opet može onemogućiti brzu prilagodbu tržišta rada na izmijenjene ekonomske uvjete te rezultirati nižim rastom produktivnosti</w:t>
      </w:r>
      <w:r w:rsidR="005730C9" w:rsidRPr="00FE70C5">
        <w:t>.</w:t>
      </w:r>
      <w:r w:rsidR="005730C9" w:rsidRPr="00B4742D">
        <w:rPr>
          <w:rStyle w:val="FootnoteReference"/>
        </w:rPr>
        <w:footnoteReference w:id="78"/>
      </w:r>
      <w:r w:rsidR="005730C9" w:rsidRPr="00B4742D">
        <w:t xml:space="preserve"> </w:t>
      </w:r>
      <w:r w:rsidRPr="00B4742D">
        <w:t>Novije studije potvrđuju</w:t>
      </w:r>
      <w:r w:rsidR="002B205C" w:rsidRPr="00B4742D">
        <w:t xml:space="preserve"> i</w:t>
      </w:r>
      <w:r w:rsidRPr="00B4742D">
        <w:t xml:space="preserve"> </w:t>
      </w:r>
      <w:r w:rsidR="002B205C" w:rsidRPr="00B4742D">
        <w:t>pr</w:t>
      </w:r>
      <w:r w:rsidR="002B205C" w:rsidRPr="002017C6">
        <w:t>etpostavku kako</w:t>
      </w:r>
      <w:r w:rsidRPr="002017C6">
        <w:t xml:space="preserve"> EPL smanjuje podjelu radnika i stvaranje novih radnih mjesta, s negativnim posljedicama na iznos prihoda</w:t>
      </w:r>
      <w:r w:rsidR="000D55A1" w:rsidRPr="009336BF">
        <w:t xml:space="preserve"> </w:t>
      </w:r>
      <w:r w:rsidRPr="009336BF">
        <w:t>i gospodarski rast</w:t>
      </w:r>
      <w:r w:rsidR="002B205C" w:rsidRPr="00C7332E">
        <w:t>.</w:t>
      </w:r>
      <w:r w:rsidR="002B205C" w:rsidRPr="00B4742D">
        <w:rPr>
          <w:rStyle w:val="FootnoteReference"/>
        </w:rPr>
        <w:footnoteReference w:id="79"/>
      </w:r>
    </w:p>
    <w:p w:rsidR="007C4F28" w:rsidRPr="00B4742D" w:rsidRDefault="007C4F28" w:rsidP="00466D80">
      <w:pPr>
        <w:spacing w:line="240" w:lineRule="auto"/>
      </w:pPr>
    </w:p>
    <w:p w:rsidR="00380807" w:rsidRPr="00B4742D" w:rsidRDefault="007C4F28" w:rsidP="00466D80">
      <w:pPr>
        <w:spacing w:line="240" w:lineRule="auto"/>
      </w:pPr>
      <w:r w:rsidRPr="002017C6">
        <w:t xml:space="preserve">Sve </w:t>
      </w:r>
      <w:r w:rsidR="002B205C" w:rsidRPr="002017C6">
        <w:t xml:space="preserve">je više dokaza i o </w:t>
      </w:r>
      <w:r w:rsidRPr="00FE70C5">
        <w:t xml:space="preserve">negativnom učinku </w:t>
      </w:r>
      <w:r w:rsidR="002B205C" w:rsidRPr="009336BF">
        <w:t xml:space="preserve">EPL-a </w:t>
      </w:r>
      <w:r w:rsidRPr="009336BF">
        <w:t>na rezultate tržišta rada</w:t>
      </w:r>
      <w:r w:rsidR="002B205C" w:rsidRPr="00C7332E">
        <w:t xml:space="preserve">, a to treba jasno diferencirati od </w:t>
      </w:r>
      <w:r w:rsidRPr="00C7332E">
        <w:t xml:space="preserve">učinaka </w:t>
      </w:r>
      <w:r w:rsidR="00EE2CBB" w:rsidRPr="00C7332E">
        <w:t xml:space="preserve">samih </w:t>
      </w:r>
      <w:r w:rsidR="002B205C" w:rsidRPr="00C7332E">
        <w:t xml:space="preserve">nacionalnih sustava </w:t>
      </w:r>
      <w:r w:rsidRPr="006C4F67">
        <w:t xml:space="preserve">otpremnina. Postojeće studije bacaju sumnju na </w:t>
      </w:r>
      <w:r w:rsidR="00EE2CBB" w:rsidRPr="006C4F67">
        <w:t xml:space="preserve">neke </w:t>
      </w:r>
      <w:r w:rsidRPr="006C4F67">
        <w:t xml:space="preserve">značajne kvantitativne učinke </w:t>
      </w:r>
      <w:r w:rsidR="00EE2CBB" w:rsidRPr="006C4F67">
        <w:t>nacionaln</w:t>
      </w:r>
      <w:r w:rsidR="00EE2CBB" w:rsidRPr="00B74757">
        <w:t xml:space="preserve">ih sustava </w:t>
      </w:r>
      <w:r w:rsidRPr="00B74757">
        <w:t xml:space="preserve">otpremnina na ishode na tržištu rada. </w:t>
      </w:r>
      <w:r w:rsidR="00EE2CBB" w:rsidRPr="00B74757">
        <w:t xml:space="preserve">Tako se </w:t>
      </w:r>
      <w:r w:rsidRPr="00B74757">
        <w:t xml:space="preserve">smatra </w:t>
      </w:r>
      <w:r w:rsidR="00EE2CBB" w:rsidRPr="009769E7">
        <w:t>kako</w:t>
      </w:r>
      <w:r w:rsidRPr="004D0AD5">
        <w:t xml:space="preserve"> je mali učinak na odvajanje radnika ili prosječne razine zaposlenosti. On argumentira da programe isplate otpremnina treba ocijeniti u kontekstu i u interakciji sa širim konceptom radnog </w:t>
      </w:r>
      <w:r w:rsidRPr="00E1401E">
        <w:t>zakonodavstva na tržištima rada.</w:t>
      </w:r>
      <w:r w:rsidR="00EE2CBB" w:rsidRPr="00B4742D">
        <w:rPr>
          <w:rStyle w:val="FootnoteReference"/>
        </w:rPr>
        <w:footnoteReference w:id="80"/>
      </w:r>
      <w:r w:rsidRPr="00B4742D">
        <w:t xml:space="preserve"> </w:t>
      </w:r>
      <w:r w:rsidR="00B5586F" w:rsidRPr="00B4742D">
        <w:t xml:space="preserve">Nacionalni sustavi otpremnina </w:t>
      </w:r>
      <w:r w:rsidRPr="00B4742D">
        <w:t xml:space="preserve">obično </w:t>
      </w:r>
      <w:r w:rsidR="00B5586F" w:rsidRPr="00B4742D">
        <w:t xml:space="preserve">daju </w:t>
      </w:r>
      <w:r w:rsidRPr="00B4742D">
        <w:t xml:space="preserve">tek marginalni doprinos postojećim poticajima te stoga </w:t>
      </w:r>
      <w:r w:rsidRPr="002017C6">
        <w:t>imaju tek manji učinak na ishode. Empirijska analiza austrijskog programa isplate otpremnina u skladu je ovim općim zaključkom.</w:t>
      </w:r>
      <w:r w:rsidR="00B5586F" w:rsidRPr="00B4742D">
        <w:rPr>
          <w:rStyle w:val="FootnoteReference"/>
        </w:rPr>
        <w:footnoteReference w:id="81"/>
      </w:r>
    </w:p>
    <w:p w:rsidR="007B61AF" w:rsidRDefault="007B61AF">
      <w:pPr>
        <w:tabs>
          <w:tab w:val="clear" w:pos="0"/>
          <w:tab w:val="clear" w:pos="9360"/>
        </w:tabs>
        <w:spacing w:line="240" w:lineRule="auto"/>
        <w:jc w:val="left"/>
      </w:pPr>
      <w:r>
        <w:br w:type="page"/>
      </w:r>
    </w:p>
    <w:p w:rsidR="00380807" w:rsidRPr="009336BF" w:rsidRDefault="00641867" w:rsidP="00380807">
      <w:pPr>
        <w:pStyle w:val="Heading2"/>
        <w:spacing w:line="240" w:lineRule="auto"/>
      </w:pPr>
      <w:bookmarkStart w:id="27" w:name="_Toc365828844"/>
      <w:r w:rsidRPr="002017C6">
        <w:lastRenderedPageBreak/>
        <w:t>4</w:t>
      </w:r>
      <w:r w:rsidR="00380807" w:rsidRPr="002017C6">
        <w:t xml:space="preserve">.2. Uređenje otpremnina u </w:t>
      </w:r>
      <w:r w:rsidR="00E3216F" w:rsidRPr="00FE70C5">
        <w:t xml:space="preserve">susjednim i </w:t>
      </w:r>
      <w:r w:rsidR="00380807" w:rsidRPr="009336BF">
        <w:t>relevantnim državama</w:t>
      </w:r>
      <w:bookmarkEnd w:id="27"/>
      <w:r w:rsidR="00380807" w:rsidRPr="009336BF">
        <w:t xml:space="preserve"> </w:t>
      </w:r>
    </w:p>
    <w:p w:rsidR="00380807" w:rsidRPr="009336BF" w:rsidRDefault="00380807" w:rsidP="00E3216F">
      <w:pPr>
        <w:spacing w:line="240" w:lineRule="auto"/>
      </w:pPr>
    </w:p>
    <w:p w:rsidR="00E3216F" w:rsidRPr="004D0AD5" w:rsidRDefault="00E3216F" w:rsidP="00E3216F">
      <w:pPr>
        <w:spacing w:line="240" w:lineRule="auto"/>
      </w:pPr>
      <w:r w:rsidRPr="009336BF">
        <w:t xml:space="preserve">U Njemačkoj nacionalni </w:t>
      </w:r>
      <w:r w:rsidRPr="00C7332E">
        <w:rPr>
          <w:color w:val="auto"/>
        </w:rPr>
        <w:t xml:space="preserve">sustav otpremnina nije u većoj mjeri zakonski uvjetovan i uspostavljen. Ipak, njegovo postojanje proizlazi iz uređenja prestanka ugovora o radu koje je takvo da motivira </w:t>
      </w:r>
      <w:r w:rsidRPr="00C7332E">
        <w:t xml:space="preserve">poslodavce na sporazumno okončavanje ugovora o radu radi izbjegavanja sudskog spora. Slijedom toga u sadržaj sporazuma o prestanku ugovora o radu ulazi i pravo na otpremninu. Pri definiranju iznosa otpremnine ponajčešće se kao relevantne </w:t>
      </w:r>
      <w:r w:rsidR="006E6C71" w:rsidRPr="006C4F67">
        <w:t>procjenjuje</w:t>
      </w:r>
      <w:r w:rsidRPr="006C4F67">
        <w:t xml:space="preserve"> </w:t>
      </w:r>
      <w:r w:rsidRPr="006C4F67">
        <w:rPr>
          <w:color w:val="auto"/>
        </w:rPr>
        <w:t xml:space="preserve">trajanje radnog odnosa kod konkretnog poslodavca te rizik gubitka u sudskom sporu. U pravilu radniku kojem ugovor o radu prestaje otkazom koji je </w:t>
      </w:r>
      <w:r w:rsidR="00B80987" w:rsidRPr="00B74757">
        <w:rPr>
          <w:color w:val="auto"/>
        </w:rPr>
        <w:t xml:space="preserve">poslovno </w:t>
      </w:r>
      <w:r w:rsidRPr="00B74757">
        <w:rPr>
          <w:color w:val="auto"/>
        </w:rPr>
        <w:t xml:space="preserve">uvjetovan pripadne pravo na </w:t>
      </w:r>
      <w:r w:rsidRPr="00B74757">
        <w:rPr>
          <w:bCs w:val="0"/>
        </w:rPr>
        <w:t xml:space="preserve">otpremninu u iznosu pola plaće za svaku godinu staža kod poslodavca. Svaka je otpremnina u Njemačkoj oporeziva i podložna doprinosima </w:t>
      </w:r>
      <w:r w:rsidRPr="009769E7">
        <w:rPr>
          <w:color w:val="auto"/>
        </w:rPr>
        <w:t xml:space="preserve">za socijalno osiguranje. </w:t>
      </w:r>
    </w:p>
    <w:p w:rsidR="00E3216F" w:rsidRPr="00E1401E" w:rsidRDefault="00E3216F" w:rsidP="00E3216F">
      <w:pPr>
        <w:spacing w:line="240" w:lineRule="auto"/>
      </w:pPr>
    </w:p>
    <w:p w:rsidR="00B37983" w:rsidRPr="00B4742D" w:rsidRDefault="00B37983" w:rsidP="00B37983">
      <w:pPr>
        <w:tabs>
          <w:tab w:val="clear" w:pos="0"/>
          <w:tab w:val="clear" w:pos="9360"/>
        </w:tabs>
        <w:autoSpaceDE w:val="0"/>
        <w:autoSpaceDN w:val="0"/>
        <w:adjustRightInd w:val="0"/>
        <w:spacing w:line="240" w:lineRule="auto"/>
        <w:rPr>
          <w:bCs w:val="0"/>
          <w:iCs/>
        </w:rPr>
      </w:pPr>
      <w:r w:rsidRPr="00D00975">
        <w:t>Mađarski nacionalni sustav otpremnina u pravnom pogledu počiva na zakonskom uređenju rada. Iznosi otpremnina povezani su sa trajanjem radnog odnosa kod poslodavca. Tako r</w:t>
      </w:r>
      <w:r w:rsidRPr="008B2ED7">
        <w:t>adnik koji je kod poslodav</w:t>
      </w:r>
      <w:r w:rsidR="006E6C71" w:rsidRPr="008B2ED7">
        <w:t>c</w:t>
      </w:r>
      <w:r w:rsidRPr="008B2ED7">
        <w:t>a radio p</w:t>
      </w:r>
      <w:r w:rsidRPr="008B2ED7">
        <w:rPr>
          <w:bCs w:val="0"/>
        </w:rPr>
        <w:t>reko tri godine ima pravo na ot</w:t>
      </w:r>
      <w:r w:rsidR="00165C51" w:rsidRPr="007B61AF">
        <w:rPr>
          <w:bCs w:val="0"/>
        </w:rPr>
        <w:t>p</w:t>
      </w:r>
      <w:r w:rsidRPr="007B61AF">
        <w:rPr>
          <w:bCs w:val="0"/>
        </w:rPr>
        <w:t>remninu u iznosu jedne plaće. Za rad preko pet godina kod poslodavca zakonski se minimum otpremnine penje na dvije plaće, za preko deset godina staža otpremnina je minimalno tri plaće, pot</w:t>
      </w:r>
      <w:r w:rsidRPr="00B4742D">
        <w:rPr>
          <w:bCs w:val="0"/>
        </w:rPr>
        <w:t>om za preko petnaest godina staža otpremnina je minimalno četiri plaće, za preko dvadeset godina staža minimalna otpremnina raste na pet plaća, dok za preko dv</w:t>
      </w:r>
      <w:r w:rsidR="006E6C71" w:rsidRPr="00B4742D">
        <w:rPr>
          <w:bCs w:val="0"/>
        </w:rPr>
        <w:t>a</w:t>
      </w:r>
      <w:r w:rsidRPr="00B4742D">
        <w:rPr>
          <w:bCs w:val="0"/>
        </w:rPr>
        <w:t>desetpet godina staža minim</w:t>
      </w:r>
      <w:r w:rsidR="00165C51" w:rsidRPr="00B4742D">
        <w:rPr>
          <w:bCs w:val="0"/>
        </w:rPr>
        <w:t>u</w:t>
      </w:r>
      <w:r w:rsidRPr="00B4742D">
        <w:rPr>
          <w:bCs w:val="0"/>
        </w:rPr>
        <w:t xml:space="preserve">m je šest plaća. </w:t>
      </w:r>
      <w:r w:rsidR="00165C51" w:rsidRPr="00B4742D">
        <w:rPr>
          <w:bCs w:val="0"/>
        </w:rPr>
        <w:t>Razvodno je, dakle, kako postoji korelacija staža radnika kod poslodavca, i to takva da se kao relevantni intervali uzimaju po pet godina te oni uvjetuju proporcionalni rast od po jednu plaću. Jedina iznimka je prvi interval koji počinje s radom od preko tri godine staža. Korekcija otpremnina razvidna je u još dva slučaja: r</w:t>
      </w:r>
      <w:r w:rsidRPr="00B4742D">
        <w:rPr>
          <w:bCs w:val="0"/>
        </w:rPr>
        <w:t>adnici</w:t>
      </w:r>
      <w:r w:rsidRPr="00B4742D">
        <w:rPr>
          <w:bCs w:val="0"/>
          <w:iCs/>
        </w:rPr>
        <w:t xml:space="preserve"> koji su napunili dovoljno godina za umirovljenje, </w:t>
      </w:r>
      <w:r w:rsidR="005523BB" w:rsidRPr="00B4742D">
        <w:rPr>
          <w:bCs w:val="0"/>
          <w:iCs/>
        </w:rPr>
        <w:t>šezdesetdvije</w:t>
      </w:r>
      <w:r w:rsidRPr="00B4742D">
        <w:rPr>
          <w:bCs w:val="0"/>
          <w:iCs/>
        </w:rPr>
        <w:t xml:space="preserve"> godine, nemaju pravo na otpremninu, no radnici kojima radni odnos prestane u dobi između </w:t>
      </w:r>
      <w:r w:rsidR="005523BB" w:rsidRPr="00B4742D">
        <w:rPr>
          <w:bCs w:val="0"/>
          <w:iCs/>
        </w:rPr>
        <w:t>pedesetsedam</w:t>
      </w:r>
      <w:r w:rsidRPr="00B4742D">
        <w:rPr>
          <w:bCs w:val="0"/>
          <w:iCs/>
        </w:rPr>
        <w:t xml:space="preserve"> i </w:t>
      </w:r>
      <w:r w:rsidR="005523BB" w:rsidRPr="00B4742D">
        <w:rPr>
          <w:bCs w:val="0"/>
          <w:iCs/>
        </w:rPr>
        <w:t>šezdesetdvije</w:t>
      </w:r>
      <w:r w:rsidRPr="00B4742D">
        <w:rPr>
          <w:bCs w:val="0"/>
          <w:iCs/>
        </w:rPr>
        <w:t xml:space="preserve"> godine imaju pravo na još tri dodatne plaće preko onoga što im pripada kao zakonski minimum.</w:t>
      </w:r>
      <w:r w:rsidRPr="00B4742D">
        <w:rPr>
          <w:bCs w:val="0"/>
        </w:rPr>
        <w:t xml:space="preserve"> Valja napomenuti kako se za iznos plaće uzima </w:t>
      </w:r>
      <w:r w:rsidR="00165C51" w:rsidRPr="00B4742D">
        <w:rPr>
          <w:bCs w:val="0"/>
        </w:rPr>
        <w:t xml:space="preserve">mjesečna </w:t>
      </w:r>
      <w:r w:rsidRPr="00B4742D">
        <w:rPr>
          <w:bCs w:val="0"/>
        </w:rPr>
        <w:t>neto plaća i ona pripada radniku.</w:t>
      </w:r>
    </w:p>
    <w:p w:rsidR="00B37983" w:rsidRPr="00B4742D" w:rsidRDefault="00B37983" w:rsidP="00E3216F">
      <w:pPr>
        <w:spacing w:line="240" w:lineRule="auto"/>
      </w:pPr>
    </w:p>
    <w:p w:rsidR="00B37983" w:rsidRPr="00B4742D" w:rsidRDefault="00B80987" w:rsidP="00165C51">
      <w:pPr>
        <w:tabs>
          <w:tab w:val="clear" w:pos="0"/>
          <w:tab w:val="clear" w:pos="9360"/>
        </w:tabs>
        <w:autoSpaceDE w:val="0"/>
        <w:autoSpaceDN w:val="0"/>
        <w:adjustRightInd w:val="0"/>
        <w:spacing w:line="240" w:lineRule="auto"/>
      </w:pPr>
      <w:r w:rsidRPr="00B4742D">
        <w:t xml:space="preserve">U </w:t>
      </w:r>
      <w:r w:rsidR="00B37983" w:rsidRPr="00B4742D">
        <w:t>S</w:t>
      </w:r>
      <w:r w:rsidRPr="00B4742D">
        <w:t xml:space="preserve">loveniji pravo na otpremninu počiva na zakonskom uređenju rada i povezano je sa otkazivanjem iz poslovnih razloga. Iznosi otpremnina za radnike koji rade kod poslodavca od jedne do pet godina otpremnina se izračunava kao </w:t>
      </w:r>
      <w:r w:rsidR="00B37983" w:rsidRPr="00B4742D">
        <w:rPr>
          <w:bCs w:val="0"/>
        </w:rPr>
        <w:t>jedna petina pla</w:t>
      </w:r>
      <w:r w:rsidRPr="00B4742D">
        <w:rPr>
          <w:bCs w:val="0"/>
        </w:rPr>
        <w:t>će</w:t>
      </w:r>
      <w:r w:rsidR="00B37983" w:rsidRPr="00B4742D">
        <w:rPr>
          <w:bCs w:val="0"/>
        </w:rPr>
        <w:t xml:space="preserve"> po godini staža kod p</w:t>
      </w:r>
      <w:r w:rsidRPr="00B4742D">
        <w:rPr>
          <w:bCs w:val="0"/>
        </w:rPr>
        <w:t>oslodavca. Za radnika koji kod poslodavca rade pet do petnaest</w:t>
      </w:r>
      <w:r w:rsidR="00B37983" w:rsidRPr="00B4742D">
        <w:rPr>
          <w:bCs w:val="0"/>
        </w:rPr>
        <w:t xml:space="preserve"> godina</w:t>
      </w:r>
      <w:r w:rsidRPr="00B4742D">
        <w:rPr>
          <w:bCs w:val="0"/>
        </w:rPr>
        <w:t xml:space="preserve"> kao otpremnina se isplaćuje</w:t>
      </w:r>
      <w:r w:rsidR="00B37983" w:rsidRPr="00B4742D">
        <w:rPr>
          <w:bCs w:val="0"/>
        </w:rPr>
        <w:t xml:space="preserve"> jedna četvrtina pla</w:t>
      </w:r>
      <w:r w:rsidRPr="00B4742D">
        <w:rPr>
          <w:bCs w:val="0"/>
        </w:rPr>
        <w:t xml:space="preserve">će po godini staža kod poslodavca. Za radnike koji kod poslodavca rade preko petnaest godina minimalna je otpremnina najizdašnija, obračunava se po stopi od </w:t>
      </w:r>
      <w:r w:rsidR="00B37983" w:rsidRPr="00B4742D">
        <w:rPr>
          <w:bCs w:val="0"/>
        </w:rPr>
        <w:t>jedn</w:t>
      </w:r>
      <w:r w:rsidRPr="00B4742D">
        <w:rPr>
          <w:bCs w:val="0"/>
        </w:rPr>
        <w:t>e</w:t>
      </w:r>
      <w:r w:rsidR="00B37983" w:rsidRPr="00B4742D">
        <w:rPr>
          <w:bCs w:val="0"/>
        </w:rPr>
        <w:t xml:space="preserve"> trećin</w:t>
      </w:r>
      <w:r w:rsidRPr="00B4742D">
        <w:rPr>
          <w:bCs w:val="0"/>
        </w:rPr>
        <w:t>e</w:t>
      </w:r>
      <w:r w:rsidR="00B37983" w:rsidRPr="00B4742D">
        <w:rPr>
          <w:bCs w:val="0"/>
        </w:rPr>
        <w:t xml:space="preserve"> pla</w:t>
      </w:r>
      <w:r w:rsidRPr="00B4742D">
        <w:rPr>
          <w:bCs w:val="0"/>
        </w:rPr>
        <w:t>će</w:t>
      </w:r>
      <w:r w:rsidR="00B37983" w:rsidRPr="00B4742D">
        <w:rPr>
          <w:bCs w:val="0"/>
        </w:rPr>
        <w:t xml:space="preserve"> po godini staža kod poslodavca.</w:t>
      </w:r>
      <w:r w:rsidR="00165C51" w:rsidRPr="00B4742D">
        <w:rPr>
          <w:bCs w:val="0"/>
        </w:rPr>
        <w:t xml:space="preserve"> Navedeni iznosi ukazuju na uvjetovanost otpremnina stažem kod poslodavca, ali na način da se duži rad dvostruko nagrađuje – i množenjem s većim brojem godina, ali i osnovicom, većim dijelom plaće, koja raste trajanjem radnog odnosa. Maksimum otpremnina jest deset plaća, osim u slučaju kada se </w:t>
      </w:r>
      <w:r w:rsidR="00B37983" w:rsidRPr="00B4742D">
        <w:rPr>
          <w:bCs w:val="0"/>
          <w:iCs/>
        </w:rPr>
        <w:t xml:space="preserve">kolektivnim ugovorom </w:t>
      </w:r>
      <w:r w:rsidR="00165C51" w:rsidRPr="00B4742D">
        <w:rPr>
          <w:bCs w:val="0"/>
          <w:iCs/>
        </w:rPr>
        <w:t>uredi drugačije</w:t>
      </w:r>
      <w:r w:rsidR="00B37983" w:rsidRPr="00B4742D">
        <w:rPr>
          <w:bCs w:val="0"/>
          <w:iCs/>
        </w:rPr>
        <w:t xml:space="preserve">. </w:t>
      </w:r>
      <w:r w:rsidR="00165C51" w:rsidRPr="00B4742D">
        <w:rPr>
          <w:bCs w:val="0"/>
          <w:iCs/>
        </w:rPr>
        <w:t xml:space="preserve">Kao osnovica uzima se </w:t>
      </w:r>
      <w:r w:rsidR="00B37983" w:rsidRPr="00B4742D">
        <w:rPr>
          <w:bCs w:val="0"/>
          <w:iCs/>
        </w:rPr>
        <w:t>pros</w:t>
      </w:r>
      <w:r w:rsidR="006E6C71" w:rsidRPr="00B4742D">
        <w:rPr>
          <w:bCs w:val="0"/>
          <w:iCs/>
        </w:rPr>
        <w:t>j</w:t>
      </w:r>
      <w:r w:rsidR="00B37983" w:rsidRPr="00B4742D">
        <w:rPr>
          <w:bCs w:val="0"/>
          <w:iCs/>
        </w:rPr>
        <w:t>ečna m</w:t>
      </w:r>
      <w:r w:rsidR="00165C51" w:rsidRPr="00B4742D">
        <w:rPr>
          <w:bCs w:val="0"/>
          <w:iCs/>
        </w:rPr>
        <w:t>j</w:t>
      </w:r>
      <w:r w:rsidR="00B37983" w:rsidRPr="00B4742D">
        <w:rPr>
          <w:bCs w:val="0"/>
          <w:iCs/>
        </w:rPr>
        <w:t>esečna pla</w:t>
      </w:r>
      <w:r w:rsidR="00165C51" w:rsidRPr="00B4742D">
        <w:rPr>
          <w:bCs w:val="0"/>
          <w:iCs/>
        </w:rPr>
        <w:t>ć</w:t>
      </w:r>
      <w:r w:rsidR="00B37983" w:rsidRPr="00B4742D">
        <w:rPr>
          <w:bCs w:val="0"/>
          <w:iCs/>
        </w:rPr>
        <w:t xml:space="preserve">a u </w:t>
      </w:r>
      <w:r w:rsidR="00165C51" w:rsidRPr="00B4742D">
        <w:rPr>
          <w:bCs w:val="0"/>
          <w:iCs/>
        </w:rPr>
        <w:t>posljednja</w:t>
      </w:r>
      <w:r w:rsidR="00B37983" w:rsidRPr="00B4742D">
        <w:rPr>
          <w:bCs w:val="0"/>
          <w:iCs/>
        </w:rPr>
        <w:t xml:space="preserve"> tri m</w:t>
      </w:r>
      <w:r w:rsidR="00165C51" w:rsidRPr="00B4742D">
        <w:rPr>
          <w:bCs w:val="0"/>
          <w:iCs/>
        </w:rPr>
        <w:t>j</w:t>
      </w:r>
      <w:r w:rsidR="00B37983" w:rsidRPr="00B4742D">
        <w:rPr>
          <w:bCs w:val="0"/>
          <w:iCs/>
        </w:rPr>
        <w:t>eseca.</w:t>
      </w:r>
    </w:p>
    <w:p w:rsidR="00B37983" w:rsidRPr="00B4742D" w:rsidRDefault="00B37983" w:rsidP="00E3216F">
      <w:pPr>
        <w:spacing w:line="240" w:lineRule="auto"/>
      </w:pPr>
    </w:p>
    <w:p w:rsidR="007C4F28" w:rsidRPr="00B4742D" w:rsidRDefault="00165C51" w:rsidP="00165C51">
      <w:pPr>
        <w:spacing w:line="240" w:lineRule="auto"/>
      </w:pPr>
      <w:r w:rsidRPr="00B4742D">
        <w:t>U Srbiji obveza isplate otpremnina proizlazi iz Zakona o radu, i to u slučaju otkazivanja iz posl</w:t>
      </w:r>
      <w:r w:rsidR="006E6C71" w:rsidRPr="00B4742D">
        <w:t>ov</w:t>
      </w:r>
      <w:r w:rsidRPr="00B4742D">
        <w:t xml:space="preserve">nih razloga te i za odlazak u mirovinu. U potonjem slučaju isplaćuje se tri mjesečne plaće, dok se kod otkazivanja ugovora o radu isplaćuje </w:t>
      </w:r>
      <w:r w:rsidR="007C4F28" w:rsidRPr="00B4742D">
        <w:t>trećina m</w:t>
      </w:r>
      <w:r w:rsidRPr="00B4742D">
        <w:t>j</w:t>
      </w:r>
      <w:r w:rsidR="007C4F28" w:rsidRPr="00B4742D">
        <w:t xml:space="preserve">esečne </w:t>
      </w:r>
      <w:r w:rsidRPr="00B4742D">
        <w:t>plaće</w:t>
      </w:r>
      <w:r w:rsidR="007C4F28" w:rsidRPr="00B4742D">
        <w:t xml:space="preserve"> za </w:t>
      </w:r>
      <w:r w:rsidRPr="00B4742D">
        <w:t xml:space="preserve">svaku od </w:t>
      </w:r>
      <w:r w:rsidR="007C4F28" w:rsidRPr="00B4742D">
        <w:t xml:space="preserve">prvih </w:t>
      </w:r>
      <w:r w:rsidRPr="00B4742D">
        <w:t>deset</w:t>
      </w:r>
      <w:r w:rsidR="007C4F28" w:rsidRPr="00B4742D">
        <w:t xml:space="preserve"> godina</w:t>
      </w:r>
      <w:r w:rsidR="003D0C0D" w:rsidRPr="00B4742D">
        <w:t xml:space="preserve"> </w:t>
      </w:r>
      <w:r w:rsidRPr="00B4742D">
        <w:t xml:space="preserve">ukupnog </w:t>
      </w:r>
      <w:r w:rsidR="007C4F28" w:rsidRPr="00B4742D">
        <w:t xml:space="preserve">radnog staža, </w:t>
      </w:r>
      <w:r w:rsidRPr="00B4742D">
        <w:t xml:space="preserve">te </w:t>
      </w:r>
      <w:r w:rsidR="007C4F28" w:rsidRPr="00B4742D">
        <w:t>četvrtin</w:t>
      </w:r>
      <w:r w:rsidRPr="00B4742D">
        <w:t>u</w:t>
      </w:r>
      <w:r w:rsidR="007C4F28" w:rsidRPr="00B4742D">
        <w:t xml:space="preserve"> m</w:t>
      </w:r>
      <w:r w:rsidRPr="00B4742D">
        <w:t>jesečne plate za svaku slijedeću</w:t>
      </w:r>
      <w:r w:rsidR="007C4F28" w:rsidRPr="00B4742D">
        <w:t xml:space="preserve"> godinu</w:t>
      </w:r>
      <w:r w:rsidR="007C4F28" w:rsidRPr="00B4742D">
        <w:rPr>
          <w:bCs w:val="0"/>
        </w:rPr>
        <w:t>.</w:t>
      </w:r>
      <w:r w:rsidRPr="00B4742D">
        <w:rPr>
          <w:bCs w:val="0"/>
        </w:rPr>
        <w:t xml:space="preserve"> Ovdje vidimo da rast nije proporcionalan, već opada nakon desete godine.</w:t>
      </w:r>
      <w:r w:rsidR="003D0C0D" w:rsidRPr="00B4742D">
        <w:rPr>
          <w:bCs w:val="0"/>
        </w:rPr>
        <w:t xml:space="preserve"> </w:t>
      </w:r>
      <w:r w:rsidR="007C4F28" w:rsidRPr="00B4742D">
        <w:rPr>
          <w:bCs w:val="0"/>
        </w:rPr>
        <w:t>Otpremnine se isplaćuju jednokratno, i to pr</w:t>
      </w:r>
      <w:r w:rsidRPr="00B4742D">
        <w:rPr>
          <w:bCs w:val="0"/>
        </w:rPr>
        <w:t>ije</w:t>
      </w:r>
      <w:r w:rsidR="007C4F28" w:rsidRPr="00B4742D">
        <w:rPr>
          <w:bCs w:val="0"/>
        </w:rPr>
        <w:t xml:space="preserve"> datuma </w:t>
      </w:r>
      <w:r w:rsidRPr="00B4742D">
        <w:rPr>
          <w:bCs w:val="0"/>
        </w:rPr>
        <w:t>prestanka ugovora o radu</w:t>
      </w:r>
      <w:r w:rsidR="007C4F28" w:rsidRPr="00B4742D">
        <w:rPr>
          <w:bCs w:val="0"/>
        </w:rPr>
        <w:t>.</w:t>
      </w:r>
      <w:r w:rsidRPr="00B4742D">
        <w:rPr>
          <w:bCs w:val="0"/>
        </w:rPr>
        <w:t xml:space="preserve"> Kao</w:t>
      </w:r>
      <w:r w:rsidR="007C4F28" w:rsidRPr="00B4742D">
        <w:t xml:space="preserve"> najveći problem u Srbiji </w:t>
      </w:r>
      <w:r w:rsidRPr="00B4742D">
        <w:t xml:space="preserve">pojavljuje se </w:t>
      </w:r>
      <w:r w:rsidR="007C4F28" w:rsidRPr="00B4742D">
        <w:t xml:space="preserve">zakonsko </w:t>
      </w:r>
      <w:r w:rsidR="007C4F28" w:rsidRPr="00B4742D">
        <w:lastRenderedPageBreak/>
        <w:t>r</w:t>
      </w:r>
      <w:r w:rsidRPr="00B4742D">
        <w:t>j</w:t>
      </w:r>
      <w:r w:rsidR="007C4F28" w:rsidRPr="00B4742D">
        <w:t>ešenje p</w:t>
      </w:r>
      <w:r w:rsidRPr="00B4742D">
        <w:t>rema</w:t>
      </w:r>
      <w:r w:rsidR="007C4F28" w:rsidRPr="00B4742D">
        <w:t xml:space="preserve"> kom je</w:t>
      </w:r>
      <w:r w:rsidR="003D0C0D" w:rsidRPr="00B4742D">
        <w:t xml:space="preserve"> </w:t>
      </w:r>
      <w:r w:rsidR="007C4F28" w:rsidRPr="00B4742D">
        <w:t xml:space="preserve">poslodavac </w:t>
      </w:r>
      <w:r w:rsidRPr="00B4742D">
        <w:t>obvezan</w:t>
      </w:r>
      <w:r w:rsidR="007C4F28" w:rsidRPr="00B4742D">
        <w:t xml:space="preserve"> isplati</w:t>
      </w:r>
      <w:r w:rsidRPr="00B4742D">
        <w:t>ti</w:t>
      </w:r>
      <w:r w:rsidR="007C4F28" w:rsidRPr="00B4742D">
        <w:t xml:space="preserve"> otpremninu za svaku godinu ukupnog</w:t>
      </w:r>
      <w:r w:rsidR="003D0C0D" w:rsidRPr="00B4742D">
        <w:t xml:space="preserve"> </w:t>
      </w:r>
      <w:r w:rsidR="007C4F28" w:rsidRPr="00B4742D">
        <w:t xml:space="preserve">radnog staža, a ne za godine </w:t>
      </w:r>
      <w:r w:rsidRPr="00B4742D">
        <w:t xml:space="preserve">staža </w:t>
      </w:r>
      <w:r w:rsidR="007C4F28" w:rsidRPr="00B4742D">
        <w:t xml:space="preserve">kod </w:t>
      </w:r>
      <w:r w:rsidRPr="00B4742D">
        <w:t>konkretnog</w:t>
      </w:r>
      <w:r w:rsidR="007C4F28" w:rsidRPr="00B4742D">
        <w:t xml:space="preserve"> poslodavca.</w:t>
      </w:r>
    </w:p>
    <w:p w:rsidR="00161294" w:rsidRPr="00B4742D" w:rsidRDefault="00161294" w:rsidP="00DC58FF">
      <w:pPr>
        <w:tabs>
          <w:tab w:val="clear" w:pos="0"/>
          <w:tab w:val="clear" w:pos="9360"/>
        </w:tabs>
        <w:autoSpaceDE w:val="0"/>
        <w:autoSpaceDN w:val="0"/>
        <w:adjustRightInd w:val="0"/>
        <w:spacing w:line="240" w:lineRule="auto"/>
        <w:jc w:val="left"/>
        <w:rPr>
          <w:b/>
        </w:rPr>
      </w:pPr>
    </w:p>
    <w:p w:rsidR="00380807" w:rsidRPr="00B4742D" w:rsidRDefault="00641867" w:rsidP="00380807">
      <w:pPr>
        <w:pStyle w:val="Heading1"/>
      </w:pPr>
      <w:bookmarkStart w:id="28" w:name="_Toc365828845"/>
      <w:r w:rsidRPr="00B4742D">
        <w:t>5</w:t>
      </w:r>
      <w:r w:rsidR="00380807" w:rsidRPr="00B4742D">
        <w:t xml:space="preserve">. Reforma </w:t>
      </w:r>
      <w:r w:rsidR="00F36054" w:rsidRPr="00B4742D">
        <w:t xml:space="preserve">nacionalnog </w:t>
      </w:r>
      <w:r w:rsidR="00380807" w:rsidRPr="00B4742D">
        <w:t>sustava otpremnina u Republici Austriji</w:t>
      </w:r>
      <w:bookmarkEnd w:id="28"/>
    </w:p>
    <w:p w:rsidR="00380807" w:rsidRPr="00B4742D" w:rsidRDefault="00380807" w:rsidP="00466D80">
      <w:pPr>
        <w:spacing w:line="240" w:lineRule="auto"/>
      </w:pPr>
    </w:p>
    <w:p w:rsidR="00842F40" w:rsidRPr="00B4742D" w:rsidRDefault="007C4F28" w:rsidP="00466D80">
      <w:pPr>
        <w:spacing w:line="240" w:lineRule="auto"/>
      </w:pPr>
      <w:r w:rsidRPr="00B4742D">
        <w:t xml:space="preserve">Austrijska </w:t>
      </w:r>
      <w:r w:rsidR="00165C51" w:rsidRPr="00B4742D">
        <w:t xml:space="preserve">je </w:t>
      </w:r>
      <w:r w:rsidRPr="00B4742D">
        <w:t>vlada 2003.</w:t>
      </w:r>
      <w:r w:rsidR="00165C51" w:rsidRPr="00B4742D">
        <w:t xml:space="preserve"> godine</w:t>
      </w:r>
      <w:r w:rsidRPr="00B4742D">
        <w:t xml:space="preserve"> provela široko priznatu reformu austrijskog</w:t>
      </w:r>
      <w:r w:rsidR="00842F40" w:rsidRPr="00B4742D">
        <w:t>,</w:t>
      </w:r>
      <w:r w:rsidRPr="00B4742D">
        <w:t xml:space="preserve"> zakono</w:t>
      </w:r>
      <w:r w:rsidR="00842F40" w:rsidRPr="00B4742D">
        <w:t>m uspostavljenog, nacionalnog sustava otpremnina</w:t>
      </w:r>
      <w:r w:rsidRPr="00B4742D">
        <w:t xml:space="preserve">. </w:t>
      </w:r>
      <w:r w:rsidR="00842F40" w:rsidRPr="00B4742D">
        <w:t>Prethodni je sustav</w:t>
      </w:r>
      <w:r w:rsidRPr="00B4742D">
        <w:t xml:space="preserve"> bio organiziran na razini po</w:t>
      </w:r>
      <w:r w:rsidR="00842F40" w:rsidRPr="00B4742D">
        <w:t>slodavaca</w:t>
      </w:r>
      <w:r w:rsidRPr="00B4742D">
        <w:t xml:space="preserve"> i temeljio se na stažu </w:t>
      </w:r>
      <w:r w:rsidR="00842F40" w:rsidRPr="00B4742D">
        <w:t>koji je radnik ostvario kod pojedinog konkretnog poslodavca</w:t>
      </w:r>
      <w:r w:rsidRPr="00B4742D">
        <w:t xml:space="preserve">. </w:t>
      </w:r>
      <w:r w:rsidR="00842F40" w:rsidRPr="00B4742D">
        <w:t xml:space="preserve">Aktualni je nacionalni sustav otpremnina zasnovan na </w:t>
      </w:r>
      <w:r w:rsidRPr="00B4742D">
        <w:t>obvezujuće</w:t>
      </w:r>
      <w:r w:rsidR="00842F40" w:rsidRPr="00B4742D">
        <w:t>m</w:t>
      </w:r>
      <w:r w:rsidRPr="00B4742D">
        <w:t xml:space="preserve"> štedno</w:t>
      </w:r>
      <w:r w:rsidR="00842F40" w:rsidRPr="00B4742D">
        <w:t>m</w:t>
      </w:r>
      <w:r w:rsidRPr="00B4742D">
        <w:t xml:space="preserve"> račun</w:t>
      </w:r>
      <w:r w:rsidR="00842F40" w:rsidRPr="00B4742D">
        <w:t>u</w:t>
      </w:r>
      <w:r w:rsidRPr="00B4742D">
        <w:t xml:space="preserve"> za sve </w:t>
      </w:r>
      <w:r w:rsidR="00842F40" w:rsidRPr="00B4742D">
        <w:t xml:space="preserve">radnike i na njemu se vode </w:t>
      </w:r>
      <w:r w:rsidRPr="00B4742D">
        <w:t xml:space="preserve">sredstava </w:t>
      </w:r>
      <w:r w:rsidR="00842F40" w:rsidRPr="00B4742D">
        <w:t xml:space="preserve">koja se </w:t>
      </w:r>
      <w:r w:rsidRPr="00B4742D">
        <w:t xml:space="preserve">ulažu </w:t>
      </w:r>
      <w:r w:rsidR="00842F40" w:rsidRPr="00B4742D">
        <w:t>na</w:t>
      </w:r>
      <w:r w:rsidRPr="00B4742D">
        <w:t xml:space="preserve"> tržišt</w:t>
      </w:r>
      <w:r w:rsidR="00842F40" w:rsidRPr="00B4742D">
        <w:t>u</w:t>
      </w:r>
      <w:r w:rsidRPr="00B4742D">
        <w:t xml:space="preserve"> kapitala. </w:t>
      </w:r>
    </w:p>
    <w:p w:rsidR="00842F40" w:rsidRPr="00B4742D" w:rsidRDefault="00842F40" w:rsidP="00466D80">
      <w:pPr>
        <w:spacing w:line="240" w:lineRule="auto"/>
      </w:pPr>
    </w:p>
    <w:p w:rsidR="007C4F28" w:rsidRPr="00B4742D" w:rsidRDefault="007C4F28" w:rsidP="00466D80">
      <w:pPr>
        <w:spacing w:line="240" w:lineRule="auto"/>
      </w:pPr>
      <w:r w:rsidRPr="00B4742D">
        <w:t xml:space="preserve">Reforma </w:t>
      </w:r>
      <w:r w:rsidR="00842F40" w:rsidRPr="00B4742D">
        <w:t xml:space="preserve">nacionalnog sustava otpremnina u Republici Austriji, prigodom provođenja, utemeljena je na </w:t>
      </w:r>
      <w:r w:rsidRPr="00B4742D">
        <w:t>sljedeć</w:t>
      </w:r>
      <w:r w:rsidR="00F103AB" w:rsidRPr="00B4742D">
        <w:t>im postavkama</w:t>
      </w:r>
      <w:r w:rsidRPr="00B4742D">
        <w:t>:</w:t>
      </w:r>
    </w:p>
    <w:p w:rsidR="007C4F28" w:rsidRPr="00B4742D" w:rsidRDefault="007C4F28" w:rsidP="0076762D">
      <w:pPr>
        <w:pStyle w:val="ListParagraph"/>
        <w:numPr>
          <w:ilvl w:val="0"/>
          <w:numId w:val="21"/>
        </w:numPr>
        <w:ind w:left="567" w:hanging="567"/>
        <w:jc w:val="both"/>
      </w:pPr>
      <w:r w:rsidRPr="00B4742D">
        <w:t xml:space="preserve">razvoj </w:t>
      </w:r>
      <w:r w:rsidR="00F103AB" w:rsidRPr="00B4742D">
        <w:t xml:space="preserve">nacionalnog sustava otpremnina </w:t>
      </w:r>
      <w:r w:rsidRPr="00B4742D">
        <w:t xml:space="preserve">koji svim </w:t>
      </w:r>
      <w:r w:rsidR="00F103AB" w:rsidRPr="00B4742D">
        <w:t>radnicima</w:t>
      </w:r>
      <w:r w:rsidRPr="00B4742D">
        <w:t xml:space="preserve"> u</w:t>
      </w:r>
      <w:r w:rsidR="00F103AB" w:rsidRPr="00B4742D">
        <w:t xml:space="preserve"> Republici</w:t>
      </w:r>
      <w:r w:rsidRPr="00B4742D">
        <w:t xml:space="preserve"> Austriji </w:t>
      </w:r>
      <w:r w:rsidR="00F103AB" w:rsidRPr="00B4742D">
        <w:t>jamči</w:t>
      </w:r>
      <w:r w:rsidRPr="00B4742D">
        <w:t xml:space="preserve"> pristup otpremninama, bez obzira na duljinu staža kod </w:t>
      </w:r>
      <w:r w:rsidR="00F103AB" w:rsidRPr="00B4742D">
        <w:t>konkretnog</w:t>
      </w:r>
      <w:r w:rsidRPr="00B4742D">
        <w:t xml:space="preserve"> poslodavca</w:t>
      </w:r>
      <w:r w:rsidR="00F103AB" w:rsidRPr="00B4742D">
        <w:t>;</w:t>
      </w:r>
    </w:p>
    <w:p w:rsidR="007C4F28" w:rsidRPr="00B4742D" w:rsidRDefault="007C4F28" w:rsidP="0076762D">
      <w:pPr>
        <w:pStyle w:val="ListParagraph"/>
        <w:numPr>
          <w:ilvl w:val="0"/>
          <w:numId w:val="21"/>
        </w:numPr>
        <w:ind w:left="567" w:hanging="567"/>
        <w:jc w:val="both"/>
      </w:pPr>
      <w:r w:rsidRPr="00B4742D">
        <w:t xml:space="preserve">izbjegavanje negativnih učinaka zakonodavstva </w:t>
      </w:r>
      <w:r w:rsidR="00F103AB" w:rsidRPr="00B4742D">
        <w:t>nacionalnog sustava otpremnina</w:t>
      </w:r>
      <w:r w:rsidRPr="00B4742D">
        <w:t xml:space="preserve"> na mobilnost na tržištu rada i gospodarsku učinkovitost</w:t>
      </w:r>
      <w:r w:rsidR="00F103AB" w:rsidRPr="00B4742D">
        <w:t>;</w:t>
      </w:r>
    </w:p>
    <w:p w:rsidR="007C4F28" w:rsidRPr="00B4742D" w:rsidRDefault="007C4F28" w:rsidP="0076762D">
      <w:pPr>
        <w:pStyle w:val="ListParagraph"/>
        <w:numPr>
          <w:ilvl w:val="0"/>
          <w:numId w:val="21"/>
        </w:numPr>
        <w:ind w:left="567" w:hanging="567"/>
        <w:jc w:val="both"/>
      </w:pPr>
      <w:r w:rsidRPr="00B4742D">
        <w:t xml:space="preserve">određivanje obveznih individualnih štednih računa koji </w:t>
      </w:r>
      <w:r w:rsidR="00F103AB" w:rsidRPr="00B4742D">
        <w:t>jamče</w:t>
      </w:r>
      <w:r w:rsidRPr="00B4742D">
        <w:t xml:space="preserve"> da potraživanja </w:t>
      </w:r>
      <w:r w:rsidR="00F103AB" w:rsidRPr="00B4742D">
        <w:t>radnika</w:t>
      </w:r>
      <w:r w:rsidRPr="00B4742D">
        <w:t xml:space="preserve"> budu </w:t>
      </w:r>
      <w:r w:rsidR="00F103AB" w:rsidRPr="00B4742D">
        <w:t>pravovremeno ostvarena; i</w:t>
      </w:r>
    </w:p>
    <w:p w:rsidR="007C4F28" w:rsidRPr="00B4742D" w:rsidRDefault="007C4F28" w:rsidP="0076762D">
      <w:pPr>
        <w:pStyle w:val="ListParagraph"/>
        <w:numPr>
          <w:ilvl w:val="0"/>
          <w:numId w:val="21"/>
        </w:numPr>
        <w:ind w:left="567" w:hanging="567"/>
        <w:jc w:val="both"/>
      </w:pPr>
      <w:r w:rsidRPr="00B4742D">
        <w:t>korištenje ušteda kao potencijalne jezgre za širenje nedovoljno razvijenog kapitalno</w:t>
      </w:r>
      <w:r w:rsidR="00F103AB" w:rsidRPr="00B4742D">
        <w:t>-</w:t>
      </w:r>
      <w:r w:rsidRPr="00B4742D">
        <w:t xml:space="preserve">financiranog stupa austrijskog mirovinskog sustava. </w:t>
      </w:r>
    </w:p>
    <w:p w:rsidR="007C4F28" w:rsidRPr="00B4742D" w:rsidRDefault="007C4F28" w:rsidP="00466D80">
      <w:pPr>
        <w:spacing w:line="240" w:lineRule="auto"/>
        <w:rPr>
          <w:b/>
        </w:rPr>
      </w:pPr>
    </w:p>
    <w:p w:rsidR="007C4F28" w:rsidRPr="00B4742D" w:rsidRDefault="00DB6E7D" w:rsidP="002214A1">
      <w:pPr>
        <w:pStyle w:val="Heading2"/>
        <w:spacing w:line="240" w:lineRule="auto"/>
      </w:pPr>
      <w:bookmarkStart w:id="29" w:name="_Toc365828846"/>
      <w:r w:rsidRPr="00B4742D">
        <w:t xml:space="preserve">5.1. </w:t>
      </w:r>
      <w:r w:rsidR="002214A1" w:rsidRPr="00B4742D">
        <w:t>Stanje prije r</w:t>
      </w:r>
      <w:r w:rsidR="007C4F28" w:rsidRPr="00B4742D">
        <w:t>eform</w:t>
      </w:r>
      <w:r w:rsidR="002214A1" w:rsidRPr="00B4742D">
        <w:t>e</w:t>
      </w:r>
      <w:r w:rsidR="007C4F28" w:rsidRPr="00B4742D">
        <w:t xml:space="preserve"> </w:t>
      </w:r>
      <w:r w:rsidR="002214A1" w:rsidRPr="00B4742D">
        <w:t xml:space="preserve">nacionalnog sustava otpremnina u Republici Austriji </w:t>
      </w:r>
      <w:r w:rsidR="007C4F28" w:rsidRPr="00B4742D">
        <w:t>2003. godine</w:t>
      </w:r>
      <w:bookmarkEnd w:id="29"/>
    </w:p>
    <w:p w:rsidR="007C4F28" w:rsidRPr="00B4742D" w:rsidRDefault="007C4F28" w:rsidP="00466D80">
      <w:pPr>
        <w:spacing w:line="240" w:lineRule="auto"/>
      </w:pPr>
    </w:p>
    <w:p w:rsidR="007C4F28" w:rsidRPr="00B4742D" w:rsidRDefault="007C4F28" w:rsidP="00466D80">
      <w:pPr>
        <w:spacing w:line="240" w:lineRule="auto"/>
      </w:pPr>
      <w:r w:rsidRPr="00B4742D">
        <w:t xml:space="preserve">Do 2002. </w:t>
      </w:r>
      <w:r w:rsidR="00117C34" w:rsidRPr="00B4742D">
        <w:t xml:space="preserve">godine </w:t>
      </w:r>
      <w:r w:rsidRPr="00B4742D">
        <w:t xml:space="preserve">austrijsko </w:t>
      </w:r>
      <w:r w:rsidR="00117C34" w:rsidRPr="00B4742D">
        <w:t xml:space="preserve">je </w:t>
      </w:r>
      <w:r w:rsidRPr="00B4742D">
        <w:t xml:space="preserve">radno zakonodavstvo određivalo </w:t>
      </w:r>
      <w:r w:rsidR="00117C34" w:rsidRPr="00B4742D">
        <w:t>kako</w:t>
      </w:r>
      <w:r w:rsidRPr="00B4742D">
        <w:t xml:space="preserve"> se otpremnine </w:t>
      </w:r>
      <w:r w:rsidR="00117C34" w:rsidRPr="00B4742D">
        <w:t xml:space="preserve">imaju </w:t>
      </w:r>
      <w:r w:rsidRPr="00B4742D">
        <w:t xml:space="preserve">isplaćivati </w:t>
      </w:r>
      <w:r w:rsidR="00117C34" w:rsidRPr="00B4742D">
        <w:t>radnicima</w:t>
      </w:r>
      <w:r w:rsidRPr="00B4742D">
        <w:t xml:space="preserve"> u privatnom sektoru u slučaju </w:t>
      </w:r>
      <w:r w:rsidR="00117C34" w:rsidRPr="00B4742D">
        <w:t>prestanka</w:t>
      </w:r>
      <w:r w:rsidRPr="00B4742D">
        <w:t xml:space="preserve"> ugovora o radu</w:t>
      </w:r>
      <w:r w:rsidR="00117C34" w:rsidRPr="00B4742D">
        <w:t xml:space="preserve">, </w:t>
      </w:r>
      <w:r w:rsidRPr="00B4742D">
        <w:t>od strane poslodavca ili suglasno</w:t>
      </w:r>
      <w:r w:rsidR="00117C34" w:rsidRPr="00B4742D">
        <w:t>šću volja obaju stana</w:t>
      </w:r>
      <w:r w:rsidRPr="00B4742D">
        <w:t xml:space="preserve">, </w:t>
      </w:r>
      <w:r w:rsidR="0023640B" w:rsidRPr="00B4742D">
        <w:t xml:space="preserve">i to </w:t>
      </w:r>
      <w:r w:rsidRPr="00B4742D">
        <w:t xml:space="preserve">ukoliko je </w:t>
      </w:r>
      <w:r w:rsidR="00117C34" w:rsidRPr="00B4742D">
        <w:t>radnik</w:t>
      </w:r>
      <w:r w:rsidRPr="00B4742D">
        <w:t xml:space="preserve"> </w:t>
      </w:r>
      <w:r w:rsidR="00117C34" w:rsidRPr="00B4742D">
        <w:t>kod</w:t>
      </w:r>
      <w:r w:rsidRPr="00B4742D">
        <w:t xml:space="preserve"> poslodavca radio barem tri godine. Poč</w:t>
      </w:r>
      <w:r w:rsidR="00117C34" w:rsidRPr="00B4742D">
        <w:t>am</w:t>
      </w:r>
      <w:r w:rsidRPr="00B4742D">
        <w:t xml:space="preserve"> s dvije mjesečne plaće nakon tri godine rada za određeno</w:t>
      </w:r>
      <w:r w:rsidR="00117C34" w:rsidRPr="00B4742D">
        <w:t>g poslodavca</w:t>
      </w:r>
      <w:r w:rsidRPr="00B4742D">
        <w:t xml:space="preserve">, plaćanja su se povećavala </w:t>
      </w:r>
      <w:r w:rsidR="00117C34" w:rsidRPr="00B4742D">
        <w:t xml:space="preserve">ovisno o </w:t>
      </w:r>
      <w:r w:rsidRPr="00B4742D">
        <w:t>trajanj</w:t>
      </w:r>
      <w:r w:rsidR="00117C34" w:rsidRPr="00B4742D">
        <w:t>u radnog odnosa pa</w:t>
      </w:r>
      <w:r w:rsidRPr="00B4742D">
        <w:t xml:space="preserve"> sve do maksimaln</w:t>
      </w:r>
      <w:r w:rsidR="00117C34" w:rsidRPr="00B4742D">
        <w:t xml:space="preserve">og iznosa u visini </w:t>
      </w:r>
      <w:r w:rsidRPr="00B4742D">
        <w:t>jednog godišnje</w:t>
      </w:r>
      <w:r w:rsidR="00117C34" w:rsidRPr="00B4742D">
        <w:t xml:space="preserve"> plaće,</w:t>
      </w:r>
      <w:r w:rsidRPr="00B4742D">
        <w:t xml:space="preserve"> nakon </w:t>
      </w:r>
      <w:r w:rsidR="005523BB" w:rsidRPr="00B4742D">
        <w:t>dvadesetpet</w:t>
      </w:r>
      <w:r w:rsidRPr="00B4742D">
        <w:t xml:space="preserve"> godina</w:t>
      </w:r>
      <w:r w:rsidR="00117C34" w:rsidRPr="00B4742D">
        <w:t xml:space="preserve"> staža radnika kod poslodavca</w:t>
      </w:r>
      <w:r w:rsidRPr="00B4742D">
        <w:t>.</w:t>
      </w:r>
    </w:p>
    <w:p w:rsidR="007C4F28" w:rsidRPr="00B4742D" w:rsidRDefault="007C4F28" w:rsidP="00466D80">
      <w:pPr>
        <w:spacing w:line="240" w:lineRule="auto"/>
      </w:pPr>
    </w:p>
    <w:p w:rsidR="007C4F28" w:rsidRPr="00B4742D" w:rsidRDefault="007C4F28" w:rsidP="00466D80">
      <w:pPr>
        <w:spacing w:line="240" w:lineRule="auto"/>
      </w:pPr>
      <w:r w:rsidRPr="00B4742D">
        <w:t xml:space="preserve">Stari sustav određivao je </w:t>
      </w:r>
      <w:r w:rsidR="00F73A27" w:rsidRPr="00B4742D">
        <w:t>pravo na otpremninu na sljedećoj razini mjesečnih bruto plaća, ovisno o stažu radnika kod poslodavca</w:t>
      </w:r>
      <w:r w:rsidRPr="00B4742D">
        <w:t>:</w:t>
      </w:r>
    </w:p>
    <w:p w:rsidR="007C4F28" w:rsidRPr="00B4742D" w:rsidRDefault="00F73A27" w:rsidP="0076762D">
      <w:pPr>
        <w:pStyle w:val="ListParagraph"/>
        <w:numPr>
          <w:ilvl w:val="0"/>
          <w:numId w:val="1"/>
        </w:numPr>
        <w:ind w:left="567" w:hanging="567"/>
        <w:jc w:val="both"/>
      </w:pPr>
      <w:r w:rsidRPr="00B4742D">
        <w:t>n</w:t>
      </w:r>
      <w:r w:rsidR="007C4F28" w:rsidRPr="00B4742D">
        <w:t xml:space="preserve">akon </w:t>
      </w:r>
      <w:r w:rsidRPr="00B4742D">
        <w:t>dvije</w:t>
      </w:r>
      <w:r w:rsidR="007C4F28" w:rsidRPr="00B4742D">
        <w:t xml:space="preserve"> godine staža:</w:t>
      </w:r>
      <w:r w:rsidR="007C4F28" w:rsidRPr="00B4742D">
        <w:tab/>
      </w:r>
      <w:r w:rsidR="007C4F28" w:rsidRPr="00B4742D">
        <w:tab/>
      </w:r>
      <w:r w:rsidRPr="00B4742D">
        <w:t>dvije</w:t>
      </w:r>
      <w:r w:rsidR="007C4F28" w:rsidRPr="00B4742D">
        <w:t xml:space="preserve"> plaće</w:t>
      </w:r>
      <w:r w:rsidRPr="00B4742D">
        <w:t>;</w:t>
      </w:r>
    </w:p>
    <w:p w:rsidR="007C4F28" w:rsidRPr="00B4742D" w:rsidRDefault="00F73A27" w:rsidP="0076762D">
      <w:pPr>
        <w:pStyle w:val="ListParagraph"/>
        <w:numPr>
          <w:ilvl w:val="0"/>
          <w:numId w:val="1"/>
        </w:numPr>
        <w:ind w:left="567" w:hanging="567"/>
        <w:jc w:val="both"/>
      </w:pPr>
      <w:r w:rsidRPr="00B4742D">
        <w:t>n</w:t>
      </w:r>
      <w:r w:rsidR="007C4F28" w:rsidRPr="00B4742D">
        <w:t xml:space="preserve">akon </w:t>
      </w:r>
      <w:r w:rsidRPr="00B4742D">
        <w:t>pet</w:t>
      </w:r>
      <w:r w:rsidR="007C4F28" w:rsidRPr="00B4742D">
        <w:t xml:space="preserve"> godina staža:</w:t>
      </w:r>
      <w:r w:rsidRPr="00B4742D">
        <w:tab/>
      </w:r>
      <w:r w:rsidR="007C4F28" w:rsidRPr="00B4742D">
        <w:tab/>
      </w:r>
      <w:r w:rsidR="007C4F28" w:rsidRPr="00B4742D">
        <w:tab/>
      </w:r>
      <w:r w:rsidRPr="00B4742D">
        <w:t xml:space="preserve">tri </w:t>
      </w:r>
      <w:r w:rsidR="007C4F28" w:rsidRPr="00B4742D">
        <w:t>plaće</w:t>
      </w:r>
      <w:r w:rsidRPr="00B4742D">
        <w:t>;</w:t>
      </w:r>
    </w:p>
    <w:p w:rsidR="007C4F28" w:rsidRPr="00B4742D" w:rsidRDefault="00F73A27" w:rsidP="0076762D">
      <w:pPr>
        <w:pStyle w:val="ListParagraph"/>
        <w:numPr>
          <w:ilvl w:val="0"/>
          <w:numId w:val="1"/>
        </w:numPr>
        <w:ind w:left="567" w:hanging="567"/>
        <w:jc w:val="both"/>
      </w:pPr>
      <w:r w:rsidRPr="00B4742D">
        <w:t>n</w:t>
      </w:r>
      <w:r w:rsidR="007C4F28" w:rsidRPr="00B4742D">
        <w:t xml:space="preserve">akon </w:t>
      </w:r>
      <w:r w:rsidRPr="00B4742D">
        <w:t>deset</w:t>
      </w:r>
      <w:r w:rsidR="007C4F28" w:rsidRPr="00B4742D">
        <w:t xml:space="preserve"> godina staža:</w:t>
      </w:r>
      <w:r w:rsidR="007C4F28" w:rsidRPr="00B4742D">
        <w:tab/>
      </w:r>
      <w:r w:rsidR="007C4F28" w:rsidRPr="00B4742D">
        <w:tab/>
      </w:r>
      <w:r w:rsidRPr="00B4742D">
        <w:t>četiri</w:t>
      </w:r>
      <w:r w:rsidR="007C4F28" w:rsidRPr="00B4742D">
        <w:t xml:space="preserve"> plaće</w:t>
      </w:r>
      <w:r w:rsidRPr="00B4742D">
        <w:t>;</w:t>
      </w:r>
    </w:p>
    <w:p w:rsidR="007C4F28" w:rsidRPr="00B4742D" w:rsidRDefault="00F73A27" w:rsidP="0076762D">
      <w:pPr>
        <w:pStyle w:val="ListParagraph"/>
        <w:numPr>
          <w:ilvl w:val="0"/>
          <w:numId w:val="1"/>
        </w:numPr>
        <w:ind w:left="567" w:hanging="567"/>
        <w:jc w:val="both"/>
      </w:pPr>
      <w:r w:rsidRPr="00B4742D">
        <w:t>n</w:t>
      </w:r>
      <w:r w:rsidR="007C4F28" w:rsidRPr="00B4742D">
        <w:t xml:space="preserve">akon </w:t>
      </w:r>
      <w:r w:rsidRPr="00B4742D">
        <w:t>petnaest</w:t>
      </w:r>
      <w:r w:rsidR="007C4F28" w:rsidRPr="00B4742D">
        <w:t xml:space="preserve"> godina staža:</w:t>
      </w:r>
      <w:r w:rsidR="007C4F28" w:rsidRPr="00B4742D">
        <w:tab/>
      </w:r>
      <w:r w:rsidR="007C4F28" w:rsidRPr="00B4742D">
        <w:tab/>
      </w:r>
      <w:r w:rsidRPr="00B4742D">
        <w:t>šest</w:t>
      </w:r>
      <w:r w:rsidR="007C4F28" w:rsidRPr="00B4742D">
        <w:t xml:space="preserve"> plaća</w:t>
      </w:r>
      <w:r w:rsidRPr="00B4742D">
        <w:t>;</w:t>
      </w:r>
    </w:p>
    <w:p w:rsidR="007C4F28" w:rsidRPr="00B4742D" w:rsidRDefault="00F73A27" w:rsidP="0076762D">
      <w:pPr>
        <w:pStyle w:val="ListParagraph"/>
        <w:numPr>
          <w:ilvl w:val="0"/>
          <w:numId w:val="1"/>
        </w:numPr>
        <w:ind w:left="567" w:hanging="567"/>
        <w:jc w:val="both"/>
      </w:pPr>
      <w:r w:rsidRPr="00B4742D">
        <w:t>n</w:t>
      </w:r>
      <w:r w:rsidR="007C4F28" w:rsidRPr="00B4742D">
        <w:t xml:space="preserve">akon </w:t>
      </w:r>
      <w:r w:rsidRPr="00B4742D">
        <w:t>dvadeset</w:t>
      </w:r>
      <w:r w:rsidR="007C4F28" w:rsidRPr="00B4742D">
        <w:t xml:space="preserve"> godina staža:</w:t>
      </w:r>
      <w:r w:rsidR="007C4F28" w:rsidRPr="00B4742D">
        <w:tab/>
      </w:r>
      <w:r w:rsidR="007C4F28" w:rsidRPr="00B4742D">
        <w:tab/>
      </w:r>
      <w:r w:rsidRPr="00B4742D">
        <w:t>devet</w:t>
      </w:r>
      <w:r w:rsidR="007C4F28" w:rsidRPr="00B4742D">
        <w:t xml:space="preserve"> plaća</w:t>
      </w:r>
      <w:r w:rsidRPr="00B4742D">
        <w:t>; i</w:t>
      </w:r>
    </w:p>
    <w:p w:rsidR="007C4F28" w:rsidRPr="00B4742D" w:rsidRDefault="00F73A27" w:rsidP="0076762D">
      <w:pPr>
        <w:pStyle w:val="ListParagraph"/>
        <w:numPr>
          <w:ilvl w:val="0"/>
          <w:numId w:val="1"/>
        </w:numPr>
        <w:ind w:left="567" w:hanging="567"/>
        <w:jc w:val="both"/>
      </w:pPr>
      <w:r w:rsidRPr="00B4742D">
        <w:t>n</w:t>
      </w:r>
      <w:r w:rsidR="007C4F28" w:rsidRPr="00B4742D">
        <w:t xml:space="preserve">akon </w:t>
      </w:r>
      <w:r w:rsidRPr="00B4742D">
        <w:t>dvadesetpet</w:t>
      </w:r>
      <w:r w:rsidR="007C4F28" w:rsidRPr="00B4742D">
        <w:t xml:space="preserve"> godina staža:</w:t>
      </w:r>
      <w:r w:rsidR="007C4F28" w:rsidRPr="00B4742D">
        <w:tab/>
      </w:r>
      <w:r w:rsidRPr="00B4742D">
        <w:t>dvanaest</w:t>
      </w:r>
      <w:r w:rsidR="007C4F28" w:rsidRPr="00B4742D">
        <w:t xml:space="preserve"> plaća</w:t>
      </w:r>
      <w:r w:rsidRPr="00B4742D">
        <w:t>.</w:t>
      </w:r>
    </w:p>
    <w:p w:rsidR="007C4F28" w:rsidRPr="00B4742D" w:rsidRDefault="007C4F28" w:rsidP="00466D80">
      <w:pPr>
        <w:spacing w:line="240" w:lineRule="auto"/>
      </w:pPr>
    </w:p>
    <w:p w:rsidR="007C4F28" w:rsidRPr="00B4742D" w:rsidRDefault="00F73A27" w:rsidP="00466D80">
      <w:pPr>
        <w:spacing w:line="240" w:lineRule="auto"/>
      </w:pPr>
      <w:r w:rsidRPr="00B4742D">
        <w:lastRenderedPageBreak/>
        <w:t>K</w:t>
      </w:r>
      <w:r w:rsidR="007C4F28" w:rsidRPr="00B4742D">
        <w:t>njigovodstveno</w:t>
      </w:r>
      <w:r w:rsidRPr="00B4742D">
        <w:t xml:space="preserve">, </w:t>
      </w:r>
      <w:r w:rsidR="007C4F28" w:rsidRPr="00B4742D">
        <w:t>otpremnine su</w:t>
      </w:r>
      <w:r w:rsidRPr="00B4742D">
        <w:t>, kod poslodavca,</w:t>
      </w:r>
      <w:r w:rsidR="007C4F28" w:rsidRPr="00B4742D">
        <w:t xml:space="preserve"> evidentirane kao redovna povećanja plaće. Poslodavci su na svojim računima </w:t>
      </w:r>
      <w:r w:rsidRPr="00B4742D">
        <w:t xml:space="preserve">morali </w:t>
      </w:r>
      <w:r w:rsidR="007C4F28" w:rsidRPr="00B4742D">
        <w:t>osiguravati barem polovinu prava na otpremnine koje su bile pred dospijećem.</w:t>
      </w:r>
    </w:p>
    <w:p w:rsidR="007C4F28" w:rsidRPr="00B4742D" w:rsidRDefault="007C4F28" w:rsidP="00466D80">
      <w:pPr>
        <w:spacing w:line="240" w:lineRule="auto"/>
      </w:pPr>
    </w:p>
    <w:p w:rsidR="007C4F28" w:rsidRPr="00B4742D" w:rsidRDefault="007C4F28" w:rsidP="00466D80">
      <w:pPr>
        <w:spacing w:line="240" w:lineRule="auto"/>
      </w:pPr>
      <w:r w:rsidRPr="00B4742D">
        <w:t xml:space="preserve">Reformiranje sustava otpremnina u </w:t>
      </w:r>
      <w:r w:rsidR="00F73A27" w:rsidRPr="00B4742D">
        <w:t xml:space="preserve">Republici </w:t>
      </w:r>
      <w:r w:rsidRPr="00B4742D">
        <w:t>Austriji dugo</w:t>
      </w:r>
      <w:r w:rsidR="00F73A27" w:rsidRPr="00B4742D">
        <w:t xml:space="preserve"> je</w:t>
      </w:r>
      <w:r w:rsidRPr="00B4742D">
        <w:t xml:space="preserve"> vremena bilo u središtu polemike.</w:t>
      </w:r>
      <w:r w:rsidR="00F73A27" w:rsidRPr="00B4742D">
        <w:rPr>
          <w:rStyle w:val="FootnoteReference"/>
        </w:rPr>
        <w:footnoteReference w:id="82"/>
      </w:r>
      <w:r w:rsidRPr="00B4742D">
        <w:t xml:space="preserve"> Raniji je sustav stavljen pod znak pitanja iz tri glavna razloga. </w:t>
      </w:r>
    </w:p>
    <w:p w:rsidR="007C4F28" w:rsidRPr="002017C6" w:rsidRDefault="007C4F28" w:rsidP="00466D80">
      <w:pPr>
        <w:spacing w:line="240" w:lineRule="auto"/>
      </w:pPr>
    </w:p>
    <w:p w:rsidR="007C4F28" w:rsidRPr="00B4742D" w:rsidRDefault="007C4F28" w:rsidP="00466D80">
      <w:pPr>
        <w:spacing w:line="240" w:lineRule="auto"/>
      </w:pPr>
      <w:r w:rsidRPr="002017C6">
        <w:t xml:space="preserve">Prvi važan problem </w:t>
      </w:r>
      <w:r w:rsidR="00AE7171" w:rsidRPr="00FE70C5">
        <w:t xml:space="preserve">koji je proizlazio iz prethodnog </w:t>
      </w:r>
      <w:r w:rsidRPr="009336BF">
        <w:t>zakon</w:t>
      </w:r>
      <w:r w:rsidR="00AE7171" w:rsidRPr="009336BF">
        <w:t xml:space="preserve">skog rješenja o </w:t>
      </w:r>
      <w:r w:rsidRPr="00C7332E">
        <w:t>otpremnina</w:t>
      </w:r>
      <w:r w:rsidR="00AE7171" w:rsidRPr="00C7332E">
        <w:t>ma</w:t>
      </w:r>
      <w:r w:rsidRPr="00C7332E">
        <w:t xml:space="preserve"> bila je </w:t>
      </w:r>
      <w:r w:rsidR="00AE7171" w:rsidRPr="00C7332E">
        <w:t xml:space="preserve">diferencijacija spram </w:t>
      </w:r>
      <w:r w:rsidRPr="006C4F67">
        <w:t xml:space="preserve">prava </w:t>
      </w:r>
      <w:r w:rsidR="00AE7171" w:rsidRPr="006C4F67">
        <w:t xml:space="preserve">na otpremninu </w:t>
      </w:r>
      <w:r w:rsidRPr="006C4F67">
        <w:t xml:space="preserve">među </w:t>
      </w:r>
      <w:r w:rsidR="00AE7171" w:rsidRPr="006C4F67">
        <w:t>radnicima</w:t>
      </w:r>
      <w:r w:rsidRPr="00B74757">
        <w:t xml:space="preserve">. Austrijska sindikalna federacija zahtijevala je proširenje prava na isplatu otpremnina na način da </w:t>
      </w:r>
      <w:r w:rsidR="00AE7171" w:rsidRPr="00B74757">
        <w:t xml:space="preserve">budu </w:t>
      </w:r>
      <w:r w:rsidRPr="00B74757">
        <w:t>pokriveni ne samo otkazi</w:t>
      </w:r>
      <w:r w:rsidR="00AE7171" w:rsidRPr="009769E7">
        <w:t xml:space="preserve"> ugovora o radu</w:t>
      </w:r>
      <w:r w:rsidRPr="004D0AD5">
        <w:t xml:space="preserve"> </w:t>
      </w:r>
      <w:r w:rsidR="00AE7171" w:rsidRPr="004D0AD5">
        <w:t xml:space="preserve">radnicima </w:t>
      </w:r>
      <w:r w:rsidRPr="004D0AD5">
        <w:t>već i slučajevi otkaza</w:t>
      </w:r>
      <w:r w:rsidR="00AE7171" w:rsidRPr="00E1401E">
        <w:t xml:space="preserve"> ugovora o radu</w:t>
      </w:r>
      <w:r w:rsidRPr="00D00975">
        <w:t xml:space="preserve"> radnika poslodavcu</w:t>
      </w:r>
      <w:r w:rsidR="000D55A1" w:rsidRPr="00D00975">
        <w:t xml:space="preserve"> </w:t>
      </w:r>
      <w:r w:rsidRPr="00A26596">
        <w:t xml:space="preserve">i </w:t>
      </w:r>
      <w:r w:rsidR="00AE7171" w:rsidRPr="008B2ED7">
        <w:t xml:space="preserve">situacije koje uključuju </w:t>
      </w:r>
      <w:r w:rsidRPr="008B2ED7">
        <w:t>sezonsk</w:t>
      </w:r>
      <w:r w:rsidR="00AE7171" w:rsidRPr="008B2ED7">
        <w:t>i rad</w:t>
      </w:r>
      <w:r w:rsidR="002214A1" w:rsidRPr="008B2ED7">
        <w:t>, odnosno sezonsko zapošljavanje</w:t>
      </w:r>
      <w:r w:rsidRPr="007B61AF">
        <w:t>.</w:t>
      </w:r>
      <w:r w:rsidR="002214A1" w:rsidRPr="007B61AF">
        <w:t xml:space="preserve"> To je i zahtijeva</w:t>
      </w:r>
      <w:r w:rsidR="002214A1" w:rsidRPr="00B4742D">
        <w:t>la u pregovorima.</w:t>
      </w:r>
      <w:r w:rsidRPr="00B4742D">
        <w:t xml:space="preserve"> Prema</w:t>
      </w:r>
      <w:r w:rsidR="00AE7171" w:rsidRPr="00B4742D">
        <w:t xml:space="preserve"> nekim procjenama samo je</w:t>
      </w:r>
      <w:r w:rsidRPr="00B4742D">
        <w:t xml:space="preserve"> jedna trećina svih radnika ostvarila pravo na otpremnin</w:t>
      </w:r>
      <w:r w:rsidR="00AE7171" w:rsidRPr="00B4742D">
        <w:t>u</w:t>
      </w:r>
      <w:r w:rsidRPr="00B4742D">
        <w:t>.</w:t>
      </w:r>
      <w:r w:rsidR="00AE7171" w:rsidRPr="00B4742D">
        <w:rPr>
          <w:rStyle w:val="FootnoteReference"/>
        </w:rPr>
        <w:footnoteReference w:id="83"/>
      </w:r>
    </w:p>
    <w:p w:rsidR="007C4F28" w:rsidRPr="00B4742D" w:rsidRDefault="007C4F28" w:rsidP="00466D80">
      <w:pPr>
        <w:spacing w:line="240" w:lineRule="auto"/>
      </w:pPr>
    </w:p>
    <w:p w:rsidR="007C4F28" w:rsidRPr="006C4F67" w:rsidRDefault="00AE7171" w:rsidP="00466D80">
      <w:pPr>
        <w:spacing w:line="240" w:lineRule="auto"/>
      </w:pPr>
      <w:r w:rsidRPr="002017C6">
        <w:t>D</w:t>
      </w:r>
      <w:r w:rsidR="007C4F28" w:rsidRPr="002017C6">
        <w:t>rugo, sustav je bio izložen kritic</w:t>
      </w:r>
      <w:r w:rsidR="007C4F28" w:rsidRPr="00FE70C5">
        <w:t xml:space="preserve">i zbog svojeg učinka u smislu sprječavanja mobilnosti na tržištu rada i ograničenja u odnosu na pravo na </w:t>
      </w:r>
      <w:r w:rsidR="007C4F28" w:rsidRPr="009336BF">
        <w:t xml:space="preserve">otpremninu. Za </w:t>
      </w:r>
      <w:r w:rsidRPr="009336BF">
        <w:t xml:space="preserve">radnike prethodno je zakonsko uređenje </w:t>
      </w:r>
      <w:r w:rsidR="007C4F28" w:rsidRPr="00C7332E">
        <w:t>smanji</w:t>
      </w:r>
      <w:r w:rsidRPr="00C7332E">
        <w:t>l</w:t>
      </w:r>
      <w:r w:rsidR="007C4F28" w:rsidRPr="00C7332E">
        <w:t xml:space="preserve">o poticaje da mijenjaju poslodavce, budući da </w:t>
      </w:r>
      <w:r w:rsidRPr="00C7332E">
        <w:t>su</w:t>
      </w:r>
      <w:r w:rsidR="007C4F28" w:rsidRPr="006C4F67">
        <w:t xml:space="preserve"> gubili pravo na otpremninu u slučaju da bi sami </w:t>
      </w:r>
      <w:r w:rsidR="002214A1" w:rsidRPr="006C4F67">
        <w:t xml:space="preserve">inicirali prestanak </w:t>
      </w:r>
      <w:r w:rsidR="007C4F28" w:rsidRPr="006C4F67">
        <w:t xml:space="preserve">ugovor o radu. </w:t>
      </w:r>
    </w:p>
    <w:p w:rsidR="007C4F28" w:rsidRPr="006C4F67" w:rsidRDefault="007C4F28" w:rsidP="00466D80">
      <w:pPr>
        <w:spacing w:line="240" w:lineRule="auto"/>
      </w:pPr>
    </w:p>
    <w:p w:rsidR="007C4F28" w:rsidRPr="009336BF" w:rsidRDefault="002214A1" w:rsidP="00466D80">
      <w:pPr>
        <w:spacing w:line="240" w:lineRule="auto"/>
      </w:pPr>
      <w:r w:rsidRPr="00B74757">
        <w:t xml:space="preserve">Treće, prethodno je uređenje </w:t>
      </w:r>
      <w:r w:rsidR="007C4F28" w:rsidRPr="00B74757">
        <w:t>također ima</w:t>
      </w:r>
      <w:r w:rsidRPr="00B74757">
        <w:t>l</w:t>
      </w:r>
      <w:r w:rsidR="007C4F28" w:rsidRPr="00B74757">
        <w:t>o neke nedostatke za</w:t>
      </w:r>
      <w:r w:rsidR="007C4F28" w:rsidRPr="009769E7">
        <w:t xml:space="preserve"> po</w:t>
      </w:r>
      <w:r w:rsidRPr="004D0AD5">
        <w:t>slodavce</w:t>
      </w:r>
      <w:r w:rsidR="007C4F28" w:rsidRPr="004D0AD5">
        <w:t>, posebno za mal</w:t>
      </w:r>
      <w:r w:rsidRPr="004D0AD5">
        <w:t>e</w:t>
      </w:r>
      <w:r w:rsidR="007C4F28" w:rsidRPr="00E1401E">
        <w:t xml:space="preserve"> i srednj</w:t>
      </w:r>
      <w:r w:rsidRPr="00D00975">
        <w:t>e poslodavce</w:t>
      </w:r>
      <w:r w:rsidR="007C4F28" w:rsidRPr="00A26596">
        <w:t>.</w:t>
      </w:r>
      <w:r w:rsidRPr="00B4742D">
        <w:rPr>
          <w:rStyle w:val="FootnoteReference"/>
        </w:rPr>
        <w:footnoteReference w:id="84"/>
      </w:r>
      <w:r w:rsidR="007C4F28" w:rsidRPr="00B4742D">
        <w:t xml:space="preserve"> Moglo je doći do problema s likvidnošću ako bi </w:t>
      </w:r>
      <w:r w:rsidRPr="00B4742D">
        <w:t>poslodavci</w:t>
      </w:r>
      <w:r w:rsidR="007C4F28" w:rsidRPr="00B4742D">
        <w:t xml:space="preserve"> u nekom trenutku trebal</w:t>
      </w:r>
      <w:r w:rsidRPr="002017C6">
        <w:t>i</w:t>
      </w:r>
      <w:r w:rsidR="007C4F28" w:rsidRPr="002017C6">
        <w:t xml:space="preserve"> izvršiti isplate otpremnina</w:t>
      </w:r>
      <w:r w:rsidRPr="00FE70C5">
        <w:t xml:space="preserve"> većem broju radnika</w:t>
      </w:r>
      <w:r w:rsidR="007C4F28" w:rsidRPr="009336BF">
        <w:t xml:space="preserve">. </w:t>
      </w:r>
    </w:p>
    <w:p w:rsidR="007C4F28" w:rsidRPr="009336BF" w:rsidRDefault="007C4F28" w:rsidP="00466D80">
      <w:pPr>
        <w:spacing w:line="240" w:lineRule="auto"/>
      </w:pPr>
    </w:p>
    <w:p w:rsidR="007C4F28" w:rsidRPr="009769E7" w:rsidRDefault="007C4F28" w:rsidP="00466D80">
      <w:pPr>
        <w:spacing w:line="240" w:lineRule="auto"/>
      </w:pPr>
      <w:r w:rsidRPr="00C7332E">
        <w:t xml:space="preserve">Vlada je 2002. </w:t>
      </w:r>
      <w:r w:rsidR="002214A1" w:rsidRPr="00C7332E">
        <w:t xml:space="preserve">godine ukazala i na </w:t>
      </w:r>
      <w:r w:rsidRPr="00C7332E">
        <w:t xml:space="preserve">još jedno pitanje. U svom koalicijskom programu istakla je namjeru da razvije mirovinski sustav koji se sastoji od tri stupa: već postojeći stup sustava </w:t>
      </w:r>
      <w:r w:rsidR="0023640B" w:rsidRPr="006C4F67">
        <w:t>među</w:t>
      </w:r>
      <w:r w:rsidRPr="006C4F67">
        <w:t xml:space="preserve">generacijske solidarnosti, drugi stup s obveznim kapitaliziranim financiranjem </w:t>
      </w:r>
      <w:r w:rsidR="002214A1" w:rsidRPr="006C4F67">
        <w:t>te</w:t>
      </w:r>
      <w:r w:rsidRPr="006C4F67">
        <w:t xml:space="preserve"> treći</w:t>
      </w:r>
      <w:r w:rsidR="002214A1" w:rsidRPr="00B74757">
        <w:t>,</w:t>
      </w:r>
      <w:r w:rsidRPr="00B74757">
        <w:t xml:space="preserve"> dobrovoljno financirani</w:t>
      </w:r>
      <w:r w:rsidR="002214A1" w:rsidRPr="00B74757">
        <w:t>,</w:t>
      </w:r>
      <w:r w:rsidRPr="00B74757">
        <w:t xml:space="preserve"> stup. Vladin cilj bi</w:t>
      </w:r>
      <w:r w:rsidRPr="009769E7">
        <w:t>o je transformirati sustav obvezujućih otpremnina u program novih strukovnih mirovina koji bi funkcionirao kao drugi stup mirovinskog sustava.</w:t>
      </w:r>
    </w:p>
    <w:p w:rsidR="007C4F28" w:rsidRPr="004D0AD5" w:rsidRDefault="007C4F28" w:rsidP="00466D80">
      <w:pPr>
        <w:spacing w:line="240" w:lineRule="auto"/>
        <w:rPr>
          <w:b/>
        </w:rPr>
      </w:pPr>
    </w:p>
    <w:p w:rsidR="007C4F28" w:rsidRPr="008B2ED7" w:rsidRDefault="00DB6E7D" w:rsidP="002214A1">
      <w:pPr>
        <w:pStyle w:val="Heading2"/>
        <w:spacing w:line="240" w:lineRule="auto"/>
      </w:pPr>
      <w:bookmarkStart w:id="30" w:name="_Toc365828847"/>
      <w:r w:rsidRPr="00E1401E">
        <w:t xml:space="preserve">5.2. </w:t>
      </w:r>
      <w:r w:rsidR="007C4F28" w:rsidRPr="00D00975">
        <w:t xml:space="preserve">Novi austrijski </w:t>
      </w:r>
      <w:r w:rsidR="00F36054" w:rsidRPr="00D00975">
        <w:t>nacionalni sustav</w:t>
      </w:r>
      <w:r w:rsidR="007C4F28" w:rsidRPr="00A26596">
        <w:t xml:space="preserve"> otpremnina</w:t>
      </w:r>
      <w:r w:rsidR="002214A1" w:rsidRPr="008B2ED7">
        <w:t xml:space="preserve"> nakon reforme nacionalnog sustava otpremnina u Republici Austriji 2003. godine</w:t>
      </w:r>
      <w:bookmarkEnd w:id="30"/>
    </w:p>
    <w:p w:rsidR="007C4F28" w:rsidRPr="008B2ED7" w:rsidRDefault="007C4F28" w:rsidP="00466D80">
      <w:pPr>
        <w:spacing w:line="240" w:lineRule="auto"/>
      </w:pPr>
    </w:p>
    <w:p w:rsidR="007C4F28" w:rsidRPr="00B4742D" w:rsidRDefault="007C4F28" w:rsidP="00466D80">
      <w:pPr>
        <w:spacing w:line="240" w:lineRule="auto"/>
      </w:pPr>
      <w:r w:rsidRPr="00B4742D">
        <w:t>Nakon sveobuhvatnih pregovora sa socijalnim partnerima u ljeto 2002.</w:t>
      </w:r>
      <w:r w:rsidR="006139E5" w:rsidRPr="00B4742D">
        <w:t xml:space="preserve"> godine</w:t>
      </w:r>
      <w:r w:rsidRPr="00B4742D">
        <w:t xml:space="preserve"> postignut</w:t>
      </w:r>
      <w:r w:rsidR="006139E5" w:rsidRPr="00B4742D">
        <w:t xml:space="preserve"> je</w:t>
      </w:r>
      <w:r w:rsidRPr="00B4742D">
        <w:t xml:space="preserve"> sporazum o novom</w:t>
      </w:r>
      <w:r w:rsidR="006139E5" w:rsidRPr="00B4742D">
        <w:t xml:space="preserve"> uređenju nacionalnog sustava </w:t>
      </w:r>
      <w:r w:rsidRPr="00B4742D">
        <w:t xml:space="preserve">otpremnina. Reforma u značajnoj mjeri proširuje pravo na isplatu otpremnine. </w:t>
      </w:r>
      <w:r w:rsidR="006139E5" w:rsidRPr="00B4742D">
        <w:t>To se p</w:t>
      </w:r>
      <w:r w:rsidRPr="00B4742D">
        <w:t xml:space="preserve">ravo </w:t>
      </w:r>
      <w:r w:rsidR="006139E5" w:rsidRPr="00B4742D">
        <w:t xml:space="preserve">povezuje sa radnim odnosom, u tom smislu odnos u vezi sa otpremninom </w:t>
      </w:r>
      <w:r w:rsidRPr="00B4742D">
        <w:t xml:space="preserve">započinje od prvog dana </w:t>
      </w:r>
      <w:r w:rsidR="006139E5" w:rsidRPr="00B4742D">
        <w:t>rada</w:t>
      </w:r>
      <w:r w:rsidRPr="00B4742D">
        <w:t xml:space="preserve"> i ne ovisi o načinu </w:t>
      </w:r>
      <w:r w:rsidR="006139E5" w:rsidRPr="00B4742D">
        <w:t>prestanka</w:t>
      </w:r>
      <w:r w:rsidRPr="00B4742D">
        <w:t xml:space="preserve"> ugovora</w:t>
      </w:r>
      <w:r w:rsidR="006139E5" w:rsidRPr="00B4742D">
        <w:t xml:space="preserve"> o radu</w:t>
      </w:r>
      <w:r w:rsidRPr="00B4742D">
        <w:t xml:space="preserve">. </w:t>
      </w:r>
      <w:r w:rsidRPr="00B4742D">
        <w:lastRenderedPageBreak/>
        <w:t xml:space="preserve">Poslodavci moraju plaćati doprinos od 1,5377 posto plaće u fond koji je određen temeljem sporazuma </w:t>
      </w:r>
      <w:r w:rsidR="006139E5" w:rsidRPr="00B4742D">
        <w:t xml:space="preserve">sklopljenog </w:t>
      </w:r>
      <w:r w:rsidRPr="00B4742D">
        <w:t>između poslodavca i radničkog vijeća, i to od prvog dana</w:t>
      </w:r>
      <w:r w:rsidR="006139E5" w:rsidRPr="00B4742D">
        <w:t xml:space="preserve"> radnog odnosa</w:t>
      </w:r>
      <w:r w:rsidRPr="00B4742D">
        <w:t>. Postojeća prava na otpremnine prema starom sustavu ostaju nepromijenjena.</w:t>
      </w:r>
    </w:p>
    <w:p w:rsidR="007C4F28" w:rsidRPr="00B4742D" w:rsidRDefault="007C4F28" w:rsidP="00466D80">
      <w:pPr>
        <w:spacing w:line="240" w:lineRule="auto"/>
      </w:pPr>
    </w:p>
    <w:p w:rsidR="007C4F28" w:rsidRPr="00B4742D" w:rsidRDefault="007C4F28" w:rsidP="00466D80">
      <w:pPr>
        <w:spacing w:line="240" w:lineRule="auto"/>
      </w:pPr>
      <w:r w:rsidRPr="00B4742D">
        <w:t>U slučaju otkaza</w:t>
      </w:r>
      <w:r w:rsidR="006139E5" w:rsidRPr="00B4742D">
        <w:t xml:space="preserve"> ugovora o radu</w:t>
      </w:r>
      <w:r w:rsidRPr="00B4742D">
        <w:t xml:space="preserve"> </w:t>
      </w:r>
      <w:r w:rsidR="006139E5" w:rsidRPr="00B4742D">
        <w:t xml:space="preserve">kojeg daje </w:t>
      </w:r>
      <w:r w:rsidRPr="00B4742D">
        <w:t>poslodava</w:t>
      </w:r>
      <w:r w:rsidR="006139E5" w:rsidRPr="00B4742D">
        <w:t>c</w:t>
      </w:r>
      <w:r w:rsidRPr="00B4742D">
        <w:t xml:space="preserve"> nakon tri godine staža kod tog poslodavca, </w:t>
      </w:r>
      <w:r w:rsidR="006139E5" w:rsidRPr="00B4742D">
        <w:t>rad</w:t>
      </w:r>
      <w:r w:rsidRPr="00B4742D">
        <w:t xml:space="preserve">nik može odabrati između </w:t>
      </w:r>
      <w:r w:rsidR="006139E5" w:rsidRPr="00B4742D">
        <w:t xml:space="preserve">jednokratne </w:t>
      </w:r>
      <w:r w:rsidRPr="00B4742D">
        <w:t xml:space="preserve">isplate otpremnine iz središnjeg fonda ili </w:t>
      </w:r>
      <w:r w:rsidR="006139E5" w:rsidRPr="00B4742D">
        <w:t xml:space="preserve">može optirati za </w:t>
      </w:r>
      <w:r w:rsidRPr="00B4742D">
        <w:t>štednj</w:t>
      </w:r>
      <w:r w:rsidR="006139E5" w:rsidRPr="00B4742D">
        <w:t>u</w:t>
      </w:r>
      <w:r w:rsidRPr="00B4742D">
        <w:t xml:space="preserve"> tog</w:t>
      </w:r>
      <w:r w:rsidR="006139E5" w:rsidRPr="00B4742D">
        <w:t>a</w:t>
      </w:r>
      <w:r w:rsidRPr="00B4742D">
        <w:t xml:space="preserve"> iznosa za buduću mirovinu. </w:t>
      </w:r>
      <w:r w:rsidR="006139E5" w:rsidRPr="00B4742D">
        <w:t xml:space="preserve">Isplate otpremnine neće biti </w:t>
      </w:r>
      <w:r w:rsidRPr="00B4742D">
        <w:t xml:space="preserve">ako </w:t>
      </w:r>
      <w:r w:rsidR="006139E5" w:rsidRPr="00B4742D">
        <w:t>sam rad</w:t>
      </w:r>
      <w:r w:rsidRPr="00B4742D">
        <w:t>nik otkaz</w:t>
      </w:r>
      <w:r w:rsidR="006139E5" w:rsidRPr="00B4742D">
        <w:t>uje</w:t>
      </w:r>
      <w:r w:rsidRPr="00B4742D">
        <w:t xml:space="preserve"> poslodavcu ili ako je staž</w:t>
      </w:r>
      <w:r w:rsidR="006139E5" w:rsidRPr="00B4742D">
        <w:t xml:space="preserve"> kod poslodavca</w:t>
      </w:r>
      <w:r w:rsidRPr="00B4742D">
        <w:t xml:space="preserve"> kraći od tri godine. Međutim, </w:t>
      </w:r>
      <w:r w:rsidR="006139E5" w:rsidRPr="00B4742D">
        <w:t xml:space="preserve">sve u tom radnom odnosu </w:t>
      </w:r>
      <w:r w:rsidRPr="00B4742D">
        <w:t>stečeno pravo o</w:t>
      </w:r>
      <w:r w:rsidR="006139E5" w:rsidRPr="00B4742D">
        <w:t>p</w:t>
      </w:r>
      <w:r w:rsidRPr="00B4742D">
        <w:t>staje</w:t>
      </w:r>
      <w:r w:rsidR="006139E5" w:rsidRPr="00B4742D">
        <w:t xml:space="preserve"> na računu</w:t>
      </w:r>
      <w:r w:rsidRPr="00B4742D">
        <w:t>.</w:t>
      </w:r>
    </w:p>
    <w:p w:rsidR="007C4F28" w:rsidRPr="00B4742D" w:rsidRDefault="007C4F28" w:rsidP="00466D80">
      <w:pPr>
        <w:spacing w:line="240" w:lineRule="auto"/>
      </w:pPr>
    </w:p>
    <w:p w:rsidR="007C4F28" w:rsidRPr="00B4742D" w:rsidRDefault="005523BB" w:rsidP="00466D80">
      <w:pPr>
        <w:spacing w:line="240" w:lineRule="auto"/>
      </w:pPr>
      <w:r w:rsidRPr="00B4742D">
        <w:t>Grafikon 2</w:t>
      </w:r>
      <w:r w:rsidR="006139E5" w:rsidRPr="00B4742D">
        <w:t>.</w:t>
      </w:r>
      <w:r w:rsidR="007C4F28" w:rsidRPr="00B4742D">
        <w:t xml:space="preserve"> </w:t>
      </w:r>
      <w:r w:rsidR="006139E5" w:rsidRPr="00B4742D">
        <w:t xml:space="preserve">Iznosi kretanje </w:t>
      </w:r>
      <w:r w:rsidR="007C4F28" w:rsidRPr="00B4742D">
        <w:t>prava na otpremnin</w:t>
      </w:r>
      <w:r w:rsidR="006139E5" w:rsidRPr="00B4742D">
        <w:t>u</w:t>
      </w:r>
      <w:r w:rsidR="007C4F28" w:rsidRPr="00B4742D">
        <w:t xml:space="preserve"> u </w:t>
      </w:r>
      <w:r w:rsidR="006139E5" w:rsidRPr="00B4742D">
        <w:t xml:space="preserve">odnosu na posljednju </w:t>
      </w:r>
      <w:r w:rsidR="007C4F28" w:rsidRPr="00B4742D">
        <w:t>mjesečn</w:t>
      </w:r>
      <w:r w:rsidR="006139E5" w:rsidRPr="00B4742D">
        <w:t>u</w:t>
      </w:r>
      <w:r w:rsidR="007C4F28" w:rsidRPr="00B4742D">
        <w:t xml:space="preserve"> plać</w:t>
      </w:r>
      <w:r w:rsidR="006139E5" w:rsidRPr="00B4742D">
        <w:t>u</w:t>
      </w:r>
      <w:r w:rsidR="007C4F28" w:rsidRPr="00B4742D">
        <w:t xml:space="preserve"> pojedinca u </w:t>
      </w:r>
      <w:r w:rsidR="006139E5" w:rsidRPr="00B4742D">
        <w:t xml:space="preserve">prethodnom i postojećem </w:t>
      </w:r>
      <w:r w:rsidR="006139E5" w:rsidRPr="00B4742D">
        <w:rPr>
          <w:color w:val="auto"/>
        </w:rPr>
        <w:t>nacionalnom sustavu</w:t>
      </w:r>
      <w:r w:rsidR="006139E5" w:rsidRPr="00B4742D">
        <w:rPr>
          <w:b/>
          <w:color w:val="auto"/>
        </w:rPr>
        <w:t xml:space="preserve"> </w:t>
      </w:r>
      <w:r w:rsidR="006139E5" w:rsidRPr="00B4742D">
        <w:rPr>
          <w:color w:val="auto"/>
        </w:rPr>
        <w:t>otpremnina u Republici Austriji</w:t>
      </w:r>
      <w:r w:rsidR="006139E5" w:rsidRPr="00B4742D">
        <w:t>. Dok se otpremnina u prethodnog</w:t>
      </w:r>
      <w:r w:rsidR="007C4F28" w:rsidRPr="00B4742D">
        <w:t xml:space="preserve"> sustavu povećavala </w:t>
      </w:r>
      <w:r w:rsidR="00633631" w:rsidRPr="00B4742D">
        <w:t>skokovito, kaskadno</w:t>
      </w:r>
      <w:r w:rsidR="007C4F28" w:rsidRPr="00B4742D">
        <w:t xml:space="preserve">, a maksimalna </w:t>
      </w:r>
      <w:r w:rsidR="006139E5" w:rsidRPr="00B4742D">
        <w:t xml:space="preserve">se </w:t>
      </w:r>
      <w:r w:rsidR="007C4F28" w:rsidRPr="00B4742D">
        <w:t xml:space="preserve">razina otpremnine </w:t>
      </w:r>
      <w:r w:rsidR="006139E5" w:rsidRPr="00B4742D">
        <w:t xml:space="preserve">postizala </w:t>
      </w:r>
      <w:r w:rsidR="007C4F28" w:rsidRPr="00B4742D">
        <w:t xml:space="preserve">nakon </w:t>
      </w:r>
      <w:r w:rsidR="006139E5" w:rsidRPr="00B4742D">
        <w:t>dvadesetpet</w:t>
      </w:r>
      <w:r w:rsidR="007C4F28" w:rsidRPr="00B4742D">
        <w:t xml:space="preserve"> godina </w:t>
      </w:r>
      <w:r w:rsidR="006139E5" w:rsidRPr="00B4742D">
        <w:t>rada</w:t>
      </w:r>
      <w:r w:rsidR="007C4F28" w:rsidRPr="00B4742D">
        <w:t xml:space="preserve"> kod istog poslodavca, u </w:t>
      </w:r>
      <w:r w:rsidR="006139E5" w:rsidRPr="00B4742D">
        <w:t xml:space="preserve">postojećem </w:t>
      </w:r>
      <w:r w:rsidR="007C4F28" w:rsidRPr="00B4742D">
        <w:t>sustavu otpremnine kontinuirano rast</w:t>
      </w:r>
      <w:r w:rsidR="006139E5" w:rsidRPr="00B4742D">
        <w:t>u</w:t>
      </w:r>
      <w:r w:rsidR="007C4F28" w:rsidRPr="00B4742D">
        <w:t xml:space="preserve"> te će maksimalnu vrijednost iz </w:t>
      </w:r>
      <w:r w:rsidR="006139E5" w:rsidRPr="00B4742D">
        <w:t>prethodnog susta</w:t>
      </w:r>
      <w:r w:rsidR="007C4F28" w:rsidRPr="00B4742D">
        <w:t xml:space="preserve">va </w:t>
      </w:r>
      <w:r w:rsidR="006139E5" w:rsidRPr="00B4742D">
        <w:t xml:space="preserve">postići </w:t>
      </w:r>
      <w:r w:rsidR="007C4F28" w:rsidRPr="00B4742D">
        <w:t xml:space="preserve">nakon </w:t>
      </w:r>
      <w:r w:rsidR="006139E5" w:rsidRPr="00B4742D">
        <w:t>tridesetsedam</w:t>
      </w:r>
      <w:r w:rsidR="007C4F28" w:rsidRPr="00B4742D">
        <w:t xml:space="preserve"> godina</w:t>
      </w:r>
      <w:r w:rsidR="006139E5" w:rsidRPr="00B4742D">
        <w:t xml:space="preserve">, ovo </w:t>
      </w:r>
      <w:r w:rsidR="007C4F28" w:rsidRPr="00B4742D">
        <w:t xml:space="preserve">pod pretpostavkom više stope povrata od </w:t>
      </w:r>
      <w:r w:rsidR="006139E5" w:rsidRPr="00B4742D">
        <w:t>šest</w:t>
      </w:r>
      <w:r w:rsidR="007C4F28" w:rsidRPr="00B4742D">
        <w:t xml:space="preserve"> posto godišnje. Prema </w:t>
      </w:r>
      <w:r w:rsidR="008B1F5D" w:rsidRPr="00B4742D">
        <w:t>postojećem</w:t>
      </w:r>
      <w:r w:rsidR="007C4F28" w:rsidRPr="00B4742D">
        <w:t xml:space="preserve"> sustavu, doprinosi za otpremnine </w:t>
      </w:r>
      <w:r w:rsidR="008B1F5D" w:rsidRPr="00B4742D">
        <w:t>u</w:t>
      </w:r>
      <w:r w:rsidR="007C4F28" w:rsidRPr="00B4742D">
        <w:t>plać</w:t>
      </w:r>
      <w:r w:rsidR="008B1F5D" w:rsidRPr="00B4742D">
        <w:t xml:space="preserve">uju se u fond, a </w:t>
      </w:r>
      <w:r w:rsidR="007C4F28" w:rsidRPr="00B4742D">
        <w:t>novac</w:t>
      </w:r>
      <w:r w:rsidR="008B1F5D" w:rsidRPr="00B4742D">
        <w:t xml:space="preserve"> se</w:t>
      </w:r>
      <w:r w:rsidR="007C4F28" w:rsidRPr="00B4742D">
        <w:t xml:space="preserve"> ulaže na privatnim tržištima kapitala.</w:t>
      </w:r>
    </w:p>
    <w:p w:rsidR="007C4F28" w:rsidRPr="00B4742D" w:rsidRDefault="007C4F28" w:rsidP="00466D80">
      <w:pPr>
        <w:pStyle w:val="Caption"/>
        <w:spacing w:after="0"/>
        <w:rPr>
          <w:rFonts w:ascii="Times New Roman" w:hAnsi="Times New Roman"/>
          <w:b w:val="0"/>
          <w:color w:val="auto"/>
          <w:sz w:val="24"/>
          <w:szCs w:val="24"/>
        </w:rPr>
      </w:pPr>
    </w:p>
    <w:p w:rsidR="007C4F28" w:rsidRPr="00B4742D" w:rsidRDefault="005523BB" w:rsidP="005523BB">
      <w:pPr>
        <w:pStyle w:val="Caption"/>
        <w:spacing w:after="0"/>
        <w:jc w:val="both"/>
        <w:rPr>
          <w:rFonts w:ascii="Times New Roman" w:hAnsi="Times New Roman"/>
          <w:b w:val="0"/>
          <w:color w:val="auto"/>
          <w:sz w:val="24"/>
          <w:szCs w:val="24"/>
        </w:rPr>
      </w:pPr>
      <w:r w:rsidRPr="00B4742D">
        <w:rPr>
          <w:rFonts w:ascii="Times New Roman" w:hAnsi="Times New Roman"/>
          <w:b w:val="0"/>
          <w:color w:val="auto"/>
          <w:sz w:val="24"/>
          <w:szCs w:val="24"/>
        </w:rPr>
        <w:t>Grafikon 2</w:t>
      </w:r>
      <w:r w:rsidR="0076762D" w:rsidRPr="00B4742D">
        <w:rPr>
          <w:rFonts w:ascii="Times New Roman" w:hAnsi="Times New Roman"/>
          <w:b w:val="0"/>
          <w:color w:val="auto"/>
          <w:sz w:val="24"/>
          <w:szCs w:val="24"/>
        </w:rPr>
        <w:t>.</w:t>
      </w:r>
      <w:r w:rsidR="007C4F28" w:rsidRPr="00B4742D">
        <w:rPr>
          <w:rFonts w:ascii="Times New Roman" w:hAnsi="Times New Roman"/>
          <w:b w:val="0"/>
          <w:color w:val="auto"/>
          <w:sz w:val="24"/>
          <w:szCs w:val="24"/>
        </w:rPr>
        <w:t xml:space="preserve">: Usporedba </w:t>
      </w:r>
      <w:r w:rsidR="006139E5" w:rsidRPr="00B4742D">
        <w:rPr>
          <w:rFonts w:ascii="Times New Roman" w:hAnsi="Times New Roman"/>
          <w:b w:val="0"/>
          <w:color w:val="auto"/>
          <w:sz w:val="24"/>
          <w:szCs w:val="24"/>
        </w:rPr>
        <w:t>ishoda prethodnog</w:t>
      </w:r>
      <w:r w:rsidR="007C4F28" w:rsidRPr="00B4742D">
        <w:rPr>
          <w:rFonts w:ascii="Times New Roman" w:hAnsi="Times New Roman"/>
          <w:b w:val="0"/>
          <w:color w:val="auto"/>
          <w:sz w:val="24"/>
          <w:szCs w:val="24"/>
        </w:rPr>
        <w:t xml:space="preserve"> i postojećeg </w:t>
      </w:r>
      <w:r w:rsidR="006139E5" w:rsidRPr="00B4742D">
        <w:rPr>
          <w:rFonts w:ascii="Times New Roman" w:hAnsi="Times New Roman"/>
          <w:b w:val="0"/>
          <w:color w:val="auto"/>
          <w:sz w:val="24"/>
          <w:szCs w:val="24"/>
        </w:rPr>
        <w:t xml:space="preserve">nacionalnog sustava </w:t>
      </w:r>
      <w:r w:rsidR="007C4F28" w:rsidRPr="00B4742D">
        <w:rPr>
          <w:rFonts w:ascii="Times New Roman" w:hAnsi="Times New Roman"/>
          <w:b w:val="0"/>
          <w:color w:val="auto"/>
          <w:sz w:val="24"/>
          <w:szCs w:val="24"/>
        </w:rPr>
        <w:t>otpremnina u</w:t>
      </w:r>
      <w:r w:rsidR="009F2654" w:rsidRPr="00B4742D">
        <w:rPr>
          <w:rFonts w:ascii="Times New Roman" w:hAnsi="Times New Roman"/>
          <w:b w:val="0"/>
          <w:color w:val="auto"/>
          <w:sz w:val="24"/>
          <w:szCs w:val="24"/>
        </w:rPr>
        <w:t xml:space="preserve"> Republici </w:t>
      </w:r>
      <w:r w:rsidR="007C4F28" w:rsidRPr="00B4742D">
        <w:rPr>
          <w:rFonts w:ascii="Times New Roman" w:hAnsi="Times New Roman"/>
          <w:b w:val="0"/>
          <w:color w:val="auto"/>
          <w:sz w:val="24"/>
          <w:szCs w:val="24"/>
        </w:rPr>
        <w:t>Austriji</w:t>
      </w:r>
    </w:p>
    <w:p w:rsidR="007C4F28" w:rsidRPr="00B4742D" w:rsidRDefault="007C4F28" w:rsidP="00466D80">
      <w:pPr>
        <w:spacing w:line="240" w:lineRule="auto"/>
      </w:pPr>
      <w:r w:rsidRPr="00B4742D">
        <w:rPr>
          <w:noProof/>
          <w:lang w:val="en-US" w:eastAsia="en-US"/>
        </w:rPr>
        <w:drawing>
          <wp:inline distT="0" distB="0" distL="0" distR="0" wp14:anchorId="37D639EA" wp14:editId="30789C1A">
            <wp:extent cx="3884295" cy="2830830"/>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295" cy="2830830"/>
                    </a:xfrm>
                    <a:prstGeom prst="rect">
                      <a:avLst/>
                    </a:prstGeom>
                    <a:noFill/>
                    <a:ln>
                      <a:noFill/>
                    </a:ln>
                  </pic:spPr>
                </pic:pic>
              </a:graphicData>
            </a:graphic>
          </wp:inline>
        </w:drawing>
      </w:r>
    </w:p>
    <w:p w:rsidR="0023640B" w:rsidRPr="009336BF" w:rsidRDefault="0023640B" w:rsidP="008B1F5D">
      <w:pPr>
        <w:pStyle w:val="Reference"/>
        <w:spacing w:after="0" w:line="240" w:lineRule="auto"/>
        <w:ind w:left="0" w:firstLine="0"/>
        <w:rPr>
          <w:rFonts w:ascii="Times New Roman" w:hAnsi="Times New Roman" w:cs="Times New Roman"/>
          <w:sz w:val="24"/>
          <w:szCs w:val="24"/>
        </w:rPr>
      </w:pPr>
      <w:r w:rsidRPr="00B4742D">
        <w:rPr>
          <w:rFonts w:ascii="Times New Roman" w:hAnsi="Times New Roman" w:cs="Times New Roman"/>
          <w:sz w:val="24"/>
          <w:szCs w:val="24"/>
        </w:rPr>
        <w:t>Isprekidana linija – novi sustav, puna linija</w:t>
      </w:r>
      <w:r w:rsidR="00802591" w:rsidRPr="00B4742D">
        <w:rPr>
          <w:rFonts w:ascii="Times New Roman" w:hAnsi="Times New Roman" w:cs="Times New Roman"/>
          <w:sz w:val="24"/>
          <w:szCs w:val="24"/>
        </w:rPr>
        <w:t xml:space="preserve"> </w:t>
      </w:r>
      <w:r w:rsidRPr="002017C6">
        <w:rPr>
          <w:rFonts w:ascii="Times New Roman" w:hAnsi="Times New Roman" w:cs="Times New Roman"/>
          <w:sz w:val="24"/>
          <w:szCs w:val="24"/>
        </w:rPr>
        <w:t>- stari sustav, na osi y otpremnina u odnosu na plaću u posljednjem mjesecu</w:t>
      </w:r>
    </w:p>
    <w:p w:rsidR="007C4F28" w:rsidRPr="006C4F67" w:rsidRDefault="007C4F28" w:rsidP="008B1F5D">
      <w:pPr>
        <w:pStyle w:val="Reference"/>
        <w:spacing w:after="0" w:line="240" w:lineRule="auto"/>
        <w:ind w:left="0" w:firstLine="0"/>
      </w:pPr>
      <w:r w:rsidRPr="009336BF">
        <w:rPr>
          <w:rFonts w:ascii="Times New Roman" w:hAnsi="Times New Roman" w:cs="Times New Roman"/>
          <w:sz w:val="24"/>
          <w:szCs w:val="24"/>
        </w:rPr>
        <w:t>Izvor:</w:t>
      </w:r>
      <w:r w:rsidRPr="00C7332E">
        <w:t xml:space="preserve"> </w:t>
      </w:r>
      <w:r w:rsidR="008B1F5D" w:rsidRPr="00C7332E">
        <w:rPr>
          <w:rFonts w:ascii="Times New Roman" w:hAnsi="Times New Roman" w:cs="Times New Roman"/>
          <w:sz w:val="24"/>
          <w:szCs w:val="24"/>
        </w:rPr>
        <w:t>Koman, Reinhard; Schuh. Ulrich; Weber, Andrea. The Austrian Severance Pay Reform: Toward a Funded Pension Pillar, Empirica. 2005., 32, str. 255–274.</w:t>
      </w:r>
    </w:p>
    <w:p w:rsidR="007C4F28" w:rsidRPr="006C4F67" w:rsidRDefault="007C4F28" w:rsidP="0001478C">
      <w:pPr>
        <w:spacing w:line="240" w:lineRule="auto"/>
      </w:pPr>
    </w:p>
    <w:p w:rsidR="0001478C" w:rsidRPr="00FE70C5" w:rsidRDefault="0001478C" w:rsidP="00FE70C5">
      <w:pPr>
        <w:tabs>
          <w:tab w:val="clear" w:pos="0"/>
          <w:tab w:val="clear" w:pos="9360"/>
        </w:tabs>
        <w:spacing w:line="276" w:lineRule="auto"/>
        <w:rPr>
          <w:rFonts w:eastAsia="Calibri"/>
          <w:bCs w:val="0"/>
          <w:color w:val="auto"/>
          <w:lang w:eastAsia="en-US"/>
        </w:rPr>
      </w:pPr>
      <w:r w:rsidRPr="00FE70C5">
        <w:rPr>
          <w:rFonts w:eastAsia="Calibri"/>
          <w:bCs w:val="0"/>
          <w:color w:val="auto"/>
          <w:lang w:eastAsia="en-US"/>
        </w:rPr>
        <w:t>Doprinosi se ulažu u privat</w:t>
      </w:r>
      <w:r w:rsidR="00B4742D">
        <w:rPr>
          <w:rFonts w:eastAsia="Calibri"/>
          <w:bCs w:val="0"/>
          <w:color w:val="auto"/>
          <w:lang w:eastAsia="en-US"/>
        </w:rPr>
        <w:t>n</w:t>
      </w:r>
      <w:r w:rsidRPr="00FE70C5">
        <w:rPr>
          <w:rFonts w:eastAsia="Calibri"/>
          <w:bCs w:val="0"/>
          <w:color w:val="auto"/>
          <w:lang w:eastAsia="en-US"/>
        </w:rPr>
        <w:t>e fondove. Čim trajanje ugovora o radu pretekne mjesec dana, poslodavac mora uplatiti doprinos tijelu koje upravlja fondom, a takvih je fondova sada deset. Ti su fondovi strogo uređeni i njihovo je ulaganje ograničeno na:</w:t>
      </w:r>
    </w:p>
    <w:p w:rsidR="0001478C" w:rsidRPr="00FE70C5" w:rsidRDefault="0001478C" w:rsidP="00FE70C5">
      <w:pPr>
        <w:numPr>
          <w:ilvl w:val="0"/>
          <w:numId w:val="29"/>
        </w:numPr>
        <w:tabs>
          <w:tab w:val="clear" w:pos="0"/>
          <w:tab w:val="clear" w:pos="9360"/>
        </w:tabs>
        <w:spacing w:line="276" w:lineRule="auto"/>
        <w:ind w:left="567" w:hanging="567"/>
        <w:contextualSpacing/>
        <w:rPr>
          <w:rFonts w:eastAsia="Calibri"/>
          <w:bCs w:val="0"/>
          <w:color w:val="auto"/>
          <w:lang w:eastAsia="en-US"/>
        </w:rPr>
      </w:pPr>
      <w:r w:rsidRPr="00FE70C5">
        <w:rPr>
          <w:rFonts w:eastAsia="Calibri"/>
          <w:bCs w:val="0"/>
          <w:color w:val="auto"/>
          <w:lang w:eastAsia="en-US"/>
        </w:rPr>
        <w:t>depo</w:t>
      </w:r>
      <w:r w:rsidR="00B4742D">
        <w:rPr>
          <w:rFonts w:eastAsia="Calibri"/>
          <w:bCs w:val="0"/>
          <w:color w:val="auto"/>
          <w:lang w:eastAsia="en-US"/>
        </w:rPr>
        <w:t>z</w:t>
      </w:r>
      <w:r w:rsidRPr="00FE70C5">
        <w:rPr>
          <w:rFonts w:eastAsia="Calibri"/>
          <w:bCs w:val="0"/>
          <w:color w:val="auto"/>
          <w:lang w:eastAsia="en-US"/>
        </w:rPr>
        <w:t>it u banci (najviše dvadesetpet posto po instituciji);</w:t>
      </w:r>
    </w:p>
    <w:p w:rsidR="0001478C" w:rsidRPr="00FE70C5" w:rsidRDefault="0001478C" w:rsidP="00FE70C5">
      <w:pPr>
        <w:numPr>
          <w:ilvl w:val="0"/>
          <w:numId w:val="29"/>
        </w:numPr>
        <w:tabs>
          <w:tab w:val="clear" w:pos="0"/>
          <w:tab w:val="clear" w:pos="9360"/>
        </w:tabs>
        <w:spacing w:line="276" w:lineRule="auto"/>
        <w:ind w:left="567" w:hanging="567"/>
        <w:contextualSpacing/>
        <w:rPr>
          <w:rFonts w:eastAsia="Calibri"/>
          <w:bCs w:val="0"/>
          <w:color w:val="auto"/>
          <w:lang w:eastAsia="en-US"/>
        </w:rPr>
      </w:pPr>
      <w:r w:rsidRPr="00FE70C5">
        <w:rPr>
          <w:rFonts w:eastAsia="Calibri"/>
          <w:bCs w:val="0"/>
          <w:color w:val="auto"/>
          <w:lang w:eastAsia="en-US"/>
        </w:rPr>
        <w:lastRenderedPageBreak/>
        <w:t>krediti i pozajmice;</w:t>
      </w:r>
    </w:p>
    <w:p w:rsidR="0001478C" w:rsidRPr="00FE70C5" w:rsidRDefault="0001478C" w:rsidP="00FE70C5">
      <w:pPr>
        <w:numPr>
          <w:ilvl w:val="0"/>
          <w:numId w:val="29"/>
        </w:numPr>
        <w:tabs>
          <w:tab w:val="clear" w:pos="0"/>
          <w:tab w:val="clear" w:pos="9360"/>
        </w:tabs>
        <w:spacing w:line="276" w:lineRule="auto"/>
        <w:ind w:left="567" w:hanging="567"/>
        <w:contextualSpacing/>
        <w:rPr>
          <w:rFonts w:eastAsia="Calibri"/>
          <w:bCs w:val="0"/>
          <w:color w:val="auto"/>
          <w:lang w:eastAsia="en-US"/>
        </w:rPr>
      </w:pPr>
      <w:r w:rsidRPr="00FE70C5">
        <w:rPr>
          <w:rFonts w:eastAsia="Calibri"/>
          <w:bCs w:val="0"/>
          <w:color w:val="auto"/>
          <w:lang w:eastAsia="en-US"/>
        </w:rPr>
        <w:t>obveznice;</w:t>
      </w:r>
    </w:p>
    <w:p w:rsidR="0001478C" w:rsidRPr="00FE70C5" w:rsidRDefault="0001478C" w:rsidP="00FE70C5">
      <w:pPr>
        <w:numPr>
          <w:ilvl w:val="0"/>
          <w:numId w:val="29"/>
        </w:numPr>
        <w:tabs>
          <w:tab w:val="clear" w:pos="0"/>
          <w:tab w:val="clear" w:pos="9360"/>
        </w:tabs>
        <w:spacing w:line="276" w:lineRule="auto"/>
        <w:ind w:left="567" w:hanging="567"/>
        <w:contextualSpacing/>
        <w:rPr>
          <w:rFonts w:eastAsia="Calibri"/>
          <w:bCs w:val="0"/>
          <w:color w:val="auto"/>
          <w:lang w:eastAsia="en-US"/>
        </w:rPr>
      </w:pPr>
      <w:r w:rsidRPr="00FE70C5">
        <w:rPr>
          <w:rFonts w:eastAsia="Calibri"/>
          <w:bCs w:val="0"/>
          <w:color w:val="auto"/>
          <w:lang w:eastAsia="en-US"/>
        </w:rPr>
        <w:t>dionice (najviše četrdeset posto ukupnog kapitala);</w:t>
      </w:r>
    </w:p>
    <w:p w:rsidR="0001478C" w:rsidRPr="00FE70C5" w:rsidRDefault="0001478C" w:rsidP="0001478C">
      <w:pPr>
        <w:numPr>
          <w:ilvl w:val="0"/>
          <w:numId w:val="29"/>
        </w:numPr>
        <w:tabs>
          <w:tab w:val="clear" w:pos="0"/>
          <w:tab w:val="clear" w:pos="9360"/>
        </w:tabs>
        <w:spacing w:after="200" w:line="276" w:lineRule="auto"/>
        <w:ind w:left="567" w:hanging="567"/>
        <w:contextualSpacing/>
        <w:rPr>
          <w:rFonts w:eastAsia="Calibri"/>
          <w:bCs w:val="0"/>
          <w:color w:val="auto"/>
          <w:lang w:eastAsia="en-US"/>
        </w:rPr>
      </w:pPr>
      <w:r w:rsidRPr="00FE70C5">
        <w:rPr>
          <w:rFonts w:eastAsia="Calibri"/>
          <w:bCs w:val="0"/>
          <w:color w:val="auto"/>
          <w:lang w:eastAsia="en-US"/>
        </w:rPr>
        <w:t>potvrde o udjelu u fondovima; i</w:t>
      </w:r>
    </w:p>
    <w:p w:rsidR="0001478C" w:rsidRPr="00FE70C5" w:rsidRDefault="0001478C" w:rsidP="0001478C">
      <w:pPr>
        <w:numPr>
          <w:ilvl w:val="0"/>
          <w:numId w:val="29"/>
        </w:numPr>
        <w:tabs>
          <w:tab w:val="clear" w:pos="0"/>
          <w:tab w:val="clear" w:pos="9360"/>
        </w:tabs>
        <w:spacing w:after="200" w:line="276" w:lineRule="auto"/>
        <w:ind w:left="567" w:hanging="567"/>
        <w:contextualSpacing/>
        <w:rPr>
          <w:rFonts w:eastAsia="Calibri"/>
          <w:bCs w:val="0"/>
          <w:color w:val="auto"/>
          <w:lang w:eastAsia="en-US"/>
        </w:rPr>
      </w:pPr>
      <w:r w:rsidRPr="00FE70C5">
        <w:rPr>
          <w:rFonts w:eastAsia="Calibri"/>
          <w:bCs w:val="0"/>
          <w:color w:val="auto"/>
          <w:lang w:eastAsia="en-US"/>
        </w:rPr>
        <w:t>najviše pedeset posto u stranoj valuti.</w:t>
      </w:r>
    </w:p>
    <w:p w:rsidR="0001478C" w:rsidRPr="00FE70C5" w:rsidRDefault="0001478C" w:rsidP="0001478C">
      <w:pPr>
        <w:tabs>
          <w:tab w:val="clear" w:pos="0"/>
          <w:tab w:val="clear" w:pos="9360"/>
        </w:tabs>
        <w:spacing w:after="200" w:line="276" w:lineRule="auto"/>
        <w:contextualSpacing/>
        <w:rPr>
          <w:rFonts w:eastAsia="Calibri"/>
          <w:bCs w:val="0"/>
          <w:color w:val="auto"/>
          <w:lang w:eastAsia="en-US"/>
        </w:rPr>
      </w:pPr>
    </w:p>
    <w:p w:rsidR="0001478C" w:rsidRPr="00B4742D" w:rsidRDefault="0001478C" w:rsidP="0001478C">
      <w:pPr>
        <w:spacing w:line="240" w:lineRule="auto"/>
      </w:pPr>
      <w:r w:rsidRPr="00FE70C5">
        <w:rPr>
          <w:rFonts w:eastAsia="Calibri"/>
          <w:bCs w:val="0"/>
          <w:color w:val="auto"/>
          <w:lang w:eastAsia="en-US"/>
        </w:rPr>
        <w:t xml:space="preserve">Krajem listopada 2012. </w:t>
      </w:r>
      <w:r w:rsidR="00B4742D" w:rsidRPr="00B4742D">
        <w:rPr>
          <w:rFonts w:eastAsia="Calibri"/>
          <w:bCs w:val="0"/>
          <w:color w:val="auto"/>
          <w:lang w:eastAsia="en-US"/>
        </w:rPr>
        <w:t>Godine</w:t>
      </w:r>
      <w:r w:rsidRPr="00FE70C5">
        <w:rPr>
          <w:rFonts w:eastAsia="Calibri"/>
          <w:bCs w:val="0"/>
          <w:color w:val="auto"/>
          <w:lang w:eastAsia="en-US"/>
        </w:rPr>
        <w:t xml:space="preserve"> tih je deset fondova upravljalo kapitalom od oko EUR 5 milijardi, dakle oko 1,6 posto BDP-a.</w:t>
      </w:r>
    </w:p>
    <w:p w:rsidR="00944FA7" w:rsidRPr="00B4742D" w:rsidRDefault="00944FA7">
      <w:pPr>
        <w:tabs>
          <w:tab w:val="clear" w:pos="0"/>
          <w:tab w:val="clear" w:pos="9360"/>
        </w:tabs>
        <w:spacing w:line="240" w:lineRule="auto"/>
        <w:jc w:val="left"/>
      </w:pPr>
    </w:p>
    <w:p w:rsidR="007C4F28" w:rsidRPr="009336BF" w:rsidRDefault="00DB6E7D" w:rsidP="00944FA7">
      <w:pPr>
        <w:pStyle w:val="Heading2"/>
        <w:spacing w:line="240" w:lineRule="auto"/>
      </w:pPr>
      <w:bookmarkStart w:id="31" w:name="_Toc365828848"/>
      <w:r w:rsidRPr="002017C6">
        <w:t xml:space="preserve">5.3. </w:t>
      </w:r>
      <w:r w:rsidR="007C4F28" w:rsidRPr="002017C6">
        <w:t xml:space="preserve">Pouke </w:t>
      </w:r>
      <w:r w:rsidR="004E6F6D" w:rsidRPr="002017C6">
        <w:t xml:space="preserve">novog </w:t>
      </w:r>
      <w:r w:rsidR="004E6F6D" w:rsidRPr="00FE70C5">
        <w:t>austrijskog nacionalnog sustava otpremnina nakon reforme nacionalnog sustava otpremni</w:t>
      </w:r>
      <w:r w:rsidR="004E6F6D" w:rsidRPr="009336BF">
        <w:t>na u Republici Austriji 2003. godine</w:t>
      </w:r>
      <w:bookmarkEnd w:id="31"/>
    </w:p>
    <w:p w:rsidR="007C4F28" w:rsidRPr="00C7332E" w:rsidRDefault="00DB6E7D" w:rsidP="00F36054">
      <w:pPr>
        <w:pStyle w:val="Heading3"/>
      </w:pPr>
      <w:bookmarkStart w:id="32" w:name="_Toc365828849"/>
      <w:r w:rsidRPr="00C7332E">
        <w:t xml:space="preserve">5.3.1. </w:t>
      </w:r>
      <w:r w:rsidR="007C4F28" w:rsidRPr="00C7332E">
        <w:t>Pokrivenost</w:t>
      </w:r>
      <w:bookmarkEnd w:id="32"/>
    </w:p>
    <w:p w:rsidR="007C4F28" w:rsidRPr="00C7332E" w:rsidRDefault="007C4F28" w:rsidP="00466D80">
      <w:pPr>
        <w:spacing w:line="240" w:lineRule="auto"/>
      </w:pPr>
    </w:p>
    <w:p w:rsidR="007C4F28" w:rsidRPr="00B4742D" w:rsidRDefault="007C4F28" w:rsidP="00466D80">
      <w:pPr>
        <w:spacing w:line="240" w:lineRule="auto"/>
      </w:pPr>
      <w:r w:rsidRPr="006C4F67">
        <w:t xml:space="preserve">Austrijski model </w:t>
      </w:r>
      <w:r w:rsidR="008B1F5D" w:rsidRPr="006C4F67">
        <w:t xml:space="preserve">nakon </w:t>
      </w:r>
      <w:r w:rsidRPr="006C4F67">
        <w:t>reforme široko</w:t>
      </w:r>
      <w:r w:rsidR="008B1F5D" w:rsidRPr="006C4F67">
        <w:t xml:space="preserve"> je postavljen</w:t>
      </w:r>
      <w:r w:rsidR="0023640B" w:rsidRPr="00B74757">
        <w:t xml:space="preserve"> i</w:t>
      </w:r>
      <w:r w:rsidR="008B1F5D" w:rsidRPr="00B74757">
        <w:t xml:space="preserve"> sveobuhvatan. Naime, </w:t>
      </w:r>
      <w:r w:rsidRPr="00B74757">
        <w:t xml:space="preserve">svaki </w:t>
      </w:r>
      <w:r w:rsidR="008B1F5D" w:rsidRPr="00B74757">
        <w:t>radnik ima mogućnost ostvariti svoje pravo na</w:t>
      </w:r>
      <w:r w:rsidRPr="009769E7">
        <w:t xml:space="preserve"> otpremnin</w:t>
      </w:r>
      <w:r w:rsidR="008B1F5D" w:rsidRPr="004D0AD5">
        <w:t>u, dok je u p</w:t>
      </w:r>
      <w:r w:rsidRPr="004D0AD5">
        <w:t>rethodno</w:t>
      </w:r>
      <w:r w:rsidR="008B1F5D" w:rsidRPr="004D0AD5">
        <w:t xml:space="preserve">m sustavu </w:t>
      </w:r>
      <w:r w:rsidRPr="00E1401E">
        <w:t xml:space="preserve">otprilike jedna trećina svih </w:t>
      </w:r>
      <w:r w:rsidR="008B1F5D" w:rsidRPr="00D00975">
        <w:t>radnika</w:t>
      </w:r>
      <w:r w:rsidRPr="00A26596">
        <w:t xml:space="preserve"> ti</w:t>
      </w:r>
      <w:r w:rsidRPr="008B2ED7">
        <w:t xml:space="preserve">jekom svoje karijere na tržištu rada ostvarila pravo na otpremnine. To je povezano s činjenicom </w:t>
      </w:r>
      <w:r w:rsidR="008B1F5D" w:rsidRPr="008B2ED7">
        <w:t>kako</w:t>
      </w:r>
      <w:r w:rsidRPr="008B2ED7">
        <w:t xml:space="preserve"> austrijsko tržište rada obilježava visok stupanj mobilnosti radne snage. </w:t>
      </w:r>
      <w:r w:rsidR="008B1F5D" w:rsidRPr="008B2ED7">
        <w:t xml:space="preserve">Tako je </w:t>
      </w:r>
      <w:r w:rsidRPr="007B61AF">
        <w:t xml:space="preserve">2012. godine zaključeno više od </w:t>
      </w:r>
      <w:r w:rsidR="005523BB" w:rsidRPr="007B61AF">
        <w:t>milijun i sedamstotina tisuća</w:t>
      </w:r>
      <w:r w:rsidRPr="00B4742D">
        <w:t xml:space="preserve">. novih ugovora o radu. To je jedna polovica ukupnog broja </w:t>
      </w:r>
      <w:r w:rsidR="008B1F5D" w:rsidRPr="00B4742D">
        <w:t>radnika</w:t>
      </w:r>
      <w:r w:rsidRPr="00B4742D">
        <w:t xml:space="preserve"> koji ostvaruju dohodak od nesamostalnog rada u 2012. </w:t>
      </w:r>
      <w:r w:rsidR="00250269" w:rsidRPr="00B4742D">
        <w:t>g</w:t>
      </w:r>
      <w:r w:rsidRPr="00B4742D">
        <w:t>odini</w:t>
      </w:r>
      <w:r w:rsidR="00250269" w:rsidRPr="00B4742D">
        <w:t xml:space="preserve">, odakle od njih oko </w:t>
      </w:r>
      <w:r w:rsidR="005523BB" w:rsidRPr="00B4742D">
        <w:t>tri i pol milijuna</w:t>
      </w:r>
      <w:r w:rsidRPr="00B4742D">
        <w:t xml:space="preserve">. Otprilike isti broj ugovora o radu </w:t>
      </w:r>
      <w:r w:rsidR="00250269" w:rsidRPr="00B4742D">
        <w:t>otkazan je</w:t>
      </w:r>
      <w:r w:rsidRPr="00B4742D">
        <w:t xml:space="preserve"> 2012. godine. Prosječno trajanje </w:t>
      </w:r>
      <w:r w:rsidR="00250269" w:rsidRPr="00B4742D">
        <w:t>radnog odnosa</w:t>
      </w:r>
      <w:r w:rsidRPr="00B4742D">
        <w:t xml:space="preserve"> koj</w:t>
      </w:r>
      <w:r w:rsidR="00250269" w:rsidRPr="00B4742D">
        <w:t>i</w:t>
      </w:r>
      <w:r w:rsidRPr="00B4742D">
        <w:t xml:space="preserve"> je </w:t>
      </w:r>
      <w:r w:rsidR="00250269" w:rsidRPr="00B4742D">
        <w:t>otkazan</w:t>
      </w:r>
      <w:r w:rsidRPr="00B4742D">
        <w:t xml:space="preserve"> iznosio je </w:t>
      </w:r>
      <w:r w:rsidR="005523BB" w:rsidRPr="00B4742D">
        <w:t>petstotinadevedesetosam</w:t>
      </w:r>
      <w:r w:rsidRPr="00B4742D">
        <w:t xml:space="preserve"> dana. To implicira da bi </w:t>
      </w:r>
      <w:r w:rsidR="00250269" w:rsidRPr="00B4742D">
        <w:t>“</w:t>
      </w:r>
      <w:r w:rsidRPr="00B4742D">
        <w:t>prosječno</w:t>
      </w:r>
      <w:r w:rsidR="00250269" w:rsidRPr="00B4742D">
        <w:t>”</w:t>
      </w:r>
      <w:r w:rsidRPr="00B4742D">
        <w:t xml:space="preserve"> trajanje </w:t>
      </w:r>
      <w:r w:rsidR="00250269" w:rsidRPr="00B4742D">
        <w:t xml:space="preserve">radnog odnosa </w:t>
      </w:r>
      <w:r w:rsidRPr="00B4742D">
        <w:t xml:space="preserve">bilo </w:t>
      </w:r>
      <w:r w:rsidR="00250269" w:rsidRPr="00B4742D">
        <w:t>značajno</w:t>
      </w:r>
      <w:r w:rsidRPr="00B4742D">
        <w:t xml:space="preserve"> prekratko, a da bi osiguralo kvalificiranje za </w:t>
      </w:r>
      <w:r w:rsidR="00250269" w:rsidRPr="00B4742D">
        <w:t xml:space="preserve">pravo na </w:t>
      </w:r>
      <w:r w:rsidRPr="00B4742D">
        <w:t>otpremnin</w:t>
      </w:r>
      <w:r w:rsidR="00250269" w:rsidRPr="00B4742D">
        <w:t>u</w:t>
      </w:r>
      <w:r w:rsidRPr="00B4742D">
        <w:t xml:space="preserve"> prema </w:t>
      </w:r>
      <w:r w:rsidR="00250269" w:rsidRPr="00B4742D">
        <w:t>prethodnom</w:t>
      </w:r>
      <w:r w:rsidRPr="00B4742D">
        <w:t xml:space="preserve"> sustavu. Prosječno trajanje </w:t>
      </w:r>
      <w:r w:rsidR="00250269" w:rsidRPr="00B4742D">
        <w:t>radnog odnosa</w:t>
      </w:r>
      <w:r w:rsidRPr="00B4742D">
        <w:t xml:space="preserve"> također je vrlo neravnomjerno raspoređeno prema sektorima gospodarstva. U sektoru energetike te bankarstva i osiguranja trajanje zaposlenja prosječno iznosi </w:t>
      </w:r>
      <w:r w:rsidR="005523BB" w:rsidRPr="00B4742D">
        <w:t>tisućušeststotina</w:t>
      </w:r>
      <w:r w:rsidRPr="00B4742D">
        <w:t xml:space="preserve"> dana. Na drugoj strani spektra, prosječno zaposlenje u poljoprivredi iznosi </w:t>
      </w:r>
      <w:r w:rsidR="005523BB" w:rsidRPr="00B4742D">
        <w:t>sto</w:t>
      </w:r>
      <w:r w:rsidR="0014661A" w:rsidRPr="00B4742D">
        <w:t>tinu</w:t>
      </w:r>
      <w:r w:rsidR="005523BB" w:rsidRPr="00B4742D">
        <w:t>dvadesetosam</w:t>
      </w:r>
      <w:r w:rsidRPr="00B4742D">
        <w:t xml:space="preserve"> dana, </w:t>
      </w:r>
      <w:r w:rsidR="005523BB" w:rsidRPr="00B4742D">
        <w:t>dv</w:t>
      </w:r>
      <w:r w:rsidR="0014661A" w:rsidRPr="00B4742D">
        <w:t>ijestotine</w:t>
      </w:r>
      <w:r w:rsidR="005523BB" w:rsidRPr="00B4742D">
        <w:t>tridesetpet</w:t>
      </w:r>
      <w:r w:rsidRPr="00B4742D">
        <w:t xml:space="preserve"> dana u turizmu te </w:t>
      </w:r>
      <w:r w:rsidR="005523BB" w:rsidRPr="00B4742D">
        <w:t>četiristo</w:t>
      </w:r>
      <w:r w:rsidR="0014661A" w:rsidRPr="00B4742D">
        <w:t>totine</w:t>
      </w:r>
      <w:r w:rsidR="005523BB" w:rsidRPr="00B4742D">
        <w:t>pedeset</w:t>
      </w:r>
      <w:r w:rsidRPr="00B4742D">
        <w:t xml:space="preserve"> dana u građevinarstvu. Visoka fluktuacija na tržištu rada i različitosti u trajanju </w:t>
      </w:r>
      <w:r w:rsidR="00250269" w:rsidRPr="00B4742D">
        <w:t>radnog odnosa</w:t>
      </w:r>
      <w:r w:rsidRPr="00B4742D">
        <w:t xml:space="preserve"> prema sektorima gospodarstva odgovaraju strukturi austrijskog tržišta rada. Važni sektori austrijskog gospodarstva, naime turizam i građevinarstvo impliciraju </w:t>
      </w:r>
      <w:r w:rsidR="00250269" w:rsidRPr="00B4742D">
        <w:t xml:space="preserve">i </w:t>
      </w:r>
      <w:r w:rsidRPr="00B4742D">
        <w:t>visok stupanj sezonskih fluktuacija, što dovodi do visokih stopa stvaranja i gašenja radnih mjesta.</w:t>
      </w:r>
    </w:p>
    <w:p w:rsidR="007C4F28" w:rsidRPr="00B4742D" w:rsidRDefault="007C4F28" w:rsidP="00466D80">
      <w:pPr>
        <w:spacing w:line="240" w:lineRule="auto"/>
      </w:pPr>
    </w:p>
    <w:p w:rsidR="007C4F28" w:rsidRPr="00B4742D" w:rsidRDefault="007C4F28" w:rsidP="00466D80">
      <w:pPr>
        <w:spacing w:line="240" w:lineRule="auto"/>
      </w:pPr>
      <w:r w:rsidRPr="00B4742D">
        <w:t xml:space="preserve">Provedba novog </w:t>
      </w:r>
      <w:r w:rsidR="00250269" w:rsidRPr="00B4742D">
        <w:t xml:space="preserve">nacionalnog </w:t>
      </w:r>
      <w:r w:rsidRPr="00B4742D">
        <w:t xml:space="preserve">sustava otpremnina rezultirala je kontinuiranim i dojmljivim povećanjem pokrivenosti. Broj novih ulazaka u sustav povećao se sa </w:t>
      </w:r>
      <w:r w:rsidR="005523BB" w:rsidRPr="00B4742D">
        <w:t>sto</w:t>
      </w:r>
      <w:r w:rsidR="0014661A" w:rsidRPr="00B4742D">
        <w:t>tinu</w:t>
      </w:r>
      <w:r w:rsidR="005523BB" w:rsidRPr="00B4742D">
        <w:t>četrdesettri tisuće</w:t>
      </w:r>
      <w:r w:rsidRPr="00B4742D">
        <w:t xml:space="preserve"> osobe 2003. godine na </w:t>
      </w:r>
      <w:r w:rsidR="005523BB" w:rsidRPr="00B4742D">
        <w:t>milijun</w:t>
      </w:r>
      <w:r w:rsidRPr="00B4742D">
        <w:t xml:space="preserve"> osoba 2012. godine. U međuvremenu je </w:t>
      </w:r>
      <w:r w:rsidR="005523BB" w:rsidRPr="00B4742D">
        <w:t>dvamilijunaosamsto</w:t>
      </w:r>
      <w:r w:rsidR="0014661A" w:rsidRPr="00B4742D">
        <w:t>tina</w:t>
      </w:r>
      <w:r w:rsidR="005523BB" w:rsidRPr="00B4742D">
        <w:t>tisuća</w:t>
      </w:r>
      <w:r w:rsidRPr="00B4742D">
        <w:t xml:space="preserve"> osoba pokriveno sustavom. To odgovara </w:t>
      </w:r>
      <w:r w:rsidR="00250269" w:rsidRPr="00B4742D">
        <w:t>oko osamdeset posto</w:t>
      </w:r>
      <w:r w:rsidRPr="00B4742D">
        <w:t xml:space="preserve"> ukupn</w:t>
      </w:r>
      <w:r w:rsidR="00250269" w:rsidRPr="00B4742D">
        <w:t>og broj radnika</w:t>
      </w:r>
      <w:r w:rsidRPr="00B4742D">
        <w:t xml:space="preserve"> koji ostvaruju dohodak od nesamostalnog rada u </w:t>
      </w:r>
      <w:r w:rsidR="009F2654" w:rsidRPr="00B4742D">
        <w:t xml:space="preserve">Republici </w:t>
      </w:r>
      <w:r w:rsidRPr="00B4742D">
        <w:t>Austriji.</w:t>
      </w:r>
    </w:p>
    <w:p w:rsidR="00944FA7" w:rsidRPr="00B4742D" w:rsidRDefault="00944FA7">
      <w:pPr>
        <w:tabs>
          <w:tab w:val="clear" w:pos="0"/>
          <w:tab w:val="clear" w:pos="9360"/>
        </w:tabs>
        <w:spacing w:line="240" w:lineRule="auto"/>
        <w:jc w:val="left"/>
        <w:rPr>
          <w:rFonts w:eastAsia="Calibri"/>
          <w:color w:val="auto"/>
          <w:lang w:eastAsia="en-US"/>
        </w:rPr>
      </w:pPr>
      <w:r w:rsidRPr="00B4742D">
        <w:rPr>
          <w:b/>
          <w:color w:val="auto"/>
        </w:rPr>
        <w:br w:type="page"/>
      </w:r>
    </w:p>
    <w:p w:rsidR="007C4F28" w:rsidRPr="00B4742D" w:rsidRDefault="005523BB" w:rsidP="00466D80">
      <w:pPr>
        <w:pStyle w:val="Caption"/>
        <w:spacing w:after="0"/>
        <w:jc w:val="both"/>
        <w:rPr>
          <w:rFonts w:ascii="Times New Roman" w:hAnsi="Times New Roman"/>
          <w:color w:val="auto"/>
          <w:sz w:val="24"/>
          <w:szCs w:val="24"/>
        </w:rPr>
      </w:pPr>
      <w:r w:rsidRPr="00B4742D">
        <w:rPr>
          <w:rFonts w:ascii="Times New Roman" w:hAnsi="Times New Roman"/>
          <w:b w:val="0"/>
          <w:color w:val="auto"/>
          <w:sz w:val="24"/>
          <w:szCs w:val="24"/>
        </w:rPr>
        <w:lastRenderedPageBreak/>
        <w:t>Grafikon 3</w:t>
      </w:r>
      <w:r w:rsidR="0076762D" w:rsidRPr="00B4742D">
        <w:rPr>
          <w:rFonts w:ascii="Times New Roman" w:hAnsi="Times New Roman"/>
          <w:b w:val="0"/>
          <w:color w:val="auto"/>
          <w:sz w:val="24"/>
          <w:szCs w:val="24"/>
        </w:rPr>
        <w:t>.</w:t>
      </w:r>
      <w:r w:rsidR="007C4F28" w:rsidRPr="00B4742D">
        <w:rPr>
          <w:rFonts w:ascii="Times New Roman" w:hAnsi="Times New Roman"/>
          <w:b w:val="0"/>
          <w:color w:val="auto"/>
          <w:sz w:val="24"/>
          <w:szCs w:val="24"/>
        </w:rPr>
        <w:t>:</w:t>
      </w:r>
      <w:r w:rsidR="007C4F28" w:rsidRPr="00B4742D">
        <w:rPr>
          <w:rFonts w:ascii="Times New Roman" w:hAnsi="Times New Roman"/>
          <w:color w:val="auto"/>
          <w:sz w:val="24"/>
          <w:szCs w:val="24"/>
        </w:rPr>
        <w:t xml:space="preserve"> </w:t>
      </w:r>
      <w:r w:rsidR="007C4F28" w:rsidRPr="00B4742D">
        <w:rPr>
          <w:rFonts w:ascii="Times New Roman" w:hAnsi="Times New Roman"/>
          <w:b w:val="0"/>
          <w:color w:val="auto"/>
          <w:sz w:val="24"/>
          <w:szCs w:val="24"/>
        </w:rPr>
        <w:t xml:space="preserve">Pokrivenost otpremninama u </w:t>
      </w:r>
      <w:r w:rsidR="009F2654" w:rsidRPr="00B4742D">
        <w:rPr>
          <w:rFonts w:ascii="Times New Roman" w:hAnsi="Times New Roman"/>
          <w:b w:val="0"/>
          <w:color w:val="auto"/>
          <w:sz w:val="24"/>
          <w:szCs w:val="24"/>
        </w:rPr>
        <w:t xml:space="preserve">Republici </w:t>
      </w:r>
      <w:r w:rsidR="007C4F28" w:rsidRPr="00B4742D">
        <w:rPr>
          <w:rFonts w:ascii="Times New Roman" w:hAnsi="Times New Roman"/>
          <w:b w:val="0"/>
          <w:color w:val="auto"/>
          <w:sz w:val="24"/>
          <w:szCs w:val="24"/>
        </w:rPr>
        <w:t>Austriji</w:t>
      </w:r>
    </w:p>
    <w:p w:rsidR="007C4F28" w:rsidRPr="00B4742D" w:rsidRDefault="007C4F28" w:rsidP="00466D80">
      <w:pPr>
        <w:spacing w:line="240" w:lineRule="auto"/>
      </w:pPr>
      <w:r w:rsidRPr="00B4742D">
        <w:t>Broj novih ugovora</w:t>
      </w:r>
      <w:r w:rsidR="00F36054" w:rsidRPr="00B4742D">
        <w:t xml:space="preserve"> </w:t>
      </w:r>
      <w:r w:rsidR="00F36054" w:rsidRPr="00B4742D">
        <w:tab/>
        <w:t>B</w:t>
      </w:r>
      <w:r w:rsidRPr="00B4742D">
        <w:t>roj obuhvaćenih</w:t>
      </w:r>
      <w:r w:rsidR="00F36054" w:rsidRPr="00B4742D">
        <w:t xml:space="preserve"> </w:t>
      </w:r>
      <w:r w:rsidRPr="00B4742D">
        <w:t>osoba</w:t>
      </w:r>
    </w:p>
    <w:p w:rsidR="007C4F28" w:rsidRPr="00B4742D" w:rsidRDefault="00F36054" w:rsidP="00466D80">
      <w:pPr>
        <w:spacing w:line="240" w:lineRule="auto"/>
      </w:pPr>
      <w:r w:rsidRPr="00B4742D">
        <w:rPr>
          <w:noProof/>
          <w:lang w:val="en-US" w:eastAsia="en-US"/>
        </w:rPr>
        <w:drawing>
          <wp:anchor distT="0" distB="0" distL="114300" distR="114300" simplePos="0" relativeHeight="251659264" behindDoc="1" locked="0" layoutInCell="1" allowOverlap="1" wp14:anchorId="1E095FF9" wp14:editId="68B394B8">
            <wp:simplePos x="0" y="0"/>
            <wp:positionH relativeFrom="column">
              <wp:posOffset>3294380</wp:posOffset>
            </wp:positionH>
            <wp:positionV relativeFrom="paragraph">
              <wp:posOffset>74295</wp:posOffset>
            </wp:positionV>
            <wp:extent cx="2661285" cy="1828800"/>
            <wp:effectExtent l="0" t="0" r="5715" b="0"/>
            <wp:wrapTight wrapText="bothSides">
              <wp:wrapPolygon edited="0">
                <wp:start x="0" y="0"/>
                <wp:lineTo x="0" y="21375"/>
                <wp:lineTo x="21492" y="21375"/>
                <wp:lineTo x="214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12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AF6">
        <w:rPr>
          <w:b/>
          <w:noProof/>
          <w:color w:val="auto"/>
          <w:lang w:val="en-US" w:eastAsia="en-US"/>
        </w:rPr>
        <w:drawing>
          <wp:anchor distT="0" distB="0" distL="114300" distR="114300" simplePos="0" relativeHeight="251660288" behindDoc="1" locked="0" layoutInCell="1" allowOverlap="1" wp14:anchorId="4C5D38B3" wp14:editId="2F550D69">
            <wp:simplePos x="0" y="0"/>
            <wp:positionH relativeFrom="column">
              <wp:posOffset>1270</wp:posOffset>
            </wp:positionH>
            <wp:positionV relativeFrom="paragraph">
              <wp:posOffset>76200</wp:posOffset>
            </wp:positionV>
            <wp:extent cx="2794635" cy="1868805"/>
            <wp:effectExtent l="0" t="0" r="5715" b="0"/>
            <wp:wrapTight wrapText="bothSides">
              <wp:wrapPolygon edited="0">
                <wp:start x="0" y="0"/>
                <wp:lineTo x="0" y="21358"/>
                <wp:lineTo x="21497" y="21358"/>
                <wp:lineTo x="214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635" cy="186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54" w:rsidRPr="00B4742D" w:rsidRDefault="00F36054" w:rsidP="00466D80">
      <w:pPr>
        <w:spacing w:line="240" w:lineRule="auto"/>
      </w:pPr>
    </w:p>
    <w:p w:rsidR="00F36054" w:rsidRPr="002017C6" w:rsidRDefault="00F36054" w:rsidP="00466D80">
      <w:pPr>
        <w:spacing w:line="240" w:lineRule="auto"/>
      </w:pPr>
    </w:p>
    <w:p w:rsidR="00F36054" w:rsidRPr="002017C6" w:rsidRDefault="00F36054" w:rsidP="00466D80">
      <w:pPr>
        <w:spacing w:line="240" w:lineRule="auto"/>
      </w:pPr>
    </w:p>
    <w:p w:rsidR="00F36054" w:rsidRPr="009336BF" w:rsidRDefault="00F36054" w:rsidP="00466D80">
      <w:pPr>
        <w:spacing w:line="240" w:lineRule="auto"/>
      </w:pPr>
    </w:p>
    <w:p w:rsidR="00F36054" w:rsidRPr="009336BF" w:rsidRDefault="00F36054" w:rsidP="00466D80">
      <w:pPr>
        <w:spacing w:line="240" w:lineRule="auto"/>
      </w:pPr>
    </w:p>
    <w:p w:rsidR="00F36054" w:rsidRPr="00C7332E" w:rsidRDefault="00F36054" w:rsidP="00466D80">
      <w:pPr>
        <w:spacing w:line="240" w:lineRule="auto"/>
      </w:pPr>
    </w:p>
    <w:p w:rsidR="00F36054" w:rsidRPr="00C7332E" w:rsidRDefault="00F36054" w:rsidP="00466D80">
      <w:pPr>
        <w:spacing w:line="240" w:lineRule="auto"/>
      </w:pPr>
    </w:p>
    <w:p w:rsidR="00F36054" w:rsidRPr="00C7332E" w:rsidRDefault="00F36054" w:rsidP="00466D80">
      <w:pPr>
        <w:spacing w:line="240" w:lineRule="auto"/>
      </w:pPr>
    </w:p>
    <w:p w:rsidR="00F36054" w:rsidRPr="006C4F67" w:rsidRDefault="00F36054" w:rsidP="00466D80">
      <w:pPr>
        <w:spacing w:line="240" w:lineRule="auto"/>
      </w:pPr>
    </w:p>
    <w:p w:rsidR="00F36054" w:rsidRPr="006C4F67" w:rsidRDefault="00F36054" w:rsidP="00466D80">
      <w:pPr>
        <w:spacing w:line="240" w:lineRule="auto"/>
      </w:pPr>
    </w:p>
    <w:p w:rsidR="00F36054" w:rsidRPr="006C4F67" w:rsidRDefault="00F36054" w:rsidP="00F36054">
      <w:pPr>
        <w:spacing w:line="240" w:lineRule="auto"/>
      </w:pPr>
      <w:r w:rsidRPr="006C4F67">
        <w:t>Izvor: Plattform der Betriebliche Vorsorgekassen</w:t>
      </w:r>
    </w:p>
    <w:p w:rsidR="00F36054" w:rsidRPr="00B74757" w:rsidRDefault="00F36054" w:rsidP="00466D80">
      <w:pPr>
        <w:spacing w:line="240" w:lineRule="auto"/>
      </w:pPr>
    </w:p>
    <w:p w:rsidR="007C4F28" w:rsidRPr="00B4742D" w:rsidRDefault="007C4F28" w:rsidP="00466D80">
      <w:pPr>
        <w:spacing w:line="240" w:lineRule="auto"/>
      </w:pPr>
      <w:r w:rsidRPr="00B74757">
        <w:t xml:space="preserve">U skladu s povećanjem pokrivenosti </w:t>
      </w:r>
      <w:r w:rsidR="00250269" w:rsidRPr="00B74757">
        <w:t>postojećeg</w:t>
      </w:r>
      <w:r w:rsidRPr="00B74757">
        <w:t xml:space="preserve"> sustava, može se primijetiti da se broj korisnika vrlo brzo</w:t>
      </w:r>
      <w:r w:rsidR="00250269" w:rsidRPr="009769E7">
        <w:t xml:space="preserve"> povećava</w:t>
      </w:r>
      <w:r w:rsidRPr="004D0AD5">
        <w:t>. Godine 2004. samo je</w:t>
      </w:r>
      <w:r w:rsidR="000D55A1" w:rsidRPr="004D0AD5">
        <w:t xml:space="preserve"> </w:t>
      </w:r>
      <w:r w:rsidR="005523BB" w:rsidRPr="004D0AD5">
        <w:t>dvijetisuće</w:t>
      </w:r>
      <w:r w:rsidRPr="00E1401E">
        <w:t xml:space="preserve"> osoba povuklo svoja potraživanja iz sustava. Uz sve veću pokrivenosti i veći broj</w:t>
      </w:r>
      <w:r w:rsidR="000D55A1" w:rsidRPr="00D00975">
        <w:t xml:space="preserve"> </w:t>
      </w:r>
      <w:r w:rsidRPr="00A26596">
        <w:t>osoba koje zahvaljujući is</w:t>
      </w:r>
      <w:r w:rsidRPr="008B2ED7">
        <w:t xml:space="preserve">punjavanju uvjeta o trajanje </w:t>
      </w:r>
      <w:r w:rsidR="00250269" w:rsidRPr="008B2ED7">
        <w:t>radnog odnosa</w:t>
      </w:r>
      <w:r w:rsidRPr="008B2ED7">
        <w:t xml:space="preserve"> ostvaruju pravo na povla</w:t>
      </w:r>
      <w:r w:rsidR="006E6C71" w:rsidRPr="008B2ED7">
        <w:t>č</w:t>
      </w:r>
      <w:r w:rsidRPr="008B2ED7">
        <w:t>enje</w:t>
      </w:r>
      <w:r w:rsidR="000D55A1" w:rsidRPr="007B61AF">
        <w:t xml:space="preserve"> </w:t>
      </w:r>
      <w:r w:rsidRPr="00B4742D">
        <w:t xml:space="preserve">sredstva, značajno se povećao broj osoba koje su stvarno </w:t>
      </w:r>
      <w:r w:rsidR="00250269" w:rsidRPr="00B4742D">
        <w:t xml:space="preserve">i </w:t>
      </w:r>
      <w:r w:rsidRPr="00B4742D">
        <w:t xml:space="preserve">povukle sredstva. Godine 2009. godine više je od </w:t>
      </w:r>
      <w:r w:rsidR="005523BB" w:rsidRPr="00B4742D">
        <w:t>dvijestotinepe</w:t>
      </w:r>
      <w:r w:rsidR="0014661A" w:rsidRPr="00B4742D">
        <w:t>deset</w:t>
      </w:r>
      <w:r w:rsidR="005523BB" w:rsidRPr="00B4742D">
        <w:t>tisuća</w:t>
      </w:r>
      <w:r w:rsidRPr="00B4742D">
        <w:t xml:space="preserve"> osoba povuklo sredstva, dok se za 2012.</w:t>
      </w:r>
      <w:r w:rsidR="00250269" w:rsidRPr="00B4742D">
        <w:t xml:space="preserve"> godinu</w:t>
      </w:r>
      <w:r w:rsidRPr="00B4742D">
        <w:t xml:space="preserve"> procjenjuje kako</w:t>
      </w:r>
      <w:r w:rsidR="000D55A1" w:rsidRPr="00B4742D">
        <w:t xml:space="preserve"> </w:t>
      </w:r>
      <w:r w:rsidRPr="00B4742D">
        <w:t xml:space="preserve">je znatno više od </w:t>
      </w:r>
      <w:r w:rsidR="005523BB" w:rsidRPr="00B4742D">
        <w:t>četiristo</w:t>
      </w:r>
      <w:r w:rsidR="0014661A" w:rsidRPr="00B4742D">
        <w:t>tina</w:t>
      </w:r>
      <w:r w:rsidR="005523BB" w:rsidRPr="00B4742D">
        <w:t>tisuća</w:t>
      </w:r>
      <w:r w:rsidRPr="00B4742D">
        <w:t xml:space="preserve"> </w:t>
      </w:r>
      <w:r w:rsidR="00250269" w:rsidRPr="00B4742D">
        <w:t xml:space="preserve">osoba </w:t>
      </w:r>
      <w:r w:rsidRPr="00B4742D">
        <w:t xml:space="preserve">povuklo svoja prava iz sustava. Iznos kapitala koji je povučen povećao se sa </w:t>
      </w:r>
      <w:r w:rsidR="00250269" w:rsidRPr="00B4742D">
        <w:t xml:space="preserve">EUR </w:t>
      </w:r>
      <w:r w:rsidRPr="00B4742D">
        <w:t>7</w:t>
      </w:r>
      <w:r w:rsidR="005523BB" w:rsidRPr="00B4742D">
        <w:t>,0</w:t>
      </w:r>
      <w:r w:rsidRPr="00B4742D">
        <w:t xml:space="preserve"> mil</w:t>
      </w:r>
      <w:r w:rsidR="005523BB" w:rsidRPr="00B4742D">
        <w:t>ijuna</w:t>
      </w:r>
      <w:r w:rsidRPr="00B4742D">
        <w:t xml:space="preserve"> u 2004.</w:t>
      </w:r>
      <w:r w:rsidR="00250269" w:rsidRPr="00B4742D">
        <w:t xml:space="preserve"> godini</w:t>
      </w:r>
      <w:r w:rsidRPr="00B4742D">
        <w:t xml:space="preserve"> na gotovo </w:t>
      </w:r>
      <w:r w:rsidR="00250269" w:rsidRPr="00B4742D">
        <w:t xml:space="preserve">EUR </w:t>
      </w:r>
      <w:r w:rsidRPr="00B4742D">
        <w:t>300</w:t>
      </w:r>
      <w:r w:rsidR="005523BB" w:rsidRPr="00B4742D">
        <w:t>,0</w:t>
      </w:r>
      <w:r w:rsidRPr="00B4742D">
        <w:t xml:space="preserve"> mil</w:t>
      </w:r>
      <w:r w:rsidR="005523BB" w:rsidRPr="00B4742D">
        <w:t>ijuna</w:t>
      </w:r>
      <w:r w:rsidRPr="00B4742D">
        <w:t xml:space="preserve"> (oko </w:t>
      </w:r>
      <w:r w:rsidR="00250269" w:rsidRPr="00B4742D">
        <w:t>jednog promila BDP-a</w:t>
      </w:r>
      <w:r w:rsidRPr="00B4742D">
        <w:t xml:space="preserve">) u 2012. godini. </w:t>
      </w:r>
    </w:p>
    <w:p w:rsidR="007C4F28" w:rsidRPr="00B4742D" w:rsidRDefault="007C4F28" w:rsidP="00466D80">
      <w:pPr>
        <w:spacing w:line="240" w:lineRule="auto"/>
      </w:pPr>
    </w:p>
    <w:p w:rsidR="007C4F28" w:rsidRPr="00B4742D" w:rsidRDefault="005523BB" w:rsidP="00466D80">
      <w:pPr>
        <w:pStyle w:val="Caption"/>
        <w:spacing w:after="0"/>
        <w:rPr>
          <w:rFonts w:ascii="Times New Roman" w:hAnsi="Times New Roman"/>
          <w:b w:val="0"/>
          <w:color w:val="auto"/>
          <w:sz w:val="24"/>
          <w:szCs w:val="24"/>
        </w:rPr>
      </w:pPr>
      <w:r w:rsidRPr="00B4742D">
        <w:rPr>
          <w:rFonts w:ascii="Times New Roman" w:hAnsi="Times New Roman"/>
          <w:b w:val="0"/>
          <w:color w:val="auto"/>
          <w:sz w:val="24"/>
          <w:szCs w:val="24"/>
        </w:rPr>
        <w:t>Grafikoni</w:t>
      </w:r>
      <w:r w:rsidR="007C4F28" w:rsidRPr="00B4742D">
        <w:rPr>
          <w:rFonts w:ascii="Times New Roman" w:hAnsi="Times New Roman"/>
          <w:b w:val="0"/>
          <w:color w:val="auto"/>
          <w:sz w:val="24"/>
          <w:szCs w:val="24"/>
        </w:rPr>
        <w:t xml:space="preserve"> </w:t>
      </w:r>
      <w:r w:rsidRPr="00B4742D">
        <w:rPr>
          <w:rFonts w:ascii="Times New Roman" w:hAnsi="Times New Roman"/>
          <w:b w:val="0"/>
          <w:color w:val="auto"/>
          <w:sz w:val="24"/>
          <w:szCs w:val="24"/>
        </w:rPr>
        <w:t>4</w:t>
      </w:r>
      <w:r w:rsidR="0076762D" w:rsidRPr="00B4742D">
        <w:rPr>
          <w:rFonts w:ascii="Times New Roman" w:hAnsi="Times New Roman"/>
          <w:b w:val="0"/>
          <w:color w:val="auto"/>
          <w:sz w:val="24"/>
          <w:szCs w:val="24"/>
        </w:rPr>
        <w:t>.</w:t>
      </w:r>
      <w:r w:rsidR="00751AF5" w:rsidRPr="00B4742D">
        <w:rPr>
          <w:rFonts w:ascii="Times New Roman" w:hAnsi="Times New Roman"/>
          <w:b w:val="0"/>
          <w:color w:val="auto"/>
          <w:sz w:val="24"/>
          <w:szCs w:val="24"/>
        </w:rPr>
        <w:t xml:space="preserve"> i </w:t>
      </w:r>
      <w:r w:rsidRPr="00B4742D">
        <w:rPr>
          <w:rFonts w:ascii="Times New Roman" w:hAnsi="Times New Roman"/>
          <w:b w:val="0"/>
          <w:color w:val="auto"/>
          <w:sz w:val="24"/>
          <w:szCs w:val="24"/>
        </w:rPr>
        <w:t>5</w:t>
      </w:r>
      <w:r w:rsidR="00751AF5" w:rsidRPr="00B4742D">
        <w:rPr>
          <w:rFonts w:ascii="Times New Roman" w:hAnsi="Times New Roman"/>
          <w:b w:val="0"/>
          <w:color w:val="auto"/>
          <w:sz w:val="24"/>
          <w:szCs w:val="24"/>
        </w:rPr>
        <w:t>.</w:t>
      </w:r>
      <w:r w:rsidR="007C4F28" w:rsidRPr="00B4742D">
        <w:rPr>
          <w:rFonts w:ascii="Times New Roman" w:hAnsi="Times New Roman"/>
          <w:b w:val="0"/>
          <w:color w:val="auto"/>
          <w:sz w:val="24"/>
          <w:szCs w:val="24"/>
        </w:rPr>
        <w:t xml:space="preserve">: Povlačenja </w:t>
      </w:r>
      <w:r w:rsidR="00250269" w:rsidRPr="00B4742D">
        <w:rPr>
          <w:rFonts w:ascii="Times New Roman" w:hAnsi="Times New Roman"/>
          <w:b w:val="0"/>
          <w:color w:val="auto"/>
          <w:sz w:val="24"/>
          <w:szCs w:val="24"/>
        </w:rPr>
        <w:t xml:space="preserve">sredstava </w:t>
      </w:r>
      <w:r w:rsidR="007C4F28" w:rsidRPr="00B4742D">
        <w:rPr>
          <w:rFonts w:ascii="Times New Roman" w:hAnsi="Times New Roman"/>
          <w:b w:val="0"/>
          <w:color w:val="auto"/>
          <w:sz w:val="24"/>
          <w:szCs w:val="24"/>
        </w:rPr>
        <w:t xml:space="preserve">iz </w:t>
      </w:r>
      <w:r w:rsidR="00250269" w:rsidRPr="00B4742D">
        <w:rPr>
          <w:rFonts w:ascii="Times New Roman" w:hAnsi="Times New Roman"/>
          <w:b w:val="0"/>
          <w:color w:val="auto"/>
          <w:sz w:val="24"/>
          <w:szCs w:val="24"/>
        </w:rPr>
        <w:t xml:space="preserve">nacionalnog </w:t>
      </w:r>
      <w:r w:rsidR="007C4F28" w:rsidRPr="00B4742D">
        <w:rPr>
          <w:rFonts w:ascii="Times New Roman" w:hAnsi="Times New Roman"/>
          <w:b w:val="0"/>
          <w:color w:val="auto"/>
          <w:sz w:val="24"/>
          <w:szCs w:val="24"/>
        </w:rPr>
        <w:t xml:space="preserve">sustava otpremnina u </w:t>
      </w:r>
      <w:r w:rsidR="009F2654" w:rsidRPr="00B4742D">
        <w:rPr>
          <w:rFonts w:ascii="Times New Roman" w:hAnsi="Times New Roman"/>
          <w:b w:val="0"/>
          <w:color w:val="auto"/>
          <w:sz w:val="24"/>
          <w:szCs w:val="24"/>
        </w:rPr>
        <w:t xml:space="preserve">Republici </w:t>
      </w:r>
      <w:r w:rsidR="007C4F28" w:rsidRPr="00B4742D">
        <w:rPr>
          <w:rFonts w:ascii="Times New Roman" w:hAnsi="Times New Roman"/>
          <w:b w:val="0"/>
          <w:color w:val="auto"/>
          <w:sz w:val="24"/>
          <w:szCs w:val="24"/>
        </w:rPr>
        <w:t>Austriji</w:t>
      </w:r>
    </w:p>
    <w:p w:rsidR="007C4F28" w:rsidRPr="00B4742D" w:rsidRDefault="00250269" w:rsidP="00466D80">
      <w:pPr>
        <w:spacing w:line="240" w:lineRule="auto"/>
      </w:pPr>
      <w:r w:rsidRPr="00B4742D">
        <w:rPr>
          <w:noProof/>
          <w:lang w:val="en-US" w:eastAsia="en-US"/>
        </w:rPr>
        <w:drawing>
          <wp:anchor distT="0" distB="0" distL="114300" distR="114300" simplePos="0" relativeHeight="251661312" behindDoc="1" locked="0" layoutInCell="1" allowOverlap="1" wp14:anchorId="6CF03B93" wp14:editId="572A6CB7">
            <wp:simplePos x="0" y="0"/>
            <wp:positionH relativeFrom="column">
              <wp:posOffset>3175</wp:posOffset>
            </wp:positionH>
            <wp:positionV relativeFrom="paragraph">
              <wp:posOffset>178435</wp:posOffset>
            </wp:positionV>
            <wp:extent cx="2880995" cy="1758950"/>
            <wp:effectExtent l="0" t="0" r="0" b="0"/>
            <wp:wrapTight wrapText="bothSides">
              <wp:wrapPolygon edited="0">
                <wp:start x="0" y="0"/>
                <wp:lineTo x="0" y="21288"/>
                <wp:lineTo x="21424" y="21288"/>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995"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F28" w:rsidRPr="00B4742D">
        <w:t>Broj osoba koje su povukle sredstva</w:t>
      </w:r>
      <w:r w:rsidR="007C4F28" w:rsidRPr="00B4742D">
        <w:tab/>
        <w:t>Ukupni iznos povlačenja</w:t>
      </w:r>
    </w:p>
    <w:p w:rsidR="00250269" w:rsidRPr="00B4742D" w:rsidRDefault="00250269" w:rsidP="00466D80">
      <w:pPr>
        <w:spacing w:line="240" w:lineRule="auto"/>
      </w:pPr>
      <w:r w:rsidRPr="00B4742D">
        <w:rPr>
          <w:noProof/>
          <w:lang w:val="en-US" w:eastAsia="en-US"/>
        </w:rPr>
        <w:drawing>
          <wp:inline distT="0" distB="0" distL="0" distR="0" wp14:anchorId="11997B21" wp14:editId="481561E0">
            <wp:extent cx="3035808" cy="1755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935" cy="1755721"/>
                    </a:xfrm>
                    <a:prstGeom prst="rect">
                      <a:avLst/>
                    </a:prstGeom>
                    <a:noFill/>
                    <a:ln>
                      <a:noFill/>
                    </a:ln>
                  </pic:spPr>
                </pic:pic>
              </a:graphicData>
            </a:graphic>
          </wp:inline>
        </w:drawing>
      </w:r>
    </w:p>
    <w:p w:rsidR="007C4F28" w:rsidRPr="002017C6" w:rsidRDefault="007C4F28" w:rsidP="00466D80">
      <w:pPr>
        <w:spacing w:line="240" w:lineRule="auto"/>
      </w:pPr>
      <w:r w:rsidRPr="00B4742D">
        <w:t>Izvor: Plattform der betrieblichen Vorsorgekassen</w:t>
      </w:r>
    </w:p>
    <w:p w:rsidR="007C4F28" w:rsidRPr="002017C6" w:rsidRDefault="007C4F28" w:rsidP="00466D80">
      <w:pPr>
        <w:spacing w:line="240" w:lineRule="auto"/>
      </w:pPr>
    </w:p>
    <w:p w:rsidR="007C4F28" w:rsidRPr="009336BF" w:rsidRDefault="00DB6E7D" w:rsidP="00F36054">
      <w:pPr>
        <w:pStyle w:val="Heading3"/>
      </w:pPr>
      <w:bookmarkStart w:id="33" w:name="_Toc365828850"/>
      <w:r w:rsidRPr="009336BF">
        <w:t xml:space="preserve">5.3.2. </w:t>
      </w:r>
      <w:r w:rsidR="007C4F28" w:rsidRPr="009336BF">
        <w:t>Mobilnost radne snage</w:t>
      </w:r>
      <w:bookmarkEnd w:id="33"/>
    </w:p>
    <w:p w:rsidR="007C4F28" w:rsidRPr="00C7332E" w:rsidRDefault="007C4F28" w:rsidP="00466D80">
      <w:pPr>
        <w:spacing w:line="240" w:lineRule="auto"/>
      </w:pPr>
    </w:p>
    <w:p w:rsidR="007C4F28" w:rsidRPr="00C7332E" w:rsidRDefault="00D2718D" w:rsidP="00466D80">
      <w:pPr>
        <w:spacing w:line="240" w:lineRule="auto"/>
      </w:pPr>
      <w:r w:rsidRPr="00C7332E">
        <w:t>Prethodn</w:t>
      </w:r>
      <w:r w:rsidR="007C4F28" w:rsidRPr="00C7332E">
        <w:t xml:space="preserve">i austrijski </w:t>
      </w:r>
      <w:r w:rsidR="00633631" w:rsidRPr="00C7332E">
        <w:t>nac</w:t>
      </w:r>
      <w:r w:rsidR="00633631" w:rsidRPr="006C4F67">
        <w:t xml:space="preserve">ionalni </w:t>
      </w:r>
      <w:r w:rsidR="007C4F28" w:rsidRPr="006C4F67">
        <w:t>sustav otpremnina bio</w:t>
      </w:r>
      <w:r w:rsidR="00633631" w:rsidRPr="006C4F67">
        <w:t xml:space="preserve"> je</w:t>
      </w:r>
      <w:r w:rsidR="007C4F28" w:rsidRPr="006C4F67">
        <w:t xml:space="preserve"> opterećen sumnjama da narušava ponašanje gospodarskih subjekata na tržištu rada</w:t>
      </w:r>
      <w:r w:rsidR="00633631" w:rsidRPr="00B74757">
        <w:t>.</w:t>
      </w:r>
      <w:r w:rsidR="00633631" w:rsidRPr="00B4742D">
        <w:rPr>
          <w:rStyle w:val="FootnoteReference"/>
        </w:rPr>
        <w:footnoteReference w:id="85"/>
      </w:r>
      <w:r w:rsidR="007C4F28" w:rsidRPr="00B4742D">
        <w:t xml:space="preserve"> Skokovito</w:t>
      </w:r>
      <w:r w:rsidR="000D55A1" w:rsidRPr="00B4742D">
        <w:t xml:space="preserve">, kaskadno, </w:t>
      </w:r>
      <w:r w:rsidR="007C4F28" w:rsidRPr="00B4742D">
        <w:t xml:space="preserve">povećanje prava dovelo </w:t>
      </w:r>
      <w:r w:rsidR="007C4F28" w:rsidRPr="00B4742D">
        <w:lastRenderedPageBreak/>
        <w:t>je do toga da su poslodavci imali poticaj otkaz</w:t>
      </w:r>
      <w:r w:rsidR="00A46A13" w:rsidRPr="00B4742D">
        <w:t>ivati ugovore o radu radnicima</w:t>
      </w:r>
      <w:r w:rsidR="007C4F28" w:rsidRPr="002017C6">
        <w:t xml:space="preserve"> upravo neposredno prije no što bi nastal</w:t>
      </w:r>
      <w:r w:rsidR="00A46A13" w:rsidRPr="002017C6">
        <w:t>o ovlaštenje na otpremninu</w:t>
      </w:r>
      <w:r w:rsidR="007C4F28" w:rsidRPr="00EB67A0">
        <w:t xml:space="preserve">. Iz motrišta </w:t>
      </w:r>
      <w:r w:rsidR="00A46A13" w:rsidRPr="00FE70C5">
        <w:t>rad</w:t>
      </w:r>
      <w:r w:rsidR="007C4F28" w:rsidRPr="00FE70C5">
        <w:t>nika, sustav otpremnina smanjio</w:t>
      </w:r>
      <w:r w:rsidR="00A46A13" w:rsidRPr="009336BF">
        <w:t xml:space="preserve"> je</w:t>
      </w:r>
      <w:r w:rsidR="007C4F28" w:rsidRPr="009336BF">
        <w:t xml:space="preserve"> privlačnost mijenjanja radnih mjesta te </w:t>
      </w:r>
      <w:r w:rsidR="00A46A13" w:rsidRPr="00C7332E">
        <w:t xml:space="preserve">je </w:t>
      </w:r>
      <w:r w:rsidR="007C4F28" w:rsidRPr="00C7332E">
        <w:t xml:space="preserve">povećao trajanje </w:t>
      </w:r>
      <w:r w:rsidR="00A46A13" w:rsidRPr="00C7332E">
        <w:t>radnog odnosa</w:t>
      </w:r>
      <w:r w:rsidR="007C4F28" w:rsidRPr="00C7332E">
        <w:t xml:space="preserve"> kod istog poslodavca. </w:t>
      </w:r>
    </w:p>
    <w:p w:rsidR="007C4F28" w:rsidRPr="006C4F67" w:rsidRDefault="007C4F28" w:rsidP="00466D80">
      <w:pPr>
        <w:spacing w:line="240" w:lineRule="auto"/>
      </w:pPr>
    </w:p>
    <w:p w:rsidR="007C4F28" w:rsidRPr="00EB67A0" w:rsidRDefault="007C4F28" w:rsidP="00466D80">
      <w:pPr>
        <w:spacing w:line="240" w:lineRule="auto"/>
      </w:pPr>
      <w:r w:rsidRPr="006C4F67">
        <w:t>Teor</w:t>
      </w:r>
      <w:r w:rsidR="00A46A13" w:rsidRPr="006C4F67">
        <w:t>ijska</w:t>
      </w:r>
      <w:r w:rsidRPr="006C4F67">
        <w:t xml:space="preserve"> razmatranja daju razloga pretpostaviti </w:t>
      </w:r>
      <w:r w:rsidR="00A46A13" w:rsidRPr="00B74757">
        <w:t>kako</w:t>
      </w:r>
      <w:r w:rsidRPr="00B74757">
        <w:t xml:space="preserve"> je reforma austrijskog </w:t>
      </w:r>
      <w:r w:rsidR="00A46A13" w:rsidRPr="00B74757">
        <w:t>uređenja prava na</w:t>
      </w:r>
      <w:r w:rsidRPr="009769E7">
        <w:t xml:space="preserve"> otpremnin</w:t>
      </w:r>
      <w:r w:rsidR="00A46A13" w:rsidRPr="004D0AD5">
        <w:t>u</w:t>
      </w:r>
      <w:r w:rsidRPr="004D0AD5">
        <w:t xml:space="preserve"> trebala značajno povećati mobilnost radne snage. Kao posljedica trebalo</w:t>
      </w:r>
      <w:r w:rsidR="00A46A13" w:rsidRPr="004D0AD5">
        <w:t xml:space="preserve"> bi</w:t>
      </w:r>
      <w:r w:rsidRPr="00E1401E">
        <w:t xml:space="preserve"> doći do korisnih učinaka na produktivnost radne snage, budući da će se povećati</w:t>
      </w:r>
      <w:r w:rsidR="00A46A13" w:rsidRPr="00D00975">
        <w:t xml:space="preserve"> i</w:t>
      </w:r>
      <w:r w:rsidRPr="00A26596">
        <w:t xml:space="preserve"> kvaliteta povezivanja radnika i po</w:t>
      </w:r>
      <w:r w:rsidR="00A46A13" w:rsidRPr="008B2ED7">
        <w:t>slodavaca</w:t>
      </w:r>
      <w:r w:rsidRPr="008B2ED7">
        <w:t>. Uz to je moguće po</w:t>
      </w:r>
      <w:r w:rsidR="00D677C3" w:rsidRPr="008B2ED7">
        <w:t xml:space="preserve">taknuti </w:t>
      </w:r>
      <w:r w:rsidRPr="008B2ED7">
        <w:t xml:space="preserve">i gospodarski rast, budući da se radnici brže kreću prema inovativnim sektorima gospodarstva. </w:t>
      </w:r>
      <w:r w:rsidR="00A46A13" w:rsidRPr="00B4742D">
        <w:t>P</w:t>
      </w:r>
      <w:r w:rsidRPr="00B4742D">
        <w:t>rocjen</w:t>
      </w:r>
      <w:r w:rsidR="00A46A13" w:rsidRPr="00B4742D">
        <w:t>e su</w:t>
      </w:r>
      <w:r w:rsidRPr="00B4742D">
        <w:t xml:space="preserve"> da će reforma “povećati godišnji rast ukupne faktorske produktivnosti u sektorima koje obvezuje zakonodavstvo o zaštiti </w:t>
      </w:r>
      <w:r w:rsidR="00A46A13" w:rsidRPr="00B4742D">
        <w:t>radnog odnosa</w:t>
      </w:r>
      <w:r w:rsidRPr="00B4742D">
        <w:t>, i to za oko 0,25 postotna boda, što se može prevesti u prosječnu procijenjenu stopu rasta od barem 0,1 postotna boda na razini čitavog gospodarstva.”</w:t>
      </w:r>
      <w:r w:rsidR="00A46A13" w:rsidRPr="00B4742D">
        <w:rPr>
          <w:rStyle w:val="FootnoteReference"/>
        </w:rPr>
        <w:footnoteReference w:id="86"/>
      </w:r>
      <w:r w:rsidRPr="00B4742D">
        <w:t xml:space="preserve"> Preduvjet da ti učinci </w:t>
      </w:r>
      <w:r w:rsidR="00A46A13" w:rsidRPr="00B4742D">
        <w:t xml:space="preserve">budu ostvareni </w:t>
      </w:r>
      <w:r w:rsidRPr="00B4742D">
        <w:t>je</w:t>
      </w:r>
      <w:r w:rsidR="00A46A13" w:rsidRPr="00B4742D">
        <w:t>st</w:t>
      </w:r>
      <w:r w:rsidRPr="00B4742D">
        <w:t xml:space="preserve">, međutim, da se ostvari pretpostavljeni učinak reforme na mobilnost radne snage u </w:t>
      </w:r>
      <w:r w:rsidR="009F2654" w:rsidRPr="002017C6">
        <w:t xml:space="preserve">Republici </w:t>
      </w:r>
      <w:r w:rsidRPr="002017C6">
        <w:t>Austriji.</w:t>
      </w:r>
    </w:p>
    <w:p w:rsidR="007C4F28" w:rsidRPr="009336BF" w:rsidRDefault="007C4F28" w:rsidP="00466D80">
      <w:pPr>
        <w:spacing w:line="240" w:lineRule="auto"/>
      </w:pPr>
    </w:p>
    <w:p w:rsidR="007C4F28" w:rsidRPr="00B4742D" w:rsidRDefault="007C4F28" w:rsidP="00466D80">
      <w:pPr>
        <w:spacing w:line="240" w:lineRule="auto"/>
      </w:pPr>
      <w:r w:rsidRPr="009336BF">
        <w:t>U empirijskoj studiji istraživa</w:t>
      </w:r>
      <w:r w:rsidR="00A46A13" w:rsidRPr="00C7332E">
        <w:t>o se</w:t>
      </w:r>
      <w:r w:rsidRPr="00C7332E">
        <w:t xml:space="preserve"> učinak uvođenja reforme sustava otpremnina na mobilnost radne snage u </w:t>
      </w:r>
      <w:r w:rsidR="009F2654" w:rsidRPr="00C7332E">
        <w:t xml:space="preserve">Republici </w:t>
      </w:r>
      <w:r w:rsidRPr="006C4F67">
        <w:t>Austriji.</w:t>
      </w:r>
      <w:r w:rsidR="00A46A13" w:rsidRPr="00B4742D">
        <w:rPr>
          <w:rStyle w:val="FootnoteReference"/>
        </w:rPr>
        <w:footnoteReference w:id="87"/>
      </w:r>
      <w:r w:rsidRPr="00B4742D">
        <w:t xml:space="preserve"> </w:t>
      </w:r>
      <w:r w:rsidR="00A46A13" w:rsidRPr="00B4742D">
        <w:t>U</w:t>
      </w:r>
      <w:r w:rsidRPr="00B4742D">
        <w:t>tvrđ</w:t>
      </w:r>
      <w:r w:rsidR="00A46A13" w:rsidRPr="00B4742D">
        <w:t xml:space="preserve">en je </w:t>
      </w:r>
      <w:r w:rsidRPr="00B4742D">
        <w:t xml:space="preserve">učinak reforme kroz primjenu razlike u procjenitelju razlika o vjerojatnosti </w:t>
      </w:r>
      <w:r w:rsidR="00751AF5" w:rsidRPr="00B4742D">
        <w:t xml:space="preserve">otkaza ugovora o radu </w:t>
      </w:r>
      <w:r w:rsidRPr="002017C6">
        <w:t xml:space="preserve">za dvije zasebne skupine </w:t>
      </w:r>
      <w:r w:rsidR="00751AF5" w:rsidRPr="00EB67A0">
        <w:t>rad</w:t>
      </w:r>
      <w:r w:rsidRPr="00FE70C5">
        <w:t xml:space="preserve">nika s </w:t>
      </w:r>
      <w:r w:rsidR="00751AF5" w:rsidRPr="00FE70C5">
        <w:t xml:space="preserve">radnim odnosom </w:t>
      </w:r>
      <w:r w:rsidRPr="009336BF">
        <w:t>određen</w:t>
      </w:r>
      <w:r w:rsidR="00751AF5" w:rsidRPr="009336BF">
        <w:t>og trajanja</w:t>
      </w:r>
      <w:r w:rsidRPr="00C7332E">
        <w:t>, i to nep</w:t>
      </w:r>
      <w:r w:rsidR="00751AF5" w:rsidRPr="00C7332E">
        <w:t>osredno prije i nakon uvođenja novog uređenja nacionalnog sustava otpremnina</w:t>
      </w:r>
      <w:r w:rsidRPr="00C7332E">
        <w:t xml:space="preserve">. Analiza ispituje </w:t>
      </w:r>
      <w:r w:rsidR="00D677C3" w:rsidRPr="006C4F67">
        <w:t xml:space="preserve">pretpostavljenu </w:t>
      </w:r>
      <w:r w:rsidRPr="006C4F67">
        <w:t xml:space="preserve">hipotezu </w:t>
      </w:r>
      <w:r w:rsidR="00D677C3" w:rsidRPr="006C4F67">
        <w:t xml:space="preserve">je </w:t>
      </w:r>
      <w:r w:rsidRPr="006C4F67">
        <w:t>li mobilnost radnih mjesta po</w:t>
      </w:r>
      <w:r w:rsidRPr="00B74757">
        <w:t>većana reform</w:t>
      </w:r>
      <w:r w:rsidR="00751AF5" w:rsidRPr="00B74757">
        <w:t>om</w:t>
      </w:r>
      <w:r w:rsidRPr="00B74757">
        <w:t xml:space="preserve">. Iz </w:t>
      </w:r>
      <w:r w:rsidR="005523BB" w:rsidRPr="00B74757">
        <w:t>Grafikona</w:t>
      </w:r>
      <w:r w:rsidRPr="009769E7">
        <w:t xml:space="preserve"> </w:t>
      </w:r>
      <w:r w:rsidR="005523BB" w:rsidRPr="004D0AD5">
        <w:t>2</w:t>
      </w:r>
      <w:r w:rsidR="00751AF5" w:rsidRPr="004D0AD5">
        <w:t>.</w:t>
      </w:r>
      <w:r w:rsidRPr="004D0AD5">
        <w:t xml:space="preserve"> može se zaključiti </w:t>
      </w:r>
      <w:r w:rsidR="00751AF5" w:rsidRPr="00E1401E">
        <w:t>kako</w:t>
      </w:r>
      <w:r w:rsidRPr="00E1401E">
        <w:t xml:space="preserve"> je stari sustav značajn</w:t>
      </w:r>
      <w:r w:rsidR="00751AF5" w:rsidRPr="00E1401E">
        <w:t>o</w:t>
      </w:r>
      <w:r w:rsidRPr="00D00975">
        <w:t xml:space="preserve"> potica</w:t>
      </w:r>
      <w:r w:rsidR="00751AF5" w:rsidRPr="00D00975">
        <w:t>o radnike u</w:t>
      </w:r>
      <w:r w:rsidRPr="00A26596">
        <w:t xml:space="preserve"> izbjegava</w:t>
      </w:r>
      <w:r w:rsidR="00751AF5" w:rsidRPr="008B2ED7">
        <w:t>n</w:t>
      </w:r>
      <w:r w:rsidRPr="008B2ED7">
        <w:t xml:space="preserve">ju </w:t>
      </w:r>
      <w:r w:rsidR="00751AF5" w:rsidRPr="008B2ED7">
        <w:t xml:space="preserve">otkaza ugovora o radu </w:t>
      </w:r>
      <w:r w:rsidRPr="008B2ED7">
        <w:t xml:space="preserve">nakon tri godine staža kod istog poslodavca. Posljedično se očekivalo </w:t>
      </w:r>
      <w:r w:rsidR="00751AF5" w:rsidRPr="008B2ED7">
        <w:t>kako će</w:t>
      </w:r>
      <w:r w:rsidRPr="007B61AF">
        <w:t xml:space="preserve"> do</w:t>
      </w:r>
      <w:r w:rsidR="00751AF5" w:rsidRPr="00B4742D">
        <w:t>ći</w:t>
      </w:r>
      <w:r w:rsidRPr="00B4742D">
        <w:t xml:space="preserve"> do značajnog povećanja relativne mobilnosti</w:t>
      </w:r>
      <w:r w:rsidR="00751AF5" w:rsidRPr="00B4742D">
        <w:t xml:space="preserve"> radne snage</w:t>
      </w:r>
      <w:r w:rsidRPr="00B4742D">
        <w:t xml:space="preserve"> nakon tri godine staža</w:t>
      </w:r>
      <w:r w:rsidR="00751AF5" w:rsidRPr="00B4742D">
        <w:t xml:space="preserve"> radnika</w:t>
      </w:r>
      <w:r w:rsidRPr="00B4742D">
        <w:t xml:space="preserve"> kod jednog poslodavca za tu skupinu </w:t>
      </w:r>
      <w:r w:rsidR="00751AF5" w:rsidRPr="00B4742D">
        <w:t>rad</w:t>
      </w:r>
      <w:r w:rsidRPr="00B4742D">
        <w:t>nika nakon uvođenja reforme.</w:t>
      </w:r>
    </w:p>
    <w:p w:rsidR="007C4F28" w:rsidRPr="00B4742D" w:rsidRDefault="007C4F28" w:rsidP="00466D80">
      <w:pPr>
        <w:spacing w:line="240" w:lineRule="auto"/>
      </w:pPr>
    </w:p>
    <w:p w:rsidR="007C4F28" w:rsidRPr="00B4742D" w:rsidRDefault="007C4F28" w:rsidP="00466D80">
      <w:pPr>
        <w:spacing w:line="240" w:lineRule="auto"/>
      </w:pPr>
      <w:r w:rsidRPr="00B4742D">
        <w:t xml:space="preserve">Analizom je utvrđeno </w:t>
      </w:r>
      <w:r w:rsidR="00751AF5" w:rsidRPr="00B4742D">
        <w:t>kako</w:t>
      </w:r>
      <w:r w:rsidRPr="00B4742D">
        <w:t xml:space="preserve"> je reforma zaista imala značajan pozitiv</w:t>
      </w:r>
      <w:r w:rsidR="00751AF5" w:rsidRPr="00B4742D">
        <w:t>a</w:t>
      </w:r>
      <w:r w:rsidRPr="00B4742D">
        <w:t xml:space="preserve">n učinak na </w:t>
      </w:r>
      <w:r w:rsidR="00751AF5" w:rsidRPr="00B4742D">
        <w:t>m</w:t>
      </w:r>
      <w:r w:rsidRPr="00B4742D">
        <w:t>obilnost</w:t>
      </w:r>
      <w:r w:rsidR="00751AF5" w:rsidRPr="00B4742D">
        <w:t xml:space="preserve"> radne snage</w:t>
      </w:r>
      <w:r w:rsidRPr="00B4742D">
        <w:t xml:space="preserve">. </w:t>
      </w:r>
      <w:r w:rsidR="00751AF5" w:rsidRPr="00B4742D">
        <w:t>Ona se</w:t>
      </w:r>
      <w:r w:rsidRPr="00B4742D">
        <w:t xml:space="preserve"> povećala za 0,9 postotnih bodova (ili 5,8</w:t>
      </w:r>
      <w:r w:rsidR="00751AF5" w:rsidRPr="00B4742D">
        <w:t xml:space="preserve"> posto</w:t>
      </w:r>
      <w:r w:rsidRPr="00B4742D">
        <w:t>) za žene, i 0,2 postotna boda (ili 1,1</w:t>
      </w:r>
      <w:r w:rsidR="00751AF5" w:rsidRPr="00B4742D">
        <w:t xml:space="preserve"> posto)</w:t>
      </w:r>
      <w:r w:rsidRPr="00B4742D">
        <w:t xml:space="preserve"> za muškarce. Provjera stabilnosti rezultata </w:t>
      </w:r>
      <w:r w:rsidR="00751AF5" w:rsidRPr="00B4742D">
        <w:t>–</w:t>
      </w:r>
      <w:r w:rsidRPr="00B4742D">
        <w:t xml:space="preserve"> </w:t>
      </w:r>
      <w:r w:rsidR="00751AF5" w:rsidRPr="00B4742D">
        <w:t xml:space="preserve">primjerice, </w:t>
      </w:r>
      <w:r w:rsidRPr="00B4742D">
        <w:t xml:space="preserve">kroz ograničenje analize na izravne prijelaze </w:t>
      </w:r>
      <w:r w:rsidR="00751AF5" w:rsidRPr="00B4742D">
        <w:t>iz radnog odnosa u radni odnos –</w:t>
      </w:r>
      <w:r w:rsidRPr="00B4742D">
        <w:t xml:space="preserve"> pokazala</w:t>
      </w:r>
      <w:r w:rsidR="00751AF5" w:rsidRPr="00B4742D">
        <w:t xml:space="preserve"> je, međutim,</w:t>
      </w:r>
      <w:r w:rsidRPr="00B4742D">
        <w:t xml:space="preserve"> </w:t>
      </w:r>
      <w:r w:rsidR="00751AF5" w:rsidRPr="00B4742D">
        <w:t>kako</w:t>
      </w:r>
      <w:r w:rsidRPr="00B4742D">
        <w:t xml:space="preserve"> </w:t>
      </w:r>
      <w:r w:rsidR="00D677C3" w:rsidRPr="00B4742D">
        <w:t xml:space="preserve">je </w:t>
      </w:r>
      <w:r w:rsidRPr="00B4742D">
        <w:t>učinak reforme na mobilnost</w:t>
      </w:r>
      <w:r w:rsidR="00751AF5" w:rsidRPr="00B4742D">
        <w:t xml:space="preserve"> radne snage</w:t>
      </w:r>
      <w:r w:rsidRPr="00B4742D">
        <w:t xml:space="preserve"> ipak </w:t>
      </w:r>
      <w:r w:rsidR="00751AF5" w:rsidRPr="00B4742D">
        <w:t xml:space="preserve">vjerojatno </w:t>
      </w:r>
      <w:r w:rsidRPr="00B4742D">
        <w:t>značajno niži no što se to početno očekivalo.</w:t>
      </w:r>
    </w:p>
    <w:p w:rsidR="00944FA7" w:rsidRPr="00B4742D" w:rsidRDefault="00944FA7">
      <w:pPr>
        <w:tabs>
          <w:tab w:val="clear" w:pos="0"/>
          <w:tab w:val="clear" w:pos="9360"/>
        </w:tabs>
        <w:spacing w:line="240" w:lineRule="auto"/>
        <w:jc w:val="left"/>
        <w:rPr>
          <w:rFonts w:eastAsia="Calibri"/>
          <w:color w:val="auto"/>
          <w:lang w:eastAsia="en-US"/>
        </w:rPr>
      </w:pPr>
      <w:r w:rsidRPr="00B4742D">
        <w:rPr>
          <w:b/>
          <w:color w:val="auto"/>
        </w:rPr>
        <w:br w:type="page"/>
      </w:r>
    </w:p>
    <w:p w:rsidR="007C4F28" w:rsidRPr="00B4742D" w:rsidRDefault="005523BB" w:rsidP="00751AF5">
      <w:pPr>
        <w:pStyle w:val="Caption"/>
        <w:spacing w:after="0"/>
        <w:jc w:val="both"/>
        <w:rPr>
          <w:rFonts w:ascii="Times New Roman" w:hAnsi="Times New Roman"/>
          <w:b w:val="0"/>
          <w:color w:val="auto"/>
          <w:sz w:val="24"/>
          <w:szCs w:val="24"/>
        </w:rPr>
      </w:pPr>
      <w:r w:rsidRPr="00B4742D">
        <w:rPr>
          <w:rFonts w:ascii="Times New Roman" w:hAnsi="Times New Roman"/>
          <w:b w:val="0"/>
          <w:color w:val="auto"/>
          <w:sz w:val="24"/>
          <w:szCs w:val="24"/>
        </w:rPr>
        <w:lastRenderedPageBreak/>
        <w:t>Grafikon 6</w:t>
      </w:r>
      <w:r w:rsidR="0076762D" w:rsidRPr="00B4742D">
        <w:rPr>
          <w:rFonts w:ascii="Times New Roman" w:hAnsi="Times New Roman"/>
          <w:b w:val="0"/>
          <w:color w:val="auto"/>
          <w:sz w:val="24"/>
          <w:szCs w:val="24"/>
        </w:rPr>
        <w:t>.</w:t>
      </w:r>
      <w:r w:rsidR="007C4F28" w:rsidRPr="00B4742D">
        <w:rPr>
          <w:rFonts w:ascii="Times New Roman" w:hAnsi="Times New Roman"/>
          <w:b w:val="0"/>
          <w:color w:val="auto"/>
          <w:sz w:val="24"/>
          <w:szCs w:val="24"/>
        </w:rPr>
        <w:t xml:space="preserve">: </w:t>
      </w:r>
      <w:r w:rsidR="00751AF5" w:rsidRPr="00B4742D">
        <w:rPr>
          <w:rFonts w:ascii="Times New Roman" w:hAnsi="Times New Roman"/>
          <w:b w:val="0"/>
          <w:color w:val="auto"/>
          <w:sz w:val="24"/>
          <w:szCs w:val="24"/>
        </w:rPr>
        <w:t>M</w:t>
      </w:r>
      <w:r w:rsidR="007C4F28" w:rsidRPr="00B4742D">
        <w:rPr>
          <w:rFonts w:ascii="Times New Roman" w:hAnsi="Times New Roman"/>
          <w:b w:val="0"/>
          <w:color w:val="auto"/>
          <w:sz w:val="24"/>
          <w:szCs w:val="24"/>
        </w:rPr>
        <w:t>obilnost</w:t>
      </w:r>
      <w:r w:rsidR="00751AF5" w:rsidRPr="00B4742D">
        <w:rPr>
          <w:rFonts w:ascii="Times New Roman" w:hAnsi="Times New Roman"/>
          <w:b w:val="0"/>
          <w:color w:val="auto"/>
          <w:sz w:val="24"/>
          <w:szCs w:val="24"/>
        </w:rPr>
        <w:t xml:space="preserve"> radne snage</w:t>
      </w:r>
      <w:r w:rsidR="007C4F28" w:rsidRPr="00B4742D">
        <w:rPr>
          <w:rFonts w:ascii="Times New Roman" w:hAnsi="Times New Roman"/>
          <w:b w:val="0"/>
          <w:color w:val="auto"/>
          <w:sz w:val="24"/>
          <w:szCs w:val="24"/>
        </w:rPr>
        <w:t xml:space="preserve"> nakon četiri godine staža </w:t>
      </w:r>
      <w:r w:rsidR="00751AF5" w:rsidRPr="00B4742D">
        <w:rPr>
          <w:rFonts w:ascii="Times New Roman" w:hAnsi="Times New Roman"/>
          <w:b w:val="0"/>
          <w:color w:val="auto"/>
          <w:sz w:val="24"/>
          <w:szCs w:val="24"/>
        </w:rPr>
        <w:t xml:space="preserve">radnika </w:t>
      </w:r>
      <w:r w:rsidR="007C4F28" w:rsidRPr="00B4742D">
        <w:rPr>
          <w:rFonts w:ascii="Times New Roman" w:hAnsi="Times New Roman"/>
          <w:b w:val="0"/>
          <w:color w:val="auto"/>
          <w:sz w:val="24"/>
          <w:szCs w:val="24"/>
        </w:rPr>
        <w:t>kod istog poslodavca, usporedba prije i poslije reforme</w:t>
      </w:r>
    </w:p>
    <w:p w:rsidR="007C4F28" w:rsidRPr="00B4742D" w:rsidRDefault="007C4F28" w:rsidP="00466D80">
      <w:pPr>
        <w:spacing w:line="240" w:lineRule="auto"/>
      </w:pPr>
      <w:r w:rsidRPr="00B4742D">
        <w:rPr>
          <w:noProof/>
          <w:lang w:val="en-US" w:eastAsia="en-US"/>
        </w:rPr>
        <w:drawing>
          <wp:inline distT="0" distB="0" distL="0" distR="0" wp14:anchorId="7758B3C0" wp14:editId="20F4C3BD">
            <wp:extent cx="3869690" cy="23190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9690" cy="2319020"/>
                    </a:xfrm>
                    <a:prstGeom prst="rect">
                      <a:avLst/>
                    </a:prstGeom>
                    <a:noFill/>
                    <a:ln>
                      <a:noFill/>
                    </a:ln>
                  </pic:spPr>
                </pic:pic>
              </a:graphicData>
            </a:graphic>
          </wp:inline>
        </w:drawing>
      </w:r>
    </w:p>
    <w:p w:rsidR="00D677C3" w:rsidRPr="00B4742D" w:rsidRDefault="00D677C3" w:rsidP="00466D80">
      <w:pPr>
        <w:spacing w:line="240" w:lineRule="auto"/>
      </w:pPr>
      <w:r w:rsidRPr="00B4742D">
        <w:t xml:space="preserve">Na osi y </w:t>
      </w:r>
      <w:r w:rsidR="00B4742D" w:rsidRPr="00B4742D">
        <w:t>prikazana</w:t>
      </w:r>
      <w:r w:rsidRPr="00B4742D">
        <w:t xml:space="preserve"> je vjerojatnost prekida radnog odnosa u četvrtoj godini, lijevo žene, desno muškarci, crveno je prikazan učinak reforme</w:t>
      </w:r>
    </w:p>
    <w:p w:rsidR="007C4F28" w:rsidRPr="00EB67A0" w:rsidRDefault="007C4F28" w:rsidP="00466D80">
      <w:pPr>
        <w:spacing w:line="240" w:lineRule="auto"/>
      </w:pPr>
      <w:r w:rsidRPr="002017C6">
        <w:t xml:space="preserve">Izvor: </w:t>
      </w:r>
      <w:r w:rsidR="00751AF5" w:rsidRPr="002017C6">
        <w:t xml:space="preserve">Hofer, Helmut; Schuh, Ulrich; Walch, Dominik. 2012. </w:t>
      </w:r>
      <w:r w:rsidR="00751AF5" w:rsidRPr="00B4742D">
        <w:t xml:space="preserve">Effects of the Austrian Severance Pay Reform, u: Reforming Severance Pay (ur. Holzmann, Robert; Vodopivec, Milan). Washington: </w:t>
      </w:r>
      <w:r w:rsidR="00751AF5" w:rsidRPr="00B4742D">
        <w:rPr>
          <w:bCs w:val="0"/>
          <w:color w:val="auto"/>
        </w:rPr>
        <w:t>The International Bank for Reconstruction and Development; The World Bank,</w:t>
      </w:r>
      <w:r w:rsidR="00751AF5" w:rsidRPr="002017C6">
        <w:t xml:space="preserve"> 2012.;</w:t>
      </w:r>
      <w:r w:rsidRPr="002017C6">
        <w:t xml:space="preserve"> vlastiti izračuni</w:t>
      </w:r>
    </w:p>
    <w:p w:rsidR="007C4F28" w:rsidRPr="009336BF" w:rsidRDefault="007C4F28" w:rsidP="00466D80">
      <w:pPr>
        <w:spacing w:line="240" w:lineRule="auto"/>
      </w:pPr>
    </w:p>
    <w:p w:rsidR="007C4F28" w:rsidRPr="00B4742D" w:rsidRDefault="007C4F28" w:rsidP="00466D80">
      <w:pPr>
        <w:spacing w:line="240" w:lineRule="auto"/>
      </w:pPr>
      <w:r w:rsidRPr="009336BF">
        <w:t xml:space="preserve">Čini se </w:t>
      </w:r>
      <w:r w:rsidR="00751AF5" w:rsidRPr="00C7332E">
        <w:t>kako</w:t>
      </w:r>
      <w:r w:rsidRPr="00C7332E">
        <w:t xml:space="preserve"> ostali čimbenici, kao što su </w:t>
      </w:r>
      <w:r w:rsidR="00751AF5" w:rsidRPr="00C7332E">
        <w:t>gospodarski</w:t>
      </w:r>
      <w:r w:rsidRPr="00C7332E">
        <w:t xml:space="preserve"> uvjeti, i</w:t>
      </w:r>
      <w:r w:rsidR="00751AF5" w:rsidRPr="006C4F67">
        <w:t>maju znatno</w:t>
      </w:r>
      <w:r w:rsidRPr="006C4F67">
        <w:t xml:space="preserve"> veću ulogu u smislu utjecaja na promjene radnog mjesta u </w:t>
      </w:r>
      <w:r w:rsidR="009F2654" w:rsidRPr="006C4F67">
        <w:t xml:space="preserve">Republici </w:t>
      </w:r>
      <w:r w:rsidRPr="00B74757">
        <w:t xml:space="preserve">Austriji. Rezultati ukazuju da su negativni financijski poticaji </w:t>
      </w:r>
      <w:r w:rsidR="00751AF5" w:rsidRPr="00B74757">
        <w:t>prethodnog</w:t>
      </w:r>
      <w:r w:rsidRPr="00B74757">
        <w:t xml:space="preserve"> sustava otpremnina bili - barem za on</w:t>
      </w:r>
      <w:r w:rsidR="00751AF5" w:rsidRPr="00B74757">
        <w:t xml:space="preserve">e radne odnose </w:t>
      </w:r>
      <w:r w:rsidRPr="009769E7">
        <w:t>koj</w:t>
      </w:r>
      <w:r w:rsidR="00751AF5" w:rsidRPr="004D0AD5">
        <w:t>i</w:t>
      </w:r>
      <w:r w:rsidRPr="004D0AD5">
        <w:t xml:space="preserve"> su trajal</w:t>
      </w:r>
      <w:r w:rsidR="00751AF5" w:rsidRPr="004D0AD5">
        <w:t>i</w:t>
      </w:r>
      <w:r w:rsidRPr="00E1401E">
        <w:t xml:space="preserve"> pet ili više godina - premali, a da bi imali istaknutiji učinak na mobilnost radne snage u </w:t>
      </w:r>
      <w:r w:rsidR="009F2654" w:rsidRPr="00D00975">
        <w:t xml:space="preserve">Republici </w:t>
      </w:r>
      <w:r w:rsidRPr="008B2ED7">
        <w:t xml:space="preserve">Austriji. Ovaj je </w:t>
      </w:r>
      <w:r w:rsidR="00751AF5" w:rsidRPr="008B2ED7">
        <w:t xml:space="preserve">rezultat </w:t>
      </w:r>
      <w:r w:rsidRPr="008B2ED7">
        <w:t xml:space="preserve">u skladu s literaturom koja ukazuje na važnost interakcije otpremnina s općim </w:t>
      </w:r>
      <w:r w:rsidR="00751AF5" w:rsidRPr="008B2ED7">
        <w:t xml:space="preserve">uređenjem </w:t>
      </w:r>
      <w:r w:rsidRPr="007B61AF">
        <w:t>zakon</w:t>
      </w:r>
      <w:r w:rsidR="00751AF5" w:rsidRPr="00B4742D">
        <w:t xml:space="preserve">ske </w:t>
      </w:r>
      <w:r w:rsidRPr="00B4742D">
        <w:t>zaštit</w:t>
      </w:r>
      <w:r w:rsidR="00751AF5" w:rsidRPr="00B4742D">
        <w:t>e radnog odnosa</w:t>
      </w:r>
      <w:r w:rsidRPr="00B4742D">
        <w:t>.</w:t>
      </w:r>
    </w:p>
    <w:p w:rsidR="007C4F28" w:rsidRPr="00B4742D" w:rsidRDefault="007C4F28" w:rsidP="00466D80">
      <w:pPr>
        <w:spacing w:line="240" w:lineRule="auto"/>
      </w:pPr>
    </w:p>
    <w:p w:rsidR="007C4F28" w:rsidRPr="00B4742D" w:rsidRDefault="00DB6E7D" w:rsidP="00F36054">
      <w:pPr>
        <w:pStyle w:val="Heading3"/>
      </w:pPr>
      <w:bookmarkStart w:id="34" w:name="_Toc365828851"/>
      <w:r w:rsidRPr="00B4742D">
        <w:t xml:space="preserve">5.3.3. </w:t>
      </w:r>
      <w:r w:rsidR="007C4F28" w:rsidRPr="00B4742D">
        <w:t>Akumulacija kapitala i stopa povrata</w:t>
      </w:r>
      <w:bookmarkEnd w:id="34"/>
    </w:p>
    <w:p w:rsidR="007C4F28" w:rsidRPr="00B4742D" w:rsidRDefault="007C4F28" w:rsidP="00466D80">
      <w:pPr>
        <w:spacing w:line="240" w:lineRule="auto"/>
      </w:pPr>
    </w:p>
    <w:p w:rsidR="007C4F28" w:rsidRPr="004D0AD5" w:rsidRDefault="007C4F28" w:rsidP="00466D80">
      <w:pPr>
        <w:spacing w:line="240" w:lineRule="auto"/>
      </w:pPr>
      <w:r w:rsidRPr="00B4742D">
        <w:t xml:space="preserve">Izvorni cilj austrijske reforme bio je pridonijeti širenju nedovoljno razvijenog drugog stupa austrijskog mirovinskog sustava. </w:t>
      </w:r>
      <w:r w:rsidR="00811029" w:rsidRPr="00B4742D">
        <w:t xml:space="preserve">Tako je </w:t>
      </w:r>
      <w:r w:rsidRPr="00B4742D">
        <w:t xml:space="preserve">2005. </w:t>
      </w:r>
      <w:r w:rsidR="00811029" w:rsidRPr="00B4742D">
        <w:t>godine</w:t>
      </w:r>
      <w:r w:rsidRPr="00B4742D">
        <w:t xml:space="preserve"> samo </w:t>
      </w:r>
      <w:r w:rsidR="00811029" w:rsidRPr="00B4742D">
        <w:t xml:space="preserve">jedanaest posto </w:t>
      </w:r>
      <w:r w:rsidRPr="00B4742D">
        <w:t xml:space="preserve">svih austrijskih </w:t>
      </w:r>
      <w:r w:rsidR="00811029" w:rsidRPr="00B4742D">
        <w:t>rad</w:t>
      </w:r>
      <w:r w:rsidRPr="00B4742D">
        <w:t>nika imalo potraživanja od kapitalno financiranih mirovinskih sustava na razini po</w:t>
      </w:r>
      <w:r w:rsidR="00811029" w:rsidRPr="00B4742D">
        <w:t>slodavaca,</w:t>
      </w:r>
      <w:r w:rsidRPr="00B4742D">
        <w:t xml:space="preserve"> u usporedbi s prosječnom vrijednošću od </w:t>
      </w:r>
      <w:r w:rsidR="006E2953" w:rsidRPr="00B4742D">
        <w:t xml:space="preserve">dvadesetsedam posto </w:t>
      </w:r>
      <w:r w:rsidRPr="00B4742D">
        <w:t>u svim državama članicama E</w:t>
      </w:r>
      <w:r w:rsidR="006E2953" w:rsidRPr="00B4742D">
        <w:t>uropske unije</w:t>
      </w:r>
      <w:r w:rsidRPr="00B4742D">
        <w:t>. Ukupne uštede u kapitalno financiranom stupu iznosile su 4,7</w:t>
      </w:r>
      <w:r w:rsidR="0059531D" w:rsidRPr="00B4742D">
        <w:t xml:space="preserve"> posto </w:t>
      </w:r>
      <w:r w:rsidRPr="00B4742D">
        <w:t xml:space="preserve">BDP-a u 2005. </w:t>
      </w:r>
      <w:r w:rsidR="0059531D" w:rsidRPr="00B4742D">
        <w:t>g</w:t>
      </w:r>
      <w:r w:rsidRPr="00B4742D">
        <w:t>odini</w:t>
      </w:r>
      <w:r w:rsidR="0059531D" w:rsidRPr="00B4742D">
        <w:t>,</w:t>
      </w:r>
      <w:r w:rsidRPr="00B4742D">
        <w:t xml:space="preserve"> u usporedbi s prosječnom vrijednošću od 87,6</w:t>
      </w:r>
      <w:r w:rsidR="0059531D" w:rsidRPr="00B4742D">
        <w:t xml:space="preserve"> posto</w:t>
      </w:r>
      <w:r w:rsidRPr="00B4742D">
        <w:t xml:space="preserve"> u svim </w:t>
      </w:r>
      <w:r w:rsidR="0059531D" w:rsidRPr="00B4742D">
        <w:t>državama</w:t>
      </w:r>
      <w:r w:rsidRPr="00B4742D">
        <w:t xml:space="preserve"> članicama </w:t>
      </w:r>
      <w:r w:rsidR="003350A9" w:rsidRPr="00B4742D">
        <w:t>Organizacije za ekonomsku suradnju i razvoj (</w:t>
      </w:r>
      <w:r w:rsidR="0059531D" w:rsidRPr="00FE70C5">
        <w:rPr>
          <w:bCs w:val="0"/>
          <w:i/>
        </w:rPr>
        <w:t>Organisation for Economic Co-operation and Development</w:t>
      </w:r>
      <w:r w:rsidR="003350A9" w:rsidRPr="00FE70C5">
        <w:rPr>
          <w:bCs w:val="0"/>
        </w:rPr>
        <w:t>)</w:t>
      </w:r>
      <w:r w:rsidRPr="00B4742D">
        <w:t>.</w:t>
      </w:r>
      <w:r w:rsidRPr="00B4742D">
        <w:rPr>
          <w:rStyle w:val="FootnoteReference"/>
        </w:rPr>
        <w:footnoteReference w:id="88"/>
      </w:r>
      <w:r w:rsidRPr="00B4742D">
        <w:t xml:space="preserve"> Struktura štednje za mirovinu u </w:t>
      </w:r>
      <w:r w:rsidR="009F2654" w:rsidRPr="00B4742D">
        <w:t xml:space="preserve">Republici </w:t>
      </w:r>
      <w:r w:rsidRPr="00B4742D">
        <w:t>Austriji može se objasniti prilično izdašnim</w:t>
      </w:r>
      <w:r w:rsidR="000D55A1" w:rsidRPr="00B4742D">
        <w:t xml:space="preserve"> </w:t>
      </w:r>
      <w:r w:rsidRPr="002017C6">
        <w:t>mirovinskim sustavom međugeneracijske solidarnosti. Međutim, nedavne mirovinske reforme impliciraju značajno postupno smanjenje u stopama zamjene</w:t>
      </w:r>
      <w:r w:rsidR="003350A9" w:rsidRPr="00B4742D">
        <w:rPr>
          <w:rStyle w:val="FootnoteReference"/>
        </w:rPr>
        <w:footnoteReference w:id="89"/>
      </w:r>
      <w:r w:rsidRPr="00B4742D">
        <w:t xml:space="preserve"> u sustavu generacijske </w:t>
      </w:r>
      <w:r w:rsidRPr="00B4742D">
        <w:lastRenderedPageBreak/>
        <w:t xml:space="preserve">solidarnosti za </w:t>
      </w:r>
      <w:r w:rsidR="0059531D" w:rsidRPr="00B4742D">
        <w:t>dvadesetpet posto</w:t>
      </w:r>
      <w:r w:rsidRPr="00B4742D">
        <w:t xml:space="preserve"> u nadolazećim desetljećima. U tom pogledu, uštede iz sustava otpremnina mogle bi poslužiti kao opcija da se popune praznine koje su ostavile mirovinske reforme. Zamjenjujući bivšu utvrđenu naknadu, sustav isplate otpremnina, sustavom koji se temelji na namjenskom doprinosu i </w:t>
      </w:r>
      <w:r w:rsidR="0073168B" w:rsidRPr="002017C6">
        <w:t xml:space="preserve">koji je </w:t>
      </w:r>
      <w:r w:rsidRPr="00FE70C5">
        <w:t xml:space="preserve">u potpunosti kapitalno financiran, reforma se može smatrati prvim korakom u </w:t>
      </w:r>
      <w:r w:rsidR="0059531D" w:rsidRPr="009336BF">
        <w:t>t</w:t>
      </w:r>
      <w:r w:rsidRPr="009336BF">
        <w:t xml:space="preserve">om pravcu. Ključan preduvjet za </w:t>
      </w:r>
      <w:r w:rsidRPr="00C7332E">
        <w:t xml:space="preserve">utvrđivanje instrumenta za povećanje ušteda za mirovine, međutim, nije ispunjen: nakon </w:t>
      </w:r>
      <w:r w:rsidR="0059531D" w:rsidRPr="00C7332E">
        <w:t>tridesetšest</w:t>
      </w:r>
      <w:r w:rsidRPr="00C7332E">
        <w:t xml:space="preserve"> mjeseci doprinosa u sustav </w:t>
      </w:r>
      <w:r w:rsidR="0059531D" w:rsidRPr="00C7332E">
        <w:t>radnici</w:t>
      </w:r>
      <w:r w:rsidRPr="006C4F67">
        <w:t xml:space="preserve"> mogu povući svoja sredstva iz sustava. Zakonodavac je dodatno osigurao porezne poticaje koji motiviraju </w:t>
      </w:r>
      <w:r w:rsidR="0059531D" w:rsidRPr="006C4F67">
        <w:t>radnike</w:t>
      </w:r>
      <w:r w:rsidRPr="006C4F67">
        <w:t xml:space="preserve"> da ostave svoju šted</w:t>
      </w:r>
      <w:r w:rsidR="0059531D" w:rsidRPr="00B74757">
        <w:t>nju</w:t>
      </w:r>
      <w:r w:rsidRPr="00B74757">
        <w:t xml:space="preserve"> u fond</w:t>
      </w:r>
      <w:r w:rsidR="0059531D" w:rsidRPr="00B74757">
        <w:t xml:space="preserve">u </w:t>
      </w:r>
      <w:r w:rsidRPr="00B74757">
        <w:t xml:space="preserve">za otpremnine. Naknade iz novog sustava otpremnina su izuzete od poreza ako se transformiraju u mirovinske anuitete, a u protivnom se primjenjuje smanjena stopa poreza na dohodak od </w:t>
      </w:r>
      <w:r w:rsidR="0059531D" w:rsidRPr="009769E7">
        <w:t xml:space="preserve">šest posto </w:t>
      </w:r>
      <w:r w:rsidRPr="004D0AD5">
        <w:t>od naknade.</w:t>
      </w:r>
    </w:p>
    <w:p w:rsidR="007C4F28" w:rsidRPr="00E1401E" w:rsidRDefault="007C4F28" w:rsidP="00466D80">
      <w:pPr>
        <w:spacing w:line="240" w:lineRule="auto"/>
      </w:pPr>
    </w:p>
    <w:p w:rsidR="007C4F28" w:rsidRPr="00B4742D" w:rsidRDefault="007C4F28" w:rsidP="00466D80">
      <w:pPr>
        <w:spacing w:line="240" w:lineRule="auto"/>
      </w:pPr>
      <w:r w:rsidRPr="00D00975">
        <w:t xml:space="preserve">Posljedično, odluka </w:t>
      </w:r>
      <w:r w:rsidR="0059531D" w:rsidRPr="00A26596">
        <w:t>rad</w:t>
      </w:r>
      <w:r w:rsidRPr="008B2ED7">
        <w:t xml:space="preserve">nika da li </w:t>
      </w:r>
      <w:r w:rsidR="0059531D" w:rsidRPr="008B2ED7">
        <w:t xml:space="preserve">će </w:t>
      </w:r>
      <w:r w:rsidRPr="008B2ED7">
        <w:t>povu</w:t>
      </w:r>
      <w:r w:rsidR="0059531D" w:rsidRPr="008B2ED7">
        <w:t>ći</w:t>
      </w:r>
      <w:r w:rsidRPr="008B2ED7">
        <w:t xml:space="preserve"> svoja potraživanja iz sustava ovisi o stopi povrata koju fondovi za otpremnine ostvaruju. Međutim, ti povrati novog sustava u proteklim godinama nisu bili baš obećavajući. Na početku reforme, pretpostavljeno je da će dugoročno stopa povrata biti </w:t>
      </w:r>
      <w:r w:rsidR="0059531D" w:rsidRPr="00B4742D">
        <w:t xml:space="preserve">oko šest posto </w:t>
      </w:r>
      <w:r w:rsidRPr="00B4742D">
        <w:t xml:space="preserve">godišnje. Kao što se može vidjeti iz </w:t>
      </w:r>
      <w:r w:rsidR="0014661A" w:rsidRPr="00B4742D">
        <w:t>Grafikona 7.</w:t>
      </w:r>
      <w:r w:rsidRPr="00B4742D">
        <w:rPr>
          <w:b/>
        </w:rPr>
        <w:t>,</w:t>
      </w:r>
      <w:r w:rsidRPr="00B4742D">
        <w:t xml:space="preserve"> ispostavilo se </w:t>
      </w:r>
      <w:r w:rsidR="0059531D" w:rsidRPr="00B4742D">
        <w:t>kako</w:t>
      </w:r>
      <w:r w:rsidRPr="00B4742D">
        <w:t xml:space="preserve"> je stopa povrata u novom sustavu daleko niža od ove optimistične </w:t>
      </w:r>
      <w:r w:rsidR="0059531D" w:rsidRPr="00B4742D">
        <w:t>procjene</w:t>
      </w:r>
      <w:r w:rsidRPr="00B4742D">
        <w:t xml:space="preserve">. Povrat koji ostvaruju obvezni fondovi, tzv. </w:t>
      </w:r>
      <w:r w:rsidRPr="00B4742D">
        <w:rPr>
          <w:i/>
        </w:rPr>
        <w:t>Betriebliche Vorsorgekassen</w:t>
      </w:r>
      <w:r w:rsidRPr="00B4742D">
        <w:t xml:space="preserve"> (BVK) stalno se smanjivao, s </w:t>
      </w:r>
      <w:r w:rsidR="0059531D" w:rsidRPr="00B4742D">
        <w:t xml:space="preserve">pet i pola posto </w:t>
      </w:r>
      <w:r w:rsidRPr="00B4742D">
        <w:t xml:space="preserve">u 2005. godini na </w:t>
      </w:r>
      <w:r w:rsidR="0059531D" w:rsidRPr="00B4742D">
        <w:t xml:space="preserve">samo dva posto </w:t>
      </w:r>
      <w:r w:rsidRPr="00B4742D">
        <w:t>u 2008. godini. Prosječno je stopa povrata iznosila 2,8</w:t>
      </w:r>
      <w:r w:rsidR="0059531D" w:rsidRPr="00B4742D">
        <w:t xml:space="preserve"> posto</w:t>
      </w:r>
      <w:r w:rsidRPr="00B4742D">
        <w:t xml:space="preserve"> u razdoblju od 2004. do 2012.</w:t>
      </w:r>
      <w:r w:rsidR="0014661A" w:rsidRPr="00B4742D">
        <w:t xml:space="preserve"> g</w:t>
      </w:r>
      <w:r w:rsidR="0059531D" w:rsidRPr="00B4742D">
        <w:t>odine.</w:t>
      </w:r>
    </w:p>
    <w:p w:rsidR="00944FA7" w:rsidRPr="00B4742D" w:rsidRDefault="00944FA7">
      <w:pPr>
        <w:tabs>
          <w:tab w:val="clear" w:pos="0"/>
          <w:tab w:val="clear" w:pos="9360"/>
        </w:tabs>
        <w:spacing w:line="240" w:lineRule="auto"/>
        <w:jc w:val="left"/>
      </w:pPr>
    </w:p>
    <w:p w:rsidR="007C4F28" w:rsidRPr="00B4742D" w:rsidRDefault="0014661A" w:rsidP="00944FA7">
      <w:pPr>
        <w:tabs>
          <w:tab w:val="clear" w:pos="0"/>
          <w:tab w:val="clear" w:pos="9360"/>
        </w:tabs>
        <w:spacing w:line="240" w:lineRule="auto"/>
        <w:jc w:val="left"/>
        <w:rPr>
          <w:b/>
          <w:color w:val="auto"/>
        </w:rPr>
      </w:pPr>
      <w:r w:rsidRPr="00B4742D">
        <w:rPr>
          <w:b/>
          <w:color w:val="auto"/>
        </w:rPr>
        <w:t>Grafikon 7</w:t>
      </w:r>
      <w:r w:rsidR="00F36054" w:rsidRPr="00B4742D">
        <w:rPr>
          <w:b/>
          <w:color w:val="auto"/>
        </w:rPr>
        <w:t>.</w:t>
      </w:r>
      <w:r w:rsidR="007C4F28" w:rsidRPr="00B4742D">
        <w:rPr>
          <w:b/>
          <w:color w:val="auto"/>
        </w:rPr>
        <w:t xml:space="preserve">: </w:t>
      </w:r>
      <w:r w:rsidR="003A26AA" w:rsidRPr="00B4742D">
        <w:rPr>
          <w:b/>
          <w:color w:val="auto"/>
        </w:rPr>
        <w:t>Godišnja s</w:t>
      </w:r>
      <w:r w:rsidR="007C4F28" w:rsidRPr="00B4742D">
        <w:rPr>
          <w:b/>
          <w:color w:val="auto"/>
        </w:rPr>
        <w:t>topa povrata na štednju u sustavu otpremnina</w:t>
      </w:r>
    </w:p>
    <w:p w:rsidR="007C4F28" w:rsidRPr="00B4742D" w:rsidRDefault="007C4F28" w:rsidP="00466D80">
      <w:pPr>
        <w:spacing w:line="240" w:lineRule="auto"/>
      </w:pPr>
      <w:r w:rsidRPr="00B4742D">
        <w:rPr>
          <w:noProof/>
          <w:lang w:val="en-US" w:eastAsia="en-US"/>
        </w:rPr>
        <w:drawing>
          <wp:inline distT="0" distB="0" distL="0" distR="0" wp14:anchorId="6905EE38" wp14:editId="2390BBE7">
            <wp:extent cx="3840480" cy="22167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0480" cy="2216785"/>
                    </a:xfrm>
                    <a:prstGeom prst="rect">
                      <a:avLst/>
                    </a:prstGeom>
                    <a:noFill/>
                    <a:ln>
                      <a:noFill/>
                    </a:ln>
                  </pic:spPr>
                </pic:pic>
              </a:graphicData>
            </a:graphic>
          </wp:inline>
        </w:drawing>
      </w:r>
    </w:p>
    <w:p w:rsidR="007C4F28" w:rsidRPr="002017C6" w:rsidRDefault="007C4F28" w:rsidP="00466D80">
      <w:pPr>
        <w:spacing w:line="240" w:lineRule="auto"/>
      </w:pPr>
      <w:r w:rsidRPr="00B4742D">
        <w:t>Izvor: Oesterreichische Kontrollbank</w:t>
      </w:r>
    </w:p>
    <w:p w:rsidR="007C4F28" w:rsidRPr="002017C6" w:rsidRDefault="007C4F28" w:rsidP="00466D80">
      <w:pPr>
        <w:spacing w:line="240" w:lineRule="auto"/>
      </w:pPr>
    </w:p>
    <w:p w:rsidR="007C4F28" w:rsidRPr="00B4742D" w:rsidRDefault="007C4F28" w:rsidP="00466D80">
      <w:pPr>
        <w:spacing w:line="240" w:lineRule="auto"/>
      </w:pPr>
      <w:r w:rsidRPr="009336BF">
        <w:t xml:space="preserve">Stopa povrata mora se ocijeniti kao vrlo slaba. Ovu hipotezu potvrđuje usporedba rezultata s odgovarajućim razvojem privatno kapitalno financiranog </w:t>
      </w:r>
      <w:r w:rsidR="0059531D" w:rsidRPr="009336BF">
        <w:t xml:space="preserve">mirovinskog </w:t>
      </w:r>
      <w:r w:rsidRPr="00C7332E">
        <w:t xml:space="preserve">stupa u </w:t>
      </w:r>
      <w:r w:rsidR="009F2654" w:rsidRPr="00C7332E">
        <w:t xml:space="preserve">Republici </w:t>
      </w:r>
      <w:r w:rsidRPr="00C7332E">
        <w:t xml:space="preserve">Austriji. Privatni mirovinski fondovi u </w:t>
      </w:r>
      <w:r w:rsidR="009F2654" w:rsidRPr="00C7332E">
        <w:t xml:space="preserve">Republici </w:t>
      </w:r>
      <w:r w:rsidRPr="006C4F67">
        <w:t>Austriji postigli su stopu povrata od 4,2</w:t>
      </w:r>
      <w:r w:rsidR="0059531D" w:rsidRPr="006C4F67">
        <w:t xml:space="preserve"> posto</w:t>
      </w:r>
      <w:r w:rsidRPr="006C4F67">
        <w:t xml:space="preserve"> u razdoblju od 2004.</w:t>
      </w:r>
      <w:r w:rsidR="0059531D" w:rsidRPr="00B74757">
        <w:t xml:space="preserve"> do </w:t>
      </w:r>
      <w:r w:rsidRPr="00B74757">
        <w:t>2012.</w:t>
      </w:r>
      <w:r w:rsidR="0059531D" w:rsidRPr="00B74757">
        <w:t xml:space="preserve"> godine</w:t>
      </w:r>
      <w:r w:rsidRPr="00B74757">
        <w:t>, dakle 1,5 postotnih bodova više u usporedbi s BVK-om</w:t>
      </w:r>
      <w:r w:rsidR="0059531D" w:rsidRPr="009769E7">
        <w:t xml:space="preserve">. </w:t>
      </w:r>
      <w:r w:rsidRPr="004D0AD5">
        <w:t>Stoga ne iznenađuje da su povlačenja sredstava iz sustava bila više pravilo no iznimka. U 2006.</w:t>
      </w:r>
      <w:r w:rsidR="0059531D" w:rsidRPr="00E1401E">
        <w:t xml:space="preserve"> godini</w:t>
      </w:r>
      <w:r w:rsidRPr="00E1401E">
        <w:t xml:space="preserve"> prvi</w:t>
      </w:r>
      <w:r w:rsidR="0059531D" w:rsidRPr="00D00975">
        <w:t xml:space="preserve"> je</w:t>
      </w:r>
      <w:r w:rsidRPr="00D00975">
        <w:t xml:space="preserve"> puta omogućeno da oni ko</w:t>
      </w:r>
      <w:r w:rsidRPr="00A26596">
        <w:t>ji ulaze u sustav tijekom 2003. godine povuku svoja potraživanja. Kao posljedica toga značajno su se povećala povlačenja. Podaci za 2011.</w:t>
      </w:r>
      <w:r w:rsidR="0059531D" w:rsidRPr="008B2ED7">
        <w:t xml:space="preserve"> godinu</w:t>
      </w:r>
      <w:r w:rsidRPr="008B2ED7">
        <w:t xml:space="preserve"> </w:t>
      </w:r>
      <w:r w:rsidR="003A26AA" w:rsidRPr="008B2ED7">
        <w:t xml:space="preserve">pokazuju </w:t>
      </w:r>
      <w:r w:rsidR="0059531D" w:rsidRPr="008B2ED7">
        <w:t>kako</w:t>
      </w:r>
      <w:r w:rsidRPr="008B2ED7">
        <w:t xml:space="preserve"> je </w:t>
      </w:r>
      <w:r w:rsidR="0059531D" w:rsidRPr="00B4742D">
        <w:t>devedesetpet</w:t>
      </w:r>
      <w:r w:rsidRPr="00B4742D">
        <w:t xml:space="preserve"> posto svih sudionika koji su imali opciju povući svoja potraživanja iz sustava to i učinilo. S obzirom na predvidivi </w:t>
      </w:r>
      <w:r w:rsidR="003A26AA" w:rsidRPr="00B4742D">
        <w:t xml:space="preserve">budući </w:t>
      </w:r>
      <w:r w:rsidRPr="00B4742D">
        <w:t xml:space="preserve">pad u stopama zamjene u javnom sustavu međugeneracijske solidarnosti može biti poželjno </w:t>
      </w:r>
      <w:r w:rsidR="003A26AA" w:rsidRPr="00B4742D">
        <w:t xml:space="preserve">putem ovog kanala </w:t>
      </w:r>
      <w:r w:rsidRPr="00B4742D">
        <w:t>postići višu stopu ušteda za dohodak u starosti.</w:t>
      </w:r>
    </w:p>
    <w:p w:rsidR="007C4F28" w:rsidRPr="00B4742D" w:rsidRDefault="007C4F28" w:rsidP="00466D80">
      <w:pPr>
        <w:spacing w:line="240" w:lineRule="auto"/>
      </w:pPr>
    </w:p>
    <w:p w:rsidR="007C4F28" w:rsidRPr="00B4742D" w:rsidRDefault="007C4F28" w:rsidP="00466D80">
      <w:pPr>
        <w:spacing w:line="240" w:lineRule="auto"/>
      </w:pPr>
      <w:r w:rsidRPr="00B4742D">
        <w:t xml:space="preserve">Iz motrišta BVK-a dva su razloga - koji nisu neovisni jedan o drugome - a za koje se čini </w:t>
      </w:r>
      <w:r w:rsidR="0059531D" w:rsidRPr="00B4742D">
        <w:t>kako</w:t>
      </w:r>
      <w:r w:rsidRPr="00B4742D">
        <w:t xml:space="preserve"> objašnjavaju loš učinak fondova za otpremnine. Kao prvo, BVK je obvezan jamčiti da vrijednost kapitala odgovara doprinosima. To podrazumijeva plaćanje skupog osiguranja za sredstva, što umanjuje potencijalnu stopu povrata. Drugo, sudionici u sustavu mogu povući svoja potraživanja odmah nakon što se navrši tri godine plaćanja doprinosa u sustav. Stoga BVK mora osigurati dovoljnu likvidnost za isplatu potencijalnih potraživanja. To implicira da je BVK prisiljen imati velike dijelove svojeg portfelja uložene u kratkoročnu imovinu, što također smanjuje potencijalnu stopu povrata. Kako ove dvije obveze smanjuju potencijalnu stopu povrata - a što se može i vidjeti iz trenutačnih rezultata - poticaji za </w:t>
      </w:r>
      <w:r w:rsidR="0059531D" w:rsidRPr="00B4742D">
        <w:t>rad</w:t>
      </w:r>
      <w:r w:rsidRPr="00B4742D">
        <w:t>nike da zaista povuku svoja potraživanja iz sustava povećavaju se, što opet ima negativni učinak na rezultate fondova.</w:t>
      </w:r>
    </w:p>
    <w:p w:rsidR="007C4F28" w:rsidRPr="00B4742D" w:rsidRDefault="007C4F28" w:rsidP="00466D80">
      <w:pPr>
        <w:spacing w:line="240" w:lineRule="auto"/>
      </w:pPr>
    </w:p>
    <w:p w:rsidR="007C4F28" w:rsidRPr="00B4742D" w:rsidRDefault="007C4F28" w:rsidP="00466D80">
      <w:pPr>
        <w:spacing w:line="240" w:lineRule="auto"/>
      </w:pPr>
      <w:r w:rsidRPr="00B4742D">
        <w:t xml:space="preserve">Posljedično, BVK zagovara izmjene zakonskih odredbi kako bi se poboljšali njihovi rezultati. Oni predlažu da se </w:t>
      </w:r>
      <w:r w:rsidR="0059531D" w:rsidRPr="00B4742D">
        <w:t>rad</w:t>
      </w:r>
      <w:r w:rsidRPr="00B4742D">
        <w:t>nicima omogući da odaberu opciju bez zajamčenog kapitala te da se poveća minimalno razdoblje uplaćivanja doprinosa u sustav na pet godina. Druga mogućnost bila bi držati se izvorne namjere i ograničiti povlačenja sve do trenutka odlaska u mirovinu.</w:t>
      </w:r>
    </w:p>
    <w:p w:rsidR="00944FA7" w:rsidRPr="00B4742D" w:rsidRDefault="00944FA7">
      <w:pPr>
        <w:tabs>
          <w:tab w:val="clear" w:pos="0"/>
          <w:tab w:val="clear" w:pos="9360"/>
        </w:tabs>
        <w:spacing w:line="240" w:lineRule="auto"/>
        <w:jc w:val="left"/>
      </w:pPr>
    </w:p>
    <w:p w:rsidR="007C4F28" w:rsidRPr="00B4742D" w:rsidRDefault="00DB6E7D" w:rsidP="00944FA7">
      <w:pPr>
        <w:pStyle w:val="Heading3"/>
      </w:pPr>
      <w:bookmarkStart w:id="35" w:name="_Toc365828852"/>
      <w:r w:rsidRPr="00B4742D">
        <w:t xml:space="preserve">5.3.4. </w:t>
      </w:r>
      <w:r w:rsidR="004E6F6D" w:rsidRPr="00B4742D">
        <w:t>Zaključno o novom austrijskom nacionalnom sustavu otpremnina nakon reforme nacionalnog sustava otpremnina u Republici Austriji 2003. godine</w:t>
      </w:r>
      <w:bookmarkEnd w:id="35"/>
    </w:p>
    <w:p w:rsidR="007C4F28" w:rsidRPr="00B4742D" w:rsidRDefault="007C4F28" w:rsidP="00466D80">
      <w:pPr>
        <w:spacing w:line="240" w:lineRule="auto"/>
      </w:pPr>
    </w:p>
    <w:p w:rsidR="007C4F28" w:rsidRPr="00B4742D" w:rsidRDefault="007C4F28" w:rsidP="00466D80">
      <w:pPr>
        <w:spacing w:line="240" w:lineRule="auto"/>
      </w:pPr>
      <w:r w:rsidRPr="00B4742D">
        <w:t xml:space="preserve">Deset godina nakon </w:t>
      </w:r>
      <w:r w:rsidR="004E3FC9" w:rsidRPr="00B4742D">
        <w:t xml:space="preserve">reforme nacionalnog sustava otpremnina i uvođenja </w:t>
      </w:r>
      <w:r w:rsidRPr="00B4742D">
        <w:t xml:space="preserve">novog austrijskog zakonodavstva </w:t>
      </w:r>
      <w:r w:rsidR="004E3FC9" w:rsidRPr="00B4742D">
        <w:t xml:space="preserve">sustava </w:t>
      </w:r>
      <w:r w:rsidRPr="00B4742D">
        <w:t>otpremnina mogu se donijeti sljedeći zaključci:</w:t>
      </w:r>
    </w:p>
    <w:p w:rsidR="007C4F28" w:rsidRPr="00B4742D" w:rsidRDefault="004E3FC9" w:rsidP="0076762D">
      <w:pPr>
        <w:pStyle w:val="ListParagraph"/>
        <w:numPr>
          <w:ilvl w:val="0"/>
          <w:numId w:val="22"/>
        </w:numPr>
        <w:ind w:left="567" w:hanging="567"/>
        <w:jc w:val="both"/>
      </w:pPr>
      <w:r w:rsidRPr="00B4742D">
        <w:t>n</w:t>
      </w:r>
      <w:r w:rsidR="007C4F28" w:rsidRPr="00B4742D">
        <w:t>ovi</w:t>
      </w:r>
      <w:r w:rsidRPr="00B4742D">
        <w:t xml:space="preserve"> je</w:t>
      </w:r>
      <w:r w:rsidR="007C4F28" w:rsidRPr="00B4742D">
        <w:t xml:space="preserve"> sustav proširio pokrivenost na sve </w:t>
      </w:r>
      <w:r w:rsidRPr="00B4742D">
        <w:t>radnik</w:t>
      </w:r>
      <w:r w:rsidR="007C4F28" w:rsidRPr="00B4742D">
        <w:t xml:space="preserve">e i čini se </w:t>
      </w:r>
      <w:r w:rsidRPr="00B4742D">
        <w:t>kako</w:t>
      </w:r>
      <w:r w:rsidR="007C4F28" w:rsidRPr="00B4742D">
        <w:t xml:space="preserve"> je široko prihvaćen među ekonomski aktivnim stanovništvom</w:t>
      </w:r>
      <w:r w:rsidRPr="00B4742D">
        <w:t>;</w:t>
      </w:r>
    </w:p>
    <w:p w:rsidR="007C4F28" w:rsidRPr="00B4742D" w:rsidRDefault="004E3FC9" w:rsidP="0076762D">
      <w:pPr>
        <w:pStyle w:val="ListParagraph"/>
        <w:numPr>
          <w:ilvl w:val="0"/>
          <w:numId w:val="22"/>
        </w:numPr>
        <w:ind w:left="567" w:hanging="567"/>
        <w:jc w:val="both"/>
      </w:pPr>
      <w:r w:rsidRPr="00B4742D">
        <w:t>r</w:t>
      </w:r>
      <w:r w:rsidR="007C4F28" w:rsidRPr="00B4742D">
        <w:t>eforma je smanjila potencijale probleme s likvidnošću, posebice za mal</w:t>
      </w:r>
      <w:r w:rsidRPr="00B4742D">
        <w:t>e poslodavce;</w:t>
      </w:r>
    </w:p>
    <w:p w:rsidR="007C4F28" w:rsidRPr="00B4742D" w:rsidRDefault="004E3FC9" w:rsidP="0076762D">
      <w:pPr>
        <w:pStyle w:val="ListParagraph"/>
        <w:numPr>
          <w:ilvl w:val="0"/>
          <w:numId w:val="22"/>
        </w:numPr>
        <w:ind w:left="567" w:hanging="567"/>
        <w:jc w:val="both"/>
      </w:pPr>
      <w:r w:rsidRPr="00B4742D">
        <w:t>P</w:t>
      </w:r>
      <w:r w:rsidR="007C4F28" w:rsidRPr="00B4742D">
        <w:t xml:space="preserve">okrivenost se </w:t>
      </w:r>
      <w:r w:rsidRPr="00B4742D">
        <w:t xml:space="preserve">brzo </w:t>
      </w:r>
      <w:r w:rsidR="007C4F28" w:rsidRPr="00B4742D">
        <w:t xml:space="preserve">i kontinuirano </w:t>
      </w:r>
      <w:r w:rsidRPr="00B4742D">
        <w:t xml:space="preserve">povećala </w:t>
      </w:r>
      <w:r w:rsidR="007C4F28" w:rsidRPr="00B4742D">
        <w:t xml:space="preserve">te je trenutačno već </w:t>
      </w:r>
      <w:r w:rsidRPr="00B4742D">
        <w:t>osamdeset posto</w:t>
      </w:r>
      <w:r w:rsidR="007C4F28" w:rsidRPr="00B4742D">
        <w:t xml:space="preserve"> svih </w:t>
      </w:r>
      <w:r w:rsidRPr="00B4742D">
        <w:t>rad</w:t>
      </w:r>
      <w:r w:rsidR="007C4F28" w:rsidRPr="00B4742D">
        <w:t>nika obuhvaćeno novim sustavom</w:t>
      </w:r>
      <w:r w:rsidRPr="00B4742D">
        <w:t>;</w:t>
      </w:r>
    </w:p>
    <w:p w:rsidR="007C4F28" w:rsidRPr="00B4742D" w:rsidRDefault="004E3FC9" w:rsidP="0076762D">
      <w:pPr>
        <w:pStyle w:val="ListParagraph"/>
        <w:numPr>
          <w:ilvl w:val="0"/>
          <w:numId w:val="22"/>
        </w:numPr>
        <w:ind w:left="567" w:hanging="567"/>
        <w:jc w:val="both"/>
      </w:pPr>
      <w:r w:rsidRPr="00B4742D">
        <w:t>u</w:t>
      </w:r>
      <w:r w:rsidR="007C4F28" w:rsidRPr="00B4742D">
        <w:t>tvrđeno je skromno povećanje mobilnosti</w:t>
      </w:r>
      <w:r w:rsidRPr="00B4742D">
        <w:t xml:space="preserve"> radne snage</w:t>
      </w:r>
      <w:r w:rsidR="007C4F28" w:rsidRPr="00B4742D">
        <w:t xml:space="preserve">, iako se čini </w:t>
      </w:r>
      <w:r w:rsidRPr="00B4742D">
        <w:t>kako</w:t>
      </w:r>
      <w:r w:rsidR="007C4F28" w:rsidRPr="00B4742D">
        <w:t xml:space="preserve"> je taj učinak manje značajan nego što se to u početku očekivalo</w:t>
      </w:r>
      <w:r w:rsidRPr="00B4742D">
        <w:t>;</w:t>
      </w:r>
    </w:p>
    <w:p w:rsidR="007C4F28" w:rsidRPr="00B4742D" w:rsidRDefault="004E3FC9" w:rsidP="0076762D">
      <w:pPr>
        <w:pStyle w:val="ListParagraph"/>
        <w:numPr>
          <w:ilvl w:val="0"/>
          <w:numId w:val="22"/>
        </w:numPr>
        <w:ind w:left="567" w:hanging="567"/>
        <w:jc w:val="both"/>
      </w:pPr>
      <w:r w:rsidRPr="00B4742D">
        <w:t>n</w:t>
      </w:r>
      <w:r w:rsidR="007C4F28" w:rsidRPr="00B4742D">
        <w:t xml:space="preserve">ovi sustav otpremnina u načelu predstavlja obvezujući štedni račun za </w:t>
      </w:r>
      <w:r w:rsidRPr="00B4742D">
        <w:t>rad</w:t>
      </w:r>
      <w:r w:rsidR="007C4F28" w:rsidRPr="00B4742D">
        <w:t xml:space="preserve">nike. Podaci pokazuju </w:t>
      </w:r>
      <w:r w:rsidRPr="00B4742D">
        <w:t>kako</w:t>
      </w:r>
      <w:r w:rsidR="007C4F28" w:rsidRPr="00B4742D">
        <w:t xml:space="preserve"> gotovo svi koji mogu povući sredstva iz sustava to i čine</w:t>
      </w:r>
      <w:r w:rsidRPr="00B4742D">
        <w:t>; i</w:t>
      </w:r>
    </w:p>
    <w:p w:rsidR="007C4F28" w:rsidRPr="00B4742D" w:rsidRDefault="004E3FC9" w:rsidP="0076762D">
      <w:pPr>
        <w:pStyle w:val="ListParagraph"/>
        <w:numPr>
          <w:ilvl w:val="0"/>
          <w:numId w:val="22"/>
        </w:numPr>
        <w:ind w:left="567" w:hanging="567"/>
        <w:jc w:val="both"/>
      </w:pPr>
      <w:r w:rsidRPr="00B4742D">
        <w:t>p</w:t>
      </w:r>
      <w:r w:rsidR="007C4F28" w:rsidRPr="00B4742D">
        <w:t xml:space="preserve">ovlačenja iz sustava potaknuta su vrlo lošim rezultatima obveznih fondova. Zakonske odredbe koje </w:t>
      </w:r>
      <w:r w:rsidRPr="00B4742D">
        <w:t xml:space="preserve">ih </w:t>
      </w:r>
      <w:r w:rsidR="007C4F28" w:rsidRPr="00B4742D">
        <w:t>prisiljavaju da zajamč</w:t>
      </w:r>
      <w:r w:rsidRPr="00B4742D">
        <w:t>e</w:t>
      </w:r>
      <w:r w:rsidR="007C4F28" w:rsidRPr="00B4742D">
        <w:t xml:space="preserve"> vrijednost kapitala te da osobama omoguć</w:t>
      </w:r>
      <w:r w:rsidRPr="00B4742D">
        <w:t>e</w:t>
      </w:r>
      <w:r w:rsidR="007C4F28" w:rsidRPr="00B4742D">
        <w:t xml:space="preserve"> povlačenje sredstava nakon </w:t>
      </w:r>
      <w:r w:rsidRPr="00B4742D">
        <w:t>tri</w:t>
      </w:r>
      <w:r w:rsidR="007C4F28" w:rsidRPr="00B4742D">
        <w:t xml:space="preserve"> godine </w:t>
      </w:r>
      <w:r w:rsidRPr="00B4742D">
        <w:t>rada</w:t>
      </w:r>
      <w:r w:rsidR="007C4F28" w:rsidRPr="00B4742D">
        <w:t xml:space="preserve"> imaju značajan negativni učinak na povrat. U tom pogledu se čini da bi bilo razumno </w:t>
      </w:r>
      <w:r w:rsidRPr="00B4742D">
        <w:t>promišljati</w:t>
      </w:r>
      <w:r w:rsidR="007C4F28" w:rsidRPr="00B4742D">
        <w:t xml:space="preserve"> buduće izmjene zakonodavstva.</w:t>
      </w:r>
    </w:p>
    <w:p w:rsidR="007B61AF" w:rsidRDefault="007B61AF">
      <w:pPr>
        <w:tabs>
          <w:tab w:val="clear" w:pos="0"/>
          <w:tab w:val="clear" w:pos="9360"/>
        </w:tabs>
        <w:spacing w:line="240" w:lineRule="auto"/>
        <w:jc w:val="left"/>
      </w:pPr>
      <w:r>
        <w:br w:type="page"/>
      </w:r>
    </w:p>
    <w:p w:rsidR="00416934" w:rsidRPr="007B61AF" w:rsidRDefault="00416934" w:rsidP="00416934">
      <w:pPr>
        <w:pStyle w:val="Heading2"/>
        <w:spacing w:line="240" w:lineRule="auto"/>
      </w:pPr>
      <w:r w:rsidRPr="007B61AF">
        <w:lastRenderedPageBreak/>
        <w:t>5.4. Prihvaćanje novog austrijskog nacionalnog sustava otpremnina nakon reforme nacionalnog sustava otpremnina u Republici Austriji 2003. godine u državama članica Europske unije</w:t>
      </w:r>
    </w:p>
    <w:p w:rsidR="00416934" w:rsidRPr="00B4742D" w:rsidRDefault="00416934" w:rsidP="00466D80">
      <w:pPr>
        <w:spacing w:line="240" w:lineRule="auto"/>
      </w:pPr>
    </w:p>
    <w:p w:rsidR="00416934" w:rsidRPr="00B4742D" w:rsidRDefault="00416934" w:rsidP="00416934">
      <w:pPr>
        <w:spacing w:line="240" w:lineRule="auto"/>
      </w:pPr>
      <w:r w:rsidRPr="00B4742D">
        <w:t>Novi je austrijski nacionalni sustav otpremnina, nakon reforme nacionalnog sustava otpremnina u Republici Austriji 2003. godine, još uvijek razmjerno poseban i predmet više proučavanja no preuzimanja, čak i u državama članicama Europske unije. Najdalje je prihvat ostvaren u Italiji.</w:t>
      </w:r>
    </w:p>
    <w:p w:rsidR="00416934" w:rsidRPr="00B4742D" w:rsidRDefault="00416934" w:rsidP="00416934">
      <w:pPr>
        <w:spacing w:line="240" w:lineRule="auto"/>
      </w:pPr>
    </w:p>
    <w:p w:rsidR="00C32207" w:rsidRPr="006C4F67" w:rsidRDefault="00B4742D" w:rsidP="00416934">
      <w:pPr>
        <w:spacing w:line="240" w:lineRule="auto"/>
      </w:pPr>
      <w:r w:rsidRPr="00B4742D">
        <w:t>Talijanski</w:t>
      </w:r>
      <w:r w:rsidR="00C32207" w:rsidRPr="00B4742D">
        <w:t xml:space="preserve"> je </w:t>
      </w:r>
      <w:r w:rsidR="00416934" w:rsidRPr="00B4742D">
        <w:t>sustav otpremnina</w:t>
      </w:r>
      <w:r w:rsidR="00C32207" w:rsidRPr="00B4742D">
        <w:t xml:space="preserve"> po</w:t>
      </w:r>
      <w:r>
        <w:t>d</w:t>
      </w:r>
      <w:r w:rsidR="00C32207" w:rsidRPr="00B4742D">
        <w:t xml:space="preserve">osta specifičan, </w:t>
      </w:r>
      <w:r w:rsidR="00416934" w:rsidRPr="00B4742D">
        <w:t>iako bi se, u stvari</w:t>
      </w:r>
      <w:r w:rsidR="00416934" w:rsidRPr="002017C6">
        <w:t>,</w:t>
      </w:r>
      <w:r w:rsidR="00416934" w:rsidRPr="00EB67A0">
        <w:t xml:space="preserve"> moglo reći</w:t>
      </w:r>
      <w:r w:rsidR="00416934" w:rsidRPr="00FE70C5">
        <w:t xml:space="preserve"> kako u Italiji</w:t>
      </w:r>
      <w:r w:rsidR="00C32207" w:rsidRPr="009336BF">
        <w:t xml:space="preserve"> i</w:t>
      </w:r>
      <w:r w:rsidR="00416934" w:rsidRPr="009336BF">
        <w:t xml:space="preserve"> ne postoji model otpremnina u konvencionalnom smislu. Naime, postoje dva sustava. Prvi sustav koji omogućava naknadu osobama kojima je ugovor o radu otkazan bez njihove krivnje, </w:t>
      </w:r>
      <w:r w:rsidR="00C32207" w:rsidRPr="00C7332E">
        <w:t>u k</w:t>
      </w:r>
      <w:r w:rsidR="00416934" w:rsidRPr="00C7332E">
        <w:t>ojem se razlikuju poslodavci s petnaest ili manje zaposlenih radnika i one sa šesnaest i više. Tu se, ako sud utvrdi neosnovanost otkaza ugovora o radu, radniku isplaćuje naknada (manji poslodavci) odnosno radnik može birati između naknade ili vraćanja na rad (veći poslodavci) Drugi sustav ostvaruje se po završetku rada. Tu poslodavac, za svaku godinu staža, plaća doprinos u iznosu 1/13,5 radnikove bruto godišnje plaće na osobni račun radnika. Sredstva na računu se indeksiraju godišnje za fiksni faktor 1,5 posto uvećan za sedamdesetpet posto vrijednosti indeksa p</w:t>
      </w:r>
      <w:r w:rsidR="00416934" w:rsidRPr="006C4F67">
        <w:t xml:space="preserve">otrošačkih cijena kao pokazatelja inflacije u odnosu na prethodnu godinu. Ako radnik stekne najmanje osam godina staža kod poslodavca, i ako se poslodavac složi, ta se sredstva mogu iskoristiti za pokrivanje zdravstvenih troškova radnika, kupnju stana ili kuće ili kao naknada za određeno razdoblje neplaćenog odmora. U stvari, radnik kreditira poslodavca do prestanka rada, time da prikupljena sredstva može za određene namjene koristiti i ranije. </w:t>
      </w:r>
    </w:p>
    <w:p w:rsidR="00C32207" w:rsidRPr="006C4F67" w:rsidRDefault="00C32207" w:rsidP="00416934">
      <w:pPr>
        <w:spacing w:line="240" w:lineRule="auto"/>
      </w:pPr>
    </w:p>
    <w:p w:rsidR="00416934" w:rsidRPr="00D00975" w:rsidRDefault="00416934" w:rsidP="00416934">
      <w:pPr>
        <w:spacing w:line="240" w:lineRule="auto"/>
      </w:pPr>
      <w:r w:rsidRPr="00B74757">
        <w:t xml:space="preserve">Promjene javnih politika u proteklom desetljeću bile su usmjerene na jačanje mirovinske komponente čime se smanjila razina otpremnina. Zato je 2004. godine država dala radnicima mogućnost izbora upisa u sustav dopunskog (slično našem trećem stupu) mirovinskog osiguranja, u zamjenu za odustajanje od osobnih računa. Na to se poticalo novozaposlene kao i starije radnike. Jednom kada se osoba odluči za novi sustav, ne može opozvati svoju odluku, time da radnici koji ostaju u starom sustavu mogu u bilo kojem trenutku prijeći u novi. Kako bi se ohrabrio prijelaz na novi sustav i potaknuo razvoj dopunskog mirovinskog osiguranja, od 2004. godine postoje brojna nova rješenja: omogućeno je da se sudjelovanje u dopunskom osiguranju smatra opravdanim izbjegavanjem sustava otpremnina, povoljnim poreznim tretmanom naknada plaćenih </w:t>
      </w:r>
      <w:r w:rsidRPr="009769E7">
        <w:t>bilo u paušalnom iznosu ili u anuitetima, promjenom u načinu plaćanja doprinosa, naknada, plaćanja unaprijed, oslobađanja od plaćanja te određivanja prenosivosti. Do 2007. godine talijanska Vlada odlučila je da će poslodavci s pedeset i više radnika državi</w:t>
      </w:r>
      <w:r w:rsidRPr="004D0AD5">
        <w:t xml:space="preserve"> morati prebaciti sve buduće doprinose za otpremnine, koja će ih izravno plaćati bez obzira na to koji su sustav radnici izabrali. Dosad su fiskalni i drugi poticaje imali ograničene učinke. Do kraja 2008, samo dvadesetšest posto radnika koji na to imaju p</w:t>
      </w:r>
      <w:r w:rsidRPr="00E1401E">
        <w:t>ravo prijavili su se za sustav dopunskog mirovinskog. Moguća objašnjenja za nisku stopu zanimanja za prijelaz su u rasponu od privremenih učinaka financijske krize do sistemskih problema, uključujući i prilično nisku razinu vjerodostojnosti dopunskog osiguranja i</w:t>
      </w:r>
      <w:r w:rsidRPr="00D00975">
        <w:t xml:space="preserve"> preferencije radnika u pogledu likvidnosti. Brojni stručnjaci zabrinuti su za likvidnost sustava i širih ekonomskim učinaka na male i srednje poduzetnike koji su izgubili pristup jeftinim oblicima internog financiranja.</w:t>
      </w:r>
    </w:p>
    <w:p w:rsidR="007B61AF" w:rsidRDefault="007B61AF">
      <w:pPr>
        <w:tabs>
          <w:tab w:val="clear" w:pos="0"/>
          <w:tab w:val="clear" w:pos="9360"/>
        </w:tabs>
        <w:spacing w:line="240" w:lineRule="auto"/>
        <w:jc w:val="left"/>
      </w:pPr>
      <w:r>
        <w:br w:type="page"/>
      </w:r>
    </w:p>
    <w:p w:rsidR="00380807" w:rsidRPr="00B4742D" w:rsidRDefault="00641867" w:rsidP="00641867">
      <w:pPr>
        <w:pStyle w:val="Heading1"/>
      </w:pPr>
      <w:bookmarkStart w:id="36" w:name="_Toc365828853"/>
      <w:r w:rsidRPr="008B2ED7">
        <w:lastRenderedPageBreak/>
        <w:t xml:space="preserve">6. Usporedba relevantnih ekonomskih kategorija Republike Hrvatske i </w:t>
      </w:r>
      <w:r w:rsidR="009F2654" w:rsidRPr="008B2ED7">
        <w:t xml:space="preserve">Republike </w:t>
      </w:r>
      <w:r w:rsidRPr="007B61AF">
        <w:t>Austrije te refleksije na hrvatsko tržište rada</w:t>
      </w:r>
      <w:bookmarkEnd w:id="36"/>
    </w:p>
    <w:p w:rsidR="00380807" w:rsidRPr="00B4742D" w:rsidRDefault="00380807" w:rsidP="00466D80">
      <w:pPr>
        <w:spacing w:line="240" w:lineRule="auto"/>
      </w:pPr>
    </w:p>
    <w:p w:rsidR="00291261" w:rsidRPr="00B4742D" w:rsidRDefault="00641867" w:rsidP="00641867">
      <w:pPr>
        <w:spacing w:line="240" w:lineRule="auto"/>
      </w:pPr>
      <w:r w:rsidRPr="00B4742D">
        <w:t>S obzirom da se</w:t>
      </w:r>
      <w:r w:rsidR="00291261" w:rsidRPr="00B4742D">
        <w:t>,</w:t>
      </w:r>
      <w:r w:rsidRPr="00B4742D">
        <w:t xml:space="preserve"> kao moguće rješenje za nedostatke postojećeg </w:t>
      </w:r>
      <w:r w:rsidR="00291261" w:rsidRPr="00B4742D">
        <w:t xml:space="preserve">nacionalnog </w:t>
      </w:r>
      <w:r w:rsidRPr="00B4742D">
        <w:t>sustava otpremnina u Republici Hrvatskoj</w:t>
      </w:r>
      <w:r w:rsidR="00291261" w:rsidRPr="00B4742D">
        <w:t>,</w:t>
      </w:r>
      <w:r w:rsidRPr="00B4742D">
        <w:t xml:space="preserve"> predlaže </w:t>
      </w:r>
      <w:r w:rsidR="00291261" w:rsidRPr="00B4742D">
        <w:t xml:space="preserve">usmjeravanje prema </w:t>
      </w:r>
      <w:r w:rsidRPr="00B4742D">
        <w:t>austrijsk</w:t>
      </w:r>
      <w:r w:rsidR="00291261" w:rsidRPr="00B4742D">
        <w:t>om</w:t>
      </w:r>
      <w:r w:rsidRPr="00B4742D">
        <w:t xml:space="preserve"> model</w:t>
      </w:r>
      <w:r w:rsidR="00291261" w:rsidRPr="00B4742D">
        <w:t>u</w:t>
      </w:r>
      <w:r w:rsidRPr="00B4742D">
        <w:t xml:space="preserve">, korisno je usporediti najvažnije kategorije relevantne za smjer i razmjer učinaka u slučaju primjene istog modela. </w:t>
      </w:r>
    </w:p>
    <w:p w:rsidR="00291261" w:rsidRPr="00B4742D" w:rsidRDefault="00291261" w:rsidP="00641867">
      <w:pPr>
        <w:spacing w:line="240" w:lineRule="auto"/>
      </w:pPr>
    </w:p>
    <w:p w:rsidR="00641867" w:rsidRDefault="00641867" w:rsidP="00641867">
      <w:pPr>
        <w:spacing w:line="240" w:lineRule="auto"/>
      </w:pPr>
      <w:r w:rsidRPr="00B4742D">
        <w:t xml:space="preserve">Primjena istovjetnog modela u državama koje karakteriziraju znatno različiti relevantni parametri može izazvati bitno drugačije učinke. U okviru </w:t>
      </w:r>
      <w:r w:rsidR="00291261" w:rsidRPr="00B4742D">
        <w:t>T</w:t>
      </w:r>
      <w:r w:rsidRPr="00B4742D">
        <w:t>ablice 6</w:t>
      </w:r>
      <w:r w:rsidR="00291261" w:rsidRPr="00B4742D">
        <w:t>.</w:t>
      </w:r>
      <w:r w:rsidRPr="00B4742D">
        <w:t xml:space="preserve"> prikazane su relevantne kategorije koje daju osnovne zaključke o stanju tržišta rada u </w:t>
      </w:r>
      <w:r w:rsidR="009F2654" w:rsidRPr="00B4742D">
        <w:t xml:space="preserve">Republici </w:t>
      </w:r>
      <w:r w:rsidRPr="00B4742D">
        <w:t xml:space="preserve">Austriji i </w:t>
      </w:r>
      <w:r w:rsidR="009F2654" w:rsidRPr="00B4742D">
        <w:t xml:space="preserve">Republici </w:t>
      </w:r>
      <w:r w:rsidRPr="00B4742D">
        <w:t xml:space="preserve">Hrvatskoj. Može se uočiti </w:t>
      </w:r>
      <w:r w:rsidR="00291261" w:rsidRPr="00B4742D">
        <w:t>kako</w:t>
      </w:r>
      <w:r w:rsidRPr="00B4742D">
        <w:t xml:space="preserve"> </w:t>
      </w:r>
      <w:r w:rsidR="00291261" w:rsidRPr="00B4742D">
        <w:t>su</w:t>
      </w:r>
      <w:r w:rsidRPr="00B4742D">
        <w:t xml:space="preserve"> trži</w:t>
      </w:r>
      <w:r w:rsidR="006E6C71" w:rsidRPr="00B4742D">
        <w:t>š</w:t>
      </w:r>
      <w:r w:rsidRPr="00B4742D">
        <w:t>t</w:t>
      </w:r>
      <w:r w:rsidR="00291261" w:rsidRPr="00B4742D">
        <w:t>a</w:t>
      </w:r>
      <w:r w:rsidRPr="00B4742D">
        <w:t xml:space="preserve"> rada uspoređenih zemalja bitno drugačij</w:t>
      </w:r>
      <w:r w:rsidR="00291261" w:rsidRPr="00B4742D">
        <w:t>a</w:t>
      </w:r>
      <w:r w:rsidRPr="00B4742D">
        <w:t xml:space="preserve">. </w:t>
      </w:r>
      <w:r w:rsidR="009F2654" w:rsidRPr="00B4742D">
        <w:t xml:space="preserve">Republiku </w:t>
      </w:r>
      <w:r w:rsidRPr="00B4742D">
        <w:t>Austriju karakterizira znatno veća razina razvoja te mobilno</w:t>
      </w:r>
      <w:r w:rsidR="00291261" w:rsidRPr="00B4742D">
        <w:t>st</w:t>
      </w:r>
      <w:r w:rsidRPr="00B4742D">
        <w:t xml:space="preserve"> </w:t>
      </w:r>
      <w:r w:rsidR="00291261" w:rsidRPr="00B4742D">
        <w:t xml:space="preserve">na </w:t>
      </w:r>
      <w:r w:rsidRPr="00B4742D">
        <w:t>tržišt</w:t>
      </w:r>
      <w:r w:rsidR="00291261" w:rsidRPr="00B4742D">
        <w:t>u</w:t>
      </w:r>
      <w:r w:rsidRPr="00B4742D">
        <w:t xml:space="preserve"> rada na razini pune zaposlenosti. S druge strane, </w:t>
      </w:r>
      <w:r w:rsidR="009F2654" w:rsidRPr="00B4742D">
        <w:t xml:space="preserve">Republika </w:t>
      </w:r>
      <w:r w:rsidRPr="00B4742D">
        <w:t xml:space="preserve">Hrvatska ima nepovoljne pokazatelje zaposlenosti i nezaposlenosti u dugom roku. Stoga se može zaključiti </w:t>
      </w:r>
      <w:r w:rsidR="00291261" w:rsidRPr="00B4742D">
        <w:t>kako</w:t>
      </w:r>
      <w:r w:rsidRPr="00B4742D">
        <w:t xml:space="preserve"> je dinamika tržišta rada koju uvjetuje ekonomska struktura pojedine zemlje, u ovom slučaju, bitno drugačija te u slučaju</w:t>
      </w:r>
      <w:r w:rsidR="009F2654" w:rsidRPr="00B4742D">
        <w:t xml:space="preserve"> Republike </w:t>
      </w:r>
      <w:r w:rsidRPr="00B4742D">
        <w:t>Hrvatske, izrazito nepovoljna.</w:t>
      </w:r>
    </w:p>
    <w:p w:rsidR="007B61AF" w:rsidRPr="007B61AF" w:rsidRDefault="007B61AF" w:rsidP="00641867">
      <w:pPr>
        <w:spacing w:line="240" w:lineRule="auto"/>
      </w:pPr>
    </w:p>
    <w:p w:rsidR="007B61AF" w:rsidRPr="007B61AF" w:rsidRDefault="00641867" w:rsidP="007B61AF">
      <w:pPr>
        <w:tabs>
          <w:tab w:val="clear" w:pos="0"/>
          <w:tab w:val="clear" w:pos="9360"/>
        </w:tabs>
        <w:spacing w:line="240" w:lineRule="auto"/>
        <w:jc w:val="left"/>
      </w:pPr>
      <w:r w:rsidRPr="007B61AF">
        <w:t>Tablica 6</w:t>
      </w:r>
      <w:r w:rsidR="0076762D" w:rsidRPr="007B61AF">
        <w:t>.</w:t>
      </w:r>
      <w:r w:rsidRPr="007B61AF">
        <w:t xml:space="preserve">: Usporedba relevantnih pokazatelja Republike Hrvatske i </w:t>
      </w:r>
      <w:r w:rsidR="009F2654" w:rsidRPr="007B61AF">
        <w:t xml:space="preserve">Republike </w:t>
      </w:r>
      <w:r w:rsidRPr="007B61AF">
        <w:t>Austrije</w:t>
      </w:r>
    </w:p>
    <w:tbl>
      <w:tblPr>
        <w:tblW w:w="96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97"/>
        <w:gridCol w:w="712"/>
        <w:gridCol w:w="849"/>
        <w:gridCol w:w="781"/>
        <w:gridCol w:w="849"/>
        <w:gridCol w:w="781"/>
        <w:gridCol w:w="849"/>
        <w:gridCol w:w="781"/>
        <w:gridCol w:w="1099"/>
        <w:gridCol w:w="986"/>
      </w:tblGrid>
      <w:tr w:rsidR="00641867" w:rsidRPr="00B4742D" w:rsidTr="00725AF6">
        <w:trPr>
          <w:trHeight w:val="300"/>
        </w:trPr>
        <w:tc>
          <w:tcPr>
            <w:tcW w:w="1185" w:type="dxa"/>
            <w:shd w:val="clear" w:color="auto" w:fill="auto"/>
            <w:noWrap/>
            <w:vAlign w:val="bottom"/>
            <w:hideMark/>
          </w:tcPr>
          <w:p w:rsidR="00641867" w:rsidRPr="007B61AF" w:rsidRDefault="00641867" w:rsidP="00CE6179">
            <w:pPr>
              <w:tabs>
                <w:tab w:val="clear" w:pos="0"/>
              </w:tabs>
              <w:spacing w:line="240" w:lineRule="auto"/>
              <w:ind w:left="-93"/>
              <w:jc w:val="center"/>
            </w:pPr>
          </w:p>
        </w:tc>
        <w:tc>
          <w:tcPr>
            <w:tcW w:w="1509" w:type="dxa"/>
            <w:gridSpan w:val="2"/>
            <w:shd w:val="clear" w:color="auto" w:fill="auto"/>
            <w:noWrap/>
            <w:vAlign w:val="bottom"/>
            <w:hideMark/>
          </w:tcPr>
          <w:p w:rsidR="00641867" w:rsidRPr="00B4742D" w:rsidRDefault="00291261" w:rsidP="00CE6179">
            <w:pPr>
              <w:spacing w:line="240" w:lineRule="auto"/>
              <w:jc w:val="center"/>
            </w:pPr>
            <w:r w:rsidRPr="00B4742D">
              <w:t>R</w:t>
            </w:r>
            <w:r w:rsidR="00641867" w:rsidRPr="00B4742D">
              <w:t>ealna stopa rasta BDP-a</w:t>
            </w:r>
          </w:p>
        </w:tc>
        <w:tc>
          <w:tcPr>
            <w:tcW w:w="1630" w:type="dxa"/>
            <w:gridSpan w:val="2"/>
            <w:shd w:val="clear" w:color="auto" w:fill="auto"/>
            <w:noWrap/>
            <w:vAlign w:val="bottom"/>
            <w:hideMark/>
          </w:tcPr>
          <w:p w:rsidR="00641867" w:rsidRPr="00B4742D" w:rsidRDefault="00291261" w:rsidP="00CE6179">
            <w:pPr>
              <w:spacing w:line="240" w:lineRule="auto"/>
              <w:jc w:val="center"/>
            </w:pPr>
            <w:r w:rsidRPr="00B4742D">
              <w:t>S</w:t>
            </w:r>
            <w:r w:rsidR="00641867" w:rsidRPr="00B4742D">
              <w:t>topa zaposlenosti</w:t>
            </w:r>
          </w:p>
        </w:tc>
        <w:tc>
          <w:tcPr>
            <w:tcW w:w="1630" w:type="dxa"/>
            <w:gridSpan w:val="2"/>
            <w:shd w:val="clear" w:color="auto" w:fill="auto"/>
            <w:noWrap/>
            <w:vAlign w:val="bottom"/>
            <w:hideMark/>
          </w:tcPr>
          <w:p w:rsidR="00641867" w:rsidRPr="00B4742D" w:rsidRDefault="00291261" w:rsidP="000711F4">
            <w:pPr>
              <w:spacing w:line="240" w:lineRule="auto"/>
              <w:ind w:right="-93"/>
              <w:jc w:val="center"/>
            </w:pPr>
            <w:r w:rsidRPr="00B4742D">
              <w:t>S</w:t>
            </w:r>
            <w:r w:rsidR="00641867" w:rsidRPr="00B4742D">
              <w:t>topa nezaposlenosti</w:t>
            </w:r>
          </w:p>
        </w:tc>
        <w:tc>
          <w:tcPr>
            <w:tcW w:w="1630" w:type="dxa"/>
            <w:gridSpan w:val="2"/>
            <w:shd w:val="clear" w:color="auto" w:fill="auto"/>
            <w:noWrap/>
            <w:vAlign w:val="bottom"/>
            <w:hideMark/>
          </w:tcPr>
          <w:p w:rsidR="00641867" w:rsidRPr="00B4742D" w:rsidRDefault="00291261" w:rsidP="003A26AA">
            <w:pPr>
              <w:spacing w:line="240" w:lineRule="auto"/>
              <w:jc w:val="center"/>
            </w:pPr>
            <w:r w:rsidRPr="00B4742D">
              <w:t>D</w:t>
            </w:r>
            <w:r w:rsidR="00641867" w:rsidRPr="00B4742D">
              <w:t>ugo</w:t>
            </w:r>
            <w:r w:rsidR="003A26AA" w:rsidRPr="00B4742D">
              <w:t>trajna</w:t>
            </w:r>
            <w:r w:rsidR="00641867" w:rsidRPr="00B4742D">
              <w:t xml:space="preserve"> nezaposlenost</w:t>
            </w:r>
          </w:p>
        </w:tc>
        <w:tc>
          <w:tcPr>
            <w:tcW w:w="2085" w:type="dxa"/>
            <w:gridSpan w:val="2"/>
            <w:shd w:val="clear" w:color="auto" w:fill="auto"/>
            <w:noWrap/>
            <w:vAlign w:val="bottom"/>
            <w:hideMark/>
          </w:tcPr>
          <w:p w:rsidR="00641867" w:rsidRPr="00B4742D" w:rsidRDefault="00291261" w:rsidP="00CE6179">
            <w:pPr>
              <w:spacing w:line="240" w:lineRule="auto"/>
              <w:jc w:val="center"/>
            </w:pPr>
            <w:r w:rsidRPr="00B4742D">
              <w:t>T</w:t>
            </w:r>
            <w:r w:rsidR="00641867" w:rsidRPr="00B4742D">
              <w:t>rajanje radnog vijeka</w:t>
            </w:r>
          </w:p>
        </w:tc>
      </w:tr>
      <w:tr w:rsidR="00641867" w:rsidRPr="00B4742D" w:rsidTr="00725AF6">
        <w:trPr>
          <w:trHeight w:val="300"/>
        </w:trPr>
        <w:tc>
          <w:tcPr>
            <w:tcW w:w="1185" w:type="dxa"/>
            <w:shd w:val="clear" w:color="auto" w:fill="auto"/>
            <w:noWrap/>
            <w:vAlign w:val="bottom"/>
            <w:hideMark/>
          </w:tcPr>
          <w:p w:rsidR="00641867" w:rsidRPr="00BF61FB" w:rsidRDefault="00641867" w:rsidP="00CE6179">
            <w:pPr>
              <w:tabs>
                <w:tab w:val="clear" w:pos="0"/>
              </w:tabs>
              <w:spacing w:line="240" w:lineRule="auto"/>
              <w:ind w:left="-93"/>
              <w:jc w:val="center"/>
            </w:pPr>
          </w:p>
        </w:tc>
        <w:tc>
          <w:tcPr>
            <w:tcW w:w="797" w:type="dxa"/>
            <w:shd w:val="clear" w:color="auto" w:fill="auto"/>
            <w:noWrap/>
            <w:vAlign w:val="bottom"/>
            <w:hideMark/>
          </w:tcPr>
          <w:p w:rsidR="00641867" w:rsidRPr="00B4742D" w:rsidRDefault="00641867" w:rsidP="00CE6179">
            <w:pPr>
              <w:spacing w:line="240" w:lineRule="auto"/>
              <w:jc w:val="center"/>
            </w:pPr>
            <w:r w:rsidRPr="00B4742D">
              <w:t>HRV</w:t>
            </w:r>
          </w:p>
        </w:tc>
        <w:tc>
          <w:tcPr>
            <w:tcW w:w="712" w:type="dxa"/>
            <w:shd w:val="clear" w:color="auto" w:fill="auto"/>
            <w:noWrap/>
            <w:vAlign w:val="bottom"/>
            <w:hideMark/>
          </w:tcPr>
          <w:p w:rsidR="00641867" w:rsidRPr="00B4742D" w:rsidRDefault="00641867" w:rsidP="00CE6179">
            <w:pPr>
              <w:spacing w:line="240" w:lineRule="auto"/>
              <w:jc w:val="center"/>
            </w:pPr>
            <w:r w:rsidRPr="00B4742D">
              <w:t>AUS</w:t>
            </w:r>
          </w:p>
        </w:tc>
        <w:tc>
          <w:tcPr>
            <w:tcW w:w="849" w:type="dxa"/>
            <w:shd w:val="clear" w:color="auto" w:fill="auto"/>
            <w:noWrap/>
            <w:vAlign w:val="bottom"/>
            <w:hideMark/>
          </w:tcPr>
          <w:p w:rsidR="00641867" w:rsidRPr="00B4742D" w:rsidRDefault="00641867" w:rsidP="00CE6179">
            <w:pPr>
              <w:spacing w:line="240" w:lineRule="auto"/>
              <w:jc w:val="center"/>
            </w:pPr>
            <w:r w:rsidRPr="00B4742D">
              <w:t>HRV</w:t>
            </w:r>
          </w:p>
        </w:tc>
        <w:tc>
          <w:tcPr>
            <w:tcW w:w="781" w:type="dxa"/>
            <w:shd w:val="clear" w:color="auto" w:fill="auto"/>
            <w:noWrap/>
            <w:vAlign w:val="bottom"/>
            <w:hideMark/>
          </w:tcPr>
          <w:p w:rsidR="00641867" w:rsidRPr="00B4742D" w:rsidRDefault="00641867" w:rsidP="00CE6179">
            <w:pPr>
              <w:spacing w:line="240" w:lineRule="auto"/>
              <w:jc w:val="center"/>
            </w:pPr>
            <w:r w:rsidRPr="00B4742D">
              <w:t>AUS</w:t>
            </w:r>
          </w:p>
        </w:tc>
        <w:tc>
          <w:tcPr>
            <w:tcW w:w="849" w:type="dxa"/>
            <w:shd w:val="clear" w:color="auto" w:fill="auto"/>
            <w:noWrap/>
            <w:vAlign w:val="bottom"/>
            <w:hideMark/>
          </w:tcPr>
          <w:p w:rsidR="00641867" w:rsidRPr="00B4742D" w:rsidRDefault="00641867" w:rsidP="00CE6179">
            <w:pPr>
              <w:spacing w:line="240" w:lineRule="auto"/>
              <w:jc w:val="center"/>
            </w:pPr>
            <w:r w:rsidRPr="00B4742D">
              <w:t>HRV</w:t>
            </w:r>
          </w:p>
        </w:tc>
        <w:tc>
          <w:tcPr>
            <w:tcW w:w="781" w:type="dxa"/>
            <w:shd w:val="clear" w:color="auto" w:fill="auto"/>
            <w:noWrap/>
            <w:vAlign w:val="bottom"/>
            <w:hideMark/>
          </w:tcPr>
          <w:p w:rsidR="00641867" w:rsidRPr="00B4742D" w:rsidRDefault="00641867" w:rsidP="00CE6179">
            <w:pPr>
              <w:spacing w:line="240" w:lineRule="auto"/>
              <w:jc w:val="center"/>
            </w:pPr>
            <w:r w:rsidRPr="00B4742D">
              <w:t>AUS</w:t>
            </w:r>
          </w:p>
        </w:tc>
        <w:tc>
          <w:tcPr>
            <w:tcW w:w="849" w:type="dxa"/>
            <w:shd w:val="clear" w:color="auto" w:fill="auto"/>
            <w:noWrap/>
            <w:vAlign w:val="bottom"/>
            <w:hideMark/>
          </w:tcPr>
          <w:p w:rsidR="00641867" w:rsidRPr="00B4742D" w:rsidRDefault="00641867" w:rsidP="00CE6179">
            <w:pPr>
              <w:spacing w:line="240" w:lineRule="auto"/>
              <w:jc w:val="center"/>
            </w:pPr>
            <w:r w:rsidRPr="00B4742D">
              <w:t>HRV</w:t>
            </w:r>
          </w:p>
        </w:tc>
        <w:tc>
          <w:tcPr>
            <w:tcW w:w="781" w:type="dxa"/>
            <w:shd w:val="clear" w:color="auto" w:fill="auto"/>
            <w:noWrap/>
            <w:vAlign w:val="bottom"/>
            <w:hideMark/>
          </w:tcPr>
          <w:p w:rsidR="00641867" w:rsidRPr="00B4742D" w:rsidRDefault="00641867" w:rsidP="00CE6179">
            <w:pPr>
              <w:spacing w:line="240" w:lineRule="auto"/>
              <w:jc w:val="center"/>
            </w:pPr>
            <w:r w:rsidRPr="00B4742D">
              <w:t>AUS</w:t>
            </w:r>
          </w:p>
        </w:tc>
        <w:tc>
          <w:tcPr>
            <w:tcW w:w="1099" w:type="dxa"/>
            <w:shd w:val="clear" w:color="auto" w:fill="auto"/>
            <w:noWrap/>
            <w:vAlign w:val="bottom"/>
            <w:hideMark/>
          </w:tcPr>
          <w:p w:rsidR="00641867" w:rsidRPr="00B4742D" w:rsidRDefault="00641867" w:rsidP="00CE6179">
            <w:pPr>
              <w:spacing w:line="240" w:lineRule="auto"/>
              <w:jc w:val="center"/>
            </w:pPr>
            <w:r w:rsidRPr="00B4742D">
              <w:t>HRV</w:t>
            </w:r>
          </w:p>
        </w:tc>
        <w:tc>
          <w:tcPr>
            <w:tcW w:w="986" w:type="dxa"/>
            <w:shd w:val="clear" w:color="auto" w:fill="auto"/>
            <w:noWrap/>
            <w:vAlign w:val="bottom"/>
            <w:hideMark/>
          </w:tcPr>
          <w:p w:rsidR="00641867" w:rsidRPr="00B4742D" w:rsidRDefault="00641867" w:rsidP="00CE6179">
            <w:pPr>
              <w:spacing w:line="240" w:lineRule="auto"/>
              <w:jc w:val="center"/>
            </w:pPr>
            <w:r w:rsidRPr="00B4742D">
              <w:t>AUS</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2003</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5,4</w:t>
            </w:r>
          </w:p>
        </w:tc>
        <w:tc>
          <w:tcPr>
            <w:tcW w:w="712" w:type="dxa"/>
            <w:shd w:val="clear" w:color="auto" w:fill="auto"/>
            <w:noWrap/>
            <w:vAlign w:val="bottom"/>
            <w:hideMark/>
          </w:tcPr>
          <w:p w:rsidR="00641867" w:rsidRPr="00B4742D" w:rsidRDefault="00641867" w:rsidP="00CE6179">
            <w:pPr>
              <w:spacing w:line="240" w:lineRule="auto"/>
              <w:jc w:val="center"/>
            </w:pPr>
            <w:r w:rsidRPr="00B4742D">
              <w:t>0,9</w:t>
            </w:r>
          </w:p>
        </w:tc>
        <w:tc>
          <w:tcPr>
            <w:tcW w:w="849" w:type="dxa"/>
            <w:shd w:val="clear" w:color="auto" w:fill="auto"/>
            <w:noWrap/>
            <w:vAlign w:val="bottom"/>
            <w:hideMark/>
          </w:tcPr>
          <w:p w:rsidR="00641867" w:rsidRPr="00B4742D" w:rsidRDefault="00641867" w:rsidP="00CE6179">
            <w:pPr>
              <w:spacing w:line="240" w:lineRule="auto"/>
              <w:jc w:val="center"/>
            </w:pPr>
            <w:r w:rsidRPr="00B4742D">
              <w:t>53,4</w:t>
            </w:r>
          </w:p>
        </w:tc>
        <w:tc>
          <w:tcPr>
            <w:tcW w:w="781" w:type="dxa"/>
            <w:shd w:val="clear" w:color="auto" w:fill="auto"/>
            <w:noWrap/>
            <w:vAlign w:val="bottom"/>
            <w:hideMark/>
          </w:tcPr>
          <w:p w:rsidR="00641867" w:rsidRPr="00B4742D" w:rsidRDefault="00641867" w:rsidP="00CE6179">
            <w:pPr>
              <w:spacing w:line="240" w:lineRule="auto"/>
              <w:jc w:val="center"/>
            </w:pPr>
            <w:r w:rsidRPr="00B4742D">
              <w:t>68,9</w:t>
            </w:r>
          </w:p>
        </w:tc>
        <w:tc>
          <w:tcPr>
            <w:tcW w:w="849" w:type="dxa"/>
            <w:shd w:val="clear" w:color="auto" w:fill="auto"/>
            <w:noWrap/>
            <w:vAlign w:val="bottom"/>
            <w:hideMark/>
          </w:tcPr>
          <w:p w:rsidR="00641867" w:rsidRPr="00B4742D" w:rsidRDefault="00641867" w:rsidP="00CE6179">
            <w:pPr>
              <w:spacing w:line="240" w:lineRule="auto"/>
              <w:jc w:val="center"/>
            </w:pPr>
            <w:r w:rsidRPr="00B4742D">
              <w:t>14,3</w:t>
            </w:r>
          </w:p>
        </w:tc>
        <w:tc>
          <w:tcPr>
            <w:tcW w:w="781" w:type="dxa"/>
            <w:shd w:val="clear" w:color="auto" w:fill="auto"/>
            <w:noWrap/>
            <w:vAlign w:val="bottom"/>
            <w:hideMark/>
          </w:tcPr>
          <w:p w:rsidR="00641867" w:rsidRPr="00B4742D" w:rsidRDefault="00641867" w:rsidP="00CE6179">
            <w:pPr>
              <w:spacing w:line="240" w:lineRule="auto"/>
              <w:jc w:val="center"/>
            </w:pPr>
            <w:r w:rsidRPr="00B4742D">
              <w:t>4,8</w:t>
            </w:r>
          </w:p>
        </w:tc>
        <w:tc>
          <w:tcPr>
            <w:tcW w:w="849" w:type="dxa"/>
            <w:shd w:val="clear" w:color="auto" w:fill="auto"/>
            <w:noWrap/>
            <w:vAlign w:val="bottom"/>
            <w:hideMark/>
          </w:tcPr>
          <w:p w:rsidR="00641867" w:rsidRPr="00B4742D" w:rsidRDefault="00641867" w:rsidP="00CE6179">
            <w:pPr>
              <w:spacing w:line="240" w:lineRule="auto"/>
              <w:jc w:val="center"/>
            </w:pPr>
            <w:r w:rsidRPr="00B4742D">
              <w:t>59,6</w:t>
            </w:r>
          </w:p>
        </w:tc>
        <w:tc>
          <w:tcPr>
            <w:tcW w:w="781" w:type="dxa"/>
            <w:shd w:val="clear" w:color="auto" w:fill="auto"/>
            <w:noWrap/>
            <w:vAlign w:val="bottom"/>
            <w:hideMark/>
          </w:tcPr>
          <w:p w:rsidR="00641867" w:rsidRPr="00B4742D" w:rsidRDefault="00641867" w:rsidP="00CE6179">
            <w:pPr>
              <w:spacing w:line="240" w:lineRule="auto"/>
              <w:jc w:val="center"/>
            </w:pPr>
            <w:r w:rsidRPr="00B4742D">
              <w:t>29,1</w:t>
            </w:r>
          </w:p>
        </w:tc>
        <w:tc>
          <w:tcPr>
            <w:tcW w:w="1099" w:type="dxa"/>
            <w:shd w:val="clear" w:color="auto" w:fill="auto"/>
            <w:noWrap/>
            <w:vAlign w:val="bottom"/>
            <w:hideMark/>
          </w:tcPr>
          <w:p w:rsidR="00641867" w:rsidRPr="00B4742D" w:rsidRDefault="00641867" w:rsidP="00CE6179">
            <w:pPr>
              <w:spacing w:line="240" w:lineRule="auto"/>
              <w:jc w:val="center"/>
            </w:pPr>
            <w:r w:rsidRPr="00B4742D">
              <w:t>30,5</w:t>
            </w:r>
          </w:p>
        </w:tc>
        <w:tc>
          <w:tcPr>
            <w:tcW w:w="986" w:type="dxa"/>
            <w:shd w:val="clear" w:color="auto" w:fill="auto"/>
            <w:noWrap/>
            <w:vAlign w:val="bottom"/>
            <w:hideMark/>
          </w:tcPr>
          <w:p w:rsidR="00641867" w:rsidRPr="00B4742D" w:rsidRDefault="00641867" w:rsidP="00CE6179">
            <w:pPr>
              <w:spacing w:line="240" w:lineRule="auto"/>
              <w:jc w:val="center"/>
            </w:pPr>
            <w:r w:rsidRPr="00B4742D">
              <w:t>34,1</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2004</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4,1</w:t>
            </w:r>
          </w:p>
        </w:tc>
        <w:tc>
          <w:tcPr>
            <w:tcW w:w="712" w:type="dxa"/>
            <w:shd w:val="clear" w:color="auto" w:fill="auto"/>
            <w:noWrap/>
            <w:vAlign w:val="bottom"/>
            <w:hideMark/>
          </w:tcPr>
          <w:p w:rsidR="00641867" w:rsidRPr="00B4742D" w:rsidRDefault="00641867" w:rsidP="00CE6179">
            <w:pPr>
              <w:spacing w:line="240" w:lineRule="auto"/>
              <w:jc w:val="center"/>
            </w:pPr>
            <w:r w:rsidRPr="00B4742D">
              <w:t>2,6</w:t>
            </w:r>
          </w:p>
        </w:tc>
        <w:tc>
          <w:tcPr>
            <w:tcW w:w="849" w:type="dxa"/>
            <w:shd w:val="clear" w:color="auto" w:fill="auto"/>
            <w:noWrap/>
            <w:vAlign w:val="bottom"/>
            <w:hideMark/>
          </w:tcPr>
          <w:p w:rsidR="00641867" w:rsidRPr="00B4742D" w:rsidRDefault="00641867" w:rsidP="00CE6179">
            <w:pPr>
              <w:spacing w:line="240" w:lineRule="auto"/>
              <w:jc w:val="center"/>
            </w:pPr>
            <w:r w:rsidRPr="00B4742D">
              <w:t>54,7</w:t>
            </w:r>
          </w:p>
        </w:tc>
        <w:tc>
          <w:tcPr>
            <w:tcW w:w="781" w:type="dxa"/>
            <w:shd w:val="clear" w:color="auto" w:fill="auto"/>
            <w:noWrap/>
            <w:vAlign w:val="bottom"/>
            <w:hideMark/>
          </w:tcPr>
          <w:p w:rsidR="00641867" w:rsidRPr="00B4742D" w:rsidRDefault="00641867" w:rsidP="00CE6179">
            <w:pPr>
              <w:spacing w:line="240" w:lineRule="auto"/>
              <w:jc w:val="center"/>
            </w:pPr>
            <w:r w:rsidRPr="00B4742D">
              <w:t>67,8</w:t>
            </w:r>
          </w:p>
        </w:tc>
        <w:tc>
          <w:tcPr>
            <w:tcW w:w="849" w:type="dxa"/>
            <w:shd w:val="clear" w:color="auto" w:fill="auto"/>
            <w:noWrap/>
            <w:vAlign w:val="bottom"/>
            <w:hideMark/>
          </w:tcPr>
          <w:p w:rsidR="00641867" w:rsidRPr="00B4742D" w:rsidRDefault="00641867" w:rsidP="00CE6179">
            <w:pPr>
              <w:spacing w:line="240" w:lineRule="auto"/>
              <w:jc w:val="center"/>
            </w:pPr>
            <w:r w:rsidRPr="00B4742D">
              <w:t>14,1</w:t>
            </w:r>
          </w:p>
        </w:tc>
        <w:tc>
          <w:tcPr>
            <w:tcW w:w="781" w:type="dxa"/>
            <w:shd w:val="clear" w:color="auto" w:fill="auto"/>
            <w:noWrap/>
            <w:vAlign w:val="bottom"/>
            <w:hideMark/>
          </w:tcPr>
          <w:p w:rsidR="00641867" w:rsidRPr="00B4742D" w:rsidRDefault="00641867" w:rsidP="00CE6179">
            <w:pPr>
              <w:spacing w:line="240" w:lineRule="auto"/>
              <w:jc w:val="center"/>
            </w:pPr>
            <w:r w:rsidRPr="00B4742D">
              <w:t>5,3</w:t>
            </w:r>
          </w:p>
        </w:tc>
        <w:tc>
          <w:tcPr>
            <w:tcW w:w="849" w:type="dxa"/>
            <w:shd w:val="clear" w:color="auto" w:fill="auto"/>
            <w:noWrap/>
            <w:vAlign w:val="bottom"/>
            <w:hideMark/>
          </w:tcPr>
          <w:p w:rsidR="00641867" w:rsidRPr="00B4742D" w:rsidRDefault="00641867" w:rsidP="00CE6179">
            <w:pPr>
              <w:spacing w:line="240" w:lineRule="auto"/>
              <w:jc w:val="center"/>
            </w:pPr>
            <w:r w:rsidRPr="00B4742D">
              <w:t>54,1</w:t>
            </w:r>
          </w:p>
        </w:tc>
        <w:tc>
          <w:tcPr>
            <w:tcW w:w="781" w:type="dxa"/>
            <w:shd w:val="clear" w:color="auto" w:fill="auto"/>
            <w:noWrap/>
            <w:vAlign w:val="bottom"/>
            <w:hideMark/>
          </w:tcPr>
          <w:p w:rsidR="00641867" w:rsidRPr="00B4742D" w:rsidRDefault="00641867" w:rsidP="00CE6179">
            <w:pPr>
              <w:spacing w:line="240" w:lineRule="auto"/>
              <w:jc w:val="center"/>
            </w:pPr>
            <w:r w:rsidRPr="00B4742D">
              <w:t>24,7</w:t>
            </w:r>
          </w:p>
        </w:tc>
        <w:tc>
          <w:tcPr>
            <w:tcW w:w="1099" w:type="dxa"/>
            <w:shd w:val="clear" w:color="auto" w:fill="auto"/>
            <w:noWrap/>
            <w:vAlign w:val="bottom"/>
            <w:hideMark/>
          </w:tcPr>
          <w:p w:rsidR="00641867" w:rsidRPr="00B4742D" w:rsidRDefault="00641867" w:rsidP="00CE6179">
            <w:pPr>
              <w:spacing w:line="240" w:lineRule="auto"/>
              <w:jc w:val="center"/>
            </w:pPr>
            <w:r w:rsidRPr="00B4742D">
              <w:t>30,6</w:t>
            </w:r>
          </w:p>
        </w:tc>
        <w:tc>
          <w:tcPr>
            <w:tcW w:w="986" w:type="dxa"/>
            <w:shd w:val="clear" w:color="auto" w:fill="auto"/>
            <w:noWrap/>
            <w:vAlign w:val="bottom"/>
            <w:hideMark/>
          </w:tcPr>
          <w:p w:rsidR="00641867" w:rsidRPr="00B4742D" w:rsidRDefault="00641867" w:rsidP="00CE6179">
            <w:pPr>
              <w:spacing w:line="240" w:lineRule="auto"/>
              <w:jc w:val="center"/>
            </w:pPr>
            <w:r w:rsidRPr="00B4742D">
              <w:t>34,2</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2005</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4,3</w:t>
            </w:r>
          </w:p>
        </w:tc>
        <w:tc>
          <w:tcPr>
            <w:tcW w:w="712" w:type="dxa"/>
            <w:shd w:val="clear" w:color="auto" w:fill="auto"/>
            <w:noWrap/>
            <w:vAlign w:val="bottom"/>
            <w:hideMark/>
          </w:tcPr>
          <w:p w:rsidR="00641867" w:rsidRPr="00B4742D" w:rsidRDefault="00641867" w:rsidP="00CE6179">
            <w:pPr>
              <w:spacing w:line="240" w:lineRule="auto"/>
              <w:jc w:val="center"/>
            </w:pPr>
            <w:r w:rsidRPr="00B4742D">
              <w:t>2,4</w:t>
            </w:r>
          </w:p>
        </w:tc>
        <w:tc>
          <w:tcPr>
            <w:tcW w:w="849" w:type="dxa"/>
            <w:shd w:val="clear" w:color="auto" w:fill="auto"/>
            <w:noWrap/>
            <w:vAlign w:val="bottom"/>
            <w:hideMark/>
          </w:tcPr>
          <w:p w:rsidR="00641867" w:rsidRPr="00B4742D" w:rsidRDefault="00641867" w:rsidP="00CE6179">
            <w:pPr>
              <w:spacing w:line="240" w:lineRule="auto"/>
              <w:jc w:val="center"/>
            </w:pPr>
            <w:r w:rsidRPr="00B4742D">
              <w:t>55</w:t>
            </w:r>
          </w:p>
        </w:tc>
        <w:tc>
          <w:tcPr>
            <w:tcW w:w="781" w:type="dxa"/>
            <w:shd w:val="clear" w:color="auto" w:fill="auto"/>
            <w:noWrap/>
            <w:vAlign w:val="bottom"/>
            <w:hideMark/>
          </w:tcPr>
          <w:p w:rsidR="00641867" w:rsidRPr="00B4742D" w:rsidRDefault="00641867" w:rsidP="00CE6179">
            <w:pPr>
              <w:spacing w:line="240" w:lineRule="auto"/>
              <w:jc w:val="center"/>
            </w:pPr>
            <w:r w:rsidRPr="00B4742D">
              <w:t>68,6</w:t>
            </w:r>
          </w:p>
        </w:tc>
        <w:tc>
          <w:tcPr>
            <w:tcW w:w="849" w:type="dxa"/>
            <w:shd w:val="clear" w:color="auto" w:fill="auto"/>
            <w:noWrap/>
            <w:vAlign w:val="bottom"/>
            <w:hideMark/>
          </w:tcPr>
          <w:p w:rsidR="00641867" w:rsidRPr="00B4742D" w:rsidRDefault="00641867" w:rsidP="00CE6179">
            <w:pPr>
              <w:spacing w:line="240" w:lineRule="auto"/>
              <w:jc w:val="center"/>
            </w:pPr>
            <w:r w:rsidRPr="00B4742D">
              <w:t>13</w:t>
            </w:r>
          </w:p>
        </w:tc>
        <w:tc>
          <w:tcPr>
            <w:tcW w:w="781" w:type="dxa"/>
            <w:shd w:val="clear" w:color="auto" w:fill="auto"/>
            <w:noWrap/>
            <w:vAlign w:val="bottom"/>
            <w:hideMark/>
          </w:tcPr>
          <w:p w:rsidR="00641867" w:rsidRPr="00B4742D" w:rsidRDefault="00641867" w:rsidP="00CE6179">
            <w:pPr>
              <w:spacing w:line="240" w:lineRule="auto"/>
              <w:jc w:val="center"/>
            </w:pPr>
            <w:r w:rsidRPr="00B4742D">
              <w:t>5,2</w:t>
            </w:r>
          </w:p>
        </w:tc>
        <w:tc>
          <w:tcPr>
            <w:tcW w:w="849" w:type="dxa"/>
            <w:shd w:val="clear" w:color="auto" w:fill="auto"/>
            <w:noWrap/>
            <w:vAlign w:val="bottom"/>
            <w:hideMark/>
          </w:tcPr>
          <w:p w:rsidR="00641867" w:rsidRPr="00B4742D" w:rsidRDefault="00641867" w:rsidP="00CE6179">
            <w:pPr>
              <w:spacing w:line="240" w:lineRule="auto"/>
              <w:jc w:val="center"/>
            </w:pPr>
            <w:r w:rsidRPr="00B4742D">
              <w:t>57,9</w:t>
            </w:r>
          </w:p>
        </w:tc>
        <w:tc>
          <w:tcPr>
            <w:tcW w:w="781" w:type="dxa"/>
            <w:shd w:val="clear" w:color="auto" w:fill="auto"/>
            <w:noWrap/>
            <w:vAlign w:val="bottom"/>
            <w:hideMark/>
          </w:tcPr>
          <w:p w:rsidR="00641867" w:rsidRPr="00B4742D" w:rsidRDefault="00641867" w:rsidP="00CE6179">
            <w:pPr>
              <w:spacing w:line="240" w:lineRule="auto"/>
              <w:jc w:val="center"/>
            </w:pPr>
            <w:r w:rsidRPr="00B4742D">
              <w:t>25,4</w:t>
            </w:r>
          </w:p>
        </w:tc>
        <w:tc>
          <w:tcPr>
            <w:tcW w:w="1099" w:type="dxa"/>
            <w:shd w:val="clear" w:color="auto" w:fill="auto"/>
            <w:noWrap/>
            <w:vAlign w:val="bottom"/>
            <w:hideMark/>
          </w:tcPr>
          <w:p w:rsidR="00641867" w:rsidRPr="00B4742D" w:rsidRDefault="00641867" w:rsidP="00CE6179">
            <w:pPr>
              <w:spacing w:line="240" w:lineRule="auto"/>
              <w:jc w:val="center"/>
            </w:pPr>
            <w:r w:rsidRPr="00B4742D">
              <w:t>31,4</w:t>
            </w:r>
          </w:p>
        </w:tc>
        <w:tc>
          <w:tcPr>
            <w:tcW w:w="986" w:type="dxa"/>
            <w:shd w:val="clear" w:color="auto" w:fill="auto"/>
            <w:noWrap/>
            <w:vAlign w:val="bottom"/>
            <w:hideMark/>
          </w:tcPr>
          <w:p w:rsidR="00641867" w:rsidRPr="00B4742D" w:rsidRDefault="00641867" w:rsidP="00CE6179">
            <w:pPr>
              <w:spacing w:line="240" w:lineRule="auto"/>
              <w:jc w:val="center"/>
            </w:pPr>
            <w:r w:rsidRPr="00B4742D">
              <w:t>33,6</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2006</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4,9</w:t>
            </w:r>
          </w:p>
        </w:tc>
        <w:tc>
          <w:tcPr>
            <w:tcW w:w="712" w:type="dxa"/>
            <w:shd w:val="clear" w:color="auto" w:fill="auto"/>
            <w:noWrap/>
            <w:vAlign w:val="bottom"/>
            <w:hideMark/>
          </w:tcPr>
          <w:p w:rsidR="00641867" w:rsidRPr="00B4742D" w:rsidRDefault="00641867" w:rsidP="00CE6179">
            <w:pPr>
              <w:spacing w:line="240" w:lineRule="auto"/>
              <w:jc w:val="center"/>
            </w:pPr>
            <w:r w:rsidRPr="00B4742D">
              <w:t>3,7</w:t>
            </w:r>
          </w:p>
        </w:tc>
        <w:tc>
          <w:tcPr>
            <w:tcW w:w="849" w:type="dxa"/>
            <w:shd w:val="clear" w:color="auto" w:fill="auto"/>
            <w:noWrap/>
            <w:vAlign w:val="bottom"/>
            <w:hideMark/>
          </w:tcPr>
          <w:p w:rsidR="00641867" w:rsidRPr="00B4742D" w:rsidRDefault="00641867" w:rsidP="00CE6179">
            <w:pPr>
              <w:spacing w:line="240" w:lineRule="auto"/>
              <w:jc w:val="center"/>
            </w:pPr>
            <w:r w:rsidRPr="00B4742D">
              <w:t>55,6</w:t>
            </w:r>
          </w:p>
        </w:tc>
        <w:tc>
          <w:tcPr>
            <w:tcW w:w="781" w:type="dxa"/>
            <w:shd w:val="clear" w:color="auto" w:fill="auto"/>
            <w:noWrap/>
            <w:vAlign w:val="bottom"/>
            <w:hideMark/>
          </w:tcPr>
          <w:p w:rsidR="00641867" w:rsidRPr="00B4742D" w:rsidRDefault="00641867" w:rsidP="00CE6179">
            <w:pPr>
              <w:spacing w:line="240" w:lineRule="auto"/>
              <w:jc w:val="center"/>
            </w:pPr>
            <w:r w:rsidRPr="00B4742D">
              <w:t>70,2</w:t>
            </w:r>
          </w:p>
        </w:tc>
        <w:tc>
          <w:tcPr>
            <w:tcW w:w="849" w:type="dxa"/>
            <w:shd w:val="clear" w:color="auto" w:fill="auto"/>
            <w:noWrap/>
            <w:vAlign w:val="bottom"/>
            <w:hideMark/>
          </w:tcPr>
          <w:p w:rsidR="00641867" w:rsidRPr="00B4742D" w:rsidRDefault="00641867" w:rsidP="00CE6179">
            <w:pPr>
              <w:spacing w:line="240" w:lineRule="auto"/>
              <w:jc w:val="center"/>
            </w:pPr>
            <w:r w:rsidRPr="00B4742D">
              <w:t>11,5</w:t>
            </w:r>
          </w:p>
        </w:tc>
        <w:tc>
          <w:tcPr>
            <w:tcW w:w="781" w:type="dxa"/>
            <w:shd w:val="clear" w:color="auto" w:fill="auto"/>
            <w:noWrap/>
            <w:vAlign w:val="bottom"/>
            <w:hideMark/>
          </w:tcPr>
          <w:p w:rsidR="00641867" w:rsidRPr="00B4742D" w:rsidRDefault="00641867" w:rsidP="00CE6179">
            <w:pPr>
              <w:spacing w:line="240" w:lineRule="auto"/>
              <w:jc w:val="center"/>
            </w:pPr>
            <w:r w:rsidRPr="00B4742D">
              <w:t>4,8</w:t>
            </w:r>
          </w:p>
        </w:tc>
        <w:tc>
          <w:tcPr>
            <w:tcW w:w="849" w:type="dxa"/>
            <w:shd w:val="clear" w:color="auto" w:fill="auto"/>
            <w:noWrap/>
            <w:vAlign w:val="bottom"/>
            <w:hideMark/>
          </w:tcPr>
          <w:p w:rsidR="00641867" w:rsidRPr="00B4742D" w:rsidRDefault="00641867" w:rsidP="00CE6179">
            <w:pPr>
              <w:spacing w:line="240" w:lineRule="auto"/>
              <w:jc w:val="center"/>
            </w:pPr>
            <w:r w:rsidRPr="00B4742D">
              <w:t>62,1</w:t>
            </w:r>
          </w:p>
        </w:tc>
        <w:tc>
          <w:tcPr>
            <w:tcW w:w="781" w:type="dxa"/>
            <w:shd w:val="clear" w:color="auto" w:fill="auto"/>
            <w:noWrap/>
            <w:vAlign w:val="bottom"/>
            <w:hideMark/>
          </w:tcPr>
          <w:p w:rsidR="00641867" w:rsidRPr="00B4742D" w:rsidRDefault="00641867" w:rsidP="00CE6179">
            <w:pPr>
              <w:spacing w:line="240" w:lineRule="auto"/>
              <w:jc w:val="center"/>
            </w:pPr>
            <w:r w:rsidRPr="00B4742D">
              <w:t>27,3</w:t>
            </w:r>
          </w:p>
        </w:tc>
        <w:tc>
          <w:tcPr>
            <w:tcW w:w="1099" w:type="dxa"/>
            <w:shd w:val="clear" w:color="auto" w:fill="auto"/>
            <w:noWrap/>
            <w:vAlign w:val="bottom"/>
            <w:hideMark/>
          </w:tcPr>
          <w:p w:rsidR="00641867" w:rsidRPr="00B4742D" w:rsidRDefault="00641867" w:rsidP="00CE6179">
            <w:pPr>
              <w:spacing w:line="240" w:lineRule="auto"/>
              <w:jc w:val="center"/>
            </w:pPr>
            <w:r w:rsidRPr="00B4742D">
              <w:t>31,4</w:t>
            </w:r>
          </w:p>
        </w:tc>
        <w:tc>
          <w:tcPr>
            <w:tcW w:w="986" w:type="dxa"/>
            <w:shd w:val="clear" w:color="auto" w:fill="auto"/>
            <w:noWrap/>
            <w:vAlign w:val="bottom"/>
            <w:hideMark/>
          </w:tcPr>
          <w:p w:rsidR="00641867" w:rsidRPr="00B4742D" w:rsidRDefault="00641867" w:rsidP="00CE6179">
            <w:pPr>
              <w:spacing w:line="240" w:lineRule="auto"/>
              <w:jc w:val="center"/>
            </w:pPr>
            <w:r w:rsidRPr="00B4742D">
              <w:t>34,6</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2007</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5,1</w:t>
            </w:r>
          </w:p>
        </w:tc>
        <w:tc>
          <w:tcPr>
            <w:tcW w:w="712" w:type="dxa"/>
            <w:shd w:val="clear" w:color="auto" w:fill="auto"/>
            <w:noWrap/>
            <w:vAlign w:val="bottom"/>
            <w:hideMark/>
          </w:tcPr>
          <w:p w:rsidR="00641867" w:rsidRPr="00B4742D" w:rsidRDefault="00641867" w:rsidP="00CE6179">
            <w:pPr>
              <w:spacing w:line="240" w:lineRule="auto"/>
              <w:jc w:val="center"/>
            </w:pPr>
            <w:r w:rsidRPr="00B4742D">
              <w:t>3,7</w:t>
            </w:r>
          </w:p>
        </w:tc>
        <w:tc>
          <w:tcPr>
            <w:tcW w:w="849" w:type="dxa"/>
            <w:shd w:val="clear" w:color="auto" w:fill="auto"/>
            <w:noWrap/>
            <w:vAlign w:val="bottom"/>
            <w:hideMark/>
          </w:tcPr>
          <w:p w:rsidR="00641867" w:rsidRPr="00B4742D" w:rsidRDefault="00641867" w:rsidP="00CE6179">
            <w:pPr>
              <w:spacing w:line="240" w:lineRule="auto"/>
              <w:jc w:val="center"/>
            </w:pPr>
            <w:r w:rsidRPr="00B4742D">
              <w:t>57,1</w:t>
            </w:r>
          </w:p>
        </w:tc>
        <w:tc>
          <w:tcPr>
            <w:tcW w:w="781" w:type="dxa"/>
            <w:shd w:val="clear" w:color="auto" w:fill="auto"/>
            <w:noWrap/>
            <w:vAlign w:val="bottom"/>
            <w:hideMark/>
          </w:tcPr>
          <w:p w:rsidR="00641867" w:rsidRPr="00B4742D" w:rsidRDefault="00641867" w:rsidP="00CE6179">
            <w:pPr>
              <w:spacing w:line="240" w:lineRule="auto"/>
              <w:jc w:val="center"/>
            </w:pPr>
            <w:r w:rsidRPr="00B4742D">
              <w:t>71,4</w:t>
            </w:r>
          </w:p>
        </w:tc>
        <w:tc>
          <w:tcPr>
            <w:tcW w:w="849" w:type="dxa"/>
            <w:shd w:val="clear" w:color="auto" w:fill="auto"/>
            <w:noWrap/>
            <w:vAlign w:val="bottom"/>
            <w:hideMark/>
          </w:tcPr>
          <w:p w:rsidR="00641867" w:rsidRPr="00B4742D" w:rsidRDefault="00641867" w:rsidP="00CE6179">
            <w:pPr>
              <w:spacing w:line="240" w:lineRule="auto"/>
              <w:jc w:val="center"/>
            </w:pPr>
            <w:r w:rsidRPr="00B4742D">
              <w:t>9,8</w:t>
            </w:r>
          </w:p>
        </w:tc>
        <w:tc>
          <w:tcPr>
            <w:tcW w:w="781" w:type="dxa"/>
            <w:shd w:val="clear" w:color="auto" w:fill="auto"/>
            <w:noWrap/>
            <w:vAlign w:val="bottom"/>
            <w:hideMark/>
          </w:tcPr>
          <w:p w:rsidR="00641867" w:rsidRPr="00B4742D" w:rsidRDefault="00641867" w:rsidP="00CE6179">
            <w:pPr>
              <w:spacing w:line="240" w:lineRule="auto"/>
              <w:jc w:val="center"/>
            </w:pPr>
            <w:r w:rsidRPr="00B4742D">
              <w:t>4,5</w:t>
            </w:r>
          </w:p>
        </w:tc>
        <w:tc>
          <w:tcPr>
            <w:tcW w:w="849" w:type="dxa"/>
            <w:shd w:val="clear" w:color="auto" w:fill="auto"/>
            <w:noWrap/>
            <w:vAlign w:val="bottom"/>
            <w:hideMark/>
          </w:tcPr>
          <w:p w:rsidR="00641867" w:rsidRPr="00B4742D" w:rsidRDefault="00641867" w:rsidP="00CE6179">
            <w:pPr>
              <w:spacing w:line="240" w:lineRule="auto"/>
              <w:jc w:val="center"/>
            </w:pPr>
            <w:r w:rsidRPr="00B4742D">
              <w:t>60,9</w:t>
            </w:r>
          </w:p>
        </w:tc>
        <w:tc>
          <w:tcPr>
            <w:tcW w:w="781" w:type="dxa"/>
            <w:shd w:val="clear" w:color="auto" w:fill="auto"/>
            <w:noWrap/>
            <w:vAlign w:val="bottom"/>
            <w:hideMark/>
          </w:tcPr>
          <w:p w:rsidR="00641867" w:rsidRPr="00B4742D" w:rsidRDefault="00641867" w:rsidP="00CE6179">
            <w:pPr>
              <w:spacing w:line="240" w:lineRule="auto"/>
              <w:jc w:val="center"/>
            </w:pPr>
            <w:r w:rsidRPr="00B4742D">
              <w:t>25,3</w:t>
            </w:r>
          </w:p>
        </w:tc>
        <w:tc>
          <w:tcPr>
            <w:tcW w:w="1099" w:type="dxa"/>
            <w:shd w:val="clear" w:color="auto" w:fill="auto"/>
            <w:noWrap/>
            <w:vAlign w:val="bottom"/>
            <w:hideMark/>
          </w:tcPr>
          <w:p w:rsidR="00641867" w:rsidRPr="00B4742D" w:rsidRDefault="00641867" w:rsidP="00CE6179">
            <w:pPr>
              <w:spacing w:line="240" w:lineRule="auto"/>
              <w:jc w:val="center"/>
            </w:pPr>
            <w:r w:rsidRPr="00B4742D">
              <w:t>31,2</w:t>
            </w:r>
          </w:p>
        </w:tc>
        <w:tc>
          <w:tcPr>
            <w:tcW w:w="986" w:type="dxa"/>
            <w:shd w:val="clear" w:color="auto" w:fill="auto"/>
            <w:noWrap/>
            <w:vAlign w:val="bottom"/>
            <w:hideMark/>
          </w:tcPr>
          <w:p w:rsidR="00641867" w:rsidRPr="00B4742D" w:rsidRDefault="00641867" w:rsidP="00CE6179">
            <w:pPr>
              <w:spacing w:line="240" w:lineRule="auto"/>
              <w:jc w:val="center"/>
            </w:pPr>
            <w:r w:rsidRPr="00B4742D">
              <w:t>35,3</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2008</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2,1</w:t>
            </w:r>
          </w:p>
        </w:tc>
        <w:tc>
          <w:tcPr>
            <w:tcW w:w="712" w:type="dxa"/>
            <w:shd w:val="clear" w:color="auto" w:fill="auto"/>
            <w:noWrap/>
            <w:vAlign w:val="bottom"/>
            <w:hideMark/>
          </w:tcPr>
          <w:p w:rsidR="00641867" w:rsidRPr="00B4742D" w:rsidRDefault="00641867" w:rsidP="00CE6179">
            <w:pPr>
              <w:spacing w:line="240" w:lineRule="auto"/>
              <w:jc w:val="center"/>
            </w:pPr>
            <w:r w:rsidRPr="00B4742D">
              <w:t>1,4</w:t>
            </w:r>
          </w:p>
        </w:tc>
        <w:tc>
          <w:tcPr>
            <w:tcW w:w="849" w:type="dxa"/>
            <w:shd w:val="clear" w:color="auto" w:fill="auto"/>
            <w:noWrap/>
            <w:vAlign w:val="bottom"/>
            <w:hideMark/>
          </w:tcPr>
          <w:p w:rsidR="00641867" w:rsidRPr="00B4742D" w:rsidRDefault="00641867" w:rsidP="00CE6179">
            <w:pPr>
              <w:spacing w:line="240" w:lineRule="auto"/>
              <w:jc w:val="center"/>
            </w:pPr>
            <w:r w:rsidRPr="00B4742D">
              <w:t>57,8</w:t>
            </w:r>
          </w:p>
        </w:tc>
        <w:tc>
          <w:tcPr>
            <w:tcW w:w="781" w:type="dxa"/>
            <w:shd w:val="clear" w:color="auto" w:fill="auto"/>
            <w:noWrap/>
            <w:vAlign w:val="bottom"/>
            <w:hideMark/>
          </w:tcPr>
          <w:p w:rsidR="00641867" w:rsidRPr="00B4742D" w:rsidRDefault="00641867" w:rsidP="00CE6179">
            <w:pPr>
              <w:spacing w:line="240" w:lineRule="auto"/>
              <w:jc w:val="center"/>
            </w:pPr>
            <w:r w:rsidRPr="00B4742D">
              <w:t>72,1</w:t>
            </w:r>
          </w:p>
        </w:tc>
        <w:tc>
          <w:tcPr>
            <w:tcW w:w="849" w:type="dxa"/>
            <w:shd w:val="clear" w:color="auto" w:fill="auto"/>
            <w:noWrap/>
            <w:vAlign w:val="bottom"/>
            <w:hideMark/>
          </w:tcPr>
          <w:p w:rsidR="00641867" w:rsidRPr="00B4742D" w:rsidRDefault="00641867" w:rsidP="00CE6179">
            <w:pPr>
              <w:spacing w:line="240" w:lineRule="auto"/>
              <w:jc w:val="center"/>
            </w:pPr>
            <w:r w:rsidRPr="00B4742D">
              <w:t>8,6</w:t>
            </w:r>
          </w:p>
        </w:tc>
        <w:tc>
          <w:tcPr>
            <w:tcW w:w="781" w:type="dxa"/>
            <w:shd w:val="clear" w:color="auto" w:fill="auto"/>
            <w:noWrap/>
            <w:vAlign w:val="bottom"/>
            <w:hideMark/>
          </w:tcPr>
          <w:p w:rsidR="00641867" w:rsidRPr="00B4742D" w:rsidRDefault="00641867" w:rsidP="00CE6179">
            <w:pPr>
              <w:spacing w:line="240" w:lineRule="auto"/>
              <w:jc w:val="center"/>
            </w:pPr>
            <w:r w:rsidRPr="00B4742D">
              <w:t>3,9</w:t>
            </w:r>
          </w:p>
        </w:tc>
        <w:tc>
          <w:tcPr>
            <w:tcW w:w="849" w:type="dxa"/>
            <w:shd w:val="clear" w:color="auto" w:fill="auto"/>
            <w:noWrap/>
            <w:vAlign w:val="bottom"/>
            <w:hideMark/>
          </w:tcPr>
          <w:p w:rsidR="00641867" w:rsidRPr="00B4742D" w:rsidRDefault="00641867" w:rsidP="00CE6179">
            <w:pPr>
              <w:spacing w:line="240" w:lineRule="auto"/>
              <w:jc w:val="center"/>
            </w:pPr>
            <w:r w:rsidRPr="00B4742D">
              <w:t>62,2</w:t>
            </w:r>
          </w:p>
        </w:tc>
        <w:tc>
          <w:tcPr>
            <w:tcW w:w="781" w:type="dxa"/>
            <w:shd w:val="clear" w:color="auto" w:fill="auto"/>
            <w:noWrap/>
            <w:vAlign w:val="bottom"/>
            <w:hideMark/>
          </w:tcPr>
          <w:p w:rsidR="00641867" w:rsidRPr="00B4742D" w:rsidRDefault="00641867" w:rsidP="00CE6179">
            <w:pPr>
              <w:spacing w:line="240" w:lineRule="auto"/>
              <w:jc w:val="center"/>
            </w:pPr>
            <w:r w:rsidRPr="00B4742D">
              <w:t>23,4</w:t>
            </w:r>
          </w:p>
        </w:tc>
        <w:tc>
          <w:tcPr>
            <w:tcW w:w="1099" w:type="dxa"/>
            <w:shd w:val="clear" w:color="auto" w:fill="auto"/>
            <w:noWrap/>
            <w:vAlign w:val="bottom"/>
            <w:hideMark/>
          </w:tcPr>
          <w:p w:rsidR="00641867" w:rsidRPr="00B4742D" w:rsidRDefault="00641867" w:rsidP="00CE6179">
            <w:pPr>
              <w:spacing w:line="240" w:lineRule="auto"/>
              <w:jc w:val="center"/>
            </w:pPr>
            <w:r w:rsidRPr="00B4742D">
              <w:t>31,4</w:t>
            </w:r>
          </w:p>
        </w:tc>
        <w:tc>
          <w:tcPr>
            <w:tcW w:w="986" w:type="dxa"/>
            <w:shd w:val="clear" w:color="auto" w:fill="auto"/>
            <w:noWrap/>
            <w:vAlign w:val="bottom"/>
            <w:hideMark/>
          </w:tcPr>
          <w:p w:rsidR="00641867" w:rsidRPr="00B4742D" w:rsidRDefault="00641867" w:rsidP="00CE6179">
            <w:pPr>
              <w:spacing w:line="240" w:lineRule="auto"/>
              <w:jc w:val="center"/>
            </w:pPr>
            <w:r w:rsidRPr="00B4742D">
              <w:t>36</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2009</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-6,9</w:t>
            </w:r>
          </w:p>
        </w:tc>
        <w:tc>
          <w:tcPr>
            <w:tcW w:w="712" w:type="dxa"/>
            <w:shd w:val="clear" w:color="auto" w:fill="auto"/>
            <w:noWrap/>
            <w:vAlign w:val="bottom"/>
            <w:hideMark/>
          </w:tcPr>
          <w:p w:rsidR="00641867" w:rsidRPr="00B4742D" w:rsidRDefault="00641867" w:rsidP="00CE6179">
            <w:pPr>
              <w:spacing w:line="240" w:lineRule="auto"/>
              <w:jc w:val="center"/>
            </w:pPr>
            <w:r w:rsidRPr="00B4742D">
              <w:t>-3,8</w:t>
            </w:r>
          </w:p>
        </w:tc>
        <w:tc>
          <w:tcPr>
            <w:tcW w:w="849" w:type="dxa"/>
            <w:shd w:val="clear" w:color="auto" w:fill="auto"/>
            <w:noWrap/>
            <w:vAlign w:val="bottom"/>
            <w:hideMark/>
          </w:tcPr>
          <w:p w:rsidR="00641867" w:rsidRPr="00B4742D" w:rsidRDefault="00641867" w:rsidP="00CE6179">
            <w:pPr>
              <w:spacing w:line="240" w:lineRule="auto"/>
              <w:jc w:val="center"/>
            </w:pPr>
            <w:r w:rsidRPr="00B4742D">
              <w:t>56,6</w:t>
            </w:r>
          </w:p>
        </w:tc>
        <w:tc>
          <w:tcPr>
            <w:tcW w:w="781" w:type="dxa"/>
            <w:shd w:val="clear" w:color="auto" w:fill="auto"/>
            <w:noWrap/>
            <w:vAlign w:val="bottom"/>
            <w:hideMark/>
          </w:tcPr>
          <w:p w:rsidR="00641867" w:rsidRPr="00B4742D" w:rsidRDefault="00641867" w:rsidP="00CE6179">
            <w:pPr>
              <w:spacing w:line="240" w:lineRule="auto"/>
              <w:jc w:val="center"/>
            </w:pPr>
            <w:r w:rsidRPr="00B4742D">
              <w:t>71,6</w:t>
            </w:r>
          </w:p>
        </w:tc>
        <w:tc>
          <w:tcPr>
            <w:tcW w:w="849" w:type="dxa"/>
            <w:shd w:val="clear" w:color="auto" w:fill="auto"/>
            <w:noWrap/>
            <w:vAlign w:val="bottom"/>
            <w:hideMark/>
          </w:tcPr>
          <w:p w:rsidR="00641867" w:rsidRPr="00B4742D" w:rsidRDefault="00641867" w:rsidP="00CE6179">
            <w:pPr>
              <w:spacing w:line="240" w:lineRule="auto"/>
              <w:jc w:val="center"/>
            </w:pPr>
            <w:r w:rsidRPr="00B4742D">
              <w:t>9,3</w:t>
            </w:r>
          </w:p>
        </w:tc>
        <w:tc>
          <w:tcPr>
            <w:tcW w:w="781" w:type="dxa"/>
            <w:shd w:val="clear" w:color="auto" w:fill="auto"/>
            <w:noWrap/>
            <w:vAlign w:val="bottom"/>
            <w:hideMark/>
          </w:tcPr>
          <w:p w:rsidR="00641867" w:rsidRPr="00B4742D" w:rsidRDefault="00641867" w:rsidP="00CE6179">
            <w:pPr>
              <w:spacing w:line="240" w:lineRule="auto"/>
              <w:jc w:val="center"/>
            </w:pPr>
            <w:r w:rsidRPr="00B4742D">
              <w:t>4,9</w:t>
            </w:r>
          </w:p>
        </w:tc>
        <w:tc>
          <w:tcPr>
            <w:tcW w:w="849" w:type="dxa"/>
            <w:shd w:val="clear" w:color="auto" w:fill="auto"/>
            <w:noWrap/>
            <w:vAlign w:val="bottom"/>
            <w:hideMark/>
          </w:tcPr>
          <w:p w:rsidR="00641867" w:rsidRPr="00B4742D" w:rsidRDefault="00641867" w:rsidP="00CE6179">
            <w:pPr>
              <w:spacing w:line="240" w:lineRule="auto"/>
              <w:jc w:val="center"/>
            </w:pPr>
            <w:r w:rsidRPr="00B4742D">
              <w:t>52</w:t>
            </w:r>
          </w:p>
        </w:tc>
        <w:tc>
          <w:tcPr>
            <w:tcW w:w="781" w:type="dxa"/>
            <w:shd w:val="clear" w:color="auto" w:fill="auto"/>
            <w:noWrap/>
            <w:vAlign w:val="bottom"/>
            <w:hideMark/>
          </w:tcPr>
          <w:p w:rsidR="00641867" w:rsidRPr="00B4742D" w:rsidRDefault="00641867" w:rsidP="00CE6179">
            <w:pPr>
              <w:spacing w:line="240" w:lineRule="auto"/>
              <w:jc w:val="center"/>
            </w:pPr>
            <w:r w:rsidRPr="00B4742D">
              <w:t>24,2</w:t>
            </w:r>
          </w:p>
        </w:tc>
        <w:tc>
          <w:tcPr>
            <w:tcW w:w="1099" w:type="dxa"/>
            <w:shd w:val="clear" w:color="auto" w:fill="auto"/>
            <w:noWrap/>
            <w:vAlign w:val="bottom"/>
            <w:hideMark/>
          </w:tcPr>
          <w:p w:rsidR="00641867" w:rsidRPr="00B4742D" w:rsidRDefault="00641867" w:rsidP="00CE6179">
            <w:pPr>
              <w:spacing w:line="240" w:lineRule="auto"/>
              <w:jc w:val="center"/>
            </w:pPr>
            <w:r w:rsidRPr="00B4742D">
              <w:t>31,5</w:t>
            </w:r>
          </w:p>
        </w:tc>
        <w:tc>
          <w:tcPr>
            <w:tcW w:w="986" w:type="dxa"/>
            <w:shd w:val="clear" w:color="auto" w:fill="auto"/>
            <w:noWrap/>
            <w:vAlign w:val="bottom"/>
            <w:hideMark/>
          </w:tcPr>
          <w:p w:rsidR="00641867" w:rsidRPr="00B4742D" w:rsidRDefault="00641867" w:rsidP="00CE6179">
            <w:pPr>
              <w:spacing w:line="240" w:lineRule="auto"/>
              <w:jc w:val="center"/>
            </w:pPr>
            <w:r w:rsidRPr="00B4742D">
              <w:t>36,2</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2010</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-2,3</w:t>
            </w:r>
          </w:p>
        </w:tc>
        <w:tc>
          <w:tcPr>
            <w:tcW w:w="712" w:type="dxa"/>
            <w:shd w:val="clear" w:color="auto" w:fill="auto"/>
            <w:noWrap/>
            <w:vAlign w:val="bottom"/>
            <w:hideMark/>
          </w:tcPr>
          <w:p w:rsidR="00641867" w:rsidRPr="00B4742D" w:rsidRDefault="00641867" w:rsidP="00CE6179">
            <w:pPr>
              <w:spacing w:line="240" w:lineRule="auto"/>
              <w:jc w:val="center"/>
            </w:pPr>
            <w:r w:rsidRPr="00B4742D">
              <w:t>2,1</w:t>
            </w:r>
          </w:p>
        </w:tc>
        <w:tc>
          <w:tcPr>
            <w:tcW w:w="849" w:type="dxa"/>
            <w:shd w:val="clear" w:color="auto" w:fill="auto"/>
            <w:noWrap/>
            <w:vAlign w:val="bottom"/>
            <w:hideMark/>
          </w:tcPr>
          <w:p w:rsidR="00641867" w:rsidRPr="00B4742D" w:rsidRDefault="00641867" w:rsidP="00CE6179">
            <w:pPr>
              <w:spacing w:line="240" w:lineRule="auto"/>
              <w:jc w:val="center"/>
            </w:pPr>
            <w:r w:rsidRPr="00B4742D">
              <w:t>54</w:t>
            </w:r>
          </w:p>
        </w:tc>
        <w:tc>
          <w:tcPr>
            <w:tcW w:w="781" w:type="dxa"/>
            <w:shd w:val="clear" w:color="auto" w:fill="auto"/>
            <w:noWrap/>
            <w:vAlign w:val="bottom"/>
            <w:hideMark/>
          </w:tcPr>
          <w:p w:rsidR="00641867" w:rsidRPr="00B4742D" w:rsidRDefault="00641867" w:rsidP="00CE6179">
            <w:pPr>
              <w:spacing w:line="240" w:lineRule="auto"/>
              <w:jc w:val="center"/>
            </w:pPr>
            <w:r w:rsidRPr="00B4742D">
              <w:t>71,7</w:t>
            </w:r>
          </w:p>
        </w:tc>
        <w:tc>
          <w:tcPr>
            <w:tcW w:w="849" w:type="dxa"/>
            <w:shd w:val="clear" w:color="auto" w:fill="auto"/>
            <w:noWrap/>
            <w:vAlign w:val="bottom"/>
            <w:hideMark/>
          </w:tcPr>
          <w:p w:rsidR="00641867" w:rsidRPr="00B4742D" w:rsidRDefault="00641867" w:rsidP="00CE6179">
            <w:pPr>
              <w:spacing w:line="240" w:lineRule="auto"/>
              <w:jc w:val="center"/>
            </w:pPr>
            <w:r w:rsidRPr="00B4742D">
              <w:t>12,1</w:t>
            </w:r>
          </w:p>
        </w:tc>
        <w:tc>
          <w:tcPr>
            <w:tcW w:w="781" w:type="dxa"/>
            <w:shd w:val="clear" w:color="auto" w:fill="auto"/>
            <w:noWrap/>
            <w:vAlign w:val="bottom"/>
            <w:hideMark/>
          </w:tcPr>
          <w:p w:rsidR="00641867" w:rsidRPr="00B4742D" w:rsidRDefault="00641867" w:rsidP="00CE6179">
            <w:pPr>
              <w:spacing w:line="240" w:lineRule="auto"/>
              <w:jc w:val="center"/>
            </w:pPr>
            <w:r w:rsidRPr="00B4742D">
              <w:t>4,5</w:t>
            </w:r>
          </w:p>
        </w:tc>
        <w:tc>
          <w:tcPr>
            <w:tcW w:w="849" w:type="dxa"/>
            <w:shd w:val="clear" w:color="auto" w:fill="auto"/>
            <w:noWrap/>
            <w:vAlign w:val="bottom"/>
            <w:hideMark/>
          </w:tcPr>
          <w:p w:rsidR="00641867" w:rsidRPr="00B4742D" w:rsidRDefault="00641867" w:rsidP="00CE6179">
            <w:pPr>
              <w:spacing w:line="240" w:lineRule="auto"/>
              <w:jc w:val="center"/>
            </w:pPr>
            <w:r w:rsidRPr="00B4742D">
              <w:t>58,8</w:t>
            </w:r>
          </w:p>
        </w:tc>
        <w:tc>
          <w:tcPr>
            <w:tcW w:w="781" w:type="dxa"/>
            <w:shd w:val="clear" w:color="auto" w:fill="auto"/>
            <w:noWrap/>
            <w:vAlign w:val="bottom"/>
            <w:hideMark/>
          </w:tcPr>
          <w:p w:rsidR="00641867" w:rsidRPr="00B4742D" w:rsidRDefault="00641867" w:rsidP="00CE6179">
            <w:pPr>
              <w:spacing w:line="240" w:lineRule="auto"/>
              <w:jc w:val="center"/>
            </w:pPr>
            <w:r w:rsidRPr="00B4742D">
              <w:t>26,7</w:t>
            </w:r>
          </w:p>
        </w:tc>
        <w:tc>
          <w:tcPr>
            <w:tcW w:w="1099" w:type="dxa"/>
            <w:shd w:val="clear" w:color="auto" w:fill="auto"/>
            <w:noWrap/>
            <w:vAlign w:val="bottom"/>
            <w:hideMark/>
          </w:tcPr>
          <w:p w:rsidR="00641867" w:rsidRPr="00B4742D" w:rsidRDefault="00641867" w:rsidP="00CE6179">
            <w:pPr>
              <w:spacing w:line="240" w:lineRule="auto"/>
              <w:jc w:val="center"/>
            </w:pPr>
            <w:r w:rsidRPr="00B4742D">
              <w:t>31,5</w:t>
            </w:r>
          </w:p>
        </w:tc>
        <w:tc>
          <w:tcPr>
            <w:tcW w:w="986" w:type="dxa"/>
            <w:shd w:val="clear" w:color="auto" w:fill="auto"/>
            <w:noWrap/>
            <w:vAlign w:val="bottom"/>
            <w:hideMark/>
          </w:tcPr>
          <w:p w:rsidR="00641867" w:rsidRPr="00B4742D" w:rsidRDefault="00641867" w:rsidP="00CE6179">
            <w:pPr>
              <w:spacing w:line="240" w:lineRule="auto"/>
              <w:jc w:val="center"/>
            </w:pPr>
            <w:r w:rsidRPr="00B4742D">
              <w:t>36,4</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2011</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0</w:t>
            </w:r>
          </w:p>
        </w:tc>
        <w:tc>
          <w:tcPr>
            <w:tcW w:w="712" w:type="dxa"/>
            <w:shd w:val="clear" w:color="auto" w:fill="auto"/>
            <w:noWrap/>
            <w:vAlign w:val="bottom"/>
            <w:hideMark/>
          </w:tcPr>
          <w:p w:rsidR="00641867" w:rsidRPr="00B4742D" w:rsidRDefault="00641867" w:rsidP="00CE6179">
            <w:pPr>
              <w:spacing w:line="240" w:lineRule="auto"/>
              <w:jc w:val="center"/>
            </w:pPr>
            <w:r w:rsidRPr="00B4742D">
              <w:t>2,7</w:t>
            </w:r>
          </w:p>
        </w:tc>
        <w:tc>
          <w:tcPr>
            <w:tcW w:w="849" w:type="dxa"/>
            <w:shd w:val="clear" w:color="auto" w:fill="auto"/>
            <w:noWrap/>
            <w:vAlign w:val="bottom"/>
            <w:hideMark/>
          </w:tcPr>
          <w:p w:rsidR="00641867" w:rsidRPr="00B4742D" w:rsidRDefault="00641867" w:rsidP="00CE6179">
            <w:pPr>
              <w:spacing w:line="240" w:lineRule="auto"/>
              <w:jc w:val="center"/>
            </w:pPr>
            <w:r w:rsidRPr="00B4742D">
              <w:t>52,4</w:t>
            </w:r>
          </w:p>
        </w:tc>
        <w:tc>
          <w:tcPr>
            <w:tcW w:w="781" w:type="dxa"/>
            <w:shd w:val="clear" w:color="auto" w:fill="auto"/>
            <w:noWrap/>
            <w:vAlign w:val="bottom"/>
            <w:hideMark/>
          </w:tcPr>
          <w:p w:rsidR="00641867" w:rsidRPr="00B4742D" w:rsidRDefault="00641867" w:rsidP="00CE6179">
            <w:pPr>
              <w:spacing w:line="240" w:lineRule="auto"/>
              <w:jc w:val="center"/>
            </w:pPr>
            <w:r w:rsidRPr="00B4742D">
              <w:t>72,1</w:t>
            </w:r>
          </w:p>
        </w:tc>
        <w:tc>
          <w:tcPr>
            <w:tcW w:w="849" w:type="dxa"/>
            <w:shd w:val="clear" w:color="auto" w:fill="auto"/>
            <w:noWrap/>
            <w:vAlign w:val="bottom"/>
            <w:hideMark/>
          </w:tcPr>
          <w:p w:rsidR="00641867" w:rsidRPr="00B4742D" w:rsidRDefault="00641867" w:rsidP="00CE6179">
            <w:pPr>
              <w:spacing w:line="240" w:lineRule="auto"/>
              <w:jc w:val="center"/>
            </w:pPr>
            <w:r w:rsidRPr="00B4742D">
              <w:t>13,8</w:t>
            </w:r>
          </w:p>
        </w:tc>
        <w:tc>
          <w:tcPr>
            <w:tcW w:w="781" w:type="dxa"/>
            <w:shd w:val="clear" w:color="auto" w:fill="auto"/>
            <w:noWrap/>
            <w:vAlign w:val="bottom"/>
            <w:hideMark/>
          </w:tcPr>
          <w:p w:rsidR="00641867" w:rsidRPr="00B4742D" w:rsidRDefault="00641867" w:rsidP="00CE6179">
            <w:pPr>
              <w:spacing w:line="240" w:lineRule="auto"/>
              <w:jc w:val="center"/>
            </w:pPr>
            <w:r w:rsidRPr="00B4742D">
              <w:t>4,2</w:t>
            </w:r>
          </w:p>
        </w:tc>
        <w:tc>
          <w:tcPr>
            <w:tcW w:w="849" w:type="dxa"/>
            <w:shd w:val="clear" w:color="auto" w:fill="auto"/>
            <w:noWrap/>
            <w:vAlign w:val="bottom"/>
            <w:hideMark/>
          </w:tcPr>
          <w:p w:rsidR="00641867" w:rsidRPr="00B4742D" w:rsidRDefault="00641867" w:rsidP="00CE6179">
            <w:pPr>
              <w:spacing w:line="240" w:lineRule="auto"/>
              <w:jc w:val="center"/>
            </w:pPr>
            <w:r w:rsidRPr="00B4742D">
              <w:t>63,5</w:t>
            </w:r>
          </w:p>
        </w:tc>
        <w:tc>
          <w:tcPr>
            <w:tcW w:w="781" w:type="dxa"/>
            <w:shd w:val="clear" w:color="auto" w:fill="auto"/>
            <w:noWrap/>
            <w:vAlign w:val="bottom"/>
            <w:hideMark/>
          </w:tcPr>
          <w:p w:rsidR="00641867" w:rsidRPr="00B4742D" w:rsidRDefault="00641867" w:rsidP="00CE6179">
            <w:pPr>
              <w:spacing w:line="240" w:lineRule="auto"/>
              <w:jc w:val="center"/>
            </w:pPr>
            <w:r w:rsidRPr="00B4742D">
              <w:t>26,6</w:t>
            </w:r>
          </w:p>
        </w:tc>
        <w:tc>
          <w:tcPr>
            <w:tcW w:w="1099" w:type="dxa"/>
            <w:shd w:val="clear" w:color="auto" w:fill="auto"/>
            <w:noWrap/>
            <w:vAlign w:val="bottom"/>
            <w:hideMark/>
          </w:tcPr>
          <w:p w:rsidR="00641867" w:rsidRPr="00B4742D" w:rsidRDefault="00641867" w:rsidP="00CE6179">
            <w:pPr>
              <w:spacing w:line="240" w:lineRule="auto"/>
              <w:jc w:val="center"/>
            </w:pPr>
            <w:r w:rsidRPr="00B4742D">
              <w:t>31,3</w:t>
            </w:r>
          </w:p>
        </w:tc>
        <w:tc>
          <w:tcPr>
            <w:tcW w:w="986" w:type="dxa"/>
            <w:shd w:val="clear" w:color="auto" w:fill="auto"/>
            <w:noWrap/>
            <w:vAlign w:val="bottom"/>
            <w:hideMark/>
          </w:tcPr>
          <w:p w:rsidR="00641867" w:rsidRPr="00B4742D" w:rsidRDefault="00641867" w:rsidP="00CE6179">
            <w:pPr>
              <w:spacing w:line="240" w:lineRule="auto"/>
              <w:jc w:val="center"/>
            </w:pPr>
            <w:r w:rsidRPr="00B4742D">
              <w:t>36,3</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2012</w:t>
            </w:r>
            <w:r w:rsidR="00291261" w:rsidRPr="00B4742D">
              <w:t>.</w:t>
            </w:r>
          </w:p>
        </w:tc>
        <w:tc>
          <w:tcPr>
            <w:tcW w:w="797" w:type="dxa"/>
            <w:shd w:val="clear" w:color="auto" w:fill="auto"/>
            <w:noWrap/>
            <w:vAlign w:val="bottom"/>
            <w:hideMark/>
          </w:tcPr>
          <w:p w:rsidR="00641867" w:rsidRPr="00B4742D" w:rsidRDefault="00641867" w:rsidP="00CE6179">
            <w:pPr>
              <w:spacing w:line="240" w:lineRule="auto"/>
              <w:jc w:val="center"/>
            </w:pPr>
            <w:r w:rsidRPr="00B4742D">
              <w:t>-2</w:t>
            </w:r>
          </w:p>
        </w:tc>
        <w:tc>
          <w:tcPr>
            <w:tcW w:w="712" w:type="dxa"/>
            <w:shd w:val="clear" w:color="auto" w:fill="auto"/>
            <w:noWrap/>
            <w:vAlign w:val="bottom"/>
            <w:hideMark/>
          </w:tcPr>
          <w:p w:rsidR="00641867" w:rsidRPr="00B4742D" w:rsidRDefault="00641867" w:rsidP="00CE6179">
            <w:pPr>
              <w:spacing w:line="240" w:lineRule="auto"/>
              <w:jc w:val="center"/>
            </w:pPr>
            <w:r w:rsidRPr="00B4742D">
              <w:t>0,8</w:t>
            </w:r>
          </w:p>
        </w:tc>
        <w:tc>
          <w:tcPr>
            <w:tcW w:w="849" w:type="dxa"/>
            <w:shd w:val="clear" w:color="auto" w:fill="auto"/>
            <w:noWrap/>
            <w:vAlign w:val="bottom"/>
            <w:hideMark/>
          </w:tcPr>
          <w:p w:rsidR="00641867" w:rsidRPr="00B4742D" w:rsidRDefault="00641867" w:rsidP="00CE6179">
            <w:pPr>
              <w:spacing w:line="240" w:lineRule="auto"/>
              <w:jc w:val="center"/>
            </w:pPr>
            <w:r w:rsidRPr="00B4742D">
              <w:t>50,7</w:t>
            </w:r>
          </w:p>
        </w:tc>
        <w:tc>
          <w:tcPr>
            <w:tcW w:w="781" w:type="dxa"/>
            <w:shd w:val="clear" w:color="auto" w:fill="auto"/>
            <w:noWrap/>
            <w:vAlign w:val="bottom"/>
            <w:hideMark/>
          </w:tcPr>
          <w:p w:rsidR="00641867" w:rsidRPr="00B4742D" w:rsidRDefault="00641867" w:rsidP="00CE6179">
            <w:pPr>
              <w:spacing w:line="240" w:lineRule="auto"/>
              <w:jc w:val="center"/>
            </w:pPr>
            <w:r w:rsidRPr="00B4742D">
              <w:t>72,5</w:t>
            </w:r>
          </w:p>
        </w:tc>
        <w:tc>
          <w:tcPr>
            <w:tcW w:w="849" w:type="dxa"/>
            <w:shd w:val="clear" w:color="auto" w:fill="auto"/>
            <w:noWrap/>
            <w:vAlign w:val="bottom"/>
            <w:hideMark/>
          </w:tcPr>
          <w:p w:rsidR="00641867" w:rsidRPr="00B4742D" w:rsidRDefault="00641867" w:rsidP="00CE6179">
            <w:pPr>
              <w:spacing w:line="240" w:lineRule="auto"/>
              <w:jc w:val="center"/>
            </w:pPr>
            <w:r w:rsidRPr="00B4742D">
              <w:t>16,3</w:t>
            </w:r>
          </w:p>
        </w:tc>
        <w:tc>
          <w:tcPr>
            <w:tcW w:w="781" w:type="dxa"/>
            <w:shd w:val="clear" w:color="auto" w:fill="auto"/>
            <w:noWrap/>
            <w:vAlign w:val="bottom"/>
            <w:hideMark/>
          </w:tcPr>
          <w:p w:rsidR="00641867" w:rsidRPr="00B4742D" w:rsidRDefault="00641867" w:rsidP="00CE6179">
            <w:pPr>
              <w:spacing w:line="240" w:lineRule="auto"/>
              <w:jc w:val="center"/>
            </w:pPr>
            <w:r w:rsidRPr="00B4742D">
              <w:t>4,4</w:t>
            </w:r>
          </w:p>
        </w:tc>
        <w:tc>
          <w:tcPr>
            <w:tcW w:w="849" w:type="dxa"/>
            <w:shd w:val="clear" w:color="auto" w:fill="auto"/>
            <w:noWrap/>
            <w:vAlign w:val="bottom"/>
            <w:hideMark/>
          </w:tcPr>
          <w:p w:rsidR="00641867" w:rsidRPr="00B4742D" w:rsidRDefault="00641867" w:rsidP="00CE6179">
            <w:pPr>
              <w:spacing w:line="240" w:lineRule="auto"/>
              <w:jc w:val="center"/>
            </w:pPr>
            <w:r w:rsidRPr="00B4742D">
              <w:t>63,7</w:t>
            </w:r>
          </w:p>
        </w:tc>
        <w:tc>
          <w:tcPr>
            <w:tcW w:w="781" w:type="dxa"/>
            <w:shd w:val="clear" w:color="auto" w:fill="auto"/>
            <w:noWrap/>
            <w:vAlign w:val="bottom"/>
            <w:hideMark/>
          </w:tcPr>
          <w:p w:rsidR="00641867" w:rsidRPr="00B4742D" w:rsidRDefault="00641867" w:rsidP="00CE6179">
            <w:pPr>
              <w:spacing w:line="240" w:lineRule="auto"/>
              <w:jc w:val="center"/>
            </w:pPr>
            <w:r w:rsidRPr="00B4742D">
              <w:t>24,2</w:t>
            </w:r>
          </w:p>
        </w:tc>
        <w:tc>
          <w:tcPr>
            <w:tcW w:w="1099" w:type="dxa"/>
            <w:shd w:val="clear" w:color="auto" w:fill="auto"/>
            <w:noWrap/>
            <w:vAlign w:val="bottom"/>
            <w:hideMark/>
          </w:tcPr>
          <w:p w:rsidR="00641867" w:rsidRPr="00B4742D" w:rsidRDefault="00641867" w:rsidP="00CE6179">
            <w:pPr>
              <w:spacing w:line="240" w:lineRule="auto"/>
              <w:jc w:val="center"/>
            </w:pPr>
            <w:r w:rsidRPr="00B4742D">
              <w:t>31,1</w:t>
            </w:r>
          </w:p>
        </w:tc>
        <w:tc>
          <w:tcPr>
            <w:tcW w:w="986" w:type="dxa"/>
            <w:shd w:val="clear" w:color="auto" w:fill="auto"/>
            <w:noWrap/>
            <w:vAlign w:val="bottom"/>
            <w:hideMark/>
          </w:tcPr>
          <w:p w:rsidR="00641867" w:rsidRPr="00B4742D" w:rsidRDefault="00641867" w:rsidP="00CE6179">
            <w:pPr>
              <w:spacing w:line="240" w:lineRule="auto"/>
              <w:jc w:val="center"/>
            </w:pPr>
            <w:r w:rsidRPr="00B4742D">
              <w:t>36,6</w:t>
            </w:r>
          </w:p>
        </w:tc>
      </w:tr>
      <w:tr w:rsidR="00641867" w:rsidRPr="00B4742D" w:rsidTr="00725AF6">
        <w:trPr>
          <w:trHeight w:val="300"/>
        </w:trPr>
        <w:tc>
          <w:tcPr>
            <w:tcW w:w="1185" w:type="dxa"/>
            <w:shd w:val="clear" w:color="auto" w:fill="auto"/>
            <w:noWrap/>
            <w:vAlign w:val="bottom"/>
            <w:hideMark/>
          </w:tcPr>
          <w:p w:rsidR="00641867" w:rsidRPr="00B4742D" w:rsidRDefault="00641867" w:rsidP="00CE6179">
            <w:pPr>
              <w:tabs>
                <w:tab w:val="clear" w:pos="0"/>
              </w:tabs>
              <w:spacing w:line="240" w:lineRule="auto"/>
              <w:ind w:left="-93"/>
              <w:jc w:val="center"/>
            </w:pPr>
            <w:r w:rsidRPr="00B4742D">
              <w:t>PROSJEK</w:t>
            </w:r>
          </w:p>
        </w:tc>
        <w:tc>
          <w:tcPr>
            <w:tcW w:w="797" w:type="dxa"/>
            <w:shd w:val="clear" w:color="auto" w:fill="auto"/>
            <w:noWrap/>
            <w:vAlign w:val="bottom"/>
            <w:hideMark/>
          </w:tcPr>
          <w:p w:rsidR="00641867" w:rsidRPr="00B4742D" w:rsidRDefault="00641867" w:rsidP="00CE6179">
            <w:pPr>
              <w:spacing w:line="240" w:lineRule="auto"/>
              <w:jc w:val="center"/>
            </w:pPr>
            <w:r w:rsidRPr="00B4742D">
              <w:t>1,47</w:t>
            </w:r>
          </w:p>
        </w:tc>
        <w:tc>
          <w:tcPr>
            <w:tcW w:w="712" w:type="dxa"/>
            <w:shd w:val="clear" w:color="auto" w:fill="auto"/>
            <w:noWrap/>
            <w:vAlign w:val="bottom"/>
            <w:hideMark/>
          </w:tcPr>
          <w:p w:rsidR="00641867" w:rsidRPr="00B4742D" w:rsidRDefault="00641867" w:rsidP="00CE6179">
            <w:pPr>
              <w:spacing w:line="240" w:lineRule="auto"/>
              <w:jc w:val="center"/>
            </w:pPr>
            <w:r w:rsidRPr="00B4742D">
              <w:t>1,65</w:t>
            </w:r>
          </w:p>
        </w:tc>
        <w:tc>
          <w:tcPr>
            <w:tcW w:w="849" w:type="dxa"/>
            <w:shd w:val="clear" w:color="auto" w:fill="auto"/>
            <w:noWrap/>
            <w:vAlign w:val="bottom"/>
            <w:hideMark/>
          </w:tcPr>
          <w:p w:rsidR="00641867" w:rsidRPr="00B4742D" w:rsidRDefault="00641867" w:rsidP="00CE6179">
            <w:pPr>
              <w:spacing w:line="240" w:lineRule="auto"/>
              <w:jc w:val="center"/>
            </w:pPr>
            <w:r w:rsidRPr="00B4742D">
              <w:t>54,73</w:t>
            </w:r>
          </w:p>
        </w:tc>
        <w:tc>
          <w:tcPr>
            <w:tcW w:w="781" w:type="dxa"/>
            <w:shd w:val="clear" w:color="auto" w:fill="auto"/>
            <w:noWrap/>
            <w:vAlign w:val="bottom"/>
            <w:hideMark/>
          </w:tcPr>
          <w:p w:rsidR="00641867" w:rsidRPr="00B4742D" w:rsidRDefault="00641867" w:rsidP="00CE6179">
            <w:pPr>
              <w:spacing w:line="240" w:lineRule="auto"/>
              <w:jc w:val="center"/>
            </w:pPr>
            <w:r w:rsidRPr="00B4742D">
              <w:t>70,69</w:t>
            </w:r>
          </w:p>
        </w:tc>
        <w:tc>
          <w:tcPr>
            <w:tcW w:w="849" w:type="dxa"/>
            <w:shd w:val="clear" w:color="auto" w:fill="auto"/>
            <w:noWrap/>
            <w:vAlign w:val="bottom"/>
            <w:hideMark/>
          </w:tcPr>
          <w:p w:rsidR="00641867" w:rsidRPr="00B4742D" w:rsidRDefault="00641867" w:rsidP="00CE6179">
            <w:pPr>
              <w:spacing w:line="240" w:lineRule="auto"/>
              <w:jc w:val="center"/>
            </w:pPr>
            <w:r w:rsidRPr="00B4742D">
              <w:t>12,28</w:t>
            </w:r>
          </w:p>
        </w:tc>
        <w:tc>
          <w:tcPr>
            <w:tcW w:w="781" w:type="dxa"/>
            <w:shd w:val="clear" w:color="auto" w:fill="auto"/>
            <w:noWrap/>
            <w:vAlign w:val="bottom"/>
            <w:hideMark/>
          </w:tcPr>
          <w:p w:rsidR="00641867" w:rsidRPr="00B4742D" w:rsidRDefault="00641867" w:rsidP="00CE6179">
            <w:pPr>
              <w:spacing w:line="240" w:lineRule="auto"/>
              <w:jc w:val="center"/>
            </w:pPr>
            <w:r w:rsidRPr="00B4742D">
              <w:t>4,65</w:t>
            </w:r>
          </w:p>
        </w:tc>
        <w:tc>
          <w:tcPr>
            <w:tcW w:w="849" w:type="dxa"/>
            <w:shd w:val="clear" w:color="auto" w:fill="auto"/>
            <w:noWrap/>
            <w:vAlign w:val="bottom"/>
            <w:hideMark/>
          </w:tcPr>
          <w:p w:rsidR="00641867" w:rsidRPr="00B4742D" w:rsidRDefault="00641867" w:rsidP="00CE6179">
            <w:pPr>
              <w:spacing w:line="240" w:lineRule="auto"/>
              <w:jc w:val="center"/>
            </w:pPr>
            <w:r w:rsidRPr="00B4742D">
              <w:t>59,48</w:t>
            </w:r>
          </w:p>
        </w:tc>
        <w:tc>
          <w:tcPr>
            <w:tcW w:w="781" w:type="dxa"/>
            <w:shd w:val="clear" w:color="auto" w:fill="auto"/>
            <w:noWrap/>
            <w:vAlign w:val="bottom"/>
            <w:hideMark/>
          </w:tcPr>
          <w:p w:rsidR="00641867" w:rsidRPr="00B4742D" w:rsidRDefault="00641867" w:rsidP="00CE6179">
            <w:pPr>
              <w:spacing w:line="240" w:lineRule="auto"/>
              <w:jc w:val="center"/>
            </w:pPr>
            <w:r w:rsidRPr="00B4742D">
              <w:t>25,69</w:t>
            </w:r>
          </w:p>
        </w:tc>
        <w:tc>
          <w:tcPr>
            <w:tcW w:w="1099" w:type="dxa"/>
            <w:shd w:val="clear" w:color="auto" w:fill="auto"/>
            <w:noWrap/>
            <w:vAlign w:val="bottom"/>
            <w:hideMark/>
          </w:tcPr>
          <w:p w:rsidR="00641867" w:rsidRPr="00B4742D" w:rsidRDefault="00641867" w:rsidP="00CE6179">
            <w:pPr>
              <w:spacing w:line="240" w:lineRule="auto"/>
              <w:jc w:val="center"/>
            </w:pPr>
            <w:r w:rsidRPr="00B4742D">
              <w:t>31,19</w:t>
            </w:r>
          </w:p>
        </w:tc>
        <w:tc>
          <w:tcPr>
            <w:tcW w:w="986" w:type="dxa"/>
            <w:shd w:val="clear" w:color="auto" w:fill="auto"/>
            <w:noWrap/>
            <w:vAlign w:val="bottom"/>
            <w:hideMark/>
          </w:tcPr>
          <w:p w:rsidR="00641867" w:rsidRPr="00B4742D" w:rsidRDefault="00641867" w:rsidP="00CE6179">
            <w:pPr>
              <w:spacing w:line="240" w:lineRule="auto"/>
              <w:jc w:val="center"/>
            </w:pPr>
            <w:r w:rsidRPr="00B4742D">
              <w:t>35,33</w:t>
            </w:r>
          </w:p>
        </w:tc>
      </w:tr>
    </w:tbl>
    <w:p w:rsidR="00641867" w:rsidRPr="00B4742D" w:rsidRDefault="00641867" w:rsidP="00641867">
      <w:pPr>
        <w:spacing w:line="240" w:lineRule="auto"/>
      </w:pPr>
      <w:r w:rsidRPr="00B4742D">
        <w:t>Izvor: Eurostat</w:t>
      </w:r>
    </w:p>
    <w:p w:rsidR="00641867" w:rsidRPr="00B4742D" w:rsidRDefault="00641867" w:rsidP="00641867">
      <w:pPr>
        <w:spacing w:line="240" w:lineRule="auto"/>
      </w:pPr>
    </w:p>
    <w:p w:rsidR="00641867" w:rsidRPr="002017C6" w:rsidRDefault="00641867" w:rsidP="00641867">
      <w:pPr>
        <w:spacing w:line="240" w:lineRule="auto"/>
      </w:pPr>
      <w:r w:rsidRPr="00B4742D">
        <w:t>S obzirom da je Republika Austrija u promatranom razdoblju imala i veću prosječnu stopu gospodarskog rasta koja se primjenjuje na veću osnovicu, jasno je da je i porezna presija u</w:t>
      </w:r>
      <w:r w:rsidR="009F2654" w:rsidRPr="00B4742D">
        <w:t xml:space="preserve"> Republici</w:t>
      </w:r>
      <w:r w:rsidRPr="00B4742D">
        <w:t xml:space="preserve"> Austriji izaziva znatno manje opterećenje. Stoga je za analizu sustava otpremnina u kontekstu austrijskog modela važno imati na umu opterećenje troškova radne snage kao j</w:t>
      </w:r>
      <w:r w:rsidR="00291261" w:rsidRPr="00B4742D">
        <w:t>e</w:t>
      </w:r>
      <w:r w:rsidRPr="00B4742D">
        <w:t>dnog od važnih temelja konkurentnosti. Tablica 7</w:t>
      </w:r>
      <w:r w:rsidR="00291261" w:rsidRPr="00B4742D">
        <w:t>.</w:t>
      </w:r>
      <w:r w:rsidRPr="00B4742D">
        <w:t xml:space="preserve"> uspoređuje stope doprinosa za socijalno osiguranje </w:t>
      </w:r>
      <w:r w:rsidR="00291261" w:rsidRPr="00B4742D">
        <w:t xml:space="preserve">država članica </w:t>
      </w:r>
      <w:r w:rsidR="00291261" w:rsidRPr="00FE70C5">
        <w:rPr>
          <w:bCs w:val="0"/>
          <w:i/>
        </w:rPr>
        <w:t>Organisation for Economic Co-operation and Development</w:t>
      </w:r>
      <w:r w:rsidR="00291261" w:rsidRPr="00B4742D">
        <w:t xml:space="preserve"> i</w:t>
      </w:r>
      <w:r w:rsidRPr="00B4742D">
        <w:t xml:space="preserve"> </w:t>
      </w:r>
      <w:r w:rsidR="009F2654" w:rsidRPr="00B4742D">
        <w:t xml:space="preserve">Republike </w:t>
      </w:r>
      <w:r w:rsidRPr="00B4742D">
        <w:t>Hrvatske,</w:t>
      </w:r>
    </w:p>
    <w:p w:rsidR="00C84BF9" w:rsidRPr="009336BF" w:rsidRDefault="00C84BF9">
      <w:pPr>
        <w:tabs>
          <w:tab w:val="clear" w:pos="0"/>
          <w:tab w:val="clear" w:pos="9360"/>
        </w:tabs>
        <w:spacing w:line="240" w:lineRule="auto"/>
        <w:jc w:val="left"/>
      </w:pPr>
      <w:r w:rsidRPr="009336BF">
        <w:br w:type="page"/>
      </w:r>
    </w:p>
    <w:p w:rsidR="00641867" w:rsidRPr="00FE70C5" w:rsidRDefault="00641867" w:rsidP="009F2654">
      <w:pPr>
        <w:pStyle w:val="Footer"/>
        <w:tabs>
          <w:tab w:val="clear" w:pos="4536"/>
          <w:tab w:val="clear" w:pos="9072"/>
        </w:tabs>
        <w:spacing w:line="240" w:lineRule="auto"/>
      </w:pPr>
      <w:r w:rsidRPr="009336BF">
        <w:lastRenderedPageBreak/>
        <w:t>Tablica 7</w:t>
      </w:r>
      <w:r w:rsidR="0076762D" w:rsidRPr="009336BF">
        <w:t>.</w:t>
      </w:r>
      <w:r w:rsidRPr="00C7332E">
        <w:t>: Stope doprinosa za socijalna osiguranja</w:t>
      </w:r>
      <w:r w:rsidR="00291261" w:rsidRPr="00C7332E">
        <w:t xml:space="preserve"> država članica </w:t>
      </w:r>
      <w:r w:rsidR="00291261" w:rsidRPr="00FE70C5">
        <w:rPr>
          <w:bCs w:val="0"/>
          <w:i/>
        </w:rPr>
        <w:t>Organisation for Economic Co-operation and Development</w:t>
      </w:r>
      <w:r w:rsidRPr="00B4742D">
        <w:t xml:space="preserve"> i </w:t>
      </w:r>
      <w:r w:rsidR="009F2654" w:rsidRPr="00B4742D">
        <w:t xml:space="preserve">Republici </w:t>
      </w:r>
      <w:r w:rsidRPr="00B4742D">
        <w:t xml:space="preserve">Hrvatskoj, izražene kao </w:t>
      </w:r>
      <w:r w:rsidR="00291261" w:rsidRPr="00B4742D">
        <w:t>postotak</w:t>
      </w:r>
      <w:r w:rsidRPr="002017C6">
        <w:t xml:space="preserve"> bruto plaće</w:t>
      </w:r>
    </w:p>
    <w:tbl>
      <w:tblPr>
        <w:tblW w:w="9517" w:type="dxa"/>
        <w:jc w:val="center"/>
        <w:tblInd w:w="-1198" w:type="dxa"/>
        <w:tblLook w:val="00A0" w:firstRow="1" w:lastRow="0" w:firstColumn="1" w:lastColumn="0" w:noHBand="0" w:noVBand="0"/>
      </w:tblPr>
      <w:tblGrid>
        <w:gridCol w:w="3407"/>
        <w:gridCol w:w="2319"/>
        <w:gridCol w:w="2079"/>
        <w:gridCol w:w="1712"/>
      </w:tblGrid>
      <w:tr w:rsidR="00291261" w:rsidRPr="00B4742D" w:rsidTr="00725AF6">
        <w:trPr>
          <w:trHeight w:val="278"/>
          <w:jc w:val="center"/>
        </w:trPr>
        <w:tc>
          <w:tcPr>
            <w:tcW w:w="3407" w:type="dxa"/>
            <w:vMerge w:val="restart"/>
            <w:tcBorders>
              <w:top w:val="single" w:sz="8" w:space="0" w:color="auto"/>
              <w:left w:val="single" w:sz="8" w:space="0" w:color="auto"/>
              <w:bottom w:val="single" w:sz="8" w:space="0" w:color="000000"/>
              <w:right w:val="single" w:sz="4" w:space="0" w:color="auto"/>
            </w:tcBorders>
            <w:noWrap/>
            <w:vAlign w:val="center"/>
          </w:tcPr>
          <w:p w:rsidR="00291261" w:rsidRPr="009336BF" w:rsidRDefault="00291261" w:rsidP="00311C21">
            <w:pPr>
              <w:spacing w:line="240" w:lineRule="auto"/>
              <w:jc w:val="center"/>
              <w:rPr>
                <w:bCs w:val="0"/>
              </w:rPr>
            </w:pPr>
            <w:r w:rsidRPr="009336BF">
              <w:rPr>
                <w:bCs w:val="0"/>
              </w:rPr>
              <w:t>Država</w:t>
            </w:r>
          </w:p>
        </w:tc>
        <w:tc>
          <w:tcPr>
            <w:tcW w:w="6110" w:type="dxa"/>
            <w:gridSpan w:val="3"/>
            <w:tcBorders>
              <w:top w:val="single" w:sz="8" w:space="0" w:color="auto"/>
              <w:left w:val="nil"/>
              <w:bottom w:val="single" w:sz="4" w:space="0" w:color="auto"/>
              <w:right w:val="single" w:sz="8" w:space="0" w:color="auto"/>
            </w:tcBorders>
            <w:noWrap/>
            <w:vAlign w:val="center"/>
          </w:tcPr>
          <w:p w:rsidR="00291261" w:rsidRPr="009336BF" w:rsidRDefault="00291261" w:rsidP="00311C21">
            <w:pPr>
              <w:spacing w:line="240" w:lineRule="auto"/>
              <w:jc w:val="center"/>
              <w:rPr>
                <w:bCs w:val="0"/>
              </w:rPr>
            </w:pPr>
            <w:r w:rsidRPr="009336BF">
              <w:rPr>
                <w:bCs w:val="0"/>
              </w:rPr>
              <w:t>Doprinosi za socijalno osiguranje</w:t>
            </w:r>
          </w:p>
        </w:tc>
      </w:tr>
      <w:tr w:rsidR="00641867" w:rsidRPr="00B4742D" w:rsidTr="00725AF6">
        <w:trPr>
          <w:trHeight w:val="293"/>
          <w:jc w:val="center"/>
        </w:trPr>
        <w:tc>
          <w:tcPr>
            <w:tcW w:w="3407" w:type="dxa"/>
            <w:vMerge/>
            <w:tcBorders>
              <w:top w:val="single" w:sz="8" w:space="0" w:color="auto"/>
              <w:left w:val="single" w:sz="8" w:space="0" w:color="auto"/>
              <w:bottom w:val="single" w:sz="8" w:space="0" w:color="000000"/>
              <w:right w:val="single" w:sz="4" w:space="0" w:color="auto"/>
            </w:tcBorders>
            <w:vAlign w:val="center"/>
          </w:tcPr>
          <w:p w:rsidR="00641867" w:rsidRPr="00B4742D" w:rsidRDefault="00641867" w:rsidP="00311C21">
            <w:pPr>
              <w:spacing w:line="240" w:lineRule="auto"/>
              <w:jc w:val="center"/>
              <w:rPr>
                <w:bCs w:val="0"/>
              </w:rPr>
            </w:pPr>
          </w:p>
        </w:tc>
        <w:tc>
          <w:tcPr>
            <w:tcW w:w="2319" w:type="dxa"/>
            <w:tcBorders>
              <w:top w:val="nil"/>
              <w:left w:val="nil"/>
              <w:bottom w:val="single" w:sz="8" w:space="0" w:color="auto"/>
              <w:right w:val="single" w:sz="4" w:space="0" w:color="auto"/>
            </w:tcBorders>
            <w:noWrap/>
            <w:vAlign w:val="center"/>
          </w:tcPr>
          <w:p w:rsidR="00641867" w:rsidRPr="00B4742D" w:rsidRDefault="00291261" w:rsidP="00311C21">
            <w:pPr>
              <w:spacing w:line="240" w:lineRule="auto"/>
              <w:jc w:val="center"/>
              <w:rPr>
                <w:bCs w:val="0"/>
              </w:rPr>
            </w:pPr>
            <w:r w:rsidRPr="00B4742D">
              <w:rPr>
                <w:bCs w:val="0"/>
              </w:rPr>
              <w:t>Radnika</w:t>
            </w:r>
          </w:p>
        </w:tc>
        <w:tc>
          <w:tcPr>
            <w:tcW w:w="2079" w:type="dxa"/>
            <w:tcBorders>
              <w:top w:val="nil"/>
              <w:left w:val="nil"/>
              <w:bottom w:val="single" w:sz="8" w:space="0" w:color="auto"/>
              <w:right w:val="single" w:sz="4" w:space="0" w:color="auto"/>
            </w:tcBorders>
            <w:noWrap/>
            <w:vAlign w:val="center"/>
          </w:tcPr>
          <w:p w:rsidR="00641867" w:rsidRPr="00B4742D" w:rsidRDefault="00291261" w:rsidP="00311C21">
            <w:pPr>
              <w:spacing w:line="240" w:lineRule="auto"/>
              <w:jc w:val="center"/>
              <w:rPr>
                <w:bCs w:val="0"/>
              </w:rPr>
            </w:pPr>
            <w:r w:rsidRPr="00B4742D">
              <w:rPr>
                <w:bCs w:val="0"/>
              </w:rPr>
              <w:t>P</w:t>
            </w:r>
            <w:r w:rsidR="00641867" w:rsidRPr="00B4742D">
              <w:rPr>
                <w:bCs w:val="0"/>
              </w:rPr>
              <w:t>oslodavca</w:t>
            </w:r>
          </w:p>
        </w:tc>
        <w:tc>
          <w:tcPr>
            <w:tcW w:w="1712" w:type="dxa"/>
            <w:tcBorders>
              <w:top w:val="single" w:sz="8" w:space="0" w:color="auto"/>
              <w:left w:val="single" w:sz="4" w:space="0" w:color="auto"/>
              <w:bottom w:val="single" w:sz="8" w:space="0" w:color="000000"/>
              <w:right w:val="single" w:sz="8" w:space="0" w:color="auto"/>
            </w:tcBorders>
            <w:vAlign w:val="center"/>
          </w:tcPr>
          <w:p w:rsidR="00641867" w:rsidRPr="00B4742D" w:rsidRDefault="00291261" w:rsidP="00311C21">
            <w:pPr>
              <w:spacing w:line="240" w:lineRule="auto"/>
              <w:jc w:val="center"/>
              <w:rPr>
                <w:bCs w:val="0"/>
              </w:rPr>
            </w:pPr>
            <w:r w:rsidRPr="00B4742D">
              <w:rPr>
                <w:bCs w:val="0"/>
              </w:rPr>
              <w:t>Ukupno</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Australija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0,0</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5,6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5,6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9F2654" w:rsidP="00311C21">
            <w:pPr>
              <w:spacing w:line="240" w:lineRule="auto"/>
              <w:jc w:val="center"/>
            </w:pPr>
            <w:r w:rsidRPr="00B4742D">
              <w:t xml:space="preserve">Republika </w:t>
            </w:r>
            <w:r w:rsidR="00641867" w:rsidRPr="00B4742D">
              <w:t>Austrija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14,0</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22,6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36,6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Belgija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10,8</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23,2</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34,0</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Kanada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6,6</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10,6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17,2</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Čile</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7,0</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0,0</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7,0</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Češka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8,2</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25,4</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33,4</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Danska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2,7</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0,0</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2,7</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Estonija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2,1</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25,6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27,7</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Finska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6,2</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18,6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24,8</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Francuska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9,5</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30,6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40,1</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Njemačka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17,3</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16,4</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33,7</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Grčka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12,8</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22,2</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35,0</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Mađarska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14,4</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22,2</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36,6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Island</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0,4</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7,2</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7,6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Irska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2,9</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9,7</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12,6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Izrael</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7,3</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4,4</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11,7</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Italija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7,2</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24,3</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31,5</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Japan</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12,0</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12,6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24,6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Koreja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7,4</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9,2</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16,6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Luksemburg</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11,0</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11,0</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22,0</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Meksiko</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1,2</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10,5</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11,7</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Nizozemska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13,9</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9,7</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23,6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Novi Zeland</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0,0</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0,0</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0,0</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Norveška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6,9</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11,6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18,5</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Poljska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15,3</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14,4</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29,7</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Portugal</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8,9</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19,2</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28,1</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Slovačka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10,5</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21,8</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32,3</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Slovenija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19,0</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13,9</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32,9</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Španjolska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4,9</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23,0</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27,9</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Švedska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5,3</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23,9</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29,2</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Švicarska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5,9</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5,9</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11,8</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Turska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12,9</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14,2</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27,1</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Velika Britanija</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8,5</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9,8</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18,3</w:t>
            </w:r>
          </w:p>
        </w:tc>
      </w:tr>
      <w:tr w:rsidR="00641867" w:rsidRPr="00B4742D" w:rsidTr="00725AF6">
        <w:trPr>
          <w:trHeight w:val="293"/>
          <w:jc w:val="center"/>
        </w:trPr>
        <w:tc>
          <w:tcPr>
            <w:tcW w:w="3407" w:type="dxa"/>
            <w:tcBorders>
              <w:top w:val="nil"/>
              <w:left w:val="single" w:sz="8" w:space="0" w:color="auto"/>
              <w:bottom w:val="double" w:sz="6" w:space="0" w:color="auto"/>
              <w:right w:val="single" w:sz="4" w:space="0" w:color="auto"/>
            </w:tcBorders>
            <w:noWrap/>
            <w:vAlign w:val="bottom"/>
          </w:tcPr>
          <w:p w:rsidR="00641867" w:rsidRPr="00B4742D" w:rsidRDefault="00641867" w:rsidP="00311C21">
            <w:pPr>
              <w:spacing w:line="240" w:lineRule="auto"/>
              <w:jc w:val="center"/>
            </w:pPr>
            <w:r w:rsidRPr="00B4742D">
              <w:t>SAD</w:t>
            </w:r>
          </w:p>
        </w:tc>
        <w:tc>
          <w:tcPr>
            <w:tcW w:w="2319" w:type="dxa"/>
            <w:tcBorders>
              <w:top w:val="nil"/>
              <w:left w:val="nil"/>
              <w:bottom w:val="double" w:sz="6" w:space="0" w:color="auto"/>
              <w:right w:val="single" w:sz="4" w:space="0" w:color="auto"/>
            </w:tcBorders>
            <w:noWrap/>
            <w:vAlign w:val="center"/>
          </w:tcPr>
          <w:p w:rsidR="00641867" w:rsidRPr="00B4742D" w:rsidRDefault="00641867" w:rsidP="00311C21">
            <w:pPr>
              <w:spacing w:line="240" w:lineRule="auto"/>
              <w:jc w:val="center"/>
            </w:pPr>
            <w:r w:rsidRPr="00B4742D">
              <w:t>5,1</w:t>
            </w:r>
          </w:p>
        </w:tc>
        <w:tc>
          <w:tcPr>
            <w:tcW w:w="2079" w:type="dxa"/>
            <w:tcBorders>
              <w:top w:val="nil"/>
              <w:left w:val="nil"/>
              <w:bottom w:val="double" w:sz="6" w:space="0" w:color="auto"/>
              <w:right w:val="single" w:sz="4" w:space="0" w:color="auto"/>
            </w:tcBorders>
            <w:noWrap/>
            <w:vAlign w:val="center"/>
          </w:tcPr>
          <w:p w:rsidR="00641867" w:rsidRPr="00B4742D" w:rsidRDefault="00641867" w:rsidP="00311C21">
            <w:pPr>
              <w:spacing w:line="240" w:lineRule="auto"/>
              <w:jc w:val="center"/>
            </w:pPr>
            <w:r w:rsidRPr="00B4742D">
              <w:t>8,9</w:t>
            </w:r>
          </w:p>
        </w:tc>
        <w:tc>
          <w:tcPr>
            <w:tcW w:w="1712" w:type="dxa"/>
            <w:tcBorders>
              <w:top w:val="nil"/>
              <w:left w:val="nil"/>
              <w:bottom w:val="double" w:sz="6" w:space="0" w:color="auto"/>
              <w:right w:val="single" w:sz="8" w:space="0" w:color="auto"/>
            </w:tcBorders>
            <w:noWrap/>
            <w:vAlign w:val="center"/>
          </w:tcPr>
          <w:p w:rsidR="00641867" w:rsidRPr="00B4742D" w:rsidRDefault="00641867" w:rsidP="00311C21">
            <w:pPr>
              <w:spacing w:line="240" w:lineRule="auto"/>
              <w:jc w:val="center"/>
            </w:pPr>
            <w:r w:rsidRPr="00B4742D">
              <w:t>14,0</w:t>
            </w:r>
          </w:p>
        </w:tc>
      </w:tr>
      <w:tr w:rsidR="00641867" w:rsidRPr="00B4742D" w:rsidTr="00725AF6">
        <w:trPr>
          <w:trHeight w:val="293"/>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Ø OECD</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8,2</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14,36</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22,56</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Ø EU 15</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9,06</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17,61</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26,67</w:t>
            </w:r>
          </w:p>
        </w:tc>
      </w:tr>
      <w:tr w:rsidR="00641867" w:rsidRPr="00B4742D" w:rsidTr="00725AF6">
        <w:trPr>
          <w:trHeight w:val="278"/>
          <w:jc w:val="center"/>
        </w:trPr>
        <w:tc>
          <w:tcPr>
            <w:tcW w:w="3407" w:type="dxa"/>
            <w:tcBorders>
              <w:top w:val="nil"/>
              <w:left w:val="single" w:sz="8" w:space="0" w:color="auto"/>
              <w:bottom w:val="single" w:sz="4" w:space="0" w:color="auto"/>
              <w:right w:val="single" w:sz="4" w:space="0" w:color="auto"/>
            </w:tcBorders>
            <w:noWrap/>
            <w:vAlign w:val="bottom"/>
          </w:tcPr>
          <w:p w:rsidR="00641867" w:rsidRPr="00B4742D" w:rsidRDefault="00641867" w:rsidP="00311C21">
            <w:pPr>
              <w:spacing w:line="240" w:lineRule="auto"/>
              <w:jc w:val="center"/>
            </w:pPr>
            <w:r w:rsidRPr="00B4742D">
              <w:t>Ø EU 21</w:t>
            </w:r>
          </w:p>
        </w:tc>
        <w:tc>
          <w:tcPr>
            <w:tcW w:w="231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9,78</w:t>
            </w:r>
          </w:p>
        </w:tc>
        <w:tc>
          <w:tcPr>
            <w:tcW w:w="2079" w:type="dxa"/>
            <w:tcBorders>
              <w:top w:val="nil"/>
              <w:left w:val="nil"/>
              <w:bottom w:val="single" w:sz="4" w:space="0" w:color="auto"/>
              <w:right w:val="single" w:sz="4" w:space="0" w:color="auto"/>
            </w:tcBorders>
            <w:noWrap/>
            <w:vAlign w:val="center"/>
          </w:tcPr>
          <w:p w:rsidR="00641867" w:rsidRPr="00B4742D" w:rsidRDefault="00641867" w:rsidP="00311C21">
            <w:pPr>
              <w:spacing w:line="240" w:lineRule="auto"/>
              <w:jc w:val="center"/>
            </w:pPr>
            <w:r w:rsidRPr="00B4742D">
              <w:t>18,45</w:t>
            </w:r>
          </w:p>
        </w:tc>
        <w:tc>
          <w:tcPr>
            <w:tcW w:w="1712" w:type="dxa"/>
            <w:tcBorders>
              <w:top w:val="nil"/>
              <w:left w:val="nil"/>
              <w:bottom w:val="single" w:sz="4" w:space="0" w:color="auto"/>
              <w:right w:val="single" w:sz="8" w:space="0" w:color="auto"/>
            </w:tcBorders>
            <w:noWrap/>
            <w:vAlign w:val="center"/>
          </w:tcPr>
          <w:p w:rsidR="00641867" w:rsidRPr="00B4742D" w:rsidRDefault="00641867" w:rsidP="00311C21">
            <w:pPr>
              <w:spacing w:line="240" w:lineRule="auto"/>
              <w:jc w:val="center"/>
            </w:pPr>
            <w:r w:rsidRPr="00B4742D">
              <w:t>28,23</w:t>
            </w:r>
          </w:p>
        </w:tc>
      </w:tr>
      <w:tr w:rsidR="00641867" w:rsidRPr="00B4742D" w:rsidTr="00725AF6">
        <w:trPr>
          <w:trHeight w:val="293"/>
          <w:jc w:val="center"/>
        </w:trPr>
        <w:tc>
          <w:tcPr>
            <w:tcW w:w="3407" w:type="dxa"/>
            <w:tcBorders>
              <w:top w:val="nil"/>
              <w:left w:val="single" w:sz="8" w:space="0" w:color="auto"/>
              <w:bottom w:val="single" w:sz="8" w:space="0" w:color="auto"/>
              <w:right w:val="single" w:sz="4" w:space="0" w:color="auto"/>
            </w:tcBorders>
            <w:noWrap/>
            <w:vAlign w:val="bottom"/>
          </w:tcPr>
          <w:p w:rsidR="00641867" w:rsidRPr="00B4742D" w:rsidRDefault="009F2654" w:rsidP="00311C21">
            <w:pPr>
              <w:spacing w:line="240" w:lineRule="auto"/>
              <w:jc w:val="center"/>
            </w:pPr>
            <w:r w:rsidRPr="00B4742D">
              <w:t xml:space="preserve">Republika </w:t>
            </w:r>
            <w:r w:rsidR="00641867" w:rsidRPr="00B4742D">
              <w:t>Hrvatska</w:t>
            </w:r>
          </w:p>
        </w:tc>
        <w:tc>
          <w:tcPr>
            <w:tcW w:w="2319" w:type="dxa"/>
            <w:tcBorders>
              <w:top w:val="nil"/>
              <w:left w:val="nil"/>
              <w:bottom w:val="single" w:sz="8" w:space="0" w:color="auto"/>
              <w:right w:val="single" w:sz="4" w:space="0" w:color="auto"/>
            </w:tcBorders>
            <w:noWrap/>
            <w:vAlign w:val="center"/>
          </w:tcPr>
          <w:p w:rsidR="00641867" w:rsidRPr="00B4742D" w:rsidRDefault="00641867" w:rsidP="00311C21">
            <w:pPr>
              <w:spacing w:line="240" w:lineRule="auto"/>
              <w:jc w:val="center"/>
            </w:pPr>
            <w:r w:rsidRPr="00B4742D">
              <w:t>20,0</w:t>
            </w:r>
          </w:p>
        </w:tc>
        <w:tc>
          <w:tcPr>
            <w:tcW w:w="2079" w:type="dxa"/>
            <w:tcBorders>
              <w:top w:val="nil"/>
              <w:left w:val="nil"/>
              <w:bottom w:val="single" w:sz="8" w:space="0" w:color="auto"/>
              <w:right w:val="single" w:sz="4" w:space="0" w:color="auto"/>
            </w:tcBorders>
            <w:noWrap/>
            <w:vAlign w:val="center"/>
          </w:tcPr>
          <w:p w:rsidR="00641867" w:rsidRPr="00B4742D" w:rsidRDefault="00641867" w:rsidP="00311C21">
            <w:pPr>
              <w:spacing w:line="240" w:lineRule="auto"/>
              <w:jc w:val="center"/>
            </w:pPr>
            <w:r w:rsidRPr="00B4742D">
              <w:t>15,2</w:t>
            </w:r>
          </w:p>
        </w:tc>
        <w:tc>
          <w:tcPr>
            <w:tcW w:w="1712" w:type="dxa"/>
            <w:tcBorders>
              <w:top w:val="nil"/>
              <w:left w:val="nil"/>
              <w:bottom w:val="single" w:sz="8" w:space="0" w:color="auto"/>
              <w:right w:val="single" w:sz="8" w:space="0" w:color="auto"/>
            </w:tcBorders>
            <w:noWrap/>
            <w:vAlign w:val="center"/>
          </w:tcPr>
          <w:p w:rsidR="00641867" w:rsidRPr="00B4742D" w:rsidRDefault="00641867" w:rsidP="00311C21">
            <w:pPr>
              <w:spacing w:line="240" w:lineRule="auto"/>
              <w:jc w:val="center"/>
            </w:pPr>
            <w:r w:rsidRPr="00B4742D">
              <w:t>35,2</w:t>
            </w:r>
          </w:p>
        </w:tc>
      </w:tr>
    </w:tbl>
    <w:p w:rsidR="00641867" w:rsidRPr="00B4742D" w:rsidRDefault="00641867" w:rsidP="00291261">
      <w:pPr>
        <w:pStyle w:val="Footer"/>
        <w:tabs>
          <w:tab w:val="clear" w:pos="4536"/>
          <w:tab w:val="clear" w:pos="9072"/>
        </w:tabs>
        <w:spacing w:before="120" w:line="240" w:lineRule="auto"/>
      </w:pPr>
      <w:r w:rsidRPr="00B4742D">
        <w:t xml:space="preserve">Izvor: </w:t>
      </w:r>
      <w:r w:rsidR="00291261" w:rsidRPr="00FE70C5">
        <w:rPr>
          <w:bCs w:val="0"/>
        </w:rPr>
        <w:t>Organisation for Economic Co-operation and Development</w:t>
      </w:r>
      <w:r w:rsidR="00291261" w:rsidRPr="00B4742D">
        <w:t xml:space="preserve"> </w:t>
      </w:r>
      <w:r w:rsidRPr="00B4742D">
        <w:t>Taxing Wage</w:t>
      </w:r>
      <w:r w:rsidR="00291261" w:rsidRPr="00B4742D">
        <w:t xml:space="preserve">s 2011-2012. Paris: </w:t>
      </w:r>
      <w:r w:rsidR="00291261" w:rsidRPr="00FE70C5">
        <w:rPr>
          <w:bCs w:val="0"/>
        </w:rPr>
        <w:t>Organisation for Economic Co-operation and Development</w:t>
      </w:r>
      <w:r w:rsidRPr="00B4742D">
        <w:t>,</w:t>
      </w:r>
      <w:r w:rsidR="00291261" w:rsidRPr="00B4742D">
        <w:t xml:space="preserve"> 2012.,</w:t>
      </w:r>
      <w:r w:rsidRPr="00B4742D">
        <w:t xml:space="preserve"> str. 16</w:t>
      </w:r>
    </w:p>
    <w:p w:rsidR="00641867" w:rsidRPr="002017C6" w:rsidRDefault="00641867" w:rsidP="00641867">
      <w:pPr>
        <w:spacing w:line="240" w:lineRule="auto"/>
      </w:pPr>
    </w:p>
    <w:p w:rsidR="00641867" w:rsidRPr="00B4742D" w:rsidRDefault="00641867" w:rsidP="00641867">
      <w:pPr>
        <w:spacing w:line="240" w:lineRule="auto"/>
      </w:pPr>
      <w:r w:rsidRPr="009336BF">
        <w:t xml:space="preserve">Može se uočiti </w:t>
      </w:r>
      <w:r w:rsidR="00291261" w:rsidRPr="009336BF">
        <w:t xml:space="preserve">kako </w:t>
      </w:r>
      <w:r w:rsidRPr="00C7332E">
        <w:t xml:space="preserve">su </w:t>
      </w:r>
      <w:r w:rsidR="00291261" w:rsidRPr="00C7332E">
        <w:t>radnici</w:t>
      </w:r>
      <w:r w:rsidRPr="00C7332E">
        <w:t xml:space="preserve"> u </w:t>
      </w:r>
      <w:r w:rsidR="009F2654" w:rsidRPr="00C7332E">
        <w:t xml:space="preserve">Republici </w:t>
      </w:r>
      <w:r w:rsidRPr="006C4F67">
        <w:t xml:space="preserve">Hrvatskoj opterećeni gotovo najvišom stopom doprinosa za socijalna osiguranja koja postoji u usporedbi sa razvijenim </w:t>
      </w:r>
      <w:r w:rsidR="00291261" w:rsidRPr="006C4F67">
        <w:t>državama</w:t>
      </w:r>
      <w:r w:rsidRPr="006C4F67">
        <w:t xml:space="preserve">. U ukupnom opterećenju doprinosima prednjače Francuska i </w:t>
      </w:r>
      <w:r w:rsidR="009F2654" w:rsidRPr="00B74757">
        <w:t xml:space="preserve">Republika </w:t>
      </w:r>
      <w:r w:rsidRPr="00B74757">
        <w:t xml:space="preserve">Austrija. Naime, </w:t>
      </w:r>
      <w:r w:rsidR="009F2654" w:rsidRPr="00B74757">
        <w:t xml:space="preserve">Republika </w:t>
      </w:r>
      <w:r w:rsidRPr="00B74757">
        <w:t xml:space="preserve">Hrvatska je po tom pitanju kroz zadnjih dvadesetak godina napredovala i polako smanjivala stope doprinosa za </w:t>
      </w:r>
      <w:r w:rsidR="00291261" w:rsidRPr="009769E7">
        <w:t>radnike</w:t>
      </w:r>
      <w:r w:rsidRPr="004D0AD5">
        <w:t xml:space="preserve">, ali i </w:t>
      </w:r>
      <w:r w:rsidR="00291261" w:rsidRPr="004D0AD5">
        <w:t>poslodavce</w:t>
      </w:r>
      <w:r w:rsidRPr="004D0AD5">
        <w:t xml:space="preserve">. Tako se od </w:t>
      </w:r>
      <w:r w:rsidR="00291261" w:rsidRPr="00E1401E">
        <w:t xml:space="preserve">dana </w:t>
      </w:r>
      <w:r w:rsidRPr="00E1401E">
        <w:t>1. svibnja 2012. godine doprinos za zdravstveno os</w:t>
      </w:r>
      <w:r w:rsidRPr="00D00975">
        <w:t xml:space="preserve">iguranje smanjio s </w:t>
      </w:r>
      <w:r w:rsidR="00291261" w:rsidRPr="00A26596">
        <w:t>petnaest</w:t>
      </w:r>
      <w:r w:rsidRPr="008B2ED7">
        <w:t xml:space="preserve"> na </w:t>
      </w:r>
      <w:r w:rsidR="00291261" w:rsidRPr="008B2ED7">
        <w:t>trinaest posto</w:t>
      </w:r>
      <w:r w:rsidRPr="008B2ED7">
        <w:t>.</w:t>
      </w:r>
      <w:r w:rsidR="00EB3313" w:rsidRPr="008B2ED7">
        <w:t xml:space="preserve"> </w:t>
      </w:r>
      <w:r w:rsidRPr="008B2ED7">
        <w:t xml:space="preserve">U svakom slučaju, daljnje povećanje tereta doprinosa u </w:t>
      </w:r>
      <w:r w:rsidR="009F2654" w:rsidRPr="008B2ED7">
        <w:t xml:space="preserve">Republici </w:t>
      </w:r>
      <w:r w:rsidRPr="008B2ED7">
        <w:t xml:space="preserve">Hrvatskoj, u okviru težnje za povećanjem konkurentnosti, </w:t>
      </w:r>
      <w:r w:rsidR="00291261" w:rsidRPr="007B61AF">
        <w:t xml:space="preserve">djelovalo bi </w:t>
      </w:r>
      <w:r w:rsidRPr="007B61AF">
        <w:t>vrlo nepovoljno. U tom smislu predlaže se ukidanje dijela doprinosa za osi</w:t>
      </w:r>
      <w:r w:rsidRPr="00B4742D">
        <w:t xml:space="preserve">guranje od posljedica </w:t>
      </w:r>
      <w:r w:rsidR="00291261" w:rsidRPr="00B4742D">
        <w:t>ozljede</w:t>
      </w:r>
      <w:r w:rsidRPr="00B4742D">
        <w:t xml:space="preserve"> na radu, doprinosa za zapošljavanje, te posebnog doprinosa za zapošljavanje </w:t>
      </w:r>
      <w:r w:rsidR="00291261" w:rsidRPr="00B4742D">
        <w:t xml:space="preserve">osoba s </w:t>
      </w:r>
      <w:r w:rsidRPr="00B4742D">
        <w:t>invalid</w:t>
      </w:r>
      <w:r w:rsidR="00291261" w:rsidRPr="00B4742D">
        <w:t>itetom</w:t>
      </w:r>
      <w:r w:rsidRPr="00B4742D">
        <w:t xml:space="preserve">. Međutim, eliminacija navedenih doprinosa samo je prebacivanje troška koje terete bruto plaće na </w:t>
      </w:r>
      <w:r w:rsidR="00291261" w:rsidRPr="00B4742D">
        <w:t>“</w:t>
      </w:r>
      <w:r w:rsidRPr="00B4742D">
        <w:t>nevidljive</w:t>
      </w:r>
      <w:r w:rsidR="00291261" w:rsidRPr="00B4742D">
        <w:t>”</w:t>
      </w:r>
      <w:r w:rsidRPr="00B4742D">
        <w:t xml:space="preserve"> troškove koje bi snosili </w:t>
      </w:r>
      <w:r w:rsidR="00291261" w:rsidRPr="00B4742D">
        <w:t>poslodavci</w:t>
      </w:r>
      <w:r w:rsidRPr="00B4742D">
        <w:t xml:space="preserve">, radnici te </w:t>
      </w:r>
      <w:r w:rsidR="00291261" w:rsidRPr="00B4742D">
        <w:t xml:space="preserve">Državni </w:t>
      </w:r>
      <w:r w:rsidRPr="00B4742D">
        <w:t>proračun</w:t>
      </w:r>
      <w:r w:rsidR="00291261" w:rsidRPr="00B4742D">
        <w:t xml:space="preserve"> Republike Hrvatske</w:t>
      </w:r>
      <w:r w:rsidRPr="00B4742D">
        <w:t>. Stoga bi bilo zanimljivo utvrditi društvene troškove takve zamjene svrhe uplate doprinosa.</w:t>
      </w:r>
      <w:r w:rsidR="00EB3313" w:rsidRPr="00B4742D">
        <w:t xml:space="preserve"> </w:t>
      </w:r>
    </w:p>
    <w:p w:rsidR="00641867" w:rsidRPr="00B4742D" w:rsidRDefault="00641867" w:rsidP="00641867">
      <w:pPr>
        <w:spacing w:line="240" w:lineRule="auto"/>
      </w:pPr>
    </w:p>
    <w:p w:rsidR="00641867" w:rsidRPr="00B4742D" w:rsidRDefault="00641867" w:rsidP="00641867">
      <w:pPr>
        <w:spacing w:line="240" w:lineRule="auto"/>
      </w:pPr>
      <w:r w:rsidRPr="00B4742D">
        <w:t>Jedan od važnih ciljeva reforme je</w:t>
      </w:r>
      <w:r w:rsidR="00683F78" w:rsidRPr="00B4742D">
        <w:t>st i povećanje mobilnosti radne snage</w:t>
      </w:r>
      <w:r w:rsidRPr="00B4742D">
        <w:t xml:space="preserve"> </w:t>
      </w:r>
      <w:r w:rsidR="00683F78" w:rsidRPr="00B4742D">
        <w:t>što</w:t>
      </w:r>
      <w:r w:rsidRPr="00B4742D">
        <w:t xml:space="preserve"> se niti u </w:t>
      </w:r>
      <w:r w:rsidR="009F2654" w:rsidRPr="00B4742D">
        <w:t xml:space="preserve">Republici </w:t>
      </w:r>
      <w:r w:rsidRPr="00B4742D">
        <w:t>Austriji nije pokazalo značajn</w:t>
      </w:r>
      <w:r w:rsidR="00683F78" w:rsidRPr="00B4742D">
        <w:t>im</w:t>
      </w:r>
      <w:r w:rsidRPr="00B4742D">
        <w:t xml:space="preserve"> u okviru analiza učinaka reforme. Tablica 8</w:t>
      </w:r>
      <w:r w:rsidR="00683F78" w:rsidRPr="00B4742D">
        <w:t>.</w:t>
      </w:r>
      <w:r w:rsidRPr="00B4742D">
        <w:t xml:space="preserve"> pokazuje </w:t>
      </w:r>
      <w:r w:rsidR="00683F78" w:rsidRPr="00B4742D">
        <w:t>kako</w:t>
      </w:r>
      <w:r w:rsidRPr="00B4742D">
        <w:t xml:space="preserve"> je manjak mobilnosti rad</w:t>
      </w:r>
      <w:r w:rsidR="00683F78" w:rsidRPr="00B4742D">
        <w:t>ne snage</w:t>
      </w:r>
      <w:r w:rsidRPr="00B4742D">
        <w:t xml:space="preserve"> u Republici Hrvatskoj ipak uzrokovan specifičnostima ekonomske strukture te nemogućnosti iste da kreira radna mjesta – u strukturi nezaposlenih prema duljini traženja posla dominira dugotrajn</w:t>
      </w:r>
      <w:r w:rsidR="00746B6C" w:rsidRPr="00B4742D">
        <w:t>o</w:t>
      </w:r>
      <w:r w:rsidRPr="00B4742D">
        <w:t xml:space="preserve"> nezaposlen</w:t>
      </w:r>
      <w:r w:rsidR="00746B6C" w:rsidRPr="00B4742D">
        <w:t>i</w:t>
      </w:r>
      <w:r w:rsidRPr="00B4742D">
        <w:t xml:space="preserve">. </w:t>
      </w:r>
    </w:p>
    <w:p w:rsidR="00641867" w:rsidRPr="00B4742D" w:rsidRDefault="00641867" w:rsidP="00641867">
      <w:pPr>
        <w:spacing w:line="240" w:lineRule="auto"/>
      </w:pPr>
    </w:p>
    <w:p w:rsidR="00641867" w:rsidRPr="00B4742D" w:rsidRDefault="00641867" w:rsidP="00641867">
      <w:pPr>
        <w:spacing w:line="240" w:lineRule="auto"/>
      </w:pPr>
      <w:r w:rsidRPr="00B4742D">
        <w:t>Tablica 8</w:t>
      </w:r>
      <w:r w:rsidR="0076762D" w:rsidRPr="00B4742D">
        <w:t>.</w:t>
      </w:r>
      <w:r w:rsidRPr="00B4742D">
        <w:t>: Nezaposleni prema duljini traženja posla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015"/>
        <w:gridCol w:w="1014"/>
        <w:gridCol w:w="1014"/>
        <w:gridCol w:w="1014"/>
        <w:gridCol w:w="1014"/>
        <w:gridCol w:w="1014"/>
        <w:gridCol w:w="1014"/>
        <w:gridCol w:w="1297"/>
      </w:tblGrid>
      <w:tr w:rsidR="00641867" w:rsidRPr="00B4742D" w:rsidTr="00831E88">
        <w:tc>
          <w:tcPr>
            <w:tcW w:w="1243" w:type="dxa"/>
          </w:tcPr>
          <w:p w:rsidR="00641867" w:rsidRPr="00BF61FB" w:rsidRDefault="00641867" w:rsidP="00CE6179">
            <w:pPr>
              <w:spacing w:line="240" w:lineRule="auto"/>
              <w:jc w:val="center"/>
            </w:pPr>
          </w:p>
        </w:tc>
        <w:tc>
          <w:tcPr>
            <w:tcW w:w="4057" w:type="dxa"/>
            <w:gridSpan w:val="4"/>
          </w:tcPr>
          <w:p w:rsidR="00641867" w:rsidRPr="00B4742D" w:rsidRDefault="00641867" w:rsidP="00CE6179">
            <w:pPr>
              <w:spacing w:line="240" w:lineRule="auto"/>
              <w:jc w:val="center"/>
            </w:pPr>
            <w:r w:rsidRPr="00B4742D">
              <w:t>Ukupno (u tisućama)</w:t>
            </w:r>
          </w:p>
        </w:tc>
        <w:tc>
          <w:tcPr>
            <w:tcW w:w="4339" w:type="dxa"/>
            <w:gridSpan w:val="4"/>
          </w:tcPr>
          <w:p w:rsidR="00641867" w:rsidRPr="00B4742D" w:rsidRDefault="00641867" w:rsidP="00CE6179">
            <w:pPr>
              <w:spacing w:line="240" w:lineRule="auto"/>
              <w:jc w:val="center"/>
            </w:pPr>
            <w:r w:rsidRPr="00B4742D">
              <w:t>Ukupno (u postotku</w:t>
            </w:r>
            <w:r w:rsidR="00683F78" w:rsidRPr="00B4742D">
              <w:t>)</w:t>
            </w:r>
          </w:p>
        </w:tc>
      </w:tr>
      <w:tr w:rsidR="00641867" w:rsidRPr="00B4742D" w:rsidTr="00831E88">
        <w:tc>
          <w:tcPr>
            <w:tcW w:w="1243" w:type="dxa"/>
          </w:tcPr>
          <w:p w:rsidR="00641867" w:rsidRPr="00B4742D" w:rsidRDefault="00641867" w:rsidP="00CE6179">
            <w:pPr>
              <w:spacing w:line="240" w:lineRule="auto"/>
              <w:jc w:val="center"/>
            </w:pPr>
            <w:r w:rsidRPr="00B4742D">
              <w:t>u mjesecima</w:t>
            </w:r>
          </w:p>
        </w:tc>
        <w:tc>
          <w:tcPr>
            <w:tcW w:w="1015" w:type="dxa"/>
          </w:tcPr>
          <w:p w:rsidR="00641867" w:rsidRPr="00B4742D" w:rsidRDefault="00641867" w:rsidP="00CE6179">
            <w:pPr>
              <w:spacing w:line="240" w:lineRule="auto"/>
              <w:jc w:val="center"/>
            </w:pPr>
            <w:r w:rsidRPr="00B4742D">
              <w:t>2009</w:t>
            </w:r>
            <w:r w:rsidR="00683F78" w:rsidRPr="00B4742D">
              <w:t>.</w:t>
            </w:r>
          </w:p>
        </w:tc>
        <w:tc>
          <w:tcPr>
            <w:tcW w:w="1014" w:type="dxa"/>
          </w:tcPr>
          <w:p w:rsidR="00641867" w:rsidRPr="00B4742D" w:rsidRDefault="00641867" w:rsidP="00CE6179">
            <w:pPr>
              <w:spacing w:line="240" w:lineRule="auto"/>
              <w:jc w:val="center"/>
            </w:pPr>
            <w:r w:rsidRPr="00B4742D">
              <w:t>2010</w:t>
            </w:r>
            <w:r w:rsidR="00683F78" w:rsidRPr="00B4742D">
              <w:t>.</w:t>
            </w:r>
          </w:p>
        </w:tc>
        <w:tc>
          <w:tcPr>
            <w:tcW w:w="1014" w:type="dxa"/>
          </w:tcPr>
          <w:p w:rsidR="00641867" w:rsidRPr="00B4742D" w:rsidRDefault="00641867" w:rsidP="00CE6179">
            <w:pPr>
              <w:spacing w:line="240" w:lineRule="auto"/>
              <w:jc w:val="center"/>
            </w:pPr>
            <w:r w:rsidRPr="00B4742D">
              <w:t>2011</w:t>
            </w:r>
            <w:r w:rsidR="00683F78" w:rsidRPr="00B4742D">
              <w:t>.</w:t>
            </w:r>
          </w:p>
        </w:tc>
        <w:tc>
          <w:tcPr>
            <w:tcW w:w="1014" w:type="dxa"/>
          </w:tcPr>
          <w:p w:rsidR="00641867" w:rsidRPr="00B4742D" w:rsidRDefault="00641867" w:rsidP="00CE6179">
            <w:pPr>
              <w:spacing w:line="240" w:lineRule="auto"/>
              <w:jc w:val="center"/>
            </w:pPr>
            <w:r w:rsidRPr="00B4742D">
              <w:t>2012</w:t>
            </w:r>
            <w:r w:rsidR="00683F78" w:rsidRPr="00B4742D">
              <w:t>.</w:t>
            </w:r>
          </w:p>
        </w:tc>
        <w:tc>
          <w:tcPr>
            <w:tcW w:w="1014" w:type="dxa"/>
          </w:tcPr>
          <w:p w:rsidR="00641867" w:rsidRPr="00B4742D" w:rsidRDefault="00641867" w:rsidP="00CE6179">
            <w:pPr>
              <w:spacing w:line="240" w:lineRule="auto"/>
              <w:jc w:val="center"/>
            </w:pPr>
            <w:r w:rsidRPr="00B4742D">
              <w:t>2009</w:t>
            </w:r>
            <w:r w:rsidR="00683F78" w:rsidRPr="00B4742D">
              <w:t>.</w:t>
            </w:r>
          </w:p>
        </w:tc>
        <w:tc>
          <w:tcPr>
            <w:tcW w:w="1014" w:type="dxa"/>
          </w:tcPr>
          <w:p w:rsidR="00641867" w:rsidRPr="00B4742D" w:rsidRDefault="00641867" w:rsidP="00CE6179">
            <w:pPr>
              <w:spacing w:line="240" w:lineRule="auto"/>
              <w:jc w:val="center"/>
            </w:pPr>
            <w:r w:rsidRPr="00B4742D">
              <w:t>2010</w:t>
            </w:r>
            <w:r w:rsidR="00683F78" w:rsidRPr="00B4742D">
              <w:t>.</w:t>
            </w:r>
          </w:p>
        </w:tc>
        <w:tc>
          <w:tcPr>
            <w:tcW w:w="1014" w:type="dxa"/>
          </w:tcPr>
          <w:p w:rsidR="00641867" w:rsidRPr="00B4742D" w:rsidRDefault="00641867" w:rsidP="00CE6179">
            <w:pPr>
              <w:spacing w:line="240" w:lineRule="auto"/>
              <w:jc w:val="center"/>
            </w:pPr>
            <w:r w:rsidRPr="00B4742D">
              <w:t>2011</w:t>
            </w:r>
            <w:r w:rsidR="00683F78" w:rsidRPr="00B4742D">
              <w:t>.</w:t>
            </w:r>
          </w:p>
        </w:tc>
        <w:tc>
          <w:tcPr>
            <w:tcW w:w="1297" w:type="dxa"/>
          </w:tcPr>
          <w:p w:rsidR="00641867" w:rsidRPr="00B4742D" w:rsidRDefault="00641867" w:rsidP="00CE6179">
            <w:pPr>
              <w:spacing w:line="240" w:lineRule="auto"/>
              <w:jc w:val="center"/>
            </w:pPr>
            <w:r w:rsidRPr="00B4742D">
              <w:t>2012</w:t>
            </w:r>
            <w:r w:rsidR="00683F78" w:rsidRPr="00B4742D">
              <w:t>.</w:t>
            </w:r>
          </w:p>
        </w:tc>
      </w:tr>
      <w:tr w:rsidR="00641867" w:rsidRPr="00B4742D" w:rsidTr="00831E88">
        <w:tc>
          <w:tcPr>
            <w:tcW w:w="1243" w:type="dxa"/>
          </w:tcPr>
          <w:p w:rsidR="00641867" w:rsidRPr="00B4742D" w:rsidRDefault="00641867" w:rsidP="00CE6179">
            <w:pPr>
              <w:spacing w:line="240" w:lineRule="auto"/>
              <w:jc w:val="center"/>
            </w:pPr>
            <w:r w:rsidRPr="00B4742D">
              <w:t>Ukupno</w:t>
            </w:r>
          </w:p>
        </w:tc>
        <w:tc>
          <w:tcPr>
            <w:tcW w:w="1015" w:type="dxa"/>
          </w:tcPr>
          <w:p w:rsidR="00641867" w:rsidRPr="00B4742D" w:rsidRDefault="00641867" w:rsidP="00CE6179">
            <w:pPr>
              <w:spacing w:line="240" w:lineRule="auto"/>
              <w:jc w:val="center"/>
            </w:pPr>
            <w:r w:rsidRPr="00B4742D">
              <w:t>160</w:t>
            </w:r>
          </w:p>
        </w:tc>
        <w:tc>
          <w:tcPr>
            <w:tcW w:w="1014" w:type="dxa"/>
          </w:tcPr>
          <w:p w:rsidR="00641867" w:rsidRPr="00B4742D" w:rsidRDefault="00641867" w:rsidP="00CE6179">
            <w:pPr>
              <w:spacing w:line="240" w:lineRule="auto"/>
              <w:jc w:val="center"/>
            </w:pPr>
            <w:r w:rsidRPr="00B4742D">
              <w:t>206</w:t>
            </w:r>
          </w:p>
        </w:tc>
        <w:tc>
          <w:tcPr>
            <w:tcW w:w="1014" w:type="dxa"/>
          </w:tcPr>
          <w:p w:rsidR="00641867" w:rsidRPr="00B4742D" w:rsidRDefault="00641867" w:rsidP="00CE6179">
            <w:pPr>
              <w:spacing w:line="240" w:lineRule="auto"/>
              <w:jc w:val="center"/>
            </w:pPr>
            <w:r w:rsidRPr="00B4742D">
              <w:t>232</w:t>
            </w:r>
          </w:p>
        </w:tc>
        <w:tc>
          <w:tcPr>
            <w:tcW w:w="1014" w:type="dxa"/>
          </w:tcPr>
          <w:p w:rsidR="00641867" w:rsidRPr="00B4742D" w:rsidRDefault="00641867" w:rsidP="00CE6179">
            <w:pPr>
              <w:spacing w:line="240" w:lineRule="auto"/>
              <w:jc w:val="center"/>
            </w:pPr>
            <w:r w:rsidRPr="00B4742D">
              <w:t>272</w:t>
            </w:r>
          </w:p>
        </w:tc>
        <w:tc>
          <w:tcPr>
            <w:tcW w:w="1014" w:type="dxa"/>
          </w:tcPr>
          <w:p w:rsidR="00641867" w:rsidRPr="00B4742D" w:rsidRDefault="00641867" w:rsidP="00CE6179">
            <w:pPr>
              <w:spacing w:line="240" w:lineRule="auto"/>
              <w:jc w:val="center"/>
            </w:pPr>
            <w:r w:rsidRPr="00B4742D">
              <w:t>100</w:t>
            </w:r>
          </w:p>
        </w:tc>
        <w:tc>
          <w:tcPr>
            <w:tcW w:w="1014" w:type="dxa"/>
          </w:tcPr>
          <w:p w:rsidR="00641867" w:rsidRPr="00B4742D" w:rsidRDefault="00641867" w:rsidP="00CE6179">
            <w:pPr>
              <w:spacing w:line="240" w:lineRule="auto"/>
              <w:jc w:val="center"/>
            </w:pPr>
            <w:r w:rsidRPr="00B4742D">
              <w:t>100</w:t>
            </w:r>
          </w:p>
        </w:tc>
        <w:tc>
          <w:tcPr>
            <w:tcW w:w="1014" w:type="dxa"/>
          </w:tcPr>
          <w:p w:rsidR="00641867" w:rsidRPr="00B4742D" w:rsidRDefault="00641867" w:rsidP="00CE6179">
            <w:pPr>
              <w:spacing w:line="240" w:lineRule="auto"/>
              <w:jc w:val="center"/>
            </w:pPr>
            <w:r w:rsidRPr="00B4742D">
              <w:t>100</w:t>
            </w:r>
          </w:p>
        </w:tc>
        <w:tc>
          <w:tcPr>
            <w:tcW w:w="1297" w:type="dxa"/>
          </w:tcPr>
          <w:p w:rsidR="00641867" w:rsidRPr="00B4742D" w:rsidRDefault="00641867" w:rsidP="00CE6179">
            <w:pPr>
              <w:spacing w:line="240" w:lineRule="auto"/>
              <w:jc w:val="center"/>
            </w:pPr>
            <w:r w:rsidRPr="00B4742D">
              <w:t>100</w:t>
            </w:r>
          </w:p>
        </w:tc>
      </w:tr>
      <w:tr w:rsidR="00641867" w:rsidRPr="00B4742D" w:rsidTr="00831E88">
        <w:tc>
          <w:tcPr>
            <w:tcW w:w="1243" w:type="dxa"/>
          </w:tcPr>
          <w:p w:rsidR="00641867" w:rsidRPr="00B4742D" w:rsidRDefault="00641867" w:rsidP="00CE6179">
            <w:pPr>
              <w:spacing w:line="240" w:lineRule="auto"/>
              <w:jc w:val="center"/>
            </w:pPr>
            <w:r w:rsidRPr="00B4742D">
              <w:t>&lt;1</w:t>
            </w:r>
          </w:p>
        </w:tc>
        <w:tc>
          <w:tcPr>
            <w:tcW w:w="1015" w:type="dxa"/>
          </w:tcPr>
          <w:p w:rsidR="00641867" w:rsidRPr="00B4742D" w:rsidRDefault="00641867" w:rsidP="00CE6179">
            <w:pPr>
              <w:spacing w:line="240" w:lineRule="auto"/>
              <w:jc w:val="center"/>
            </w:pPr>
            <w:r w:rsidRPr="00B4742D">
              <w:t>4</w:t>
            </w:r>
          </w:p>
        </w:tc>
        <w:tc>
          <w:tcPr>
            <w:tcW w:w="1014" w:type="dxa"/>
          </w:tcPr>
          <w:p w:rsidR="00641867" w:rsidRPr="00B4742D" w:rsidRDefault="00641867" w:rsidP="00CE6179">
            <w:pPr>
              <w:spacing w:line="240" w:lineRule="auto"/>
              <w:jc w:val="center"/>
            </w:pPr>
            <w:r w:rsidRPr="00B4742D">
              <w:t>6</w:t>
            </w:r>
          </w:p>
        </w:tc>
        <w:tc>
          <w:tcPr>
            <w:tcW w:w="1014" w:type="dxa"/>
          </w:tcPr>
          <w:p w:rsidR="00641867" w:rsidRPr="00B4742D" w:rsidRDefault="00641867" w:rsidP="00CE6179">
            <w:pPr>
              <w:spacing w:line="240" w:lineRule="auto"/>
              <w:jc w:val="center"/>
            </w:pPr>
            <w:r w:rsidRPr="00B4742D">
              <w:t>5</w:t>
            </w:r>
          </w:p>
        </w:tc>
        <w:tc>
          <w:tcPr>
            <w:tcW w:w="1014" w:type="dxa"/>
          </w:tcPr>
          <w:p w:rsidR="00641867" w:rsidRPr="00BF61FB" w:rsidRDefault="00641867" w:rsidP="00CE6179">
            <w:pPr>
              <w:spacing w:line="240" w:lineRule="auto"/>
              <w:jc w:val="center"/>
            </w:pPr>
          </w:p>
        </w:tc>
        <w:tc>
          <w:tcPr>
            <w:tcW w:w="1014" w:type="dxa"/>
          </w:tcPr>
          <w:p w:rsidR="00641867" w:rsidRPr="00B4742D" w:rsidRDefault="00641867" w:rsidP="00CE6179">
            <w:pPr>
              <w:spacing w:line="240" w:lineRule="auto"/>
              <w:jc w:val="center"/>
            </w:pPr>
            <w:r w:rsidRPr="00B4742D">
              <w:t>2,5</w:t>
            </w:r>
          </w:p>
        </w:tc>
        <w:tc>
          <w:tcPr>
            <w:tcW w:w="1014" w:type="dxa"/>
          </w:tcPr>
          <w:p w:rsidR="00641867" w:rsidRPr="00B4742D" w:rsidRDefault="00641867" w:rsidP="00CE6179">
            <w:pPr>
              <w:spacing w:line="240" w:lineRule="auto"/>
              <w:jc w:val="center"/>
            </w:pPr>
            <w:r w:rsidRPr="00B4742D">
              <w:t>3,0</w:t>
            </w:r>
          </w:p>
        </w:tc>
        <w:tc>
          <w:tcPr>
            <w:tcW w:w="1014" w:type="dxa"/>
          </w:tcPr>
          <w:p w:rsidR="00641867" w:rsidRPr="00B4742D" w:rsidRDefault="00641867" w:rsidP="00CE6179">
            <w:pPr>
              <w:spacing w:line="240" w:lineRule="auto"/>
              <w:jc w:val="center"/>
            </w:pPr>
            <w:r w:rsidRPr="00B4742D">
              <w:t>2,1</w:t>
            </w:r>
          </w:p>
        </w:tc>
        <w:tc>
          <w:tcPr>
            <w:tcW w:w="1297" w:type="dxa"/>
          </w:tcPr>
          <w:p w:rsidR="00641867" w:rsidRPr="00BF61FB" w:rsidRDefault="00641867" w:rsidP="00CE6179">
            <w:pPr>
              <w:spacing w:line="240" w:lineRule="auto"/>
              <w:jc w:val="center"/>
            </w:pPr>
          </w:p>
        </w:tc>
      </w:tr>
      <w:tr w:rsidR="00641867" w:rsidRPr="00B4742D" w:rsidTr="00831E88">
        <w:tc>
          <w:tcPr>
            <w:tcW w:w="1243" w:type="dxa"/>
          </w:tcPr>
          <w:p w:rsidR="00641867" w:rsidRPr="00B4742D" w:rsidRDefault="00641867" w:rsidP="00CE6179">
            <w:pPr>
              <w:spacing w:line="240" w:lineRule="auto"/>
              <w:jc w:val="center"/>
            </w:pPr>
            <w:r w:rsidRPr="00B4742D">
              <w:t>1-5</w:t>
            </w:r>
          </w:p>
        </w:tc>
        <w:tc>
          <w:tcPr>
            <w:tcW w:w="1015" w:type="dxa"/>
          </w:tcPr>
          <w:p w:rsidR="00641867" w:rsidRPr="00B4742D" w:rsidRDefault="00641867" w:rsidP="00CE6179">
            <w:pPr>
              <w:spacing w:line="240" w:lineRule="auto"/>
              <w:jc w:val="center"/>
            </w:pPr>
            <w:r w:rsidRPr="00B4742D">
              <w:t>35</w:t>
            </w:r>
          </w:p>
        </w:tc>
        <w:tc>
          <w:tcPr>
            <w:tcW w:w="1014" w:type="dxa"/>
          </w:tcPr>
          <w:p w:rsidR="00641867" w:rsidRPr="00B4742D" w:rsidRDefault="00641867" w:rsidP="00CE6179">
            <w:pPr>
              <w:spacing w:line="240" w:lineRule="auto"/>
              <w:jc w:val="center"/>
            </w:pPr>
            <w:r w:rsidRPr="00B4742D">
              <w:t>42</w:t>
            </w:r>
          </w:p>
        </w:tc>
        <w:tc>
          <w:tcPr>
            <w:tcW w:w="1014" w:type="dxa"/>
          </w:tcPr>
          <w:p w:rsidR="00641867" w:rsidRPr="00B4742D" w:rsidRDefault="00641867" w:rsidP="00CE6179">
            <w:pPr>
              <w:spacing w:line="240" w:lineRule="auto"/>
              <w:jc w:val="center"/>
            </w:pPr>
            <w:r w:rsidRPr="00B4742D">
              <w:t>43</w:t>
            </w:r>
          </w:p>
        </w:tc>
        <w:tc>
          <w:tcPr>
            <w:tcW w:w="1014" w:type="dxa"/>
          </w:tcPr>
          <w:p w:rsidR="00641867" w:rsidRPr="00B4742D" w:rsidRDefault="00641867" w:rsidP="00CE6179">
            <w:pPr>
              <w:spacing w:line="240" w:lineRule="auto"/>
              <w:jc w:val="center"/>
            </w:pPr>
            <w:r w:rsidRPr="00B4742D">
              <w:t>51</w:t>
            </w:r>
          </w:p>
        </w:tc>
        <w:tc>
          <w:tcPr>
            <w:tcW w:w="1014" w:type="dxa"/>
          </w:tcPr>
          <w:p w:rsidR="00641867" w:rsidRPr="00B4742D" w:rsidRDefault="00641867" w:rsidP="00CE6179">
            <w:pPr>
              <w:spacing w:line="240" w:lineRule="auto"/>
              <w:jc w:val="center"/>
            </w:pPr>
            <w:r w:rsidRPr="00B4742D">
              <w:t>22,2</w:t>
            </w:r>
          </w:p>
        </w:tc>
        <w:tc>
          <w:tcPr>
            <w:tcW w:w="1014" w:type="dxa"/>
          </w:tcPr>
          <w:p w:rsidR="00641867" w:rsidRPr="00B4742D" w:rsidRDefault="00641867" w:rsidP="00CE6179">
            <w:pPr>
              <w:spacing w:line="240" w:lineRule="auto"/>
              <w:jc w:val="center"/>
            </w:pPr>
            <w:r w:rsidRPr="00B4742D">
              <w:t>20,3</w:t>
            </w:r>
          </w:p>
        </w:tc>
        <w:tc>
          <w:tcPr>
            <w:tcW w:w="1014" w:type="dxa"/>
          </w:tcPr>
          <w:p w:rsidR="00641867" w:rsidRPr="00B4742D" w:rsidRDefault="00641867" w:rsidP="00CE6179">
            <w:pPr>
              <w:spacing w:line="240" w:lineRule="auto"/>
              <w:jc w:val="center"/>
            </w:pPr>
            <w:r w:rsidRPr="00B4742D">
              <w:t>18,5</w:t>
            </w:r>
          </w:p>
        </w:tc>
        <w:tc>
          <w:tcPr>
            <w:tcW w:w="1297" w:type="dxa"/>
          </w:tcPr>
          <w:p w:rsidR="00641867" w:rsidRPr="00B4742D" w:rsidRDefault="00641867" w:rsidP="00CE6179">
            <w:pPr>
              <w:spacing w:line="240" w:lineRule="auto"/>
              <w:jc w:val="center"/>
            </w:pPr>
            <w:r w:rsidRPr="00B4742D">
              <w:t>18,9</w:t>
            </w:r>
          </w:p>
        </w:tc>
      </w:tr>
      <w:tr w:rsidR="00641867" w:rsidRPr="00B4742D" w:rsidTr="00831E88">
        <w:tc>
          <w:tcPr>
            <w:tcW w:w="1243" w:type="dxa"/>
          </w:tcPr>
          <w:p w:rsidR="00641867" w:rsidRPr="00B4742D" w:rsidRDefault="00641867" w:rsidP="00CE6179">
            <w:pPr>
              <w:spacing w:line="240" w:lineRule="auto"/>
              <w:jc w:val="center"/>
            </w:pPr>
            <w:r w:rsidRPr="00B4742D">
              <w:t>6-11</w:t>
            </w:r>
          </w:p>
        </w:tc>
        <w:tc>
          <w:tcPr>
            <w:tcW w:w="1015" w:type="dxa"/>
          </w:tcPr>
          <w:p w:rsidR="00641867" w:rsidRPr="00B4742D" w:rsidRDefault="00641867" w:rsidP="00CE6179">
            <w:pPr>
              <w:spacing w:line="240" w:lineRule="auto"/>
              <w:jc w:val="center"/>
            </w:pPr>
            <w:r w:rsidRPr="00B4742D">
              <w:t>26</w:t>
            </w:r>
          </w:p>
        </w:tc>
        <w:tc>
          <w:tcPr>
            <w:tcW w:w="1014" w:type="dxa"/>
          </w:tcPr>
          <w:p w:rsidR="00641867" w:rsidRPr="00B4742D" w:rsidRDefault="00641867" w:rsidP="00CE6179">
            <w:pPr>
              <w:spacing w:line="240" w:lineRule="auto"/>
              <w:jc w:val="center"/>
            </w:pPr>
            <w:r w:rsidRPr="00B4742D">
              <w:t>38</w:t>
            </w:r>
          </w:p>
        </w:tc>
        <w:tc>
          <w:tcPr>
            <w:tcW w:w="1014" w:type="dxa"/>
          </w:tcPr>
          <w:p w:rsidR="00641867" w:rsidRPr="00B4742D" w:rsidRDefault="00641867" w:rsidP="00CE6179">
            <w:pPr>
              <w:spacing w:line="240" w:lineRule="auto"/>
              <w:jc w:val="center"/>
            </w:pPr>
            <w:r w:rsidRPr="00B4742D">
              <w:t>34</w:t>
            </w:r>
          </w:p>
        </w:tc>
        <w:tc>
          <w:tcPr>
            <w:tcW w:w="1014" w:type="dxa"/>
          </w:tcPr>
          <w:p w:rsidR="00641867" w:rsidRPr="00B4742D" w:rsidRDefault="00641867" w:rsidP="00CE6179">
            <w:pPr>
              <w:spacing w:line="240" w:lineRule="auto"/>
              <w:jc w:val="center"/>
            </w:pPr>
            <w:r w:rsidRPr="00B4742D">
              <w:t>36</w:t>
            </w:r>
          </w:p>
        </w:tc>
        <w:tc>
          <w:tcPr>
            <w:tcW w:w="1014" w:type="dxa"/>
          </w:tcPr>
          <w:p w:rsidR="00641867" w:rsidRPr="00B4742D" w:rsidRDefault="00641867" w:rsidP="00CE6179">
            <w:pPr>
              <w:spacing w:line="240" w:lineRule="auto"/>
              <w:jc w:val="center"/>
            </w:pPr>
            <w:r w:rsidRPr="00B4742D">
              <w:t>16,6</w:t>
            </w:r>
          </w:p>
        </w:tc>
        <w:tc>
          <w:tcPr>
            <w:tcW w:w="1014" w:type="dxa"/>
          </w:tcPr>
          <w:p w:rsidR="00641867" w:rsidRPr="00B4742D" w:rsidRDefault="00641867" w:rsidP="00CE6179">
            <w:pPr>
              <w:spacing w:line="240" w:lineRule="auto"/>
              <w:jc w:val="center"/>
            </w:pPr>
            <w:r w:rsidRPr="00B4742D">
              <w:t>18,3</w:t>
            </w:r>
          </w:p>
        </w:tc>
        <w:tc>
          <w:tcPr>
            <w:tcW w:w="1014" w:type="dxa"/>
          </w:tcPr>
          <w:p w:rsidR="00641867" w:rsidRPr="00B4742D" w:rsidRDefault="00641867" w:rsidP="00CE6179">
            <w:pPr>
              <w:spacing w:line="240" w:lineRule="auto"/>
              <w:jc w:val="center"/>
            </w:pPr>
            <w:r w:rsidRPr="00B4742D">
              <w:t>14,6</w:t>
            </w:r>
          </w:p>
        </w:tc>
        <w:tc>
          <w:tcPr>
            <w:tcW w:w="1297" w:type="dxa"/>
          </w:tcPr>
          <w:p w:rsidR="00641867" w:rsidRPr="00B4742D" w:rsidRDefault="00641867" w:rsidP="00CE6179">
            <w:pPr>
              <w:spacing w:line="240" w:lineRule="auto"/>
              <w:jc w:val="center"/>
            </w:pPr>
            <w:r w:rsidRPr="00B4742D">
              <w:t>13,3</w:t>
            </w:r>
          </w:p>
        </w:tc>
      </w:tr>
      <w:tr w:rsidR="00641867" w:rsidRPr="00B4742D" w:rsidTr="00831E88">
        <w:tc>
          <w:tcPr>
            <w:tcW w:w="1243" w:type="dxa"/>
          </w:tcPr>
          <w:p w:rsidR="00641867" w:rsidRPr="00B4742D" w:rsidRDefault="00641867" w:rsidP="00CE6179">
            <w:pPr>
              <w:spacing w:line="240" w:lineRule="auto"/>
              <w:jc w:val="center"/>
            </w:pPr>
            <w:r w:rsidRPr="00B4742D">
              <w:t>12-23</w:t>
            </w:r>
          </w:p>
        </w:tc>
        <w:tc>
          <w:tcPr>
            <w:tcW w:w="1015" w:type="dxa"/>
          </w:tcPr>
          <w:p w:rsidR="00641867" w:rsidRPr="00B4742D" w:rsidRDefault="00641867" w:rsidP="00CE6179">
            <w:pPr>
              <w:spacing w:line="240" w:lineRule="auto"/>
              <w:jc w:val="center"/>
            </w:pPr>
            <w:r w:rsidRPr="00B4742D">
              <w:t>26</w:t>
            </w:r>
          </w:p>
        </w:tc>
        <w:tc>
          <w:tcPr>
            <w:tcW w:w="1014" w:type="dxa"/>
          </w:tcPr>
          <w:p w:rsidR="00641867" w:rsidRPr="00B4742D" w:rsidRDefault="00641867" w:rsidP="00CE6179">
            <w:pPr>
              <w:spacing w:line="240" w:lineRule="auto"/>
              <w:jc w:val="center"/>
            </w:pPr>
            <w:r w:rsidRPr="00B4742D">
              <w:t>44</w:t>
            </w:r>
          </w:p>
        </w:tc>
        <w:tc>
          <w:tcPr>
            <w:tcW w:w="1014" w:type="dxa"/>
          </w:tcPr>
          <w:p w:rsidR="00641867" w:rsidRPr="00B4742D" w:rsidRDefault="00641867" w:rsidP="00CE6179">
            <w:pPr>
              <w:spacing w:line="240" w:lineRule="auto"/>
              <w:jc w:val="center"/>
            </w:pPr>
            <w:r w:rsidRPr="00B4742D">
              <w:t>55</w:t>
            </w:r>
          </w:p>
        </w:tc>
        <w:tc>
          <w:tcPr>
            <w:tcW w:w="1014" w:type="dxa"/>
          </w:tcPr>
          <w:p w:rsidR="00641867" w:rsidRPr="00B4742D" w:rsidRDefault="00641867" w:rsidP="00CE6179">
            <w:pPr>
              <w:spacing w:line="240" w:lineRule="auto"/>
              <w:jc w:val="center"/>
            </w:pPr>
            <w:r w:rsidRPr="00B4742D">
              <w:t>59</w:t>
            </w:r>
          </w:p>
        </w:tc>
        <w:tc>
          <w:tcPr>
            <w:tcW w:w="1014" w:type="dxa"/>
          </w:tcPr>
          <w:p w:rsidR="00641867" w:rsidRPr="00B4742D" w:rsidRDefault="00641867" w:rsidP="00CE6179">
            <w:pPr>
              <w:spacing w:line="240" w:lineRule="auto"/>
              <w:jc w:val="center"/>
            </w:pPr>
            <w:r w:rsidRPr="00B4742D">
              <w:t>16,1</w:t>
            </w:r>
          </w:p>
        </w:tc>
        <w:tc>
          <w:tcPr>
            <w:tcW w:w="1014" w:type="dxa"/>
          </w:tcPr>
          <w:p w:rsidR="00641867" w:rsidRPr="00B4742D" w:rsidRDefault="00641867" w:rsidP="00CE6179">
            <w:pPr>
              <w:spacing w:line="240" w:lineRule="auto"/>
              <w:jc w:val="center"/>
            </w:pPr>
            <w:r w:rsidRPr="00B4742D">
              <w:t>21,3</w:t>
            </w:r>
          </w:p>
        </w:tc>
        <w:tc>
          <w:tcPr>
            <w:tcW w:w="1014" w:type="dxa"/>
          </w:tcPr>
          <w:p w:rsidR="00641867" w:rsidRPr="00B4742D" w:rsidRDefault="00641867" w:rsidP="00CE6179">
            <w:pPr>
              <w:spacing w:line="240" w:lineRule="auto"/>
              <w:jc w:val="center"/>
            </w:pPr>
            <w:r w:rsidRPr="00B4742D">
              <w:t>23,6</w:t>
            </w:r>
          </w:p>
        </w:tc>
        <w:tc>
          <w:tcPr>
            <w:tcW w:w="1297" w:type="dxa"/>
          </w:tcPr>
          <w:p w:rsidR="00641867" w:rsidRPr="00B4742D" w:rsidRDefault="00641867" w:rsidP="00CE6179">
            <w:pPr>
              <w:spacing w:line="240" w:lineRule="auto"/>
              <w:jc w:val="center"/>
            </w:pPr>
            <w:r w:rsidRPr="00B4742D">
              <w:t>21,8</w:t>
            </w:r>
          </w:p>
        </w:tc>
      </w:tr>
      <w:tr w:rsidR="00641867" w:rsidRPr="00B4742D" w:rsidTr="00831E88">
        <w:tc>
          <w:tcPr>
            <w:tcW w:w="1243" w:type="dxa"/>
          </w:tcPr>
          <w:p w:rsidR="00641867" w:rsidRPr="00B4742D" w:rsidRDefault="00641867" w:rsidP="00821A87">
            <w:pPr>
              <w:spacing w:line="240" w:lineRule="auto"/>
              <w:jc w:val="center"/>
            </w:pPr>
            <w:r w:rsidRPr="00B4742D">
              <w:t>24</w:t>
            </w:r>
            <w:r w:rsidR="00821A87" w:rsidRPr="00B4742D">
              <w:t>&gt;</w:t>
            </w:r>
          </w:p>
        </w:tc>
        <w:tc>
          <w:tcPr>
            <w:tcW w:w="1015" w:type="dxa"/>
          </w:tcPr>
          <w:p w:rsidR="00641867" w:rsidRPr="00B4742D" w:rsidRDefault="00641867" w:rsidP="00CE6179">
            <w:pPr>
              <w:spacing w:line="240" w:lineRule="auto"/>
              <w:jc w:val="center"/>
            </w:pPr>
            <w:r w:rsidRPr="00B4742D">
              <w:t>66</w:t>
            </w:r>
          </w:p>
        </w:tc>
        <w:tc>
          <w:tcPr>
            <w:tcW w:w="1014" w:type="dxa"/>
          </w:tcPr>
          <w:p w:rsidR="00641867" w:rsidRPr="00B4742D" w:rsidRDefault="00641867" w:rsidP="00CE6179">
            <w:pPr>
              <w:spacing w:line="240" w:lineRule="auto"/>
              <w:jc w:val="center"/>
            </w:pPr>
            <w:r w:rsidRPr="00B4742D">
              <w:t>75</w:t>
            </w:r>
          </w:p>
        </w:tc>
        <w:tc>
          <w:tcPr>
            <w:tcW w:w="1014" w:type="dxa"/>
          </w:tcPr>
          <w:p w:rsidR="00641867" w:rsidRPr="00B4742D" w:rsidRDefault="00641867" w:rsidP="00CE6179">
            <w:pPr>
              <w:spacing w:line="240" w:lineRule="auto"/>
              <w:jc w:val="center"/>
            </w:pPr>
            <w:r w:rsidRPr="00B4742D">
              <w:t>95</w:t>
            </w:r>
          </w:p>
        </w:tc>
        <w:tc>
          <w:tcPr>
            <w:tcW w:w="1014" w:type="dxa"/>
          </w:tcPr>
          <w:p w:rsidR="00641867" w:rsidRPr="00B4742D" w:rsidRDefault="00641867" w:rsidP="00CE6179">
            <w:pPr>
              <w:spacing w:line="240" w:lineRule="auto"/>
              <w:jc w:val="center"/>
            </w:pPr>
            <w:r w:rsidRPr="00B4742D">
              <w:t>119</w:t>
            </w:r>
          </w:p>
        </w:tc>
        <w:tc>
          <w:tcPr>
            <w:tcW w:w="1014" w:type="dxa"/>
          </w:tcPr>
          <w:p w:rsidR="00641867" w:rsidRPr="00B4742D" w:rsidRDefault="00641867" w:rsidP="00CE6179">
            <w:pPr>
              <w:spacing w:line="240" w:lineRule="auto"/>
              <w:jc w:val="center"/>
            </w:pPr>
            <w:r w:rsidRPr="00B4742D">
              <w:t>41,2</w:t>
            </w:r>
          </w:p>
        </w:tc>
        <w:tc>
          <w:tcPr>
            <w:tcW w:w="1014" w:type="dxa"/>
          </w:tcPr>
          <w:p w:rsidR="00641867" w:rsidRPr="00B4742D" w:rsidRDefault="00641867" w:rsidP="00CE6179">
            <w:pPr>
              <w:spacing w:line="240" w:lineRule="auto"/>
              <w:jc w:val="center"/>
            </w:pPr>
            <w:r w:rsidRPr="00B4742D">
              <w:t>36,5</w:t>
            </w:r>
          </w:p>
        </w:tc>
        <w:tc>
          <w:tcPr>
            <w:tcW w:w="1014" w:type="dxa"/>
          </w:tcPr>
          <w:p w:rsidR="00641867" w:rsidRPr="00B4742D" w:rsidRDefault="00641867" w:rsidP="00CE6179">
            <w:pPr>
              <w:spacing w:line="240" w:lineRule="auto"/>
              <w:jc w:val="center"/>
            </w:pPr>
            <w:r w:rsidRPr="00B4742D">
              <w:t>40,9</w:t>
            </w:r>
          </w:p>
        </w:tc>
        <w:tc>
          <w:tcPr>
            <w:tcW w:w="1297" w:type="dxa"/>
          </w:tcPr>
          <w:p w:rsidR="00641867" w:rsidRPr="00B4742D" w:rsidRDefault="00641867" w:rsidP="00CE6179">
            <w:pPr>
              <w:spacing w:line="240" w:lineRule="auto"/>
              <w:jc w:val="center"/>
            </w:pPr>
            <w:r w:rsidRPr="00B4742D">
              <w:t>43,7</w:t>
            </w:r>
          </w:p>
        </w:tc>
      </w:tr>
    </w:tbl>
    <w:p w:rsidR="00641867" w:rsidRPr="00B4742D" w:rsidRDefault="00641867" w:rsidP="00641867">
      <w:pPr>
        <w:spacing w:line="240" w:lineRule="auto"/>
      </w:pPr>
      <w:r w:rsidRPr="00B4742D">
        <w:t>Izvor: DZS: Anketa o radnoj snazi</w:t>
      </w:r>
    </w:p>
    <w:p w:rsidR="00683F78" w:rsidRPr="00B4742D" w:rsidRDefault="00683F78" w:rsidP="00641867">
      <w:pPr>
        <w:spacing w:line="240" w:lineRule="auto"/>
      </w:pPr>
    </w:p>
    <w:p w:rsidR="00641867" w:rsidRPr="00B4742D" w:rsidRDefault="00641867" w:rsidP="00641867">
      <w:pPr>
        <w:spacing w:line="240" w:lineRule="auto"/>
      </w:pPr>
      <w:r w:rsidRPr="00B4742D">
        <w:t xml:space="preserve">S obzirom na navedeno, postavlja se pitanje u kojoj mjeri sustav otpremnina utječe na mobilnost </w:t>
      </w:r>
      <w:r w:rsidR="00683F78" w:rsidRPr="00B4742D">
        <w:t>rad</w:t>
      </w:r>
      <w:r w:rsidR="006E6C71" w:rsidRPr="00B4742D">
        <w:t>n</w:t>
      </w:r>
      <w:r w:rsidR="00683F78" w:rsidRPr="00B4742D">
        <w:t>e snage</w:t>
      </w:r>
      <w:r w:rsidRPr="00B4742D">
        <w:t xml:space="preserve"> u Republici Hrvatskoj. Na temelju </w:t>
      </w:r>
      <w:r w:rsidR="00683F78" w:rsidRPr="00B4742D">
        <w:t>G</w:t>
      </w:r>
      <w:r w:rsidRPr="00B4742D">
        <w:t xml:space="preserve">rafikona </w:t>
      </w:r>
      <w:r w:rsidR="0096429A" w:rsidRPr="00B4742D">
        <w:t>8</w:t>
      </w:r>
      <w:r w:rsidR="00683F78" w:rsidRPr="00B4742D">
        <w:t>.</w:t>
      </w:r>
      <w:r w:rsidRPr="00B4742D">
        <w:t xml:space="preserve"> i </w:t>
      </w:r>
      <w:r w:rsidR="0096429A" w:rsidRPr="00B4742D">
        <w:t>9</w:t>
      </w:r>
      <w:r w:rsidR="00683F78" w:rsidRPr="00B4742D">
        <w:t>.</w:t>
      </w:r>
      <w:r w:rsidRPr="00B4742D">
        <w:t xml:space="preserve"> može se zaključiti </w:t>
      </w:r>
      <w:r w:rsidR="00683F78" w:rsidRPr="00B4742D">
        <w:t>kako</w:t>
      </w:r>
      <w:r w:rsidRPr="00B4742D">
        <w:t xml:space="preserve"> otpremnine ne predstavljaju značajan čimbenik u okviru odlučivanja o odlasku u mirovinu ili promjene radnog mjesta. Stoga možemo ustvrditi da je malo vjerojatno da bi promjene u sustavu isplate otpremnina uzrokovale značajnije učinke na tržištu rada u </w:t>
      </w:r>
      <w:r w:rsidR="009F2654" w:rsidRPr="00B4742D">
        <w:t xml:space="preserve">Republici </w:t>
      </w:r>
      <w:r w:rsidRPr="00B4742D">
        <w:t>Hrvatskoj.</w:t>
      </w:r>
    </w:p>
    <w:p w:rsidR="00C84BF9" w:rsidRPr="00B4742D" w:rsidRDefault="00C84BF9">
      <w:pPr>
        <w:tabs>
          <w:tab w:val="clear" w:pos="0"/>
          <w:tab w:val="clear" w:pos="9360"/>
        </w:tabs>
        <w:spacing w:line="240" w:lineRule="auto"/>
        <w:jc w:val="left"/>
      </w:pPr>
      <w:r w:rsidRPr="00B4742D">
        <w:br w:type="page"/>
      </w:r>
    </w:p>
    <w:p w:rsidR="00641867" w:rsidRPr="00B4742D" w:rsidRDefault="00641867" w:rsidP="00641867">
      <w:pPr>
        <w:spacing w:line="240" w:lineRule="auto"/>
      </w:pPr>
      <w:r w:rsidRPr="00B4742D">
        <w:lastRenderedPageBreak/>
        <w:t xml:space="preserve">Grafikon </w:t>
      </w:r>
      <w:r w:rsidR="0096429A" w:rsidRPr="00B4742D">
        <w:t>8</w:t>
      </w:r>
      <w:r w:rsidR="0076762D" w:rsidRPr="00B4742D">
        <w:t>.</w:t>
      </w:r>
      <w:r w:rsidRPr="00B4742D">
        <w:t>: Umirovljenici (</w:t>
      </w:r>
      <w:r w:rsidR="0096429A" w:rsidRPr="00B4742D">
        <w:t>od pedeset do šezdesetdevet</w:t>
      </w:r>
      <w:r w:rsidR="00683F78" w:rsidRPr="00B4742D">
        <w:t xml:space="preserve"> godina života</w:t>
      </w:r>
      <w:r w:rsidRPr="00B4742D">
        <w:t>) prema razlozima odlaska u mirovinu</w:t>
      </w:r>
    </w:p>
    <w:p w:rsidR="00641867" w:rsidRPr="00B4742D" w:rsidRDefault="00641867" w:rsidP="00641867">
      <w:pPr>
        <w:spacing w:line="240" w:lineRule="auto"/>
      </w:pPr>
      <w:r w:rsidRPr="00B4742D">
        <w:rPr>
          <w:noProof/>
          <w:lang w:val="en-US" w:eastAsia="en-US"/>
        </w:rPr>
        <w:drawing>
          <wp:inline distT="0" distB="0" distL="0" distR="0" wp14:anchorId="0285536E" wp14:editId="4FDE5384">
            <wp:extent cx="5737860" cy="2071370"/>
            <wp:effectExtent l="0" t="0" r="15240" b="2413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1867" w:rsidRPr="002017C6" w:rsidRDefault="00641867" w:rsidP="00641867">
      <w:pPr>
        <w:spacing w:line="240" w:lineRule="auto"/>
      </w:pPr>
      <w:r w:rsidRPr="00B4742D">
        <w:t>Izvor: DZS: Anketa o radnoj snazi</w:t>
      </w:r>
    </w:p>
    <w:p w:rsidR="00641867" w:rsidRPr="009336BF" w:rsidRDefault="00641867" w:rsidP="00641867">
      <w:pPr>
        <w:spacing w:line="240" w:lineRule="auto"/>
      </w:pPr>
    </w:p>
    <w:p w:rsidR="00641867" w:rsidRPr="00B74757" w:rsidRDefault="00641867" w:rsidP="00641867">
      <w:pPr>
        <w:spacing w:line="240" w:lineRule="auto"/>
      </w:pPr>
      <w:r w:rsidRPr="009336BF">
        <w:t xml:space="preserve">Grafikon </w:t>
      </w:r>
      <w:r w:rsidR="0096429A" w:rsidRPr="00C7332E">
        <w:t>9</w:t>
      </w:r>
      <w:r w:rsidR="0076762D" w:rsidRPr="00C7332E">
        <w:t>.</w:t>
      </w:r>
      <w:r w:rsidRPr="00C7332E">
        <w:t xml:space="preserve">: </w:t>
      </w:r>
      <w:r w:rsidR="0096429A" w:rsidRPr="00C7332E">
        <w:t>Radnici</w:t>
      </w:r>
      <w:r w:rsidRPr="006C4F67">
        <w:t xml:space="preserve"> (</w:t>
      </w:r>
      <w:r w:rsidR="0096429A" w:rsidRPr="006C4F67">
        <w:t>od pedeset do šezdesetdevet godina života</w:t>
      </w:r>
      <w:r w:rsidRPr="006C4F67">
        <w:t>) koj</w:t>
      </w:r>
      <w:r w:rsidR="0096429A" w:rsidRPr="006C4F67">
        <w:t>i</w:t>
      </w:r>
      <w:r w:rsidRPr="00B74757">
        <w:t xml:space="preserve"> bi prihvatil</w:t>
      </w:r>
      <w:r w:rsidR="0096429A" w:rsidRPr="00B74757">
        <w:t>i</w:t>
      </w:r>
      <w:r w:rsidRPr="00B74757">
        <w:t xml:space="preserve"> prijevremenu mirovinu prema razlozima</w:t>
      </w:r>
    </w:p>
    <w:p w:rsidR="00641867" w:rsidRPr="00B4742D" w:rsidRDefault="00641867" w:rsidP="00641867">
      <w:pPr>
        <w:spacing w:line="240" w:lineRule="auto"/>
      </w:pPr>
      <w:r w:rsidRPr="00B4742D">
        <w:rPr>
          <w:noProof/>
          <w:lang w:val="en-US" w:eastAsia="en-US"/>
        </w:rPr>
        <w:drawing>
          <wp:inline distT="0" distB="0" distL="0" distR="0" wp14:anchorId="1F36BD68" wp14:editId="120D1015">
            <wp:extent cx="5737860" cy="2538730"/>
            <wp:effectExtent l="0" t="0" r="15240" b="1397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1867" w:rsidRPr="002017C6" w:rsidRDefault="00641867" w:rsidP="00641867">
      <w:pPr>
        <w:spacing w:line="240" w:lineRule="auto"/>
      </w:pPr>
      <w:r w:rsidRPr="00B4742D">
        <w:t>Izvor: DZS: Anketa o radnoj snazi</w:t>
      </w:r>
    </w:p>
    <w:p w:rsidR="00641867" w:rsidRPr="009336BF" w:rsidRDefault="00641867" w:rsidP="00641867">
      <w:pPr>
        <w:spacing w:line="240" w:lineRule="auto"/>
      </w:pPr>
    </w:p>
    <w:p w:rsidR="00380807" w:rsidRPr="008B2ED7" w:rsidRDefault="00641867" w:rsidP="00641867">
      <w:pPr>
        <w:spacing w:line="240" w:lineRule="auto"/>
      </w:pPr>
      <w:r w:rsidRPr="009336BF">
        <w:t xml:space="preserve">Treba napomenuti </w:t>
      </w:r>
      <w:r w:rsidR="00683F78" w:rsidRPr="00C7332E">
        <w:t>kako</w:t>
      </w:r>
      <w:r w:rsidRPr="00C7332E">
        <w:t xml:space="preserve"> </w:t>
      </w:r>
      <w:r w:rsidR="009F2654" w:rsidRPr="00C7332E">
        <w:t xml:space="preserve">Republika </w:t>
      </w:r>
      <w:r w:rsidRPr="006C4F67">
        <w:t xml:space="preserve">Hrvatska ima znatno nižu produktivnost radne snage no </w:t>
      </w:r>
      <w:r w:rsidR="009F2654" w:rsidRPr="006C4F67">
        <w:t xml:space="preserve">Republika </w:t>
      </w:r>
      <w:r w:rsidRPr="006C4F67">
        <w:t xml:space="preserve">Austrija. To znači da po </w:t>
      </w:r>
      <w:r w:rsidR="00683F78" w:rsidRPr="006C4F67">
        <w:t>radniku</w:t>
      </w:r>
      <w:r w:rsidRPr="00B74757">
        <w:t xml:space="preserve"> prosječn</w:t>
      </w:r>
      <w:r w:rsidR="00683F78" w:rsidRPr="00B74757">
        <w:t>i</w:t>
      </w:r>
      <w:r w:rsidRPr="00B74757">
        <w:t xml:space="preserve"> hrvatsk</w:t>
      </w:r>
      <w:r w:rsidR="00683F78" w:rsidRPr="00B74757">
        <w:t>i poslodavac</w:t>
      </w:r>
      <w:r w:rsidRPr="009769E7">
        <w:t xml:space="preserve"> ostvaruje manju dodanu vrijednost. Stoga će svako povećanje troška rada relativno više opteretiti po</w:t>
      </w:r>
      <w:r w:rsidR="00683F78" w:rsidRPr="004D0AD5">
        <w:t>slodavce</w:t>
      </w:r>
      <w:r w:rsidRPr="004D0AD5">
        <w:t xml:space="preserve"> no u </w:t>
      </w:r>
      <w:r w:rsidR="009F2654" w:rsidRPr="00E1401E">
        <w:t xml:space="preserve">Republici </w:t>
      </w:r>
      <w:r w:rsidRPr="00E1401E">
        <w:t>Austriji. Naravno, ovakva pravilnost vrijedi i sektorski u smislu da će u R</w:t>
      </w:r>
      <w:r w:rsidR="009F2654" w:rsidRPr="00D00975">
        <w:t>epublici Hrvatskoj</w:t>
      </w:r>
      <w:r w:rsidRPr="00D00975">
        <w:t xml:space="preserve"> biti manje opterećeni sektori koji stvaraju veću dodanu vrijednost, a više oni sektori koji imaju manju produktivnost. Takvo opterećenje je veće i u apsolutnom smislu jer</w:t>
      </w:r>
      <w:r w:rsidRPr="008B2ED7">
        <w:t xml:space="preserve"> manjak produktivnosti povećava potrebu za većim brojem radnika. S druge strane, njihovo otpuštanje rezultirat će većim teretom isplata po osnovi otpremnina.</w:t>
      </w:r>
    </w:p>
    <w:p w:rsidR="00C84BF9" w:rsidRPr="008B2ED7" w:rsidRDefault="00C84BF9">
      <w:pPr>
        <w:tabs>
          <w:tab w:val="clear" w:pos="0"/>
          <w:tab w:val="clear" w:pos="9360"/>
        </w:tabs>
        <w:spacing w:line="240" w:lineRule="auto"/>
        <w:jc w:val="left"/>
      </w:pPr>
      <w:r w:rsidRPr="008B2ED7">
        <w:br w:type="page"/>
      </w:r>
    </w:p>
    <w:p w:rsidR="00641867" w:rsidRPr="008B2ED7" w:rsidRDefault="00641867" w:rsidP="00641867">
      <w:pPr>
        <w:pStyle w:val="Heading1"/>
      </w:pPr>
      <w:bookmarkStart w:id="37" w:name="_Toc365828854"/>
      <w:r w:rsidRPr="008B2ED7">
        <w:lastRenderedPageBreak/>
        <w:t>7. Simulacija primjene modela</w:t>
      </w:r>
      <w:bookmarkEnd w:id="37"/>
    </w:p>
    <w:p w:rsidR="00641867" w:rsidRPr="008B2ED7" w:rsidRDefault="00641867" w:rsidP="00466D80">
      <w:pPr>
        <w:spacing w:line="240" w:lineRule="auto"/>
      </w:pPr>
    </w:p>
    <w:p w:rsidR="00641867" w:rsidRPr="00B4742D" w:rsidRDefault="00A5682B" w:rsidP="00641867">
      <w:pPr>
        <w:spacing w:line="240" w:lineRule="auto"/>
      </w:pPr>
      <w:r w:rsidRPr="00B4742D">
        <w:t xml:space="preserve">Aktualno uređenje prava na otpremninu, i način kako se </w:t>
      </w:r>
      <w:r w:rsidR="00641867" w:rsidRPr="00B4742D">
        <w:t xml:space="preserve">iznos otpremnine </w:t>
      </w:r>
      <w:r w:rsidRPr="00B4742D">
        <w:t xml:space="preserve">utvrđuje, </w:t>
      </w:r>
      <w:r w:rsidR="00641867" w:rsidRPr="00B4742D">
        <w:t xml:space="preserve">temelji </w:t>
      </w:r>
      <w:r w:rsidRPr="00B4742D">
        <w:t xml:space="preserve">se </w:t>
      </w:r>
      <w:r w:rsidR="00641867" w:rsidRPr="00B4742D">
        <w:t xml:space="preserve">na </w:t>
      </w:r>
      <w:r w:rsidRPr="00B4742D">
        <w:t>trajanju</w:t>
      </w:r>
      <w:r w:rsidR="00641867" w:rsidRPr="00B4742D">
        <w:t xml:space="preserve"> staža</w:t>
      </w:r>
      <w:r w:rsidRPr="00B4742D">
        <w:t xml:space="preserve"> radnika</w:t>
      </w:r>
      <w:r w:rsidR="00641867" w:rsidRPr="00B4742D">
        <w:t xml:space="preserve"> kod istog poslodavca, prosječnoj mjesečnoj bruto plaći</w:t>
      </w:r>
      <w:r w:rsidRPr="00B4742D">
        <w:t xml:space="preserve"> posljednja tri mjeseca</w:t>
      </w:r>
      <w:r w:rsidR="00641867" w:rsidRPr="00B4742D">
        <w:t xml:space="preserve"> te poreznom tretmanu dohotka s ovog osnova. Model koji</w:t>
      </w:r>
      <w:r w:rsidRPr="00B4742D">
        <w:t>m</w:t>
      </w:r>
      <w:r w:rsidR="00641867" w:rsidRPr="00B4742D">
        <w:t xml:space="preserve"> se </w:t>
      </w:r>
      <w:r w:rsidRPr="00B4742D">
        <w:t xml:space="preserve">predlaže nadomjestiti to uređenje </w:t>
      </w:r>
      <w:r w:rsidR="00641867" w:rsidRPr="00B4742D">
        <w:t>iznos</w:t>
      </w:r>
      <w:r w:rsidRPr="00B4742D">
        <w:t>e</w:t>
      </w:r>
      <w:r w:rsidR="00641867" w:rsidRPr="00B4742D">
        <w:t xml:space="preserve"> otpremnina </w:t>
      </w:r>
      <w:r w:rsidRPr="00B4742D">
        <w:t xml:space="preserve">tretira </w:t>
      </w:r>
      <w:r w:rsidR="00641867" w:rsidRPr="00B4742D">
        <w:t>temelj</w:t>
      </w:r>
      <w:r w:rsidRPr="00B4742D">
        <w:t>em</w:t>
      </w:r>
      <w:r w:rsidR="00641867" w:rsidRPr="00B4742D">
        <w:t xml:space="preserve"> </w:t>
      </w:r>
      <w:r w:rsidRPr="00B4742D">
        <w:t xml:space="preserve">ukupnosti </w:t>
      </w:r>
      <w:r w:rsidR="00641867" w:rsidRPr="00B4742D">
        <w:t>dužine staža</w:t>
      </w:r>
      <w:r w:rsidRPr="00B4742D">
        <w:t xml:space="preserve"> radnika u radnom odnosu</w:t>
      </w:r>
      <w:r w:rsidR="00641867" w:rsidRPr="00B4742D">
        <w:t xml:space="preserve"> u kontinuitetu,</w:t>
      </w:r>
      <w:r w:rsidRPr="00B4742D">
        <w:t xml:space="preserve"> onog što se počesto identificira “radnim stažem”, potom</w:t>
      </w:r>
      <w:r w:rsidR="00641867" w:rsidRPr="00B4742D">
        <w:t xml:space="preserve"> doprinosa na bruto plaću, poreznom tretmanu otpremnina, ali i stopi prinosa koja se ostvaruje u okviru upravljanja prikupljenim sredstvima. S obzirom na takvu različitu osnovu </w:t>
      </w:r>
      <w:r w:rsidRPr="00B4742D">
        <w:t>uređenja prava na otpremnine i utvrđenja</w:t>
      </w:r>
      <w:r w:rsidR="00641867" w:rsidRPr="00B4742D">
        <w:t xml:space="preserve"> </w:t>
      </w:r>
      <w:r w:rsidRPr="00B4742D">
        <w:t xml:space="preserve">njena </w:t>
      </w:r>
      <w:r w:rsidR="00641867" w:rsidRPr="00B4742D">
        <w:t>iznosa važno je projicirati iznose potraživanja po osnovi prava na otpremnine</w:t>
      </w:r>
      <w:r w:rsidRPr="00B4742D">
        <w:t>.</w:t>
      </w:r>
      <w:r w:rsidR="00641867" w:rsidRPr="00B4742D">
        <w:t xml:space="preserve"> </w:t>
      </w:r>
    </w:p>
    <w:p w:rsidR="00641867" w:rsidRPr="00B4742D" w:rsidRDefault="00641867" w:rsidP="00641867">
      <w:pPr>
        <w:spacing w:line="240" w:lineRule="auto"/>
      </w:pPr>
    </w:p>
    <w:p w:rsidR="00641867" w:rsidRPr="00B4742D" w:rsidRDefault="00641867" w:rsidP="00641867">
      <w:pPr>
        <w:spacing w:line="240" w:lineRule="auto"/>
      </w:pPr>
      <w:r w:rsidRPr="00B4742D">
        <w:t>Simulacije</w:t>
      </w:r>
      <w:r w:rsidR="00A5682B" w:rsidRPr="00B4742D">
        <w:t xml:space="preserve"> koje slijede</w:t>
      </w:r>
      <w:r w:rsidRPr="00B4742D">
        <w:t xml:space="preserve"> izvršene </w:t>
      </w:r>
      <w:r w:rsidR="00A5682B" w:rsidRPr="00B4742D">
        <w:t xml:space="preserve">su </w:t>
      </w:r>
      <w:r w:rsidRPr="00B4742D">
        <w:t xml:space="preserve">na temelju pretpostavljenog prosječnog iznosa bruto plaće te godina rada, prireza od </w:t>
      </w:r>
      <w:r w:rsidR="00A5682B" w:rsidRPr="00B4742D">
        <w:t>osamnaest</w:t>
      </w:r>
      <w:r w:rsidR="00BE7C3B" w:rsidRPr="00B4742D">
        <w:t xml:space="preserve"> posto</w:t>
      </w:r>
      <w:r w:rsidRPr="00B4742D">
        <w:t xml:space="preserve">, doprinosa na bruto plaću od </w:t>
      </w:r>
      <w:r w:rsidR="00A5682B" w:rsidRPr="00B4742D">
        <w:t xml:space="preserve">jedan i pol </w:t>
      </w:r>
      <w:r w:rsidR="00BE7C3B" w:rsidRPr="00B4742D">
        <w:t>posto</w:t>
      </w:r>
      <w:r w:rsidRPr="00B4742D">
        <w:t xml:space="preserve"> te stope prinosa na kapital od </w:t>
      </w:r>
      <w:r w:rsidR="00A5682B" w:rsidRPr="00B4742D">
        <w:t>pet</w:t>
      </w:r>
      <w:r w:rsidR="00BE7C3B" w:rsidRPr="00B4742D">
        <w:t xml:space="preserve"> posto</w:t>
      </w:r>
      <w:r w:rsidRPr="00B4742D">
        <w:t>. Tablica 9</w:t>
      </w:r>
      <w:r w:rsidR="00821A87" w:rsidRPr="00B4742D">
        <w:t>.</w:t>
      </w:r>
      <w:r w:rsidRPr="00B4742D">
        <w:t xml:space="preserve"> prikazuje iznose otpremnina koji bi se isplatili u sadašnjem sustavu. Kao što je naveden</w:t>
      </w:r>
      <w:r w:rsidR="00A5682B" w:rsidRPr="00B4742D">
        <w:t>o</w:t>
      </w:r>
      <w:r w:rsidRPr="00B4742D">
        <w:t xml:space="preserve"> </w:t>
      </w:r>
      <w:r w:rsidR="00A5682B" w:rsidRPr="00B4742D">
        <w:t xml:space="preserve">aktualni nacionalni </w:t>
      </w:r>
      <w:r w:rsidRPr="00B4742D">
        <w:t xml:space="preserve">sustav otpremnina u Republici Hrvatskoj </w:t>
      </w:r>
      <w:r w:rsidR="00A5682B" w:rsidRPr="00B4742D">
        <w:t xml:space="preserve">iskazuje se </w:t>
      </w:r>
      <w:r w:rsidRPr="00B4742D">
        <w:t>u suprotnosti sa načelom vertikalne pravednosti koje je u nas prisutno kod standardnog oporezivanja dohotka. Naime, dok je porez na dohodak značajno progresivan, sustav isplate otpremnina bilježi minimalnu progresiju.</w:t>
      </w:r>
      <w:r w:rsidR="002E496E" w:rsidRPr="00B4742D">
        <w:rPr>
          <w:rStyle w:val="FootnoteReference"/>
        </w:rPr>
        <w:footnoteReference w:id="90"/>
      </w:r>
    </w:p>
    <w:p w:rsidR="00641867" w:rsidRPr="00B4742D" w:rsidRDefault="00641867" w:rsidP="00641867">
      <w:pPr>
        <w:spacing w:line="240" w:lineRule="auto"/>
      </w:pPr>
    </w:p>
    <w:p w:rsidR="00641867" w:rsidRPr="009336BF" w:rsidRDefault="00641867" w:rsidP="00641867">
      <w:pPr>
        <w:spacing w:line="240" w:lineRule="auto"/>
      </w:pPr>
      <w:r w:rsidRPr="002017C6">
        <w:t>Tablica 9</w:t>
      </w:r>
      <w:r w:rsidR="0076762D" w:rsidRPr="002017C6">
        <w:t>.</w:t>
      </w:r>
      <w:r w:rsidRPr="00FE70C5">
        <w:t>: Iznosi potraživanja za otpremnine na temelju prosječne mjesečne bruto plaće i godina rada (</w:t>
      </w:r>
      <w:r w:rsidR="00A5682B" w:rsidRPr="009336BF">
        <w:t>aktualni nacionalni sustav otpremnina</w:t>
      </w:r>
      <w:r w:rsidRPr="009336BF">
        <w:t>)</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638"/>
        <w:gridCol w:w="1147"/>
        <w:gridCol w:w="1138"/>
        <w:gridCol w:w="1311"/>
        <w:gridCol w:w="1247"/>
        <w:gridCol w:w="1244"/>
        <w:gridCol w:w="1176"/>
      </w:tblGrid>
      <w:tr w:rsidR="00641867" w:rsidRPr="00B4742D" w:rsidTr="00821A87">
        <w:trPr>
          <w:trHeight w:val="300"/>
        </w:trPr>
        <w:tc>
          <w:tcPr>
            <w:tcW w:w="1754" w:type="dxa"/>
            <w:shd w:val="clear" w:color="auto" w:fill="auto"/>
            <w:noWrap/>
            <w:vAlign w:val="bottom"/>
            <w:hideMark/>
          </w:tcPr>
          <w:p w:rsidR="00641867" w:rsidRPr="00C7332E" w:rsidRDefault="00641867" w:rsidP="00821A87">
            <w:pPr>
              <w:spacing w:line="240" w:lineRule="auto"/>
              <w:jc w:val="center"/>
            </w:pPr>
          </w:p>
        </w:tc>
        <w:tc>
          <w:tcPr>
            <w:tcW w:w="7900" w:type="dxa"/>
            <w:gridSpan w:val="7"/>
            <w:shd w:val="clear" w:color="auto" w:fill="auto"/>
            <w:noWrap/>
            <w:vAlign w:val="bottom"/>
            <w:hideMark/>
          </w:tcPr>
          <w:p w:rsidR="00641867" w:rsidRPr="00C7332E" w:rsidRDefault="00641867" w:rsidP="00821A87">
            <w:pPr>
              <w:spacing w:line="240" w:lineRule="auto"/>
              <w:jc w:val="center"/>
            </w:pPr>
            <w:r w:rsidRPr="00C7332E">
              <w:t>Godine rada</w:t>
            </w:r>
          </w:p>
        </w:tc>
      </w:tr>
      <w:tr w:rsidR="00821A87" w:rsidRPr="00B4742D" w:rsidTr="00821A87">
        <w:trPr>
          <w:trHeight w:val="300"/>
        </w:trPr>
        <w:tc>
          <w:tcPr>
            <w:tcW w:w="1754" w:type="dxa"/>
            <w:shd w:val="clear" w:color="auto" w:fill="auto"/>
            <w:noWrap/>
            <w:vAlign w:val="bottom"/>
            <w:hideMark/>
          </w:tcPr>
          <w:p w:rsidR="00641867" w:rsidRPr="00B4742D" w:rsidRDefault="00641867" w:rsidP="00821A87">
            <w:pPr>
              <w:spacing w:line="240" w:lineRule="auto"/>
              <w:jc w:val="center"/>
            </w:pPr>
            <w:r w:rsidRPr="00B4742D">
              <w:t>Mjesečni iznos bruto plaće (HRK)</w:t>
            </w:r>
          </w:p>
        </w:tc>
        <w:tc>
          <w:tcPr>
            <w:tcW w:w="639" w:type="dxa"/>
            <w:shd w:val="clear" w:color="auto" w:fill="auto"/>
            <w:noWrap/>
            <w:vAlign w:val="bottom"/>
            <w:hideMark/>
          </w:tcPr>
          <w:p w:rsidR="00641867" w:rsidRPr="00B4742D" w:rsidRDefault="00641867" w:rsidP="00821A87">
            <w:pPr>
              <w:spacing w:line="240" w:lineRule="auto"/>
              <w:jc w:val="center"/>
            </w:pPr>
            <w:r w:rsidRPr="00B4742D">
              <w:t>1</w:t>
            </w:r>
          </w:p>
        </w:tc>
        <w:tc>
          <w:tcPr>
            <w:tcW w:w="1147" w:type="dxa"/>
            <w:shd w:val="clear" w:color="auto" w:fill="auto"/>
            <w:noWrap/>
            <w:vAlign w:val="bottom"/>
            <w:hideMark/>
          </w:tcPr>
          <w:p w:rsidR="00641867" w:rsidRPr="00B4742D" w:rsidRDefault="00641867" w:rsidP="00821A87">
            <w:pPr>
              <w:spacing w:line="240" w:lineRule="auto"/>
              <w:jc w:val="center"/>
            </w:pPr>
            <w:r w:rsidRPr="00B4742D">
              <w:t>2</w:t>
            </w:r>
          </w:p>
        </w:tc>
        <w:tc>
          <w:tcPr>
            <w:tcW w:w="1138" w:type="dxa"/>
            <w:shd w:val="clear" w:color="auto" w:fill="auto"/>
            <w:noWrap/>
            <w:vAlign w:val="bottom"/>
            <w:hideMark/>
          </w:tcPr>
          <w:p w:rsidR="00641867" w:rsidRPr="00B4742D" w:rsidRDefault="00641867" w:rsidP="00821A87">
            <w:pPr>
              <w:spacing w:line="240" w:lineRule="auto"/>
              <w:jc w:val="center"/>
            </w:pPr>
            <w:r w:rsidRPr="00B4742D">
              <w:t>5</w:t>
            </w:r>
          </w:p>
        </w:tc>
        <w:tc>
          <w:tcPr>
            <w:tcW w:w="1311" w:type="dxa"/>
            <w:shd w:val="clear" w:color="auto" w:fill="auto"/>
            <w:noWrap/>
            <w:vAlign w:val="bottom"/>
            <w:hideMark/>
          </w:tcPr>
          <w:p w:rsidR="00641867" w:rsidRPr="00B4742D" w:rsidRDefault="00641867" w:rsidP="00821A87">
            <w:pPr>
              <w:spacing w:line="240" w:lineRule="auto"/>
              <w:jc w:val="center"/>
            </w:pPr>
            <w:r w:rsidRPr="00B4742D">
              <w:t>10</w:t>
            </w:r>
          </w:p>
        </w:tc>
        <w:tc>
          <w:tcPr>
            <w:tcW w:w="1247" w:type="dxa"/>
            <w:shd w:val="clear" w:color="auto" w:fill="auto"/>
            <w:noWrap/>
            <w:vAlign w:val="bottom"/>
            <w:hideMark/>
          </w:tcPr>
          <w:p w:rsidR="00641867" w:rsidRPr="00B4742D" w:rsidRDefault="00641867" w:rsidP="00821A87">
            <w:pPr>
              <w:spacing w:line="240" w:lineRule="auto"/>
              <w:jc w:val="center"/>
            </w:pPr>
            <w:r w:rsidRPr="00B4742D">
              <w:t>15</w:t>
            </w:r>
          </w:p>
        </w:tc>
        <w:tc>
          <w:tcPr>
            <w:tcW w:w="1244" w:type="dxa"/>
            <w:shd w:val="clear" w:color="auto" w:fill="auto"/>
            <w:noWrap/>
            <w:vAlign w:val="bottom"/>
            <w:hideMark/>
          </w:tcPr>
          <w:p w:rsidR="00641867" w:rsidRPr="00B4742D" w:rsidRDefault="00641867" w:rsidP="00821A87">
            <w:pPr>
              <w:spacing w:line="240" w:lineRule="auto"/>
              <w:jc w:val="center"/>
            </w:pPr>
            <w:r w:rsidRPr="00B4742D">
              <w:t>20</w:t>
            </w:r>
          </w:p>
        </w:tc>
        <w:tc>
          <w:tcPr>
            <w:tcW w:w="1174" w:type="dxa"/>
            <w:shd w:val="clear" w:color="auto" w:fill="auto"/>
            <w:noWrap/>
            <w:vAlign w:val="bottom"/>
            <w:hideMark/>
          </w:tcPr>
          <w:p w:rsidR="00641867" w:rsidRPr="00B4742D" w:rsidRDefault="00641867" w:rsidP="00821A87">
            <w:pPr>
              <w:spacing w:line="240" w:lineRule="auto"/>
              <w:jc w:val="center"/>
            </w:pPr>
            <w:r w:rsidRPr="00B4742D">
              <w:t>30</w:t>
            </w:r>
          </w:p>
        </w:tc>
      </w:tr>
      <w:tr w:rsidR="00821A87" w:rsidRPr="00B4742D" w:rsidTr="00821A87">
        <w:trPr>
          <w:trHeight w:val="300"/>
        </w:trPr>
        <w:tc>
          <w:tcPr>
            <w:tcW w:w="1754" w:type="dxa"/>
            <w:shd w:val="clear" w:color="auto" w:fill="auto"/>
            <w:noWrap/>
            <w:vAlign w:val="bottom"/>
            <w:hideMark/>
          </w:tcPr>
          <w:p w:rsidR="00641867" w:rsidRPr="00B4742D" w:rsidRDefault="00641867" w:rsidP="00821A87">
            <w:pPr>
              <w:spacing w:line="240" w:lineRule="auto"/>
              <w:jc w:val="center"/>
            </w:pPr>
            <w:r w:rsidRPr="00B4742D">
              <w:t>3</w:t>
            </w:r>
            <w:r w:rsidR="00821A87" w:rsidRPr="00B4742D">
              <w:t>.</w:t>
            </w:r>
            <w:r w:rsidRPr="00B4742D">
              <w:t>000</w:t>
            </w:r>
            <w:r w:rsidR="00821A87" w:rsidRPr="00B4742D">
              <w:t>,00</w:t>
            </w:r>
          </w:p>
        </w:tc>
        <w:tc>
          <w:tcPr>
            <w:tcW w:w="639" w:type="dxa"/>
            <w:shd w:val="clear" w:color="auto" w:fill="auto"/>
            <w:noWrap/>
            <w:vAlign w:val="bottom"/>
            <w:hideMark/>
          </w:tcPr>
          <w:p w:rsidR="00641867" w:rsidRPr="00B4742D" w:rsidRDefault="00641867" w:rsidP="00821A87">
            <w:pPr>
              <w:spacing w:line="240" w:lineRule="auto"/>
              <w:jc w:val="center"/>
            </w:pPr>
            <w:r w:rsidRPr="00B4742D">
              <w:t>-</w:t>
            </w:r>
          </w:p>
        </w:tc>
        <w:tc>
          <w:tcPr>
            <w:tcW w:w="1147" w:type="dxa"/>
            <w:shd w:val="clear" w:color="auto" w:fill="auto"/>
            <w:noWrap/>
            <w:hideMark/>
          </w:tcPr>
          <w:p w:rsidR="00641867" w:rsidRPr="00B4742D" w:rsidRDefault="00641867" w:rsidP="00821A87">
            <w:pPr>
              <w:spacing w:line="240" w:lineRule="auto"/>
              <w:jc w:val="center"/>
            </w:pPr>
            <w:r w:rsidRPr="00B4742D">
              <w:t>2</w:t>
            </w:r>
            <w:r w:rsidR="00821A87" w:rsidRPr="00B4742D">
              <w:t>.</w:t>
            </w:r>
            <w:r w:rsidRPr="00B4742D">
              <w:t>000,0</w:t>
            </w:r>
          </w:p>
        </w:tc>
        <w:tc>
          <w:tcPr>
            <w:tcW w:w="1138" w:type="dxa"/>
            <w:shd w:val="clear" w:color="auto" w:fill="auto"/>
            <w:noWrap/>
            <w:hideMark/>
          </w:tcPr>
          <w:p w:rsidR="00641867" w:rsidRPr="00B4742D" w:rsidRDefault="00641867" w:rsidP="00821A87">
            <w:pPr>
              <w:spacing w:line="240" w:lineRule="auto"/>
              <w:jc w:val="center"/>
            </w:pPr>
            <w:r w:rsidRPr="00B4742D">
              <w:t>5</w:t>
            </w:r>
            <w:r w:rsidR="00821A87" w:rsidRPr="00B4742D">
              <w:t>.</w:t>
            </w:r>
            <w:r w:rsidRPr="00B4742D">
              <w:t>000,0</w:t>
            </w:r>
          </w:p>
        </w:tc>
        <w:tc>
          <w:tcPr>
            <w:tcW w:w="1311" w:type="dxa"/>
            <w:shd w:val="clear" w:color="auto" w:fill="auto"/>
            <w:noWrap/>
            <w:hideMark/>
          </w:tcPr>
          <w:p w:rsidR="00641867" w:rsidRPr="00B4742D" w:rsidRDefault="00641867" w:rsidP="00821A87">
            <w:pPr>
              <w:spacing w:line="240" w:lineRule="auto"/>
              <w:jc w:val="center"/>
            </w:pPr>
            <w:r w:rsidRPr="00B4742D">
              <w:t>10</w:t>
            </w:r>
            <w:r w:rsidR="00821A87" w:rsidRPr="00B4742D">
              <w:t>.</w:t>
            </w:r>
            <w:r w:rsidRPr="00B4742D">
              <w:t>000,0</w:t>
            </w:r>
          </w:p>
        </w:tc>
        <w:tc>
          <w:tcPr>
            <w:tcW w:w="1247" w:type="dxa"/>
            <w:shd w:val="clear" w:color="auto" w:fill="auto"/>
            <w:noWrap/>
            <w:hideMark/>
          </w:tcPr>
          <w:p w:rsidR="00641867" w:rsidRPr="00B4742D" w:rsidRDefault="00641867" w:rsidP="00821A87">
            <w:pPr>
              <w:spacing w:line="240" w:lineRule="auto"/>
              <w:jc w:val="center"/>
            </w:pPr>
            <w:r w:rsidRPr="00B4742D">
              <w:t>15</w:t>
            </w:r>
            <w:r w:rsidR="00821A87" w:rsidRPr="00B4742D">
              <w:t>.</w:t>
            </w:r>
            <w:r w:rsidRPr="00B4742D">
              <w:t>000,0</w:t>
            </w:r>
          </w:p>
        </w:tc>
        <w:tc>
          <w:tcPr>
            <w:tcW w:w="1244" w:type="dxa"/>
            <w:shd w:val="clear" w:color="auto" w:fill="auto"/>
            <w:noWrap/>
            <w:hideMark/>
          </w:tcPr>
          <w:p w:rsidR="00641867" w:rsidRPr="00B4742D" w:rsidRDefault="00641867" w:rsidP="00821A87">
            <w:pPr>
              <w:spacing w:line="240" w:lineRule="auto"/>
              <w:jc w:val="center"/>
            </w:pPr>
            <w:r w:rsidRPr="00B4742D">
              <w:t>20</w:t>
            </w:r>
            <w:r w:rsidR="00821A87" w:rsidRPr="00B4742D">
              <w:t>.</w:t>
            </w:r>
            <w:r w:rsidRPr="00B4742D">
              <w:t>000,0</w:t>
            </w:r>
          </w:p>
        </w:tc>
        <w:tc>
          <w:tcPr>
            <w:tcW w:w="1174" w:type="dxa"/>
            <w:shd w:val="clear" w:color="auto" w:fill="auto"/>
            <w:noWrap/>
            <w:hideMark/>
          </w:tcPr>
          <w:p w:rsidR="00641867" w:rsidRPr="00B4742D" w:rsidRDefault="00641867" w:rsidP="00821A87">
            <w:pPr>
              <w:spacing w:line="240" w:lineRule="auto"/>
              <w:jc w:val="center"/>
            </w:pPr>
            <w:r w:rsidRPr="00B4742D">
              <w:t>30</w:t>
            </w:r>
            <w:r w:rsidR="00821A87" w:rsidRPr="00B4742D">
              <w:t>.</w:t>
            </w:r>
            <w:r w:rsidRPr="00B4742D">
              <w:t>000,0</w:t>
            </w:r>
          </w:p>
        </w:tc>
      </w:tr>
      <w:tr w:rsidR="00821A87" w:rsidRPr="00B4742D" w:rsidTr="00821A87">
        <w:trPr>
          <w:trHeight w:val="300"/>
        </w:trPr>
        <w:tc>
          <w:tcPr>
            <w:tcW w:w="1754" w:type="dxa"/>
            <w:shd w:val="clear" w:color="auto" w:fill="auto"/>
            <w:noWrap/>
            <w:vAlign w:val="bottom"/>
            <w:hideMark/>
          </w:tcPr>
          <w:p w:rsidR="00641867" w:rsidRPr="00B4742D" w:rsidRDefault="00641867" w:rsidP="00821A87">
            <w:pPr>
              <w:spacing w:line="240" w:lineRule="auto"/>
              <w:jc w:val="center"/>
            </w:pPr>
            <w:r w:rsidRPr="00B4742D">
              <w:t>5</w:t>
            </w:r>
            <w:r w:rsidR="00821A87" w:rsidRPr="00B4742D">
              <w:t>.</w:t>
            </w:r>
            <w:r w:rsidRPr="00B4742D">
              <w:t>000</w:t>
            </w:r>
            <w:r w:rsidR="00821A87" w:rsidRPr="00B4742D">
              <w:t>,00</w:t>
            </w:r>
          </w:p>
        </w:tc>
        <w:tc>
          <w:tcPr>
            <w:tcW w:w="639" w:type="dxa"/>
            <w:shd w:val="clear" w:color="auto" w:fill="auto"/>
            <w:noWrap/>
            <w:vAlign w:val="bottom"/>
            <w:hideMark/>
          </w:tcPr>
          <w:p w:rsidR="00641867" w:rsidRPr="00B4742D" w:rsidRDefault="00641867" w:rsidP="00821A87">
            <w:pPr>
              <w:spacing w:line="240" w:lineRule="auto"/>
              <w:jc w:val="center"/>
            </w:pPr>
            <w:r w:rsidRPr="00B4742D">
              <w:t>-</w:t>
            </w:r>
          </w:p>
        </w:tc>
        <w:tc>
          <w:tcPr>
            <w:tcW w:w="1147" w:type="dxa"/>
            <w:shd w:val="clear" w:color="auto" w:fill="auto"/>
            <w:noWrap/>
            <w:hideMark/>
          </w:tcPr>
          <w:p w:rsidR="00641867" w:rsidRPr="00B4742D" w:rsidRDefault="00641867" w:rsidP="00821A87">
            <w:pPr>
              <w:spacing w:line="240" w:lineRule="auto"/>
              <w:jc w:val="center"/>
            </w:pPr>
            <w:r w:rsidRPr="00B4742D">
              <w:t>3</w:t>
            </w:r>
            <w:r w:rsidR="00821A87" w:rsidRPr="00B4742D">
              <w:t>.</w:t>
            </w:r>
            <w:r w:rsidRPr="00B4742D">
              <w:t>333,3</w:t>
            </w:r>
          </w:p>
        </w:tc>
        <w:tc>
          <w:tcPr>
            <w:tcW w:w="1138" w:type="dxa"/>
            <w:shd w:val="clear" w:color="auto" w:fill="auto"/>
            <w:noWrap/>
            <w:hideMark/>
          </w:tcPr>
          <w:p w:rsidR="00641867" w:rsidRPr="00B4742D" w:rsidRDefault="00641867" w:rsidP="00821A87">
            <w:pPr>
              <w:spacing w:line="240" w:lineRule="auto"/>
              <w:jc w:val="center"/>
            </w:pPr>
            <w:r w:rsidRPr="00B4742D">
              <w:t>8</w:t>
            </w:r>
            <w:r w:rsidR="00821A87" w:rsidRPr="00B4742D">
              <w:t>.</w:t>
            </w:r>
            <w:r w:rsidRPr="00B4742D">
              <w:t>333,3</w:t>
            </w:r>
          </w:p>
        </w:tc>
        <w:tc>
          <w:tcPr>
            <w:tcW w:w="1311" w:type="dxa"/>
            <w:shd w:val="clear" w:color="auto" w:fill="auto"/>
            <w:noWrap/>
            <w:hideMark/>
          </w:tcPr>
          <w:p w:rsidR="00641867" w:rsidRPr="00B4742D" w:rsidRDefault="00641867" w:rsidP="00821A87">
            <w:pPr>
              <w:spacing w:line="240" w:lineRule="auto"/>
              <w:jc w:val="center"/>
            </w:pPr>
            <w:r w:rsidRPr="00B4742D">
              <w:t>16</w:t>
            </w:r>
            <w:r w:rsidR="00821A87" w:rsidRPr="00B4742D">
              <w:t>.</w:t>
            </w:r>
            <w:r w:rsidRPr="00B4742D">
              <w:t>666,7</w:t>
            </w:r>
          </w:p>
        </w:tc>
        <w:tc>
          <w:tcPr>
            <w:tcW w:w="1247" w:type="dxa"/>
            <w:shd w:val="clear" w:color="auto" w:fill="auto"/>
            <w:noWrap/>
            <w:hideMark/>
          </w:tcPr>
          <w:p w:rsidR="00641867" w:rsidRPr="00B4742D" w:rsidRDefault="00641867" w:rsidP="00821A87">
            <w:pPr>
              <w:spacing w:line="240" w:lineRule="auto"/>
              <w:jc w:val="center"/>
            </w:pPr>
            <w:r w:rsidRPr="00B4742D">
              <w:t>25</w:t>
            </w:r>
            <w:r w:rsidR="00821A87" w:rsidRPr="00B4742D">
              <w:t>.</w:t>
            </w:r>
            <w:r w:rsidRPr="00B4742D">
              <w:t>000,0</w:t>
            </w:r>
          </w:p>
        </w:tc>
        <w:tc>
          <w:tcPr>
            <w:tcW w:w="1244" w:type="dxa"/>
            <w:shd w:val="clear" w:color="auto" w:fill="auto"/>
            <w:noWrap/>
            <w:hideMark/>
          </w:tcPr>
          <w:p w:rsidR="00641867" w:rsidRPr="00B4742D" w:rsidRDefault="00641867" w:rsidP="00821A87">
            <w:pPr>
              <w:spacing w:line="240" w:lineRule="auto"/>
              <w:jc w:val="center"/>
            </w:pPr>
            <w:r w:rsidRPr="00B4742D">
              <w:t>30</w:t>
            </w:r>
            <w:r w:rsidR="00821A87" w:rsidRPr="00B4742D">
              <w:t>.</w:t>
            </w:r>
            <w:r w:rsidRPr="00B4742D">
              <w:t>000,0</w:t>
            </w:r>
          </w:p>
        </w:tc>
        <w:tc>
          <w:tcPr>
            <w:tcW w:w="1174" w:type="dxa"/>
            <w:shd w:val="clear" w:color="auto" w:fill="auto"/>
            <w:noWrap/>
            <w:hideMark/>
          </w:tcPr>
          <w:p w:rsidR="00641867" w:rsidRPr="00B4742D" w:rsidRDefault="00641867" w:rsidP="00821A87">
            <w:pPr>
              <w:spacing w:line="240" w:lineRule="auto"/>
              <w:jc w:val="center"/>
            </w:pPr>
            <w:r w:rsidRPr="00B4742D">
              <w:t>30</w:t>
            </w:r>
            <w:r w:rsidR="00821A87" w:rsidRPr="00B4742D">
              <w:t>.</w:t>
            </w:r>
            <w:r w:rsidRPr="00B4742D">
              <w:t>000,0</w:t>
            </w:r>
          </w:p>
        </w:tc>
      </w:tr>
      <w:tr w:rsidR="00821A87" w:rsidRPr="00B4742D" w:rsidTr="00821A87">
        <w:trPr>
          <w:trHeight w:val="300"/>
        </w:trPr>
        <w:tc>
          <w:tcPr>
            <w:tcW w:w="1754" w:type="dxa"/>
            <w:shd w:val="clear" w:color="auto" w:fill="auto"/>
            <w:noWrap/>
            <w:vAlign w:val="bottom"/>
            <w:hideMark/>
          </w:tcPr>
          <w:p w:rsidR="00641867" w:rsidRPr="00B4742D" w:rsidRDefault="00641867" w:rsidP="00821A87">
            <w:pPr>
              <w:spacing w:line="240" w:lineRule="auto"/>
              <w:jc w:val="center"/>
            </w:pPr>
            <w:r w:rsidRPr="00B4742D">
              <w:t>10</w:t>
            </w:r>
            <w:r w:rsidR="00821A87" w:rsidRPr="00B4742D">
              <w:t>.</w:t>
            </w:r>
            <w:r w:rsidRPr="00B4742D">
              <w:t>000</w:t>
            </w:r>
            <w:r w:rsidR="00821A87" w:rsidRPr="00B4742D">
              <w:t>,00</w:t>
            </w:r>
          </w:p>
        </w:tc>
        <w:tc>
          <w:tcPr>
            <w:tcW w:w="639" w:type="dxa"/>
            <w:shd w:val="clear" w:color="auto" w:fill="auto"/>
            <w:noWrap/>
            <w:vAlign w:val="bottom"/>
            <w:hideMark/>
          </w:tcPr>
          <w:p w:rsidR="00641867" w:rsidRPr="00B4742D" w:rsidRDefault="00641867" w:rsidP="00821A87">
            <w:pPr>
              <w:spacing w:line="240" w:lineRule="auto"/>
              <w:jc w:val="center"/>
            </w:pPr>
            <w:r w:rsidRPr="00B4742D">
              <w:t>-</w:t>
            </w:r>
          </w:p>
        </w:tc>
        <w:tc>
          <w:tcPr>
            <w:tcW w:w="1147" w:type="dxa"/>
            <w:shd w:val="clear" w:color="auto" w:fill="auto"/>
            <w:noWrap/>
            <w:hideMark/>
          </w:tcPr>
          <w:p w:rsidR="00641867" w:rsidRPr="00B4742D" w:rsidRDefault="00641867" w:rsidP="00821A87">
            <w:pPr>
              <w:spacing w:line="240" w:lineRule="auto"/>
              <w:jc w:val="center"/>
            </w:pPr>
            <w:r w:rsidRPr="00B4742D">
              <w:t>6</w:t>
            </w:r>
            <w:r w:rsidR="00821A87" w:rsidRPr="00B4742D">
              <w:t>.</w:t>
            </w:r>
            <w:r w:rsidRPr="00B4742D">
              <w:t>666,7</w:t>
            </w:r>
          </w:p>
        </w:tc>
        <w:tc>
          <w:tcPr>
            <w:tcW w:w="1138" w:type="dxa"/>
            <w:shd w:val="clear" w:color="auto" w:fill="auto"/>
            <w:noWrap/>
            <w:hideMark/>
          </w:tcPr>
          <w:p w:rsidR="00641867" w:rsidRPr="00B4742D" w:rsidRDefault="00641867" w:rsidP="00821A87">
            <w:pPr>
              <w:spacing w:line="240" w:lineRule="auto"/>
              <w:jc w:val="center"/>
            </w:pPr>
            <w:r w:rsidRPr="00B4742D">
              <w:t>16</w:t>
            </w:r>
            <w:r w:rsidR="00821A87" w:rsidRPr="00B4742D">
              <w:t>.</w:t>
            </w:r>
            <w:r w:rsidRPr="00B4742D">
              <w:t>666,7</w:t>
            </w:r>
          </w:p>
        </w:tc>
        <w:tc>
          <w:tcPr>
            <w:tcW w:w="1311" w:type="dxa"/>
            <w:shd w:val="clear" w:color="auto" w:fill="auto"/>
            <w:noWrap/>
            <w:hideMark/>
          </w:tcPr>
          <w:p w:rsidR="00641867" w:rsidRPr="00B4742D" w:rsidRDefault="00641867" w:rsidP="00821A87">
            <w:pPr>
              <w:spacing w:line="240" w:lineRule="auto"/>
              <w:jc w:val="center"/>
            </w:pPr>
            <w:r w:rsidRPr="00B4742D">
              <w:t>33</w:t>
            </w:r>
            <w:r w:rsidR="00821A87" w:rsidRPr="00B4742D">
              <w:t>.</w:t>
            </w:r>
            <w:r w:rsidRPr="00B4742D">
              <w:t>333,3</w:t>
            </w:r>
          </w:p>
        </w:tc>
        <w:tc>
          <w:tcPr>
            <w:tcW w:w="1247" w:type="dxa"/>
            <w:shd w:val="clear" w:color="auto" w:fill="auto"/>
            <w:noWrap/>
            <w:hideMark/>
          </w:tcPr>
          <w:p w:rsidR="00641867" w:rsidRPr="00B4742D" w:rsidRDefault="00641867" w:rsidP="00821A87">
            <w:pPr>
              <w:spacing w:line="240" w:lineRule="auto"/>
              <w:jc w:val="center"/>
            </w:pPr>
            <w:r w:rsidRPr="00B4742D">
              <w:t>50</w:t>
            </w:r>
            <w:r w:rsidR="00821A87" w:rsidRPr="00B4742D">
              <w:t>.</w:t>
            </w:r>
            <w:r w:rsidRPr="00B4742D">
              <w:t>000,0</w:t>
            </w:r>
          </w:p>
        </w:tc>
        <w:tc>
          <w:tcPr>
            <w:tcW w:w="1244" w:type="dxa"/>
            <w:shd w:val="clear" w:color="auto" w:fill="auto"/>
            <w:noWrap/>
            <w:hideMark/>
          </w:tcPr>
          <w:p w:rsidR="00641867" w:rsidRPr="00B4742D" w:rsidRDefault="00641867" w:rsidP="00821A87">
            <w:pPr>
              <w:spacing w:line="240" w:lineRule="auto"/>
              <w:jc w:val="center"/>
            </w:pPr>
            <w:r w:rsidRPr="00B4742D">
              <w:t>60</w:t>
            </w:r>
            <w:r w:rsidR="00821A87" w:rsidRPr="00B4742D">
              <w:t>.</w:t>
            </w:r>
            <w:r w:rsidRPr="00B4742D">
              <w:t>000,0</w:t>
            </w:r>
          </w:p>
        </w:tc>
        <w:tc>
          <w:tcPr>
            <w:tcW w:w="1174" w:type="dxa"/>
            <w:shd w:val="clear" w:color="auto" w:fill="auto"/>
            <w:noWrap/>
            <w:hideMark/>
          </w:tcPr>
          <w:p w:rsidR="00641867" w:rsidRPr="00B4742D" w:rsidRDefault="00641867" w:rsidP="00821A87">
            <w:pPr>
              <w:spacing w:line="240" w:lineRule="auto"/>
              <w:jc w:val="center"/>
            </w:pPr>
            <w:r w:rsidRPr="00B4742D">
              <w:t>60</w:t>
            </w:r>
            <w:r w:rsidR="00821A87" w:rsidRPr="00B4742D">
              <w:t>.</w:t>
            </w:r>
            <w:r w:rsidRPr="00B4742D">
              <w:t>000,0</w:t>
            </w:r>
          </w:p>
        </w:tc>
      </w:tr>
      <w:tr w:rsidR="00821A87" w:rsidRPr="00B4742D" w:rsidTr="00821A87">
        <w:trPr>
          <w:trHeight w:val="300"/>
        </w:trPr>
        <w:tc>
          <w:tcPr>
            <w:tcW w:w="1754" w:type="dxa"/>
            <w:shd w:val="clear" w:color="auto" w:fill="auto"/>
            <w:noWrap/>
            <w:vAlign w:val="bottom"/>
            <w:hideMark/>
          </w:tcPr>
          <w:p w:rsidR="00641867" w:rsidRPr="00B4742D" w:rsidRDefault="00641867" w:rsidP="00821A87">
            <w:pPr>
              <w:spacing w:line="240" w:lineRule="auto"/>
              <w:jc w:val="center"/>
            </w:pPr>
            <w:r w:rsidRPr="00B4742D">
              <w:t>15</w:t>
            </w:r>
            <w:r w:rsidR="00821A87" w:rsidRPr="00B4742D">
              <w:t>.</w:t>
            </w:r>
            <w:r w:rsidRPr="00B4742D">
              <w:t>000</w:t>
            </w:r>
            <w:r w:rsidR="00821A87" w:rsidRPr="00B4742D">
              <w:t>,00</w:t>
            </w:r>
          </w:p>
        </w:tc>
        <w:tc>
          <w:tcPr>
            <w:tcW w:w="639" w:type="dxa"/>
            <w:shd w:val="clear" w:color="auto" w:fill="auto"/>
            <w:noWrap/>
            <w:vAlign w:val="bottom"/>
            <w:hideMark/>
          </w:tcPr>
          <w:p w:rsidR="00641867" w:rsidRPr="00B4742D" w:rsidRDefault="00641867" w:rsidP="00821A87">
            <w:pPr>
              <w:spacing w:line="240" w:lineRule="auto"/>
              <w:jc w:val="center"/>
            </w:pPr>
            <w:r w:rsidRPr="00B4742D">
              <w:t>-</w:t>
            </w:r>
          </w:p>
        </w:tc>
        <w:tc>
          <w:tcPr>
            <w:tcW w:w="1147" w:type="dxa"/>
            <w:shd w:val="clear" w:color="auto" w:fill="auto"/>
            <w:noWrap/>
            <w:hideMark/>
          </w:tcPr>
          <w:p w:rsidR="00641867" w:rsidRPr="00B4742D" w:rsidRDefault="00641867" w:rsidP="00821A87">
            <w:pPr>
              <w:spacing w:line="240" w:lineRule="auto"/>
              <w:jc w:val="center"/>
            </w:pPr>
            <w:r w:rsidRPr="00B4742D">
              <w:t>10</w:t>
            </w:r>
            <w:r w:rsidR="00821A87" w:rsidRPr="00B4742D">
              <w:t>.</w:t>
            </w:r>
            <w:r w:rsidRPr="00B4742D">
              <w:t>000,0</w:t>
            </w:r>
          </w:p>
        </w:tc>
        <w:tc>
          <w:tcPr>
            <w:tcW w:w="1138" w:type="dxa"/>
            <w:shd w:val="clear" w:color="auto" w:fill="auto"/>
            <w:noWrap/>
            <w:hideMark/>
          </w:tcPr>
          <w:p w:rsidR="00641867" w:rsidRPr="00B4742D" w:rsidRDefault="00641867" w:rsidP="00821A87">
            <w:pPr>
              <w:spacing w:line="240" w:lineRule="auto"/>
              <w:jc w:val="center"/>
            </w:pPr>
            <w:r w:rsidRPr="00B4742D">
              <w:t>25</w:t>
            </w:r>
            <w:r w:rsidR="00821A87" w:rsidRPr="00B4742D">
              <w:t>.</w:t>
            </w:r>
            <w:r w:rsidRPr="00B4742D">
              <w:t>000,0</w:t>
            </w:r>
          </w:p>
        </w:tc>
        <w:tc>
          <w:tcPr>
            <w:tcW w:w="1311" w:type="dxa"/>
            <w:shd w:val="clear" w:color="auto" w:fill="auto"/>
            <w:noWrap/>
            <w:hideMark/>
          </w:tcPr>
          <w:p w:rsidR="00641867" w:rsidRPr="00B4742D" w:rsidRDefault="00641867" w:rsidP="00821A87">
            <w:pPr>
              <w:spacing w:line="240" w:lineRule="auto"/>
              <w:jc w:val="center"/>
            </w:pPr>
            <w:r w:rsidRPr="00B4742D">
              <w:t>50</w:t>
            </w:r>
            <w:r w:rsidR="00821A87" w:rsidRPr="00B4742D">
              <w:t>.</w:t>
            </w:r>
            <w:r w:rsidRPr="00B4742D">
              <w:t>000,0</w:t>
            </w:r>
          </w:p>
        </w:tc>
        <w:tc>
          <w:tcPr>
            <w:tcW w:w="1247" w:type="dxa"/>
            <w:shd w:val="clear" w:color="auto" w:fill="auto"/>
            <w:noWrap/>
            <w:hideMark/>
          </w:tcPr>
          <w:p w:rsidR="00641867" w:rsidRPr="00B4742D" w:rsidRDefault="00641867" w:rsidP="00821A87">
            <w:pPr>
              <w:spacing w:line="240" w:lineRule="auto"/>
              <w:jc w:val="center"/>
            </w:pPr>
            <w:r w:rsidRPr="00B4742D">
              <w:t>75</w:t>
            </w:r>
            <w:r w:rsidR="00821A87" w:rsidRPr="00B4742D">
              <w:t>.</w:t>
            </w:r>
            <w:r w:rsidRPr="00B4742D">
              <w:t>000,0</w:t>
            </w:r>
          </w:p>
        </w:tc>
        <w:tc>
          <w:tcPr>
            <w:tcW w:w="1244" w:type="dxa"/>
            <w:shd w:val="clear" w:color="auto" w:fill="auto"/>
            <w:noWrap/>
            <w:hideMark/>
          </w:tcPr>
          <w:p w:rsidR="00641867" w:rsidRPr="00B4742D" w:rsidRDefault="00641867" w:rsidP="00821A87">
            <w:pPr>
              <w:spacing w:line="240" w:lineRule="auto"/>
              <w:jc w:val="center"/>
            </w:pPr>
            <w:r w:rsidRPr="00B4742D">
              <w:t>90</w:t>
            </w:r>
            <w:r w:rsidR="00821A87" w:rsidRPr="00B4742D">
              <w:t>.</w:t>
            </w:r>
            <w:r w:rsidRPr="00B4742D">
              <w:t>000,0</w:t>
            </w:r>
          </w:p>
        </w:tc>
        <w:tc>
          <w:tcPr>
            <w:tcW w:w="1174" w:type="dxa"/>
            <w:shd w:val="clear" w:color="auto" w:fill="auto"/>
            <w:noWrap/>
            <w:hideMark/>
          </w:tcPr>
          <w:p w:rsidR="00641867" w:rsidRPr="00B4742D" w:rsidRDefault="00641867" w:rsidP="00821A87">
            <w:pPr>
              <w:spacing w:line="240" w:lineRule="auto"/>
              <w:jc w:val="center"/>
            </w:pPr>
            <w:r w:rsidRPr="00B4742D">
              <w:t>90</w:t>
            </w:r>
            <w:r w:rsidR="00821A87" w:rsidRPr="00B4742D">
              <w:t>.</w:t>
            </w:r>
            <w:r w:rsidRPr="00B4742D">
              <w:t>000,0</w:t>
            </w:r>
          </w:p>
        </w:tc>
      </w:tr>
      <w:tr w:rsidR="00821A87" w:rsidRPr="00B4742D" w:rsidTr="00821A87">
        <w:trPr>
          <w:trHeight w:val="300"/>
        </w:trPr>
        <w:tc>
          <w:tcPr>
            <w:tcW w:w="1754" w:type="dxa"/>
            <w:shd w:val="clear" w:color="auto" w:fill="auto"/>
            <w:noWrap/>
            <w:vAlign w:val="bottom"/>
            <w:hideMark/>
          </w:tcPr>
          <w:p w:rsidR="00641867" w:rsidRPr="00B4742D" w:rsidRDefault="00641867" w:rsidP="00821A87">
            <w:pPr>
              <w:spacing w:line="240" w:lineRule="auto"/>
              <w:jc w:val="center"/>
            </w:pPr>
            <w:r w:rsidRPr="00B4742D">
              <w:t>20</w:t>
            </w:r>
            <w:r w:rsidR="00821A87" w:rsidRPr="00B4742D">
              <w:t>.</w:t>
            </w:r>
            <w:r w:rsidRPr="00B4742D">
              <w:t>000</w:t>
            </w:r>
            <w:r w:rsidR="00821A87" w:rsidRPr="00B4742D">
              <w:t>,00</w:t>
            </w:r>
          </w:p>
        </w:tc>
        <w:tc>
          <w:tcPr>
            <w:tcW w:w="639" w:type="dxa"/>
            <w:shd w:val="clear" w:color="auto" w:fill="auto"/>
            <w:noWrap/>
            <w:vAlign w:val="bottom"/>
            <w:hideMark/>
          </w:tcPr>
          <w:p w:rsidR="00641867" w:rsidRPr="00B4742D" w:rsidRDefault="00641867" w:rsidP="00821A87">
            <w:pPr>
              <w:spacing w:line="240" w:lineRule="auto"/>
              <w:jc w:val="center"/>
            </w:pPr>
            <w:r w:rsidRPr="00B4742D">
              <w:t>-</w:t>
            </w:r>
          </w:p>
        </w:tc>
        <w:tc>
          <w:tcPr>
            <w:tcW w:w="1147" w:type="dxa"/>
            <w:shd w:val="clear" w:color="auto" w:fill="auto"/>
            <w:noWrap/>
            <w:hideMark/>
          </w:tcPr>
          <w:p w:rsidR="00641867" w:rsidRPr="00B4742D" w:rsidRDefault="00641867" w:rsidP="00821A87">
            <w:pPr>
              <w:spacing w:line="240" w:lineRule="auto"/>
              <w:jc w:val="center"/>
            </w:pPr>
            <w:r w:rsidRPr="00B4742D">
              <w:t>13</w:t>
            </w:r>
            <w:r w:rsidR="00821A87" w:rsidRPr="00B4742D">
              <w:t>.</w:t>
            </w:r>
            <w:r w:rsidRPr="00B4742D">
              <w:t>333,3</w:t>
            </w:r>
          </w:p>
        </w:tc>
        <w:tc>
          <w:tcPr>
            <w:tcW w:w="1138" w:type="dxa"/>
            <w:shd w:val="clear" w:color="auto" w:fill="auto"/>
            <w:noWrap/>
            <w:hideMark/>
          </w:tcPr>
          <w:p w:rsidR="00641867" w:rsidRPr="00B4742D" w:rsidRDefault="00641867" w:rsidP="00821A87">
            <w:pPr>
              <w:spacing w:line="240" w:lineRule="auto"/>
              <w:jc w:val="center"/>
            </w:pPr>
            <w:r w:rsidRPr="00B4742D">
              <w:t>33</w:t>
            </w:r>
            <w:r w:rsidR="00821A87" w:rsidRPr="00B4742D">
              <w:t>.</w:t>
            </w:r>
            <w:r w:rsidRPr="00B4742D">
              <w:t>333,3</w:t>
            </w:r>
          </w:p>
        </w:tc>
        <w:tc>
          <w:tcPr>
            <w:tcW w:w="1311" w:type="dxa"/>
            <w:shd w:val="clear" w:color="auto" w:fill="auto"/>
            <w:noWrap/>
            <w:hideMark/>
          </w:tcPr>
          <w:p w:rsidR="00641867" w:rsidRPr="00B4742D" w:rsidRDefault="00641867" w:rsidP="00821A87">
            <w:pPr>
              <w:spacing w:line="240" w:lineRule="auto"/>
              <w:jc w:val="center"/>
            </w:pPr>
            <w:r w:rsidRPr="00B4742D">
              <w:t>66</w:t>
            </w:r>
            <w:r w:rsidR="00821A87" w:rsidRPr="00B4742D">
              <w:t>.</w:t>
            </w:r>
            <w:r w:rsidRPr="00B4742D">
              <w:t>666,7</w:t>
            </w:r>
          </w:p>
        </w:tc>
        <w:tc>
          <w:tcPr>
            <w:tcW w:w="1247" w:type="dxa"/>
            <w:shd w:val="clear" w:color="auto" w:fill="auto"/>
            <w:noWrap/>
            <w:hideMark/>
          </w:tcPr>
          <w:p w:rsidR="00641867" w:rsidRPr="00B4742D" w:rsidRDefault="00641867" w:rsidP="00821A87">
            <w:pPr>
              <w:spacing w:line="240" w:lineRule="auto"/>
              <w:jc w:val="center"/>
            </w:pPr>
            <w:r w:rsidRPr="00B4742D">
              <w:t>100</w:t>
            </w:r>
            <w:r w:rsidR="00821A87" w:rsidRPr="00B4742D">
              <w:t>.</w:t>
            </w:r>
            <w:r w:rsidRPr="00B4742D">
              <w:t>000,0</w:t>
            </w:r>
          </w:p>
        </w:tc>
        <w:tc>
          <w:tcPr>
            <w:tcW w:w="1244" w:type="dxa"/>
            <w:shd w:val="clear" w:color="auto" w:fill="auto"/>
            <w:noWrap/>
            <w:hideMark/>
          </w:tcPr>
          <w:p w:rsidR="00641867" w:rsidRPr="00B4742D" w:rsidRDefault="00641867" w:rsidP="00821A87">
            <w:pPr>
              <w:spacing w:line="240" w:lineRule="auto"/>
              <w:jc w:val="center"/>
            </w:pPr>
            <w:r w:rsidRPr="00B4742D">
              <w:t>120</w:t>
            </w:r>
            <w:r w:rsidR="00821A87" w:rsidRPr="00B4742D">
              <w:t>.</w:t>
            </w:r>
            <w:r w:rsidRPr="00B4742D">
              <w:t>000,0</w:t>
            </w:r>
          </w:p>
        </w:tc>
        <w:tc>
          <w:tcPr>
            <w:tcW w:w="1174" w:type="dxa"/>
            <w:shd w:val="clear" w:color="auto" w:fill="auto"/>
            <w:noWrap/>
            <w:hideMark/>
          </w:tcPr>
          <w:p w:rsidR="00641867" w:rsidRPr="00B4742D" w:rsidRDefault="00641867" w:rsidP="00821A87">
            <w:pPr>
              <w:spacing w:line="240" w:lineRule="auto"/>
              <w:jc w:val="center"/>
            </w:pPr>
            <w:r w:rsidRPr="00B4742D">
              <w:t>120</w:t>
            </w:r>
            <w:r w:rsidR="00821A87" w:rsidRPr="00B4742D">
              <w:t>.</w:t>
            </w:r>
            <w:r w:rsidRPr="00B4742D">
              <w:t>000,0</w:t>
            </w:r>
          </w:p>
        </w:tc>
      </w:tr>
      <w:tr w:rsidR="00821A87" w:rsidRPr="00B4742D" w:rsidTr="00821A87">
        <w:trPr>
          <w:trHeight w:val="300"/>
        </w:trPr>
        <w:tc>
          <w:tcPr>
            <w:tcW w:w="1754" w:type="dxa"/>
            <w:shd w:val="clear" w:color="auto" w:fill="auto"/>
            <w:noWrap/>
            <w:vAlign w:val="bottom"/>
            <w:hideMark/>
          </w:tcPr>
          <w:p w:rsidR="00641867" w:rsidRPr="00B4742D" w:rsidRDefault="00641867" w:rsidP="00821A87">
            <w:pPr>
              <w:spacing w:line="240" w:lineRule="auto"/>
              <w:jc w:val="center"/>
            </w:pPr>
            <w:r w:rsidRPr="00B4742D">
              <w:t>30</w:t>
            </w:r>
            <w:r w:rsidR="00821A87" w:rsidRPr="00B4742D">
              <w:t>.</w:t>
            </w:r>
            <w:r w:rsidRPr="00B4742D">
              <w:t>000</w:t>
            </w:r>
            <w:r w:rsidR="00821A87" w:rsidRPr="00B4742D">
              <w:t>,00</w:t>
            </w:r>
          </w:p>
        </w:tc>
        <w:tc>
          <w:tcPr>
            <w:tcW w:w="639" w:type="dxa"/>
            <w:shd w:val="clear" w:color="auto" w:fill="auto"/>
            <w:noWrap/>
            <w:vAlign w:val="bottom"/>
            <w:hideMark/>
          </w:tcPr>
          <w:p w:rsidR="00641867" w:rsidRPr="00B4742D" w:rsidRDefault="00641867" w:rsidP="00821A87">
            <w:pPr>
              <w:spacing w:line="240" w:lineRule="auto"/>
              <w:jc w:val="center"/>
            </w:pPr>
            <w:r w:rsidRPr="00B4742D">
              <w:t>-</w:t>
            </w:r>
          </w:p>
        </w:tc>
        <w:tc>
          <w:tcPr>
            <w:tcW w:w="1147" w:type="dxa"/>
            <w:shd w:val="clear" w:color="auto" w:fill="auto"/>
            <w:noWrap/>
            <w:hideMark/>
          </w:tcPr>
          <w:p w:rsidR="00641867" w:rsidRPr="00B4742D" w:rsidRDefault="00641867" w:rsidP="00821A87">
            <w:pPr>
              <w:spacing w:line="240" w:lineRule="auto"/>
              <w:jc w:val="center"/>
            </w:pPr>
            <w:r w:rsidRPr="00B4742D">
              <w:t>20</w:t>
            </w:r>
            <w:r w:rsidR="00821A87" w:rsidRPr="00B4742D">
              <w:t>.</w:t>
            </w:r>
            <w:r w:rsidRPr="00B4742D">
              <w:t>000,0</w:t>
            </w:r>
          </w:p>
        </w:tc>
        <w:tc>
          <w:tcPr>
            <w:tcW w:w="1138" w:type="dxa"/>
            <w:shd w:val="clear" w:color="auto" w:fill="auto"/>
            <w:noWrap/>
            <w:hideMark/>
          </w:tcPr>
          <w:p w:rsidR="00641867" w:rsidRPr="00B4742D" w:rsidRDefault="00641867" w:rsidP="00821A87">
            <w:pPr>
              <w:spacing w:line="240" w:lineRule="auto"/>
              <w:jc w:val="center"/>
            </w:pPr>
            <w:r w:rsidRPr="00B4742D">
              <w:t>50</w:t>
            </w:r>
            <w:r w:rsidR="00821A87" w:rsidRPr="00B4742D">
              <w:t>.</w:t>
            </w:r>
            <w:r w:rsidRPr="00B4742D">
              <w:t>000,0</w:t>
            </w:r>
          </w:p>
        </w:tc>
        <w:tc>
          <w:tcPr>
            <w:tcW w:w="1311" w:type="dxa"/>
            <w:shd w:val="clear" w:color="auto" w:fill="auto"/>
            <w:noWrap/>
            <w:hideMark/>
          </w:tcPr>
          <w:p w:rsidR="00641867" w:rsidRPr="00B4742D" w:rsidRDefault="00641867" w:rsidP="00821A87">
            <w:pPr>
              <w:spacing w:line="240" w:lineRule="auto"/>
              <w:jc w:val="center"/>
            </w:pPr>
            <w:r w:rsidRPr="00B4742D">
              <w:t>100</w:t>
            </w:r>
            <w:r w:rsidR="00821A87" w:rsidRPr="00B4742D">
              <w:t>.</w:t>
            </w:r>
            <w:r w:rsidRPr="00B4742D">
              <w:t>000,0</w:t>
            </w:r>
          </w:p>
        </w:tc>
        <w:tc>
          <w:tcPr>
            <w:tcW w:w="1247" w:type="dxa"/>
            <w:shd w:val="clear" w:color="auto" w:fill="auto"/>
            <w:noWrap/>
            <w:hideMark/>
          </w:tcPr>
          <w:p w:rsidR="00641867" w:rsidRPr="00B4742D" w:rsidRDefault="00641867" w:rsidP="00821A87">
            <w:pPr>
              <w:spacing w:line="240" w:lineRule="auto"/>
              <w:jc w:val="center"/>
            </w:pPr>
            <w:r w:rsidRPr="00B4742D">
              <w:t>150</w:t>
            </w:r>
            <w:r w:rsidR="00821A87" w:rsidRPr="00B4742D">
              <w:t>.</w:t>
            </w:r>
            <w:r w:rsidRPr="00B4742D">
              <w:t>000,0</w:t>
            </w:r>
          </w:p>
        </w:tc>
        <w:tc>
          <w:tcPr>
            <w:tcW w:w="1244" w:type="dxa"/>
            <w:shd w:val="clear" w:color="auto" w:fill="auto"/>
            <w:noWrap/>
            <w:hideMark/>
          </w:tcPr>
          <w:p w:rsidR="00641867" w:rsidRPr="00B4742D" w:rsidRDefault="00641867" w:rsidP="00821A87">
            <w:pPr>
              <w:spacing w:line="240" w:lineRule="auto"/>
              <w:jc w:val="center"/>
            </w:pPr>
            <w:r w:rsidRPr="00B4742D">
              <w:t>180</w:t>
            </w:r>
            <w:r w:rsidR="00821A87" w:rsidRPr="00B4742D">
              <w:t>.</w:t>
            </w:r>
            <w:r w:rsidRPr="00B4742D">
              <w:t>000,0</w:t>
            </w:r>
          </w:p>
        </w:tc>
        <w:tc>
          <w:tcPr>
            <w:tcW w:w="1174" w:type="dxa"/>
            <w:shd w:val="clear" w:color="auto" w:fill="auto"/>
            <w:noWrap/>
            <w:hideMark/>
          </w:tcPr>
          <w:p w:rsidR="00641867" w:rsidRPr="00B4742D" w:rsidRDefault="00641867" w:rsidP="00821A87">
            <w:pPr>
              <w:spacing w:line="240" w:lineRule="auto"/>
              <w:jc w:val="center"/>
            </w:pPr>
            <w:r w:rsidRPr="00B4742D">
              <w:t>180</w:t>
            </w:r>
            <w:r w:rsidR="00821A87" w:rsidRPr="00B4742D">
              <w:t>.</w:t>
            </w:r>
            <w:r w:rsidRPr="00B4742D">
              <w:t>000,0</w:t>
            </w:r>
          </w:p>
        </w:tc>
      </w:tr>
    </w:tbl>
    <w:p w:rsidR="00641867" w:rsidRPr="00B4742D" w:rsidRDefault="00641867" w:rsidP="00641867">
      <w:pPr>
        <w:spacing w:line="240" w:lineRule="auto"/>
      </w:pPr>
      <w:r w:rsidRPr="00B4742D">
        <w:t>Izvor: Izračun autora</w:t>
      </w:r>
    </w:p>
    <w:p w:rsidR="00641867" w:rsidRPr="00B4742D" w:rsidRDefault="00641867" w:rsidP="00641867">
      <w:pPr>
        <w:spacing w:line="240" w:lineRule="auto"/>
      </w:pPr>
    </w:p>
    <w:p w:rsidR="00641867" w:rsidRPr="00B4742D" w:rsidRDefault="00821A87" w:rsidP="00641867">
      <w:pPr>
        <w:spacing w:line="240" w:lineRule="auto"/>
      </w:pPr>
      <w:r w:rsidRPr="00B4742D">
        <w:t>U T</w:t>
      </w:r>
      <w:r w:rsidR="00641867" w:rsidRPr="00B4742D">
        <w:t>ablici 10</w:t>
      </w:r>
      <w:r w:rsidRPr="00B4742D">
        <w:t>.</w:t>
      </w:r>
      <w:r w:rsidR="00641867" w:rsidRPr="00B4742D">
        <w:t xml:space="preserve"> prikazani su iznosi potraživanja za otpremnine u okviru novog modela. Može se uočiti </w:t>
      </w:r>
      <w:r w:rsidR="00A5682B" w:rsidRPr="00B4742D">
        <w:t>kako</w:t>
      </w:r>
      <w:r w:rsidR="00641867" w:rsidRPr="00B4742D">
        <w:t xml:space="preserve"> su iznosi koje poslodavac</w:t>
      </w:r>
      <w:r w:rsidR="00A5682B" w:rsidRPr="00B4742D">
        <w:t xml:space="preserve"> plaća</w:t>
      </w:r>
      <w:r w:rsidR="00641867" w:rsidRPr="00B4742D">
        <w:t xml:space="preserve"> značajno manji no u postojećem sustavu.</w:t>
      </w:r>
      <w:r w:rsidR="00EB3313" w:rsidRPr="00B4742D">
        <w:t xml:space="preserve"> </w:t>
      </w:r>
      <w:r w:rsidR="00641867" w:rsidRPr="00B4742D">
        <w:t>Također se omogućava kontinuitet ostvarivanja prava na otpremnine bez obzira na vrijeme staža</w:t>
      </w:r>
      <w:r w:rsidR="00A5682B" w:rsidRPr="00B4742D">
        <w:t xml:space="preserve"> radnika</w:t>
      </w:r>
      <w:r w:rsidR="00641867" w:rsidRPr="00B4742D">
        <w:t xml:space="preserve"> kod određenog poslodavca, ali i </w:t>
      </w:r>
      <w:r w:rsidR="00A5682B" w:rsidRPr="00B4742D">
        <w:t xml:space="preserve">neovisno o nekom ograničenom </w:t>
      </w:r>
      <w:r w:rsidR="00641867" w:rsidRPr="00B4742D">
        <w:t>ukupno trajanj</w:t>
      </w:r>
      <w:r w:rsidR="00A5682B" w:rsidRPr="00B4742D">
        <w:t>u radnog odnosa</w:t>
      </w:r>
      <w:r w:rsidR="006E6C71" w:rsidRPr="00B4742D">
        <w:t xml:space="preserve"> </w:t>
      </w:r>
      <w:r w:rsidR="00A5682B" w:rsidRPr="00B4742D">
        <w:t xml:space="preserve">radnika kod </w:t>
      </w:r>
      <w:r w:rsidR="00641867" w:rsidRPr="00B4742D">
        <w:t>poslodavc</w:t>
      </w:r>
      <w:r w:rsidR="00A5682B" w:rsidRPr="00B4742D">
        <w:t>a</w:t>
      </w:r>
      <w:r w:rsidR="00641867" w:rsidRPr="00B4742D">
        <w:t xml:space="preserve">. Na ovaj </w:t>
      </w:r>
      <w:r w:rsidR="00A5682B" w:rsidRPr="00B4742D">
        <w:t xml:space="preserve">se </w:t>
      </w:r>
      <w:r w:rsidR="00641867" w:rsidRPr="00B4742D">
        <w:t>način i sezonskim radnicima te ostalim radnicima s ugovorom o radu kraćim od dvije godine osiguravaj prav</w:t>
      </w:r>
      <w:r w:rsidR="00A5682B" w:rsidRPr="00B4742D">
        <w:t>o</w:t>
      </w:r>
      <w:r w:rsidR="00641867" w:rsidRPr="00B4742D">
        <w:t xml:space="preserve"> na otpremnin</w:t>
      </w:r>
      <w:r w:rsidR="00A5682B" w:rsidRPr="00B4742D">
        <w:t>u</w:t>
      </w:r>
      <w:r w:rsidR="00641867" w:rsidRPr="00B4742D">
        <w:t xml:space="preserve">. </w:t>
      </w:r>
    </w:p>
    <w:p w:rsidR="00641867" w:rsidRPr="00B4742D" w:rsidRDefault="00641867" w:rsidP="00641867">
      <w:pPr>
        <w:spacing w:line="240" w:lineRule="auto"/>
      </w:pPr>
    </w:p>
    <w:p w:rsidR="00641867" w:rsidRPr="00B4742D" w:rsidRDefault="00641867" w:rsidP="00641867">
      <w:pPr>
        <w:spacing w:line="240" w:lineRule="auto"/>
      </w:pPr>
      <w:r w:rsidRPr="00B4742D">
        <w:lastRenderedPageBreak/>
        <w:t xml:space="preserve">Treba reći </w:t>
      </w:r>
      <w:r w:rsidR="00A5682B" w:rsidRPr="00B4742D">
        <w:t>kako</w:t>
      </w:r>
      <w:r w:rsidRPr="00B4742D">
        <w:t xml:space="preserve"> u okviru novog modela, u prikazanom primjeru, iznos isplate otprem</w:t>
      </w:r>
      <w:r w:rsidR="006E6C71" w:rsidRPr="00B4742D">
        <w:t>n</w:t>
      </w:r>
      <w:r w:rsidRPr="00B4742D">
        <w:t xml:space="preserve">ina premašuje neoporezivi dohodak tek za radnika s prosječnom mjesečnom plaćom od </w:t>
      </w:r>
      <w:r w:rsidR="00A5682B" w:rsidRPr="00B4742D">
        <w:t xml:space="preserve">HRK </w:t>
      </w:r>
      <w:r w:rsidRPr="00B4742D">
        <w:t xml:space="preserve">20.000,00 te radnim stažem od </w:t>
      </w:r>
      <w:r w:rsidR="00A5682B" w:rsidRPr="00B4742D">
        <w:t>trideset</w:t>
      </w:r>
      <w:r w:rsidRPr="00B4742D">
        <w:t xml:space="preserve"> godina te za radnika s prosječnom mjesečnom plaćom od </w:t>
      </w:r>
      <w:r w:rsidR="00A5682B" w:rsidRPr="00B4742D">
        <w:t xml:space="preserve">HRK </w:t>
      </w:r>
      <w:r w:rsidRPr="00B4742D">
        <w:t xml:space="preserve">30.000,00 od </w:t>
      </w:r>
      <w:r w:rsidR="00A5682B" w:rsidRPr="00B4742D">
        <w:t>desete</w:t>
      </w:r>
      <w:r w:rsidRPr="00B4742D">
        <w:t xml:space="preserve"> godine. Važno je napomenuti, da navedeni primjer predstavlja samo okvir za razmišljanje i analizu. Naime, u praksi, otpremnine po sadašnjem modelu bile</w:t>
      </w:r>
      <w:r w:rsidR="00A5682B" w:rsidRPr="00B4742D">
        <w:t xml:space="preserve"> bi</w:t>
      </w:r>
      <w:r w:rsidRPr="00B4742D">
        <w:t xml:space="preserve"> znatno manje budući da se radnici u privatnom sektoru u manjoj mjeri </w:t>
      </w:r>
      <w:r w:rsidR="00A5682B" w:rsidRPr="00B4742D">
        <w:t xml:space="preserve">dugoročno </w:t>
      </w:r>
      <w:r w:rsidRPr="00B4742D">
        <w:t>zadržavaju kod istog poslodavca. Drugim riječima, u praksi bi iznos isplaćenih otpremnina bio znatno manji te bi većina radnika ostvarivala pravo na otpremninu na temelju kraćeg razdoblja staža kod istog poslodavca.</w:t>
      </w:r>
      <w:r w:rsidR="00EB3313" w:rsidRPr="00B4742D">
        <w:t xml:space="preserve"> </w:t>
      </w:r>
    </w:p>
    <w:p w:rsidR="00641867" w:rsidRPr="00B4742D" w:rsidRDefault="00641867" w:rsidP="00641867">
      <w:pPr>
        <w:spacing w:line="240" w:lineRule="auto"/>
      </w:pPr>
    </w:p>
    <w:p w:rsidR="00641867" w:rsidRPr="00B4742D" w:rsidRDefault="00641867" w:rsidP="00641867">
      <w:pPr>
        <w:spacing w:line="240" w:lineRule="auto"/>
      </w:pPr>
      <w:r w:rsidRPr="00B4742D">
        <w:t>Tablica 10</w:t>
      </w:r>
      <w:r w:rsidR="0076762D" w:rsidRPr="00B4742D">
        <w:t>.</w:t>
      </w:r>
      <w:r w:rsidRPr="00B4742D">
        <w:t>: Iznosi potraživanja za otpremnine na temelju prosječne mjesečne bruto plaće i godina rada (novi model)</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042"/>
        <w:gridCol w:w="1119"/>
        <w:gridCol w:w="1099"/>
        <w:gridCol w:w="1179"/>
        <w:gridCol w:w="1176"/>
        <w:gridCol w:w="1176"/>
        <w:gridCol w:w="1176"/>
      </w:tblGrid>
      <w:tr w:rsidR="00641867" w:rsidRPr="00B4742D" w:rsidTr="00821A87">
        <w:trPr>
          <w:trHeight w:val="300"/>
        </w:trPr>
        <w:tc>
          <w:tcPr>
            <w:tcW w:w="1689" w:type="dxa"/>
            <w:shd w:val="clear" w:color="auto" w:fill="auto"/>
            <w:noWrap/>
            <w:vAlign w:val="bottom"/>
            <w:hideMark/>
          </w:tcPr>
          <w:p w:rsidR="00641867" w:rsidRPr="00BF61FB" w:rsidRDefault="00641867" w:rsidP="00821A87">
            <w:pPr>
              <w:spacing w:line="240" w:lineRule="auto"/>
              <w:jc w:val="center"/>
            </w:pPr>
          </w:p>
        </w:tc>
        <w:tc>
          <w:tcPr>
            <w:tcW w:w="7965" w:type="dxa"/>
            <w:gridSpan w:val="7"/>
            <w:shd w:val="clear" w:color="auto" w:fill="auto"/>
            <w:noWrap/>
            <w:vAlign w:val="bottom"/>
            <w:hideMark/>
          </w:tcPr>
          <w:p w:rsidR="00641867" w:rsidRPr="00B4742D" w:rsidRDefault="00641867" w:rsidP="00821A87">
            <w:pPr>
              <w:spacing w:line="240" w:lineRule="auto"/>
              <w:jc w:val="center"/>
            </w:pPr>
            <w:r w:rsidRPr="00B4742D">
              <w:t>Godine rada</w:t>
            </w:r>
          </w:p>
        </w:tc>
      </w:tr>
      <w:tr w:rsidR="00821A87" w:rsidRPr="00B4742D" w:rsidTr="00821A87">
        <w:trPr>
          <w:trHeight w:val="300"/>
        </w:trPr>
        <w:tc>
          <w:tcPr>
            <w:tcW w:w="1689" w:type="dxa"/>
            <w:shd w:val="clear" w:color="auto" w:fill="auto"/>
            <w:noWrap/>
            <w:vAlign w:val="bottom"/>
            <w:hideMark/>
          </w:tcPr>
          <w:p w:rsidR="00641867" w:rsidRPr="00B4742D" w:rsidRDefault="00641867" w:rsidP="00821A87">
            <w:pPr>
              <w:spacing w:line="240" w:lineRule="auto"/>
              <w:jc w:val="center"/>
            </w:pPr>
            <w:r w:rsidRPr="00B4742D">
              <w:t>Mjesečni iznos bruto plaće (HRK)</w:t>
            </w:r>
          </w:p>
        </w:tc>
        <w:tc>
          <w:tcPr>
            <w:tcW w:w="1043" w:type="dxa"/>
            <w:shd w:val="clear" w:color="auto" w:fill="auto"/>
            <w:noWrap/>
            <w:vAlign w:val="bottom"/>
            <w:hideMark/>
          </w:tcPr>
          <w:p w:rsidR="00641867" w:rsidRPr="00B4742D" w:rsidRDefault="00641867" w:rsidP="00821A87">
            <w:pPr>
              <w:spacing w:line="240" w:lineRule="auto"/>
              <w:jc w:val="center"/>
            </w:pPr>
            <w:r w:rsidRPr="00B4742D">
              <w:t>1</w:t>
            </w:r>
          </w:p>
        </w:tc>
        <w:tc>
          <w:tcPr>
            <w:tcW w:w="1119" w:type="dxa"/>
            <w:shd w:val="clear" w:color="auto" w:fill="auto"/>
            <w:noWrap/>
            <w:vAlign w:val="bottom"/>
            <w:hideMark/>
          </w:tcPr>
          <w:p w:rsidR="00641867" w:rsidRPr="00B4742D" w:rsidRDefault="00641867" w:rsidP="00821A87">
            <w:pPr>
              <w:spacing w:line="240" w:lineRule="auto"/>
              <w:jc w:val="center"/>
            </w:pPr>
            <w:r w:rsidRPr="00B4742D">
              <w:t>2</w:t>
            </w:r>
          </w:p>
        </w:tc>
        <w:tc>
          <w:tcPr>
            <w:tcW w:w="1099" w:type="dxa"/>
            <w:shd w:val="clear" w:color="auto" w:fill="auto"/>
            <w:noWrap/>
            <w:vAlign w:val="bottom"/>
            <w:hideMark/>
          </w:tcPr>
          <w:p w:rsidR="00641867" w:rsidRPr="00B4742D" w:rsidRDefault="00641867" w:rsidP="00821A87">
            <w:pPr>
              <w:spacing w:line="240" w:lineRule="auto"/>
              <w:jc w:val="center"/>
            </w:pPr>
            <w:r w:rsidRPr="00B4742D">
              <w:t>5</w:t>
            </w:r>
          </w:p>
        </w:tc>
        <w:tc>
          <w:tcPr>
            <w:tcW w:w="1179" w:type="dxa"/>
            <w:shd w:val="clear" w:color="auto" w:fill="auto"/>
            <w:noWrap/>
            <w:vAlign w:val="bottom"/>
            <w:hideMark/>
          </w:tcPr>
          <w:p w:rsidR="00641867" w:rsidRPr="00B4742D" w:rsidRDefault="00641867" w:rsidP="00821A87">
            <w:pPr>
              <w:spacing w:line="240" w:lineRule="auto"/>
              <w:jc w:val="center"/>
            </w:pPr>
            <w:r w:rsidRPr="00B4742D">
              <w:t>10</w:t>
            </w:r>
          </w:p>
        </w:tc>
        <w:tc>
          <w:tcPr>
            <w:tcW w:w="1175" w:type="dxa"/>
            <w:shd w:val="clear" w:color="auto" w:fill="auto"/>
            <w:noWrap/>
            <w:vAlign w:val="bottom"/>
            <w:hideMark/>
          </w:tcPr>
          <w:p w:rsidR="00641867" w:rsidRPr="00B4742D" w:rsidRDefault="00641867" w:rsidP="00821A87">
            <w:pPr>
              <w:spacing w:line="240" w:lineRule="auto"/>
              <w:jc w:val="center"/>
            </w:pPr>
            <w:r w:rsidRPr="00B4742D">
              <w:t>15</w:t>
            </w:r>
          </w:p>
        </w:tc>
        <w:tc>
          <w:tcPr>
            <w:tcW w:w="1175" w:type="dxa"/>
            <w:shd w:val="clear" w:color="auto" w:fill="auto"/>
            <w:noWrap/>
            <w:vAlign w:val="bottom"/>
            <w:hideMark/>
          </w:tcPr>
          <w:p w:rsidR="00641867" w:rsidRPr="00B4742D" w:rsidRDefault="00641867" w:rsidP="00821A87">
            <w:pPr>
              <w:spacing w:line="240" w:lineRule="auto"/>
              <w:jc w:val="center"/>
            </w:pPr>
            <w:r w:rsidRPr="00B4742D">
              <w:t>20</w:t>
            </w:r>
          </w:p>
        </w:tc>
        <w:tc>
          <w:tcPr>
            <w:tcW w:w="1175" w:type="dxa"/>
            <w:shd w:val="clear" w:color="auto" w:fill="auto"/>
            <w:noWrap/>
            <w:vAlign w:val="bottom"/>
            <w:hideMark/>
          </w:tcPr>
          <w:p w:rsidR="00641867" w:rsidRPr="00B4742D" w:rsidRDefault="00641867" w:rsidP="00821A87">
            <w:pPr>
              <w:spacing w:line="240" w:lineRule="auto"/>
              <w:jc w:val="center"/>
            </w:pPr>
            <w:r w:rsidRPr="00B4742D">
              <w:t>30</w:t>
            </w:r>
          </w:p>
        </w:tc>
      </w:tr>
      <w:tr w:rsidR="00821A87" w:rsidRPr="00B4742D" w:rsidTr="00821A87">
        <w:trPr>
          <w:trHeight w:val="300"/>
        </w:trPr>
        <w:tc>
          <w:tcPr>
            <w:tcW w:w="1689" w:type="dxa"/>
            <w:shd w:val="clear" w:color="auto" w:fill="auto"/>
            <w:noWrap/>
            <w:vAlign w:val="bottom"/>
            <w:hideMark/>
          </w:tcPr>
          <w:p w:rsidR="00641867" w:rsidRPr="00B4742D" w:rsidRDefault="00641867" w:rsidP="00821A87">
            <w:pPr>
              <w:spacing w:line="240" w:lineRule="auto"/>
              <w:jc w:val="center"/>
            </w:pPr>
            <w:r w:rsidRPr="00B4742D">
              <w:t>3</w:t>
            </w:r>
            <w:r w:rsidR="00821A87" w:rsidRPr="00B4742D">
              <w:t>.</w:t>
            </w:r>
            <w:r w:rsidRPr="00B4742D">
              <w:t>000</w:t>
            </w:r>
            <w:r w:rsidR="00821A87" w:rsidRPr="00B4742D">
              <w:t>,00</w:t>
            </w:r>
          </w:p>
        </w:tc>
        <w:tc>
          <w:tcPr>
            <w:tcW w:w="1043" w:type="dxa"/>
            <w:shd w:val="clear" w:color="auto" w:fill="auto"/>
            <w:noWrap/>
            <w:hideMark/>
          </w:tcPr>
          <w:p w:rsidR="00641867" w:rsidRPr="00B4742D" w:rsidRDefault="00641867" w:rsidP="00821A87">
            <w:pPr>
              <w:spacing w:line="240" w:lineRule="auto"/>
              <w:jc w:val="center"/>
            </w:pPr>
            <w:r w:rsidRPr="00B4742D">
              <w:t>540,0</w:t>
            </w:r>
          </w:p>
        </w:tc>
        <w:tc>
          <w:tcPr>
            <w:tcW w:w="1119"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162,4</w:t>
            </w:r>
          </w:p>
        </w:tc>
        <w:tc>
          <w:tcPr>
            <w:tcW w:w="1099" w:type="dxa"/>
            <w:shd w:val="clear" w:color="auto" w:fill="auto"/>
            <w:noWrap/>
            <w:hideMark/>
          </w:tcPr>
          <w:p w:rsidR="00641867" w:rsidRPr="00B4742D" w:rsidRDefault="00641867" w:rsidP="00821A87">
            <w:pPr>
              <w:spacing w:line="240" w:lineRule="auto"/>
              <w:jc w:val="center"/>
            </w:pPr>
            <w:r w:rsidRPr="00B4742D">
              <w:t>3</w:t>
            </w:r>
            <w:r w:rsidR="00821A87" w:rsidRPr="00B4742D">
              <w:t>.</w:t>
            </w:r>
            <w:r w:rsidRPr="00B4742D">
              <w:t>133,0</w:t>
            </w:r>
          </w:p>
        </w:tc>
        <w:tc>
          <w:tcPr>
            <w:tcW w:w="1179" w:type="dxa"/>
            <w:shd w:val="clear" w:color="auto" w:fill="auto"/>
            <w:noWrap/>
            <w:hideMark/>
          </w:tcPr>
          <w:p w:rsidR="00641867" w:rsidRPr="00B4742D" w:rsidRDefault="00641867" w:rsidP="00821A87">
            <w:pPr>
              <w:spacing w:line="240" w:lineRule="auto"/>
              <w:jc w:val="center"/>
            </w:pPr>
            <w:r w:rsidRPr="00B4742D">
              <w:t>7</w:t>
            </w:r>
            <w:r w:rsidR="00821A87" w:rsidRPr="00B4742D">
              <w:t>.</w:t>
            </w:r>
            <w:r w:rsidRPr="00B4742D">
              <w:t>131,7</w:t>
            </w:r>
          </w:p>
        </w:tc>
        <w:tc>
          <w:tcPr>
            <w:tcW w:w="1175" w:type="dxa"/>
            <w:shd w:val="clear" w:color="auto" w:fill="auto"/>
            <w:noWrap/>
            <w:hideMark/>
          </w:tcPr>
          <w:p w:rsidR="00641867" w:rsidRPr="00B4742D" w:rsidRDefault="00641867" w:rsidP="00821A87">
            <w:pPr>
              <w:spacing w:line="240" w:lineRule="auto"/>
              <w:jc w:val="center"/>
            </w:pPr>
            <w:r w:rsidRPr="00B4742D">
              <w:t>12</w:t>
            </w:r>
            <w:r w:rsidR="00821A87" w:rsidRPr="00B4742D">
              <w:t>.</w:t>
            </w:r>
            <w:r w:rsidRPr="00B4742D">
              <w:t>235,0</w:t>
            </w:r>
          </w:p>
        </w:tc>
        <w:tc>
          <w:tcPr>
            <w:tcW w:w="1175" w:type="dxa"/>
            <w:shd w:val="clear" w:color="auto" w:fill="auto"/>
            <w:noWrap/>
            <w:hideMark/>
          </w:tcPr>
          <w:p w:rsidR="00641867" w:rsidRPr="00B4742D" w:rsidRDefault="00641867" w:rsidP="00821A87">
            <w:pPr>
              <w:spacing w:line="240" w:lineRule="auto"/>
              <w:jc w:val="center"/>
            </w:pPr>
            <w:r w:rsidRPr="00B4742D">
              <w:t>18</w:t>
            </w:r>
            <w:r w:rsidR="00821A87" w:rsidRPr="00B4742D">
              <w:t>.</w:t>
            </w:r>
            <w:r w:rsidRPr="00B4742D">
              <w:t>748,4</w:t>
            </w:r>
          </w:p>
        </w:tc>
        <w:tc>
          <w:tcPr>
            <w:tcW w:w="1175" w:type="dxa"/>
            <w:shd w:val="clear" w:color="auto" w:fill="auto"/>
            <w:noWrap/>
            <w:hideMark/>
          </w:tcPr>
          <w:p w:rsidR="00641867" w:rsidRPr="00B4742D" w:rsidRDefault="00641867" w:rsidP="00821A87">
            <w:pPr>
              <w:spacing w:line="240" w:lineRule="auto"/>
              <w:jc w:val="center"/>
            </w:pPr>
            <w:r w:rsidRPr="00B4742D">
              <w:t>37</w:t>
            </w:r>
            <w:r w:rsidR="00821A87" w:rsidRPr="00B4742D">
              <w:t>.</w:t>
            </w:r>
            <w:r w:rsidRPr="00B4742D">
              <w:t>670,8</w:t>
            </w:r>
          </w:p>
        </w:tc>
      </w:tr>
      <w:tr w:rsidR="00821A87" w:rsidRPr="00B4742D" w:rsidTr="00821A87">
        <w:trPr>
          <w:trHeight w:val="300"/>
        </w:trPr>
        <w:tc>
          <w:tcPr>
            <w:tcW w:w="1689" w:type="dxa"/>
            <w:shd w:val="clear" w:color="auto" w:fill="auto"/>
            <w:noWrap/>
            <w:vAlign w:val="bottom"/>
            <w:hideMark/>
          </w:tcPr>
          <w:p w:rsidR="00641867" w:rsidRPr="00B4742D" w:rsidRDefault="00641867" w:rsidP="00821A87">
            <w:pPr>
              <w:spacing w:line="240" w:lineRule="auto"/>
              <w:jc w:val="center"/>
            </w:pPr>
            <w:r w:rsidRPr="00B4742D">
              <w:t>5</w:t>
            </w:r>
            <w:r w:rsidR="00821A87" w:rsidRPr="00B4742D">
              <w:t>.</w:t>
            </w:r>
            <w:r w:rsidRPr="00B4742D">
              <w:t>000</w:t>
            </w:r>
            <w:r w:rsidR="00821A87" w:rsidRPr="00B4742D">
              <w:t>,00</w:t>
            </w:r>
          </w:p>
        </w:tc>
        <w:tc>
          <w:tcPr>
            <w:tcW w:w="1043" w:type="dxa"/>
            <w:shd w:val="clear" w:color="auto" w:fill="auto"/>
            <w:noWrap/>
            <w:hideMark/>
          </w:tcPr>
          <w:p w:rsidR="00641867" w:rsidRPr="00B4742D" w:rsidRDefault="00641867" w:rsidP="00821A87">
            <w:pPr>
              <w:spacing w:line="240" w:lineRule="auto"/>
              <w:jc w:val="center"/>
            </w:pPr>
            <w:r w:rsidRPr="00B4742D">
              <w:t>900,0</w:t>
            </w:r>
          </w:p>
        </w:tc>
        <w:tc>
          <w:tcPr>
            <w:tcW w:w="1119"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890,0</w:t>
            </w:r>
          </w:p>
        </w:tc>
        <w:tc>
          <w:tcPr>
            <w:tcW w:w="1099" w:type="dxa"/>
            <w:shd w:val="clear" w:color="auto" w:fill="auto"/>
            <w:noWrap/>
            <w:hideMark/>
          </w:tcPr>
          <w:p w:rsidR="00641867" w:rsidRPr="00B4742D" w:rsidRDefault="00641867" w:rsidP="00821A87">
            <w:pPr>
              <w:spacing w:line="240" w:lineRule="auto"/>
              <w:jc w:val="center"/>
            </w:pPr>
            <w:r w:rsidRPr="00B4742D">
              <w:t>5</w:t>
            </w:r>
            <w:r w:rsidR="00821A87" w:rsidRPr="00B4742D">
              <w:t>.</w:t>
            </w:r>
            <w:r w:rsidRPr="00B4742D">
              <w:t>167,0</w:t>
            </w:r>
          </w:p>
        </w:tc>
        <w:tc>
          <w:tcPr>
            <w:tcW w:w="1179" w:type="dxa"/>
            <w:shd w:val="clear" w:color="auto" w:fill="auto"/>
            <w:noWrap/>
            <w:hideMark/>
          </w:tcPr>
          <w:p w:rsidR="00641867" w:rsidRPr="00B4742D" w:rsidRDefault="00641867" w:rsidP="00821A87">
            <w:pPr>
              <w:spacing w:line="240" w:lineRule="auto"/>
              <w:jc w:val="center"/>
            </w:pPr>
            <w:r w:rsidRPr="00B4742D">
              <w:t>11</w:t>
            </w:r>
            <w:r w:rsidR="00821A87" w:rsidRPr="00B4742D">
              <w:t>.</w:t>
            </w:r>
            <w:r w:rsidRPr="00B4742D">
              <w:t>816,3</w:t>
            </w:r>
          </w:p>
        </w:tc>
        <w:tc>
          <w:tcPr>
            <w:tcW w:w="1175" w:type="dxa"/>
            <w:shd w:val="clear" w:color="auto" w:fill="auto"/>
            <w:noWrap/>
            <w:hideMark/>
          </w:tcPr>
          <w:p w:rsidR="00641867" w:rsidRPr="00B4742D" w:rsidRDefault="00641867" w:rsidP="00821A87">
            <w:pPr>
              <w:spacing w:line="240" w:lineRule="auto"/>
              <w:jc w:val="center"/>
            </w:pPr>
            <w:r w:rsidRPr="00B4742D">
              <w:t>20</w:t>
            </w:r>
            <w:r w:rsidR="00821A87" w:rsidRPr="00B4742D">
              <w:t>.</w:t>
            </w:r>
            <w:r w:rsidRPr="00B4742D">
              <w:t>302,6</w:t>
            </w:r>
          </w:p>
        </w:tc>
        <w:tc>
          <w:tcPr>
            <w:tcW w:w="1175" w:type="dxa"/>
            <w:shd w:val="clear" w:color="auto" w:fill="auto"/>
            <w:noWrap/>
            <w:hideMark/>
          </w:tcPr>
          <w:p w:rsidR="00641867" w:rsidRPr="00B4742D" w:rsidRDefault="00641867" w:rsidP="00821A87">
            <w:pPr>
              <w:spacing w:line="240" w:lineRule="auto"/>
              <w:jc w:val="center"/>
            </w:pPr>
            <w:r w:rsidRPr="00B4742D">
              <w:t>31</w:t>
            </w:r>
            <w:r w:rsidR="00821A87" w:rsidRPr="00B4742D">
              <w:t>.</w:t>
            </w:r>
            <w:r w:rsidRPr="00B4742D">
              <w:t>133,6</w:t>
            </w:r>
          </w:p>
        </w:tc>
        <w:tc>
          <w:tcPr>
            <w:tcW w:w="1175" w:type="dxa"/>
            <w:shd w:val="clear" w:color="auto" w:fill="auto"/>
            <w:noWrap/>
            <w:hideMark/>
          </w:tcPr>
          <w:p w:rsidR="00641867" w:rsidRPr="00B4742D" w:rsidRDefault="00641867" w:rsidP="00821A87">
            <w:pPr>
              <w:spacing w:line="240" w:lineRule="auto"/>
              <w:jc w:val="center"/>
            </w:pPr>
            <w:r w:rsidRPr="00B4742D">
              <w:t>62</w:t>
            </w:r>
            <w:r w:rsidR="00821A87" w:rsidRPr="00B4742D">
              <w:t>.</w:t>
            </w:r>
            <w:r w:rsidRPr="00B4742D">
              <w:t>599,5</w:t>
            </w:r>
          </w:p>
        </w:tc>
      </w:tr>
      <w:tr w:rsidR="00821A87" w:rsidRPr="00B4742D" w:rsidTr="00821A87">
        <w:trPr>
          <w:trHeight w:val="300"/>
        </w:trPr>
        <w:tc>
          <w:tcPr>
            <w:tcW w:w="1689" w:type="dxa"/>
            <w:shd w:val="clear" w:color="auto" w:fill="auto"/>
            <w:noWrap/>
            <w:vAlign w:val="bottom"/>
            <w:hideMark/>
          </w:tcPr>
          <w:p w:rsidR="00641867" w:rsidRPr="00B4742D" w:rsidRDefault="00641867" w:rsidP="00821A87">
            <w:pPr>
              <w:spacing w:line="240" w:lineRule="auto"/>
              <w:jc w:val="center"/>
            </w:pPr>
            <w:r w:rsidRPr="00B4742D">
              <w:t>10</w:t>
            </w:r>
            <w:r w:rsidR="00821A87" w:rsidRPr="00B4742D">
              <w:t>.</w:t>
            </w:r>
            <w:r w:rsidRPr="00B4742D">
              <w:t>000</w:t>
            </w:r>
            <w:r w:rsidR="00821A87" w:rsidRPr="00B4742D">
              <w:t>,00</w:t>
            </w:r>
          </w:p>
        </w:tc>
        <w:tc>
          <w:tcPr>
            <w:tcW w:w="1043"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800,0</w:t>
            </w:r>
          </w:p>
        </w:tc>
        <w:tc>
          <w:tcPr>
            <w:tcW w:w="1119" w:type="dxa"/>
            <w:shd w:val="clear" w:color="auto" w:fill="auto"/>
            <w:noWrap/>
            <w:hideMark/>
          </w:tcPr>
          <w:p w:rsidR="00641867" w:rsidRPr="00B4742D" w:rsidRDefault="00641867" w:rsidP="00821A87">
            <w:pPr>
              <w:spacing w:line="240" w:lineRule="auto"/>
              <w:jc w:val="center"/>
            </w:pPr>
            <w:r w:rsidRPr="00B4742D">
              <w:t>3</w:t>
            </w:r>
            <w:r w:rsidR="00821A87" w:rsidRPr="00B4742D">
              <w:t>.</w:t>
            </w:r>
            <w:r w:rsidRPr="00B4742D">
              <w:t>780,0</w:t>
            </w:r>
          </w:p>
        </w:tc>
        <w:tc>
          <w:tcPr>
            <w:tcW w:w="1099" w:type="dxa"/>
            <w:shd w:val="clear" w:color="auto" w:fill="auto"/>
            <w:noWrap/>
            <w:hideMark/>
          </w:tcPr>
          <w:p w:rsidR="00641867" w:rsidRPr="00B4742D" w:rsidRDefault="00641867" w:rsidP="00821A87">
            <w:pPr>
              <w:spacing w:line="240" w:lineRule="auto"/>
              <w:jc w:val="center"/>
            </w:pPr>
            <w:r w:rsidRPr="00B4742D">
              <w:t>10</w:t>
            </w:r>
            <w:r w:rsidR="00821A87" w:rsidRPr="00B4742D">
              <w:t>.</w:t>
            </w:r>
            <w:r w:rsidRPr="00B4742D">
              <w:t>334,0</w:t>
            </w:r>
          </w:p>
        </w:tc>
        <w:tc>
          <w:tcPr>
            <w:tcW w:w="1179" w:type="dxa"/>
            <w:shd w:val="clear" w:color="auto" w:fill="auto"/>
            <w:noWrap/>
            <w:hideMark/>
          </w:tcPr>
          <w:p w:rsidR="00641867" w:rsidRPr="00B4742D" w:rsidRDefault="00641867" w:rsidP="00821A87">
            <w:pPr>
              <w:spacing w:line="240" w:lineRule="auto"/>
              <w:jc w:val="center"/>
            </w:pPr>
            <w:r w:rsidRPr="00B4742D">
              <w:t>23</w:t>
            </w:r>
            <w:r w:rsidR="00821A87" w:rsidRPr="00B4742D">
              <w:t>.</w:t>
            </w:r>
            <w:r w:rsidRPr="00B4742D">
              <w:t>632,6</w:t>
            </w:r>
          </w:p>
        </w:tc>
        <w:tc>
          <w:tcPr>
            <w:tcW w:w="1175" w:type="dxa"/>
            <w:shd w:val="clear" w:color="auto" w:fill="auto"/>
            <w:noWrap/>
            <w:hideMark/>
          </w:tcPr>
          <w:p w:rsidR="00641867" w:rsidRPr="00B4742D" w:rsidRDefault="00641867" w:rsidP="00821A87">
            <w:pPr>
              <w:spacing w:line="240" w:lineRule="auto"/>
              <w:jc w:val="center"/>
            </w:pPr>
            <w:r w:rsidRPr="00B4742D">
              <w:t>40</w:t>
            </w:r>
            <w:r w:rsidR="00821A87" w:rsidRPr="00B4742D">
              <w:t>.</w:t>
            </w:r>
            <w:r w:rsidRPr="00B4742D">
              <w:t>605,3</w:t>
            </w:r>
          </w:p>
        </w:tc>
        <w:tc>
          <w:tcPr>
            <w:tcW w:w="1175" w:type="dxa"/>
            <w:shd w:val="clear" w:color="auto" w:fill="auto"/>
            <w:noWrap/>
            <w:hideMark/>
          </w:tcPr>
          <w:p w:rsidR="00641867" w:rsidRPr="00B4742D" w:rsidRDefault="00641867" w:rsidP="00821A87">
            <w:pPr>
              <w:spacing w:line="240" w:lineRule="auto"/>
              <w:jc w:val="center"/>
            </w:pPr>
            <w:r w:rsidRPr="00B4742D">
              <w:t>62</w:t>
            </w:r>
            <w:r w:rsidR="00821A87" w:rsidRPr="00B4742D">
              <w:t>.</w:t>
            </w:r>
            <w:r w:rsidRPr="00B4742D">
              <w:t>267,2</w:t>
            </w:r>
          </w:p>
        </w:tc>
        <w:tc>
          <w:tcPr>
            <w:tcW w:w="1175" w:type="dxa"/>
            <w:shd w:val="clear" w:color="auto" w:fill="auto"/>
            <w:noWrap/>
            <w:hideMark/>
          </w:tcPr>
          <w:p w:rsidR="00641867" w:rsidRPr="00B4742D" w:rsidRDefault="00641867" w:rsidP="00821A87">
            <w:pPr>
              <w:spacing w:line="240" w:lineRule="auto"/>
              <w:jc w:val="center"/>
            </w:pPr>
            <w:r w:rsidRPr="00B4742D">
              <w:t>125</w:t>
            </w:r>
            <w:r w:rsidR="00821A87" w:rsidRPr="00B4742D">
              <w:t>.</w:t>
            </w:r>
            <w:r w:rsidRPr="00B4742D">
              <w:t>199,0</w:t>
            </w:r>
          </w:p>
        </w:tc>
      </w:tr>
      <w:tr w:rsidR="00821A87" w:rsidRPr="00B4742D" w:rsidTr="00821A87">
        <w:trPr>
          <w:trHeight w:val="300"/>
        </w:trPr>
        <w:tc>
          <w:tcPr>
            <w:tcW w:w="1689" w:type="dxa"/>
            <w:shd w:val="clear" w:color="auto" w:fill="auto"/>
            <w:noWrap/>
            <w:vAlign w:val="bottom"/>
            <w:hideMark/>
          </w:tcPr>
          <w:p w:rsidR="00641867" w:rsidRPr="00B4742D" w:rsidRDefault="00641867" w:rsidP="00821A87">
            <w:pPr>
              <w:spacing w:line="240" w:lineRule="auto"/>
              <w:jc w:val="center"/>
            </w:pPr>
            <w:r w:rsidRPr="00B4742D">
              <w:t>15</w:t>
            </w:r>
            <w:r w:rsidR="00821A87" w:rsidRPr="00B4742D">
              <w:t>.</w:t>
            </w:r>
            <w:r w:rsidRPr="00B4742D">
              <w:t>000</w:t>
            </w:r>
            <w:r w:rsidR="00821A87" w:rsidRPr="00B4742D">
              <w:t>,00</w:t>
            </w:r>
          </w:p>
        </w:tc>
        <w:tc>
          <w:tcPr>
            <w:tcW w:w="1043" w:type="dxa"/>
            <w:shd w:val="clear" w:color="auto" w:fill="auto"/>
            <w:noWrap/>
            <w:hideMark/>
          </w:tcPr>
          <w:p w:rsidR="00641867" w:rsidRPr="00B4742D" w:rsidRDefault="00641867" w:rsidP="00821A87">
            <w:pPr>
              <w:spacing w:line="240" w:lineRule="auto"/>
              <w:jc w:val="center"/>
            </w:pPr>
            <w:r w:rsidRPr="00B4742D">
              <w:t>2</w:t>
            </w:r>
            <w:r w:rsidR="00821A87" w:rsidRPr="00B4742D">
              <w:t>.</w:t>
            </w:r>
            <w:r w:rsidRPr="00B4742D">
              <w:t>700,0</w:t>
            </w:r>
          </w:p>
        </w:tc>
        <w:tc>
          <w:tcPr>
            <w:tcW w:w="1119" w:type="dxa"/>
            <w:shd w:val="clear" w:color="auto" w:fill="auto"/>
            <w:noWrap/>
            <w:hideMark/>
          </w:tcPr>
          <w:p w:rsidR="00641867" w:rsidRPr="00B4742D" w:rsidRDefault="00641867" w:rsidP="00821A87">
            <w:pPr>
              <w:spacing w:line="240" w:lineRule="auto"/>
              <w:jc w:val="center"/>
            </w:pPr>
            <w:r w:rsidRPr="00B4742D">
              <w:t>5</w:t>
            </w:r>
            <w:r w:rsidR="00821A87" w:rsidRPr="00B4742D">
              <w:t>.</w:t>
            </w:r>
            <w:r w:rsidRPr="00B4742D">
              <w:t>670,0</w:t>
            </w:r>
          </w:p>
        </w:tc>
        <w:tc>
          <w:tcPr>
            <w:tcW w:w="1099" w:type="dxa"/>
            <w:shd w:val="clear" w:color="auto" w:fill="auto"/>
            <w:noWrap/>
            <w:hideMark/>
          </w:tcPr>
          <w:p w:rsidR="00641867" w:rsidRPr="00B4742D" w:rsidRDefault="00641867" w:rsidP="00821A87">
            <w:pPr>
              <w:spacing w:line="240" w:lineRule="auto"/>
              <w:jc w:val="center"/>
            </w:pPr>
            <w:r w:rsidRPr="00B4742D">
              <w:t>15</w:t>
            </w:r>
            <w:r w:rsidR="00821A87" w:rsidRPr="00B4742D">
              <w:t>.</w:t>
            </w:r>
            <w:r w:rsidRPr="00B4742D">
              <w:t>501,1</w:t>
            </w:r>
          </w:p>
        </w:tc>
        <w:tc>
          <w:tcPr>
            <w:tcW w:w="1179" w:type="dxa"/>
            <w:shd w:val="clear" w:color="auto" w:fill="auto"/>
            <w:noWrap/>
            <w:hideMark/>
          </w:tcPr>
          <w:p w:rsidR="00641867" w:rsidRPr="00B4742D" w:rsidRDefault="00641867" w:rsidP="00821A87">
            <w:pPr>
              <w:spacing w:line="240" w:lineRule="auto"/>
              <w:jc w:val="center"/>
            </w:pPr>
            <w:r w:rsidRPr="00B4742D">
              <w:t>35</w:t>
            </w:r>
            <w:r w:rsidR="00821A87" w:rsidRPr="00B4742D">
              <w:t>.</w:t>
            </w:r>
            <w:r w:rsidRPr="00B4742D">
              <w:t>448,9</w:t>
            </w:r>
          </w:p>
        </w:tc>
        <w:tc>
          <w:tcPr>
            <w:tcW w:w="1175" w:type="dxa"/>
            <w:shd w:val="clear" w:color="auto" w:fill="auto"/>
            <w:noWrap/>
            <w:hideMark/>
          </w:tcPr>
          <w:p w:rsidR="00641867" w:rsidRPr="00B4742D" w:rsidRDefault="00641867" w:rsidP="00821A87">
            <w:pPr>
              <w:spacing w:line="240" w:lineRule="auto"/>
              <w:jc w:val="center"/>
            </w:pPr>
            <w:r w:rsidRPr="00B4742D">
              <w:t>60</w:t>
            </w:r>
            <w:r w:rsidR="00821A87" w:rsidRPr="00B4742D">
              <w:t>.</w:t>
            </w:r>
            <w:r w:rsidRPr="00B4742D">
              <w:t>907,9</w:t>
            </w:r>
          </w:p>
        </w:tc>
        <w:tc>
          <w:tcPr>
            <w:tcW w:w="1175" w:type="dxa"/>
            <w:shd w:val="clear" w:color="auto" w:fill="auto"/>
            <w:noWrap/>
            <w:hideMark/>
          </w:tcPr>
          <w:p w:rsidR="00641867" w:rsidRPr="00B4742D" w:rsidRDefault="00641867" w:rsidP="00821A87">
            <w:pPr>
              <w:spacing w:line="240" w:lineRule="auto"/>
              <w:jc w:val="center"/>
            </w:pPr>
            <w:r w:rsidRPr="00B4742D">
              <w:t>93</w:t>
            </w:r>
            <w:r w:rsidR="00821A87" w:rsidRPr="00B4742D">
              <w:t>.</w:t>
            </w:r>
            <w:r w:rsidRPr="00B4742D">
              <w:t>400,8</w:t>
            </w:r>
          </w:p>
        </w:tc>
        <w:tc>
          <w:tcPr>
            <w:tcW w:w="1175" w:type="dxa"/>
            <w:shd w:val="clear" w:color="auto" w:fill="auto"/>
            <w:noWrap/>
            <w:hideMark/>
          </w:tcPr>
          <w:p w:rsidR="00641867" w:rsidRPr="00B4742D" w:rsidRDefault="00641867" w:rsidP="00821A87">
            <w:pPr>
              <w:spacing w:line="240" w:lineRule="auto"/>
              <w:jc w:val="center"/>
            </w:pPr>
            <w:r w:rsidRPr="00B4742D">
              <w:t>187</w:t>
            </w:r>
            <w:r w:rsidR="00821A87" w:rsidRPr="00B4742D">
              <w:t>.</w:t>
            </w:r>
            <w:r w:rsidRPr="00B4742D">
              <w:t>798,5</w:t>
            </w:r>
          </w:p>
        </w:tc>
      </w:tr>
      <w:tr w:rsidR="00821A87" w:rsidRPr="00B4742D" w:rsidTr="00821A87">
        <w:trPr>
          <w:trHeight w:val="300"/>
        </w:trPr>
        <w:tc>
          <w:tcPr>
            <w:tcW w:w="1689" w:type="dxa"/>
            <w:shd w:val="clear" w:color="auto" w:fill="auto"/>
            <w:noWrap/>
            <w:vAlign w:val="bottom"/>
            <w:hideMark/>
          </w:tcPr>
          <w:p w:rsidR="00641867" w:rsidRPr="00B4742D" w:rsidRDefault="00641867" w:rsidP="00821A87">
            <w:pPr>
              <w:spacing w:line="240" w:lineRule="auto"/>
              <w:jc w:val="center"/>
            </w:pPr>
            <w:r w:rsidRPr="00B4742D">
              <w:t>20</w:t>
            </w:r>
            <w:r w:rsidR="00821A87" w:rsidRPr="00B4742D">
              <w:t>.</w:t>
            </w:r>
            <w:r w:rsidRPr="00B4742D">
              <w:t>000</w:t>
            </w:r>
            <w:r w:rsidR="00821A87" w:rsidRPr="00B4742D">
              <w:t>,00</w:t>
            </w:r>
          </w:p>
        </w:tc>
        <w:tc>
          <w:tcPr>
            <w:tcW w:w="1043" w:type="dxa"/>
            <w:shd w:val="clear" w:color="auto" w:fill="auto"/>
            <w:noWrap/>
            <w:hideMark/>
          </w:tcPr>
          <w:p w:rsidR="00641867" w:rsidRPr="00B4742D" w:rsidRDefault="00641867" w:rsidP="00821A87">
            <w:pPr>
              <w:spacing w:line="240" w:lineRule="auto"/>
              <w:jc w:val="center"/>
            </w:pPr>
            <w:r w:rsidRPr="00B4742D">
              <w:t>3</w:t>
            </w:r>
            <w:r w:rsidR="00821A87" w:rsidRPr="00B4742D">
              <w:t>.</w:t>
            </w:r>
            <w:r w:rsidRPr="00B4742D">
              <w:t>600,0</w:t>
            </w:r>
          </w:p>
        </w:tc>
        <w:tc>
          <w:tcPr>
            <w:tcW w:w="1119" w:type="dxa"/>
            <w:shd w:val="clear" w:color="auto" w:fill="auto"/>
            <w:noWrap/>
            <w:hideMark/>
          </w:tcPr>
          <w:p w:rsidR="00641867" w:rsidRPr="00B4742D" w:rsidRDefault="00641867" w:rsidP="00821A87">
            <w:pPr>
              <w:spacing w:line="240" w:lineRule="auto"/>
              <w:jc w:val="center"/>
            </w:pPr>
            <w:r w:rsidRPr="00B4742D">
              <w:t>7</w:t>
            </w:r>
            <w:r w:rsidR="00821A87" w:rsidRPr="00B4742D">
              <w:t>.</w:t>
            </w:r>
            <w:r w:rsidRPr="00B4742D">
              <w:t>560,0</w:t>
            </w:r>
          </w:p>
        </w:tc>
        <w:tc>
          <w:tcPr>
            <w:tcW w:w="1099" w:type="dxa"/>
            <w:shd w:val="clear" w:color="auto" w:fill="auto"/>
            <w:noWrap/>
            <w:hideMark/>
          </w:tcPr>
          <w:p w:rsidR="00641867" w:rsidRPr="00B4742D" w:rsidRDefault="00641867" w:rsidP="00821A87">
            <w:pPr>
              <w:spacing w:line="240" w:lineRule="auto"/>
              <w:jc w:val="center"/>
            </w:pPr>
            <w:r w:rsidRPr="00B4742D">
              <w:t>20</w:t>
            </w:r>
            <w:r w:rsidR="00821A87" w:rsidRPr="00B4742D">
              <w:t>.</w:t>
            </w:r>
            <w:r w:rsidRPr="00B4742D">
              <w:t>668,1</w:t>
            </w:r>
          </w:p>
        </w:tc>
        <w:tc>
          <w:tcPr>
            <w:tcW w:w="1179" w:type="dxa"/>
            <w:shd w:val="clear" w:color="auto" w:fill="auto"/>
            <w:noWrap/>
            <w:hideMark/>
          </w:tcPr>
          <w:p w:rsidR="00641867" w:rsidRPr="00B4742D" w:rsidRDefault="00641867" w:rsidP="00821A87">
            <w:pPr>
              <w:spacing w:line="240" w:lineRule="auto"/>
              <w:jc w:val="center"/>
            </w:pPr>
            <w:r w:rsidRPr="00B4742D">
              <w:t>47</w:t>
            </w:r>
            <w:r w:rsidR="00821A87" w:rsidRPr="00B4742D">
              <w:t>.</w:t>
            </w:r>
            <w:r w:rsidRPr="00B4742D">
              <w:t>265,2</w:t>
            </w:r>
          </w:p>
        </w:tc>
        <w:tc>
          <w:tcPr>
            <w:tcW w:w="1175" w:type="dxa"/>
            <w:shd w:val="clear" w:color="auto" w:fill="auto"/>
            <w:noWrap/>
            <w:hideMark/>
          </w:tcPr>
          <w:p w:rsidR="00641867" w:rsidRPr="00B4742D" w:rsidRDefault="00641867" w:rsidP="00821A87">
            <w:pPr>
              <w:spacing w:line="240" w:lineRule="auto"/>
              <w:jc w:val="center"/>
            </w:pPr>
            <w:r w:rsidRPr="00B4742D">
              <w:t>81</w:t>
            </w:r>
            <w:r w:rsidR="00821A87" w:rsidRPr="00B4742D">
              <w:t>.</w:t>
            </w:r>
            <w:r w:rsidRPr="00B4742D">
              <w:t>210,6</w:t>
            </w:r>
          </w:p>
        </w:tc>
        <w:tc>
          <w:tcPr>
            <w:tcW w:w="1175" w:type="dxa"/>
            <w:shd w:val="clear" w:color="auto" w:fill="auto"/>
            <w:noWrap/>
            <w:hideMark/>
          </w:tcPr>
          <w:p w:rsidR="00641867" w:rsidRPr="00B4742D" w:rsidRDefault="00641867" w:rsidP="00821A87">
            <w:pPr>
              <w:spacing w:line="240" w:lineRule="auto"/>
              <w:jc w:val="center"/>
            </w:pPr>
            <w:r w:rsidRPr="00B4742D">
              <w:t>124</w:t>
            </w:r>
            <w:r w:rsidR="00821A87" w:rsidRPr="00B4742D">
              <w:t>.</w:t>
            </w:r>
            <w:r w:rsidRPr="00B4742D">
              <w:t>534,5</w:t>
            </w:r>
          </w:p>
        </w:tc>
        <w:tc>
          <w:tcPr>
            <w:tcW w:w="1175" w:type="dxa"/>
            <w:shd w:val="clear" w:color="auto" w:fill="auto"/>
            <w:noWrap/>
            <w:hideMark/>
          </w:tcPr>
          <w:p w:rsidR="00641867" w:rsidRPr="00B4742D" w:rsidRDefault="00641867" w:rsidP="00821A87">
            <w:pPr>
              <w:spacing w:line="240" w:lineRule="auto"/>
              <w:jc w:val="center"/>
            </w:pPr>
            <w:r w:rsidRPr="00B4742D">
              <w:t>216</w:t>
            </w:r>
            <w:r w:rsidR="00821A87" w:rsidRPr="00B4742D">
              <w:t>.</w:t>
            </w:r>
            <w:r w:rsidRPr="00B4742D">
              <w:t>667,3</w:t>
            </w:r>
          </w:p>
        </w:tc>
      </w:tr>
      <w:tr w:rsidR="00821A87" w:rsidRPr="00B4742D" w:rsidTr="00821A87">
        <w:trPr>
          <w:trHeight w:val="300"/>
        </w:trPr>
        <w:tc>
          <w:tcPr>
            <w:tcW w:w="1689" w:type="dxa"/>
            <w:shd w:val="clear" w:color="auto" w:fill="auto"/>
            <w:noWrap/>
            <w:vAlign w:val="bottom"/>
            <w:hideMark/>
          </w:tcPr>
          <w:p w:rsidR="00641867" w:rsidRPr="00B4742D" w:rsidRDefault="00641867" w:rsidP="00821A87">
            <w:pPr>
              <w:spacing w:line="240" w:lineRule="auto"/>
              <w:jc w:val="center"/>
            </w:pPr>
            <w:r w:rsidRPr="00B4742D">
              <w:t>30</w:t>
            </w:r>
            <w:r w:rsidR="00821A87" w:rsidRPr="00B4742D">
              <w:t>.</w:t>
            </w:r>
            <w:r w:rsidRPr="00B4742D">
              <w:t>000</w:t>
            </w:r>
            <w:r w:rsidR="00821A87" w:rsidRPr="00B4742D">
              <w:t>,00</w:t>
            </w:r>
          </w:p>
        </w:tc>
        <w:tc>
          <w:tcPr>
            <w:tcW w:w="1043" w:type="dxa"/>
            <w:shd w:val="clear" w:color="auto" w:fill="auto"/>
            <w:noWrap/>
            <w:hideMark/>
          </w:tcPr>
          <w:p w:rsidR="00641867" w:rsidRPr="00B4742D" w:rsidRDefault="00641867" w:rsidP="00821A87">
            <w:pPr>
              <w:spacing w:line="240" w:lineRule="auto"/>
              <w:jc w:val="center"/>
            </w:pPr>
            <w:r w:rsidRPr="00B4742D">
              <w:t>5</w:t>
            </w:r>
            <w:r w:rsidR="00821A87" w:rsidRPr="00B4742D">
              <w:t>.</w:t>
            </w:r>
            <w:r w:rsidRPr="00B4742D">
              <w:t>400,0</w:t>
            </w:r>
          </w:p>
        </w:tc>
        <w:tc>
          <w:tcPr>
            <w:tcW w:w="1119" w:type="dxa"/>
            <w:shd w:val="clear" w:color="auto" w:fill="auto"/>
            <w:noWrap/>
            <w:hideMark/>
          </w:tcPr>
          <w:p w:rsidR="00641867" w:rsidRPr="00B4742D" w:rsidRDefault="00641867" w:rsidP="00821A87">
            <w:pPr>
              <w:spacing w:line="240" w:lineRule="auto"/>
              <w:jc w:val="center"/>
            </w:pPr>
            <w:r w:rsidRPr="00B4742D">
              <w:t>11</w:t>
            </w:r>
            <w:r w:rsidR="00821A87" w:rsidRPr="00B4742D">
              <w:t>.</w:t>
            </w:r>
            <w:r w:rsidRPr="00B4742D">
              <w:t>340,0</w:t>
            </w:r>
          </w:p>
        </w:tc>
        <w:tc>
          <w:tcPr>
            <w:tcW w:w="1099" w:type="dxa"/>
            <w:shd w:val="clear" w:color="auto" w:fill="auto"/>
            <w:noWrap/>
            <w:hideMark/>
          </w:tcPr>
          <w:p w:rsidR="00641867" w:rsidRPr="00B4742D" w:rsidRDefault="00641867" w:rsidP="00821A87">
            <w:pPr>
              <w:spacing w:line="240" w:lineRule="auto"/>
              <w:jc w:val="center"/>
            </w:pPr>
            <w:r w:rsidRPr="00B4742D">
              <w:t>31</w:t>
            </w:r>
            <w:r w:rsidR="00821A87" w:rsidRPr="00B4742D">
              <w:t>.</w:t>
            </w:r>
            <w:r w:rsidRPr="00B4742D">
              <w:t>002,1</w:t>
            </w:r>
          </w:p>
        </w:tc>
        <w:tc>
          <w:tcPr>
            <w:tcW w:w="1179" w:type="dxa"/>
            <w:shd w:val="clear" w:color="auto" w:fill="auto"/>
            <w:noWrap/>
            <w:hideMark/>
          </w:tcPr>
          <w:p w:rsidR="00641867" w:rsidRPr="00B4742D" w:rsidRDefault="00641867" w:rsidP="00821A87">
            <w:pPr>
              <w:spacing w:line="240" w:lineRule="auto"/>
              <w:jc w:val="center"/>
            </w:pPr>
            <w:r w:rsidRPr="00B4742D">
              <w:t>66</w:t>
            </w:r>
            <w:r w:rsidR="00821A87" w:rsidRPr="00B4742D">
              <w:t>.</w:t>
            </w:r>
            <w:r w:rsidRPr="00B4742D">
              <w:t>913,6</w:t>
            </w:r>
          </w:p>
        </w:tc>
        <w:tc>
          <w:tcPr>
            <w:tcW w:w="1175" w:type="dxa"/>
            <w:shd w:val="clear" w:color="auto" w:fill="auto"/>
            <w:noWrap/>
            <w:hideMark/>
          </w:tcPr>
          <w:p w:rsidR="00641867" w:rsidRPr="00B4742D" w:rsidRDefault="00641867" w:rsidP="00821A87">
            <w:pPr>
              <w:spacing w:line="240" w:lineRule="auto"/>
              <w:jc w:val="center"/>
            </w:pPr>
            <w:r w:rsidRPr="00B4742D">
              <w:t>106</w:t>
            </w:r>
            <w:r w:rsidR="00821A87" w:rsidRPr="00B4742D">
              <w:t>.</w:t>
            </w:r>
            <w:r w:rsidRPr="00B4742D">
              <w:t>904,6</w:t>
            </w:r>
          </w:p>
        </w:tc>
        <w:tc>
          <w:tcPr>
            <w:tcW w:w="1175" w:type="dxa"/>
            <w:shd w:val="clear" w:color="auto" w:fill="auto"/>
            <w:noWrap/>
            <w:hideMark/>
          </w:tcPr>
          <w:p w:rsidR="00641867" w:rsidRPr="00B4742D" w:rsidRDefault="00641867" w:rsidP="00821A87">
            <w:pPr>
              <w:spacing w:line="240" w:lineRule="auto"/>
              <w:jc w:val="center"/>
            </w:pPr>
            <w:r w:rsidRPr="00B4742D">
              <w:t>152</w:t>
            </w:r>
            <w:r w:rsidR="00821A87" w:rsidRPr="00B4742D">
              <w:t>.</w:t>
            </w:r>
            <w:r w:rsidRPr="00B4742D">
              <w:t>837,8</w:t>
            </w:r>
          </w:p>
        </w:tc>
        <w:tc>
          <w:tcPr>
            <w:tcW w:w="1175" w:type="dxa"/>
            <w:shd w:val="clear" w:color="auto" w:fill="auto"/>
            <w:noWrap/>
            <w:hideMark/>
          </w:tcPr>
          <w:p w:rsidR="00641867" w:rsidRPr="00B4742D" w:rsidRDefault="00641867" w:rsidP="00821A87">
            <w:pPr>
              <w:spacing w:line="240" w:lineRule="auto"/>
              <w:jc w:val="center"/>
            </w:pPr>
            <w:r w:rsidRPr="00B4742D">
              <w:t>269</w:t>
            </w:r>
            <w:r w:rsidR="00821A87" w:rsidRPr="00B4742D">
              <w:t>.</w:t>
            </w:r>
            <w:r w:rsidRPr="00B4742D">
              <w:t>551,3</w:t>
            </w:r>
          </w:p>
        </w:tc>
      </w:tr>
    </w:tbl>
    <w:p w:rsidR="00641867" w:rsidRPr="00B4742D" w:rsidRDefault="00641867" w:rsidP="00641867">
      <w:pPr>
        <w:spacing w:line="240" w:lineRule="auto"/>
      </w:pPr>
      <w:r w:rsidRPr="00B4742D">
        <w:t>Izvor: Izračun autora</w:t>
      </w:r>
    </w:p>
    <w:p w:rsidR="00641867" w:rsidRPr="00B4742D" w:rsidRDefault="00641867" w:rsidP="00641867">
      <w:pPr>
        <w:spacing w:line="240" w:lineRule="auto"/>
      </w:pPr>
    </w:p>
    <w:p w:rsidR="00641867" w:rsidRPr="00B4742D" w:rsidRDefault="00641867" w:rsidP="00641867">
      <w:pPr>
        <w:spacing w:line="240" w:lineRule="auto"/>
      </w:pPr>
      <w:r w:rsidRPr="00B4742D">
        <w:t>Tablica 11</w:t>
      </w:r>
      <w:r w:rsidR="00821A87" w:rsidRPr="00B4742D">
        <w:t>.</w:t>
      </w:r>
      <w:r w:rsidRPr="00B4742D">
        <w:t xml:space="preserve"> pokazuje razlike u iznosima potraživanja za otpremnine koja </w:t>
      </w:r>
      <w:r w:rsidR="00A5682B" w:rsidRPr="00B4742D">
        <w:t>proizvodi</w:t>
      </w:r>
      <w:r w:rsidRPr="00B4742D">
        <w:t xml:space="preserve"> postojeći i novi model. Može se uočiti </w:t>
      </w:r>
      <w:r w:rsidR="00A5682B" w:rsidRPr="00B4742D">
        <w:t>kako</w:t>
      </w:r>
      <w:r w:rsidRPr="00B4742D">
        <w:t xml:space="preserve"> novi model povećava isplate radnicima tek u slučaju isplate otpremnine na temelju </w:t>
      </w:r>
      <w:r w:rsidR="00A5682B" w:rsidRPr="00B4742D">
        <w:t>trideset</w:t>
      </w:r>
      <w:r w:rsidRPr="00B4742D">
        <w:t xml:space="preserve"> godina staža (u praksi bi, zbog kraćih razdoblja </w:t>
      </w:r>
      <w:r w:rsidR="00A5682B" w:rsidRPr="00B4742D">
        <w:t>radnog odnosa</w:t>
      </w:r>
      <w:r w:rsidRPr="00B4742D">
        <w:t xml:space="preserve"> kod istog poslodavca isplate u novom sustavu ipak bile znatno povoljnije no što se vidi u primjeru – pogotovo u slučajevima česte promjene poslodavca). Također se može zaključiti da ovakav sustav kapitalizacije doprinosa pogoduje radnicima viših prosječnih mjesečnih primanja jer se prinos primjenjuje na veću osnovicu. </w:t>
      </w:r>
    </w:p>
    <w:p w:rsidR="00641867" w:rsidRPr="00B4742D" w:rsidRDefault="00641867" w:rsidP="00641867">
      <w:pPr>
        <w:spacing w:line="240" w:lineRule="auto"/>
      </w:pPr>
    </w:p>
    <w:p w:rsidR="00641867" w:rsidRPr="00B4742D" w:rsidRDefault="00641867" w:rsidP="00641867">
      <w:pPr>
        <w:spacing w:line="240" w:lineRule="auto"/>
      </w:pPr>
      <w:r w:rsidRPr="00B4742D">
        <w:t>Tablica 11</w:t>
      </w:r>
      <w:r w:rsidR="0076762D" w:rsidRPr="00B4742D">
        <w:t>.</w:t>
      </w:r>
      <w:r w:rsidRPr="00B4742D">
        <w:t xml:space="preserve">: Razlika u iznosima potraživanja za otpremnine na temelju prosječne mjesečne bruto plaće i godina rada između </w:t>
      </w:r>
      <w:r w:rsidR="0096429A" w:rsidRPr="00B4742D">
        <w:t>aktualnog nacionalnog sustava otpremnina</w:t>
      </w:r>
      <w:r w:rsidRPr="00B4742D">
        <w:t xml:space="preserve"> i novog modela</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006"/>
        <w:gridCol w:w="1138"/>
        <w:gridCol w:w="1196"/>
        <w:gridCol w:w="1231"/>
        <w:gridCol w:w="1232"/>
        <w:gridCol w:w="1253"/>
        <w:gridCol w:w="1056"/>
      </w:tblGrid>
      <w:tr w:rsidR="00641867" w:rsidRPr="00B4742D" w:rsidTr="00D44694">
        <w:trPr>
          <w:trHeight w:val="300"/>
        </w:trPr>
        <w:tc>
          <w:tcPr>
            <w:tcW w:w="1542" w:type="dxa"/>
            <w:shd w:val="clear" w:color="auto" w:fill="auto"/>
            <w:noWrap/>
            <w:vAlign w:val="bottom"/>
            <w:hideMark/>
          </w:tcPr>
          <w:p w:rsidR="00641867" w:rsidRPr="00BF61FB" w:rsidRDefault="00641867" w:rsidP="00821A87">
            <w:pPr>
              <w:spacing w:line="240" w:lineRule="auto"/>
              <w:jc w:val="center"/>
            </w:pPr>
          </w:p>
        </w:tc>
        <w:tc>
          <w:tcPr>
            <w:tcW w:w="8112" w:type="dxa"/>
            <w:gridSpan w:val="7"/>
            <w:shd w:val="clear" w:color="auto" w:fill="auto"/>
            <w:noWrap/>
            <w:vAlign w:val="bottom"/>
            <w:hideMark/>
          </w:tcPr>
          <w:p w:rsidR="00641867" w:rsidRPr="00B4742D" w:rsidRDefault="00641867" w:rsidP="00821A87">
            <w:pPr>
              <w:spacing w:line="240" w:lineRule="auto"/>
              <w:jc w:val="center"/>
            </w:pPr>
            <w:r w:rsidRPr="00B4742D">
              <w:t>Godine rada</w:t>
            </w:r>
          </w:p>
        </w:tc>
      </w:tr>
      <w:tr w:rsidR="00D44694" w:rsidRPr="00B4742D" w:rsidTr="00D44694">
        <w:trPr>
          <w:trHeight w:val="300"/>
        </w:trPr>
        <w:tc>
          <w:tcPr>
            <w:tcW w:w="1542" w:type="dxa"/>
            <w:shd w:val="clear" w:color="auto" w:fill="auto"/>
            <w:noWrap/>
            <w:vAlign w:val="bottom"/>
            <w:hideMark/>
          </w:tcPr>
          <w:p w:rsidR="00641867" w:rsidRPr="00B4742D" w:rsidRDefault="00641867" w:rsidP="00821A87">
            <w:pPr>
              <w:spacing w:line="240" w:lineRule="auto"/>
              <w:jc w:val="center"/>
            </w:pPr>
            <w:r w:rsidRPr="00B4742D">
              <w:t>Mjesečni iznos bruto plaće (HRK)</w:t>
            </w:r>
          </w:p>
        </w:tc>
        <w:tc>
          <w:tcPr>
            <w:tcW w:w="1006" w:type="dxa"/>
            <w:shd w:val="clear" w:color="auto" w:fill="auto"/>
            <w:noWrap/>
            <w:vAlign w:val="bottom"/>
            <w:hideMark/>
          </w:tcPr>
          <w:p w:rsidR="00641867" w:rsidRPr="00B4742D" w:rsidRDefault="00641867" w:rsidP="00821A87">
            <w:pPr>
              <w:spacing w:line="240" w:lineRule="auto"/>
              <w:jc w:val="center"/>
            </w:pPr>
            <w:r w:rsidRPr="00B4742D">
              <w:t>1</w:t>
            </w:r>
          </w:p>
        </w:tc>
        <w:tc>
          <w:tcPr>
            <w:tcW w:w="1138" w:type="dxa"/>
            <w:shd w:val="clear" w:color="auto" w:fill="auto"/>
            <w:noWrap/>
            <w:vAlign w:val="bottom"/>
            <w:hideMark/>
          </w:tcPr>
          <w:p w:rsidR="00641867" w:rsidRPr="00B4742D" w:rsidRDefault="00641867" w:rsidP="00821A87">
            <w:pPr>
              <w:spacing w:line="240" w:lineRule="auto"/>
              <w:jc w:val="center"/>
            </w:pPr>
            <w:r w:rsidRPr="00B4742D">
              <w:t>2</w:t>
            </w:r>
          </w:p>
        </w:tc>
        <w:tc>
          <w:tcPr>
            <w:tcW w:w="1196" w:type="dxa"/>
            <w:shd w:val="clear" w:color="auto" w:fill="auto"/>
            <w:noWrap/>
            <w:vAlign w:val="bottom"/>
            <w:hideMark/>
          </w:tcPr>
          <w:p w:rsidR="00641867" w:rsidRPr="00B4742D" w:rsidRDefault="00641867" w:rsidP="00821A87">
            <w:pPr>
              <w:spacing w:line="240" w:lineRule="auto"/>
              <w:jc w:val="center"/>
            </w:pPr>
            <w:r w:rsidRPr="00B4742D">
              <w:t>5</w:t>
            </w:r>
          </w:p>
        </w:tc>
        <w:tc>
          <w:tcPr>
            <w:tcW w:w="1231" w:type="dxa"/>
            <w:shd w:val="clear" w:color="auto" w:fill="auto"/>
            <w:noWrap/>
            <w:vAlign w:val="bottom"/>
            <w:hideMark/>
          </w:tcPr>
          <w:p w:rsidR="00641867" w:rsidRPr="00B4742D" w:rsidRDefault="00641867" w:rsidP="00821A87">
            <w:pPr>
              <w:spacing w:line="240" w:lineRule="auto"/>
              <w:jc w:val="center"/>
            </w:pPr>
            <w:r w:rsidRPr="00B4742D">
              <w:t>10</w:t>
            </w:r>
          </w:p>
        </w:tc>
        <w:tc>
          <w:tcPr>
            <w:tcW w:w="1232" w:type="dxa"/>
            <w:shd w:val="clear" w:color="auto" w:fill="auto"/>
            <w:noWrap/>
            <w:vAlign w:val="bottom"/>
            <w:hideMark/>
          </w:tcPr>
          <w:p w:rsidR="00641867" w:rsidRPr="00B4742D" w:rsidRDefault="00641867" w:rsidP="00821A87">
            <w:pPr>
              <w:spacing w:line="240" w:lineRule="auto"/>
              <w:jc w:val="center"/>
            </w:pPr>
            <w:r w:rsidRPr="00B4742D">
              <w:t>15</w:t>
            </w:r>
          </w:p>
        </w:tc>
        <w:tc>
          <w:tcPr>
            <w:tcW w:w="1253" w:type="dxa"/>
            <w:shd w:val="clear" w:color="auto" w:fill="auto"/>
            <w:noWrap/>
            <w:vAlign w:val="bottom"/>
            <w:hideMark/>
          </w:tcPr>
          <w:p w:rsidR="00641867" w:rsidRPr="00B4742D" w:rsidRDefault="00641867" w:rsidP="00821A87">
            <w:pPr>
              <w:spacing w:line="240" w:lineRule="auto"/>
              <w:jc w:val="center"/>
            </w:pPr>
            <w:r w:rsidRPr="00B4742D">
              <w:t>20</w:t>
            </w:r>
          </w:p>
        </w:tc>
        <w:tc>
          <w:tcPr>
            <w:tcW w:w="1056" w:type="dxa"/>
            <w:shd w:val="clear" w:color="auto" w:fill="auto"/>
            <w:noWrap/>
            <w:vAlign w:val="bottom"/>
            <w:hideMark/>
          </w:tcPr>
          <w:p w:rsidR="00641867" w:rsidRPr="00B4742D" w:rsidRDefault="00641867" w:rsidP="00821A87">
            <w:pPr>
              <w:spacing w:line="240" w:lineRule="auto"/>
              <w:jc w:val="center"/>
            </w:pPr>
            <w:r w:rsidRPr="00B4742D">
              <w:t>30</w:t>
            </w:r>
          </w:p>
        </w:tc>
      </w:tr>
      <w:tr w:rsidR="00D44694" w:rsidRPr="00B4742D" w:rsidTr="00D44694">
        <w:trPr>
          <w:trHeight w:val="300"/>
        </w:trPr>
        <w:tc>
          <w:tcPr>
            <w:tcW w:w="1542" w:type="dxa"/>
            <w:shd w:val="clear" w:color="auto" w:fill="auto"/>
            <w:noWrap/>
            <w:vAlign w:val="bottom"/>
            <w:hideMark/>
          </w:tcPr>
          <w:p w:rsidR="00641867" w:rsidRPr="00B4742D" w:rsidRDefault="00641867" w:rsidP="00821A87">
            <w:pPr>
              <w:spacing w:line="240" w:lineRule="auto"/>
              <w:jc w:val="center"/>
            </w:pPr>
            <w:r w:rsidRPr="00B4742D">
              <w:t>3</w:t>
            </w:r>
            <w:r w:rsidR="00821A87" w:rsidRPr="00B4742D">
              <w:t>.</w:t>
            </w:r>
            <w:r w:rsidRPr="00B4742D">
              <w:t>000</w:t>
            </w:r>
            <w:r w:rsidR="00821A87" w:rsidRPr="00B4742D">
              <w:t>,00</w:t>
            </w:r>
          </w:p>
        </w:tc>
        <w:tc>
          <w:tcPr>
            <w:tcW w:w="1006" w:type="dxa"/>
            <w:shd w:val="clear" w:color="auto" w:fill="auto"/>
            <w:noWrap/>
            <w:hideMark/>
          </w:tcPr>
          <w:p w:rsidR="00641867" w:rsidRPr="00B4742D" w:rsidRDefault="00641867" w:rsidP="00821A87">
            <w:pPr>
              <w:spacing w:line="240" w:lineRule="auto"/>
              <w:jc w:val="center"/>
            </w:pPr>
            <w:r w:rsidRPr="00B4742D">
              <w:t>540,0</w:t>
            </w:r>
          </w:p>
        </w:tc>
        <w:tc>
          <w:tcPr>
            <w:tcW w:w="1138" w:type="dxa"/>
            <w:shd w:val="clear" w:color="auto" w:fill="auto"/>
            <w:noWrap/>
            <w:hideMark/>
          </w:tcPr>
          <w:p w:rsidR="00641867" w:rsidRPr="00B4742D" w:rsidRDefault="00641867" w:rsidP="00821A87">
            <w:pPr>
              <w:spacing w:line="240" w:lineRule="auto"/>
              <w:jc w:val="center"/>
            </w:pPr>
            <w:r w:rsidRPr="00B4742D">
              <w:t>-837,7</w:t>
            </w:r>
          </w:p>
        </w:tc>
        <w:tc>
          <w:tcPr>
            <w:tcW w:w="1196"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867,0</w:t>
            </w:r>
          </w:p>
        </w:tc>
        <w:tc>
          <w:tcPr>
            <w:tcW w:w="1231" w:type="dxa"/>
            <w:shd w:val="clear" w:color="auto" w:fill="auto"/>
            <w:noWrap/>
            <w:hideMark/>
          </w:tcPr>
          <w:p w:rsidR="00641867" w:rsidRPr="00B4742D" w:rsidRDefault="00641867" w:rsidP="00821A87">
            <w:pPr>
              <w:spacing w:line="240" w:lineRule="auto"/>
              <w:jc w:val="center"/>
            </w:pPr>
            <w:r w:rsidRPr="00B4742D">
              <w:t>-2</w:t>
            </w:r>
            <w:r w:rsidR="00821A87" w:rsidRPr="00B4742D">
              <w:t>.</w:t>
            </w:r>
            <w:r w:rsidRPr="00B4742D">
              <w:t>868,3</w:t>
            </w:r>
          </w:p>
        </w:tc>
        <w:tc>
          <w:tcPr>
            <w:tcW w:w="1232" w:type="dxa"/>
            <w:shd w:val="clear" w:color="auto" w:fill="auto"/>
            <w:noWrap/>
            <w:hideMark/>
          </w:tcPr>
          <w:p w:rsidR="00641867" w:rsidRPr="00B4742D" w:rsidRDefault="00641867" w:rsidP="00821A87">
            <w:pPr>
              <w:spacing w:line="240" w:lineRule="auto"/>
              <w:jc w:val="center"/>
            </w:pPr>
            <w:r w:rsidRPr="00B4742D">
              <w:t>-2</w:t>
            </w:r>
            <w:r w:rsidR="00821A87" w:rsidRPr="00B4742D">
              <w:t>.</w:t>
            </w:r>
            <w:r w:rsidRPr="00B4742D">
              <w:t>765,0</w:t>
            </w:r>
          </w:p>
        </w:tc>
        <w:tc>
          <w:tcPr>
            <w:tcW w:w="1253"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251,6</w:t>
            </w:r>
          </w:p>
        </w:tc>
        <w:tc>
          <w:tcPr>
            <w:tcW w:w="1056" w:type="dxa"/>
            <w:shd w:val="clear" w:color="auto" w:fill="auto"/>
            <w:noWrap/>
            <w:hideMark/>
          </w:tcPr>
          <w:p w:rsidR="00641867" w:rsidRPr="00B4742D" w:rsidRDefault="00641867" w:rsidP="00821A87">
            <w:pPr>
              <w:spacing w:line="240" w:lineRule="auto"/>
              <w:jc w:val="center"/>
            </w:pPr>
            <w:r w:rsidRPr="00B4742D">
              <w:t>7</w:t>
            </w:r>
            <w:r w:rsidR="00821A87" w:rsidRPr="00B4742D">
              <w:t>.</w:t>
            </w:r>
            <w:r w:rsidRPr="00B4742D">
              <w:t>670,8</w:t>
            </w:r>
          </w:p>
        </w:tc>
      </w:tr>
      <w:tr w:rsidR="00D44694" w:rsidRPr="00B4742D" w:rsidTr="00D44694">
        <w:trPr>
          <w:trHeight w:val="300"/>
        </w:trPr>
        <w:tc>
          <w:tcPr>
            <w:tcW w:w="1542" w:type="dxa"/>
            <w:shd w:val="clear" w:color="auto" w:fill="auto"/>
            <w:noWrap/>
            <w:vAlign w:val="bottom"/>
            <w:hideMark/>
          </w:tcPr>
          <w:p w:rsidR="00641867" w:rsidRPr="00B4742D" w:rsidRDefault="00641867" w:rsidP="00821A87">
            <w:pPr>
              <w:spacing w:line="240" w:lineRule="auto"/>
              <w:jc w:val="center"/>
            </w:pPr>
            <w:r w:rsidRPr="00B4742D">
              <w:t>5</w:t>
            </w:r>
            <w:r w:rsidR="00821A87" w:rsidRPr="00B4742D">
              <w:t>.</w:t>
            </w:r>
            <w:r w:rsidRPr="00B4742D">
              <w:t>000</w:t>
            </w:r>
            <w:r w:rsidR="00821A87" w:rsidRPr="00B4742D">
              <w:t>,00</w:t>
            </w:r>
          </w:p>
        </w:tc>
        <w:tc>
          <w:tcPr>
            <w:tcW w:w="1006" w:type="dxa"/>
            <w:shd w:val="clear" w:color="auto" w:fill="auto"/>
            <w:noWrap/>
            <w:hideMark/>
          </w:tcPr>
          <w:p w:rsidR="00641867" w:rsidRPr="00B4742D" w:rsidRDefault="00641867" w:rsidP="00821A87">
            <w:pPr>
              <w:spacing w:line="240" w:lineRule="auto"/>
              <w:jc w:val="center"/>
            </w:pPr>
            <w:r w:rsidRPr="00B4742D">
              <w:t>900,0</w:t>
            </w:r>
          </w:p>
        </w:tc>
        <w:tc>
          <w:tcPr>
            <w:tcW w:w="1138"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443,3</w:t>
            </w:r>
          </w:p>
        </w:tc>
        <w:tc>
          <w:tcPr>
            <w:tcW w:w="1196" w:type="dxa"/>
            <w:shd w:val="clear" w:color="auto" w:fill="auto"/>
            <w:noWrap/>
            <w:hideMark/>
          </w:tcPr>
          <w:p w:rsidR="00641867" w:rsidRPr="00B4742D" w:rsidRDefault="00641867" w:rsidP="00821A87">
            <w:pPr>
              <w:spacing w:line="240" w:lineRule="auto"/>
              <w:jc w:val="center"/>
            </w:pPr>
            <w:r w:rsidRPr="00B4742D">
              <w:t>-3</w:t>
            </w:r>
            <w:r w:rsidR="00821A87" w:rsidRPr="00B4742D">
              <w:t>.</w:t>
            </w:r>
            <w:r w:rsidRPr="00B4742D">
              <w:t>166,3</w:t>
            </w:r>
          </w:p>
        </w:tc>
        <w:tc>
          <w:tcPr>
            <w:tcW w:w="1231" w:type="dxa"/>
            <w:shd w:val="clear" w:color="auto" w:fill="auto"/>
            <w:noWrap/>
            <w:hideMark/>
          </w:tcPr>
          <w:p w:rsidR="00641867" w:rsidRPr="00B4742D" w:rsidRDefault="00641867" w:rsidP="00821A87">
            <w:pPr>
              <w:spacing w:line="240" w:lineRule="auto"/>
              <w:jc w:val="center"/>
            </w:pPr>
            <w:r w:rsidRPr="00B4742D">
              <w:t>-4</w:t>
            </w:r>
            <w:r w:rsidR="00821A87" w:rsidRPr="00B4742D">
              <w:t>.</w:t>
            </w:r>
            <w:r w:rsidRPr="00B4742D">
              <w:t>850,4</w:t>
            </w:r>
          </w:p>
        </w:tc>
        <w:tc>
          <w:tcPr>
            <w:tcW w:w="1232" w:type="dxa"/>
            <w:shd w:val="clear" w:color="auto" w:fill="auto"/>
            <w:noWrap/>
            <w:hideMark/>
          </w:tcPr>
          <w:p w:rsidR="00641867" w:rsidRPr="00B4742D" w:rsidRDefault="00641867" w:rsidP="00821A87">
            <w:pPr>
              <w:spacing w:line="240" w:lineRule="auto"/>
              <w:jc w:val="center"/>
            </w:pPr>
            <w:r w:rsidRPr="00B4742D">
              <w:t>-4</w:t>
            </w:r>
            <w:r w:rsidR="00821A87" w:rsidRPr="00B4742D">
              <w:t>.</w:t>
            </w:r>
            <w:r w:rsidRPr="00B4742D">
              <w:t>697,4</w:t>
            </w:r>
          </w:p>
        </w:tc>
        <w:tc>
          <w:tcPr>
            <w:tcW w:w="1253"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133,6</w:t>
            </w:r>
          </w:p>
        </w:tc>
        <w:tc>
          <w:tcPr>
            <w:tcW w:w="1056" w:type="dxa"/>
            <w:shd w:val="clear" w:color="auto" w:fill="auto"/>
            <w:noWrap/>
            <w:hideMark/>
          </w:tcPr>
          <w:p w:rsidR="00641867" w:rsidRPr="00B4742D" w:rsidRDefault="00641867" w:rsidP="00821A87">
            <w:pPr>
              <w:spacing w:line="240" w:lineRule="auto"/>
              <w:jc w:val="center"/>
            </w:pPr>
            <w:r w:rsidRPr="00B4742D">
              <w:t>32</w:t>
            </w:r>
            <w:r w:rsidR="00821A87" w:rsidRPr="00B4742D">
              <w:t>.</w:t>
            </w:r>
            <w:r w:rsidRPr="00B4742D">
              <w:t>599,5</w:t>
            </w:r>
          </w:p>
        </w:tc>
      </w:tr>
      <w:tr w:rsidR="00D44694" w:rsidRPr="00B4742D" w:rsidTr="00D44694">
        <w:trPr>
          <w:trHeight w:val="300"/>
        </w:trPr>
        <w:tc>
          <w:tcPr>
            <w:tcW w:w="1542" w:type="dxa"/>
            <w:shd w:val="clear" w:color="auto" w:fill="auto"/>
            <w:noWrap/>
            <w:vAlign w:val="bottom"/>
            <w:hideMark/>
          </w:tcPr>
          <w:p w:rsidR="00641867" w:rsidRPr="00B4742D" w:rsidRDefault="00641867" w:rsidP="00821A87">
            <w:pPr>
              <w:spacing w:line="240" w:lineRule="auto"/>
              <w:jc w:val="center"/>
            </w:pPr>
            <w:r w:rsidRPr="00B4742D">
              <w:t>10</w:t>
            </w:r>
            <w:r w:rsidR="00821A87" w:rsidRPr="00B4742D">
              <w:t>.</w:t>
            </w:r>
            <w:r w:rsidRPr="00B4742D">
              <w:t>000</w:t>
            </w:r>
            <w:r w:rsidR="00821A87" w:rsidRPr="00B4742D">
              <w:t>,00</w:t>
            </w:r>
          </w:p>
        </w:tc>
        <w:tc>
          <w:tcPr>
            <w:tcW w:w="1006" w:type="dxa"/>
            <w:shd w:val="clear" w:color="auto" w:fill="auto"/>
            <w:noWrap/>
            <w:hideMark/>
          </w:tcPr>
          <w:p w:rsidR="00641867" w:rsidRPr="00B4742D" w:rsidRDefault="00641867" w:rsidP="00821A87">
            <w:pPr>
              <w:spacing w:line="240" w:lineRule="auto"/>
              <w:jc w:val="center"/>
            </w:pPr>
            <w:r w:rsidRPr="00B4742D">
              <w:t>1</w:t>
            </w:r>
            <w:r w:rsidR="00821A87" w:rsidRPr="00B4742D">
              <w:t>.</w:t>
            </w:r>
            <w:r w:rsidRPr="00B4742D">
              <w:t>800,0</w:t>
            </w:r>
          </w:p>
        </w:tc>
        <w:tc>
          <w:tcPr>
            <w:tcW w:w="1138" w:type="dxa"/>
            <w:shd w:val="clear" w:color="auto" w:fill="auto"/>
            <w:noWrap/>
            <w:hideMark/>
          </w:tcPr>
          <w:p w:rsidR="00641867" w:rsidRPr="00B4742D" w:rsidRDefault="00641867" w:rsidP="00821A87">
            <w:pPr>
              <w:spacing w:line="240" w:lineRule="auto"/>
              <w:jc w:val="center"/>
            </w:pPr>
            <w:r w:rsidRPr="00B4742D">
              <w:t>-2</w:t>
            </w:r>
            <w:r w:rsidR="00821A87" w:rsidRPr="00B4742D">
              <w:t>.</w:t>
            </w:r>
            <w:r w:rsidRPr="00B4742D">
              <w:t>886,7</w:t>
            </w:r>
          </w:p>
        </w:tc>
        <w:tc>
          <w:tcPr>
            <w:tcW w:w="1196" w:type="dxa"/>
            <w:shd w:val="clear" w:color="auto" w:fill="auto"/>
            <w:noWrap/>
            <w:hideMark/>
          </w:tcPr>
          <w:p w:rsidR="00641867" w:rsidRPr="00B4742D" w:rsidRDefault="00641867" w:rsidP="00821A87">
            <w:pPr>
              <w:spacing w:line="240" w:lineRule="auto"/>
              <w:jc w:val="center"/>
            </w:pPr>
            <w:r w:rsidRPr="00B4742D">
              <w:t>-6</w:t>
            </w:r>
            <w:r w:rsidR="00821A87" w:rsidRPr="00B4742D">
              <w:t>.</w:t>
            </w:r>
            <w:r w:rsidRPr="00B4742D">
              <w:t>332,6</w:t>
            </w:r>
          </w:p>
        </w:tc>
        <w:tc>
          <w:tcPr>
            <w:tcW w:w="1231" w:type="dxa"/>
            <w:shd w:val="clear" w:color="auto" w:fill="auto"/>
            <w:noWrap/>
            <w:hideMark/>
          </w:tcPr>
          <w:p w:rsidR="00641867" w:rsidRPr="00B4742D" w:rsidRDefault="00641867" w:rsidP="00821A87">
            <w:pPr>
              <w:spacing w:line="240" w:lineRule="auto"/>
              <w:jc w:val="center"/>
            </w:pPr>
            <w:r w:rsidRPr="00B4742D">
              <w:t>-9</w:t>
            </w:r>
            <w:r w:rsidR="00821A87" w:rsidRPr="00B4742D">
              <w:t>.</w:t>
            </w:r>
            <w:r w:rsidRPr="00B4742D">
              <w:t>700,7</w:t>
            </w:r>
          </w:p>
        </w:tc>
        <w:tc>
          <w:tcPr>
            <w:tcW w:w="1232" w:type="dxa"/>
            <w:shd w:val="clear" w:color="auto" w:fill="auto"/>
            <w:noWrap/>
            <w:hideMark/>
          </w:tcPr>
          <w:p w:rsidR="00641867" w:rsidRPr="00B4742D" w:rsidRDefault="00641867" w:rsidP="00821A87">
            <w:pPr>
              <w:spacing w:line="240" w:lineRule="auto"/>
              <w:jc w:val="center"/>
            </w:pPr>
            <w:r w:rsidRPr="00B4742D">
              <w:t>-9</w:t>
            </w:r>
            <w:r w:rsidR="00821A87" w:rsidRPr="00B4742D">
              <w:t>.</w:t>
            </w:r>
            <w:r w:rsidRPr="00B4742D">
              <w:t>394,7</w:t>
            </w:r>
          </w:p>
        </w:tc>
        <w:tc>
          <w:tcPr>
            <w:tcW w:w="1253" w:type="dxa"/>
            <w:shd w:val="clear" w:color="auto" w:fill="auto"/>
            <w:noWrap/>
            <w:hideMark/>
          </w:tcPr>
          <w:p w:rsidR="00641867" w:rsidRPr="00B4742D" w:rsidRDefault="00641867" w:rsidP="00821A87">
            <w:pPr>
              <w:spacing w:line="240" w:lineRule="auto"/>
              <w:jc w:val="center"/>
            </w:pPr>
            <w:r w:rsidRPr="00B4742D">
              <w:t>2</w:t>
            </w:r>
            <w:r w:rsidR="00821A87" w:rsidRPr="00B4742D">
              <w:t>.</w:t>
            </w:r>
            <w:r w:rsidRPr="00B4742D">
              <w:t>267,2</w:t>
            </w:r>
          </w:p>
        </w:tc>
        <w:tc>
          <w:tcPr>
            <w:tcW w:w="1056" w:type="dxa"/>
            <w:shd w:val="clear" w:color="auto" w:fill="auto"/>
            <w:noWrap/>
            <w:hideMark/>
          </w:tcPr>
          <w:p w:rsidR="00641867" w:rsidRPr="00B4742D" w:rsidRDefault="00641867" w:rsidP="00821A87">
            <w:pPr>
              <w:spacing w:line="240" w:lineRule="auto"/>
              <w:jc w:val="center"/>
            </w:pPr>
            <w:r w:rsidRPr="00B4742D">
              <w:t>65</w:t>
            </w:r>
            <w:r w:rsidR="00821A87" w:rsidRPr="00B4742D">
              <w:t>.</w:t>
            </w:r>
            <w:r w:rsidRPr="00B4742D">
              <w:t>199,0</w:t>
            </w:r>
          </w:p>
        </w:tc>
      </w:tr>
      <w:tr w:rsidR="00D44694" w:rsidRPr="00B4742D" w:rsidTr="00D44694">
        <w:trPr>
          <w:trHeight w:val="300"/>
        </w:trPr>
        <w:tc>
          <w:tcPr>
            <w:tcW w:w="1542" w:type="dxa"/>
            <w:shd w:val="clear" w:color="auto" w:fill="auto"/>
            <w:noWrap/>
            <w:vAlign w:val="bottom"/>
            <w:hideMark/>
          </w:tcPr>
          <w:p w:rsidR="00641867" w:rsidRPr="00B4742D" w:rsidRDefault="00641867" w:rsidP="00821A87">
            <w:pPr>
              <w:spacing w:line="240" w:lineRule="auto"/>
              <w:jc w:val="center"/>
            </w:pPr>
            <w:r w:rsidRPr="00B4742D">
              <w:t>15</w:t>
            </w:r>
            <w:r w:rsidR="00821A87" w:rsidRPr="00B4742D">
              <w:t>.</w:t>
            </w:r>
            <w:r w:rsidRPr="00B4742D">
              <w:t>000</w:t>
            </w:r>
            <w:r w:rsidR="00821A87" w:rsidRPr="00B4742D">
              <w:t>,00</w:t>
            </w:r>
          </w:p>
        </w:tc>
        <w:tc>
          <w:tcPr>
            <w:tcW w:w="1006" w:type="dxa"/>
            <w:shd w:val="clear" w:color="auto" w:fill="auto"/>
            <w:noWrap/>
            <w:hideMark/>
          </w:tcPr>
          <w:p w:rsidR="00641867" w:rsidRPr="00B4742D" w:rsidRDefault="00641867" w:rsidP="00821A87">
            <w:pPr>
              <w:spacing w:line="240" w:lineRule="auto"/>
              <w:jc w:val="center"/>
            </w:pPr>
            <w:r w:rsidRPr="00B4742D">
              <w:t>2</w:t>
            </w:r>
            <w:r w:rsidR="00821A87" w:rsidRPr="00B4742D">
              <w:t>.</w:t>
            </w:r>
            <w:r w:rsidRPr="00B4742D">
              <w:t>700,0</w:t>
            </w:r>
          </w:p>
        </w:tc>
        <w:tc>
          <w:tcPr>
            <w:tcW w:w="1138" w:type="dxa"/>
            <w:shd w:val="clear" w:color="auto" w:fill="auto"/>
            <w:noWrap/>
            <w:hideMark/>
          </w:tcPr>
          <w:p w:rsidR="00641867" w:rsidRPr="00B4742D" w:rsidRDefault="00641867" w:rsidP="00821A87">
            <w:pPr>
              <w:spacing w:line="240" w:lineRule="auto"/>
              <w:jc w:val="center"/>
            </w:pPr>
            <w:r w:rsidRPr="00B4742D">
              <w:t>-4</w:t>
            </w:r>
            <w:r w:rsidR="00821A87" w:rsidRPr="00B4742D">
              <w:t>.</w:t>
            </w:r>
            <w:r w:rsidRPr="00B4742D">
              <w:t>330,0</w:t>
            </w:r>
          </w:p>
        </w:tc>
        <w:tc>
          <w:tcPr>
            <w:tcW w:w="1196" w:type="dxa"/>
            <w:shd w:val="clear" w:color="auto" w:fill="auto"/>
            <w:noWrap/>
            <w:hideMark/>
          </w:tcPr>
          <w:p w:rsidR="00641867" w:rsidRPr="00B4742D" w:rsidRDefault="00641867" w:rsidP="00821A87">
            <w:pPr>
              <w:spacing w:line="240" w:lineRule="auto"/>
              <w:jc w:val="center"/>
            </w:pPr>
            <w:r w:rsidRPr="00B4742D">
              <w:t>-9</w:t>
            </w:r>
            <w:r w:rsidR="00821A87" w:rsidRPr="00B4742D">
              <w:t>.</w:t>
            </w:r>
            <w:r w:rsidRPr="00B4742D">
              <w:t>498,9</w:t>
            </w:r>
          </w:p>
        </w:tc>
        <w:tc>
          <w:tcPr>
            <w:tcW w:w="1231" w:type="dxa"/>
            <w:shd w:val="clear" w:color="auto" w:fill="auto"/>
            <w:noWrap/>
            <w:hideMark/>
          </w:tcPr>
          <w:p w:rsidR="00641867" w:rsidRPr="00B4742D" w:rsidRDefault="00641867" w:rsidP="00821A87">
            <w:pPr>
              <w:spacing w:line="240" w:lineRule="auto"/>
              <w:jc w:val="center"/>
            </w:pPr>
            <w:r w:rsidRPr="00B4742D">
              <w:t>-14</w:t>
            </w:r>
            <w:r w:rsidR="00821A87" w:rsidRPr="00B4742D">
              <w:t>.</w:t>
            </w:r>
            <w:r w:rsidRPr="00B4742D">
              <w:t>551,1</w:t>
            </w:r>
          </w:p>
        </w:tc>
        <w:tc>
          <w:tcPr>
            <w:tcW w:w="1232" w:type="dxa"/>
            <w:shd w:val="clear" w:color="auto" w:fill="auto"/>
            <w:noWrap/>
            <w:hideMark/>
          </w:tcPr>
          <w:p w:rsidR="00641867" w:rsidRPr="00B4742D" w:rsidRDefault="00641867" w:rsidP="00821A87">
            <w:pPr>
              <w:spacing w:line="240" w:lineRule="auto"/>
              <w:jc w:val="center"/>
            </w:pPr>
            <w:r w:rsidRPr="00B4742D">
              <w:t>-14</w:t>
            </w:r>
            <w:r w:rsidR="00821A87" w:rsidRPr="00B4742D">
              <w:t>.</w:t>
            </w:r>
            <w:r w:rsidRPr="00B4742D">
              <w:t>092,1</w:t>
            </w:r>
          </w:p>
        </w:tc>
        <w:tc>
          <w:tcPr>
            <w:tcW w:w="1253" w:type="dxa"/>
            <w:shd w:val="clear" w:color="auto" w:fill="auto"/>
            <w:noWrap/>
            <w:hideMark/>
          </w:tcPr>
          <w:p w:rsidR="00641867" w:rsidRPr="00B4742D" w:rsidRDefault="00641867" w:rsidP="00821A87">
            <w:pPr>
              <w:spacing w:line="240" w:lineRule="auto"/>
              <w:jc w:val="center"/>
            </w:pPr>
            <w:r w:rsidRPr="00B4742D">
              <w:t>3</w:t>
            </w:r>
            <w:r w:rsidR="00821A87" w:rsidRPr="00B4742D">
              <w:t>.</w:t>
            </w:r>
            <w:r w:rsidRPr="00B4742D">
              <w:t>400,8</w:t>
            </w:r>
          </w:p>
        </w:tc>
        <w:tc>
          <w:tcPr>
            <w:tcW w:w="1056" w:type="dxa"/>
            <w:shd w:val="clear" w:color="auto" w:fill="auto"/>
            <w:noWrap/>
            <w:hideMark/>
          </w:tcPr>
          <w:p w:rsidR="00641867" w:rsidRPr="00B4742D" w:rsidRDefault="00641867" w:rsidP="00821A87">
            <w:pPr>
              <w:spacing w:line="240" w:lineRule="auto"/>
              <w:jc w:val="center"/>
            </w:pPr>
            <w:r w:rsidRPr="00B4742D">
              <w:t>97</w:t>
            </w:r>
            <w:r w:rsidR="00821A87" w:rsidRPr="00B4742D">
              <w:t>.</w:t>
            </w:r>
            <w:r w:rsidRPr="00B4742D">
              <w:t>798,5</w:t>
            </w:r>
          </w:p>
        </w:tc>
      </w:tr>
      <w:tr w:rsidR="00D44694" w:rsidRPr="00B4742D" w:rsidTr="00D44694">
        <w:trPr>
          <w:trHeight w:val="300"/>
        </w:trPr>
        <w:tc>
          <w:tcPr>
            <w:tcW w:w="1542" w:type="dxa"/>
            <w:shd w:val="clear" w:color="auto" w:fill="auto"/>
            <w:noWrap/>
            <w:vAlign w:val="bottom"/>
            <w:hideMark/>
          </w:tcPr>
          <w:p w:rsidR="00641867" w:rsidRPr="00B4742D" w:rsidRDefault="00641867" w:rsidP="00821A87">
            <w:pPr>
              <w:spacing w:line="240" w:lineRule="auto"/>
              <w:jc w:val="center"/>
            </w:pPr>
            <w:r w:rsidRPr="00B4742D">
              <w:t>20</w:t>
            </w:r>
            <w:r w:rsidR="00821A87" w:rsidRPr="00B4742D">
              <w:t>.</w:t>
            </w:r>
            <w:r w:rsidRPr="00B4742D">
              <w:t>000</w:t>
            </w:r>
            <w:r w:rsidR="00821A87" w:rsidRPr="00B4742D">
              <w:t>,00</w:t>
            </w:r>
          </w:p>
        </w:tc>
        <w:tc>
          <w:tcPr>
            <w:tcW w:w="1006" w:type="dxa"/>
            <w:shd w:val="clear" w:color="auto" w:fill="auto"/>
            <w:noWrap/>
            <w:hideMark/>
          </w:tcPr>
          <w:p w:rsidR="00641867" w:rsidRPr="00B4742D" w:rsidRDefault="00641867" w:rsidP="00821A87">
            <w:pPr>
              <w:spacing w:line="240" w:lineRule="auto"/>
              <w:jc w:val="center"/>
            </w:pPr>
            <w:r w:rsidRPr="00B4742D">
              <w:t>3</w:t>
            </w:r>
            <w:r w:rsidR="00821A87" w:rsidRPr="00B4742D">
              <w:t>.</w:t>
            </w:r>
            <w:r w:rsidRPr="00B4742D">
              <w:t>600,0</w:t>
            </w:r>
          </w:p>
        </w:tc>
        <w:tc>
          <w:tcPr>
            <w:tcW w:w="1138" w:type="dxa"/>
            <w:shd w:val="clear" w:color="auto" w:fill="auto"/>
            <w:noWrap/>
            <w:hideMark/>
          </w:tcPr>
          <w:p w:rsidR="00641867" w:rsidRPr="00B4742D" w:rsidRDefault="00641867" w:rsidP="00821A87">
            <w:pPr>
              <w:spacing w:line="240" w:lineRule="auto"/>
              <w:jc w:val="center"/>
            </w:pPr>
            <w:r w:rsidRPr="00B4742D">
              <w:t>-5</w:t>
            </w:r>
            <w:r w:rsidR="00821A87" w:rsidRPr="00B4742D">
              <w:t>.</w:t>
            </w:r>
            <w:r w:rsidRPr="00B4742D">
              <w:t>773,3</w:t>
            </w:r>
          </w:p>
        </w:tc>
        <w:tc>
          <w:tcPr>
            <w:tcW w:w="1196" w:type="dxa"/>
            <w:shd w:val="clear" w:color="auto" w:fill="auto"/>
            <w:noWrap/>
            <w:hideMark/>
          </w:tcPr>
          <w:p w:rsidR="00641867" w:rsidRPr="00B4742D" w:rsidRDefault="00641867" w:rsidP="00821A87">
            <w:pPr>
              <w:spacing w:line="240" w:lineRule="auto"/>
              <w:jc w:val="center"/>
            </w:pPr>
            <w:r w:rsidRPr="00B4742D">
              <w:t>-12</w:t>
            </w:r>
            <w:r w:rsidR="00821A87" w:rsidRPr="00B4742D">
              <w:t>.</w:t>
            </w:r>
            <w:r w:rsidRPr="00B4742D">
              <w:t>665,2</w:t>
            </w:r>
          </w:p>
        </w:tc>
        <w:tc>
          <w:tcPr>
            <w:tcW w:w="1231" w:type="dxa"/>
            <w:shd w:val="clear" w:color="auto" w:fill="auto"/>
            <w:noWrap/>
            <w:hideMark/>
          </w:tcPr>
          <w:p w:rsidR="00641867" w:rsidRPr="00B4742D" w:rsidRDefault="00641867" w:rsidP="00821A87">
            <w:pPr>
              <w:spacing w:line="240" w:lineRule="auto"/>
              <w:jc w:val="center"/>
            </w:pPr>
            <w:r w:rsidRPr="00B4742D">
              <w:t>-19</w:t>
            </w:r>
            <w:r w:rsidR="00821A87" w:rsidRPr="00B4742D">
              <w:t>.</w:t>
            </w:r>
            <w:r w:rsidRPr="00B4742D">
              <w:t>401,5</w:t>
            </w:r>
          </w:p>
        </w:tc>
        <w:tc>
          <w:tcPr>
            <w:tcW w:w="1232" w:type="dxa"/>
            <w:shd w:val="clear" w:color="auto" w:fill="auto"/>
            <w:noWrap/>
            <w:hideMark/>
          </w:tcPr>
          <w:p w:rsidR="00641867" w:rsidRPr="00B4742D" w:rsidRDefault="00641867" w:rsidP="00821A87">
            <w:pPr>
              <w:spacing w:line="240" w:lineRule="auto"/>
              <w:jc w:val="center"/>
            </w:pPr>
            <w:r w:rsidRPr="00B4742D">
              <w:t>-18</w:t>
            </w:r>
            <w:r w:rsidR="00821A87" w:rsidRPr="00B4742D">
              <w:t>.</w:t>
            </w:r>
            <w:r w:rsidRPr="00B4742D">
              <w:t>789,4</w:t>
            </w:r>
          </w:p>
        </w:tc>
        <w:tc>
          <w:tcPr>
            <w:tcW w:w="1253" w:type="dxa"/>
            <w:shd w:val="clear" w:color="auto" w:fill="auto"/>
            <w:noWrap/>
            <w:hideMark/>
          </w:tcPr>
          <w:p w:rsidR="00641867" w:rsidRPr="00B4742D" w:rsidRDefault="00641867" w:rsidP="00821A87">
            <w:pPr>
              <w:spacing w:line="240" w:lineRule="auto"/>
              <w:jc w:val="center"/>
            </w:pPr>
            <w:r w:rsidRPr="00B4742D">
              <w:t>4</w:t>
            </w:r>
            <w:r w:rsidR="00821A87" w:rsidRPr="00B4742D">
              <w:t>.</w:t>
            </w:r>
            <w:r w:rsidRPr="00B4742D">
              <w:t>534,5</w:t>
            </w:r>
          </w:p>
        </w:tc>
        <w:tc>
          <w:tcPr>
            <w:tcW w:w="1056" w:type="dxa"/>
            <w:shd w:val="clear" w:color="auto" w:fill="auto"/>
            <w:noWrap/>
            <w:hideMark/>
          </w:tcPr>
          <w:p w:rsidR="00641867" w:rsidRPr="00B4742D" w:rsidRDefault="00641867" w:rsidP="00821A87">
            <w:pPr>
              <w:spacing w:line="240" w:lineRule="auto"/>
              <w:jc w:val="center"/>
            </w:pPr>
            <w:r w:rsidRPr="00B4742D">
              <w:t>96</w:t>
            </w:r>
            <w:r w:rsidR="00821A87" w:rsidRPr="00B4742D">
              <w:t>.</w:t>
            </w:r>
            <w:r w:rsidRPr="00B4742D">
              <w:t>667,3</w:t>
            </w:r>
          </w:p>
        </w:tc>
      </w:tr>
      <w:tr w:rsidR="00D44694" w:rsidRPr="00B4742D" w:rsidTr="00D44694">
        <w:trPr>
          <w:trHeight w:val="300"/>
        </w:trPr>
        <w:tc>
          <w:tcPr>
            <w:tcW w:w="1542" w:type="dxa"/>
            <w:shd w:val="clear" w:color="auto" w:fill="auto"/>
            <w:noWrap/>
            <w:vAlign w:val="bottom"/>
            <w:hideMark/>
          </w:tcPr>
          <w:p w:rsidR="00641867" w:rsidRPr="00B4742D" w:rsidRDefault="00641867" w:rsidP="00821A87">
            <w:pPr>
              <w:spacing w:line="240" w:lineRule="auto"/>
              <w:jc w:val="center"/>
            </w:pPr>
            <w:r w:rsidRPr="00B4742D">
              <w:t>30</w:t>
            </w:r>
            <w:r w:rsidR="00821A87" w:rsidRPr="00B4742D">
              <w:t>.</w:t>
            </w:r>
            <w:r w:rsidRPr="00B4742D">
              <w:t>000</w:t>
            </w:r>
            <w:r w:rsidR="00821A87" w:rsidRPr="00B4742D">
              <w:t>,00</w:t>
            </w:r>
          </w:p>
        </w:tc>
        <w:tc>
          <w:tcPr>
            <w:tcW w:w="1006" w:type="dxa"/>
            <w:shd w:val="clear" w:color="auto" w:fill="auto"/>
            <w:noWrap/>
            <w:hideMark/>
          </w:tcPr>
          <w:p w:rsidR="00641867" w:rsidRPr="00B4742D" w:rsidRDefault="00641867" w:rsidP="00821A87">
            <w:pPr>
              <w:spacing w:line="240" w:lineRule="auto"/>
              <w:jc w:val="center"/>
            </w:pPr>
            <w:r w:rsidRPr="00B4742D">
              <w:t>5</w:t>
            </w:r>
            <w:r w:rsidR="00821A87" w:rsidRPr="00B4742D">
              <w:t>.</w:t>
            </w:r>
            <w:r w:rsidRPr="00B4742D">
              <w:t>400,0</w:t>
            </w:r>
          </w:p>
        </w:tc>
        <w:tc>
          <w:tcPr>
            <w:tcW w:w="1138" w:type="dxa"/>
            <w:shd w:val="clear" w:color="auto" w:fill="auto"/>
            <w:noWrap/>
            <w:hideMark/>
          </w:tcPr>
          <w:p w:rsidR="00641867" w:rsidRPr="00B4742D" w:rsidRDefault="00641867" w:rsidP="00821A87">
            <w:pPr>
              <w:spacing w:line="240" w:lineRule="auto"/>
              <w:jc w:val="center"/>
            </w:pPr>
            <w:r w:rsidRPr="00B4742D">
              <w:t>-8</w:t>
            </w:r>
            <w:r w:rsidR="00821A87" w:rsidRPr="00B4742D">
              <w:t>.</w:t>
            </w:r>
            <w:r w:rsidRPr="00B4742D">
              <w:t>660,0</w:t>
            </w:r>
          </w:p>
        </w:tc>
        <w:tc>
          <w:tcPr>
            <w:tcW w:w="1196" w:type="dxa"/>
            <w:shd w:val="clear" w:color="auto" w:fill="auto"/>
            <w:noWrap/>
            <w:hideMark/>
          </w:tcPr>
          <w:p w:rsidR="00641867" w:rsidRPr="00B4742D" w:rsidRDefault="00641867" w:rsidP="00821A87">
            <w:pPr>
              <w:spacing w:line="240" w:lineRule="auto"/>
              <w:jc w:val="center"/>
            </w:pPr>
            <w:r w:rsidRPr="00B4742D">
              <w:t>-18</w:t>
            </w:r>
            <w:r w:rsidR="00821A87" w:rsidRPr="00B4742D">
              <w:t>.</w:t>
            </w:r>
            <w:r w:rsidRPr="00B4742D">
              <w:t>997,9</w:t>
            </w:r>
          </w:p>
        </w:tc>
        <w:tc>
          <w:tcPr>
            <w:tcW w:w="1231" w:type="dxa"/>
            <w:shd w:val="clear" w:color="auto" w:fill="auto"/>
            <w:noWrap/>
            <w:hideMark/>
          </w:tcPr>
          <w:p w:rsidR="00641867" w:rsidRPr="00B4742D" w:rsidRDefault="00641867" w:rsidP="00821A87">
            <w:pPr>
              <w:spacing w:line="240" w:lineRule="auto"/>
              <w:jc w:val="center"/>
            </w:pPr>
            <w:r w:rsidRPr="00B4742D">
              <w:t>-33</w:t>
            </w:r>
            <w:r w:rsidR="00821A87" w:rsidRPr="00B4742D">
              <w:t>.</w:t>
            </w:r>
            <w:r w:rsidRPr="00B4742D">
              <w:t>086,4</w:t>
            </w:r>
          </w:p>
        </w:tc>
        <w:tc>
          <w:tcPr>
            <w:tcW w:w="1232" w:type="dxa"/>
            <w:shd w:val="clear" w:color="auto" w:fill="auto"/>
            <w:noWrap/>
            <w:hideMark/>
          </w:tcPr>
          <w:p w:rsidR="00641867" w:rsidRPr="00B4742D" w:rsidRDefault="00641867" w:rsidP="00821A87">
            <w:pPr>
              <w:spacing w:line="240" w:lineRule="auto"/>
              <w:jc w:val="center"/>
            </w:pPr>
            <w:r w:rsidRPr="00B4742D">
              <w:t>-43</w:t>
            </w:r>
            <w:r w:rsidR="00821A87" w:rsidRPr="00B4742D">
              <w:t>.</w:t>
            </w:r>
            <w:r w:rsidRPr="00B4742D">
              <w:t>095,4</w:t>
            </w:r>
          </w:p>
        </w:tc>
        <w:tc>
          <w:tcPr>
            <w:tcW w:w="1253" w:type="dxa"/>
            <w:shd w:val="clear" w:color="auto" w:fill="auto"/>
            <w:noWrap/>
            <w:hideMark/>
          </w:tcPr>
          <w:p w:rsidR="00641867" w:rsidRPr="00B4742D" w:rsidRDefault="00641867" w:rsidP="00821A87">
            <w:pPr>
              <w:spacing w:line="240" w:lineRule="auto"/>
              <w:jc w:val="center"/>
            </w:pPr>
            <w:r w:rsidRPr="00B4742D">
              <w:t>-27</w:t>
            </w:r>
            <w:r w:rsidR="00821A87" w:rsidRPr="00B4742D">
              <w:t>.</w:t>
            </w:r>
            <w:r w:rsidRPr="00B4742D">
              <w:t>162,2</w:t>
            </w:r>
          </w:p>
        </w:tc>
        <w:tc>
          <w:tcPr>
            <w:tcW w:w="1056" w:type="dxa"/>
            <w:shd w:val="clear" w:color="auto" w:fill="auto"/>
            <w:noWrap/>
            <w:hideMark/>
          </w:tcPr>
          <w:p w:rsidR="00641867" w:rsidRPr="00B4742D" w:rsidRDefault="00641867" w:rsidP="00821A87">
            <w:pPr>
              <w:spacing w:line="240" w:lineRule="auto"/>
              <w:jc w:val="center"/>
            </w:pPr>
            <w:r w:rsidRPr="00B4742D">
              <w:t>89</w:t>
            </w:r>
            <w:r w:rsidR="00821A87" w:rsidRPr="00B4742D">
              <w:t>.</w:t>
            </w:r>
            <w:r w:rsidRPr="00B4742D">
              <w:t>551,3</w:t>
            </w:r>
          </w:p>
        </w:tc>
      </w:tr>
    </w:tbl>
    <w:p w:rsidR="00641867" w:rsidRPr="00B4742D" w:rsidRDefault="00641867" w:rsidP="00641867">
      <w:pPr>
        <w:spacing w:line="240" w:lineRule="auto"/>
      </w:pPr>
      <w:r w:rsidRPr="00B4742D">
        <w:t>Izvor: Izračun autora</w:t>
      </w:r>
    </w:p>
    <w:p w:rsidR="00641867" w:rsidRPr="00B4742D" w:rsidRDefault="00641867" w:rsidP="00641867">
      <w:pPr>
        <w:spacing w:line="240" w:lineRule="auto"/>
      </w:pPr>
    </w:p>
    <w:p w:rsidR="00641867" w:rsidRPr="00B4742D" w:rsidRDefault="00641867" w:rsidP="00641867">
      <w:pPr>
        <w:spacing w:line="240" w:lineRule="auto"/>
      </w:pPr>
      <w:r w:rsidRPr="00B4742D">
        <w:lastRenderedPageBreak/>
        <w:t xml:space="preserve">Na kraju, važno je ukazati na važnost odgovarajućih stopa prinosa na prihode od doprinosa za otpremnine. Grafikon </w:t>
      </w:r>
      <w:r w:rsidR="0096429A" w:rsidRPr="00B4742D">
        <w:t>10.</w:t>
      </w:r>
      <w:r w:rsidRPr="00B4742D">
        <w:t xml:space="preserve"> uspoređuje iznos potraživanja za otpremnine u postojećem modelu (ravna linija – </w:t>
      </w:r>
      <w:r w:rsidR="0096429A" w:rsidRPr="00B4742D">
        <w:t xml:space="preserve">HRK </w:t>
      </w:r>
      <w:r w:rsidRPr="00B4742D">
        <w:t xml:space="preserve">100.000,00) na temelju </w:t>
      </w:r>
      <w:r w:rsidR="0096429A" w:rsidRPr="00B4742D">
        <w:t>trideset</w:t>
      </w:r>
      <w:r w:rsidRPr="00B4742D">
        <w:t xml:space="preserve"> godina staža te prosječne mjesečne bruto plaće od </w:t>
      </w:r>
      <w:r w:rsidR="0096429A" w:rsidRPr="00B4742D">
        <w:t xml:space="preserve">HRK </w:t>
      </w:r>
      <w:r w:rsidRPr="00B4742D">
        <w:t xml:space="preserve">10.000,00. Na istoj osnovi grafikon prikazuje kretanje prihoda od uplaćenih doprinosa na temelju različitih stopa prinosa – od </w:t>
      </w:r>
      <w:r w:rsidR="0096429A" w:rsidRPr="00B4742D">
        <w:t>jedan</w:t>
      </w:r>
      <w:r w:rsidR="00BE7C3B" w:rsidRPr="00B4742D">
        <w:t xml:space="preserve"> do </w:t>
      </w:r>
      <w:r w:rsidR="0096429A" w:rsidRPr="00B4742D">
        <w:t>pet</w:t>
      </w:r>
      <w:r w:rsidR="00BE7C3B" w:rsidRPr="00B4742D">
        <w:t xml:space="preserve"> posto</w:t>
      </w:r>
      <w:r w:rsidRPr="00B4742D">
        <w:t xml:space="preserve">. U ovom primjeru, stopa od </w:t>
      </w:r>
      <w:r w:rsidR="0096429A" w:rsidRPr="00B4742D">
        <w:t>četiri</w:t>
      </w:r>
      <w:r w:rsidR="00BE7C3B" w:rsidRPr="00B4742D">
        <w:t xml:space="preserve"> posto</w:t>
      </w:r>
      <w:r w:rsidRPr="00B4742D">
        <w:t xml:space="preserve"> predstavlja minimalnu stopu koja održava iznos isplaćenih otpremnina na istoj razini. U praksi, stopa prinosa mora biti još i veća zbog negativnog utjecaja na prinos koji nastaje zbog potrebe rezervacija značajnog dijela kapitala za tekuće isplate te dijela naknade koja pripada fondu koji upravlja prihodima od doprinosa za otpremnine.</w:t>
      </w:r>
    </w:p>
    <w:p w:rsidR="00641867" w:rsidRPr="00B4742D" w:rsidRDefault="00641867" w:rsidP="00641867">
      <w:pPr>
        <w:spacing w:line="240" w:lineRule="auto"/>
      </w:pPr>
    </w:p>
    <w:p w:rsidR="00641867" w:rsidRPr="00B4742D" w:rsidRDefault="00641867" w:rsidP="00641867">
      <w:pPr>
        <w:spacing w:line="240" w:lineRule="auto"/>
      </w:pPr>
      <w:r w:rsidRPr="00B4742D">
        <w:t xml:space="preserve">Grafikon </w:t>
      </w:r>
      <w:r w:rsidR="0096429A" w:rsidRPr="00B4742D">
        <w:t>10</w:t>
      </w:r>
      <w:r w:rsidR="0076762D" w:rsidRPr="00B4742D">
        <w:t>.</w:t>
      </w:r>
      <w:r w:rsidRPr="00B4742D">
        <w:t>: Prikaz značaja stope prinosa na iznos otpremnina u novom modelu</w:t>
      </w:r>
    </w:p>
    <w:p w:rsidR="00641867" w:rsidRPr="00B4742D" w:rsidRDefault="00641867" w:rsidP="00641867">
      <w:pPr>
        <w:spacing w:line="240" w:lineRule="auto"/>
      </w:pPr>
      <w:r w:rsidRPr="00B4742D">
        <w:rPr>
          <w:noProof/>
          <w:lang w:val="en-US" w:eastAsia="en-US"/>
        </w:rPr>
        <w:drawing>
          <wp:inline distT="0" distB="0" distL="0" distR="0" wp14:anchorId="1A2EAC2E" wp14:editId="0B901D2E">
            <wp:extent cx="6078931" cy="2750515"/>
            <wp:effectExtent l="0" t="0" r="17145" b="1206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1867" w:rsidRPr="002017C6" w:rsidRDefault="00641867" w:rsidP="00641867">
      <w:pPr>
        <w:spacing w:line="240" w:lineRule="auto"/>
      </w:pPr>
      <w:r w:rsidRPr="00B4742D">
        <w:t>Izvor: Izračun autora</w:t>
      </w:r>
    </w:p>
    <w:p w:rsidR="00641867" w:rsidRPr="009336BF" w:rsidRDefault="00641867" w:rsidP="00641867">
      <w:pPr>
        <w:spacing w:line="240" w:lineRule="auto"/>
      </w:pPr>
    </w:p>
    <w:p w:rsidR="00641867" w:rsidRPr="006C4F67" w:rsidRDefault="0096429A" w:rsidP="00641867">
      <w:pPr>
        <w:spacing w:line="240" w:lineRule="auto"/>
      </w:pPr>
      <w:r w:rsidRPr="009336BF">
        <w:t>Grafikon 11.</w:t>
      </w:r>
      <w:r w:rsidR="00641867" w:rsidRPr="00C7332E">
        <w:t xml:space="preserve"> prikazuje prosječne godišnje prinose obveznih mirovinskih fondova (u zadnjih pet godina) te tijekom 2013. godine. Mogu se uočiti relativno niske nominalne stope povrata. Stoga, nije realno očekivati značajnije stopa prinosa na kapital od uplaćenih doprinosa u budućnosti.</w:t>
      </w:r>
      <w:r w:rsidR="00EB3313" w:rsidRPr="00C7332E">
        <w:t xml:space="preserve"> </w:t>
      </w:r>
    </w:p>
    <w:p w:rsidR="00C84BF9" w:rsidRPr="006C4F67" w:rsidRDefault="00C84BF9">
      <w:pPr>
        <w:tabs>
          <w:tab w:val="clear" w:pos="0"/>
          <w:tab w:val="clear" w:pos="9360"/>
        </w:tabs>
        <w:spacing w:line="240" w:lineRule="auto"/>
        <w:jc w:val="left"/>
      </w:pPr>
      <w:r w:rsidRPr="006C4F67">
        <w:br w:type="page"/>
      </w:r>
    </w:p>
    <w:p w:rsidR="00641867" w:rsidRPr="00B74757" w:rsidRDefault="00641867" w:rsidP="00641867">
      <w:pPr>
        <w:spacing w:line="240" w:lineRule="auto"/>
      </w:pPr>
      <w:r w:rsidRPr="006C4F67">
        <w:lastRenderedPageBreak/>
        <w:t xml:space="preserve">Grafikon </w:t>
      </w:r>
      <w:r w:rsidR="0096429A" w:rsidRPr="006C4F67">
        <w:t>11</w:t>
      </w:r>
      <w:r w:rsidR="0076762D" w:rsidRPr="006C4F67">
        <w:t>.</w:t>
      </w:r>
      <w:r w:rsidRPr="00B74757">
        <w:t>: Prinosi obveznih mirovinskih fondova</w:t>
      </w:r>
    </w:p>
    <w:p w:rsidR="00641867" w:rsidRPr="00B4742D" w:rsidRDefault="00641867" w:rsidP="00641867">
      <w:pPr>
        <w:spacing w:line="240" w:lineRule="auto"/>
      </w:pPr>
      <w:r w:rsidRPr="00B4742D">
        <w:rPr>
          <w:noProof/>
          <w:lang w:val="en-US" w:eastAsia="en-US"/>
        </w:rPr>
        <w:drawing>
          <wp:inline distT="0" distB="0" distL="0" distR="0" wp14:anchorId="32BC3797" wp14:editId="79AD7970">
            <wp:extent cx="6078931" cy="2750515"/>
            <wp:effectExtent l="0" t="0" r="17145" b="1206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1867" w:rsidRPr="00EB67A0" w:rsidRDefault="00641867" w:rsidP="00641867">
      <w:pPr>
        <w:spacing w:line="240" w:lineRule="auto"/>
      </w:pPr>
      <w:r w:rsidRPr="00B4742D">
        <w:t xml:space="preserve">Izvor: </w:t>
      </w:r>
      <w:r w:rsidRPr="002017C6">
        <w:t>www.in-fin.info</w:t>
      </w:r>
    </w:p>
    <w:p w:rsidR="00641867" w:rsidRPr="009336BF" w:rsidRDefault="00641867" w:rsidP="00641867">
      <w:pPr>
        <w:spacing w:line="240" w:lineRule="auto"/>
      </w:pPr>
    </w:p>
    <w:p w:rsidR="0049429B" w:rsidRPr="00B74757" w:rsidRDefault="00DB6E7D" w:rsidP="00DC670F">
      <w:pPr>
        <w:pStyle w:val="Heading1"/>
      </w:pPr>
      <w:bookmarkStart w:id="38" w:name="_Toc365828855"/>
      <w:r w:rsidRPr="009336BF">
        <w:t>8</w:t>
      </w:r>
      <w:r w:rsidR="0049429B" w:rsidRPr="00C7332E">
        <w:t xml:space="preserve">. </w:t>
      </w:r>
      <w:r w:rsidR="003B1C07" w:rsidRPr="00C7332E">
        <w:t>Načelna o</w:t>
      </w:r>
      <w:r w:rsidR="009136FC" w:rsidRPr="00C7332E">
        <w:t>tvorena pitanja</w:t>
      </w:r>
      <w:r w:rsidR="00441AC5" w:rsidRPr="00C7332E">
        <w:t xml:space="preserve"> u </w:t>
      </w:r>
      <w:r w:rsidR="00380807" w:rsidRPr="006C4F67">
        <w:t xml:space="preserve">pogledu reforme i </w:t>
      </w:r>
      <w:r w:rsidR="009C433D" w:rsidRPr="006C4F67">
        <w:t>uređenj</w:t>
      </w:r>
      <w:r w:rsidR="00380807" w:rsidRPr="006C4F67">
        <w:t>a</w:t>
      </w:r>
      <w:r w:rsidR="009C433D" w:rsidRPr="006C4F67">
        <w:t xml:space="preserve"> </w:t>
      </w:r>
      <w:r w:rsidR="00380807" w:rsidRPr="00B74757">
        <w:t xml:space="preserve">sustava </w:t>
      </w:r>
      <w:r w:rsidR="0082108F" w:rsidRPr="00B74757">
        <w:t>otpremnina u Republici Hrvatskoj</w:t>
      </w:r>
      <w:r w:rsidR="003B1C07" w:rsidRPr="00B74757">
        <w:t xml:space="preserve"> te pristupi njihovom razrješenju</w:t>
      </w:r>
      <w:bookmarkEnd w:id="38"/>
    </w:p>
    <w:p w:rsidR="0049429B" w:rsidRPr="009769E7" w:rsidRDefault="0049429B" w:rsidP="00DC670F">
      <w:pPr>
        <w:spacing w:line="240" w:lineRule="auto"/>
      </w:pPr>
    </w:p>
    <w:p w:rsidR="00F34631" w:rsidRPr="008B2ED7" w:rsidRDefault="001612DA" w:rsidP="00DC670F">
      <w:pPr>
        <w:spacing w:line="240" w:lineRule="auto"/>
      </w:pPr>
      <w:r w:rsidRPr="004D0AD5">
        <w:t>Analizom odredbi Zakona o radu</w:t>
      </w:r>
      <w:r w:rsidR="002E70F5" w:rsidRPr="004D0AD5">
        <w:t xml:space="preserve"> </w:t>
      </w:r>
      <w:r w:rsidR="00FE7819" w:rsidRPr="004D0AD5">
        <w:t xml:space="preserve">te prakse </w:t>
      </w:r>
      <w:r w:rsidR="00F34631" w:rsidRPr="00E1401E">
        <w:t>u pogledu otpremnina u Republici Hrvatskoj te kontekstualiziran</w:t>
      </w:r>
      <w:r w:rsidR="00F34631" w:rsidRPr="00D00975">
        <w:t>jem toga uređenja u globalno sagledano normiranje nacional</w:t>
      </w:r>
      <w:r w:rsidR="005F4A3F" w:rsidRPr="00A26596">
        <w:t>nih</w:t>
      </w:r>
      <w:r w:rsidR="00F34631" w:rsidRPr="008B2ED7">
        <w:t xml:space="preserve"> sustava otpremnin</w:t>
      </w:r>
      <w:r w:rsidR="005F4A3F" w:rsidRPr="008B2ED7">
        <w:t>a</w:t>
      </w:r>
      <w:r w:rsidR="00F34631" w:rsidRPr="008B2ED7">
        <w:t xml:space="preserve"> mogu se identificirati neka ključna </w:t>
      </w:r>
      <w:r w:rsidR="00FE7819" w:rsidRPr="008B2ED7">
        <w:t xml:space="preserve">otvorena pitanja koja određuju značaj i karakter </w:t>
      </w:r>
      <w:r w:rsidR="005F4A3F" w:rsidRPr="008B2ED7">
        <w:t xml:space="preserve">toga </w:t>
      </w:r>
      <w:r w:rsidR="00F34631" w:rsidRPr="008B2ED7">
        <w:t xml:space="preserve">nacionalnog sustava. </w:t>
      </w:r>
    </w:p>
    <w:p w:rsidR="00F34631" w:rsidRPr="008B2ED7" w:rsidRDefault="00F34631" w:rsidP="00DC670F">
      <w:pPr>
        <w:spacing w:line="240" w:lineRule="auto"/>
      </w:pPr>
    </w:p>
    <w:p w:rsidR="001612DA" w:rsidRPr="00B4742D" w:rsidRDefault="00F34631" w:rsidP="00DC670F">
      <w:pPr>
        <w:spacing w:line="240" w:lineRule="auto"/>
      </w:pPr>
      <w:r w:rsidRPr="00B4742D">
        <w:t>Osnovno pitanje koje se u pogledu reforme i uređenja sustava otpremnina u Republici Hrvatskoj nameće jest identificiranje potrebe pristupanja sustavnoj reformi kojom će se postojeće hrvatsko uređenje stubokom izmijen</w:t>
      </w:r>
      <w:r w:rsidR="005F4A3F" w:rsidRPr="00B4742D">
        <w:t>i</w:t>
      </w:r>
      <w:r w:rsidRPr="00B4742D">
        <w:t xml:space="preserve">ti na način da se usmjeri prema elementima reformiranog austrijskog sustava otpremnina, </w:t>
      </w:r>
      <w:r w:rsidR="005F4A3F" w:rsidRPr="00B4742D">
        <w:t xml:space="preserve">što predstavlja </w:t>
      </w:r>
      <w:r w:rsidRPr="00B4742D">
        <w:t xml:space="preserve">jednu od mogućnosti, “sustavnu” reformu, odnosno reformu sustava. Alternativno, </w:t>
      </w:r>
      <w:r w:rsidR="005F4A3F" w:rsidRPr="00B4742D">
        <w:t>postoji mogućnost</w:t>
      </w:r>
      <w:r w:rsidRPr="00B4742D">
        <w:t>, u nekim elementima zakonskog i praktičnog uređenja, razmotriti izmjenu i dopunu postojećeg zakonskog rješenja, što bi pre</w:t>
      </w:r>
      <w:r w:rsidR="006E6C71" w:rsidRPr="00B4742D">
        <w:t>d</w:t>
      </w:r>
      <w:r w:rsidRPr="00B4742D">
        <w:t>stavljalo “parametarski” pristup, odnosno djelovanje na neke elemente postojećeg uređenja, n</w:t>
      </w:r>
      <w:r w:rsidR="00EB2A7C" w:rsidRPr="00B4742D">
        <w:t>e</w:t>
      </w:r>
      <w:r w:rsidRPr="00B4742D">
        <w:t xml:space="preserve"> zalazeći u cjelovitost uređenja. Treći pristup bio bi održanje postojećeg stanja </w:t>
      </w:r>
      <w:r w:rsidR="005F4A3F" w:rsidRPr="00B4742D">
        <w:t xml:space="preserve">u njegovoj </w:t>
      </w:r>
      <w:r w:rsidRPr="00B4742D">
        <w:t>cjelo</w:t>
      </w:r>
      <w:r w:rsidR="005F4A3F" w:rsidRPr="00B4742D">
        <w:t>vito</w:t>
      </w:r>
      <w:r w:rsidRPr="00B4742D">
        <w:t xml:space="preserve">sti. </w:t>
      </w:r>
      <w:r w:rsidR="005F4A3F" w:rsidRPr="00B4742D">
        <w:t>Iako moguće, p</w:t>
      </w:r>
      <w:r w:rsidRPr="00B4742D">
        <w:t>otonje rješenje</w:t>
      </w:r>
      <w:r w:rsidR="005F4A3F" w:rsidRPr="00B4742D">
        <w:t xml:space="preserve"> nije realistično te se</w:t>
      </w:r>
      <w:r w:rsidRPr="00B4742D">
        <w:t xml:space="preserve"> neće razmatati. </w:t>
      </w:r>
    </w:p>
    <w:p w:rsidR="00A60590" w:rsidRPr="00B4742D" w:rsidRDefault="00A60590" w:rsidP="00B96024">
      <w:pPr>
        <w:spacing w:line="240" w:lineRule="auto"/>
      </w:pPr>
    </w:p>
    <w:p w:rsidR="00F34631" w:rsidRPr="00B4742D" w:rsidRDefault="00F34631" w:rsidP="00B96024">
      <w:pPr>
        <w:spacing w:line="240" w:lineRule="auto"/>
      </w:pPr>
      <w:r w:rsidRPr="00B4742D">
        <w:t>Prvim, sustavnim, pristupom reformi i uređenju sustava otpremnina u Republici Hrvatskoj</w:t>
      </w:r>
      <w:r w:rsidR="0029470C" w:rsidRPr="00B4742D">
        <w:t>, dolazi do sveukupne promjene sadašn</w:t>
      </w:r>
      <w:r w:rsidR="005F4A3F" w:rsidRPr="00B4742D">
        <w:t>jeg stanja, uvodi se sasvim nov</w:t>
      </w:r>
      <w:r w:rsidR="0029470C" w:rsidRPr="00B4742D">
        <w:t xml:space="preserve"> sustav, što podrazumijeva promišljanje i razmatranje različitih rješenja u pogledu svih elemenata sustava, kako su opisani i u ovoj analizi. </w:t>
      </w:r>
    </w:p>
    <w:p w:rsidR="0029470C" w:rsidRPr="00B4742D" w:rsidRDefault="0029470C" w:rsidP="00B96024">
      <w:pPr>
        <w:spacing w:line="240" w:lineRule="auto"/>
      </w:pPr>
    </w:p>
    <w:p w:rsidR="0029470C" w:rsidRPr="00B4742D" w:rsidRDefault="0029470C" w:rsidP="00B96024">
      <w:pPr>
        <w:spacing w:line="240" w:lineRule="auto"/>
      </w:pPr>
      <w:r w:rsidRPr="00B4742D">
        <w:t>Drugim, parametarskim, pristupom moguće je djelovanjem na različite elemente sustava repozicionirati i preurediti postojeći sustav. Moguće točke djelovanja su:</w:t>
      </w:r>
    </w:p>
    <w:p w:rsidR="0029470C" w:rsidRPr="00B4742D" w:rsidRDefault="0029470C" w:rsidP="0029470C">
      <w:pPr>
        <w:pStyle w:val="ListParagraph"/>
        <w:numPr>
          <w:ilvl w:val="0"/>
          <w:numId w:val="27"/>
        </w:numPr>
        <w:ind w:left="567" w:hanging="567"/>
        <w:jc w:val="both"/>
      </w:pPr>
      <w:r w:rsidRPr="00B4742D">
        <w:lastRenderedPageBreak/>
        <w:t>kvalifikatorni uvjeti za pravo na otpremninu (trajanje radnog odnosa, način prestanka ugovora o radu i sl.);</w:t>
      </w:r>
    </w:p>
    <w:p w:rsidR="0029470C" w:rsidRPr="00B4742D" w:rsidRDefault="0029470C" w:rsidP="0029470C">
      <w:pPr>
        <w:pStyle w:val="ListParagraph"/>
        <w:numPr>
          <w:ilvl w:val="0"/>
          <w:numId w:val="27"/>
        </w:numPr>
        <w:ind w:left="567" w:hanging="567"/>
      </w:pPr>
      <w:r w:rsidRPr="00B4742D">
        <w:t>iznosi otpremnine po godini staža radnika kod poslodavca;</w:t>
      </w:r>
    </w:p>
    <w:p w:rsidR="0029470C" w:rsidRPr="00B4742D" w:rsidRDefault="0029470C" w:rsidP="0029470C">
      <w:pPr>
        <w:pStyle w:val="ListParagraph"/>
        <w:numPr>
          <w:ilvl w:val="0"/>
          <w:numId w:val="27"/>
        </w:numPr>
        <w:ind w:left="567" w:hanging="567"/>
      </w:pPr>
      <w:r w:rsidRPr="00B4742D">
        <w:t>maksimalni iznos otpremnine radnika;</w:t>
      </w:r>
    </w:p>
    <w:p w:rsidR="0029470C" w:rsidRPr="00B4742D" w:rsidRDefault="0029470C" w:rsidP="0029470C">
      <w:pPr>
        <w:pStyle w:val="ListParagraph"/>
        <w:numPr>
          <w:ilvl w:val="0"/>
          <w:numId w:val="27"/>
        </w:numPr>
        <w:ind w:left="567" w:hanging="567"/>
      </w:pPr>
      <w:r w:rsidRPr="00B4742D">
        <w:t>mogućnost različitog, povoljnijeg, uređenja prava na otpremninu u drugim izvorima radnog prava (kolektivni ugovor, pravilnik o radu, ugovor o radu i sl.); i</w:t>
      </w:r>
    </w:p>
    <w:p w:rsidR="0029470C" w:rsidRPr="00B4742D" w:rsidRDefault="0029470C" w:rsidP="0029470C">
      <w:pPr>
        <w:pStyle w:val="ListParagraph"/>
        <w:numPr>
          <w:ilvl w:val="0"/>
          <w:numId w:val="27"/>
        </w:numPr>
        <w:ind w:left="567" w:hanging="567"/>
        <w:jc w:val="both"/>
      </w:pPr>
      <w:r w:rsidRPr="00B4742D">
        <w:t>porezni status prava na otpremninu, osobito kada se radi o povoljnijem uređenju prava na otpremninu u drugim izvorima radnog prava.</w:t>
      </w:r>
    </w:p>
    <w:p w:rsidR="00B96024" w:rsidRPr="00B4742D" w:rsidRDefault="00B96024" w:rsidP="00B96024">
      <w:pPr>
        <w:spacing w:line="240" w:lineRule="auto"/>
      </w:pPr>
    </w:p>
    <w:p w:rsidR="00150A10" w:rsidRPr="00B4742D" w:rsidRDefault="0029470C" w:rsidP="00A60590">
      <w:pPr>
        <w:spacing w:line="240" w:lineRule="auto"/>
      </w:pPr>
      <w:r w:rsidRPr="00B4742D">
        <w:t xml:space="preserve">Kako u izboru između prvog i drugog pristupa, tako i kod promišljanja elemenata </w:t>
      </w:r>
      <w:r w:rsidR="00150A10" w:rsidRPr="00B4742D">
        <w:t xml:space="preserve">sustava unutar izabrane mogućnosti, sposobnost valjanog </w:t>
      </w:r>
      <w:r w:rsidR="00F67A4D" w:rsidRPr="00B4742D">
        <w:t xml:space="preserve">educiranog </w:t>
      </w:r>
      <w:r w:rsidR="00150A10" w:rsidRPr="00B4742D">
        <w:t xml:space="preserve">zaključivanja i izbora </w:t>
      </w:r>
      <w:r w:rsidR="00F67A4D" w:rsidRPr="00B4742D">
        <w:t>između mogućih odluka</w:t>
      </w:r>
      <w:r w:rsidR="00150A10" w:rsidRPr="00B4742D">
        <w:t>, prije svega, pristup sveobuhvatnim pokazateljima, ekonomskim i drugim, postojećeg sustava, a potom temeljitu analizu ishoda osnovanu na tim pokazateljima.</w:t>
      </w:r>
      <w:r w:rsidR="00863EC0" w:rsidRPr="00B4742D">
        <w:t xml:space="preserve"> Ne manje bitno jest obrazložiti smjerane ishode te razmotriti postoje li jednostavniji načini njihovog ostvarenja, i bez nekih sustavnih promjena. U svemu ovome </w:t>
      </w:r>
      <w:r w:rsidR="00F67A4D" w:rsidRPr="00B4742D">
        <w:t>valja voditi računa o tome kako su</w:t>
      </w:r>
      <w:r w:rsidR="00710AF3" w:rsidRPr="00B4742D">
        <w:t>, zbog funkcija otpremnine,</w:t>
      </w:r>
      <w:r w:rsidR="00F67A4D" w:rsidRPr="00B4742D">
        <w:t xml:space="preserve"> odluke </w:t>
      </w:r>
      <w:r w:rsidR="00710AF3" w:rsidRPr="00B4742D">
        <w:t xml:space="preserve">o pristupu u pogledu nacionalnog sustava otpremnine </w:t>
      </w:r>
      <w:r w:rsidR="00F67A4D" w:rsidRPr="00B4742D">
        <w:t>i</w:t>
      </w:r>
      <w:r w:rsidR="00863EC0" w:rsidRPr="00B4742D">
        <w:t xml:space="preserve"> njihovi</w:t>
      </w:r>
      <w:r w:rsidR="00F67A4D" w:rsidRPr="00B4742D">
        <w:t xml:space="preserve"> ishodi izravno povezani s odlukama u pogledu politike tržišta rada, porezne politike, gospodarske politike i socijalne politike, uopće</w:t>
      </w:r>
      <w:r w:rsidR="00710AF3" w:rsidRPr="00B4742D">
        <w:t xml:space="preserve"> te, prigodom ovog odlučivanja, valja svako promišljanje analizirati i s obzirom na ove politike</w:t>
      </w:r>
      <w:r w:rsidR="00F67A4D" w:rsidRPr="00B4742D">
        <w:t>.</w:t>
      </w:r>
    </w:p>
    <w:p w:rsidR="00150A10" w:rsidRPr="00B4742D" w:rsidRDefault="00150A10" w:rsidP="00A60590">
      <w:pPr>
        <w:spacing w:line="240" w:lineRule="auto"/>
      </w:pPr>
    </w:p>
    <w:p w:rsidR="00A60590" w:rsidRPr="00B4742D" w:rsidRDefault="00F67A4D" w:rsidP="00A60590">
      <w:pPr>
        <w:spacing w:line="240" w:lineRule="auto"/>
      </w:pPr>
      <w:r w:rsidRPr="00B4742D">
        <w:t>Ne manje važno jest i prihvaćanje kako p</w:t>
      </w:r>
      <w:r w:rsidR="00A60590" w:rsidRPr="00B4742D">
        <w:t xml:space="preserve">ri razmatranju </w:t>
      </w:r>
      <w:r w:rsidRPr="00B4742D">
        <w:t xml:space="preserve">svih otvorenih </w:t>
      </w:r>
      <w:r w:rsidR="00A60590" w:rsidRPr="00B4742D">
        <w:t xml:space="preserve">pitanja </w:t>
      </w:r>
      <w:r w:rsidRPr="00B4742D">
        <w:t>valja</w:t>
      </w:r>
      <w:r w:rsidR="00A60590" w:rsidRPr="00B4742D">
        <w:t xml:space="preserve"> voditi računa</w:t>
      </w:r>
      <w:r w:rsidRPr="00B4742D">
        <w:t xml:space="preserve"> o tome kako </w:t>
      </w:r>
      <w:r w:rsidR="00A60590" w:rsidRPr="00B4742D">
        <w:t xml:space="preserve">se radi o </w:t>
      </w:r>
      <w:r w:rsidRPr="00B4742D">
        <w:t xml:space="preserve">sustavu, odnosno </w:t>
      </w:r>
      <w:r w:rsidR="00A60590" w:rsidRPr="00B4742D">
        <w:t>pitanjima od posebnog interesa za sindikate i poslodavce u svezi</w:t>
      </w:r>
      <w:r w:rsidRPr="00B4742D">
        <w:t>, te da</w:t>
      </w:r>
      <w:r w:rsidR="00A60590" w:rsidRPr="00B4742D">
        <w:t xml:space="preserve"> zakonske promjene teško </w:t>
      </w:r>
      <w:r w:rsidRPr="00B4742D">
        <w:t xml:space="preserve">mogu biti </w:t>
      </w:r>
      <w:r w:rsidR="00A60590" w:rsidRPr="00B4742D">
        <w:t>prihvatljive bez visokog stupnja njihove suglasnosti</w:t>
      </w:r>
      <w:r w:rsidRPr="00B4742D">
        <w:t>, kako u pogledu odabranog pristupa, tako i konkretnih rješenja izabranog pristupa</w:t>
      </w:r>
      <w:r w:rsidR="00A60590" w:rsidRPr="00B4742D">
        <w:t xml:space="preserve">. Pored toga, s obzirom da je postojeći </w:t>
      </w:r>
      <w:r w:rsidRPr="00B4742D">
        <w:t xml:space="preserve">nacionalni </w:t>
      </w:r>
      <w:r w:rsidR="00A60590" w:rsidRPr="00B4742D">
        <w:t xml:space="preserve">sustav </w:t>
      </w:r>
      <w:r w:rsidRPr="00B4742D">
        <w:t xml:space="preserve">otpremnina </w:t>
      </w:r>
      <w:r w:rsidR="00A60590" w:rsidRPr="00B4742D">
        <w:t>odraz ne samo zakonskog uređenj</w:t>
      </w:r>
      <w:r w:rsidRPr="00B4742D">
        <w:t>a</w:t>
      </w:r>
      <w:r w:rsidR="00A60590" w:rsidRPr="00B4742D">
        <w:t>, već i</w:t>
      </w:r>
      <w:r w:rsidRPr="00B4742D">
        <w:t xml:space="preserve"> povoljnijeg rješenja kroz, prije svega, kolektivne ugovore i pravilnike o radu te da postoji</w:t>
      </w:r>
      <w:r w:rsidR="00A60590" w:rsidRPr="00B4742D">
        <w:t xml:space="preserve"> praks</w:t>
      </w:r>
      <w:r w:rsidRPr="00B4742D">
        <w:t>a u</w:t>
      </w:r>
      <w:r w:rsidR="00A60590" w:rsidRPr="00B4742D">
        <w:t xml:space="preserve"> primjen</w:t>
      </w:r>
      <w:r w:rsidRPr="00B4742D">
        <w:t>i</w:t>
      </w:r>
      <w:r w:rsidR="00A60590" w:rsidRPr="00B4742D">
        <w:t xml:space="preserve"> t</w:t>
      </w:r>
      <w:r w:rsidRPr="00B4742D">
        <w:t>ih uređenja</w:t>
      </w:r>
      <w:r w:rsidR="00A60590" w:rsidRPr="00B4742D">
        <w:t xml:space="preserve">, </w:t>
      </w:r>
      <w:r w:rsidRPr="00B4742D">
        <w:t xml:space="preserve">sve </w:t>
      </w:r>
      <w:r w:rsidR="00A60590" w:rsidRPr="00B4742D">
        <w:t xml:space="preserve">značajne promjene </w:t>
      </w:r>
      <w:r w:rsidRPr="00B4742D">
        <w:t xml:space="preserve">podrazumijevaju i promjene pristupa u </w:t>
      </w:r>
      <w:r w:rsidR="00A60590" w:rsidRPr="00B4742D">
        <w:t>praks</w:t>
      </w:r>
      <w:r w:rsidRPr="00B4742D">
        <w:t>i</w:t>
      </w:r>
      <w:r w:rsidR="00A60590" w:rsidRPr="00B4742D">
        <w:t xml:space="preserve"> kolektivnog pregovaranja</w:t>
      </w:r>
      <w:r w:rsidRPr="00B4742D">
        <w:t xml:space="preserve"> te jednostranog samouređenja poslodavaca pravilnicima o radu</w:t>
      </w:r>
      <w:r w:rsidR="00A60590" w:rsidRPr="00B4742D">
        <w:t xml:space="preserve">. </w:t>
      </w:r>
      <w:r w:rsidRPr="00B4742D">
        <w:t>Sve navedeno, stoga, ukazuje na nužnu temeljitost i analitičnost u promjeni postojećeg stanja te potrebu visoke razine uspostave konsenzusa u tom postupku.</w:t>
      </w:r>
    </w:p>
    <w:bookmarkEnd w:id="0"/>
    <w:p w:rsidR="00641867" w:rsidRPr="00B4742D" w:rsidRDefault="00641867" w:rsidP="0076762D">
      <w:pPr>
        <w:spacing w:line="240" w:lineRule="auto"/>
      </w:pPr>
    </w:p>
    <w:p w:rsidR="00986B24" w:rsidRPr="00B4742D" w:rsidRDefault="005F4A3F" w:rsidP="00B96024">
      <w:pPr>
        <w:pStyle w:val="Heading1"/>
      </w:pPr>
      <w:bookmarkStart w:id="39" w:name="_Toc365828856"/>
      <w:r w:rsidRPr="00B4742D">
        <w:t>9</w:t>
      </w:r>
      <w:r w:rsidR="00986B24" w:rsidRPr="00B4742D">
        <w:t xml:space="preserve">. </w:t>
      </w:r>
      <w:r w:rsidR="0082108F" w:rsidRPr="00B4742D">
        <w:t>Zaključno</w:t>
      </w:r>
      <w:r w:rsidR="00B96024" w:rsidRPr="00B4742D">
        <w:t xml:space="preserve"> o prednostima i nedostacima uvođenja novog modela nacionalnog sustava otpremnina</w:t>
      </w:r>
      <w:bookmarkEnd w:id="39"/>
    </w:p>
    <w:p w:rsidR="00986B24" w:rsidRPr="00B4742D" w:rsidRDefault="00986B24" w:rsidP="000E09A7">
      <w:pPr>
        <w:spacing w:line="240" w:lineRule="auto"/>
      </w:pPr>
    </w:p>
    <w:p w:rsidR="008F11D0" w:rsidRPr="009336BF" w:rsidRDefault="00D40DC6" w:rsidP="00D40DC6">
      <w:pPr>
        <w:spacing w:line="240" w:lineRule="auto"/>
      </w:pPr>
      <w:r w:rsidRPr="00B4742D">
        <w:t>Gotovo sve države, zakonski i praktično, vrednuju zaštitu radnika u slučaju prestanka ugovora o radu te, s tim ciljem, uspostavljaju sustav prava i obvez</w:t>
      </w:r>
      <w:r w:rsidR="008F11D0" w:rsidRPr="00B4742D">
        <w:t>a</w:t>
      </w:r>
      <w:r w:rsidRPr="00B4742D">
        <w:t xml:space="preserve">, radnika i poslodavaca. Jedan od sustava koji se, zakonski ili kroz praksu, gradi u toj ulozi jest i onaj nacionalnog sustava otpremnina koji počiva na pravu na otpremninu posljedičnu prestanku ugovora o radu. </w:t>
      </w:r>
      <w:r w:rsidR="009C6643" w:rsidRPr="00B4742D">
        <w:t xml:space="preserve">Različiti su mehanizmi djelovanja toga sustava, od </w:t>
      </w:r>
      <w:r w:rsidRPr="00B4742D">
        <w:t>obvezno</w:t>
      </w:r>
      <w:r w:rsidR="009C6643" w:rsidRPr="00B4742D">
        <w:t>g</w:t>
      </w:r>
      <w:r w:rsidRPr="00B4742D">
        <w:t xml:space="preserve"> doprinošenj</w:t>
      </w:r>
      <w:r w:rsidR="009C6643" w:rsidRPr="00B4742D">
        <w:t>a</w:t>
      </w:r>
      <w:r w:rsidRPr="00B4742D">
        <w:t xml:space="preserve"> za isplate otpremnina </w:t>
      </w:r>
      <w:r w:rsidR="009C6643" w:rsidRPr="00B4742D">
        <w:t>do obvezivanja</w:t>
      </w:r>
      <w:r w:rsidRPr="00B4742D">
        <w:t xml:space="preserve"> poslodav</w:t>
      </w:r>
      <w:r w:rsidR="009C6643" w:rsidRPr="00B4742D">
        <w:t>ca</w:t>
      </w:r>
      <w:r w:rsidRPr="00B4742D">
        <w:t xml:space="preserve"> </w:t>
      </w:r>
      <w:r w:rsidR="009C6643" w:rsidRPr="00B4742D">
        <w:t xml:space="preserve">na </w:t>
      </w:r>
      <w:r w:rsidRPr="00B4742D">
        <w:t>jednokratn</w:t>
      </w:r>
      <w:r w:rsidR="009C6643" w:rsidRPr="00B4742D">
        <w:t>u</w:t>
      </w:r>
      <w:r w:rsidRPr="00B4742D">
        <w:t xml:space="preserve"> isplat</w:t>
      </w:r>
      <w:r w:rsidR="009C6643" w:rsidRPr="00B4742D">
        <w:t>u</w:t>
      </w:r>
      <w:r w:rsidRPr="00B4742D">
        <w:t xml:space="preserve"> otpremnine</w:t>
      </w:r>
      <w:r w:rsidR="009C6643" w:rsidRPr="00B4742D">
        <w:t>,</w:t>
      </w:r>
      <w:r w:rsidRPr="00B4742D">
        <w:t xml:space="preserve"> u slučaju otkazivanja ugovora o radu</w:t>
      </w:r>
      <w:r w:rsidR="009C6643" w:rsidRPr="00B4742D">
        <w:t xml:space="preserve">. I samo utemeljenje sustava može biti različito, može biti </w:t>
      </w:r>
      <w:r w:rsidRPr="00B4742D">
        <w:t>normativn</w:t>
      </w:r>
      <w:r w:rsidR="009C6643" w:rsidRPr="00B4742D">
        <w:t>o</w:t>
      </w:r>
      <w:r w:rsidRPr="00B4742D">
        <w:t>, zakonski uređen</w:t>
      </w:r>
      <w:r w:rsidR="009C6643" w:rsidRPr="00B4742D">
        <w:t>o</w:t>
      </w:r>
      <w:r w:rsidRPr="00B4742D">
        <w:t>, ili liberaliziran</w:t>
      </w:r>
      <w:r w:rsidR="009C6643" w:rsidRPr="00B4742D">
        <w:t>o</w:t>
      </w:r>
      <w:r w:rsidRPr="00B4742D">
        <w:t xml:space="preserve"> na način da se njegova obilježja prepuštaju kolektivnim </w:t>
      </w:r>
      <w:r w:rsidR="009C6643" w:rsidRPr="00B4742D">
        <w:t>ugovorima. Ono što jest jedinstveno jest da s</w:t>
      </w:r>
      <w:r w:rsidR="00F7581D" w:rsidRPr="00B4742D">
        <w:t>vaki nacionalni sustav otpremnina ima važne uloge te i važne is</w:t>
      </w:r>
      <w:r w:rsidR="009C6643" w:rsidRPr="00B4742D">
        <w:t>hode, kako gledano sa gledišta</w:t>
      </w:r>
      <w:r w:rsidR="00F7581D" w:rsidRPr="00B4742D">
        <w:t xml:space="preserve"> pojedinca – radnika ili poslodavca, a </w:t>
      </w:r>
      <w:r w:rsidR="009C6643" w:rsidRPr="00B4742D">
        <w:t xml:space="preserve">tako i društva ili gospodarstva. Slijedom te važnosti i vrijednosti taj sustav i jest i gotovo </w:t>
      </w:r>
      <w:r w:rsidR="00B4742D">
        <w:t>sveprisutan</w:t>
      </w:r>
      <w:r w:rsidR="009C6643" w:rsidRPr="00B4742D">
        <w:t xml:space="preserve">, sve kada </w:t>
      </w:r>
      <w:r w:rsidR="00F7581D" w:rsidRPr="00B4742D">
        <w:t>se</w:t>
      </w:r>
      <w:r w:rsidR="009C6643" w:rsidRPr="00B4742D">
        <w:t xml:space="preserve"> njegove</w:t>
      </w:r>
      <w:r w:rsidR="00F7581D" w:rsidRPr="00B4742D">
        <w:t xml:space="preserve"> uloge i ishodi na različit način </w:t>
      </w:r>
      <w:r w:rsidR="00F7581D" w:rsidRPr="00B4742D">
        <w:lastRenderedPageBreak/>
        <w:t>ostvar</w:t>
      </w:r>
      <w:r w:rsidR="009C6643" w:rsidRPr="00B4742D">
        <w:t>uju</w:t>
      </w:r>
      <w:r w:rsidR="00F7581D" w:rsidRPr="00B4742D">
        <w:t>, što potvrđuju značajne razlike između, primjerice, država članica Euro</w:t>
      </w:r>
      <w:r w:rsidR="00F7581D" w:rsidRPr="002017C6">
        <w:t>pske unije:</w:t>
      </w:r>
      <w:r w:rsidR="00F7581D" w:rsidRPr="00FE70C5">
        <w:t xml:space="preserve"> razlike u pogledu osoba i obuhvata osoba koje ostvaruju pravo na otpremninu, u uvjetima za ostvar</w:t>
      </w:r>
      <w:r w:rsidR="00F7581D" w:rsidRPr="009336BF">
        <w:t xml:space="preserve">ivanje prava na otpremninu, u iznosu otpremnine i njenom poreznom statusu. </w:t>
      </w:r>
    </w:p>
    <w:p w:rsidR="008F11D0" w:rsidRPr="00C7332E" w:rsidRDefault="008F11D0" w:rsidP="00D40DC6">
      <w:pPr>
        <w:spacing w:line="240" w:lineRule="auto"/>
      </w:pPr>
    </w:p>
    <w:p w:rsidR="009C6643" w:rsidRPr="008B2ED7" w:rsidRDefault="008F11D0" w:rsidP="00D40DC6">
      <w:pPr>
        <w:spacing w:line="240" w:lineRule="auto"/>
      </w:pPr>
      <w:r w:rsidRPr="00C7332E">
        <w:t xml:space="preserve">Ono što je neobično jest da su </w:t>
      </w:r>
      <w:r w:rsidR="00F7581D" w:rsidRPr="00C7332E">
        <w:t>pravo na otpremninu, otpremnine i nacionalni sustavi otpremnina bil</w:t>
      </w:r>
      <w:r w:rsidR="003E5FC3" w:rsidRPr="00C7332E">
        <w:t>i</w:t>
      </w:r>
      <w:r w:rsidR="00F7581D" w:rsidRPr="006C4F67">
        <w:t xml:space="preserve"> podosta zanemaren</w:t>
      </w:r>
      <w:r w:rsidR="003E5FC3" w:rsidRPr="006C4F67">
        <w:t>i</w:t>
      </w:r>
      <w:r w:rsidR="00F7581D" w:rsidRPr="006C4F67">
        <w:t xml:space="preserve"> kao predmet znanstvenih ili stručnih rasprava i istraživanja. </w:t>
      </w:r>
      <w:r w:rsidR="003E5FC3" w:rsidRPr="00B74757">
        <w:t xml:space="preserve">No, u suvremenom okruženju koje veliku pozornost pridaje efikasnosti na tržištu rada činjenica postojanja sveze prava na otpremninu i rigidnosti odnosno fleksibilnosti na tržištu rada, njen utjecaj za zaposlenost i zapošljivost koji je iskaziv i kroz </w:t>
      </w:r>
      <w:r w:rsidR="00D40DC6" w:rsidRPr="00B74757">
        <w:t>EPL inde</w:t>
      </w:r>
      <w:r w:rsidR="003E5FC3" w:rsidRPr="00B74757">
        <w:t>ks, otvara se i ova tema. Tu specifičnosti pojedinih nacionalnih sustava, određeni elementi tih sustava, potom korelacija ekonomskih i demografskih pokazatelja, značajki tržišta rada, stanj</w:t>
      </w:r>
      <w:r w:rsidRPr="009769E7">
        <w:t>a</w:t>
      </w:r>
      <w:r w:rsidR="003E5FC3" w:rsidRPr="004D0AD5">
        <w:t xml:space="preserve"> zaposlenosti te aktivnosti radno sposobnog stanovništva, ins</w:t>
      </w:r>
      <w:r w:rsidR="003E5FC3" w:rsidRPr="00E1401E">
        <w:t>titucionaln</w:t>
      </w:r>
      <w:r w:rsidRPr="00E1401E">
        <w:t>ih</w:t>
      </w:r>
      <w:r w:rsidR="003E5FC3" w:rsidRPr="00D00975">
        <w:t xml:space="preserve"> i regulatorn</w:t>
      </w:r>
      <w:r w:rsidRPr="00D00975">
        <w:t>ih</w:t>
      </w:r>
      <w:r w:rsidR="003E5FC3" w:rsidRPr="00D00975">
        <w:t xml:space="preserve"> značajk</w:t>
      </w:r>
      <w:r w:rsidRPr="00D00975">
        <w:t>i</w:t>
      </w:r>
      <w:r w:rsidR="003E5FC3" w:rsidRPr="00D00975">
        <w:t xml:space="preserve"> sustava socijalne sigurnosti</w:t>
      </w:r>
      <w:r w:rsidRPr="00A26596">
        <w:t xml:space="preserve"> i </w:t>
      </w:r>
      <w:r w:rsidR="003E5FC3" w:rsidRPr="008B2ED7">
        <w:t>poreznog sustava, stup</w:t>
      </w:r>
      <w:r w:rsidRPr="008B2ED7">
        <w:t>a</w:t>
      </w:r>
      <w:r w:rsidR="003E5FC3" w:rsidRPr="008B2ED7">
        <w:t>nj evazije zakonskih i poreznih obveza</w:t>
      </w:r>
      <w:r w:rsidRPr="008B2ED7">
        <w:t>, postaju okvir promišljanja</w:t>
      </w:r>
      <w:r w:rsidR="003E5FC3" w:rsidRPr="008B2ED7">
        <w:t>.</w:t>
      </w:r>
      <w:r w:rsidR="009C6643" w:rsidRPr="008B2ED7">
        <w:t xml:space="preserve"> </w:t>
      </w:r>
    </w:p>
    <w:p w:rsidR="009C6643" w:rsidRPr="00B4742D" w:rsidRDefault="009C6643" w:rsidP="00D40DC6">
      <w:pPr>
        <w:spacing w:line="240" w:lineRule="auto"/>
      </w:pPr>
    </w:p>
    <w:p w:rsidR="00D40DC6" w:rsidRPr="00B4742D" w:rsidRDefault="009C6643" w:rsidP="00D40DC6">
      <w:pPr>
        <w:spacing w:line="240" w:lineRule="auto"/>
      </w:pPr>
      <w:r w:rsidRPr="00B4742D">
        <w:t>Potreba za racionalizacijom, fleksibilizacijom, na tržištu rada pa i u uređenju radnim zakonodavstvom,</w:t>
      </w:r>
      <w:r w:rsidR="008F11D0" w:rsidRPr="00B4742D">
        <w:t xml:space="preserve"> </w:t>
      </w:r>
      <w:r w:rsidR="00D7475D" w:rsidRPr="00B4742D">
        <w:t xml:space="preserve">i u Republici Hrvatskoj otvara prostor promišljanju o pravu na otpremnine i nacionalnom sustavu kojim se ono ostvaruje. </w:t>
      </w:r>
      <w:r w:rsidR="008F11D0" w:rsidRPr="00B4742D">
        <w:t>Jedno takvo promišljanje</w:t>
      </w:r>
      <w:r w:rsidR="00D7475D" w:rsidRPr="00B4742D">
        <w:t>, stoga, jest ponuđeno</w:t>
      </w:r>
      <w:r w:rsidR="008F11D0" w:rsidRPr="00B4742D">
        <w:t xml:space="preserve"> i ovom analizom</w:t>
      </w:r>
      <w:r w:rsidR="00D7475D" w:rsidRPr="00B4742D">
        <w:t>. Ona</w:t>
      </w:r>
      <w:r w:rsidR="008F11D0" w:rsidRPr="00B4742D">
        <w:t xml:space="preserve"> se u najvećem dijelu zasniva na uspore</w:t>
      </w:r>
      <w:r w:rsidR="00D7475D" w:rsidRPr="00B4742D">
        <w:t>dbi</w:t>
      </w:r>
      <w:r w:rsidR="008F11D0" w:rsidRPr="00B4742D">
        <w:t xml:space="preserve"> obilježja hrvatskog i austrijskog sustava otpremnina,</w:t>
      </w:r>
      <w:r w:rsidR="00D7475D" w:rsidRPr="00B4742D">
        <w:t xml:space="preserve"> u manjem dijelu i nekih drugih rješenja,</w:t>
      </w:r>
      <w:r w:rsidR="008F11D0" w:rsidRPr="00B4742D">
        <w:t xml:space="preserve"> kroz koji se</w:t>
      </w:r>
      <w:r w:rsidR="00D7475D" w:rsidRPr="00B4742D">
        <w:t xml:space="preserve"> rakurs</w:t>
      </w:r>
      <w:r w:rsidR="008F11D0" w:rsidRPr="00B4742D">
        <w:t xml:space="preserve"> analizira mogućnost</w:t>
      </w:r>
      <w:r w:rsidR="00D7475D" w:rsidRPr="00B4742D">
        <w:t>, prije svega,</w:t>
      </w:r>
      <w:r w:rsidR="008F11D0" w:rsidRPr="00B4742D">
        <w:t xml:space="preserve"> implementiranja novog modela sustava otpremnina koji bi počivao na obilježjima reformiranog austrijskog nacionalnog sustava otpremnina</w:t>
      </w:r>
      <w:r w:rsidR="00D7475D" w:rsidRPr="00B4742D">
        <w:t>. Određeni je prostor posveće</w:t>
      </w:r>
      <w:r w:rsidR="006E6C71" w:rsidRPr="00B4742D">
        <w:t>n</w:t>
      </w:r>
      <w:r w:rsidR="00D7475D" w:rsidRPr="00B4742D">
        <w:t xml:space="preserve"> analitičkim osvrtom na </w:t>
      </w:r>
      <w:r w:rsidR="00DA3275" w:rsidRPr="00B4742D">
        <w:t>postojeć</w:t>
      </w:r>
      <w:r w:rsidR="00D7475D" w:rsidRPr="00B4742D">
        <w:t>e uređenje i mogućnost da se i u okviru takvog uređenja ishodi mijenjaju</w:t>
      </w:r>
      <w:r w:rsidR="008F11D0" w:rsidRPr="00B4742D">
        <w:t>.</w:t>
      </w:r>
      <w:r w:rsidR="003E5FC3" w:rsidRPr="00B4742D">
        <w:t xml:space="preserve"> </w:t>
      </w:r>
    </w:p>
    <w:p w:rsidR="00D40DC6" w:rsidRPr="00B4742D" w:rsidRDefault="00D40DC6" w:rsidP="000E09A7">
      <w:pPr>
        <w:spacing w:line="240" w:lineRule="auto"/>
      </w:pPr>
    </w:p>
    <w:p w:rsidR="00D7475D" w:rsidRPr="00B4742D" w:rsidRDefault="00D7475D" w:rsidP="00B96024">
      <w:pPr>
        <w:spacing w:line="240" w:lineRule="auto"/>
      </w:pPr>
      <w:r w:rsidRPr="00B4742D">
        <w:t xml:space="preserve">Sama analiza, kao temelj metodičkog promišljanja, sadržava određena ograničenja. Ona se prije svega očituju u manjku podataka. No, i </w:t>
      </w:r>
      <w:r w:rsidR="00B96024" w:rsidRPr="00B4742D">
        <w:t xml:space="preserve">na temelju </w:t>
      </w:r>
      <w:r w:rsidR="008F11D0" w:rsidRPr="00B4742D">
        <w:t xml:space="preserve">prilično </w:t>
      </w:r>
      <w:r w:rsidR="00B96024" w:rsidRPr="00B4742D">
        <w:t>ograničenog uvida u podatke te analiz</w:t>
      </w:r>
      <w:r w:rsidR="008F11D0" w:rsidRPr="00B4742D">
        <w:t>u</w:t>
      </w:r>
      <w:r w:rsidR="00B96024" w:rsidRPr="00B4742D">
        <w:t xml:space="preserve"> relevantnih pokazatelja tržišta rada u Republici Hrvatskoj </w:t>
      </w:r>
      <w:r w:rsidRPr="00B4742D">
        <w:t xml:space="preserve">moguće je utvrditi i zaključivati o </w:t>
      </w:r>
      <w:r w:rsidR="00B96024" w:rsidRPr="00B4742D">
        <w:t>pozitivni</w:t>
      </w:r>
      <w:r w:rsidRPr="00B4742D">
        <w:t>m</w:t>
      </w:r>
      <w:r w:rsidR="00B96024" w:rsidRPr="00B4742D">
        <w:t xml:space="preserve"> </w:t>
      </w:r>
      <w:r w:rsidR="008F11D0" w:rsidRPr="00B4742D">
        <w:t>i</w:t>
      </w:r>
      <w:r w:rsidR="00B96024" w:rsidRPr="00B4742D">
        <w:t xml:space="preserve"> negativni</w:t>
      </w:r>
      <w:r w:rsidRPr="00B4742D">
        <w:t>m</w:t>
      </w:r>
      <w:r w:rsidR="00B96024" w:rsidRPr="00B4742D">
        <w:t xml:space="preserve"> aspekti</w:t>
      </w:r>
      <w:r w:rsidRPr="00B4742D">
        <w:t>ma</w:t>
      </w:r>
      <w:r w:rsidR="00B96024" w:rsidRPr="00B4742D">
        <w:t xml:space="preserve"> postojećeg sustava. U Tablici 12. sažeto su iznesene prednosti i nedostatci postojećeg modela sustava isplate otpremnina. </w:t>
      </w:r>
    </w:p>
    <w:p w:rsidR="00D7475D" w:rsidRPr="00B4742D" w:rsidRDefault="00D7475D" w:rsidP="00B96024">
      <w:pPr>
        <w:spacing w:line="240" w:lineRule="auto"/>
      </w:pPr>
    </w:p>
    <w:p w:rsidR="00D7475D" w:rsidRPr="00B4742D" w:rsidRDefault="00D7475D" w:rsidP="00B96024">
      <w:pPr>
        <w:spacing w:line="240" w:lineRule="auto"/>
      </w:pPr>
      <w:r w:rsidRPr="00B4742D">
        <w:t xml:space="preserve">Ovdje se odmah može reći kako novi model nacionalnog sustava otpremnina koji bi bio građen oko elemenata koji su i u Republici Austriji poslužili </w:t>
      </w:r>
      <w:r w:rsidR="00E63104" w:rsidRPr="00B4742D">
        <w:t xml:space="preserve">u svrhu reformiranja sustava </w:t>
      </w:r>
      <w:r w:rsidR="0038192C" w:rsidRPr="00B4742D">
        <w:t>nije slučajno odabran. Sličnost postojećeg stanja u Republici Hrvatskoj sa onim što je u Republici Austriji postojalo prije reforme, a onda i bliskost zaključaka o nedostacima toga uređenja u oba slučaja, opravdava referiranje na austrijski reformski mo</w:t>
      </w:r>
      <w:r w:rsidR="006B2085" w:rsidRPr="00B4742D">
        <w:t>del i kao novi model za Republi</w:t>
      </w:r>
      <w:r w:rsidR="0038192C" w:rsidRPr="00B4742D">
        <w:t>ku Hrvatsku.</w:t>
      </w:r>
      <w:r w:rsidRPr="00B4742D">
        <w:t xml:space="preserve"> </w:t>
      </w:r>
      <w:r w:rsidR="0038192C" w:rsidRPr="00B4742D">
        <w:t xml:space="preserve">Stoga je lako objašnjivo ono što bi se, inače, moglo interpretirati kao zanimljiva koincidencija: </w:t>
      </w:r>
      <w:r w:rsidRPr="00B4742D">
        <w:t xml:space="preserve">reforma </w:t>
      </w:r>
      <w:r w:rsidR="0038192C" w:rsidRPr="00B4742D">
        <w:t>u</w:t>
      </w:r>
      <w:r w:rsidRPr="00B4742D">
        <w:t>smjer</w:t>
      </w:r>
      <w:r w:rsidR="0038192C" w:rsidRPr="00B4742D">
        <w:t>ena prema</w:t>
      </w:r>
      <w:r w:rsidRPr="00B4742D">
        <w:t xml:space="preserve"> </w:t>
      </w:r>
      <w:r w:rsidR="0038192C" w:rsidRPr="00B4742D">
        <w:t xml:space="preserve">obilježjima </w:t>
      </w:r>
      <w:r w:rsidRPr="00B4742D">
        <w:t>austrijsko</w:t>
      </w:r>
      <w:r w:rsidR="0038192C" w:rsidRPr="00B4742D">
        <w:t>g</w:t>
      </w:r>
      <w:r w:rsidRPr="00B4742D">
        <w:t xml:space="preserve"> sustav</w:t>
      </w:r>
      <w:r w:rsidR="0038192C" w:rsidRPr="00B4742D">
        <w:t>a</w:t>
      </w:r>
      <w:r w:rsidRPr="00B4742D">
        <w:t xml:space="preserve"> otpremnina na relativno jednostavan način zaobilazi </w:t>
      </w:r>
      <w:r w:rsidR="0038192C" w:rsidRPr="00B4742D">
        <w:t xml:space="preserve">nedostatke i </w:t>
      </w:r>
      <w:r w:rsidRPr="00B4742D">
        <w:t>probleme koji karakteriziraju postojeći sustav u Republici Hrvatskoj.</w:t>
      </w:r>
      <w:r w:rsidR="0038192C" w:rsidRPr="00B4742D">
        <w:t xml:space="preserve"> To je, također, razvidno iz Tablice 12. Tako je</w:t>
      </w:r>
      <w:r w:rsidRPr="00B4742D">
        <w:t xml:space="preserve"> </w:t>
      </w:r>
      <w:r w:rsidR="0038192C" w:rsidRPr="00B4742D">
        <w:t>j</w:t>
      </w:r>
      <w:r w:rsidRPr="00B4742D">
        <w:t>edan od najvažnijih rezultata reforme u Republici Austriji osiguranje isplate otpremnine najvećem dijelu radnika u privatnom sektoru. Takav učinak još bi važniji bio u Republici Hrvatskoj. Međutim, s obzirom da ne postoje relevantni podaci koji bi omogućili procjenu šireg spektra učinaka reforme, kao prvi korak u pravcu unaprjeđenja sustava svakako bi trebalo osigurati kompletnu bazu podataka na temelju koje bi se mogla izvršiti relevantna analiza te projekcije.</w:t>
      </w:r>
    </w:p>
    <w:p w:rsidR="00C84BF9" w:rsidRPr="00B4742D" w:rsidRDefault="00C84BF9">
      <w:pPr>
        <w:tabs>
          <w:tab w:val="clear" w:pos="0"/>
          <w:tab w:val="clear" w:pos="9360"/>
        </w:tabs>
        <w:spacing w:line="240" w:lineRule="auto"/>
        <w:jc w:val="left"/>
      </w:pPr>
      <w:r w:rsidRPr="00B4742D">
        <w:br w:type="page"/>
      </w:r>
    </w:p>
    <w:p w:rsidR="00B96024" w:rsidRPr="00B4742D" w:rsidRDefault="00B96024" w:rsidP="00B96024">
      <w:pPr>
        <w:spacing w:line="240" w:lineRule="auto"/>
      </w:pPr>
      <w:r w:rsidRPr="00B4742D">
        <w:lastRenderedPageBreak/>
        <w:t>Tablica 12.: Sažeti prikaz prednosti i nedostataka aktualnog nacionalnog sustava otpremnina i novog modela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3402"/>
      </w:tblGrid>
      <w:tr w:rsidR="00B96024" w:rsidRPr="00B4742D" w:rsidTr="00F34631">
        <w:tc>
          <w:tcPr>
            <w:tcW w:w="2552" w:type="dxa"/>
          </w:tcPr>
          <w:p w:rsidR="00B96024" w:rsidRPr="007544D9" w:rsidRDefault="00B96024" w:rsidP="00F34631">
            <w:pPr>
              <w:spacing w:line="240" w:lineRule="auto"/>
              <w:jc w:val="center"/>
            </w:pPr>
          </w:p>
        </w:tc>
        <w:tc>
          <w:tcPr>
            <w:tcW w:w="3685" w:type="dxa"/>
          </w:tcPr>
          <w:p w:rsidR="00B96024" w:rsidRPr="00B4742D" w:rsidRDefault="00B96024" w:rsidP="00F34631">
            <w:pPr>
              <w:spacing w:line="240" w:lineRule="auto"/>
              <w:jc w:val="center"/>
            </w:pPr>
            <w:r w:rsidRPr="00B4742D">
              <w:t>Aktualni nacionalni sustav otpremnina</w:t>
            </w:r>
          </w:p>
        </w:tc>
        <w:tc>
          <w:tcPr>
            <w:tcW w:w="3402" w:type="dxa"/>
          </w:tcPr>
          <w:p w:rsidR="00B96024" w:rsidRPr="00B4742D" w:rsidRDefault="00B96024" w:rsidP="00F34631">
            <w:pPr>
              <w:spacing w:line="240" w:lineRule="auto"/>
              <w:jc w:val="center"/>
            </w:pPr>
            <w:r w:rsidRPr="00B4742D">
              <w:t>Novi model</w:t>
            </w:r>
          </w:p>
        </w:tc>
      </w:tr>
      <w:tr w:rsidR="00B96024" w:rsidRPr="00B4742D" w:rsidTr="00F34631">
        <w:tc>
          <w:tcPr>
            <w:tcW w:w="2552" w:type="dxa"/>
          </w:tcPr>
          <w:p w:rsidR="00B96024" w:rsidRPr="00B4742D" w:rsidRDefault="00B96024" w:rsidP="00F34631">
            <w:pPr>
              <w:spacing w:line="240" w:lineRule="auto"/>
              <w:jc w:val="center"/>
            </w:pPr>
            <w:r w:rsidRPr="00B4742D">
              <w:t>Pozitivni aspekti</w:t>
            </w:r>
          </w:p>
        </w:tc>
        <w:tc>
          <w:tcPr>
            <w:tcW w:w="3685" w:type="dxa"/>
          </w:tcPr>
          <w:p w:rsidR="00B96024" w:rsidRPr="00B4742D" w:rsidRDefault="00B96024" w:rsidP="00F34631">
            <w:pPr>
              <w:pStyle w:val="ListParagraph"/>
              <w:numPr>
                <w:ilvl w:val="0"/>
                <w:numId w:val="23"/>
              </w:numPr>
              <w:ind w:left="317"/>
              <w:jc w:val="both"/>
            </w:pPr>
            <w:r w:rsidRPr="00B4742D">
              <w:t>visoka razina otpremnina</w:t>
            </w:r>
          </w:p>
          <w:p w:rsidR="00B96024" w:rsidRPr="00BF61FB" w:rsidRDefault="00B96024" w:rsidP="00F34631">
            <w:pPr>
              <w:pStyle w:val="ListParagraph"/>
              <w:numPr>
                <w:ilvl w:val="0"/>
                <w:numId w:val="23"/>
              </w:numPr>
              <w:ind w:left="317"/>
              <w:jc w:val="both"/>
            </w:pPr>
            <w:r w:rsidRPr="00B4742D">
              <w:t>pogodan za uspješna poduzeća s većom produktivnosti radnika</w:t>
            </w:r>
          </w:p>
          <w:p w:rsidR="00B96024" w:rsidRPr="00BF61FB" w:rsidRDefault="00B96024" w:rsidP="00F34631">
            <w:pPr>
              <w:pStyle w:val="ListParagraph"/>
              <w:numPr>
                <w:ilvl w:val="0"/>
                <w:numId w:val="23"/>
              </w:numPr>
              <w:ind w:left="317"/>
              <w:jc w:val="both"/>
            </w:pPr>
            <w:r w:rsidRPr="00B4742D">
              <w:t>osigurava isplate dijela otpremnina radnicima p</w:t>
            </w:r>
            <w:r w:rsidR="00DA3275" w:rsidRPr="00B4742D">
              <w:t>oslodavaca</w:t>
            </w:r>
            <w:r w:rsidRPr="00B4742D">
              <w:t xml:space="preserve"> u stečaju</w:t>
            </w:r>
          </w:p>
        </w:tc>
        <w:tc>
          <w:tcPr>
            <w:tcW w:w="3402" w:type="dxa"/>
          </w:tcPr>
          <w:p w:rsidR="00B96024" w:rsidRPr="00B4742D" w:rsidRDefault="00B96024" w:rsidP="00F34631">
            <w:pPr>
              <w:pStyle w:val="ListParagraph"/>
              <w:numPr>
                <w:ilvl w:val="0"/>
                <w:numId w:val="26"/>
              </w:numPr>
              <w:ind w:left="318"/>
              <w:jc w:val="both"/>
            </w:pPr>
            <w:r w:rsidRPr="00B4742D">
              <w:t>osiguranje prava na otpremnine za sve radnike</w:t>
            </w:r>
          </w:p>
          <w:p w:rsidR="00B96024" w:rsidRPr="00BF61FB" w:rsidRDefault="00B96024" w:rsidP="00F34631">
            <w:pPr>
              <w:pStyle w:val="ListParagraph"/>
              <w:numPr>
                <w:ilvl w:val="0"/>
                <w:numId w:val="26"/>
              </w:numPr>
              <w:ind w:left="318"/>
              <w:jc w:val="both"/>
            </w:pPr>
            <w:r w:rsidRPr="00B4742D">
              <w:t>smanjenje tereta ot</w:t>
            </w:r>
            <w:r w:rsidR="00DA3275" w:rsidRPr="00B4742D">
              <w:t>kazivanja ugovora o radu</w:t>
            </w:r>
            <w:r w:rsidRPr="00B4742D">
              <w:t xml:space="preserve"> radnika</w:t>
            </w:r>
            <w:r w:rsidR="00DA3275" w:rsidRPr="00B4742D">
              <w:t xml:space="preserve"> za</w:t>
            </w:r>
            <w:r w:rsidRPr="00B4742D">
              <w:t xml:space="preserve"> poslodavce koji plaćaju otpremnine</w:t>
            </w:r>
          </w:p>
          <w:p w:rsidR="00B96024" w:rsidRPr="00BF61FB" w:rsidRDefault="00B96024" w:rsidP="00F34631">
            <w:pPr>
              <w:pStyle w:val="ListParagraph"/>
              <w:numPr>
                <w:ilvl w:val="0"/>
                <w:numId w:val="26"/>
              </w:numPr>
              <w:ind w:left="318"/>
              <w:jc w:val="both"/>
            </w:pPr>
            <w:r w:rsidRPr="00B4742D">
              <w:t xml:space="preserve">pretpostavlja </w:t>
            </w:r>
            <w:r w:rsidR="00DA3275" w:rsidRPr="00B4742D">
              <w:t>stvaranja središnje</w:t>
            </w:r>
            <w:r w:rsidRPr="00B4742D">
              <w:t xml:space="preserve"> baze podataka</w:t>
            </w:r>
          </w:p>
          <w:p w:rsidR="00B96024" w:rsidRPr="00BF61FB" w:rsidRDefault="00B96024" w:rsidP="00F34631">
            <w:pPr>
              <w:pStyle w:val="ListParagraph"/>
              <w:numPr>
                <w:ilvl w:val="0"/>
                <w:numId w:val="26"/>
              </w:numPr>
              <w:ind w:left="318"/>
              <w:jc w:val="both"/>
            </w:pPr>
            <w:r w:rsidRPr="00B4742D">
              <w:t>daje impuls tržištu kapitala</w:t>
            </w:r>
          </w:p>
          <w:p w:rsidR="00B96024" w:rsidRPr="00BF61FB" w:rsidRDefault="00B96024" w:rsidP="00DA3275">
            <w:pPr>
              <w:pStyle w:val="ListParagraph"/>
              <w:numPr>
                <w:ilvl w:val="0"/>
                <w:numId w:val="26"/>
              </w:numPr>
              <w:ind w:left="318"/>
              <w:jc w:val="both"/>
            </w:pPr>
            <w:r w:rsidRPr="00B4742D">
              <w:t xml:space="preserve">relaksira </w:t>
            </w:r>
            <w:r w:rsidR="00DA3275" w:rsidRPr="00B4742D">
              <w:t>D</w:t>
            </w:r>
            <w:r w:rsidRPr="00B4742D">
              <w:t>ržavni proračun</w:t>
            </w:r>
            <w:r w:rsidR="00096F38" w:rsidRPr="00B4742D">
              <w:t xml:space="preserve"> Republike Hrvatske</w:t>
            </w:r>
          </w:p>
        </w:tc>
      </w:tr>
      <w:tr w:rsidR="00B96024" w:rsidRPr="00B4742D" w:rsidTr="00F34631">
        <w:tc>
          <w:tcPr>
            <w:tcW w:w="2552" w:type="dxa"/>
          </w:tcPr>
          <w:p w:rsidR="00B96024" w:rsidRPr="00B4742D" w:rsidRDefault="00B96024" w:rsidP="00F34631">
            <w:pPr>
              <w:spacing w:line="240" w:lineRule="auto"/>
              <w:jc w:val="center"/>
            </w:pPr>
            <w:r w:rsidRPr="00B4742D">
              <w:t>Negativni aspekti</w:t>
            </w:r>
          </w:p>
        </w:tc>
        <w:tc>
          <w:tcPr>
            <w:tcW w:w="3685" w:type="dxa"/>
          </w:tcPr>
          <w:p w:rsidR="00944FA7" w:rsidRPr="00B4742D" w:rsidRDefault="00944FA7" w:rsidP="00944FA7">
            <w:pPr>
              <w:pStyle w:val="ListParagraph"/>
              <w:numPr>
                <w:ilvl w:val="0"/>
                <w:numId w:val="24"/>
              </w:numPr>
              <w:ind w:left="317"/>
              <w:jc w:val="both"/>
            </w:pPr>
            <w:r w:rsidRPr="00B4742D">
              <w:t>temelji se na institucionalnom i regulatornom okviru koji nije primjeren (rigidan je, ne jamči isplatu otpremnina svim radnicima i u utvrđenom iznosu, omogućava manipulacije)</w:t>
            </w:r>
          </w:p>
          <w:p w:rsidR="00B96024" w:rsidRPr="00BF61FB" w:rsidRDefault="00B96024" w:rsidP="00F34631">
            <w:pPr>
              <w:pStyle w:val="ListParagraph"/>
              <w:numPr>
                <w:ilvl w:val="0"/>
                <w:numId w:val="24"/>
              </w:numPr>
              <w:ind w:left="317"/>
              <w:jc w:val="both"/>
            </w:pPr>
            <w:r w:rsidRPr="00B4742D">
              <w:t>poremećaj tržišta rada</w:t>
            </w:r>
          </w:p>
          <w:p w:rsidR="00B96024" w:rsidRPr="00BF61FB" w:rsidRDefault="00B96024" w:rsidP="00F34631">
            <w:pPr>
              <w:pStyle w:val="ListParagraph"/>
              <w:numPr>
                <w:ilvl w:val="0"/>
                <w:numId w:val="24"/>
              </w:numPr>
              <w:ind w:left="317"/>
              <w:jc w:val="both"/>
            </w:pPr>
            <w:r w:rsidRPr="00B4742D">
              <w:t>neprimjeren porezni tretman</w:t>
            </w:r>
          </w:p>
          <w:p w:rsidR="00B96024" w:rsidRPr="00BF61FB" w:rsidRDefault="00B96024" w:rsidP="00F34631">
            <w:pPr>
              <w:pStyle w:val="ListParagraph"/>
              <w:numPr>
                <w:ilvl w:val="0"/>
                <w:numId w:val="24"/>
              </w:numPr>
              <w:ind w:left="317"/>
              <w:jc w:val="both"/>
            </w:pPr>
            <w:r w:rsidRPr="00B4742D">
              <w:t>ne osigurava prava na otpremnine radnicima</w:t>
            </w:r>
            <w:r w:rsidR="00BE4846" w:rsidRPr="00B4742D">
              <w:t>, posebice u privatnom sektoru</w:t>
            </w:r>
          </w:p>
          <w:p w:rsidR="00B96024" w:rsidRPr="00BF61FB" w:rsidRDefault="00B96024" w:rsidP="00F34631">
            <w:pPr>
              <w:pStyle w:val="ListParagraph"/>
              <w:numPr>
                <w:ilvl w:val="0"/>
                <w:numId w:val="24"/>
              </w:numPr>
              <w:ind w:left="317"/>
              <w:jc w:val="both"/>
            </w:pPr>
            <w:r w:rsidRPr="00B4742D">
              <w:t xml:space="preserve">djeluje prociklički na </w:t>
            </w:r>
            <w:r w:rsidR="00DA3275" w:rsidRPr="00B4742D">
              <w:t>poslodavce</w:t>
            </w:r>
            <w:r w:rsidRPr="00B4742D">
              <w:t xml:space="preserve"> te ih ugrožava u vrijeme ekonomsko-financijske krize, onemogućava ot</w:t>
            </w:r>
            <w:r w:rsidR="00DA3275" w:rsidRPr="00B4742D">
              <w:t>kazivanje ugovor o radu</w:t>
            </w:r>
            <w:r w:rsidRPr="00B4742D">
              <w:t xml:space="preserve"> u slučaju financijskih problema</w:t>
            </w:r>
          </w:p>
          <w:p w:rsidR="00B96024" w:rsidRPr="00BF61FB" w:rsidRDefault="00B96024" w:rsidP="00F34631">
            <w:pPr>
              <w:pStyle w:val="ListParagraph"/>
              <w:numPr>
                <w:ilvl w:val="0"/>
                <w:numId w:val="24"/>
              </w:numPr>
              <w:ind w:left="317"/>
              <w:jc w:val="both"/>
            </w:pPr>
            <w:r w:rsidRPr="00B4742D">
              <w:t>posebno ugrožava radno-intenzivne sektore</w:t>
            </w:r>
          </w:p>
          <w:p w:rsidR="00B96024" w:rsidRPr="00BF61FB" w:rsidRDefault="00B96024" w:rsidP="00F34631">
            <w:pPr>
              <w:pStyle w:val="ListParagraph"/>
              <w:numPr>
                <w:ilvl w:val="0"/>
                <w:numId w:val="24"/>
              </w:numPr>
              <w:ind w:left="317"/>
              <w:jc w:val="both"/>
            </w:pPr>
            <w:r w:rsidRPr="00B4742D">
              <w:t>teret pr</w:t>
            </w:r>
            <w:r w:rsidR="00DA3275" w:rsidRPr="00B4742D">
              <w:t>ebačen s dijela poslodavaca na D</w:t>
            </w:r>
            <w:r w:rsidRPr="00B4742D">
              <w:t>ržavni proračun</w:t>
            </w:r>
            <w:r w:rsidR="00096F38" w:rsidRPr="00B4742D">
              <w:t xml:space="preserve"> Republike Hrvatske</w:t>
            </w:r>
            <w:r w:rsidRPr="00B4742D">
              <w:t xml:space="preserve"> i radnike</w:t>
            </w:r>
          </w:p>
        </w:tc>
        <w:tc>
          <w:tcPr>
            <w:tcW w:w="3402" w:type="dxa"/>
          </w:tcPr>
          <w:p w:rsidR="00B96024" w:rsidRPr="00B4742D" w:rsidRDefault="00B96024" w:rsidP="00F34631">
            <w:pPr>
              <w:pStyle w:val="ListParagraph"/>
              <w:numPr>
                <w:ilvl w:val="0"/>
                <w:numId w:val="26"/>
              </w:numPr>
              <w:ind w:left="318"/>
              <w:jc w:val="both"/>
            </w:pPr>
            <w:r w:rsidRPr="00B4742D">
              <w:t>porezni klin (vjerojatan negativan utjecaj na konkurentnost)</w:t>
            </w:r>
          </w:p>
          <w:p w:rsidR="00B96024" w:rsidRPr="00BF61FB" w:rsidRDefault="00B96024" w:rsidP="00F34631">
            <w:pPr>
              <w:pStyle w:val="ListParagraph"/>
              <w:numPr>
                <w:ilvl w:val="0"/>
                <w:numId w:val="26"/>
              </w:numPr>
              <w:ind w:left="318"/>
              <w:jc w:val="both"/>
            </w:pPr>
            <w:r w:rsidRPr="00B4742D">
              <w:t>nema utjecaja na mobilnost radne snage</w:t>
            </w:r>
          </w:p>
          <w:p w:rsidR="00B96024" w:rsidRPr="00BF61FB" w:rsidRDefault="00B96024" w:rsidP="00F34631">
            <w:pPr>
              <w:pStyle w:val="ListParagraph"/>
              <w:numPr>
                <w:ilvl w:val="0"/>
                <w:numId w:val="26"/>
              </w:numPr>
              <w:ind w:left="318"/>
              <w:jc w:val="both"/>
            </w:pPr>
            <w:r w:rsidRPr="00B4742D">
              <w:t>smanjuje iznose isplaćenih otpremnina radnicima</w:t>
            </w:r>
          </w:p>
          <w:p w:rsidR="00B96024" w:rsidRPr="00BF61FB" w:rsidRDefault="00B96024" w:rsidP="00F34631">
            <w:pPr>
              <w:pStyle w:val="ListParagraph"/>
              <w:numPr>
                <w:ilvl w:val="0"/>
                <w:numId w:val="26"/>
              </w:numPr>
              <w:ind w:left="318"/>
              <w:jc w:val="both"/>
            </w:pPr>
            <w:r w:rsidRPr="00B4742D">
              <w:t>ovisnost o makroekonomskim pokazateljima te upravljanju nadležnog fonda</w:t>
            </w:r>
          </w:p>
          <w:p w:rsidR="00B96024" w:rsidRPr="00BF61FB" w:rsidRDefault="00B96024" w:rsidP="00F34631">
            <w:pPr>
              <w:pStyle w:val="ListParagraph"/>
              <w:numPr>
                <w:ilvl w:val="0"/>
                <w:numId w:val="26"/>
              </w:numPr>
              <w:ind w:left="318"/>
              <w:jc w:val="both"/>
            </w:pPr>
            <w:r w:rsidRPr="00B4742D">
              <w:t xml:space="preserve">uzima poslodavcima značajan obrtni kapital </w:t>
            </w:r>
          </w:p>
          <w:p w:rsidR="00B96024" w:rsidRPr="00FD391A" w:rsidRDefault="00B96024" w:rsidP="00F34631">
            <w:pPr>
              <w:spacing w:line="240" w:lineRule="auto"/>
              <w:ind w:left="318"/>
            </w:pPr>
          </w:p>
        </w:tc>
      </w:tr>
      <w:tr w:rsidR="00B96024" w:rsidRPr="00B4742D" w:rsidTr="00F34631">
        <w:tc>
          <w:tcPr>
            <w:tcW w:w="2552" w:type="dxa"/>
          </w:tcPr>
          <w:p w:rsidR="00B96024" w:rsidRPr="00B4742D" w:rsidRDefault="00B96024" w:rsidP="00F34631">
            <w:pPr>
              <w:spacing w:line="240" w:lineRule="auto"/>
              <w:jc w:val="center"/>
            </w:pPr>
            <w:r w:rsidRPr="00B4742D">
              <w:t>Rizici</w:t>
            </w:r>
          </w:p>
        </w:tc>
        <w:tc>
          <w:tcPr>
            <w:tcW w:w="3685" w:type="dxa"/>
          </w:tcPr>
          <w:p w:rsidR="00B96024" w:rsidRPr="00B4742D" w:rsidRDefault="00B96024" w:rsidP="00F34631">
            <w:pPr>
              <w:pStyle w:val="ListParagraph"/>
              <w:numPr>
                <w:ilvl w:val="0"/>
                <w:numId w:val="25"/>
              </w:numPr>
              <w:ind w:left="317"/>
              <w:jc w:val="center"/>
            </w:pPr>
            <w:r w:rsidRPr="00B4742D">
              <w:t>ekonomsko-financijska kretanja</w:t>
            </w:r>
          </w:p>
        </w:tc>
        <w:tc>
          <w:tcPr>
            <w:tcW w:w="3402" w:type="dxa"/>
          </w:tcPr>
          <w:p w:rsidR="00B96024" w:rsidRPr="00B4742D" w:rsidRDefault="00B96024" w:rsidP="00F34631">
            <w:pPr>
              <w:pStyle w:val="ListParagraph"/>
              <w:numPr>
                <w:ilvl w:val="0"/>
                <w:numId w:val="26"/>
              </w:numPr>
              <w:ind w:left="318"/>
              <w:jc w:val="both"/>
            </w:pPr>
            <w:r w:rsidRPr="00B4742D">
              <w:t>stopa prinosa</w:t>
            </w:r>
          </w:p>
          <w:p w:rsidR="00B96024" w:rsidRPr="00BF61FB" w:rsidRDefault="00B96024" w:rsidP="00F34631">
            <w:pPr>
              <w:pStyle w:val="ListParagraph"/>
              <w:numPr>
                <w:ilvl w:val="0"/>
                <w:numId w:val="26"/>
              </w:numPr>
              <w:ind w:left="318"/>
              <w:jc w:val="both"/>
            </w:pPr>
            <w:r w:rsidRPr="00B4742D">
              <w:t>porezni tretman</w:t>
            </w:r>
          </w:p>
        </w:tc>
      </w:tr>
    </w:tbl>
    <w:p w:rsidR="00B96024" w:rsidRPr="00B4742D" w:rsidRDefault="00B96024" w:rsidP="00B96024">
      <w:pPr>
        <w:spacing w:line="240" w:lineRule="auto"/>
      </w:pPr>
    </w:p>
    <w:p w:rsidR="00B96024" w:rsidRPr="00B4742D" w:rsidRDefault="00DA3275" w:rsidP="00B96024">
      <w:pPr>
        <w:spacing w:line="240" w:lineRule="auto"/>
      </w:pPr>
      <w:r w:rsidRPr="00B4742D">
        <w:t>Slijedom prethodno izvršene analize sustava u Republici Hrvatskoj te mogućnosti unaprjeđenja sustava po uzoru na austrijski model, pa i tablično prikazanih prednosti i nedostataka aktualnog nacionalnog sustava otpremnina i novog modela, moguće je izvući više zaključaka, kako slijedi.</w:t>
      </w:r>
    </w:p>
    <w:p w:rsidR="00B96024" w:rsidRPr="00B4742D" w:rsidRDefault="00B96024" w:rsidP="00DA3275">
      <w:pPr>
        <w:spacing w:line="240" w:lineRule="auto"/>
      </w:pPr>
    </w:p>
    <w:p w:rsidR="00725AF6" w:rsidRDefault="00725AF6" w:rsidP="00DA3275">
      <w:pPr>
        <w:spacing w:line="240" w:lineRule="auto"/>
      </w:pPr>
    </w:p>
    <w:p w:rsidR="00DA3275" w:rsidRPr="008B2ED7" w:rsidRDefault="00DA3275" w:rsidP="00DA3275">
      <w:pPr>
        <w:spacing w:line="240" w:lineRule="auto"/>
      </w:pPr>
      <w:r w:rsidRPr="008B2ED7">
        <w:lastRenderedPageBreak/>
        <w:t>ZAKLJUČAK 1.: P</w:t>
      </w:r>
      <w:r w:rsidR="00B96024" w:rsidRPr="008B2ED7">
        <w:t xml:space="preserve">ostojeći sustav </w:t>
      </w:r>
      <w:r w:rsidRPr="008B2ED7">
        <w:t xml:space="preserve">obilježavaju </w:t>
      </w:r>
      <w:r w:rsidR="00B96024" w:rsidRPr="008B2ED7">
        <w:t xml:space="preserve">brojni problemi te ga je potrebno unaprijediti. </w:t>
      </w:r>
    </w:p>
    <w:p w:rsidR="00DA3275" w:rsidRPr="008B2ED7" w:rsidRDefault="00DA3275" w:rsidP="00DA3275">
      <w:pPr>
        <w:spacing w:line="240" w:lineRule="auto"/>
      </w:pPr>
    </w:p>
    <w:p w:rsidR="00B96024" w:rsidRPr="00B4742D" w:rsidRDefault="00DA3275" w:rsidP="00CF4B1F">
      <w:pPr>
        <w:spacing w:line="240" w:lineRule="auto"/>
      </w:pPr>
      <w:r w:rsidRPr="008B2ED7">
        <w:t xml:space="preserve">Problemi koje je, razmjerno jednostavno, </w:t>
      </w:r>
      <w:r w:rsidR="00CF4B1F" w:rsidRPr="008B2ED7">
        <w:t>u</w:t>
      </w:r>
      <w:r w:rsidRPr="008B2ED7">
        <w:t xml:space="preserve">tvrditi sežu od toga da postoji značajna razina </w:t>
      </w:r>
      <w:r w:rsidR="00B96024" w:rsidRPr="008B2ED7">
        <w:t>neostvaren</w:t>
      </w:r>
      <w:r w:rsidRPr="008B2ED7">
        <w:t>ih,</w:t>
      </w:r>
      <w:r w:rsidR="00B96024" w:rsidRPr="008B2ED7">
        <w:t xml:space="preserve"> ili djelomično ostvaren</w:t>
      </w:r>
      <w:r w:rsidRPr="008B2ED7">
        <w:t>ih,</w:t>
      </w:r>
      <w:r w:rsidR="00B96024" w:rsidRPr="008B2ED7">
        <w:t xml:space="preserve"> otpremninu radnika </w:t>
      </w:r>
      <w:r w:rsidRPr="008B2ED7">
        <w:t xml:space="preserve">pretežito </w:t>
      </w:r>
      <w:r w:rsidR="00B96024" w:rsidRPr="008B2ED7">
        <w:t>u priv</w:t>
      </w:r>
      <w:r w:rsidRPr="008B2ED7">
        <w:t>a</w:t>
      </w:r>
      <w:r w:rsidR="00B96024" w:rsidRPr="008B2ED7">
        <w:t>tnom sektoru</w:t>
      </w:r>
      <w:r w:rsidR="00CF4B1F" w:rsidRPr="008B2ED7">
        <w:t xml:space="preserve"> što na neki način derogira zaštitnu ulogu i smisao prava na otpremninu; potom, u postojećem </w:t>
      </w:r>
      <w:r w:rsidR="00B96024" w:rsidRPr="008B2ED7">
        <w:t>sustav</w:t>
      </w:r>
      <w:r w:rsidR="00CF4B1F" w:rsidRPr="008B2ED7">
        <w:t xml:space="preserve">u gotovo da su </w:t>
      </w:r>
      <w:r w:rsidR="00B96024" w:rsidRPr="008B2ED7">
        <w:t>omoguć</w:t>
      </w:r>
      <w:r w:rsidR="00CF4B1F" w:rsidRPr="008B2ED7">
        <w:t>ene</w:t>
      </w:r>
      <w:r w:rsidR="00B96024" w:rsidRPr="008B2ED7">
        <w:t xml:space="preserve"> zloupor</w:t>
      </w:r>
      <w:r w:rsidR="00CF4B1F" w:rsidRPr="008B2ED7">
        <w:t>a</w:t>
      </w:r>
      <w:r w:rsidR="00B96024" w:rsidRPr="008B2ED7">
        <w:t xml:space="preserve">be u okviru javnog sektora, </w:t>
      </w:r>
      <w:r w:rsidR="00CF4B1F" w:rsidRPr="008B2ED7">
        <w:t>čime se teret otpremnina prebacuje na D</w:t>
      </w:r>
      <w:r w:rsidR="00B96024" w:rsidRPr="008B2ED7">
        <w:t>ržavn</w:t>
      </w:r>
      <w:r w:rsidR="00CF4B1F" w:rsidRPr="008B2ED7">
        <w:t>i</w:t>
      </w:r>
      <w:r w:rsidR="00B96024" w:rsidRPr="008B2ED7">
        <w:t xml:space="preserve"> proračun</w:t>
      </w:r>
      <w:r w:rsidR="00096F38" w:rsidRPr="008B2ED7">
        <w:t xml:space="preserve"> Republike Hrvatske</w:t>
      </w:r>
      <w:r w:rsidR="00CF4B1F" w:rsidRPr="008B2ED7">
        <w:t xml:space="preserve">; nadalje, </w:t>
      </w:r>
      <w:r w:rsidR="00B96024" w:rsidRPr="008B2ED7">
        <w:t xml:space="preserve">postojeći sustav opterećuje radnike, </w:t>
      </w:r>
      <w:r w:rsidR="00CF4B1F" w:rsidRPr="007544D9">
        <w:t>D</w:t>
      </w:r>
      <w:r w:rsidR="00B96024" w:rsidRPr="007B61AF">
        <w:t>ržavni proračun</w:t>
      </w:r>
      <w:r w:rsidR="00096F38" w:rsidRPr="00B4742D">
        <w:t xml:space="preserve"> Republike Hrvatske</w:t>
      </w:r>
      <w:r w:rsidR="00B96024" w:rsidRPr="00B4742D">
        <w:t xml:space="preserve"> te </w:t>
      </w:r>
      <w:r w:rsidR="00CF4B1F" w:rsidRPr="00B4742D">
        <w:t xml:space="preserve">i </w:t>
      </w:r>
      <w:r w:rsidR="00B96024" w:rsidRPr="00B4742D">
        <w:t>dio po</w:t>
      </w:r>
      <w:r w:rsidR="00CF4B1F" w:rsidRPr="00B4742D">
        <w:t>slodavaca</w:t>
      </w:r>
      <w:r w:rsidR="00B96024" w:rsidRPr="00B4742D">
        <w:t xml:space="preserve"> koj</w:t>
      </w:r>
      <w:r w:rsidR="00CF4B1F" w:rsidRPr="00B4742D">
        <w:t>i</w:t>
      </w:r>
      <w:r w:rsidR="00B96024" w:rsidRPr="00B4742D">
        <w:t xml:space="preserve"> se </w:t>
      </w:r>
      <w:r w:rsidR="00CF4B1F" w:rsidRPr="00B4742D">
        <w:t xml:space="preserve">uredno </w:t>
      </w:r>
      <w:r w:rsidR="00B96024" w:rsidRPr="00B4742D">
        <w:t>pridržavaju relevantn</w:t>
      </w:r>
      <w:r w:rsidR="00CF4B1F" w:rsidRPr="00B4742D">
        <w:t>og uređenja; a upitno jes</w:t>
      </w:r>
      <w:r w:rsidR="00BE4846" w:rsidRPr="00B4742D">
        <w:t>t</w:t>
      </w:r>
      <w:r w:rsidR="00CF4B1F" w:rsidRPr="00B4742D">
        <w:t xml:space="preserve"> i je li </w:t>
      </w:r>
      <w:r w:rsidR="00B96024" w:rsidRPr="00B4742D">
        <w:t>odgovarajuć</w:t>
      </w:r>
      <w:r w:rsidR="006E6C71" w:rsidRPr="00B4742D">
        <w:t>i</w:t>
      </w:r>
      <w:r w:rsidR="00CF4B1F" w:rsidRPr="00B4742D">
        <w:t xml:space="preserve"> porezni tretman otpremnina. Svi ovi problemi impliciraju potrebu djelovanja.</w:t>
      </w:r>
    </w:p>
    <w:p w:rsidR="00FC63DF" w:rsidRPr="00B4742D" w:rsidRDefault="00FC63DF" w:rsidP="00CF4B1F">
      <w:pPr>
        <w:spacing w:line="240" w:lineRule="auto"/>
      </w:pPr>
    </w:p>
    <w:p w:rsidR="00CF4B1F" w:rsidRPr="00B4742D" w:rsidRDefault="00CF4B1F" w:rsidP="00CF4B1F">
      <w:pPr>
        <w:spacing w:line="240" w:lineRule="auto"/>
      </w:pPr>
      <w:r w:rsidRPr="00B4742D">
        <w:t xml:space="preserve">ZAKLJUČAK 2.: Pretpostavka bilo kakvog djelovanja jest detaljna analiza </w:t>
      </w:r>
      <w:r w:rsidR="00FC63DF" w:rsidRPr="00B4742D">
        <w:t xml:space="preserve">postojećeg </w:t>
      </w:r>
      <w:r w:rsidRPr="00B4742D">
        <w:t>sustava</w:t>
      </w:r>
      <w:r w:rsidR="00FC63DF" w:rsidRPr="00B4742D">
        <w:t xml:space="preserve"> otpremnina</w:t>
      </w:r>
      <w:r w:rsidRPr="00B4742D">
        <w:t>.</w:t>
      </w:r>
    </w:p>
    <w:p w:rsidR="00CF4B1F" w:rsidRPr="00B4742D" w:rsidRDefault="00CF4B1F" w:rsidP="00CF4B1F">
      <w:pPr>
        <w:spacing w:line="240" w:lineRule="auto"/>
      </w:pPr>
    </w:p>
    <w:p w:rsidR="007A375A" w:rsidRPr="00B4742D" w:rsidRDefault="00CF4B1F" w:rsidP="007A375A">
      <w:pPr>
        <w:spacing w:line="240" w:lineRule="auto"/>
      </w:pPr>
      <w:r w:rsidRPr="00B4742D">
        <w:t xml:space="preserve">Bez analitičke podloge </w:t>
      </w:r>
      <w:r w:rsidR="00FC63DF" w:rsidRPr="00B4742D">
        <w:t>nemoguće je utvrditi stvarno stanje postojećeg sustava, probleme i kritične točke</w:t>
      </w:r>
      <w:r w:rsidR="003E77D1" w:rsidRPr="00B4742D">
        <w:t>,</w:t>
      </w:r>
      <w:r w:rsidR="00FC63DF" w:rsidRPr="00B4742D">
        <w:t xml:space="preserve"> kao i njihovo stvarno značenje </w:t>
      </w:r>
      <w:r w:rsidR="003E77D1" w:rsidRPr="00B4742D">
        <w:t xml:space="preserve">kojom oni </w:t>
      </w:r>
      <w:r w:rsidR="00FC63DF" w:rsidRPr="00B4742D">
        <w:t xml:space="preserve">onemogućavaju </w:t>
      </w:r>
      <w:r w:rsidR="0059501E" w:rsidRPr="00B4742D">
        <w:t>cil</w:t>
      </w:r>
      <w:r w:rsidR="003E77D1" w:rsidRPr="00B4742D">
        <w:t>j</w:t>
      </w:r>
      <w:r w:rsidR="0059501E" w:rsidRPr="00B4742D">
        <w:t>a</w:t>
      </w:r>
      <w:r w:rsidR="003E77D1" w:rsidRPr="00B4742D">
        <w:t xml:space="preserve">ne ishode. </w:t>
      </w:r>
      <w:r w:rsidRPr="00B4742D">
        <w:t xml:space="preserve">U tom je smislu </w:t>
      </w:r>
      <w:r w:rsidRPr="00B4742D">
        <w:rPr>
          <w:i/>
        </w:rPr>
        <w:t>conditio sine qua non</w:t>
      </w:r>
      <w:r w:rsidRPr="00B4742D">
        <w:t xml:space="preserve"> detaljna analiza postojećeg stanja</w:t>
      </w:r>
      <w:r w:rsidR="0059501E" w:rsidRPr="00B4742D">
        <w:t xml:space="preserve"> na razini pojedinih poslodavaca</w:t>
      </w:r>
      <w:r w:rsidR="009870F5" w:rsidRPr="00B4742D">
        <w:t>,</w:t>
      </w:r>
      <w:r w:rsidR="0059501E" w:rsidRPr="00B4742D">
        <w:t xml:space="preserve"> po pojedinim sektorima</w:t>
      </w:r>
      <w:r w:rsidR="009870F5" w:rsidRPr="00B4742D">
        <w:t xml:space="preserve"> i na razini cijelog gospodarstva</w:t>
      </w:r>
      <w:r w:rsidRPr="00B4742D">
        <w:t xml:space="preserve">. </w:t>
      </w:r>
      <w:r w:rsidR="007A375A" w:rsidRPr="00B4742D">
        <w:t xml:space="preserve">Ovo tim više što prednosti i nedostaci ne ovise samo o teorijskim obilježjima modela koji se uspoređuju, niti samo o zakonskom uređenju, već i o primjeni u praksi, a taj je disparitet između normativnog i praktičnog sam po sebi problematičan za pravnu državu u Republici Hrvatskoj. </w:t>
      </w:r>
    </w:p>
    <w:p w:rsidR="007A375A" w:rsidRPr="00B4742D" w:rsidRDefault="007A375A" w:rsidP="007A375A">
      <w:pPr>
        <w:spacing w:line="240" w:lineRule="auto"/>
      </w:pPr>
    </w:p>
    <w:p w:rsidR="00B96024" w:rsidRPr="00B4742D" w:rsidRDefault="007A375A" w:rsidP="00CF4B1F">
      <w:pPr>
        <w:spacing w:line="240" w:lineRule="auto"/>
      </w:pPr>
      <w:r w:rsidRPr="00B4742D">
        <w:t>S potrebom analize postojećeg sustava javlja se značajan praktičan problem. Nju, s</w:t>
      </w:r>
      <w:r w:rsidR="00CF4B1F" w:rsidRPr="00B4742D">
        <w:t>ada</w:t>
      </w:r>
      <w:r w:rsidRPr="00B4742D">
        <w:t>,</w:t>
      </w:r>
      <w:r w:rsidR="00CF4B1F" w:rsidRPr="00B4742D">
        <w:t xml:space="preserve"> </w:t>
      </w:r>
      <w:r w:rsidR="00B96024" w:rsidRPr="00B4742D">
        <w:t>u velikoj mjeri otežava nepostojanje centralizirane i sveobuhvatne baze podataka o potraživanjima te isplatama na temelju prava na otpremnine</w:t>
      </w:r>
      <w:r w:rsidRPr="00B4742D">
        <w:t xml:space="preserve">. Stoga je, </w:t>
      </w:r>
      <w:r w:rsidR="00B96024" w:rsidRPr="00B4742D">
        <w:t>kao prvi korak u pravcu poboljšanja</w:t>
      </w:r>
      <w:r w:rsidRPr="00B4742D">
        <w:t xml:space="preserve"> i omogućavanja analize postojećeg sustava</w:t>
      </w:r>
      <w:r w:rsidR="00CF4B1F" w:rsidRPr="00B4742D">
        <w:t xml:space="preserve">, </w:t>
      </w:r>
      <w:r w:rsidR="00B96024" w:rsidRPr="00B4742D">
        <w:t xml:space="preserve">potrebno </w:t>
      </w:r>
      <w:r w:rsidR="00CF4B1F" w:rsidRPr="00B4742D">
        <w:t xml:space="preserve">oformiti </w:t>
      </w:r>
      <w:r w:rsidR="00B96024" w:rsidRPr="00B4742D">
        <w:t>takvu bazu</w:t>
      </w:r>
      <w:r w:rsidR="00CF4B1F" w:rsidRPr="00B4742D">
        <w:t>.</w:t>
      </w:r>
    </w:p>
    <w:p w:rsidR="007A375A" w:rsidRPr="00B4742D" w:rsidRDefault="007A375A" w:rsidP="00CF4B1F">
      <w:pPr>
        <w:spacing w:line="240" w:lineRule="auto"/>
      </w:pPr>
    </w:p>
    <w:p w:rsidR="003E77D1" w:rsidRPr="00B4742D" w:rsidRDefault="00FC63DF" w:rsidP="00CF4B1F">
      <w:pPr>
        <w:spacing w:line="240" w:lineRule="auto"/>
      </w:pPr>
      <w:r w:rsidRPr="00B4742D">
        <w:t xml:space="preserve">ZAKLJUČAK 3.: </w:t>
      </w:r>
      <w:r w:rsidR="003E77D1" w:rsidRPr="00B4742D">
        <w:t>Treba definirati ciljeve reforme.</w:t>
      </w:r>
    </w:p>
    <w:p w:rsidR="003E77D1" w:rsidRPr="00B4742D" w:rsidRDefault="003E77D1" w:rsidP="00CF4B1F">
      <w:pPr>
        <w:spacing w:line="240" w:lineRule="auto"/>
      </w:pPr>
    </w:p>
    <w:p w:rsidR="00B96024" w:rsidRPr="00B4742D" w:rsidRDefault="00FC63DF" w:rsidP="00F3154B">
      <w:pPr>
        <w:spacing w:line="240" w:lineRule="auto"/>
      </w:pPr>
      <w:r w:rsidRPr="00B4742D">
        <w:t>Usmjerenje svake reforme ovisi o tome što se njome želi postići.</w:t>
      </w:r>
      <w:r w:rsidR="003E77D1" w:rsidRPr="00B4742D">
        <w:t xml:space="preserve"> Stoga, a nakon izrade </w:t>
      </w:r>
      <w:r w:rsidRPr="00B4742D">
        <w:t>analitičke podloge</w:t>
      </w:r>
      <w:r w:rsidR="003E77D1" w:rsidRPr="00B4742D">
        <w:t>,</w:t>
      </w:r>
      <w:r w:rsidRPr="00B4742D">
        <w:t xml:space="preserve"> </w:t>
      </w:r>
      <w:r w:rsidR="003E77D1" w:rsidRPr="00B4742D">
        <w:t xml:space="preserve">sljedeća pretpostavka </w:t>
      </w:r>
      <w:r w:rsidRPr="00B4742D">
        <w:t>normativno</w:t>
      </w:r>
      <w:r w:rsidR="003E77D1" w:rsidRPr="00B4742D">
        <w:t>g</w:t>
      </w:r>
      <w:r w:rsidRPr="00B4742D">
        <w:t xml:space="preserve"> djelovanj</w:t>
      </w:r>
      <w:r w:rsidR="003E77D1" w:rsidRPr="00B4742D">
        <w:t>a</w:t>
      </w:r>
      <w:r w:rsidRPr="00B4742D">
        <w:t xml:space="preserve"> </w:t>
      </w:r>
      <w:r w:rsidR="003E77D1" w:rsidRPr="00B4742D">
        <w:t xml:space="preserve">jest definiranje ciljeva koji se reformom žele postići. Bez toga svako se djelovanje </w:t>
      </w:r>
      <w:r w:rsidRPr="00B4742D">
        <w:t xml:space="preserve">svodi na puko “preuzimanje” modela i “prepisivanje” </w:t>
      </w:r>
      <w:r w:rsidR="003E77D1" w:rsidRPr="00B4742D">
        <w:t xml:space="preserve">zakonskih </w:t>
      </w:r>
      <w:r w:rsidRPr="00B4742D">
        <w:t>rješenja, bez ozbiljnije procjene što, kako i u kojem vremenskom roku može dati i kakve rezultate.</w:t>
      </w:r>
      <w:r w:rsidR="003E77D1" w:rsidRPr="00B4742D">
        <w:t xml:space="preserve"> U pogledu otpremnina, a s obzirom na to da je na samom početku ove analize navedeno kako otpremnine mogu imati različite funkcije te da se kroz </w:t>
      </w:r>
      <w:r w:rsidR="00F3154B" w:rsidRPr="00B4742D">
        <w:t>vrijeme moguće pratiti dinamizam i kretanje tih funkcija</w:t>
      </w:r>
      <w:r w:rsidR="003E77D1" w:rsidRPr="00B4742D">
        <w:t>,</w:t>
      </w:r>
      <w:r w:rsidR="00F3154B" w:rsidRPr="00B4742D">
        <w:t xml:space="preserve"> definicija ciljeva reforme još je važnija. </w:t>
      </w:r>
    </w:p>
    <w:p w:rsidR="00F3154B" w:rsidRPr="00B4742D" w:rsidRDefault="00F3154B" w:rsidP="00F3154B">
      <w:pPr>
        <w:spacing w:line="240" w:lineRule="auto"/>
      </w:pPr>
    </w:p>
    <w:p w:rsidR="00F3154B" w:rsidRPr="00B4742D" w:rsidRDefault="00F3154B" w:rsidP="00F3154B">
      <w:pPr>
        <w:spacing w:line="240" w:lineRule="auto"/>
      </w:pPr>
      <w:r w:rsidRPr="00B4742D">
        <w:t xml:space="preserve">ZAKLJUČAK 4.: </w:t>
      </w:r>
      <w:r w:rsidR="0035329F" w:rsidRPr="00B4742D">
        <w:t xml:space="preserve">Reforma po uzoru na austrijski sustav otpremnina </w:t>
      </w:r>
      <w:r w:rsidR="0059501E" w:rsidRPr="00B4742D">
        <w:t>podrazum</w:t>
      </w:r>
      <w:r w:rsidR="006E6C71" w:rsidRPr="00B4742D">
        <w:t>i</w:t>
      </w:r>
      <w:r w:rsidR="0059501E" w:rsidRPr="00B4742D">
        <w:t>jeva značajnije promjene.</w:t>
      </w:r>
    </w:p>
    <w:p w:rsidR="0035329F" w:rsidRPr="00B4742D" w:rsidRDefault="0035329F" w:rsidP="00F3154B">
      <w:pPr>
        <w:spacing w:line="240" w:lineRule="auto"/>
      </w:pPr>
    </w:p>
    <w:p w:rsidR="00E7717A" w:rsidRPr="00B4742D" w:rsidRDefault="0059501E" w:rsidP="00F3154B">
      <w:pPr>
        <w:spacing w:line="240" w:lineRule="auto"/>
      </w:pPr>
      <w:r w:rsidRPr="00B4742D">
        <w:t>Radi provedbe reforme po uzoru na austrijski sustav važno je</w:t>
      </w:r>
      <w:r w:rsidR="00E7717A" w:rsidRPr="00B4742D">
        <w:t xml:space="preserve"> ne samo definirati odgovarajuće ciljeve reforme već je nužno uopće </w:t>
      </w:r>
      <w:r w:rsidRPr="00B4742D">
        <w:t xml:space="preserve">utvrditi na koji se način primjena austrijskog modela </w:t>
      </w:r>
      <w:r w:rsidR="00E7717A" w:rsidRPr="00B4742D">
        <w:t xml:space="preserve">može provesti </w:t>
      </w:r>
      <w:r w:rsidRPr="00B4742D">
        <w:t>u okvirima hrvatskog institucionalnog i regulatornog ustroja</w:t>
      </w:r>
      <w:r w:rsidR="00E7717A" w:rsidRPr="00B4742D">
        <w:t xml:space="preserve">, odnosno je potrebno provesti </w:t>
      </w:r>
      <w:r w:rsidRPr="00B4742D">
        <w:t>prilagodb</w:t>
      </w:r>
      <w:r w:rsidR="00E7717A" w:rsidRPr="00B4742D">
        <w:t>u modela okvirima toga ustroja</w:t>
      </w:r>
      <w:r w:rsidRPr="00B4742D">
        <w:t xml:space="preserve">. </w:t>
      </w:r>
    </w:p>
    <w:p w:rsidR="00E7717A" w:rsidRPr="00B4742D" w:rsidRDefault="00E7717A" w:rsidP="00F3154B">
      <w:pPr>
        <w:spacing w:line="240" w:lineRule="auto"/>
      </w:pPr>
    </w:p>
    <w:p w:rsidR="0035329F" w:rsidRPr="00B4742D" w:rsidRDefault="0059501E" w:rsidP="00F3154B">
      <w:pPr>
        <w:spacing w:line="240" w:lineRule="auto"/>
      </w:pPr>
      <w:r w:rsidRPr="00B4742D">
        <w:t>Također, k</w:t>
      </w:r>
      <w:r w:rsidR="0035329F" w:rsidRPr="00B4742D">
        <w:t>ako se, a kada se radi o reformi po uzoru na austrijski model, otpremnin</w:t>
      </w:r>
      <w:r w:rsidRPr="00B4742D">
        <w:t>i</w:t>
      </w:r>
      <w:r w:rsidR="0035329F" w:rsidRPr="00B4742D">
        <w:t xml:space="preserve"> pridaje širi socijalni značaj i ona prestaje biti samo posljedica prestanka ugovora o radu, to valja povesti </w:t>
      </w:r>
      <w:r w:rsidR="0035329F" w:rsidRPr="00B4742D">
        <w:lastRenderedPageBreak/>
        <w:t xml:space="preserve">računa </w:t>
      </w:r>
      <w:r w:rsidRPr="00B4742D">
        <w:t xml:space="preserve">o </w:t>
      </w:r>
      <w:r w:rsidR="0035329F" w:rsidRPr="00B4742D">
        <w:t>položaj</w:t>
      </w:r>
      <w:r w:rsidRPr="00B4742D">
        <w:t>u</w:t>
      </w:r>
      <w:r w:rsidR="0035329F" w:rsidRPr="00B4742D">
        <w:t xml:space="preserve"> i ulo</w:t>
      </w:r>
      <w:r w:rsidRPr="00B4742D">
        <w:t>zi</w:t>
      </w:r>
      <w:r w:rsidR="0035329F" w:rsidRPr="00B4742D">
        <w:t xml:space="preserve"> </w:t>
      </w:r>
      <w:r w:rsidRPr="00B4742D">
        <w:t xml:space="preserve">novog </w:t>
      </w:r>
      <w:r w:rsidR="0035329F" w:rsidRPr="00B4742D">
        <w:t>prava na otpremninu u širem kontekstu sustava socijalne sigurnosti u Republici Hrvatskoj.</w:t>
      </w:r>
    </w:p>
    <w:p w:rsidR="0035329F" w:rsidRPr="00B4742D" w:rsidRDefault="0035329F" w:rsidP="00F3154B">
      <w:pPr>
        <w:spacing w:line="240" w:lineRule="auto"/>
      </w:pPr>
    </w:p>
    <w:p w:rsidR="0059501E" w:rsidRPr="00B4742D" w:rsidRDefault="0059501E" w:rsidP="00F3154B">
      <w:pPr>
        <w:spacing w:line="240" w:lineRule="auto"/>
      </w:pPr>
      <w:r w:rsidRPr="00B4742D">
        <w:t xml:space="preserve">ZAKLJUČAK 5.: </w:t>
      </w:r>
      <w:r w:rsidR="00E7717A" w:rsidRPr="00B4742D">
        <w:t>Ishod reforme nije nužno primjena austrijskog mo</w:t>
      </w:r>
      <w:r w:rsidR="006E6C71" w:rsidRPr="00B4742D">
        <w:t>d</w:t>
      </w:r>
      <w:r w:rsidR="00E7717A" w:rsidRPr="00B4742D">
        <w:t xml:space="preserve">ela – moguće </w:t>
      </w:r>
      <w:r w:rsidRPr="00B4742D">
        <w:t>je i drugačije djelovati na nacionalni sustav otpremnina.</w:t>
      </w:r>
    </w:p>
    <w:p w:rsidR="0059501E" w:rsidRPr="00B4742D" w:rsidRDefault="0059501E" w:rsidP="00F3154B">
      <w:pPr>
        <w:spacing w:line="240" w:lineRule="auto"/>
      </w:pPr>
    </w:p>
    <w:p w:rsidR="0059501E" w:rsidRPr="00B4742D" w:rsidRDefault="0059501E" w:rsidP="0059501E">
      <w:pPr>
        <w:tabs>
          <w:tab w:val="clear" w:pos="0"/>
          <w:tab w:val="clear" w:pos="9360"/>
        </w:tabs>
        <w:spacing w:line="240" w:lineRule="auto"/>
      </w:pPr>
      <w:r w:rsidRPr="00B4742D">
        <w:t>Osim reforme po uzoru na austrijski model mogući su i drugačiji scenariji odnosno drugačiji ciljevi reforme, više ili manje obuhvatni, kao što je moguće djelova</w:t>
      </w:r>
      <w:r w:rsidR="00E7717A" w:rsidRPr="00B4742D">
        <w:t xml:space="preserve">nje usmjeriti </w:t>
      </w:r>
      <w:r w:rsidRPr="00B4742D">
        <w:t xml:space="preserve">i izvan okvira radnog zakonodavstva. Tako, primjerice, </w:t>
      </w:r>
      <w:r w:rsidR="00E7717A" w:rsidRPr="00B4742D">
        <w:t xml:space="preserve">mogu biti preispitani svi parametri postojećeg nacionalnog sustava otpremnina – kvalifikatorni uvjeti, iznosi i sl. – a i bez obzira na reforme u okviru Zakona o radu </w:t>
      </w:r>
      <w:r w:rsidRPr="00B4742D">
        <w:t xml:space="preserve">smatramo potrebnim, </w:t>
      </w:r>
      <w:r w:rsidR="00B96024" w:rsidRPr="00B4742D">
        <w:t>istražiti modalitete promjene poreznog tretmana otpremnina u smjeru usklađivanja sa obilježjima poreznog sustava (progresivnosti) te poticanja štednje</w:t>
      </w:r>
      <w:r w:rsidRPr="00B4742D">
        <w:t>. Već se i</w:t>
      </w:r>
      <w:r w:rsidR="00E7717A" w:rsidRPr="00B4742D">
        <w:t xml:space="preserve"> samo</w:t>
      </w:r>
      <w:r w:rsidRPr="00B4742D">
        <w:t xml:space="preserve"> ovim </w:t>
      </w:r>
      <w:r w:rsidR="00E7717A" w:rsidRPr="00B4742D">
        <w:t xml:space="preserve">potonjim </w:t>
      </w:r>
      <w:r w:rsidRPr="00B4742D">
        <w:t xml:space="preserve">djelovanjem može </w:t>
      </w:r>
      <w:r w:rsidR="00E7717A" w:rsidRPr="00B4742D">
        <w:t xml:space="preserve">bitnije </w:t>
      </w:r>
      <w:r w:rsidRPr="00B4742D">
        <w:t xml:space="preserve">djelovati na nacionalni sustav otpremnina. </w:t>
      </w:r>
    </w:p>
    <w:p w:rsidR="0059501E" w:rsidRPr="00B4742D" w:rsidRDefault="0059501E" w:rsidP="0059501E">
      <w:pPr>
        <w:tabs>
          <w:tab w:val="clear" w:pos="0"/>
          <w:tab w:val="clear" w:pos="9360"/>
        </w:tabs>
        <w:spacing w:line="240" w:lineRule="auto"/>
      </w:pPr>
    </w:p>
    <w:p w:rsidR="0059501E" w:rsidRPr="00B4742D" w:rsidRDefault="0059501E" w:rsidP="0059501E">
      <w:pPr>
        <w:tabs>
          <w:tab w:val="clear" w:pos="0"/>
          <w:tab w:val="clear" w:pos="9360"/>
        </w:tabs>
        <w:spacing w:line="240" w:lineRule="auto"/>
      </w:pPr>
      <w:r w:rsidRPr="00B4742D">
        <w:t>ZAKLJUČAK 6.: Valja testirati održivost i implikacije svakog predloženog djelovanja.</w:t>
      </w:r>
    </w:p>
    <w:p w:rsidR="0059501E" w:rsidRPr="00B4742D" w:rsidRDefault="0059501E" w:rsidP="0059501E">
      <w:pPr>
        <w:tabs>
          <w:tab w:val="clear" w:pos="0"/>
          <w:tab w:val="clear" w:pos="9360"/>
        </w:tabs>
        <w:spacing w:line="240" w:lineRule="auto"/>
      </w:pPr>
    </w:p>
    <w:p w:rsidR="00B96024" w:rsidRPr="00B4742D" w:rsidRDefault="0059501E" w:rsidP="0059501E">
      <w:pPr>
        <w:tabs>
          <w:tab w:val="clear" w:pos="0"/>
          <w:tab w:val="clear" w:pos="9360"/>
        </w:tabs>
        <w:spacing w:line="240" w:lineRule="auto"/>
      </w:pPr>
      <w:r w:rsidRPr="00B4742D">
        <w:t xml:space="preserve">Kada se odrede parametri djelovanja </w:t>
      </w:r>
      <w:r w:rsidR="00B96024" w:rsidRPr="00B4742D">
        <w:t>dodatno</w:t>
      </w:r>
      <w:r w:rsidRPr="00B4742D">
        <w:t xml:space="preserve"> valja </w:t>
      </w:r>
      <w:r w:rsidR="00B96024" w:rsidRPr="00B4742D">
        <w:t>istraži</w:t>
      </w:r>
      <w:r w:rsidRPr="00B4742D">
        <w:t xml:space="preserve">ti </w:t>
      </w:r>
      <w:r w:rsidR="00B96024" w:rsidRPr="00B4742D">
        <w:t>u kojoj</w:t>
      </w:r>
      <w:r w:rsidRPr="00B4742D">
        <w:t xml:space="preserve"> će</w:t>
      </w:r>
      <w:r w:rsidR="00B96024" w:rsidRPr="00B4742D">
        <w:t xml:space="preserve"> mjeri </w:t>
      </w:r>
      <w:r w:rsidRPr="00B4742D">
        <w:t xml:space="preserve">to djelovanje </w:t>
      </w:r>
      <w:r w:rsidR="009870F5" w:rsidRPr="00B4742D">
        <w:t xml:space="preserve">moguće opteretiti </w:t>
      </w:r>
      <w:r w:rsidR="00B96024" w:rsidRPr="00B4742D">
        <w:t>pojedin</w:t>
      </w:r>
      <w:r w:rsidR="009870F5" w:rsidRPr="00B4742D">
        <w:t>e poslodavce, kako će sektorski biti alociran</w:t>
      </w:r>
      <w:r w:rsidR="00B96024" w:rsidRPr="00B4742D">
        <w:t>a</w:t>
      </w:r>
      <w:r w:rsidR="009870F5" w:rsidRPr="00B4742D">
        <w:t xml:space="preserve"> opterećenja i kakvi će učinci biti na cijelo gospodarstvo te koja će biti razina prava radnika obzirom je to značajan element u procjeni održivosti svakog prijedloga.</w:t>
      </w:r>
    </w:p>
    <w:p w:rsidR="00B96024" w:rsidRPr="00B4742D" w:rsidRDefault="00B96024" w:rsidP="000E09A7">
      <w:pPr>
        <w:spacing w:line="240" w:lineRule="auto"/>
      </w:pPr>
    </w:p>
    <w:p w:rsidR="00C6508F" w:rsidRPr="00B4742D" w:rsidRDefault="00F122D8" w:rsidP="000E09A7">
      <w:pPr>
        <w:spacing w:line="240" w:lineRule="auto"/>
      </w:pPr>
      <w:r w:rsidRPr="00B4742D">
        <w:t>ZAKLJUČAK 7.:</w:t>
      </w:r>
      <w:r w:rsidR="006B2085" w:rsidRPr="00B4742D">
        <w:t xml:space="preserve"> Za uvođenje novog nacionalnog sustava otpremnina valjalo bi u najvećoj mjeri ostvari</w:t>
      </w:r>
      <w:r w:rsidR="0095780E" w:rsidRPr="00B4742D">
        <w:t>ti</w:t>
      </w:r>
      <w:r w:rsidR="006B2085" w:rsidRPr="00B4742D">
        <w:t xml:space="preserve"> konsenzus socijalnih aktera i dionika.</w:t>
      </w:r>
    </w:p>
    <w:p w:rsidR="00F122D8" w:rsidRPr="00B4742D" w:rsidRDefault="00F122D8" w:rsidP="000E09A7">
      <w:pPr>
        <w:spacing w:line="240" w:lineRule="auto"/>
      </w:pPr>
    </w:p>
    <w:p w:rsidR="00F122D8" w:rsidRPr="00B4742D" w:rsidRDefault="006B2085" w:rsidP="000E09A7">
      <w:pPr>
        <w:spacing w:line="240" w:lineRule="auto"/>
      </w:pPr>
      <w:r w:rsidRPr="00B4742D">
        <w:t>S obzirom na sadržaj djelovanja, uvođenje novog nacionalnog sustava otpremnina valjalo bi prethodno osnažiti postizanjem k</w:t>
      </w:r>
      <w:r w:rsidR="00F122D8" w:rsidRPr="00B4742D">
        <w:t>onsenzus</w:t>
      </w:r>
      <w:r w:rsidRPr="00B4742D">
        <w:t>a</w:t>
      </w:r>
      <w:r w:rsidR="00F122D8" w:rsidRPr="00B4742D">
        <w:t xml:space="preserve"> svih aktera i dionika</w:t>
      </w:r>
      <w:r w:rsidRPr="00B4742D">
        <w:t xml:space="preserve"> – Vlade Republike Hrvatske, sindikalne i poslodavačke st</w:t>
      </w:r>
      <w:r w:rsidR="0095780E" w:rsidRPr="00B4742D">
        <w:t>r</w:t>
      </w:r>
      <w:r w:rsidRPr="00B4742D">
        <w:t>ane tripartitnih socijalnih odnosa – kako bi se zadovoljili interesi gospodarske održivosti i zaštite radnika</w:t>
      </w:r>
      <w:r w:rsidR="00F122D8" w:rsidRPr="00B4742D">
        <w:t>.</w:t>
      </w:r>
      <w:r w:rsidRPr="00B4742D">
        <w:t xml:space="preserve"> Ukoliko se ne bi mogao postići potpuni konsenzus bilo bi dobro u najvećoj mjeri usuglasiti sve strane oko predloženog rješenja.</w:t>
      </w:r>
    </w:p>
    <w:p w:rsidR="00C6508F" w:rsidRPr="00B4742D" w:rsidRDefault="00C6508F" w:rsidP="000E09A7">
      <w:pPr>
        <w:spacing w:line="240" w:lineRule="auto"/>
      </w:pPr>
    </w:p>
    <w:p w:rsidR="003E4B38" w:rsidRPr="002017C6" w:rsidRDefault="006B2085" w:rsidP="005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B4742D">
        <w:t xml:space="preserve">Slijedom svih ovdje postavljenih zaključaka nedvojbena je potreba djelovanja na području uređenja prava na otpremnine. </w:t>
      </w:r>
      <w:r w:rsidR="003E4B38" w:rsidRPr="00B4742D">
        <w:t>No, na pitanje da li je u tom djelovanju ključno usmjerenje prema postu</w:t>
      </w:r>
      <w:r w:rsidR="00B4742D">
        <w:t>latima</w:t>
      </w:r>
      <w:r w:rsidR="003E4B38" w:rsidRPr="00B4742D">
        <w:t xml:space="preserve"> i ishodima austrijskog sustava otpremnina odgovore treba dati na stručan i interesno odmjeren način, uvažavajući sve argumente.</w:t>
      </w:r>
    </w:p>
    <w:p w:rsidR="003E4B38" w:rsidRPr="009336BF" w:rsidRDefault="003E4B38" w:rsidP="005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5A5CE9" w:rsidRPr="00B4742D" w:rsidRDefault="003E4B38" w:rsidP="005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9336BF">
        <w:t>Kao argumente u korist to</w:t>
      </w:r>
      <w:r w:rsidRPr="00C7332E">
        <w:t xml:space="preserve">ga rješenja moguće je navesti potrebu izjednačavanja uvjeta, prava i obveza, svih radnika, kao odgovor na </w:t>
      </w:r>
      <w:r w:rsidR="005A5CE9" w:rsidRPr="00C7332E">
        <w:rPr>
          <w:iCs/>
        </w:rPr>
        <w:t>polarizacij</w:t>
      </w:r>
      <w:r w:rsidRPr="00C7332E">
        <w:rPr>
          <w:iCs/>
        </w:rPr>
        <w:t>e koje postoje u</w:t>
      </w:r>
      <w:r w:rsidR="005A5CE9" w:rsidRPr="006C4F67">
        <w:t xml:space="preserve"> </w:t>
      </w:r>
      <w:r w:rsidRPr="006C4F67">
        <w:t xml:space="preserve">hrvatskom društvu </w:t>
      </w:r>
      <w:r w:rsidR="005A5CE9" w:rsidRPr="006C4F67">
        <w:t>društva</w:t>
      </w:r>
      <w:r w:rsidRPr="006C4F67">
        <w:t xml:space="preserve"> i na hrvatskom tržištu rada. Jedna takva polarizacija jest</w:t>
      </w:r>
      <w:r w:rsidR="005A5CE9" w:rsidRPr="00B74757">
        <w:t xml:space="preserve"> na zaposlene </w:t>
      </w:r>
      <w:r w:rsidRPr="00B74757">
        <w:t xml:space="preserve">radnike koji rade temeljem ugovora o radu na neodređeno vrijeme u punom radnom vremenu i na ostale: </w:t>
      </w:r>
      <w:r w:rsidR="005A5CE9" w:rsidRPr="00B74757">
        <w:rPr>
          <w:iCs/>
        </w:rPr>
        <w:t>ne</w:t>
      </w:r>
      <w:r w:rsidR="005A5CE9" w:rsidRPr="009769E7">
        <w:t>zaposlene</w:t>
      </w:r>
      <w:r w:rsidRPr="004D0AD5">
        <w:t xml:space="preserve">, </w:t>
      </w:r>
      <w:r w:rsidR="005A5CE9" w:rsidRPr="00E1401E">
        <w:t>zaposlene</w:t>
      </w:r>
      <w:r w:rsidRPr="00E1401E">
        <w:t xml:space="preserve"> radnike temeljem ugovora o radu </w:t>
      </w:r>
      <w:r w:rsidR="005A5CE9" w:rsidRPr="00E1401E">
        <w:t>na određeno vrijeme</w:t>
      </w:r>
      <w:r w:rsidRPr="00D00975">
        <w:t xml:space="preserve">, u nepunom radnom vremenu, na </w:t>
      </w:r>
      <w:r w:rsidR="005A5CE9" w:rsidRPr="00D00975">
        <w:t>sezonskim poslovima</w:t>
      </w:r>
      <w:r w:rsidRPr="00A26596">
        <w:t xml:space="preserve"> i sl.</w:t>
      </w:r>
      <w:r w:rsidR="005A5CE9" w:rsidRPr="008B2ED7">
        <w:t xml:space="preserve"> </w:t>
      </w:r>
      <w:r w:rsidRPr="008B2ED7">
        <w:t>Druga je polarizacija s obzirom na poslodavce na: uspješne poslodavce koji isplaćuju izdašne otpremnine i manje uspješne poslodavce koji se suočavaju sa st</w:t>
      </w:r>
      <w:r w:rsidR="006E6C71" w:rsidRPr="008B2ED7">
        <w:t>e</w:t>
      </w:r>
      <w:r w:rsidRPr="008B2ED7">
        <w:t xml:space="preserve">čajem i likvidacijom, čiji </w:t>
      </w:r>
      <w:r w:rsidR="005A5CE9" w:rsidRPr="008B2ED7">
        <w:t xml:space="preserve">radnici ne samo da ne </w:t>
      </w:r>
      <w:r w:rsidRPr="008B2ED7">
        <w:t>primaju</w:t>
      </w:r>
      <w:r w:rsidR="005A5CE9" w:rsidRPr="008B2ED7">
        <w:t xml:space="preserve"> otpremnine, </w:t>
      </w:r>
      <w:r w:rsidRPr="007544D9">
        <w:t>već</w:t>
      </w:r>
      <w:r w:rsidR="005A5CE9" w:rsidRPr="007544D9">
        <w:t xml:space="preserve"> </w:t>
      </w:r>
      <w:r w:rsidRPr="007B61AF">
        <w:t xml:space="preserve">im se počesto ne isplate niti sve dugovane </w:t>
      </w:r>
      <w:r w:rsidR="005A5CE9" w:rsidRPr="00B4742D">
        <w:t>plać</w:t>
      </w:r>
      <w:r w:rsidRPr="00B4742D">
        <w:t xml:space="preserve">e. To bi </w:t>
      </w:r>
      <w:r w:rsidR="00A057C9" w:rsidRPr="00B4742D">
        <w:t xml:space="preserve">moglo popraviti </w:t>
      </w:r>
      <w:r w:rsidR="005A5CE9" w:rsidRPr="00B4742D">
        <w:t>socijaln</w:t>
      </w:r>
      <w:r w:rsidR="00A057C9" w:rsidRPr="00B4742D">
        <w:t>u</w:t>
      </w:r>
      <w:r w:rsidR="005A5CE9" w:rsidRPr="00B4742D">
        <w:t xml:space="preserve"> slik</w:t>
      </w:r>
      <w:r w:rsidR="00A057C9" w:rsidRPr="00B4742D">
        <w:t>u</w:t>
      </w:r>
      <w:r w:rsidR="005A5CE9" w:rsidRPr="00B4742D">
        <w:t xml:space="preserve">, </w:t>
      </w:r>
      <w:r w:rsidR="00A057C9" w:rsidRPr="00B4742D">
        <w:t>što osobito u svjetlu najavljene fleksibilizacije može popraviti elemente sigurnosti i pravednosti na tržištu rada</w:t>
      </w:r>
      <w:r w:rsidR="005A5CE9" w:rsidRPr="00B4742D">
        <w:t xml:space="preserve">. </w:t>
      </w:r>
    </w:p>
    <w:p w:rsidR="005A5CE9" w:rsidRPr="00B4742D" w:rsidRDefault="005A5CE9" w:rsidP="005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A057C9" w:rsidRPr="00B4742D" w:rsidRDefault="0095780E" w:rsidP="005A5CE9">
      <w:pPr>
        <w:spacing w:line="240" w:lineRule="auto"/>
        <w:rPr>
          <w:rFonts w:eastAsia="Calibri"/>
        </w:rPr>
      </w:pPr>
      <w:r w:rsidRPr="00B4742D">
        <w:rPr>
          <w:rFonts w:eastAsia="Calibri"/>
        </w:rPr>
        <w:lastRenderedPageBreak/>
        <w:t>Ujedno</w:t>
      </w:r>
      <w:r w:rsidR="00A057C9" w:rsidRPr="00B4742D">
        <w:rPr>
          <w:rFonts w:eastAsia="Calibri"/>
        </w:rPr>
        <w:t>, valja na umu imati i određene nedostatke takvog puta. Na ovaj bi se način dodatno povećali troškovi rada, ali istovremeno i razlika između poslodavčevog troška i radnikove neto plaće (</w:t>
      </w:r>
      <w:r w:rsidR="005A5CE9" w:rsidRPr="00B4742D">
        <w:rPr>
          <w:rFonts w:eastAsia="Calibri"/>
        </w:rPr>
        <w:t>porezni klin</w:t>
      </w:r>
      <w:r w:rsidR="00A057C9" w:rsidRPr="00B4742D">
        <w:rPr>
          <w:rFonts w:eastAsia="Calibri"/>
        </w:rPr>
        <w:t xml:space="preserve">). Istom bi činjenica da </w:t>
      </w:r>
      <w:r w:rsidR="005A5CE9" w:rsidRPr="00B4742D">
        <w:rPr>
          <w:rFonts w:eastAsia="Calibri"/>
        </w:rPr>
        <w:t>troškov</w:t>
      </w:r>
      <w:r w:rsidR="00A057C9" w:rsidRPr="00B4742D">
        <w:rPr>
          <w:rFonts w:eastAsia="Calibri"/>
        </w:rPr>
        <w:t>e</w:t>
      </w:r>
      <w:r w:rsidR="005A5CE9" w:rsidRPr="00B4742D">
        <w:rPr>
          <w:rFonts w:eastAsia="Calibri"/>
        </w:rPr>
        <w:t xml:space="preserve"> </w:t>
      </w:r>
      <w:r w:rsidR="00A057C9" w:rsidRPr="00B4742D">
        <w:rPr>
          <w:rFonts w:eastAsia="Calibri"/>
        </w:rPr>
        <w:t xml:space="preserve">prestanaka ugovora o radu ne snose poslodavci mogla dovesti do toga da takav sustav otpremnina izgubi ulogu </w:t>
      </w:r>
      <w:r w:rsidR="00B4742D" w:rsidRPr="00B4742D">
        <w:rPr>
          <w:rFonts w:eastAsia="Calibri"/>
        </w:rPr>
        <w:t>zaprečivanja</w:t>
      </w:r>
      <w:r w:rsidR="00A057C9" w:rsidRPr="00B4742D">
        <w:rPr>
          <w:rFonts w:eastAsia="Calibri"/>
        </w:rPr>
        <w:t xml:space="preserve"> otkazivanja ugovora o radu. Dodatno je pitanje i prelaznog razdoblja u kojem bi val</w:t>
      </w:r>
      <w:r w:rsidR="006E6C71" w:rsidRPr="00B4742D">
        <w:rPr>
          <w:rFonts w:eastAsia="Calibri"/>
        </w:rPr>
        <w:t>j</w:t>
      </w:r>
      <w:r w:rsidR="00A057C9" w:rsidRPr="00B4742D">
        <w:rPr>
          <w:rFonts w:eastAsia="Calibri"/>
        </w:rPr>
        <w:t>a</w:t>
      </w:r>
      <w:r w:rsidR="006E6C71" w:rsidRPr="00B4742D">
        <w:rPr>
          <w:rFonts w:eastAsia="Calibri"/>
        </w:rPr>
        <w:t>l</w:t>
      </w:r>
      <w:r w:rsidR="00A057C9" w:rsidRPr="00B4742D">
        <w:rPr>
          <w:rFonts w:eastAsia="Calibri"/>
        </w:rPr>
        <w:t xml:space="preserve">o doprinosima alimentirati </w:t>
      </w:r>
      <w:r w:rsidR="005A5CE9" w:rsidRPr="00B4742D">
        <w:rPr>
          <w:rFonts w:eastAsia="Calibri"/>
        </w:rPr>
        <w:t>fond</w:t>
      </w:r>
      <w:r w:rsidR="00A057C9" w:rsidRPr="00B4742D">
        <w:rPr>
          <w:rFonts w:eastAsia="Calibri"/>
        </w:rPr>
        <w:t xml:space="preserve"> otpremnina, ali bi trebalo jamčiti i isplatu dosegnutih razina otpremnina, jer bez toga teško da bi sustav bio prihvatljiv za sindikate.</w:t>
      </w:r>
      <w:r w:rsidR="005A5CE9" w:rsidRPr="00B4742D">
        <w:rPr>
          <w:rFonts w:eastAsia="Calibri"/>
        </w:rPr>
        <w:t xml:space="preserve"> </w:t>
      </w:r>
    </w:p>
    <w:p w:rsidR="00A057C9" w:rsidRPr="00B4742D" w:rsidRDefault="00A057C9" w:rsidP="005A5CE9">
      <w:pPr>
        <w:spacing w:line="240" w:lineRule="auto"/>
        <w:rPr>
          <w:rFonts w:eastAsia="Calibri"/>
        </w:rPr>
      </w:pPr>
    </w:p>
    <w:p w:rsidR="009449B0" w:rsidRPr="00B4742D" w:rsidRDefault="00A057C9" w:rsidP="005A5CE9">
      <w:pPr>
        <w:spacing w:line="240" w:lineRule="auto"/>
        <w:rPr>
          <w:rFonts w:eastAsia="Calibri"/>
        </w:rPr>
      </w:pPr>
      <w:r w:rsidRPr="00B4742D">
        <w:rPr>
          <w:rFonts w:eastAsia="Calibri"/>
        </w:rPr>
        <w:t xml:space="preserve">Pitanje uporabe fonda otpremnina također se nameće kao važno pitanje. Koliko bi i kako poslodavci uplaćivali u fond otpremnina u uvjetima </w:t>
      </w:r>
      <w:r w:rsidR="00B4742D" w:rsidRPr="00B4742D">
        <w:rPr>
          <w:rFonts w:eastAsia="Calibri"/>
        </w:rPr>
        <w:t>nelikvidnosti</w:t>
      </w:r>
      <w:r w:rsidRPr="00B4742D">
        <w:rPr>
          <w:rFonts w:eastAsia="Calibri"/>
        </w:rPr>
        <w:t>, pitanje je koje bi se moglo riješiti, no ishodi poslovanja fonda u uvjetima gospodarske krize, ulaganja i prinosi na ulaganja</w:t>
      </w:r>
      <w:r w:rsidR="009449B0" w:rsidRPr="00B4742D">
        <w:rPr>
          <w:rFonts w:eastAsia="Calibri"/>
        </w:rPr>
        <w:t>, na to pitanje ne postoji sasvim jasan i izvjestan odgovor ili procjena.</w:t>
      </w:r>
    </w:p>
    <w:p w:rsidR="009449B0" w:rsidRPr="00B4742D" w:rsidRDefault="009449B0" w:rsidP="005A5CE9">
      <w:pPr>
        <w:spacing w:line="240" w:lineRule="auto"/>
        <w:rPr>
          <w:rFonts w:eastAsia="Calibri"/>
        </w:rPr>
      </w:pPr>
    </w:p>
    <w:p w:rsidR="005A5CE9" w:rsidRPr="00B4742D" w:rsidRDefault="009449B0" w:rsidP="005A5CE9">
      <w:pPr>
        <w:spacing w:line="240" w:lineRule="auto"/>
      </w:pPr>
      <w:r w:rsidRPr="00B4742D">
        <w:rPr>
          <w:rFonts w:eastAsia="Calibri"/>
        </w:rPr>
        <w:t xml:space="preserve">Sve navedeno ukazuje na potrebu odmjerenog i promišljenog pristupa u kojem bi se, prema ovdje predloženom hodogramu zaključaka, trebalo analizirati postojeće stanje i njegove elemente, </w:t>
      </w:r>
      <w:r w:rsidR="005A5CE9" w:rsidRPr="00B4742D">
        <w:rPr>
          <w:rFonts w:eastAsia="Calibri"/>
        </w:rPr>
        <w:t>proučiti sva raspoloživa iskustva</w:t>
      </w:r>
      <w:r w:rsidRPr="00B4742D">
        <w:rPr>
          <w:rFonts w:eastAsia="Calibri"/>
        </w:rPr>
        <w:t xml:space="preserve"> i modele te izbjeći bilo kakvo </w:t>
      </w:r>
      <w:r w:rsidRPr="007544D9">
        <w:rPr>
          <w:rFonts w:eastAsia="Calibri"/>
        </w:rPr>
        <w:t xml:space="preserve">žurno odlučivanje o drastičnim promjenama </w:t>
      </w:r>
      <w:r w:rsidR="005A5CE9" w:rsidRPr="007544D9">
        <w:rPr>
          <w:rFonts w:eastAsia="Calibri"/>
        </w:rPr>
        <w:t>postojećeg</w:t>
      </w:r>
      <w:r w:rsidRPr="007544D9">
        <w:rPr>
          <w:rFonts w:eastAsia="Calibri"/>
        </w:rPr>
        <w:t xml:space="preserve"> stanja</w:t>
      </w:r>
      <w:r w:rsidR="005A5CE9" w:rsidRPr="00B4742D">
        <w:rPr>
          <w:rFonts w:eastAsia="Calibri"/>
        </w:rPr>
        <w:t>.</w:t>
      </w:r>
    </w:p>
    <w:p w:rsidR="005A5CE9" w:rsidRPr="00B4742D" w:rsidRDefault="005A5CE9" w:rsidP="005A5CE9">
      <w:pPr>
        <w:spacing w:line="240" w:lineRule="auto"/>
      </w:pPr>
    </w:p>
    <w:p w:rsidR="0082108F" w:rsidRPr="00B4742D" w:rsidRDefault="00DF5C5C" w:rsidP="0082108F">
      <w:pPr>
        <w:pStyle w:val="Heading1"/>
      </w:pPr>
      <w:bookmarkStart w:id="40" w:name="_Toc365828857"/>
      <w:r w:rsidRPr="00B4742D">
        <w:t>10</w:t>
      </w:r>
      <w:r w:rsidR="0082108F" w:rsidRPr="00B4742D">
        <w:t>. L</w:t>
      </w:r>
      <w:r w:rsidR="00FC0041" w:rsidRPr="00B4742D">
        <w:t>i</w:t>
      </w:r>
      <w:r w:rsidR="0082108F" w:rsidRPr="00B4742D">
        <w:t>teratura</w:t>
      </w:r>
      <w:bookmarkEnd w:id="40"/>
    </w:p>
    <w:p w:rsidR="00DE3EC7" w:rsidRPr="00B4742D" w:rsidRDefault="00DE3EC7" w:rsidP="0087508D"/>
    <w:p w:rsidR="00DE3EC7" w:rsidRPr="00B4742D" w:rsidRDefault="00DE3EC7" w:rsidP="00DF5C5C">
      <w:pPr>
        <w:pStyle w:val="Reference"/>
        <w:spacing w:after="0" w:line="240" w:lineRule="auto"/>
        <w:ind w:left="0" w:firstLine="0"/>
        <w:rPr>
          <w:rFonts w:ascii="Times New Roman" w:hAnsi="Times New Roman" w:cs="Times New Roman"/>
          <w:sz w:val="24"/>
          <w:szCs w:val="24"/>
        </w:rPr>
      </w:pPr>
      <w:r w:rsidRPr="00B4742D">
        <w:rPr>
          <w:rFonts w:ascii="Times New Roman" w:hAnsi="Times New Roman" w:cs="Times New Roman"/>
          <w:sz w:val="24"/>
          <w:szCs w:val="24"/>
        </w:rPr>
        <w:t xml:space="preserve">Abfertigungen im Spannungsfeld der Wirtschaftspolitik </w:t>
      </w:r>
      <w:r w:rsidRPr="00B4742D">
        <w:rPr>
          <w:rFonts w:ascii="Times New Roman" w:hAnsi="Times New Roman" w:cs="Times New Roman"/>
          <w:sz w:val="24"/>
          <w:szCs w:val="24"/>
        </w:rPr>
        <w:noBreakHyphen/>
        <w:t xml:space="preserve"> Eine interdisziplinäre Analyse (ur. Genser, Bernd). Beč: Manz, 1987.</w:t>
      </w:r>
    </w:p>
    <w:p w:rsidR="00DE3EC7" w:rsidRPr="00B4742D" w:rsidRDefault="00DE3EC7" w:rsidP="00DF5C5C">
      <w:pPr>
        <w:pStyle w:val="FootnoteText"/>
        <w:rPr>
          <w:sz w:val="24"/>
          <w:szCs w:val="24"/>
        </w:rPr>
      </w:pPr>
      <w:r w:rsidRPr="00B4742D">
        <w:rPr>
          <w:sz w:val="24"/>
          <w:szCs w:val="24"/>
        </w:rPr>
        <w:t xml:space="preserve">Babić, Vera </w:t>
      </w:r>
      <w:r w:rsidRPr="00B4742D">
        <w:rPr>
          <w:i/>
          <w:sz w:val="24"/>
          <w:szCs w:val="24"/>
        </w:rPr>
        <w:t>et al.</w:t>
      </w:r>
      <w:r w:rsidRPr="00B4742D">
        <w:rPr>
          <w:sz w:val="24"/>
          <w:szCs w:val="24"/>
        </w:rPr>
        <w:t xml:space="preserve"> Veliki komentar novog Zakona o radu. Zagreb: Vaša knjiga, 2010.</w:t>
      </w:r>
    </w:p>
    <w:p w:rsidR="00DE3EC7" w:rsidRPr="00B4742D" w:rsidRDefault="00DE3EC7" w:rsidP="00DF5C5C">
      <w:pPr>
        <w:pStyle w:val="FootnoteText"/>
        <w:rPr>
          <w:sz w:val="24"/>
          <w:szCs w:val="24"/>
        </w:rPr>
      </w:pPr>
      <w:r w:rsidRPr="00B4742D">
        <w:rPr>
          <w:sz w:val="24"/>
          <w:szCs w:val="24"/>
        </w:rPr>
        <w:t>Bassanini, Anarea; Nunziata, Luca; Venn, Danniele. Job Protection Legislation and Productivity Growth in OECD Countries. Economic Policy, 2009., 58.</w:t>
      </w:r>
    </w:p>
    <w:p w:rsidR="00DE3EC7" w:rsidRPr="00E1401E" w:rsidRDefault="00DE3EC7" w:rsidP="00DF5C5C">
      <w:pPr>
        <w:pStyle w:val="FootnoteText"/>
        <w:rPr>
          <w:sz w:val="24"/>
          <w:szCs w:val="24"/>
        </w:rPr>
      </w:pPr>
      <w:r w:rsidRPr="00B4742D">
        <w:rPr>
          <w:sz w:val="24"/>
          <w:szCs w:val="24"/>
        </w:rPr>
        <w:t xml:space="preserve">Bejaković, Predrag. Poteškoće oko mogućeg osnivanja posebnog fonda za otpremnine. </w:t>
      </w:r>
      <w:r w:rsidRPr="00E1401E">
        <w:rPr>
          <w:sz w:val="24"/>
          <w:szCs w:val="24"/>
        </w:rPr>
        <w:t>Radno pravo – Stručni časopis, 10, 2013., 5.</w:t>
      </w:r>
    </w:p>
    <w:p w:rsidR="00DE3EC7" w:rsidRPr="00D00975" w:rsidRDefault="00DE3EC7" w:rsidP="00DF5C5C">
      <w:pPr>
        <w:pStyle w:val="FootnoteText"/>
        <w:rPr>
          <w:sz w:val="24"/>
          <w:szCs w:val="24"/>
        </w:rPr>
      </w:pPr>
      <w:r w:rsidRPr="00D00975">
        <w:rPr>
          <w:sz w:val="24"/>
          <w:szCs w:val="24"/>
        </w:rPr>
        <w:t>Boeri, Tito; Garibaldi, Pietro. Beyond Eurosclerosis. Economic Policy, 24, 2009., 7.</w:t>
      </w:r>
    </w:p>
    <w:p w:rsidR="00DE3EC7" w:rsidRPr="008B2ED7" w:rsidRDefault="00DE3EC7" w:rsidP="00DF5C5C">
      <w:pPr>
        <w:pStyle w:val="FootnoteText"/>
        <w:rPr>
          <w:sz w:val="24"/>
          <w:szCs w:val="24"/>
        </w:rPr>
      </w:pPr>
      <w:r w:rsidRPr="008B2ED7">
        <w:rPr>
          <w:sz w:val="24"/>
          <w:szCs w:val="24"/>
        </w:rPr>
        <w:t xml:space="preserve">Božina, Anja </w:t>
      </w:r>
      <w:r w:rsidRPr="008B2ED7">
        <w:rPr>
          <w:i/>
          <w:sz w:val="24"/>
          <w:szCs w:val="24"/>
        </w:rPr>
        <w:t>et al.</w:t>
      </w:r>
      <w:r w:rsidRPr="008B2ED7">
        <w:rPr>
          <w:sz w:val="24"/>
          <w:szCs w:val="24"/>
        </w:rPr>
        <w:t xml:space="preserve"> Radni odnosi - Primjena Zakona o radu: RRiF plus d.o.o., 2010.</w:t>
      </w:r>
    </w:p>
    <w:p w:rsidR="00E1401E" w:rsidRPr="00E1401E" w:rsidRDefault="00E1401E" w:rsidP="00DF5C5C">
      <w:pPr>
        <w:pStyle w:val="FootnoteText"/>
        <w:rPr>
          <w:color w:val="auto"/>
          <w:sz w:val="24"/>
          <w:szCs w:val="24"/>
        </w:rPr>
      </w:pPr>
      <w:r w:rsidRPr="00E1401E">
        <w:rPr>
          <w:sz w:val="24"/>
          <w:szCs w:val="24"/>
        </w:rPr>
        <w:t>Bulaš, Ivo. Dokup mirovine – vrsta otpremnine. Radno pravo – Stručni časopis, 8, 2013., 4.</w:t>
      </w:r>
    </w:p>
    <w:p w:rsidR="00DE3EC7" w:rsidRPr="008B2ED7" w:rsidRDefault="00DE3EC7" w:rsidP="00DF5C5C">
      <w:pPr>
        <w:pStyle w:val="FootnoteText"/>
        <w:rPr>
          <w:color w:val="auto"/>
          <w:sz w:val="24"/>
          <w:szCs w:val="24"/>
        </w:rPr>
      </w:pPr>
      <w:r w:rsidRPr="00E1401E">
        <w:rPr>
          <w:color w:val="auto"/>
          <w:sz w:val="24"/>
          <w:szCs w:val="24"/>
        </w:rPr>
        <w:t xml:space="preserve">Davis, Steven J.; Haltiwanger, John. </w:t>
      </w:r>
      <w:hyperlink r:id="rId23" w:history="1">
        <w:r w:rsidRPr="00E1401E">
          <w:rPr>
            <w:bCs w:val="0"/>
            <w:color w:val="auto"/>
            <w:sz w:val="24"/>
            <w:szCs w:val="24"/>
          </w:rPr>
          <w:t>Sectoral Job Creation and Destruction Responses to Oil Price Changes</w:t>
        </w:r>
      </w:hyperlink>
      <w:r w:rsidRPr="00D00975">
        <w:rPr>
          <w:bCs w:val="0"/>
          <w:color w:val="auto"/>
          <w:sz w:val="24"/>
          <w:szCs w:val="24"/>
        </w:rPr>
        <w:t xml:space="preserve"> (</w:t>
      </w:r>
      <w:hyperlink r:id="rId24" w:history="1">
        <w:r w:rsidRPr="008B2ED7">
          <w:rPr>
            <w:color w:val="auto"/>
            <w:sz w:val="24"/>
            <w:szCs w:val="24"/>
          </w:rPr>
          <w:t>NBER Working Papers</w:t>
        </w:r>
      </w:hyperlink>
      <w:r w:rsidRPr="008B2ED7">
        <w:rPr>
          <w:color w:val="auto"/>
          <w:sz w:val="24"/>
          <w:szCs w:val="24"/>
        </w:rPr>
        <w:t xml:space="preserve"> 7095). Cambridge: National Bureau of Economic Research Inc., 1999.</w:t>
      </w:r>
    </w:p>
    <w:p w:rsidR="00EB67A0" w:rsidRDefault="00EB67A0" w:rsidP="00DF5C5C">
      <w:pPr>
        <w:pStyle w:val="Reference"/>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Crnić, Ivica. Otkaz ugovora o radu. Zagreb: Organizator, 2013.</w:t>
      </w:r>
    </w:p>
    <w:p w:rsidR="00DE3EC7" w:rsidRPr="009336BF" w:rsidRDefault="00DE3EC7" w:rsidP="00DF5C5C">
      <w:pPr>
        <w:pStyle w:val="Reference"/>
        <w:spacing w:after="0" w:line="240" w:lineRule="auto"/>
        <w:ind w:left="0" w:firstLine="0"/>
        <w:rPr>
          <w:rFonts w:ascii="Times New Roman" w:hAnsi="Times New Roman" w:cs="Times New Roman"/>
          <w:sz w:val="24"/>
          <w:szCs w:val="24"/>
        </w:rPr>
      </w:pPr>
      <w:r w:rsidRPr="00EB67A0">
        <w:rPr>
          <w:rFonts w:ascii="Times New Roman" w:hAnsi="Times New Roman" w:cs="Times New Roman"/>
          <w:sz w:val="24"/>
          <w:szCs w:val="24"/>
        </w:rPr>
        <w:t>Europan Industral Relations Observatory. Reform of Severance Pay under Discussion. Dublin: Europan Industral Relations Observatory, 2001. (do</w:t>
      </w:r>
      <w:r w:rsidRPr="009336BF">
        <w:rPr>
          <w:rFonts w:ascii="Times New Roman" w:hAnsi="Times New Roman" w:cs="Times New Roman"/>
          <w:sz w:val="24"/>
          <w:szCs w:val="24"/>
        </w:rPr>
        <w:t>stupno na: www.eiro.eurofound.ie/2001/06/inbrief/at0106220n.html).</w:t>
      </w:r>
    </w:p>
    <w:p w:rsidR="00DE3EC7" w:rsidRPr="00B4742D" w:rsidRDefault="00DE3EC7" w:rsidP="008D0FF0">
      <w:pPr>
        <w:pStyle w:val="FootnoteText"/>
        <w:rPr>
          <w:sz w:val="24"/>
          <w:szCs w:val="24"/>
        </w:rPr>
      </w:pPr>
      <w:r w:rsidRPr="009336BF">
        <w:rPr>
          <w:sz w:val="24"/>
          <w:szCs w:val="24"/>
        </w:rPr>
        <w:t xml:space="preserve">Felderer, Bernhard </w:t>
      </w:r>
      <w:r w:rsidRPr="00C7332E">
        <w:rPr>
          <w:i/>
          <w:sz w:val="24"/>
          <w:szCs w:val="24"/>
        </w:rPr>
        <w:t xml:space="preserve">et al. </w:t>
      </w:r>
      <w:r w:rsidRPr="00C7332E">
        <w:rPr>
          <w:sz w:val="24"/>
          <w:szCs w:val="24"/>
        </w:rPr>
        <w:t xml:space="preserve">Perspektiven der betrieblichen Altersvorsorge in Österreich - </w:t>
      </w:r>
      <w:r w:rsidRPr="00FE70C5">
        <w:rPr>
          <w:sz w:val="24"/>
          <w:szCs w:val="24"/>
        </w:rPr>
        <w:t>Studie im Auftrag der Wirtschaftskammer Wien. Wien:</w:t>
      </w:r>
      <w:r w:rsidRPr="00B4742D">
        <w:rPr>
          <w:sz w:val="24"/>
          <w:szCs w:val="24"/>
        </w:rPr>
        <w:t xml:space="preserve"> </w:t>
      </w:r>
      <w:r w:rsidRPr="00FE70C5">
        <w:rPr>
          <w:sz w:val="24"/>
          <w:szCs w:val="24"/>
        </w:rPr>
        <w:t>Institute for Advanced Studies,</w:t>
      </w:r>
      <w:r w:rsidRPr="00B4742D">
        <w:rPr>
          <w:sz w:val="24"/>
          <w:szCs w:val="24"/>
        </w:rPr>
        <w:t xml:space="preserve"> 2008.</w:t>
      </w:r>
    </w:p>
    <w:p w:rsidR="00DE3EC7" w:rsidRPr="002017C6" w:rsidRDefault="00DE3EC7" w:rsidP="00DF5C5C">
      <w:pPr>
        <w:pStyle w:val="FootnoteText"/>
        <w:rPr>
          <w:sz w:val="24"/>
          <w:szCs w:val="24"/>
        </w:rPr>
      </w:pPr>
      <w:r w:rsidRPr="00B4742D">
        <w:rPr>
          <w:sz w:val="24"/>
          <w:szCs w:val="24"/>
        </w:rPr>
        <w:t>Glossary of Labour Law And Industrial Relations (With Special Reference to the European Union). Geneva: International Labour Office, 2005.</w:t>
      </w:r>
    </w:p>
    <w:p w:rsidR="00DE3EC7" w:rsidRPr="006C4F67" w:rsidRDefault="00DE3EC7" w:rsidP="00DF5C5C">
      <w:pPr>
        <w:tabs>
          <w:tab w:val="clear" w:pos="0"/>
          <w:tab w:val="clear" w:pos="9360"/>
        </w:tabs>
        <w:autoSpaceDE w:val="0"/>
        <w:autoSpaceDN w:val="0"/>
        <w:adjustRightInd w:val="0"/>
        <w:spacing w:line="240" w:lineRule="auto"/>
      </w:pPr>
      <w:r w:rsidRPr="00EB67A0">
        <w:t xml:space="preserve">Holzmann, Robert </w:t>
      </w:r>
      <w:r w:rsidRPr="00FE70C5">
        <w:rPr>
          <w:i/>
        </w:rPr>
        <w:t>et al.</w:t>
      </w:r>
      <w:r w:rsidRPr="00FE70C5">
        <w:t xml:space="preserve"> Severance Pay Programs around the World: </w:t>
      </w:r>
      <w:r w:rsidRPr="00FE70C5">
        <w:rPr>
          <w:bCs w:val="0"/>
          <w:color w:val="auto"/>
        </w:rPr>
        <w:t>History, Rationale, Status, and Reforms</w:t>
      </w:r>
      <w:r w:rsidRPr="009336BF">
        <w:rPr>
          <w:color w:val="auto"/>
        </w:rPr>
        <w:t xml:space="preserve">. </w:t>
      </w:r>
      <w:r w:rsidRPr="009336BF">
        <w:rPr>
          <w:bCs w:val="0"/>
          <w:color w:val="auto"/>
        </w:rPr>
        <w:t xml:space="preserve">Hirschegg; Marseille; </w:t>
      </w:r>
      <w:r w:rsidRPr="00C7332E">
        <w:rPr>
          <w:bCs w:val="0"/>
          <w:color w:val="auto"/>
        </w:rPr>
        <w:t>Pretoria; Washington</w:t>
      </w:r>
      <w:r w:rsidRPr="00C7332E">
        <w:t xml:space="preserve">: </w:t>
      </w:r>
      <w:r w:rsidRPr="00C7332E">
        <w:rPr>
          <w:bCs w:val="0"/>
          <w:color w:val="auto"/>
        </w:rPr>
        <w:t>The World Bank; IZA,</w:t>
      </w:r>
      <w:r w:rsidRPr="006C4F67">
        <w:t xml:space="preserve"> 2011.</w:t>
      </w:r>
    </w:p>
    <w:p w:rsidR="00DE3EC7" w:rsidRPr="006C4F67" w:rsidRDefault="00DE3EC7" w:rsidP="00DF5C5C">
      <w:pPr>
        <w:spacing w:line="240" w:lineRule="auto"/>
        <w:rPr>
          <w:color w:val="auto"/>
        </w:rPr>
      </w:pPr>
      <w:r w:rsidRPr="006C4F67">
        <w:lastRenderedPageBreak/>
        <w:t xml:space="preserve">Katrougalos, George S. The Implementation of Social Rights in Europe. Columbia Journal of European Law, 1996., 2, Mishra, </w:t>
      </w:r>
      <w:r w:rsidRPr="006C4F67">
        <w:rPr>
          <w:color w:val="auto"/>
        </w:rPr>
        <w:t>Ramesh. The Welfare State in Crisis: Social Thought and Social Change. Brighton: Wheatsheaf Books, 1984.</w:t>
      </w:r>
    </w:p>
    <w:p w:rsidR="00DE3EC7" w:rsidRPr="00B74757" w:rsidRDefault="00DE3EC7" w:rsidP="00DF5C5C">
      <w:pPr>
        <w:pStyle w:val="Reference"/>
        <w:spacing w:after="0" w:line="240" w:lineRule="auto"/>
        <w:ind w:left="0" w:firstLine="0"/>
        <w:rPr>
          <w:rFonts w:ascii="Times New Roman" w:hAnsi="Times New Roman" w:cs="Times New Roman"/>
          <w:sz w:val="24"/>
          <w:szCs w:val="24"/>
        </w:rPr>
      </w:pPr>
      <w:r w:rsidRPr="00B74757">
        <w:rPr>
          <w:rFonts w:ascii="Times New Roman" w:hAnsi="Times New Roman" w:cs="Times New Roman"/>
          <w:sz w:val="24"/>
          <w:szCs w:val="24"/>
        </w:rPr>
        <w:t>Klec, Gerald. Flexicurity and the Reform of the Austrian Severance-pay System. Brussels: ETUI-REHS, 2007.</w:t>
      </w:r>
    </w:p>
    <w:p w:rsidR="00DE3EC7" w:rsidRPr="00B74757" w:rsidRDefault="00DE3EC7" w:rsidP="00DF5C5C">
      <w:pPr>
        <w:pStyle w:val="FootnoteText"/>
        <w:rPr>
          <w:sz w:val="24"/>
          <w:szCs w:val="24"/>
        </w:rPr>
      </w:pPr>
      <w:r w:rsidRPr="00B74757">
        <w:rPr>
          <w:sz w:val="24"/>
          <w:szCs w:val="24"/>
        </w:rPr>
        <w:t>Kristen, Sabine; Pinggera, Winfried; Schön, Rosemarie. Abfertigung Neu: Überblick über die Neuregelungen durch das Betriebliche Mitarbeitervorsorgegesetz. Recht der Wirtschaft 2002., 7.</w:t>
      </w:r>
    </w:p>
    <w:p w:rsidR="00DE3EC7" w:rsidRPr="004D0AD5" w:rsidRDefault="00DE3EC7" w:rsidP="00DF5C5C">
      <w:pPr>
        <w:pStyle w:val="FootnoteText"/>
        <w:rPr>
          <w:sz w:val="24"/>
          <w:szCs w:val="24"/>
        </w:rPr>
      </w:pPr>
      <w:r w:rsidRPr="00B74757">
        <w:rPr>
          <w:sz w:val="24"/>
          <w:szCs w:val="24"/>
        </w:rPr>
        <w:t>Krištof, Marko. Potiču li neoporezive otpremnine prerano umirovljenje? Banka, 2011. (dostupno na: www.banka.hr/UserDocsImages/.../AMS_</w:t>
      </w:r>
      <w:r w:rsidRPr="009769E7">
        <w:rPr>
          <w:bCs w:val="0"/>
          <w:sz w:val="24"/>
          <w:szCs w:val="24"/>
        </w:rPr>
        <w:t>Kristof</w:t>
      </w:r>
      <w:r w:rsidRPr="004D0AD5">
        <w:rPr>
          <w:sz w:val="24"/>
          <w:szCs w:val="24"/>
        </w:rPr>
        <w:t>_2011-03_17.ppt).</w:t>
      </w:r>
    </w:p>
    <w:p w:rsidR="00DE3EC7" w:rsidRPr="008B2ED7" w:rsidRDefault="00DE3EC7" w:rsidP="00DF5C5C">
      <w:pPr>
        <w:pStyle w:val="FootnoteText"/>
        <w:rPr>
          <w:sz w:val="24"/>
          <w:szCs w:val="24"/>
        </w:rPr>
      </w:pPr>
      <w:r w:rsidRPr="00E1401E">
        <w:rPr>
          <w:sz w:val="24"/>
          <w:szCs w:val="24"/>
        </w:rPr>
        <w:t xml:space="preserve">Minimalna plaća </w:t>
      </w:r>
      <w:r w:rsidRPr="00E1401E">
        <w:rPr>
          <w:rFonts w:cs="Arial"/>
          <w:color w:val="auto"/>
          <w:sz w:val="24"/>
          <w:szCs w:val="24"/>
        </w:rPr>
        <w:t xml:space="preserve">za razdoblje od dana 1. lipnja 2012. godine do dana 31. svibnja 2013. godine u Republici Hrvatskoj </w:t>
      </w:r>
      <w:r w:rsidRPr="00D00975">
        <w:rPr>
          <w:sz w:val="24"/>
          <w:szCs w:val="24"/>
        </w:rPr>
        <w:t xml:space="preserve">prema objavi Državnog zavoda za statistiku </w:t>
      </w:r>
      <w:r w:rsidRPr="00A26596">
        <w:rPr>
          <w:color w:val="auto"/>
          <w:sz w:val="24"/>
          <w:szCs w:val="24"/>
        </w:rPr>
        <w:t>(Narodne novine 60/12).</w:t>
      </w:r>
    </w:p>
    <w:p w:rsidR="00DE3EC7" w:rsidRPr="008B2ED7" w:rsidRDefault="00DE3EC7" w:rsidP="00DF5C5C">
      <w:pPr>
        <w:pStyle w:val="FootnoteText"/>
        <w:tabs>
          <w:tab w:val="left" w:pos="-720"/>
        </w:tabs>
        <w:suppressAutoHyphens/>
        <w:spacing w:line="240" w:lineRule="atLeast"/>
        <w:rPr>
          <w:bCs w:val="0"/>
          <w:spacing w:val="-3"/>
          <w:sz w:val="24"/>
          <w:szCs w:val="24"/>
        </w:rPr>
      </w:pPr>
      <w:r w:rsidRPr="008B2ED7">
        <w:rPr>
          <w:spacing w:val="-2"/>
          <w:sz w:val="24"/>
          <w:szCs w:val="24"/>
        </w:rPr>
        <w:t xml:space="preserve">Mišljenje Ministarstva rada i socijalne skrbi, Klasa: 110-01/97-01/61, Urbroj: 524-02-97-2 od dana 14. ožujka 1997. </w:t>
      </w:r>
    </w:p>
    <w:p w:rsidR="00DE3EC7" w:rsidRPr="008B2ED7" w:rsidRDefault="00DE3EC7" w:rsidP="00DF5C5C">
      <w:pPr>
        <w:pStyle w:val="FootnoteText"/>
        <w:rPr>
          <w:sz w:val="24"/>
          <w:szCs w:val="24"/>
        </w:rPr>
      </w:pPr>
      <w:r w:rsidRPr="008B2ED7">
        <w:rPr>
          <w:sz w:val="24"/>
          <w:szCs w:val="24"/>
        </w:rPr>
        <w:t>Odluka Vrhovnog suda Republike Hrvatske broj Rev-1368/01 od dana 23. listopada 2001. godine.</w:t>
      </w:r>
    </w:p>
    <w:p w:rsidR="00DE3EC7" w:rsidRPr="00B4742D" w:rsidRDefault="00DE3EC7" w:rsidP="00DF5C5C">
      <w:pPr>
        <w:pStyle w:val="Reference"/>
        <w:spacing w:after="0" w:line="240" w:lineRule="auto"/>
        <w:ind w:left="0" w:firstLine="0"/>
        <w:rPr>
          <w:sz w:val="24"/>
          <w:szCs w:val="24"/>
        </w:rPr>
      </w:pPr>
      <w:r w:rsidRPr="00FE70C5">
        <w:rPr>
          <w:rFonts w:ascii="Times New Roman" w:hAnsi="Times New Roman" w:cs="Times New Roman"/>
          <w:bCs/>
          <w:sz w:val="24"/>
          <w:szCs w:val="24"/>
        </w:rPr>
        <w:t>Organisation for Economic Co-operation and Development</w:t>
      </w:r>
      <w:r w:rsidRPr="00B4742D">
        <w:rPr>
          <w:rFonts w:ascii="Times New Roman" w:hAnsi="Times New Roman" w:cs="Times New Roman"/>
          <w:sz w:val="24"/>
          <w:szCs w:val="24"/>
        </w:rPr>
        <w:t xml:space="preserve">. Employment Outlook. Pariz: </w:t>
      </w:r>
      <w:r w:rsidRPr="00FE70C5">
        <w:rPr>
          <w:rFonts w:ascii="Times New Roman" w:hAnsi="Times New Roman" w:cs="Times New Roman"/>
          <w:bCs/>
          <w:sz w:val="24"/>
          <w:szCs w:val="24"/>
        </w:rPr>
        <w:t>Organisation for Economic Co-operation and Development, 2004.</w:t>
      </w:r>
      <w:r w:rsidRPr="00FE70C5">
        <w:rPr>
          <w:b/>
          <w:bCs/>
          <w:sz w:val="24"/>
          <w:szCs w:val="24"/>
        </w:rPr>
        <w:t xml:space="preserve"> </w:t>
      </w:r>
    </w:p>
    <w:p w:rsidR="00DE3EC7" w:rsidRPr="002017C6" w:rsidRDefault="00DE3EC7" w:rsidP="00DF5C5C">
      <w:pPr>
        <w:spacing w:line="240" w:lineRule="auto"/>
        <w:rPr>
          <w:color w:val="auto"/>
        </w:rPr>
      </w:pPr>
      <w:r w:rsidRPr="00B4742D">
        <w:t>Ploug, Niels; Kvist, Jon. Social Security in Europe: Development or Dismantlement? The Hague; London; Boston: Kluwer Law International, 1996.</w:t>
      </w:r>
    </w:p>
    <w:p w:rsidR="00DE3EC7" w:rsidRPr="00C7332E" w:rsidRDefault="00DE3EC7" w:rsidP="00DF5C5C">
      <w:pPr>
        <w:pStyle w:val="FootnoteText"/>
        <w:rPr>
          <w:color w:val="auto"/>
          <w:sz w:val="24"/>
          <w:szCs w:val="24"/>
        </w:rPr>
      </w:pPr>
      <w:r w:rsidRPr="009336BF">
        <w:rPr>
          <w:sz w:val="24"/>
          <w:szCs w:val="24"/>
        </w:rPr>
        <w:t>Pravilnik o porezu na dohodak (Narodne novi</w:t>
      </w:r>
      <w:r w:rsidRPr="009336BF">
        <w:rPr>
          <w:color w:val="auto"/>
          <w:sz w:val="24"/>
          <w:szCs w:val="24"/>
        </w:rPr>
        <w:t xml:space="preserve">ne </w:t>
      </w:r>
      <w:r w:rsidRPr="00C7332E">
        <w:rPr>
          <w:iCs/>
          <w:color w:val="auto"/>
          <w:sz w:val="24"/>
          <w:szCs w:val="24"/>
        </w:rPr>
        <w:t>95/05, 96/06, 68/07, 146/08, 2/09, 9/09 - ispravak, 146/09, 123/10, 137/11, 61/12 i 79/13</w:t>
      </w:r>
      <w:r w:rsidRPr="00C7332E">
        <w:rPr>
          <w:color w:val="auto"/>
          <w:sz w:val="24"/>
          <w:szCs w:val="24"/>
        </w:rPr>
        <w:t>).</w:t>
      </w:r>
    </w:p>
    <w:p w:rsidR="00DE3EC7" w:rsidRPr="006C4F67" w:rsidRDefault="00DE3EC7" w:rsidP="00DF5C5C">
      <w:pPr>
        <w:pStyle w:val="FootnoteText"/>
        <w:rPr>
          <w:sz w:val="24"/>
          <w:szCs w:val="24"/>
        </w:rPr>
      </w:pPr>
      <w:r w:rsidRPr="006C4F67">
        <w:rPr>
          <w:sz w:val="24"/>
          <w:szCs w:val="24"/>
        </w:rPr>
        <w:t>Pravilnik o sadržaju obračuna plaće, naknade plaće ili otpremnine (Narodne novine 81/10).</w:t>
      </w:r>
    </w:p>
    <w:p w:rsidR="00DE3EC7" w:rsidRPr="006C4F67" w:rsidRDefault="00DE3EC7" w:rsidP="00DF5C5C">
      <w:pPr>
        <w:pStyle w:val="FootnoteText"/>
        <w:rPr>
          <w:sz w:val="24"/>
          <w:szCs w:val="24"/>
        </w:rPr>
      </w:pPr>
      <w:r w:rsidRPr="006C4F67">
        <w:rPr>
          <w:sz w:val="24"/>
          <w:szCs w:val="24"/>
        </w:rPr>
        <w:t>Pravni leksikon. Zagreb: Leksikografski zavod Miroslav Krleža, 2007.</w:t>
      </w:r>
    </w:p>
    <w:p w:rsidR="00DE3EC7" w:rsidRPr="00B74757" w:rsidRDefault="00DE3EC7" w:rsidP="00DF5C5C">
      <w:pPr>
        <w:spacing w:line="240" w:lineRule="auto"/>
      </w:pPr>
      <w:r w:rsidRPr="006C4F67">
        <w:t>Puljiz, Vlado</w:t>
      </w:r>
      <w:r w:rsidRPr="006C4F67">
        <w:rPr>
          <w:i/>
        </w:rPr>
        <w:t xml:space="preserve"> et al.</w:t>
      </w:r>
      <w:r w:rsidRPr="00B74757">
        <w:t xml:space="preserve"> Socijalna politika. Zagreb: Pravni fakultet, 2005.</w:t>
      </w:r>
    </w:p>
    <w:p w:rsidR="00DE3EC7" w:rsidRPr="00B74757" w:rsidRDefault="00DE3EC7" w:rsidP="00DF5C5C">
      <w:pPr>
        <w:pStyle w:val="FootnoteText"/>
        <w:rPr>
          <w:sz w:val="24"/>
          <w:szCs w:val="24"/>
        </w:rPr>
      </w:pPr>
      <w:r w:rsidRPr="00B74757">
        <w:rPr>
          <w:sz w:val="24"/>
          <w:szCs w:val="24"/>
        </w:rPr>
        <w:t>Radni odnosi u Republici Hrvatskoj (ur. Potočnjak, Željko). Zagreb: Pravni fakultet u Zagrebu; Organizator, 2007.</w:t>
      </w:r>
    </w:p>
    <w:p w:rsidR="00DE3EC7" w:rsidRPr="00B74757" w:rsidRDefault="00DE3EC7" w:rsidP="00DF5C5C">
      <w:pPr>
        <w:pStyle w:val="FootnoteText"/>
        <w:rPr>
          <w:sz w:val="24"/>
          <w:szCs w:val="24"/>
        </w:rPr>
      </w:pPr>
      <w:r w:rsidRPr="00B74757">
        <w:rPr>
          <w:sz w:val="24"/>
          <w:szCs w:val="24"/>
        </w:rPr>
        <w:t>Ravnić, Anton. Osnove radnog prava – domaćeg, usporednog i međunarodnog. Zagreb: Pravni fakultet, 2004.</w:t>
      </w:r>
    </w:p>
    <w:p w:rsidR="00DE3EC7" w:rsidRPr="00E1401E" w:rsidRDefault="00DE3EC7" w:rsidP="00DF5C5C">
      <w:pPr>
        <w:spacing w:line="240" w:lineRule="auto"/>
        <w:rPr>
          <w:rFonts w:cs="Arial"/>
          <w:color w:val="auto"/>
        </w:rPr>
      </w:pPr>
      <w:r w:rsidRPr="009769E7">
        <w:rPr>
          <w:color w:val="auto"/>
        </w:rPr>
        <w:t xml:space="preserve">Ravnić, Anton. Socijalna država i država blagostanja, </w:t>
      </w:r>
      <w:r w:rsidRPr="004D0AD5">
        <w:rPr>
          <w:color w:val="auto"/>
        </w:rPr>
        <w:t xml:space="preserve">u: </w:t>
      </w:r>
      <w:r w:rsidRPr="004D0AD5">
        <w:t>Hrvatska kao socijalna država: Zadanosti i usmjerenja (ur. Bahtijari, Hašim). Zagreb: Centar za industrijsku demokraciju SSSH, 1997.</w:t>
      </w:r>
    </w:p>
    <w:p w:rsidR="00DE3EC7" w:rsidRPr="008B2ED7" w:rsidRDefault="00DE3EC7" w:rsidP="00DF5C5C">
      <w:pPr>
        <w:pStyle w:val="FootnoteText"/>
        <w:rPr>
          <w:sz w:val="24"/>
          <w:szCs w:val="24"/>
        </w:rPr>
      </w:pPr>
      <w:r w:rsidRPr="00D00975">
        <w:rPr>
          <w:sz w:val="24"/>
          <w:szCs w:val="24"/>
        </w:rPr>
        <w:t>Reforming Severance Pay (ur. Holzmann, Robert; Vodopivec, Milan)</w:t>
      </w:r>
      <w:r w:rsidRPr="00A26596">
        <w:rPr>
          <w:sz w:val="24"/>
          <w:szCs w:val="24"/>
        </w:rPr>
        <w:t xml:space="preserve">. Washington: </w:t>
      </w:r>
      <w:r w:rsidRPr="008B2ED7">
        <w:rPr>
          <w:bCs w:val="0"/>
          <w:color w:val="auto"/>
          <w:sz w:val="24"/>
          <w:szCs w:val="24"/>
        </w:rPr>
        <w:t>The International Bank for Reconstruction and Development; The World Bank,</w:t>
      </w:r>
      <w:r w:rsidRPr="008B2ED7">
        <w:rPr>
          <w:sz w:val="24"/>
          <w:szCs w:val="24"/>
        </w:rPr>
        <w:t xml:space="preserve"> 2012.</w:t>
      </w:r>
    </w:p>
    <w:p w:rsidR="00DE3EC7" w:rsidRPr="008B2ED7" w:rsidRDefault="00DE3EC7" w:rsidP="00DF5C5C">
      <w:pPr>
        <w:pStyle w:val="FootnoteText"/>
        <w:rPr>
          <w:sz w:val="24"/>
          <w:szCs w:val="24"/>
        </w:rPr>
      </w:pPr>
      <w:r w:rsidRPr="008B2ED7">
        <w:rPr>
          <w:sz w:val="24"/>
          <w:szCs w:val="24"/>
        </w:rPr>
        <w:t>Stečajni zakon (Narodne novine 44/96, 29/99, 129/00, 123/03, 82/06, 116/10, 25/12 i 133/12).</w:t>
      </w:r>
    </w:p>
    <w:p w:rsidR="00DE3EC7" w:rsidRPr="008B2ED7" w:rsidRDefault="00DE3EC7" w:rsidP="00DF5C5C">
      <w:pPr>
        <w:pStyle w:val="FootnoteText"/>
        <w:rPr>
          <w:sz w:val="24"/>
          <w:szCs w:val="24"/>
        </w:rPr>
      </w:pPr>
      <w:r w:rsidRPr="008B2ED7">
        <w:rPr>
          <w:sz w:val="24"/>
          <w:szCs w:val="24"/>
        </w:rPr>
        <w:t>Temeljni kolektivni ugovor za službenike i namještenike u javnim službama (Narodne novine 141/12).</w:t>
      </w:r>
    </w:p>
    <w:p w:rsidR="00EB2A7C" w:rsidRPr="00FE70C5" w:rsidRDefault="00EB2A7C" w:rsidP="00EB2A7C">
      <w:pPr>
        <w:spacing w:line="240" w:lineRule="auto"/>
        <w:rPr>
          <w:iCs/>
        </w:rPr>
      </w:pPr>
      <w:r w:rsidRPr="00B4742D">
        <w:t>Urban, I</w:t>
      </w:r>
      <w:r w:rsidR="000711F4" w:rsidRPr="00B4742D">
        <w:t>vica</w:t>
      </w:r>
      <w:r w:rsidRPr="00B4742D">
        <w:t xml:space="preserve">. Što porez na dohodak u Hrvatskoj čini progresivnim? </w:t>
      </w:r>
      <w:r w:rsidRPr="00B4742D">
        <w:rPr>
          <w:bCs w:val="0"/>
          <w:iCs/>
        </w:rPr>
        <w:t xml:space="preserve">Newsletter Instituta za javne financije, </w:t>
      </w:r>
      <w:r w:rsidR="000711F4" w:rsidRPr="00B4742D">
        <w:rPr>
          <w:bCs w:val="0"/>
          <w:iCs/>
        </w:rPr>
        <w:t xml:space="preserve">2006., </w:t>
      </w:r>
      <w:r w:rsidRPr="00FE70C5">
        <w:rPr>
          <w:bCs w:val="0"/>
          <w:iCs/>
        </w:rPr>
        <w:t xml:space="preserve">23. </w:t>
      </w:r>
      <w:r w:rsidR="000711F4" w:rsidRPr="00FE70C5">
        <w:rPr>
          <w:bCs w:val="0"/>
          <w:iCs/>
        </w:rPr>
        <w:t>(</w:t>
      </w:r>
      <w:r w:rsidRPr="00FE70C5">
        <w:rPr>
          <w:bCs w:val="0"/>
          <w:iCs/>
        </w:rPr>
        <w:t>dostupno na</w:t>
      </w:r>
      <w:r w:rsidR="000711F4" w:rsidRPr="00FE70C5">
        <w:rPr>
          <w:bCs w:val="0"/>
          <w:iCs/>
        </w:rPr>
        <w:t>:</w:t>
      </w:r>
      <w:r w:rsidRPr="00FE70C5">
        <w:rPr>
          <w:bCs w:val="0"/>
          <w:iCs/>
        </w:rPr>
        <w:t xml:space="preserve"> </w:t>
      </w:r>
      <w:r w:rsidR="000711F4" w:rsidRPr="00FE70C5">
        <w:rPr>
          <w:iCs/>
        </w:rPr>
        <w:t>www.ijf.hr/newsletter/23.pdf).</w:t>
      </w:r>
      <w:r w:rsidRPr="00FE70C5">
        <w:rPr>
          <w:iCs/>
        </w:rPr>
        <w:t xml:space="preserve"> </w:t>
      </w:r>
    </w:p>
    <w:p w:rsidR="00EB2A7C" w:rsidRPr="00FE70C5" w:rsidRDefault="00EB2A7C" w:rsidP="00EB2A7C">
      <w:pPr>
        <w:spacing w:line="240" w:lineRule="auto"/>
      </w:pPr>
      <w:r w:rsidRPr="00FE70C5">
        <w:t>Urban, I</w:t>
      </w:r>
      <w:r w:rsidR="000711F4" w:rsidRPr="00FE70C5">
        <w:t>vica</w:t>
      </w:r>
      <w:r w:rsidRPr="00FE70C5">
        <w:t>. Raspodjela poreznog opterećenja u Hrvatskoj</w:t>
      </w:r>
      <w:r w:rsidR="000711F4" w:rsidRPr="00FE70C5">
        <w:t>.</w:t>
      </w:r>
      <w:r w:rsidRPr="00FE70C5">
        <w:t xml:space="preserve"> </w:t>
      </w:r>
      <w:r w:rsidRPr="00FE70C5">
        <w:rPr>
          <w:bCs w:val="0"/>
          <w:iCs/>
        </w:rPr>
        <w:t xml:space="preserve">Newsletter Instituta za javne financije, </w:t>
      </w:r>
      <w:r w:rsidR="000711F4" w:rsidRPr="00FE70C5">
        <w:rPr>
          <w:bCs w:val="0"/>
          <w:iCs/>
        </w:rPr>
        <w:t>2011.,</w:t>
      </w:r>
      <w:r w:rsidRPr="00FE70C5">
        <w:rPr>
          <w:bCs w:val="0"/>
          <w:iCs/>
        </w:rPr>
        <w:t xml:space="preserve"> 58. </w:t>
      </w:r>
      <w:r w:rsidR="000711F4" w:rsidRPr="00FE70C5">
        <w:rPr>
          <w:bCs w:val="0"/>
          <w:iCs/>
        </w:rPr>
        <w:t>(</w:t>
      </w:r>
      <w:r w:rsidRPr="00FE70C5">
        <w:rPr>
          <w:bCs w:val="0"/>
          <w:iCs/>
        </w:rPr>
        <w:t>dostupno na</w:t>
      </w:r>
      <w:r w:rsidR="000711F4" w:rsidRPr="00FE70C5">
        <w:rPr>
          <w:bCs w:val="0"/>
          <w:iCs/>
        </w:rPr>
        <w:t>:</w:t>
      </w:r>
      <w:r w:rsidRPr="00FE70C5">
        <w:rPr>
          <w:bCs w:val="0"/>
          <w:iCs/>
        </w:rPr>
        <w:t xml:space="preserve"> </w:t>
      </w:r>
      <w:r w:rsidRPr="00FE70C5">
        <w:rPr>
          <w:iCs/>
        </w:rPr>
        <w:t>www.ijf.hr/newsletter/58.pdf</w:t>
      </w:r>
      <w:r w:rsidR="000711F4" w:rsidRPr="00FE70C5">
        <w:rPr>
          <w:iCs/>
        </w:rPr>
        <w:t>).</w:t>
      </w:r>
      <w:r w:rsidRPr="00FE70C5">
        <w:t xml:space="preserve"> </w:t>
      </w:r>
    </w:p>
    <w:p w:rsidR="00DE3EC7" w:rsidRPr="002017C6" w:rsidRDefault="00DE3EC7" w:rsidP="00DF5C5C">
      <w:pPr>
        <w:pStyle w:val="FootnoteText"/>
        <w:rPr>
          <w:sz w:val="24"/>
          <w:szCs w:val="24"/>
        </w:rPr>
      </w:pPr>
      <w:r w:rsidRPr="00B4742D">
        <w:rPr>
          <w:sz w:val="24"/>
          <w:szCs w:val="24"/>
        </w:rPr>
        <w:t>Zakon o kriterijima za sudjelovanje u tripartitnim tijelima i reprezentativnosti za kolektivno pregovaranje (Narodne novine 82/12 i 88/12 – ispravak).</w:t>
      </w:r>
    </w:p>
    <w:p w:rsidR="00DE3EC7" w:rsidRPr="00C7332E" w:rsidRDefault="00DE3EC7" w:rsidP="00DF5C5C">
      <w:pPr>
        <w:pStyle w:val="FootnoteText"/>
        <w:rPr>
          <w:sz w:val="24"/>
          <w:szCs w:val="24"/>
        </w:rPr>
      </w:pPr>
      <w:r w:rsidRPr="009336BF">
        <w:rPr>
          <w:color w:val="auto"/>
          <w:sz w:val="24"/>
          <w:szCs w:val="24"/>
        </w:rPr>
        <w:t xml:space="preserve">Zakon o osiguranju potraživanja radnika u slučaju stečaja poslodavca </w:t>
      </w:r>
      <w:r w:rsidRPr="00C7332E">
        <w:rPr>
          <w:sz w:val="24"/>
          <w:szCs w:val="24"/>
        </w:rPr>
        <w:t>(Narodne novine 86/08 i 80/13).</w:t>
      </w:r>
    </w:p>
    <w:p w:rsidR="00DE3EC7" w:rsidRPr="006C4F67" w:rsidRDefault="00DE3EC7" w:rsidP="00DF5C5C">
      <w:pPr>
        <w:pStyle w:val="FootnoteText"/>
        <w:rPr>
          <w:sz w:val="24"/>
          <w:szCs w:val="24"/>
        </w:rPr>
      </w:pPr>
      <w:r w:rsidRPr="00C7332E">
        <w:rPr>
          <w:bCs w:val="0"/>
          <w:color w:val="auto"/>
          <w:sz w:val="24"/>
          <w:szCs w:val="24"/>
        </w:rPr>
        <w:t xml:space="preserve">Zakon o porezu na dohodak (Narodne novine </w:t>
      </w:r>
      <w:r w:rsidRPr="00C7332E">
        <w:rPr>
          <w:iCs/>
          <w:sz w:val="24"/>
          <w:szCs w:val="24"/>
        </w:rPr>
        <w:t>177/04, 73/08, 80/10, 114/11, 22/12 i 144/12).</w:t>
      </w:r>
    </w:p>
    <w:p w:rsidR="00DE3EC7" w:rsidRPr="006C4F67" w:rsidRDefault="00DE3EC7" w:rsidP="00DF5C5C">
      <w:pPr>
        <w:pStyle w:val="FootnoteText"/>
        <w:rPr>
          <w:sz w:val="24"/>
          <w:szCs w:val="24"/>
        </w:rPr>
      </w:pPr>
      <w:r w:rsidRPr="006C4F67">
        <w:rPr>
          <w:sz w:val="24"/>
          <w:szCs w:val="24"/>
        </w:rPr>
        <w:t>Zakon o radu (Narodne novine 149/09, 61/11, 82/12 - Zakon o kriterijima za sudjelovanje u tripartitnim tijelima i reprezentativnosti za kolektivno pregovaranje, 88/12 - Ispravak Zakona o kriterijima za sudjelovanje u tripartitnim tijelima i reprezentativnosti za kolektivno pregovaranje i 73/13).</w:t>
      </w:r>
    </w:p>
    <w:p w:rsidR="00DE3EC7" w:rsidRPr="006C4F67" w:rsidRDefault="00DE3EC7" w:rsidP="00DF5C5C">
      <w:pPr>
        <w:pStyle w:val="FootnoteText"/>
        <w:rPr>
          <w:sz w:val="24"/>
          <w:szCs w:val="24"/>
        </w:rPr>
      </w:pPr>
      <w:r w:rsidRPr="006C4F67">
        <w:rPr>
          <w:sz w:val="24"/>
          <w:szCs w:val="24"/>
        </w:rPr>
        <w:lastRenderedPageBreak/>
        <w:t>Zakon o radu (Narodne novine 38/95, 65/95 – ispravak, 17/01, 82/01, 114/03, 142/03 i 68/05).</w:t>
      </w:r>
    </w:p>
    <w:p w:rsidR="00DE3EC7" w:rsidRPr="00B74757" w:rsidRDefault="00DE3EC7" w:rsidP="00DF5C5C">
      <w:pPr>
        <w:pStyle w:val="Footer"/>
        <w:tabs>
          <w:tab w:val="clear" w:pos="4536"/>
          <w:tab w:val="clear" w:pos="9072"/>
        </w:tabs>
        <w:spacing w:line="240" w:lineRule="auto"/>
      </w:pPr>
      <w:r w:rsidRPr="00B74757">
        <w:t>Zuber, Marija. Otpremnine – pravo radnika i porezno određenje. Zagreb: Računovodstvo i financije, 2012.</w:t>
      </w:r>
    </w:p>
    <w:p w:rsidR="00DE3EC7" w:rsidRPr="00B74757" w:rsidRDefault="00DE3EC7" w:rsidP="00DF5C5C">
      <w:pPr>
        <w:pStyle w:val="FootnoteText"/>
        <w:rPr>
          <w:sz w:val="24"/>
          <w:szCs w:val="24"/>
        </w:rPr>
      </w:pPr>
      <w:r w:rsidRPr="00B74757">
        <w:rPr>
          <w:sz w:val="24"/>
          <w:szCs w:val="24"/>
        </w:rPr>
        <w:t>Zuber, Marija: Kakva je veza između uplaćenog doprinosa i mirovine? Banka, 2011. (dostupno na: www.banka.hr).</w:t>
      </w:r>
    </w:p>
    <w:sectPr w:rsidR="00DE3EC7" w:rsidRPr="00B74757" w:rsidSect="00845FA2">
      <w:footerReference w:type="even" r:id="rId25"/>
      <w:footerReference w:type="default" r:id="rId26"/>
      <w:type w:val="continuous"/>
      <w:pgSz w:w="12240" w:h="15840" w:code="1"/>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73" w:rsidRDefault="00356573">
      <w:r>
        <w:separator/>
      </w:r>
    </w:p>
  </w:endnote>
  <w:endnote w:type="continuationSeparator" w:id="0">
    <w:p w:rsidR="00356573" w:rsidRDefault="0035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D5" w:rsidRDefault="004D0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AD5" w:rsidRDefault="004D0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D5" w:rsidRDefault="004D0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D9A">
      <w:rPr>
        <w:rStyle w:val="PageNumber"/>
        <w:noProof/>
      </w:rPr>
      <w:t>2</w:t>
    </w:r>
    <w:r>
      <w:rPr>
        <w:rStyle w:val="PageNumber"/>
      </w:rPr>
      <w:fldChar w:fldCharType="end"/>
    </w:r>
  </w:p>
  <w:p w:rsidR="004D0AD5" w:rsidRDefault="004D0A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73" w:rsidRDefault="00356573">
      <w:r>
        <w:separator/>
      </w:r>
    </w:p>
  </w:footnote>
  <w:footnote w:type="continuationSeparator" w:id="0">
    <w:p w:rsidR="00356573" w:rsidRDefault="00356573">
      <w:r>
        <w:continuationSeparator/>
      </w:r>
    </w:p>
  </w:footnote>
  <w:footnote w:id="1">
    <w:p w:rsidR="004D0AD5" w:rsidRPr="003B6394" w:rsidRDefault="004D0AD5">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w:t>
      </w:r>
      <w:r w:rsidRPr="003B6394">
        <w:t>.</w:t>
      </w:r>
    </w:p>
  </w:footnote>
  <w:footnote w:id="2">
    <w:p w:rsidR="004D0AD5" w:rsidRDefault="004D0AD5">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1</w:t>
      </w:r>
      <w:r w:rsidRPr="003B6394">
        <w:t>.</w:t>
      </w:r>
    </w:p>
  </w:footnote>
  <w:footnote w:id="3">
    <w:p w:rsidR="004D0AD5" w:rsidRDefault="004D0AD5" w:rsidP="00E24EF2">
      <w:pPr>
        <w:pStyle w:val="FootnoteText"/>
      </w:pPr>
      <w:r>
        <w:rPr>
          <w:rStyle w:val="FootnoteReference"/>
        </w:rPr>
        <w:footnoteRef/>
      </w:r>
      <w:r>
        <w:t xml:space="preserve"> </w:t>
      </w:r>
      <w:r w:rsidRPr="00CD7CBD">
        <w:t>Vidi: Odrednica “</w:t>
      </w:r>
      <w:r>
        <w:t>Severance pay</w:t>
      </w:r>
      <w:r w:rsidRPr="00CD7CBD">
        <w:t xml:space="preserve">”. </w:t>
      </w:r>
      <w:r>
        <w:t>Glossary of Labour Law And Industrial Relations (With Special Reference to the European Union)</w:t>
      </w:r>
      <w:r w:rsidRPr="00CD7CBD">
        <w:t xml:space="preserve">. </w:t>
      </w:r>
      <w:r>
        <w:t>Geneva</w:t>
      </w:r>
      <w:r w:rsidRPr="00CD7CBD">
        <w:t xml:space="preserve">: </w:t>
      </w:r>
      <w:r>
        <w:t>International Labour Office</w:t>
      </w:r>
      <w:r w:rsidRPr="00CD7CBD">
        <w:t>, 200</w:t>
      </w:r>
      <w:r>
        <w:t>5</w:t>
      </w:r>
      <w:r w:rsidRPr="00CD7CBD">
        <w:t xml:space="preserve">., str. </w:t>
      </w:r>
      <w:r>
        <w:t>231</w:t>
      </w:r>
      <w:r w:rsidRPr="00CD7CBD">
        <w:t>.</w:t>
      </w:r>
    </w:p>
  </w:footnote>
  <w:footnote w:id="4">
    <w:p w:rsidR="004D0AD5" w:rsidRDefault="004D0AD5" w:rsidP="00F95318">
      <w:pPr>
        <w:pStyle w:val="FootnoteText"/>
      </w:pPr>
      <w:r>
        <w:rPr>
          <w:rStyle w:val="FootnoteReference"/>
        </w:rPr>
        <w:footnoteRef/>
      </w:r>
      <w:r>
        <w:t xml:space="preserve"> </w:t>
      </w:r>
      <w:r w:rsidRPr="00CD7CBD">
        <w:t>Vidi: Odrednica “</w:t>
      </w:r>
      <w:r>
        <w:t>Otpremnina</w:t>
      </w:r>
      <w:r w:rsidRPr="00CD7CBD">
        <w:t xml:space="preserve">”. Pravni leksikon. Zagreb: Leksikografski zavod Miroslav Krleža, 2007., str. </w:t>
      </w:r>
      <w:r>
        <w:t>1013</w:t>
      </w:r>
      <w:r w:rsidRPr="00CD7CBD">
        <w:t>.</w:t>
      </w:r>
    </w:p>
  </w:footnote>
  <w:footnote w:id="5">
    <w:p w:rsidR="004D0AD5" w:rsidRDefault="004D0AD5">
      <w:pPr>
        <w:pStyle w:val="FootnoteText"/>
      </w:pPr>
      <w:r>
        <w:rPr>
          <w:rStyle w:val="FootnoteReference"/>
        </w:rPr>
        <w:footnoteRef/>
      </w:r>
      <w:r>
        <w:t xml:space="preserve"> Vidi: Bejaković, Predrag. Poteškoće oko mogućeg osnivanja posebnog fonda za otpremnine. Radno pravo – Stručni časopis, 10, 2013., 5, str. 32.</w:t>
      </w:r>
    </w:p>
  </w:footnote>
  <w:footnote w:id="6">
    <w:p w:rsidR="004D0AD5" w:rsidRDefault="004D0AD5">
      <w:pPr>
        <w:pStyle w:val="FootnoteText"/>
      </w:pPr>
      <w:r>
        <w:rPr>
          <w:rStyle w:val="FootnoteReference"/>
        </w:rPr>
        <w:footnoteRef/>
      </w:r>
      <w:r>
        <w:t xml:space="preserve"> </w:t>
      </w:r>
      <w:r w:rsidRPr="00CD7CBD">
        <w:t>Vidi: Odrednica “</w:t>
      </w:r>
      <w:r>
        <w:t>Otpremnina</w:t>
      </w:r>
      <w:r w:rsidRPr="00CD7CBD">
        <w:t xml:space="preserve">”. Pravni leksikon. Zagreb: Leksikografski zavod Miroslav Krleža, 2007., str. </w:t>
      </w:r>
      <w:r>
        <w:t>1013</w:t>
      </w:r>
      <w:r w:rsidRPr="00CD7CBD">
        <w:t>.</w:t>
      </w:r>
    </w:p>
  </w:footnote>
  <w:footnote w:id="7">
    <w:p w:rsidR="004D0AD5" w:rsidRDefault="004D0AD5">
      <w:pPr>
        <w:pStyle w:val="FootnoteText"/>
      </w:pPr>
      <w:r>
        <w:rPr>
          <w:rStyle w:val="FootnoteReference"/>
        </w:rPr>
        <w:footnoteRef/>
      </w:r>
      <w:r>
        <w:t xml:space="preserve"> Vidi i:</w:t>
      </w:r>
      <w:r w:rsidRPr="001E6319">
        <w:t xml:space="preserve"> Potočnjak, Željko. </w:t>
      </w:r>
      <w:r>
        <w:t>Prestanak ugovora o radu</w:t>
      </w:r>
      <w:r w:rsidRPr="001E6319">
        <w:t xml:space="preserve">, u: Radni odnosi u Republici Hrvatskoj (ur. Potočnjak, Željko). Zagreb: Pravni fakultet u Zagrebu; Organizator, 2007., str. </w:t>
      </w:r>
      <w:r>
        <w:t>375</w:t>
      </w:r>
      <w:r w:rsidRPr="001E6319">
        <w:t>-</w:t>
      </w:r>
      <w:r>
        <w:t>494</w:t>
      </w:r>
      <w:r w:rsidRPr="001E6319">
        <w:t>.</w:t>
      </w:r>
    </w:p>
  </w:footnote>
  <w:footnote w:id="8">
    <w:p w:rsidR="004D0AD5" w:rsidRDefault="004D0AD5">
      <w:pPr>
        <w:pStyle w:val="FootnoteText"/>
      </w:pPr>
      <w:r>
        <w:rPr>
          <w:rStyle w:val="FootnoteReference"/>
        </w:rPr>
        <w:footnoteRef/>
      </w:r>
      <w:r>
        <w:t xml:space="preserve"> Vidi: Zuber, Marija. Plaće</w:t>
      </w:r>
      <w:r w:rsidRPr="00CD7CBD">
        <w:t>, u: Babić, Vera</w:t>
      </w:r>
      <w:r>
        <w:t xml:space="preserve"> </w:t>
      </w:r>
      <w:r>
        <w:rPr>
          <w:i/>
        </w:rPr>
        <w:t>et</w:t>
      </w:r>
      <w:r w:rsidRPr="00F725A7">
        <w:rPr>
          <w:i/>
        </w:rPr>
        <w:t xml:space="preserve"> al.</w:t>
      </w:r>
      <w:r w:rsidRPr="00CD7CBD">
        <w:t xml:space="preserve"> Veliki komentar novog Zakona o radu. Zagreb: Vaša knjiga, 2010., str. </w:t>
      </w:r>
      <w:r>
        <w:t>132</w:t>
      </w:r>
      <w:r w:rsidRPr="00CD7CBD">
        <w:t>.</w:t>
      </w:r>
    </w:p>
  </w:footnote>
  <w:footnote w:id="9">
    <w:p w:rsidR="004D0AD5" w:rsidRDefault="004D0AD5" w:rsidP="004D6A9E">
      <w:pPr>
        <w:pStyle w:val="FootnoteText"/>
      </w:pPr>
      <w:r>
        <w:rPr>
          <w:rStyle w:val="FootnoteReference"/>
        </w:rPr>
        <w:footnoteRef/>
      </w:r>
      <w:r>
        <w:t xml:space="preserve"> </w:t>
      </w:r>
      <w:r w:rsidRPr="00CD7CBD">
        <w:t>Vidi: Odrednica “</w:t>
      </w:r>
      <w:r>
        <w:t>Otpremnina</w:t>
      </w:r>
      <w:r w:rsidRPr="00CD7CBD">
        <w:t xml:space="preserve">”. Pravni leksikon. Zagreb: Leksikografski zavod Miroslav Krleža, 2007., str. </w:t>
      </w:r>
      <w:r>
        <w:t>1014</w:t>
      </w:r>
      <w:r w:rsidRPr="00CD7CBD">
        <w:t>.</w:t>
      </w:r>
    </w:p>
  </w:footnote>
  <w:footnote w:id="10">
    <w:p w:rsidR="004D0AD5" w:rsidRDefault="004D0AD5">
      <w:pPr>
        <w:pStyle w:val="FootnoteText"/>
      </w:pPr>
      <w:r>
        <w:rPr>
          <w:rStyle w:val="FootnoteReference"/>
        </w:rPr>
        <w:footnoteRef/>
      </w:r>
      <w:r>
        <w:t xml:space="preserve"> </w:t>
      </w:r>
      <w:r w:rsidRPr="009336BF">
        <w:t>Vidi: Crnić, Ivica. Otkaz ugovora o radu. Zagreb: Organizator, 2013.</w:t>
      </w:r>
      <w:r>
        <w:t>, str. 213.</w:t>
      </w:r>
    </w:p>
  </w:footnote>
  <w:footnote w:id="11">
    <w:p w:rsidR="004D0AD5" w:rsidRDefault="004D0AD5">
      <w:pPr>
        <w:pStyle w:val="FootnoteText"/>
      </w:pPr>
      <w:r>
        <w:rPr>
          <w:rStyle w:val="FootnoteReference"/>
        </w:rPr>
        <w:footnoteRef/>
      </w:r>
      <w:r>
        <w:t xml:space="preserve"> Vidi: Bejaković, Predrag. Poteškoće oko mogućeg osnivanja posebnog fonda za otpremnine. Radno pravo – Stručni časopis, 10, 2013., 5, str. 32.</w:t>
      </w:r>
    </w:p>
  </w:footnote>
  <w:footnote w:id="12">
    <w:p w:rsidR="004D0AD5" w:rsidRDefault="004D0AD5">
      <w:pPr>
        <w:pStyle w:val="FootnoteText"/>
      </w:pPr>
      <w:r>
        <w:rPr>
          <w:rStyle w:val="FootnoteReference"/>
        </w:rPr>
        <w:footnoteRef/>
      </w:r>
      <w:r>
        <w:t xml:space="preserve"> Vidi: Zuber, Marija. Plaće</w:t>
      </w:r>
      <w:r w:rsidRPr="00CD7CBD">
        <w:t>, u: Babić, Vera</w:t>
      </w:r>
      <w:r>
        <w:t xml:space="preserve"> </w:t>
      </w:r>
      <w:r w:rsidRPr="00F725A7">
        <w:rPr>
          <w:i/>
        </w:rPr>
        <w:t>et al.</w:t>
      </w:r>
      <w:r w:rsidRPr="00CD7CBD">
        <w:t xml:space="preserve"> Veliki komentar novog Zakona o radu. Zagreb: Vaša knjiga, 2010., str. </w:t>
      </w:r>
      <w:r>
        <w:t>132</w:t>
      </w:r>
      <w:r w:rsidRPr="00CD7CBD">
        <w:t>.</w:t>
      </w:r>
      <w:r>
        <w:t xml:space="preserve"> </w:t>
      </w:r>
    </w:p>
  </w:footnote>
  <w:footnote w:id="13">
    <w:p w:rsidR="004D0AD5" w:rsidRDefault="004D0AD5">
      <w:pPr>
        <w:pStyle w:val="FootnoteText"/>
      </w:pPr>
      <w:r>
        <w:rPr>
          <w:rStyle w:val="FootnoteReference"/>
        </w:rPr>
        <w:footnoteRef/>
      </w:r>
      <w:r>
        <w:t xml:space="preserve"> Radi se o otpremnini kao </w:t>
      </w:r>
      <w:r w:rsidRPr="006377F0">
        <w:t>novčan</w:t>
      </w:r>
      <w:r>
        <w:t>oj</w:t>
      </w:r>
      <w:r w:rsidRPr="006377F0">
        <w:t xml:space="preserve"> pomoć</w:t>
      </w:r>
      <w:r>
        <w:t>i</w:t>
      </w:r>
      <w:r w:rsidRPr="006377F0">
        <w:t xml:space="preserve"> radniku tijekom razdoblja nezaposlenosti i obeštećenj</w:t>
      </w:r>
      <w:r>
        <w:t>u</w:t>
      </w:r>
      <w:r w:rsidRPr="006377F0">
        <w:t xml:space="preserve"> za ukupni radni staž ostvaren kod određenog poslodavca</w:t>
      </w:r>
      <w:r>
        <w:t>.</w:t>
      </w:r>
    </w:p>
  </w:footnote>
  <w:footnote w:id="14">
    <w:p w:rsidR="004D0AD5" w:rsidRPr="00031544" w:rsidRDefault="004D0AD5" w:rsidP="004840EF">
      <w:pPr>
        <w:tabs>
          <w:tab w:val="clear" w:pos="0"/>
          <w:tab w:val="clear" w:pos="9360"/>
        </w:tabs>
        <w:autoSpaceDE w:val="0"/>
        <w:autoSpaceDN w:val="0"/>
        <w:adjustRightInd w:val="0"/>
        <w:spacing w:line="240" w:lineRule="auto"/>
        <w:rPr>
          <w:sz w:val="20"/>
          <w:szCs w:val="20"/>
        </w:rPr>
      </w:pPr>
      <w:r>
        <w:rPr>
          <w:rStyle w:val="FootnoteReference"/>
        </w:rPr>
        <w:footnoteRef/>
      </w:r>
      <w:r>
        <w:t xml:space="preserve"> </w:t>
      </w:r>
      <w:r w:rsidRPr="00031544">
        <w:rPr>
          <w:sz w:val="20"/>
          <w:szCs w:val="20"/>
        </w:rPr>
        <w:t xml:space="preserve">Vidi: Reforming Severance Pay (ur. Holzmann, Robert; Vodopivec, Milan). Washington: </w:t>
      </w:r>
      <w:r w:rsidRPr="00031544">
        <w:rPr>
          <w:bCs w:val="0"/>
          <w:color w:val="auto"/>
          <w:sz w:val="20"/>
          <w:szCs w:val="20"/>
        </w:rPr>
        <w:t>The International Bank for Reconstruction and Development; The World Bank,</w:t>
      </w:r>
      <w:r w:rsidRPr="00031544">
        <w:rPr>
          <w:sz w:val="20"/>
          <w:szCs w:val="20"/>
        </w:rPr>
        <w:t xml:space="preserve"> 2012., str. 18-19. Vidi i: Holzmann, Robert</w:t>
      </w:r>
      <w:r>
        <w:rPr>
          <w:sz w:val="20"/>
          <w:szCs w:val="20"/>
        </w:rPr>
        <w:t xml:space="preserve"> </w:t>
      </w:r>
      <w:r w:rsidRPr="009D278F">
        <w:rPr>
          <w:i/>
          <w:sz w:val="20"/>
          <w:szCs w:val="20"/>
        </w:rPr>
        <w:t>et al.</w:t>
      </w:r>
      <w:r w:rsidRPr="00031544">
        <w:rPr>
          <w:sz w:val="20"/>
          <w:szCs w:val="20"/>
        </w:rPr>
        <w:t xml:space="preserve"> </w:t>
      </w:r>
      <w:r>
        <w:rPr>
          <w:sz w:val="20"/>
          <w:szCs w:val="20"/>
        </w:rPr>
        <w:t xml:space="preserve">Severance Pay Programs around the World: </w:t>
      </w:r>
      <w:r w:rsidRPr="004840EF">
        <w:rPr>
          <w:bCs w:val="0"/>
          <w:color w:val="auto"/>
          <w:sz w:val="20"/>
          <w:szCs w:val="20"/>
        </w:rPr>
        <w:t>History, Rationale,</w:t>
      </w:r>
      <w:r>
        <w:rPr>
          <w:bCs w:val="0"/>
          <w:color w:val="auto"/>
          <w:sz w:val="20"/>
          <w:szCs w:val="20"/>
        </w:rPr>
        <w:t xml:space="preserve"> Status, and</w:t>
      </w:r>
      <w:r w:rsidRPr="004840EF">
        <w:rPr>
          <w:bCs w:val="0"/>
          <w:color w:val="auto"/>
          <w:sz w:val="20"/>
          <w:szCs w:val="20"/>
        </w:rPr>
        <w:t xml:space="preserve"> Reforms</w:t>
      </w:r>
      <w:r w:rsidRPr="004840EF">
        <w:rPr>
          <w:color w:val="auto"/>
          <w:sz w:val="20"/>
          <w:szCs w:val="20"/>
        </w:rPr>
        <w:t xml:space="preserve">. </w:t>
      </w:r>
      <w:r w:rsidRPr="004840EF">
        <w:rPr>
          <w:bCs w:val="0"/>
          <w:color w:val="auto"/>
          <w:sz w:val="20"/>
          <w:szCs w:val="20"/>
        </w:rPr>
        <w:t>Hirschegg</w:t>
      </w:r>
      <w:r>
        <w:rPr>
          <w:bCs w:val="0"/>
          <w:color w:val="auto"/>
          <w:sz w:val="20"/>
          <w:szCs w:val="20"/>
        </w:rPr>
        <w:t>;</w:t>
      </w:r>
      <w:r w:rsidRPr="004840EF">
        <w:rPr>
          <w:bCs w:val="0"/>
          <w:color w:val="auto"/>
          <w:sz w:val="20"/>
          <w:szCs w:val="20"/>
        </w:rPr>
        <w:t xml:space="preserve"> Marseille</w:t>
      </w:r>
      <w:r>
        <w:rPr>
          <w:bCs w:val="0"/>
          <w:color w:val="auto"/>
          <w:sz w:val="20"/>
          <w:szCs w:val="20"/>
        </w:rPr>
        <w:t>;</w:t>
      </w:r>
      <w:r w:rsidRPr="004840EF">
        <w:rPr>
          <w:bCs w:val="0"/>
          <w:color w:val="auto"/>
          <w:sz w:val="20"/>
          <w:szCs w:val="20"/>
        </w:rPr>
        <w:t xml:space="preserve"> Pretoria</w:t>
      </w:r>
      <w:r>
        <w:rPr>
          <w:bCs w:val="0"/>
          <w:color w:val="auto"/>
          <w:sz w:val="20"/>
          <w:szCs w:val="20"/>
        </w:rPr>
        <w:t xml:space="preserve">; </w:t>
      </w:r>
      <w:r w:rsidRPr="004840EF">
        <w:rPr>
          <w:bCs w:val="0"/>
          <w:color w:val="auto"/>
          <w:sz w:val="20"/>
          <w:szCs w:val="20"/>
        </w:rPr>
        <w:t>Washington</w:t>
      </w:r>
      <w:r w:rsidRPr="004840EF">
        <w:rPr>
          <w:sz w:val="20"/>
          <w:szCs w:val="20"/>
        </w:rPr>
        <w:t xml:space="preserve">: </w:t>
      </w:r>
      <w:r w:rsidRPr="00031544">
        <w:rPr>
          <w:bCs w:val="0"/>
          <w:color w:val="auto"/>
          <w:sz w:val="20"/>
          <w:szCs w:val="20"/>
        </w:rPr>
        <w:t>The World Bank</w:t>
      </w:r>
      <w:r>
        <w:rPr>
          <w:bCs w:val="0"/>
          <w:color w:val="auto"/>
          <w:sz w:val="20"/>
          <w:szCs w:val="20"/>
        </w:rPr>
        <w:t>; IZA</w:t>
      </w:r>
      <w:r w:rsidRPr="00031544">
        <w:rPr>
          <w:bCs w:val="0"/>
          <w:color w:val="auto"/>
          <w:sz w:val="20"/>
          <w:szCs w:val="20"/>
        </w:rPr>
        <w:t>,</w:t>
      </w:r>
      <w:r w:rsidRPr="00031544">
        <w:rPr>
          <w:sz w:val="20"/>
          <w:szCs w:val="20"/>
        </w:rPr>
        <w:t xml:space="preserve"> 201</w:t>
      </w:r>
      <w:r>
        <w:rPr>
          <w:sz w:val="20"/>
          <w:szCs w:val="20"/>
        </w:rPr>
        <w:t>1</w:t>
      </w:r>
      <w:r w:rsidRPr="00031544">
        <w:rPr>
          <w:sz w:val="20"/>
          <w:szCs w:val="20"/>
        </w:rPr>
        <w:t xml:space="preserve">., str. </w:t>
      </w:r>
      <w:r>
        <w:rPr>
          <w:sz w:val="20"/>
          <w:szCs w:val="20"/>
        </w:rPr>
        <w:t>5</w:t>
      </w:r>
      <w:r w:rsidRPr="00031544">
        <w:rPr>
          <w:sz w:val="20"/>
          <w:szCs w:val="20"/>
        </w:rPr>
        <w:t>-</w:t>
      </w:r>
      <w:r>
        <w:rPr>
          <w:sz w:val="20"/>
          <w:szCs w:val="20"/>
        </w:rPr>
        <w:t>6</w:t>
      </w:r>
      <w:r w:rsidRPr="00031544">
        <w:rPr>
          <w:sz w:val="20"/>
          <w:szCs w:val="20"/>
        </w:rPr>
        <w:t>.</w:t>
      </w:r>
    </w:p>
  </w:footnote>
  <w:footnote w:id="15">
    <w:p w:rsidR="004D0AD5" w:rsidRDefault="004D0AD5">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19-20</w:t>
      </w:r>
      <w:r w:rsidRPr="003B6394">
        <w:t>.</w:t>
      </w:r>
      <w:r w:rsidRPr="004840EF">
        <w:t xml:space="preserve"> </w:t>
      </w:r>
      <w:r w:rsidRPr="00031544">
        <w:t>Vidi i: Holzmann, Robert</w:t>
      </w:r>
      <w:r w:rsidRPr="009D278F">
        <w:rPr>
          <w:i/>
        </w:rPr>
        <w:t xml:space="preserve"> et al.</w:t>
      </w:r>
      <w:r w:rsidRPr="00031544">
        <w:t xml:space="preserve"> </w:t>
      </w:r>
      <w:r>
        <w:t xml:space="preserve">Severance Pay Programs around the World: </w:t>
      </w:r>
      <w:r w:rsidRPr="004840EF">
        <w:rPr>
          <w:bCs w:val="0"/>
          <w:color w:val="auto"/>
        </w:rPr>
        <w:t>History, Rationale,</w:t>
      </w:r>
      <w:r>
        <w:rPr>
          <w:bCs w:val="0"/>
          <w:color w:val="auto"/>
        </w:rPr>
        <w:t xml:space="preserve"> Status, and</w:t>
      </w:r>
      <w:r w:rsidRPr="004840EF">
        <w:rPr>
          <w:bCs w:val="0"/>
          <w:color w:val="auto"/>
        </w:rPr>
        <w:t xml:space="preserve"> Reforms</w:t>
      </w:r>
      <w:r w:rsidRPr="004840EF">
        <w:rPr>
          <w:color w:val="auto"/>
        </w:rPr>
        <w:t xml:space="preserve">. </w:t>
      </w:r>
      <w:r w:rsidRPr="004840EF">
        <w:rPr>
          <w:bCs w:val="0"/>
          <w:color w:val="auto"/>
        </w:rPr>
        <w:t>Hirschegg</w:t>
      </w:r>
      <w:r>
        <w:rPr>
          <w:bCs w:val="0"/>
          <w:color w:val="auto"/>
        </w:rPr>
        <w:t>;</w:t>
      </w:r>
      <w:r w:rsidRPr="004840EF">
        <w:rPr>
          <w:bCs w:val="0"/>
          <w:color w:val="auto"/>
        </w:rPr>
        <w:t xml:space="preserve"> Marseille</w:t>
      </w:r>
      <w:r>
        <w:rPr>
          <w:bCs w:val="0"/>
          <w:color w:val="auto"/>
        </w:rPr>
        <w:t>;</w:t>
      </w:r>
      <w:r w:rsidRPr="004840EF">
        <w:rPr>
          <w:bCs w:val="0"/>
          <w:color w:val="auto"/>
        </w:rPr>
        <w:t xml:space="preserve"> Pretoria</w:t>
      </w:r>
      <w:r>
        <w:rPr>
          <w:bCs w:val="0"/>
          <w:color w:val="auto"/>
        </w:rPr>
        <w:t xml:space="preserve">; </w:t>
      </w:r>
      <w:r w:rsidRPr="004840EF">
        <w:rPr>
          <w:bCs w:val="0"/>
          <w:color w:val="auto"/>
        </w:rPr>
        <w:t>Washington</w:t>
      </w:r>
      <w:r w:rsidRPr="004840EF">
        <w:t xml:space="preserve">: </w:t>
      </w:r>
      <w:r w:rsidRPr="00031544">
        <w:rPr>
          <w:bCs w:val="0"/>
          <w:color w:val="auto"/>
        </w:rPr>
        <w:t>The World Bank</w:t>
      </w:r>
      <w:r>
        <w:rPr>
          <w:bCs w:val="0"/>
          <w:color w:val="auto"/>
        </w:rPr>
        <w:t>; IZA</w:t>
      </w:r>
      <w:r w:rsidRPr="00031544">
        <w:rPr>
          <w:bCs w:val="0"/>
          <w:color w:val="auto"/>
        </w:rPr>
        <w:t>,</w:t>
      </w:r>
      <w:r w:rsidRPr="00031544">
        <w:t xml:space="preserve"> 201</w:t>
      </w:r>
      <w:r>
        <w:t>1</w:t>
      </w:r>
      <w:r w:rsidRPr="00031544">
        <w:t xml:space="preserve">., str. </w:t>
      </w:r>
      <w:r>
        <w:t>6-8</w:t>
      </w:r>
      <w:r w:rsidRPr="00031544">
        <w:t>.</w:t>
      </w:r>
    </w:p>
  </w:footnote>
  <w:footnote w:id="16">
    <w:p w:rsidR="004D0AD5" w:rsidRPr="005875F7" w:rsidRDefault="004D0AD5" w:rsidP="005875F7">
      <w:pPr>
        <w:spacing w:line="240" w:lineRule="auto"/>
        <w:rPr>
          <w:sz w:val="20"/>
          <w:szCs w:val="20"/>
        </w:rPr>
      </w:pPr>
      <w:r w:rsidRPr="001640E2">
        <w:rPr>
          <w:rStyle w:val="FootnoteReference"/>
          <w:sz w:val="20"/>
          <w:szCs w:val="20"/>
        </w:rPr>
        <w:footnoteRef/>
      </w:r>
      <w:r w:rsidRPr="001640E2">
        <w:rPr>
          <w:sz w:val="20"/>
          <w:szCs w:val="20"/>
        </w:rPr>
        <w:t xml:space="preserve"> Pojam “država blagostanja” većina autora, osobito onih koji se bave znanstvenim područjem proučavanja socijalne politike, poistovjećuje s pojmom “socijalne države” (Vidi: Puljiz, Vlado. Socijalna politika: definicije i područja, u: Puljiz, Vlado</w:t>
      </w:r>
      <w:r w:rsidRPr="009D278F">
        <w:rPr>
          <w:i/>
          <w:sz w:val="20"/>
          <w:szCs w:val="20"/>
        </w:rPr>
        <w:t xml:space="preserve"> et al.</w:t>
      </w:r>
      <w:r w:rsidRPr="00031544">
        <w:rPr>
          <w:sz w:val="20"/>
          <w:szCs w:val="20"/>
        </w:rPr>
        <w:t xml:space="preserve"> </w:t>
      </w:r>
      <w:r w:rsidRPr="001640E2">
        <w:rPr>
          <w:sz w:val="20"/>
          <w:szCs w:val="20"/>
        </w:rPr>
        <w:t xml:space="preserve">Socijalna </w:t>
      </w:r>
      <w:r w:rsidRPr="005875F7">
        <w:rPr>
          <w:sz w:val="20"/>
          <w:szCs w:val="20"/>
        </w:rPr>
        <w:t>politika. Zagreb: Pravni fakultet, 2005., str. 6.), odnosno poistovjećuje pojam “welfare state” (“država blagostanja”) sa pojmom “social state” (“socijalna država”)</w:t>
      </w:r>
      <w:r>
        <w:rPr>
          <w:sz w:val="20"/>
          <w:szCs w:val="20"/>
        </w:rPr>
        <w:t>.</w:t>
      </w:r>
      <w:r w:rsidRPr="005875F7">
        <w:rPr>
          <w:sz w:val="20"/>
          <w:szCs w:val="20"/>
        </w:rPr>
        <w:t xml:space="preserve"> Vidi: Odrednica “Socijalna dr</w:t>
      </w:r>
      <w:r w:rsidRPr="001640E2">
        <w:rPr>
          <w:sz w:val="20"/>
          <w:szCs w:val="20"/>
        </w:rPr>
        <w:t xml:space="preserve">žava”. Pravni </w:t>
      </w:r>
      <w:r w:rsidRPr="005875F7">
        <w:rPr>
          <w:sz w:val="20"/>
          <w:szCs w:val="20"/>
        </w:rPr>
        <w:t xml:space="preserve">leksikon. Zagreb: Leksikografski zavod Miroslav Krleža, 2007., str. 1485. </w:t>
      </w:r>
    </w:p>
    <w:p w:rsidR="004D0AD5" w:rsidRPr="00D75ECB" w:rsidRDefault="004D0AD5" w:rsidP="005875F7">
      <w:pPr>
        <w:spacing w:line="240" w:lineRule="auto"/>
        <w:rPr>
          <w:color w:val="auto"/>
          <w:sz w:val="20"/>
          <w:szCs w:val="20"/>
        </w:rPr>
      </w:pPr>
      <w:r w:rsidRPr="001640E2">
        <w:rPr>
          <w:sz w:val="20"/>
          <w:szCs w:val="20"/>
        </w:rPr>
        <w:t xml:space="preserve">Ovdje, ipak, smatram kako u pravnom, ustavno-pravnom, pogledu pojam i koncept “socijalne države” (engl. </w:t>
      </w:r>
      <w:r w:rsidRPr="005875F7">
        <w:rPr>
          <w:i/>
          <w:sz w:val="20"/>
          <w:szCs w:val="20"/>
        </w:rPr>
        <w:t>social state</w:t>
      </w:r>
      <w:r w:rsidRPr="001640E2">
        <w:rPr>
          <w:sz w:val="20"/>
          <w:szCs w:val="20"/>
        </w:rPr>
        <w:t xml:space="preserve">; njem. </w:t>
      </w:r>
      <w:r w:rsidRPr="005875F7">
        <w:rPr>
          <w:i/>
          <w:sz w:val="20"/>
          <w:szCs w:val="20"/>
        </w:rPr>
        <w:t>Sozialstaat</w:t>
      </w:r>
      <w:r w:rsidRPr="001640E2">
        <w:rPr>
          <w:sz w:val="20"/>
          <w:szCs w:val="20"/>
        </w:rPr>
        <w:t>; franc</w:t>
      </w:r>
      <w:r w:rsidRPr="0028195E">
        <w:rPr>
          <w:sz w:val="20"/>
          <w:szCs w:val="20"/>
        </w:rPr>
        <w:t xml:space="preserve">. </w:t>
      </w:r>
      <w:r w:rsidRPr="005875F7">
        <w:rPr>
          <w:i/>
          <w:sz w:val="20"/>
          <w:szCs w:val="20"/>
        </w:rPr>
        <w:t>état social</w:t>
      </w:r>
      <w:r w:rsidRPr="0028195E">
        <w:rPr>
          <w:sz w:val="20"/>
          <w:szCs w:val="20"/>
        </w:rPr>
        <w:t xml:space="preserve">) valja razlikovati od pojma i koncepta “države blagostanja” (engl. </w:t>
      </w:r>
      <w:r w:rsidRPr="005875F7">
        <w:rPr>
          <w:i/>
          <w:sz w:val="20"/>
          <w:szCs w:val="20"/>
        </w:rPr>
        <w:t>welfare state</w:t>
      </w:r>
      <w:r w:rsidRPr="0028195E">
        <w:rPr>
          <w:sz w:val="20"/>
          <w:szCs w:val="20"/>
        </w:rPr>
        <w:t xml:space="preserve">; njem. </w:t>
      </w:r>
      <w:r w:rsidRPr="005875F7">
        <w:rPr>
          <w:i/>
          <w:sz w:val="20"/>
          <w:szCs w:val="20"/>
        </w:rPr>
        <w:t>Wohlfahrtstaat</w:t>
      </w:r>
      <w:r w:rsidRPr="0028195E">
        <w:rPr>
          <w:sz w:val="20"/>
          <w:szCs w:val="20"/>
        </w:rPr>
        <w:t xml:space="preserve">; franc. </w:t>
      </w:r>
      <w:r w:rsidRPr="005875F7">
        <w:rPr>
          <w:i/>
          <w:sz w:val="20"/>
          <w:szCs w:val="20"/>
        </w:rPr>
        <w:t>état-providence</w:t>
      </w:r>
      <w:r w:rsidRPr="0028195E">
        <w:rPr>
          <w:sz w:val="20"/>
          <w:szCs w:val="20"/>
        </w:rPr>
        <w:t>).</w:t>
      </w:r>
      <w:r w:rsidRPr="001640E2">
        <w:rPr>
          <w:sz w:val="20"/>
          <w:szCs w:val="20"/>
        </w:rPr>
        <w:t xml:space="preserve"> Naime, država blagostanja opisuje uređenje koje se razvilo u svim razvijenim državama tijekom dvadesetog stoljeća kao odgovor na funkcionalne potrebe suvremenog, na tržišnim postulatima utemeljenog, kapitalističkog gospodarstva, dok istovremeno socijalna država podrazumijeva vodeće normativno načelo koje ustavnim putem posustavljuje obveze države u području socijalne i gospodarske politike. Stoga o socijalnoj državi možemo govoriti kao o pravnom obliku organiziranja jedne vrste države blagostanja, one u kojoj je ustavom povjerena i razvidna vodeća uloga države i javnog prava u održanju socijalne sigurnosti i umanjivanju socijalnih razlika. Stoga svaka socijalna država jest i država blagostanja, iako obrnuto ne mora uvijek vrijediti. Vidi: Katrougalos, George S. The Implementation of Social Rights in Europe. Columbia Journal of European Law, 1996., 2, str. 277-278. Vidi i: Mishra, </w:t>
      </w:r>
      <w:r w:rsidRPr="001640E2">
        <w:rPr>
          <w:color w:val="auto"/>
          <w:sz w:val="20"/>
          <w:szCs w:val="20"/>
        </w:rPr>
        <w:t xml:space="preserve">Ramesh. The </w:t>
      </w:r>
      <w:r w:rsidRPr="00D75ECB">
        <w:rPr>
          <w:color w:val="auto"/>
          <w:sz w:val="20"/>
          <w:szCs w:val="20"/>
        </w:rPr>
        <w:t xml:space="preserve">Welfare State in Crisis: Social Thought and Social Change. Brighton: Wheatsheaf Books, 1984., str. 101.; </w:t>
      </w:r>
      <w:r w:rsidRPr="00D75ECB">
        <w:rPr>
          <w:sz w:val="20"/>
          <w:szCs w:val="20"/>
        </w:rPr>
        <w:t>Ploug, Niels; Kvist, Jon. Social Security in Europe: Development or Dismantlement? The Hague; London; Boston: Kluwer Law International, 1996., str. 51-53.</w:t>
      </w:r>
      <w:r w:rsidRPr="00D75ECB">
        <w:rPr>
          <w:color w:val="auto"/>
          <w:sz w:val="20"/>
          <w:szCs w:val="20"/>
        </w:rPr>
        <w:t xml:space="preserve"> </w:t>
      </w:r>
    </w:p>
    <w:p w:rsidR="004D0AD5" w:rsidRPr="00D75ECB" w:rsidRDefault="004D0AD5" w:rsidP="005875F7">
      <w:pPr>
        <w:spacing w:line="240" w:lineRule="auto"/>
        <w:rPr>
          <w:color w:val="auto"/>
          <w:sz w:val="20"/>
          <w:szCs w:val="20"/>
        </w:rPr>
      </w:pPr>
      <w:r w:rsidRPr="00D75ECB">
        <w:rPr>
          <w:color w:val="auto"/>
          <w:sz w:val="20"/>
          <w:szCs w:val="20"/>
        </w:rPr>
        <w:t>U svrhu detaljizacije ove podjele valja spomenuti i to kako pojam blagostanja</w:t>
      </w:r>
      <w:r>
        <w:rPr>
          <w:color w:val="auto"/>
          <w:sz w:val="20"/>
          <w:szCs w:val="20"/>
        </w:rPr>
        <w:t xml:space="preserve"> (</w:t>
      </w:r>
      <w:r w:rsidRPr="00D75ECB">
        <w:rPr>
          <w:sz w:val="20"/>
          <w:szCs w:val="20"/>
        </w:rPr>
        <w:t>“welfare”</w:t>
      </w:r>
      <w:r>
        <w:rPr>
          <w:sz w:val="20"/>
          <w:szCs w:val="20"/>
        </w:rPr>
        <w:t>),</w:t>
      </w:r>
      <w:r w:rsidRPr="00D75ECB">
        <w:rPr>
          <w:sz w:val="20"/>
          <w:szCs w:val="20"/>
        </w:rPr>
        <w:t xml:space="preserve"> </w:t>
      </w:r>
      <w:r>
        <w:rPr>
          <w:sz w:val="20"/>
          <w:szCs w:val="20"/>
        </w:rPr>
        <w:t xml:space="preserve">kao </w:t>
      </w:r>
      <w:r w:rsidRPr="00D75ECB">
        <w:rPr>
          <w:sz w:val="20"/>
          <w:szCs w:val="20"/>
        </w:rPr>
        <w:t xml:space="preserve">na neki način </w:t>
      </w:r>
      <w:r>
        <w:rPr>
          <w:sz w:val="20"/>
          <w:szCs w:val="20"/>
        </w:rPr>
        <w:t xml:space="preserve">izvedenica promišljanja </w:t>
      </w:r>
      <w:r w:rsidRPr="00D75ECB">
        <w:rPr>
          <w:sz w:val="20"/>
          <w:szCs w:val="20"/>
        </w:rPr>
        <w:t>Paretov</w:t>
      </w:r>
      <w:r>
        <w:rPr>
          <w:sz w:val="20"/>
          <w:szCs w:val="20"/>
        </w:rPr>
        <w:t>a</w:t>
      </w:r>
      <w:r w:rsidRPr="00D75ECB">
        <w:rPr>
          <w:sz w:val="20"/>
          <w:szCs w:val="20"/>
        </w:rPr>
        <w:t xml:space="preserve"> op</w:t>
      </w:r>
      <w:r>
        <w:rPr>
          <w:sz w:val="20"/>
          <w:szCs w:val="20"/>
        </w:rPr>
        <w:t>t</w:t>
      </w:r>
      <w:r w:rsidRPr="00D75ECB">
        <w:rPr>
          <w:sz w:val="20"/>
          <w:szCs w:val="20"/>
        </w:rPr>
        <w:t>imum</w:t>
      </w:r>
      <w:r>
        <w:rPr>
          <w:sz w:val="20"/>
          <w:szCs w:val="20"/>
        </w:rPr>
        <w:t>a</w:t>
      </w:r>
      <w:r w:rsidRPr="00D75ECB">
        <w:rPr>
          <w:sz w:val="20"/>
          <w:szCs w:val="20"/>
        </w:rPr>
        <w:t>, odnosno Paretov</w:t>
      </w:r>
      <w:r>
        <w:rPr>
          <w:sz w:val="20"/>
          <w:szCs w:val="20"/>
        </w:rPr>
        <w:t>e</w:t>
      </w:r>
      <w:r w:rsidRPr="00D75ECB">
        <w:rPr>
          <w:sz w:val="20"/>
          <w:szCs w:val="20"/>
        </w:rPr>
        <w:t xml:space="preserve"> efikasnost</w:t>
      </w:r>
      <w:r>
        <w:rPr>
          <w:sz w:val="20"/>
          <w:szCs w:val="20"/>
        </w:rPr>
        <w:t>i</w:t>
      </w:r>
      <w:r w:rsidRPr="00D75ECB">
        <w:rPr>
          <w:sz w:val="20"/>
          <w:szCs w:val="20"/>
        </w:rPr>
        <w:t>,</w:t>
      </w:r>
      <w:r>
        <w:rPr>
          <w:sz w:val="20"/>
          <w:szCs w:val="20"/>
        </w:rPr>
        <w:t xml:space="preserve"> prema kojoj paradigmi ravnoteža, ekvilibrij, efikasnosti </w:t>
      </w:r>
      <w:r w:rsidRPr="00D75ECB">
        <w:rPr>
          <w:sz w:val="20"/>
          <w:szCs w:val="20"/>
        </w:rPr>
        <w:t xml:space="preserve">nije moguće </w:t>
      </w:r>
      <w:r>
        <w:rPr>
          <w:sz w:val="20"/>
          <w:szCs w:val="20"/>
        </w:rPr>
        <w:t>dalje optimizirati</w:t>
      </w:r>
      <w:r w:rsidRPr="00D75ECB">
        <w:rPr>
          <w:sz w:val="20"/>
          <w:szCs w:val="20"/>
        </w:rPr>
        <w:t xml:space="preserve"> poveća</w:t>
      </w:r>
      <w:r>
        <w:rPr>
          <w:sz w:val="20"/>
          <w:szCs w:val="20"/>
        </w:rPr>
        <w:t>vajući</w:t>
      </w:r>
      <w:r w:rsidRPr="00D75ECB">
        <w:rPr>
          <w:sz w:val="20"/>
          <w:szCs w:val="20"/>
        </w:rPr>
        <w:t xml:space="preserve"> zadovoljstvo jedne osobe bez </w:t>
      </w:r>
      <w:r>
        <w:rPr>
          <w:sz w:val="20"/>
          <w:szCs w:val="20"/>
        </w:rPr>
        <w:t>u</w:t>
      </w:r>
      <w:r w:rsidRPr="00D75ECB">
        <w:rPr>
          <w:sz w:val="20"/>
          <w:szCs w:val="20"/>
        </w:rPr>
        <w:t>manj</w:t>
      </w:r>
      <w:r>
        <w:rPr>
          <w:sz w:val="20"/>
          <w:szCs w:val="20"/>
        </w:rPr>
        <w:t>ivanja</w:t>
      </w:r>
      <w:r w:rsidRPr="00D75ECB">
        <w:rPr>
          <w:sz w:val="20"/>
          <w:szCs w:val="20"/>
        </w:rPr>
        <w:t xml:space="preserve"> zadovoljstva druge osobe</w:t>
      </w:r>
      <w:r>
        <w:rPr>
          <w:sz w:val="20"/>
          <w:szCs w:val="20"/>
        </w:rPr>
        <w:t xml:space="preserve"> (odnosno ne postoji “optimalnije” od optimalnog, jer to je “najoptimalnije” moguće), jedna ili upravo središnja vrijednost pravne teorije ekonomske analize prava (“law and economics”), značajno zastupljene u Sjedinjenim Američkim Državama, kao ne-normativističke već pravno-pozitivističke pravne teorije, koja naglašava formalne, postupovne, ne i materijalne, temeljno-pravne, sadržaje vladavine prave, ustavnosti i društvenog djelovanja. U ovom kontekstu blagostanje, odnosno blagodat ili dobrobit (“well-being”), podrazumijeva omogućavanje postizanja optimalnih društvenih rješenja, ali ne na normativnoj razini, što bi se provelo konceptualizacijom odnosno konstitucionalizacijom obveza i uloge države u tom pogledu, već s pozitivno-pravnih polazišta, omogućavajući, ne i jamčeći, postizanje blagostanja. U tom pogledu blagostanje jest inherentno tradiciji liberalne države, usmjerene pojedincu i tržištu. Upravo navedeno podupire pojmovno i koncepcijsko razlikovanje države blagostanja i socijalne države: država blagostanja omogućava (no ne jamči) postizanje optimalnih društvenih rješenja, kreirajući tržišne i društvene uvjete da se to postigne, ali ona sama ne zauzima aktivnu ulogu u tome; s druge, pak, strane socijalna država upravo sama, vlastitom aktivnošću, ovlastima i obvezama, djeluje prema postizanju optimalnih društvenih rješenja.</w:t>
      </w:r>
      <w:r w:rsidRPr="00D75ECB">
        <w:rPr>
          <w:color w:val="auto"/>
          <w:sz w:val="20"/>
          <w:szCs w:val="20"/>
        </w:rPr>
        <w:t xml:space="preserve"> </w:t>
      </w:r>
    </w:p>
    <w:p w:rsidR="004D0AD5" w:rsidRPr="00031544" w:rsidRDefault="004D0AD5" w:rsidP="005875F7">
      <w:pPr>
        <w:spacing w:line="240" w:lineRule="auto"/>
        <w:rPr>
          <w:rFonts w:cs="Arial"/>
          <w:color w:val="auto"/>
          <w:sz w:val="20"/>
          <w:szCs w:val="20"/>
        </w:rPr>
      </w:pPr>
      <w:r w:rsidRPr="001640E2">
        <w:rPr>
          <w:rFonts w:cs="Arial"/>
          <w:color w:val="auto"/>
          <w:sz w:val="20"/>
          <w:szCs w:val="20"/>
        </w:rPr>
        <w:t xml:space="preserve">Istu podjelu nalazimo i kao zaključak kako </w:t>
      </w:r>
      <w:r w:rsidRPr="001640E2">
        <w:rPr>
          <w:color w:val="auto"/>
          <w:sz w:val="20"/>
          <w:szCs w:val="20"/>
        </w:rPr>
        <w:t xml:space="preserve">“između socijalne države i države blagostanja postoji stanovita razlike u prvom bitnom elementu (dužnosti države na pravednu raspodjelu narodnog dohotka), i to zato jer prvoj više pristaje socijalna, drugoj zaslužena pravda.” Prema: Ravnić, Anton. Socijalna država i država blagostanja, u: </w:t>
      </w:r>
      <w:r w:rsidRPr="001640E2">
        <w:rPr>
          <w:sz w:val="20"/>
          <w:szCs w:val="20"/>
        </w:rPr>
        <w:t xml:space="preserve">Hrvatska kao socijalna država: Zadanosti i usmjerenja (ur. Bahtijari, Hašim). </w:t>
      </w:r>
      <w:r w:rsidRPr="00031544">
        <w:rPr>
          <w:sz w:val="20"/>
          <w:szCs w:val="20"/>
        </w:rPr>
        <w:t>Zagreb: Centar za industrijsku demokraciju SSSH, 1997., str. 72.</w:t>
      </w:r>
    </w:p>
  </w:footnote>
  <w:footnote w:id="17">
    <w:p w:rsidR="004D0AD5" w:rsidRDefault="004D0AD5">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20-22</w:t>
      </w:r>
      <w:r w:rsidRPr="003B6394">
        <w:t>.</w:t>
      </w:r>
      <w:r w:rsidRPr="004840EF">
        <w:t xml:space="preserve"> </w:t>
      </w:r>
      <w:r w:rsidRPr="00031544">
        <w:t>Vidi i: Holzmann, Robert</w:t>
      </w:r>
      <w:r w:rsidRPr="009D278F">
        <w:rPr>
          <w:i/>
        </w:rPr>
        <w:t xml:space="preserve"> et al.</w:t>
      </w:r>
      <w:r>
        <w:t xml:space="preserve"> Severance Pay Programs around the World: </w:t>
      </w:r>
      <w:r w:rsidRPr="004840EF">
        <w:rPr>
          <w:bCs w:val="0"/>
          <w:color w:val="auto"/>
        </w:rPr>
        <w:t>History, Rationale,</w:t>
      </w:r>
      <w:r>
        <w:rPr>
          <w:bCs w:val="0"/>
          <w:color w:val="auto"/>
        </w:rPr>
        <w:t xml:space="preserve"> Status, and</w:t>
      </w:r>
      <w:r w:rsidRPr="004840EF">
        <w:rPr>
          <w:bCs w:val="0"/>
          <w:color w:val="auto"/>
        </w:rPr>
        <w:t xml:space="preserve"> Reforms</w:t>
      </w:r>
      <w:r w:rsidRPr="004840EF">
        <w:rPr>
          <w:color w:val="auto"/>
        </w:rPr>
        <w:t xml:space="preserve">. </w:t>
      </w:r>
      <w:r w:rsidRPr="004840EF">
        <w:rPr>
          <w:bCs w:val="0"/>
          <w:color w:val="auto"/>
        </w:rPr>
        <w:t>Hirschegg</w:t>
      </w:r>
      <w:r>
        <w:rPr>
          <w:bCs w:val="0"/>
          <w:color w:val="auto"/>
        </w:rPr>
        <w:t>;</w:t>
      </w:r>
      <w:r w:rsidRPr="004840EF">
        <w:rPr>
          <w:bCs w:val="0"/>
          <w:color w:val="auto"/>
        </w:rPr>
        <w:t xml:space="preserve"> Marseille</w:t>
      </w:r>
      <w:r>
        <w:rPr>
          <w:bCs w:val="0"/>
          <w:color w:val="auto"/>
        </w:rPr>
        <w:t>;</w:t>
      </w:r>
      <w:r w:rsidRPr="004840EF">
        <w:rPr>
          <w:bCs w:val="0"/>
          <w:color w:val="auto"/>
        </w:rPr>
        <w:t xml:space="preserve"> Pretoria</w:t>
      </w:r>
      <w:r>
        <w:rPr>
          <w:bCs w:val="0"/>
          <w:color w:val="auto"/>
        </w:rPr>
        <w:t xml:space="preserve">; </w:t>
      </w:r>
      <w:r w:rsidRPr="004840EF">
        <w:rPr>
          <w:bCs w:val="0"/>
          <w:color w:val="auto"/>
        </w:rPr>
        <w:t>Washington</w:t>
      </w:r>
      <w:r w:rsidRPr="004840EF">
        <w:t xml:space="preserve">: </w:t>
      </w:r>
      <w:r w:rsidRPr="00031544">
        <w:rPr>
          <w:bCs w:val="0"/>
          <w:color w:val="auto"/>
        </w:rPr>
        <w:t>The World Bank</w:t>
      </w:r>
      <w:r>
        <w:rPr>
          <w:bCs w:val="0"/>
          <w:color w:val="auto"/>
        </w:rPr>
        <w:t>; IZA</w:t>
      </w:r>
      <w:r w:rsidRPr="00031544">
        <w:rPr>
          <w:bCs w:val="0"/>
          <w:color w:val="auto"/>
        </w:rPr>
        <w:t>,</w:t>
      </w:r>
      <w:r w:rsidRPr="00031544">
        <w:t xml:space="preserve"> 201</w:t>
      </w:r>
      <w:r>
        <w:t>1</w:t>
      </w:r>
      <w:r w:rsidRPr="00031544">
        <w:t xml:space="preserve">., str. </w:t>
      </w:r>
      <w:r>
        <w:t>8</w:t>
      </w:r>
      <w:r w:rsidRPr="00031544">
        <w:t>.</w:t>
      </w:r>
    </w:p>
  </w:footnote>
  <w:footnote w:id="18">
    <w:p w:rsidR="004D0AD5" w:rsidRDefault="004D0AD5" w:rsidP="001B5F10">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9</w:t>
      </w:r>
      <w:r w:rsidRPr="003B6394">
        <w:t>.</w:t>
      </w:r>
    </w:p>
  </w:footnote>
  <w:footnote w:id="19">
    <w:p w:rsidR="004D0AD5" w:rsidRDefault="004D0AD5" w:rsidP="006C4F67">
      <w:pPr>
        <w:pStyle w:val="FootnoteText"/>
      </w:pPr>
      <w:r>
        <w:rPr>
          <w:rStyle w:val="FootnoteReference"/>
        </w:rPr>
        <w:footnoteRef/>
      </w:r>
      <w:r>
        <w:t xml:space="preserve"> Ovako čak i sudska praksa u Republici Hrvatskoj određuje otpremninu. Vidi: Odluka Vrhovnog suda Republike Hrvatske broj Revr-206/06 od dana 6. rujna 2007. godine; </w:t>
      </w:r>
    </w:p>
  </w:footnote>
  <w:footnote w:id="20">
    <w:p w:rsidR="004D0AD5" w:rsidRDefault="004D0AD5">
      <w:pPr>
        <w:pStyle w:val="FootnoteText"/>
      </w:pPr>
      <w:r>
        <w:rPr>
          <w:rStyle w:val="FootnoteReference"/>
        </w:rPr>
        <w:footnoteRef/>
      </w:r>
      <w:r>
        <w:t xml:space="preserve"> Vidi: </w:t>
      </w:r>
      <w:r w:rsidRPr="009336BF">
        <w:t>Crnić, Ivica. Otkaz ugovora o radu. Zagreb: Organizator, 2013.</w:t>
      </w:r>
      <w:r>
        <w:t>, str. 213.</w:t>
      </w:r>
    </w:p>
  </w:footnote>
  <w:footnote w:id="21">
    <w:p w:rsidR="004D0AD5" w:rsidRDefault="004D0AD5">
      <w:pPr>
        <w:pStyle w:val="FootnoteText"/>
      </w:pPr>
      <w:r>
        <w:rPr>
          <w:rStyle w:val="FootnoteReference"/>
        </w:rPr>
        <w:footnoteRef/>
      </w:r>
      <w:r>
        <w:t xml:space="preserve"> Vidi: Bejaković, Predrag. Poteškoće oko mogućeg osnivanja posebnog fonda za otpremnine. Radno pravo – Stručni časopis, 10, 2013., 5, str. 32.</w:t>
      </w:r>
    </w:p>
  </w:footnote>
  <w:footnote w:id="22">
    <w:p w:rsidR="004D0AD5" w:rsidRDefault="004D0AD5" w:rsidP="00DA0EDA">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w:t>
      </w:r>
      <w:r w:rsidRPr="003B6394">
        <w:t>.</w:t>
      </w:r>
    </w:p>
  </w:footnote>
  <w:footnote w:id="23">
    <w:p w:rsidR="004D0AD5" w:rsidRDefault="004D0AD5">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26</w:t>
      </w:r>
      <w:r w:rsidRPr="003B6394">
        <w:t>.</w:t>
      </w:r>
    </w:p>
  </w:footnote>
  <w:footnote w:id="24">
    <w:p w:rsidR="004D0AD5" w:rsidRDefault="004D0AD5" w:rsidP="000D55A1">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28-29</w:t>
      </w:r>
      <w:r w:rsidRPr="003B6394">
        <w:t>.</w:t>
      </w:r>
    </w:p>
  </w:footnote>
  <w:footnote w:id="25">
    <w:p w:rsidR="004D0AD5" w:rsidRDefault="004D0AD5">
      <w:pPr>
        <w:pStyle w:val="FootnoteText"/>
      </w:pPr>
      <w:r>
        <w:rPr>
          <w:rStyle w:val="FootnoteReference"/>
        </w:rPr>
        <w:footnoteRef/>
      </w:r>
      <w:r>
        <w:t xml:space="preserve"> Ovdje napominjem i postojanje primjera u kojima se pravo na isplatu otpremnine uređuje samo za neke skupine radnika kod poslodavca, tako za administrativne ili režijske radnike, tzv. bijele okovratnike (“white collar workers”). Vidi: </w:t>
      </w:r>
      <w:r w:rsidRPr="003B6394">
        <w:t xml:space="preserve">Reforming Severance Pay (ur. Holzmann, Robert; Vodopivec, Milan). Washington: </w:t>
      </w:r>
      <w:r w:rsidRPr="003B6394">
        <w:rPr>
          <w:bCs w:val="0"/>
          <w:color w:val="auto"/>
        </w:rPr>
        <w:t>The International Bank for Reconstruction and Development; The World Bank,</w:t>
      </w:r>
      <w:r w:rsidRPr="003B6394">
        <w:t xml:space="preserve"> 2012., str. </w:t>
      </w:r>
      <w:r>
        <w:t>23</w:t>
      </w:r>
      <w:r w:rsidRPr="003B6394">
        <w:t>.</w:t>
      </w:r>
    </w:p>
  </w:footnote>
  <w:footnote w:id="26">
    <w:p w:rsidR="004D0AD5" w:rsidRDefault="004D0AD5" w:rsidP="00E71850">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23</w:t>
      </w:r>
      <w:r w:rsidRPr="003B6394">
        <w:t>.</w:t>
      </w:r>
    </w:p>
  </w:footnote>
  <w:footnote w:id="27">
    <w:p w:rsidR="004D0AD5" w:rsidRDefault="004D0AD5" w:rsidP="00304876">
      <w:pPr>
        <w:pStyle w:val="FootnoteText"/>
      </w:pPr>
      <w:r>
        <w:rPr>
          <w:rStyle w:val="FootnoteReference"/>
        </w:rPr>
        <w:footnoteRef/>
      </w:r>
      <w:r>
        <w:t xml:space="preserve"> </w:t>
      </w:r>
      <w:r w:rsidRPr="00CD7CBD">
        <w:t>Vidi: Odrednica “</w:t>
      </w:r>
      <w:r>
        <w:t>Severance pay</w:t>
      </w:r>
      <w:r w:rsidRPr="00CD7CBD">
        <w:t xml:space="preserve">”. </w:t>
      </w:r>
      <w:r>
        <w:t>Glossary of Labour Law And Industrial Relations (With Special Reference to the European Union)</w:t>
      </w:r>
      <w:r w:rsidRPr="00CD7CBD">
        <w:t xml:space="preserve">. </w:t>
      </w:r>
      <w:r>
        <w:t>Geneva</w:t>
      </w:r>
      <w:r w:rsidRPr="00CD7CBD">
        <w:t xml:space="preserve">: </w:t>
      </w:r>
      <w:r>
        <w:t>International Labour Office</w:t>
      </w:r>
      <w:r w:rsidRPr="00CD7CBD">
        <w:t>, 200</w:t>
      </w:r>
      <w:r>
        <w:t>5</w:t>
      </w:r>
      <w:r w:rsidRPr="00CD7CBD">
        <w:t xml:space="preserve">., str. </w:t>
      </w:r>
      <w:r>
        <w:t>231</w:t>
      </w:r>
      <w:r w:rsidRPr="00CD7CBD">
        <w:t>.</w:t>
      </w:r>
    </w:p>
  </w:footnote>
  <w:footnote w:id="28">
    <w:p w:rsidR="004D0AD5" w:rsidRDefault="004D0AD5">
      <w:pPr>
        <w:pStyle w:val="FootnoteText"/>
      </w:pPr>
      <w:r>
        <w:rPr>
          <w:rStyle w:val="FootnoteReference"/>
        </w:rPr>
        <w:footnoteRef/>
      </w:r>
      <w:r>
        <w:t xml:space="preserve"> Vidi: </w:t>
      </w:r>
      <w:r w:rsidRPr="00345441">
        <w:t>Ravnić, Anton. Osnove radnog prava – domaćeg, usporednog i međunarodnog. Zagreb: Pravni fakultet, 2004.</w:t>
      </w:r>
      <w:r>
        <w:t>, str. 244-245.</w:t>
      </w:r>
    </w:p>
  </w:footnote>
  <w:footnote w:id="29">
    <w:p w:rsidR="004D0AD5" w:rsidRDefault="004D0AD5">
      <w:pPr>
        <w:pStyle w:val="FootnoteText"/>
      </w:pPr>
      <w:r>
        <w:rPr>
          <w:rStyle w:val="FootnoteReference"/>
        </w:rPr>
        <w:footnoteRef/>
      </w:r>
      <w:r>
        <w:t xml:space="preserve"> Vidi: </w:t>
      </w:r>
      <w:r w:rsidRPr="00345441">
        <w:t>Ravnić, Anton. Osnove radnog prava – domaćeg, usporednog i međunarodnog. Zagreb: Pravni fakultet, 2004.</w:t>
      </w:r>
      <w:r>
        <w:t>, str. 245-247.</w:t>
      </w:r>
    </w:p>
  </w:footnote>
  <w:footnote w:id="30">
    <w:p w:rsidR="004D0AD5" w:rsidRDefault="004D0AD5" w:rsidP="00912F76">
      <w:pPr>
        <w:tabs>
          <w:tab w:val="clear" w:pos="0"/>
          <w:tab w:val="clear" w:pos="9360"/>
        </w:tabs>
        <w:autoSpaceDE w:val="0"/>
        <w:autoSpaceDN w:val="0"/>
        <w:adjustRightInd w:val="0"/>
        <w:spacing w:line="240" w:lineRule="auto"/>
      </w:pPr>
      <w:r>
        <w:rPr>
          <w:rStyle w:val="FootnoteReference"/>
        </w:rPr>
        <w:footnoteRef/>
      </w:r>
      <w:r w:rsidRPr="00912F76">
        <w:rPr>
          <w:sz w:val="20"/>
          <w:szCs w:val="20"/>
        </w:rPr>
        <w:t xml:space="preserve"> </w:t>
      </w:r>
      <w:r>
        <w:rPr>
          <w:sz w:val="20"/>
          <w:szCs w:val="20"/>
        </w:rPr>
        <w:t>U slučaju ovakve uloge otpremnina, radnicima pripada pravo na povlačenje sredstava sa individualnih štednih računa. Time otpremnina u ovom sustavu postaje nešto sasvim različito od otpremine u onom smislu kako je danas uređena Zakonom o radu.</w:t>
      </w:r>
      <w:r w:rsidRPr="00912F76">
        <w:rPr>
          <w:bCs w:val="0"/>
          <w:color w:val="auto"/>
          <w:sz w:val="20"/>
          <w:szCs w:val="20"/>
        </w:rPr>
        <w:t xml:space="preserve"> </w:t>
      </w:r>
    </w:p>
  </w:footnote>
  <w:footnote w:id="31">
    <w:p w:rsidR="004D0AD5" w:rsidRDefault="004D0AD5" w:rsidP="00304876">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23</w:t>
      </w:r>
      <w:r w:rsidRPr="003B6394">
        <w:t>.</w:t>
      </w:r>
    </w:p>
  </w:footnote>
  <w:footnote w:id="32">
    <w:p w:rsidR="004D0AD5" w:rsidRDefault="004D0AD5">
      <w:pPr>
        <w:pStyle w:val="FootnoteText"/>
      </w:pPr>
      <w:r>
        <w:rPr>
          <w:rStyle w:val="FootnoteReference"/>
        </w:rPr>
        <w:footnoteRef/>
      </w:r>
      <w:r>
        <w:t xml:space="preserve"> Relevantno trajanje radnog odnosa gotovo se uvijek odnosi na trajanje radnog odnosa, staž, kod konkretnog poslodavca. Jedina država, prema dostupnim podacima, u kojoj se </w:t>
      </w:r>
      <w:r w:rsidRPr="00DC58FF">
        <w:t xml:space="preserve">koristi formula po kojoj bi poslodavac bio </w:t>
      </w:r>
      <w:r>
        <w:t xml:space="preserve">obvezan </w:t>
      </w:r>
      <w:r w:rsidRPr="00DC58FF">
        <w:t>isplat</w:t>
      </w:r>
      <w:r>
        <w:t>u</w:t>
      </w:r>
      <w:r w:rsidRPr="00DC58FF">
        <w:t xml:space="preserve"> otpremnin</w:t>
      </w:r>
      <w:r>
        <w:t>e obračunavati prema ukupnom trajanju radnog odnosno radnih odnosa, staževa, kod svih poslodavaca jest Republika Srbija.</w:t>
      </w:r>
    </w:p>
  </w:footnote>
  <w:footnote w:id="33">
    <w:p w:rsidR="004D0AD5" w:rsidRDefault="004D0AD5">
      <w:pPr>
        <w:pStyle w:val="FootnoteText"/>
      </w:pPr>
      <w:r>
        <w:rPr>
          <w:rStyle w:val="FootnoteReference"/>
        </w:rPr>
        <w:footnoteRef/>
      </w:r>
      <w:r>
        <w:t xml:space="preserve"> Najčešće posljednje plaće ili plaće nekog referentnog razdoblja s kraja radnog odnosa.</w:t>
      </w:r>
    </w:p>
  </w:footnote>
  <w:footnote w:id="34">
    <w:p w:rsidR="004D0AD5" w:rsidRDefault="004D0AD5">
      <w:pPr>
        <w:pStyle w:val="FootnoteText"/>
      </w:pPr>
      <w:r>
        <w:rPr>
          <w:rStyle w:val="FootnoteReference"/>
        </w:rPr>
        <w:footnoteRef/>
      </w:r>
      <w:r>
        <w:t xml:space="preserve"> Iznos </w:t>
      </w:r>
      <w:r w:rsidRPr="00DC58FF">
        <w:t xml:space="preserve">zakonom propisanih minimalnih otpremnina najviši </w:t>
      </w:r>
      <w:r>
        <w:t xml:space="preserve">jest </w:t>
      </w:r>
      <w:r w:rsidRPr="00DC58FF">
        <w:t xml:space="preserve">u manje razvijenim </w:t>
      </w:r>
      <w:r>
        <w:t>državama, u kojima su i plaće n</w:t>
      </w:r>
      <w:r w:rsidRPr="00DC58FF">
        <w:t>isk</w:t>
      </w:r>
      <w:r>
        <w:t xml:space="preserve">e, </w:t>
      </w:r>
      <w:r w:rsidRPr="00DC58FF">
        <w:t xml:space="preserve">dok je u najrazvijenijim </w:t>
      </w:r>
      <w:r>
        <w:t xml:space="preserve">državama, </w:t>
      </w:r>
      <w:r w:rsidRPr="00DC58FF">
        <w:t>s najvišim pla</w:t>
      </w:r>
      <w:r>
        <w:t xml:space="preserve">ćama, iznos </w:t>
      </w:r>
      <w:r w:rsidRPr="00DC58FF">
        <w:t>zakonom propisanih minimalnih otpremnina najniži.</w:t>
      </w:r>
      <w:r>
        <w:t xml:space="preserve"> Navedeno se, na </w:t>
      </w:r>
      <w:r w:rsidRPr="00DC58FF">
        <w:t xml:space="preserve">prvi pogled, može </w:t>
      </w:r>
      <w:r>
        <w:t xml:space="preserve">činiti </w:t>
      </w:r>
      <w:r w:rsidRPr="00DC58FF">
        <w:t>iznenađujuć</w:t>
      </w:r>
      <w:r>
        <w:t>im</w:t>
      </w:r>
      <w:r w:rsidRPr="00DC58FF">
        <w:t xml:space="preserve">, </w:t>
      </w:r>
      <w:r>
        <w:t>no valja</w:t>
      </w:r>
      <w:r w:rsidRPr="00DC58FF">
        <w:t xml:space="preserve"> imati u vidu nekoliko činjenica. U razvijenim </w:t>
      </w:r>
      <w:r>
        <w:t xml:space="preserve">državama </w:t>
      </w:r>
      <w:r w:rsidRPr="00DC58FF">
        <w:t>zakonski</w:t>
      </w:r>
      <w:r>
        <w:t xml:space="preserve"> je</w:t>
      </w:r>
      <w:r w:rsidRPr="00DC58FF">
        <w:t xml:space="preserve"> minimum stvarno </w:t>
      </w:r>
      <w:r>
        <w:t xml:space="preserve">upravo to - </w:t>
      </w:r>
      <w:r w:rsidRPr="00DC58FF">
        <w:t>samo minimum, dok se kolektivnim ugovorima propisuj</w:t>
      </w:r>
      <w:r>
        <w:t>u</w:t>
      </w:r>
      <w:r w:rsidRPr="00DC58FF">
        <w:t xml:space="preserve"> </w:t>
      </w:r>
      <w:r>
        <w:t xml:space="preserve">i </w:t>
      </w:r>
      <w:r w:rsidRPr="00DC58FF">
        <w:t>znatno v</w:t>
      </w:r>
      <w:r>
        <w:t>iši iznosi</w:t>
      </w:r>
      <w:r w:rsidRPr="00DC58FF">
        <w:t xml:space="preserve"> otpremnina. Međutim, bitniji</w:t>
      </w:r>
      <w:r>
        <w:t xml:space="preserve"> je</w:t>
      </w:r>
      <w:r w:rsidRPr="00DC58FF">
        <w:t xml:space="preserve"> razlog taj što u većini manje razvijenih </w:t>
      </w:r>
      <w:r>
        <w:t xml:space="preserve">država </w:t>
      </w:r>
      <w:r w:rsidRPr="00DC58FF">
        <w:t xml:space="preserve">otpremnine zaista </w:t>
      </w:r>
      <w:r>
        <w:t>imaju s</w:t>
      </w:r>
      <w:r w:rsidRPr="00DC58FF">
        <w:t>ocijaln</w:t>
      </w:r>
      <w:r>
        <w:t>o-</w:t>
      </w:r>
      <w:r w:rsidRPr="00DC58FF">
        <w:t>zaštit</w:t>
      </w:r>
      <w:r>
        <w:t>nu funkciju koja nadomješta</w:t>
      </w:r>
      <w:r w:rsidRPr="00DC58FF">
        <w:t xml:space="preserve"> nedostat</w:t>
      </w:r>
      <w:r>
        <w:t>a</w:t>
      </w:r>
      <w:r w:rsidRPr="00DC58FF">
        <w:t>k pravih s</w:t>
      </w:r>
      <w:r>
        <w:t xml:space="preserve">ustava </w:t>
      </w:r>
      <w:r w:rsidRPr="00DC58FF">
        <w:t xml:space="preserve">osiguranja </w:t>
      </w:r>
      <w:r>
        <w:t>odnosno zamjene za dohodak</w:t>
      </w:r>
      <w:r w:rsidRPr="00DC58FF">
        <w:t xml:space="preserve"> za nezaposlene.</w:t>
      </w:r>
      <w:r w:rsidRPr="00063A47">
        <w:t xml:space="preserve"> </w:t>
      </w:r>
      <w:r w:rsidRPr="00031544">
        <w:t>Vidi: Holzmann, Robert</w:t>
      </w:r>
      <w:r w:rsidRPr="009D278F">
        <w:rPr>
          <w:i/>
        </w:rPr>
        <w:t xml:space="preserve"> et al.</w:t>
      </w:r>
      <w:r w:rsidRPr="00031544">
        <w:t xml:space="preserve"> </w:t>
      </w:r>
      <w:r>
        <w:t xml:space="preserve">Severance Pay Programs around the World: </w:t>
      </w:r>
      <w:r w:rsidRPr="004840EF">
        <w:rPr>
          <w:bCs w:val="0"/>
          <w:color w:val="auto"/>
        </w:rPr>
        <w:t>History, Rationale,</w:t>
      </w:r>
      <w:r>
        <w:rPr>
          <w:bCs w:val="0"/>
          <w:color w:val="auto"/>
        </w:rPr>
        <w:t xml:space="preserve"> Status, and</w:t>
      </w:r>
      <w:r w:rsidRPr="004840EF">
        <w:rPr>
          <w:bCs w:val="0"/>
          <w:color w:val="auto"/>
        </w:rPr>
        <w:t xml:space="preserve"> Reforms</w:t>
      </w:r>
      <w:r w:rsidRPr="004840EF">
        <w:rPr>
          <w:color w:val="auto"/>
        </w:rPr>
        <w:t xml:space="preserve">. </w:t>
      </w:r>
      <w:r w:rsidRPr="004840EF">
        <w:rPr>
          <w:bCs w:val="0"/>
          <w:color w:val="auto"/>
        </w:rPr>
        <w:t>Hirschegg</w:t>
      </w:r>
      <w:r>
        <w:rPr>
          <w:bCs w:val="0"/>
          <w:color w:val="auto"/>
        </w:rPr>
        <w:t>;</w:t>
      </w:r>
      <w:r w:rsidRPr="004840EF">
        <w:rPr>
          <w:bCs w:val="0"/>
          <w:color w:val="auto"/>
        </w:rPr>
        <w:t xml:space="preserve"> Marseille</w:t>
      </w:r>
      <w:r>
        <w:rPr>
          <w:bCs w:val="0"/>
          <w:color w:val="auto"/>
        </w:rPr>
        <w:t>;</w:t>
      </w:r>
      <w:r w:rsidRPr="004840EF">
        <w:rPr>
          <w:bCs w:val="0"/>
          <w:color w:val="auto"/>
        </w:rPr>
        <w:t xml:space="preserve"> Pretoria</w:t>
      </w:r>
      <w:r>
        <w:rPr>
          <w:bCs w:val="0"/>
          <w:color w:val="auto"/>
        </w:rPr>
        <w:t xml:space="preserve">; </w:t>
      </w:r>
      <w:r w:rsidRPr="004840EF">
        <w:rPr>
          <w:bCs w:val="0"/>
          <w:color w:val="auto"/>
        </w:rPr>
        <w:t>Washington</w:t>
      </w:r>
      <w:r w:rsidRPr="004840EF">
        <w:t xml:space="preserve">: </w:t>
      </w:r>
      <w:r w:rsidRPr="00031544">
        <w:rPr>
          <w:bCs w:val="0"/>
          <w:color w:val="auto"/>
        </w:rPr>
        <w:t>The World Bank</w:t>
      </w:r>
      <w:r>
        <w:rPr>
          <w:bCs w:val="0"/>
          <w:color w:val="auto"/>
        </w:rPr>
        <w:t>; IZA</w:t>
      </w:r>
      <w:r w:rsidRPr="00031544">
        <w:rPr>
          <w:bCs w:val="0"/>
          <w:color w:val="auto"/>
        </w:rPr>
        <w:t>,</w:t>
      </w:r>
      <w:r w:rsidRPr="00031544">
        <w:t xml:space="preserve"> 201</w:t>
      </w:r>
      <w:r>
        <w:t>1</w:t>
      </w:r>
      <w:r w:rsidRPr="00031544">
        <w:t xml:space="preserve">., str. </w:t>
      </w:r>
      <w:r>
        <w:t>16</w:t>
      </w:r>
      <w:r w:rsidRPr="00031544">
        <w:t>.</w:t>
      </w:r>
    </w:p>
  </w:footnote>
  <w:footnote w:id="35">
    <w:p w:rsidR="004D0AD5" w:rsidRPr="006322B0" w:rsidRDefault="004D0AD5" w:rsidP="0018289A">
      <w:pPr>
        <w:pStyle w:val="FootnoteText"/>
      </w:pPr>
      <w:r w:rsidRPr="00C2498B">
        <w:rPr>
          <w:rStyle w:val="FootnoteReference"/>
        </w:rPr>
        <w:footnoteRef/>
      </w:r>
      <w:r w:rsidRPr="006322B0">
        <w:t xml:space="preserve"> </w:t>
      </w:r>
      <w:r>
        <w:t>Vidi i: Knežević</w:t>
      </w:r>
      <w:r w:rsidRPr="001E6319">
        <w:t xml:space="preserve">, </w:t>
      </w:r>
      <w:r>
        <w:t>Nikola, Božina, Anja</w:t>
      </w:r>
      <w:r w:rsidRPr="001E6319">
        <w:t xml:space="preserve">. </w:t>
      </w:r>
      <w:r>
        <w:t>Prestanak ugovora o radu</w:t>
      </w:r>
      <w:r w:rsidRPr="001E6319">
        <w:t xml:space="preserve">, u: </w:t>
      </w:r>
      <w:r>
        <w:t xml:space="preserve">Božina, Anja </w:t>
      </w:r>
      <w:r w:rsidRPr="009D278F">
        <w:rPr>
          <w:i/>
        </w:rPr>
        <w:t>et al.</w:t>
      </w:r>
      <w:r w:rsidRPr="001E6319">
        <w:t xml:space="preserve"> </w:t>
      </w:r>
      <w:r>
        <w:t>Radni odnosi - Primjena</w:t>
      </w:r>
      <w:r w:rsidRPr="001E6319">
        <w:t xml:space="preserve"> Zakona o radu: </w:t>
      </w:r>
      <w:r>
        <w:t>RRiF plus d.o.o.</w:t>
      </w:r>
      <w:r w:rsidRPr="001E6319">
        <w:t xml:space="preserve">, 2010., str. </w:t>
      </w:r>
      <w:r>
        <w:t>503-513.</w:t>
      </w:r>
    </w:p>
  </w:footnote>
  <w:footnote w:id="36">
    <w:p w:rsidR="004D0AD5" w:rsidRDefault="004D0AD5">
      <w:pPr>
        <w:pStyle w:val="FootnoteText"/>
      </w:pPr>
      <w:r>
        <w:rPr>
          <w:rStyle w:val="FootnoteReference"/>
        </w:rPr>
        <w:footnoteRef/>
      </w:r>
      <w:r>
        <w:t xml:space="preserve"> Također i način prestanka ugovora o radu, razlikovanje skupina radnika kod poslodavca, tako za administrativne ili režijske radnike, tzv. bijele okovratnike (“white collar workers”), u odnosu na fizičke radnike, tzv. plave okovratnike (“blue collar workers ”), razlikovanje radnog odnosa temeljem ugovora o radu na neodređeno od ugovora o radu na određeno vrijeme, kao i razlikovanje radnika pokrivenih od nepokrivenih kolektivnim ugovorom, sve to može predstavljati osnovu razlikovanja.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24.</w:t>
      </w:r>
    </w:p>
  </w:footnote>
  <w:footnote w:id="37">
    <w:p w:rsidR="004D0AD5" w:rsidRDefault="004D0AD5" w:rsidP="006F0C76">
      <w:pPr>
        <w:pStyle w:val="FootnoteText"/>
      </w:pPr>
      <w:r>
        <w:rPr>
          <w:rStyle w:val="FootnoteReference"/>
        </w:rPr>
        <w:footnoteRef/>
      </w:r>
      <w:r>
        <w:t xml:space="preserve"> Zakon o radu (Narodne novine 38/95); Ispravak Zakona o radu (Narodne novine 65/95); Zakon o izmjenama i dopunama Zakona o radu (Narodne novine 17/01);</w:t>
      </w:r>
      <w:r w:rsidRPr="00497115">
        <w:t xml:space="preserve"> </w:t>
      </w:r>
      <w:r>
        <w:t>Zakon o izmjenama i dopuni Zakona o radu (Narodne novine 82/01); Zakon o izmjenama i dopunama Zakona o radu (Narodne novine 114/03); Ispravak Zakona o izmjenama i dopunama Zakona o radu (Narodne novine 142/03); i Odluka Ustavnog suda Republike Hrvatske broj U-I-2766/2003, U-I-469/2004, U-I-1607/2004, U-I-4768/2004, U-I-4513/2004 od dana 24. svibnja 2005. godine (Narodne novine 68/05).</w:t>
      </w:r>
    </w:p>
  </w:footnote>
  <w:footnote w:id="38">
    <w:p w:rsidR="004D0AD5" w:rsidRDefault="004D0AD5" w:rsidP="006F0C76">
      <w:pPr>
        <w:pStyle w:val="FootnoteText"/>
      </w:pPr>
      <w:r>
        <w:rPr>
          <w:rStyle w:val="FootnoteReference"/>
        </w:rPr>
        <w:footnoteRef/>
      </w:r>
      <w:r>
        <w:t xml:space="preserve"> Zakon o radu (Narodne novine 149/09).</w:t>
      </w:r>
    </w:p>
  </w:footnote>
  <w:footnote w:id="39">
    <w:p w:rsidR="004D0AD5" w:rsidRDefault="004D0AD5" w:rsidP="006F0C76">
      <w:pPr>
        <w:pStyle w:val="FootnoteText"/>
      </w:pPr>
      <w:r>
        <w:rPr>
          <w:rStyle w:val="FootnoteReference"/>
        </w:rPr>
        <w:footnoteRef/>
      </w:r>
      <w:r>
        <w:t xml:space="preserve"> Zakon o izmjenama i dopunama Zakona o radu (Narodne novine 61/11).</w:t>
      </w:r>
    </w:p>
  </w:footnote>
  <w:footnote w:id="40">
    <w:p w:rsidR="004D0AD5" w:rsidRDefault="004D0AD5" w:rsidP="006F0C76">
      <w:pPr>
        <w:pStyle w:val="FootnoteText"/>
      </w:pPr>
      <w:r>
        <w:rPr>
          <w:rStyle w:val="FootnoteReference"/>
        </w:rPr>
        <w:footnoteRef/>
      </w:r>
      <w:r>
        <w:t xml:space="preserve"> Zakon o kriterijima za sudjelovanje u tripartitnim tijelima i reprezentativnosti za kolektivno pregovaranje (Narodne novine 82/12 i 88/12-ispravak).</w:t>
      </w:r>
    </w:p>
  </w:footnote>
  <w:footnote w:id="41">
    <w:p w:rsidR="004D0AD5" w:rsidRDefault="004D0AD5">
      <w:pPr>
        <w:pStyle w:val="FootnoteText"/>
      </w:pPr>
      <w:r>
        <w:rPr>
          <w:rStyle w:val="FootnoteReference"/>
        </w:rPr>
        <w:footnoteRef/>
      </w:r>
      <w:r>
        <w:t xml:space="preserve"> Zakon o izmjenama i dopunama Zakona o radu (Narodne novine 73/13).</w:t>
      </w:r>
    </w:p>
  </w:footnote>
  <w:footnote w:id="42">
    <w:p w:rsidR="004D0AD5" w:rsidRDefault="004D0AD5">
      <w:pPr>
        <w:pStyle w:val="FootnoteText"/>
      </w:pPr>
      <w:r>
        <w:rPr>
          <w:rStyle w:val="FootnoteReference"/>
        </w:rPr>
        <w:footnoteRef/>
      </w:r>
      <w:r>
        <w:t xml:space="preserve"> Ovo slijedu s odredbom tada unesenog članka 83. stavka 5. Zakona o radu: “Plaća u smislu ovoga Zakona je plaća u bruto iznosu.” Sada je to odredba članka 84. stavka 4. Zakona o radu: “Plaća i naknada plaće u smislu ovoga Zakona su plaća i naknada plaće u bruto iznosu.” </w:t>
      </w:r>
    </w:p>
  </w:footnote>
  <w:footnote w:id="43">
    <w:p w:rsidR="004D0AD5" w:rsidRPr="00692DE5" w:rsidRDefault="004D0AD5">
      <w:pPr>
        <w:pStyle w:val="FootnoteText"/>
      </w:pPr>
      <w:r>
        <w:rPr>
          <w:rStyle w:val="FootnoteReference"/>
        </w:rPr>
        <w:footnoteRef/>
      </w:r>
      <w:r>
        <w:t xml:space="preserve"> </w:t>
      </w:r>
      <w:r w:rsidRPr="00641867">
        <w:t xml:space="preserve">U </w:t>
      </w:r>
      <w:r>
        <w:t xml:space="preserve">slučaju prestanka ugovora o radu </w:t>
      </w:r>
      <w:r w:rsidRPr="00641867">
        <w:t>sudsk</w:t>
      </w:r>
      <w:r>
        <w:t>im</w:t>
      </w:r>
      <w:r w:rsidRPr="00641867">
        <w:t xml:space="preserve"> raskid</w:t>
      </w:r>
      <w:r>
        <w:t>om</w:t>
      </w:r>
      <w:r w:rsidRPr="00641867">
        <w:t xml:space="preserve"> ugovora o radu radnik nema pravo na otpremninu. U slučaju sudskog raskida </w:t>
      </w:r>
      <w:r>
        <w:t>ugovora o radu</w:t>
      </w:r>
      <w:r w:rsidRPr="00641867">
        <w:t xml:space="preserve"> radnik</w:t>
      </w:r>
      <w:r>
        <w:t>,</w:t>
      </w:r>
      <w:r w:rsidRPr="00641867">
        <w:t xml:space="preserve"> umjesto otpremnine</w:t>
      </w:r>
      <w:r>
        <w:t>,</w:t>
      </w:r>
      <w:r w:rsidRPr="00641867">
        <w:t xml:space="preserve"> ima pravo na naknadu štete</w:t>
      </w:r>
      <w:r>
        <w:t xml:space="preserve">, u </w:t>
      </w:r>
      <w:r w:rsidRPr="00641867">
        <w:t>iznosu od tri do osamnaest prosječnih mjesečnih plaća, ovisno o trajanju radnog odnosa, starosti i obvezama uzdržavanja koje terete radnika</w:t>
      </w:r>
      <w:r>
        <w:t xml:space="preserve">, a praktično </w:t>
      </w:r>
      <w:r w:rsidRPr="00641867">
        <w:t>sudovi</w:t>
      </w:r>
      <w:r>
        <w:t xml:space="preserve"> bi, kao dodatni kriterij,</w:t>
      </w:r>
      <w:r w:rsidRPr="00641867">
        <w:t xml:space="preserve"> mogli u obzir uzeti i </w:t>
      </w:r>
      <w:r>
        <w:t xml:space="preserve">iznos pripadajuće </w:t>
      </w:r>
      <w:r w:rsidRPr="00641867">
        <w:t>otpremnine koj</w:t>
      </w:r>
      <w:r>
        <w:t>a</w:t>
      </w:r>
      <w:r w:rsidRPr="00641867">
        <w:t xml:space="preserve"> bi radnik</w:t>
      </w:r>
      <w:r>
        <w:t>u</w:t>
      </w:r>
      <w:r w:rsidRPr="00641867">
        <w:t xml:space="preserve"> </w:t>
      </w:r>
      <w:r>
        <w:t>pripadala da</w:t>
      </w:r>
      <w:r w:rsidRPr="00641867">
        <w:t xml:space="preserve"> mu je poslodavac </w:t>
      </w:r>
      <w:r>
        <w:t xml:space="preserve">zakonito </w:t>
      </w:r>
      <w:r w:rsidRPr="00641867">
        <w:t>otkazao</w:t>
      </w:r>
      <w:r>
        <w:t xml:space="preserve"> ugovor o radu</w:t>
      </w:r>
      <w:r w:rsidRPr="00641867">
        <w:t>.</w:t>
      </w:r>
      <w:r>
        <w:t xml:space="preserve"> Ovdje valja ukazati na Odluku Vrhovnog suda Republike Hrvatske broj Revr-287/13 od dana 17. travnja 2013. godine odnosno Odluku Županijskog suda u Zagrebu broj Gžr-1752/12 od dana 13. studenog 2012. godine i Odluku Općinskog radnog suda u Zagrebu Republike Hrvatske broj Pr-1613/12 od dana 13. srpnja 2013. godine. U tim se odlukama na pravno pitanje o tome ima li osoba pravo na otpremninu u slučaju prestanka ugovora o radu odlukom suda, dakle sudskim raskidom, odgovara potvrdno. No, a što je presudno radi izbjegavanja dovođenja u zabludu, taj svoj stav ove sudske instance ne upućuju za sve slučajeve sudskog raskida ugovora o radu, već samo za slučaj kada, temeljem nekog autonomnog izvora prava – ovdje kolektivnog ugovora poslodavca, pravo na otpremninu radniku pripada i drugim slučajevima osim onih propisanih Zakonom o radu, u konkretnom slučaju i u slučaju sudskog raskida ugovora o radu, obzirom da pravo na otpremninu iz kolektivnog ugovora nije bilo isključeno u tom slučaju. </w:t>
      </w:r>
      <w:r>
        <w:rPr>
          <w:i/>
        </w:rPr>
        <w:t>Per analogiam</w:t>
      </w:r>
      <w:r>
        <w:t xml:space="preserve"> ovo se odnosi i na pravo na otpremninu u slučaju prestanka ugovora o radu sporazumom, ili ispunjenjem </w:t>
      </w:r>
      <w:r>
        <w:rPr>
          <w:i/>
        </w:rPr>
        <w:t>ex lege</w:t>
      </w:r>
      <w:r>
        <w:t xml:space="preserve"> uvjeta dobi i mirovinskog staža i sl. </w:t>
      </w:r>
    </w:p>
  </w:footnote>
  <w:footnote w:id="44">
    <w:p w:rsidR="004D0AD5" w:rsidRDefault="004D0AD5">
      <w:pPr>
        <w:pStyle w:val="FootnoteText"/>
      </w:pPr>
      <w:r>
        <w:rPr>
          <w:rStyle w:val="FootnoteReference"/>
        </w:rPr>
        <w:footnoteRef/>
      </w:r>
      <w:r>
        <w:t xml:space="preserve"> Vidi: </w:t>
      </w:r>
      <w:r w:rsidRPr="009336BF">
        <w:t>Crnić, Ivica. Otkaz ugovora o radu. Zagreb: Organizator, 2013.</w:t>
      </w:r>
      <w:r>
        <w:t>, str. 215-216.</w:t>
      </w:r>
    </w:p>
  </w:footnote>
  <w:footnote w:id="45">
    <w:p w:rsidR="004D0AD5" w:rsidRPr="006322B0" w:rsidRDefault="004D0AD5" w:rsidP="007C4F28">
      <w:pPr>
        <w:pStyle w:val="FootnoteText"/>
        <w:tabs>
          <w:tab w:val="left" w:pos="-720"/>
        </w:tabs>
        <w:suppressAutoHyphens/>
        <w:spacing w:line="240" w:lineRule="atLeast"/>
        <w:rPr>
          <w:bCs w:val="0"/>
          <w:spacing w:val="-3"/>
        </w:rPr>
      </w:pPr>
      <w:r>
        <w:rPr>
          <w:spacing w:val="-2"/>
        </w:rPr>
        <w:t xml:space="preserve"> </w:t>
      </w:r>
      <w:r w:rsidRPr="00C2498B">
        <w:rPr>
          <w:rStyle w:val="FootnoteReference"/>
          <w:spacing w:val="-2"/>
        </w:rPr>
        <w:footnoteRef/>
      </w:r>
      <w:r w:rsidRPr="006322B0">
        <w:rPr>
          <w:spacing w:val="-2"/>
        </w:rPr>
        <w:t xml:space="preserve"> </w:t>
      </w:r>
      <w:r>
        <w:rPr>
          <w:spacing w:val="-2"/>
        </w:rPr>
        <w:t xml:space="preserve">Prema mišljenju </w:t>
      </w:r>
      <w:r w:rsidRPr="006322B0">
        <w:rPr>
          <w:spacing w:val="-2"/>
        </w:rPr>
        <w:t>Ministarstv</w:t>
      </w:r>
      <w:r>
        <w:rPr>
          <w:spacing w:val="-2"/>
        </w:rPr>
        <w:t>a</w:t>
      </w:r>
      <w:r w:rsidRPr="006322B0">
        <w:rPr>
          <w:spacing w:val="-2"/>
        </w:rPr>
        <w:t xml:space="preserve"> rada i socijalne skrbi, Klasa: 110-01/97-01/61, Urbroj: 524-02-97-2 od </w:t>
      </w:r>
      <w:r>
        <w:rPr>
          <w:spacing w:val="-2"/>
        </w:rPr>
        <w:t xml:space="preserve">dana </w:t>
      </w:r>
      <w:r w:rsidRPr="006322B0">
        <w:rPr>
          <w:spacing w:val="-2"/>
        </w:rPr>
        <w:t>14. ožujka 1997.</w:t>
      </w:r>
      <w:r>
        <w:rPr>
          <w:spacing w:val="-2"/>
        </w:rPr>
        <w:t xml:space="preserve"> </w:t>
      </w:r>
      <w:r w:rsidRPr="006322B0">
        <w:rPr>
          <w:spacing w:val="-2"/>
        </w:rPr>
        <w:t>ako radniku u posljednja tri mjeseca nije isplaćena plaća,</w:t>
      </w:r>
      <w:r>
        <w:rPr>
          <w:spacing w:val="-2"/>
        </w:rPr>
        <w:t xml:space="preserve"> tada se </w:t>
      </w:r>
      <w:r w:rsidRPr="006322B0">
        <w:rPr>
          <w:spacing w:val="-2"/>
        </w:rPr>
        <w:t>visina plaće utvrđuje na osnovi plaće radnika koj</w:t>
      </w:r>
      <w:r>
        <w:rPr>
          <w:spacing w:val="-2"/>
        </w:rPr>
        <w:t>i je radio na istim poslovima.</w:t>
      </w:r>
    </w:p>
  </w:footnote>
  <w:footnote w:id="46">
    <w:p w:rsidR="004D0AD5" w:rsidRDefault="004D0AD5">
      <w:pPr>
        <w:pStyle w:val="FootnoteText"/>
      </w:pPr>
      <w:r>
        <w:rPr>
          <w:rStyle w:val="FootnoteReference"/>
        </w:rPr>
        <w:footnoteRef/>
      </w:r>
      <w:r>
        <w:t xml:space="preserve"> Vidi i: </w:t>
      </w:r>
      <w:r w:rsidRPr="009336BF">
        <w:t>Crnić, Ivica. Otkaz ugovora o radu. Zagreb: Organizator, 2013.</w:t>
      </w:r>
      <w:r>
        <w:t>, str. 214-215.</w:t>
      </w:r>
    </w:p>
  </w:footnote>
  <w:footnote w:id="47">
    <w:p w:rsidR="004D0AD5" w:rsidRPr="005D17C9" w:rsidRDefault="004D0AD5" w:rsidP="00EA04DC">
      <w:pPr>
        <w:pStyle w:val="FootnoteText"/>
      </w:pPr>
      <w:r w:rsidRPr="00C2498B">
        <w:rPr>
          <w:rStyle w:val="FootnoteReference"/>
        </w:rPr>
        <w:footnoteRef/>
      </w:r>
      <w:r w:rsidRPr="00523F71">
        <w:t xml:space="preserve"> </w:t>
      </w:r>
      <w:r>
        <w:t>Vidi: Odluka Vrhovnog suda Republike Hrvatske broj Rev-1368/01 od dana 23. listopada 2001. godine.</w:t>
      </w:r>
    </w:p>
  </w:footnote>
  <w:footnote w:id="48">
    <w:p w:rsidR="004D0AD5" w:rsidRDefault="004D0AD5">
      <w:pPr>
        <w:pStyle w:val="FootnoteText"/>
      </w:pPr>
      <w:r>
        <w:rPr>
          <w:rStyle w:val="FootnoteReference"/>
        </w:rPr>
        <w:footnoteRef/>
      </w:r>
      <w:r>
        <w:t xml:space="preserve"> Vidi: Pravno shvaćanje prihvaćeno na petoj sjednici Građanskog odjela Vrhovnog suda Republike Hrvatske (V/07) broj Su-IV 46/07 od dana 28. svibnja 2007. godine.</w:t>
      </w:r>
    </w:p>
  </w:footnote>
  <w:footnote w:id="49">
    <w:p w:rsidR="00D00975" w:rsidRDefault="00D00975">
      <w:pPr>
        <w:pStyle w:val="FootnoteText"/>
      </w:pPr>
      <w:r>
        <w:rPr>
          <w:rStyle w:val="FootnoteReference"/>
        </w:rPr>
        <w:footnoteRef/>
      </w:r>
      <w:r>
        <w:t xml:space="preserve"> Vidi: </w:t>
      </w:r>
      <w:r w:rsidRPr="00CD7CBD">
        <w:t>Mišljenje Ministarstva gospodarstva, rada i poduzetništva, klasa: 1</w:t>
      </w:r>
      <w:r>
        <w:t>4</w:t>
      </w:r>
      <w:r w:rsidRPr="00CD7CBD">
        <w:t>0-01/</w:t>
      </w:r>
      <w:r>
        <w:t>1</w:t>
      </w:r>
      <w:r w:rsidRPr="00CD7CBD">
        <w:t>0-01/</w:t>
      </w:r>
      <w:r>
        <w:t>156</w:t>
      </w:r>
      <w:r w:rsidRPr="00CD7CBD">
        <w:t xml:space="preserve"> urbroj: 526-08-01/1-</w:t>
      </w:r>
      <w:r>
        <w:t>1</w:t>
      </w:r>
      <w:r w:rsidRPr="00CD7CBD">
        <w:t xml:space="preserve">0-2, od </w:t>
      </w:r>
      <w:r>
        <w:t>dana 16</w:t>
      </w:r>
      <w:r w:rsidRPr="00CD7CBD">
        <w:t>.</w:t>
      </w:r>
      <w:r>
        <w:t xml:space="preserve"> prosinca </w:t>
      </w:r>
      <w:r w:rsidRPr="00CD7CBD">
        <w:t>2009.</w:t>
      </w:r>
      <w:r>
        <w:t xml:space="preserve"> godine.</w:t>
      </w:r>
    </w:p>
  </w:footnote>
  <w:footnote w:id="50">
    <w:p w:rsidR="00E1401E" w:rsidRDefault="00E1401E">
      <w:pPr>
        <w:pStyle w:val="FootnoteText"/>
      </w:pPr>
      <w:r>
        <w:rPr>
          <w:rStyle w:val="FootnoteReference"/>
        </w:rPr>
        <w:footnoteRef/>
      </w:r>
      <w:r>
        <w:t xml:space="preserve"> Vidi i: Bulaš, Ivo. Dokup mirovine – vrsta </w:t>
      </w:r>
      <w:r w:rsidRPr="00E1401E">
        <w:t xml:space="preserve">otpremnine. Radno pravo – Stručni časopis, </w:t>
      </w:r>
      <w:r>
        <w:t>8</w:t>
      </w:r>
      <w:r w:rsidRPr="00E1401E">
        <w:t xml:space="preserve">, 2013., </w:t>
      </w:r>
      <w:r>
        <w:t>4</w:t>
      </w:r>
      <w:r w:rsidRPr="00E1401E">
        <w:t>.</w:t>
      </w:r>
      <w:r>
        <w:t>, str. 44-52.</w:t>
      </w:r>
    </w:p>
  </w:footnote>
  <w:footnote w:id="51">
    <w:p w:rsidR="004D0AD5" w:rsidRDefault="004D0AD5">
      <w:pPr>
        <w:pStyle w:val="FootnoteText"/>
      </w:pPr>
      <w:r>
        <w:rPr>
          <w:rStyle w:val="FootnoteReference"/>
        </w:rPr>
        <w:footnoteRef/>
      </w:r>
      <w:r>
        <w:t xml:space="preserve"> Vidi i: Odluka Vrhovnog suda Republike Hrvatske broj Gzz-110/03 od dana 17. rujna 2003. godine.</w:t>
      </w:r>
    </w:p>
  </w:footnote>
  <w:footnote w:id="52">
    <w:p w:rsidR="004D0AD5" w:rsidRDefault="004D0AD5">
      <w:pPr>
        <w:pStyle w:val="FootnoteText"/>
      </w:pPr>
      <w:r>
        <w:rPr>
          <w:rStyle w:val="FootnoteReference"/>
        </w:rPr>
        <w:footnoteRef/>
      </w:r>
      <w:r>
        <w:t xml:space="preserve"> Vidi: Odluka Vrhovnog suda Republike Hrvatske broj Revr-536/07 od dana 23. prosinca 2008. godine; Odluka Vrhovnog suda Republike Hrvatske broj Gzz-110/03 od dana 17. rujna 2003. godine.</w:t>
      </w:r>
    </w:p>
  </w:footnote>
  <w:footnote w:id="53">
    <w:p w:rsidR="004D0AD5" w:rsidRDefault="004D0AD5">
      <w:pPr>
        <w:pStyle w:val="FootnoteText"/>
      </w:pPr>
      <w:r>
        <w:rPr>
          <w:rStyle w:val="FootnoteReference"/>
        </w:rPr>
        <w:footnoteRef/>
      </w:r>
      <w:r>
        <w:t xml:space="preserve"> Temeljni kolektivni ugovor za službenike i namještenike u javnim službama (Narodne novine 141/12).</w:t>
      </w:r>
    </w:p>
  </w:footnote>
  <w:footnote w:id="54">
    <w:p w:rsidR="004D0AD5" w:rsidRPr="00A52D40" w:rsidRDefault="004D0AD5">
      <w:pPr>
        <w:pStyle w:val="FootnoteText"/>
      </w:pPr>
      <w:r>
        <w:rPr>
          <w:rStyle w:val="FootnoteReference"/>
        </w:rPr>
        <w:footnoteRef/>
      </w:r>
      <w:r>
        <w:t xml:space="preserve"> </w:t>
      </w:r>
      <w:r>
        <w:rPr>
          <w:bCs w:val="0"/>
          <w:color w:val="auto"/>
        </w:rPr>
        <w:t xml:space="preserve">Tu je iznimka </w:t>
      </w:r>
      <w:r w:rsidRPr="000A5303">
        <w:rPr>
          <w:bCs w:val="0"/>
          <w:color w:val="auto"/>
        </w:rPr>
        <w:t xml:space="preserve">kod izračuna otpremnine </w:t>
      </w:r>
      <w:r>
        <w:rPr>
          <w:bCs w:val="0"/>
          <w:color w:val="auto"/>
        </w:rPr>
        <w:t>“</w:t>
      </w:r>
      <w:r w:rsidRPr="000A5303">
        <w:rPr>
          <w:bCs w:val="0"/>
          <w:color w:val="auto"/>
        </w:rPr>
        <w:t>zaposlenika</w:t>
      </w:r>
      <w:r>
        <w:rPr>
          <w:bCs w:val="0"/>
          <w:color w:val="auto"/>
        </w:rPr>
        <w:t>”</w:t>
      </w:r>
      <w:r w:rsidRPr="000A5303">
        <w:rPr>
          <w:bCs w:val="0"/>
          <w:color w:val="auto"/>
        </w:rPr>
        <w:t xml:space="preserve"> koji je tijekom rada u javnoj službi i prestanka radnog odnosa već ostvario pravo na otpremninu,</w:t>
      </w:r>
      <w:r>
        <w:rPr>
          <w:bCs w:val="0"/>
          <w:color w:val="auto"/>
        </w:rPr>
        <w:t xml:space="preserve"> jer se tada</w:t>
      </w:r>
      <w:r w:rsidRPr="000A5303">
        <w:rPr>
          <w:bCs w:val="0"/>
          <w:color w:val="auto"/>
        </w:rPr>
        <w:t xml:space="preserve"> u neprekinuti staž neće uračunat</w:t>
      </w:r>
      <w:r>
        <w:rPr>
          <w:bCs w:val="0"/>
          <w:color w:val="auto"/>
        </w:rPr>
        <w:t>i</w:t>
      </w:r>
      <w:r w:rsidRPr="000A5303">
        <w:rPr>
          <w:bCs w:val="0"/>
          <w:color w:val="auto"/>
        </w:rPr>
        <w:t xml:space="preserve"> razdoblje za koje je otpremninu prethodno ostvario</w:t>
      </w:r>
      <w:r>
        <w:rPr>
          <w:bCs w:val="0"/>
          <w:color w:val="auto"/>
        </w:rPr>
        <w:t xml:space="preserve">. Nejasnoća uopće smisla ove odredbe, kao i mogućnost rada kod više poslodavaca u nepunom radnom vremenu, istovremeno, upućuje na upitnu provodivost, nekog ovakvog ograničenja primjene obračuna ukupnog staža u javnim službama kao staža kod poslodavca. </w:t>
      </w:r>
    </w:p>
  </w:footnote>
  <w:footnote w:id="55">
    <w:p w:rsidR="004D0AD5" w:rsidRPr="00A52D40" w:rsidRDefault="004D0AD5" w:rsidP="00A52D40">
      <w:pPr>
        <w:tabs>
          <w:tab w:val="clear" w:pos="0"/>
          <w:tab w:val="clear" w:pos="9360"/>
        </w:tabs>
        <w:spacing w:line="240" w:lineRule="auto"/>
        <w:rPr>
          <w:sz w:val="20"/>
          <w:szCs w:val="20"/>
        </w:rPr>
      </w:pPr>
      <w:r w:rsidRPr="00A52D40">
        <w:rPr>
          <w:rStyle w:val="FootnoteReference"/>
          <w:sz w:val="20"/>
          <w:szCs w:val="20"/>
        </w:rPr>
        <w:footnoteRef/>
      </w:r>
      <w:r w:rsidRPr="00A52D40">
        <w:rPr>
          <w:sz w:val="20"/>
          <w:szCs w:val="20"/>
        </w:rPr>
        <w:t xml:space="preserve"> Prema </w:t>
      </w:r>
      <w:r w:rsidRPr="00A52D40">
        <w:rPr>
          <w:bCs w:val="0"/>
          <w:color w:val="auto"/>
          <w:sz w:val="20"/>
          <w:szCs w:val="20"/>
        </w:rPr>
        <w:t xml:space="preserve">odredbi članka 47. </w:t>
      </w:r>
      <w:r>
        <w:rPr>
          <w:bCs w:val="0"/>
          <w:color w:val="auto"/>
          <w:sz w:val="20"/>
          <w:szCs w:val="20"/>
        </w:rPr>
        <w:t>s</w:t>
      </w:r>
      <w:r w:rsidRPr="00A52D40">
        <w:rPr>
          <w:bCs w:val="0"/>
          <w:color w:val="auto"/>
          <w:sz w:val="20"/>
          <w:szCs w:val="20"/>
        </w:rPr>
        <w:t xml:space="preserve">tavka 5. </w:t>
      </w:r>
      <w:r w:rsidRPr="00A52D40">
        <w:rPr>
          <w:sz w:val="20"/>
          <w:szCs w:val="20"/>
        </w:rPr>
        <w:t xml:space="preserve">Temeljnog kolektivnog ugovora za službenike i namještenike u javnim službama </w:t>
      </w:r>
      <w:r w:rsidRPr="00A52D40">
        <w:rPr>
          <w:bCs w:val="0"/>
          <w:color w:val="auto"/>
          <w:sz w:val="20"/>
          <w:szCs w:val="20"/>
        </w:rPr>
        <w:t>o</w:t>
      </w:r>
      <w:r w:rsidRPr="000A5303">
        <w:rPr>
          <w:bCs w:val="0"/>
          <w:color w:val="auto"/>
          <w:sz w:val="20"/>
          <w:szCs w:val="20"/>
        </w:rPr>
        <w:t xml:space="preserve">tpremnine </w:t>
      </w:r>
      <w:r w:rsidRPr="00A52D40">
        <w:rPr>
          <w:bCs w:val="0"/>
          <w:color w:val="auto"/>
          <w:sz w:val="20"/>
          <w:szCs w:val="20"/>
        </w:rPr>
        <w:t xml:space="preserve">dospijevaju i </w:t>
      </w:r>
      <w:r w:rsidRPr="000A5303">
        <w:rPr>
          <w:bCs w:val="0"/>
          <w:color w:val="auto"/>
          <w:sz w:val="20"/>
          <w:szCs w:val="20"/>
        </w:rPr>
        <w:t>isplaćuju</w:t>
      </w:r>
      <w:r w:rsidRPr="00A52D40">
        <w:rPr>
          <w:bCs w:val="0"/>
          <w:color w:val="auto"/>
          <w:sz w:val="20"/>
          <w:szCs w:val="20"/>
        </w:rPr>
        <w:t xml:space="preserve"> se</w:t>
      </w:r>
      <w:r w:rsidRPr="000A5303">
        <w:rPr>
          <w:bCs w:val="0"/>
          <w:color w:val="auto"/>
          <w:sz w:val="20"/>
          <w:szCs w:val="20"/>
        </w:rPr>
        <w:t xml:space="preserve"> najkasnije 30 dana po prestanku radnog odnosa.</w:t>
      </w:r>
    </w:p>
    <w:p w:rsidR="004D0AD5" w:rsidRPr="00A52D40" w:rsidRDefault="004D0AD5" w:rsidP="00A52D40">
      <w:pPr>
        <w:tabs>
          <w:tab w:val="clear" w:pos="0"/>
          <w:tab w:val="clear" w:pos="9360"/>
        </w:tabs>
        <w:spacing w:line="240" w:lineRule="auto"/>
        <w:rPr>
          <w:bCs w:val="0"/>
          <w:color w:val="auto"/>
          <w:sz w:val="20"/>
          <w:szCs w:val="20"/>
        </w:rPr>
      </w:pPr>
      <w:r w:rsidRPr="00A52D40">
        <w:rPr>
          <w:sz w:val="20"/>
          <w:szCs w:val="20"/>
        </w:rPr>
        <w:t xml:space="preserve">Istom se, u </w:t>
      </w:r>
      <w:r w:rsidRPr="00A52D40">
        <w:rPr>
          <w:bCs w:val="0"/>
          <w:color w:val="auto"/>
          <w:sz w:val="20"/>
          <w:szCs w:val="20"/>
        </w:rPr>
        <w:t xml:space="preserve">odredbi članka 47. stavka 4. </w:t>
      </w:r>
      <w:r w:rsidRPr="00A52D40">
        <w:rPr>
          <w:sz w:val="20"/>
          <w:szCs w:val="20"/>
        </w:rPr>
        <w:t xml:space="preserve">Temeljnog kolektivnog ugovora za službenike i namještenike u javnim službama, navodi kako </w:t>
      </w:r>
      <w:r w:rsidRPr="00A52D40">
        <w:rPr>
          <w:bCs w:val="0"/>
          <w:color w:val="auto"/>
          <w:sz w:val="20"/>
          <w:szCs w:val="20"/>
        </w:rPr>
        <w:t>a</w:t>
      </w:r>
      <w:r w:rsidRPr="000A5303">
        <w:rPr>
          <w:bCs w:val="0"/>
          <w:color w:val="auto"/>
          <w:sz w:val="20"/>
          <w:szCs w:val="20"/>
        </w:rPr>
        <w:t xml:space="preserve">ko </w:t>
      </w:r>
      <w:r w:rsidRPr="00A52D40">
        <w:rPr>
          <w:bCs w:val="0"/>
          <w:color w:val="auto"/>
          <w:sz w:val="20"/>
          <w:szCs w:val="20"/>
        </w:rPr>
        <w:t>“</w:t>
      </w:r>
      <w:r w:rsidRPr="000A5303">
        <w:rPr>
          <w:bCs w:val="0"/>
          <w:color w:val="auto"/>
          <w:sz w:val="20"/>
          <w:szCs w:val="20"/>
        </w:rPr>
        <w:t>zaposleniku</w:t>
      </w:r>
      <w:r w:rsidRPr="00A52D40">
        <w:rPr>
          <w:bCs w:val="0"/>
          <w:color w:val="auto"/>
          <w:sz w:val="20"/>
          <w:szCs w:val="20"/>
        </w:rPr>
        <w:t>”</w:t>
      </w:r>
      <w:r w:rsidRPr="000A5303">
        <w:rPr>
          <w:bCs w:val="0"/>
          <w:color w:val="auto"/>
          <w:sz w:val="20"/>
          <w:szCs w:val="20"/>
        </w:rPr>
        <w:t xml:space="preserve"> u posljednja tri mjeseca prije prestanka ugovora o radu nije isplaćivana plaća, već naknada plaće prema posebnim propisima, ili mu je isplaćivan dio plaće i dio naknade plaće prema posebnim propisima, </w:t>
      </w:r>
      <w:r w:rsidRPr="00A52D40">
        <w:rPr>
          <w:bCs w:val="0"/>
          <w:color w:val="auto"/>
          <w:sz w:val="20"/>
          <w:szCs w:val="20"/>
        </w:rPr>
        <w:t>tada</w:t>
      </w:r>
      <w:r>
        <w:rPr>
          <w:bCs w:val="0"/>
          <w:color w:val="auto"/>
          <w:sz w:val="20"/>
          <w:szCs w:val="20"/>
        </w:rPr>
        <w:t xml:space="preserve"> će se</w:t>
      </w:r>
      <w:r w:rsidRPr="00A52D40">
        <w:rPr>
          <w:bCs w:val="0"/>
          <w:color w:val="auto"/>
          <w:sz w:val="20"/>
          <w:szCs w:val="20"/>
        </w:rPr>
        <w:t xml:space="preserve"> </w:t>
      </w:r>
      <w:r w:rsidRPr="000A5303">
        <w:rPr>
          <w:bCs w:val="0"/>
          <w:color w:val="auto"/>
          <w:sz w:val="20"/>
          <w:szCs w:val="20"/>
        </w:rPr>
        <w:t>za izračun pripadajuće otpremnine uzet</w:t>
      </w:r>
      <w:r>
        <w:rPr>
          <w:bCs w:val="0"/>
          <w:color w:val="auto"/>
          <w:sz w:val="20"/>
          <w:szCs w:val="20"/>
        </w:rPr>
        <w:t>i</w:t>
      </w:r>
      <w:r w:rsidRPr="000A5303">
        <w:rPr>
          <w:bCs w:val="0"/>
          <w:color w:val="auto"/>
          <w:sz w:val="20"/>
          <w:szCs w:val="20"/>
        </w:rPr>
        <w:t xml:space="preserve"> plaća koj</w:t>
      </w:r>
      <w:r>
        <w:rPr>
          <w:bCs w:val="0"/>
          <w:color w:val="auto"/>
          <w:sz w:val="20"/>
          <w:szCs w:val="20"/>
        </w:rPr>
        <w:t xml:space="preserve">a bi bila </w:t>
      </w:r>
      <w:r w:rsidRPr="000A5303">
        <w:rPr>
          <w:bCs w:val="0"/>
          <w:color w:val="auto"/>
          <w:sz w:val="20"/>
          <w:szCs w:val="20"/>
        </w:rPr>
        <w:t>ostvar</w:t>
      </w:r>
      <w:r>
        <w:rPr>
          <w:bCs w:val="0"/>
          <w:color w:val="auto"/>
          <w:sz w:val="20"/>
          <w:szCs w:val="20"/>
        </w:rPr>
        <w:t>ena</w:t>
      </w:r>
      <w:r w:rsidRPr="000A5303">
        <w:rPr>
          <w:bCs w:val="0"/>
          <w:color w:val="auto"/>
          <w:sz w:val="20"/>
          <w:szCs w:val="20"/>
        </w:rPr>
        <w:t xml:space="preserve"> da je </w:t>
      </w:r>
      <w:r>
        <w:rPr>
          <w:bCs w:val="0"/>
          <w:color w:val="auto"/>
          <w:sz w:val="20"/>
          <w:szCs w:val="20"/>
        </w:rPr>
        <w:t>osoba radila u</w:t>
      </w:r>
      <w:r w:rsidRPr="000A5303">
        <w:rPr>
          <w:bCs w:val="0"/>
          <w:color w:val="auto"/>
          <w:sz w:val="20"/>
          <w:szCs w:val="20"/>
        </w:rPr>
        <w:t xml:space="preserve"> punom radnom vremenu.</w:t>
      </w:r>
    </w:p>
  </w:footnote>
  <w:footnote w:id="56">
    <w:p w:rsidR="004D0AD5" w:rsidRDefault="004D0AD5" w:rsidP="00A52D40">
      <w:pPr>
        <w:tabs>
          <w:tab w:val="clear" w:pos="0"/>
          <w:tab w:val="clear" w:pos="9360"/>
        </w:tabs>
        <w:spacing w:line="240" w:lineRule="auto"/>
      </w:pPr>
      <w:r w:rsidRPr="00A52D40">
        <w:rPr>
          <w:rStyle w:val="FootnoteReference"/>
          <w:sz w:val="20"/>
          <w:szCs w:val="20"/>
        </w:rPr>
        <w:footnoteRef/>
      </w:r>
      <w:r w:rsidRPr="00A52D40">
        <w:rPr>
          <w:sz w:val="20"/>
          <w:szCs w:val="20"/>
        </w:rPr>
        <w:t xml:space="preserve"> Prema odredbi č</w:t>
      </w:r>
      <w:r w:rsidRPr="000A5303">
        <w:rPr>
          <w:bCs w:val="0"/>
          <w:color w:val="auto"/>
          <w:sz w:val="20"/>
          <w:szCs w:val="20"/>
        </w:rPr>
        <w:t>lank</w:t>
      </w:r>
      <w:r w:rsidRPr="00A52D40">
        <w:rPr>
          <w:bCs w:val="0"/>
          <w:color w:val="auto"/>
          <w:sz w:val="20"/>
          <w:szCs w:val="20"/>
        </w:rPr>
        <w:t>a</w:t>
      </w:r>
      <w:r w:rsidRPr="000A5303">
        <w:rPr>
          <w:bCs w:val="0"/>
          <w:color w:val="auto"/>
          <w:sz w:val="20"/>
          <w:szCs w:val="20"/>
        </w:rPr>
        <w:t xml:space="preserve"> 48.</w:t>
      </w:r>
      <w:r w:rsidRPr="00A52D40">
        <w:rPr>
          <w:bCs w:val="0"/>
          <w:color w:val="auto"/>
          <w:sz w:val="20"/>
          <w:szCs w:val="20"/>
        </w:rPr>
        <w:t xml:space="preserve"> </w:t>
      </w:r>
      <w:r w:rsidRPr="00A52D40">
        <w:rPr>
          <w:sz w:val="20"/>
          <w:szCs w:val="20"/>
        </w:rPr>
        <w:t>Temeljnog kolektivnog ugovora za službenike i namještenike u javnim službama o</w:t>
      </w:r>
      <w:r w:rsidRPr="000A5303">
        <w:rPr>
          <w:bCs w:val="0"/>
          <w:color w:val="auto"/>
          <w:sz w:val="20"/>
          <w:szCs w:val="20"/>
        </w:rPr>
        <w:t xml:space="preserve">dredbe članka 47. </w:t>
      </w:r>
      <w:r>
        <w:rPr>
          <w:bCs w:val="0"/>
          <w:color w:val="auto"/>
          <w:sz w:val="20"/>
          <w:szCs w:val="20"/>
        </w:rPr>
        <w:t>o</w:t>
      </w:r>
      <w:r w:rsidRPr="00A52D40">
        <w:rPr>
          <w:bCs w:val="0"/>
          <w:color w:val="auto"/>
          <w:sz w:val="20"/>
          <w:szCs w:val="20"/>
        </w:rPr>
        <w:t xml:space="preserve"> otpremnini </w:t>
      </w:r>
      <w:r w:rsidRPr="000A5303">
        <w:rPr>
          <w:bCs w:val="0"/>
          <w:color w:val="auto"/>
          <w:sz w:val="20"/>
          <w:szCs w:val="20"/>
        </w:rPr>
        <w:t>ne odnose se na ravnatelje ustanova</w:t>
      </w:r>
      <w:r w:rsidRPr="00A52D40">
        <w:rPr>
          <w:bCs w:val="0"/>
          <w:color w:val="auto"/>
          <w:sz w:val="20"/>
          <w:szCs w:val="20"/>
        </w:rPr>
        <w:t xml:space="preserve"> u sustavu javnih službi</w:t>
      </w:r>
      <w:r w:rsidRPr="000A5303">
        <w:rPr>
          <w:bCs w:val="0"/>
          <w:color w:val="auto"/>
          <w:sz w:val="20"/>
          <w:szCs w:val="20"/>
        </w:rPr>
        <w:t>.</w:t>
      </w:r>
    </w:p>
  </w:footnote>
  <w:footnote w:id="57">
    <w:p w:rsidR="004D0AD5" w:rsidRDefault="004D0AD5">
      <w:pPr>
        <w:pStyle w:val="FootnoteText"/>
      </w:pPr>
      <w:r>
        <w:rPr>
          <w:rStyle w:val="FootnoteReference"/>
        </w:rPr>
        <w:footnoteRef/>
      </w:r>
      <w:r>
        <w:t xml:space="preserve"> Kod otkaza ugovora o radu radi se o jednostranom načinu prestanka ugovora o radu te, u tom smislu, prihvat radnika nije pravno niti potreban niti relevantan, no činjenično može biti relevantan na način da utječe na to da radnik sam otkaz ugovora o radu ne osporava, kod poslodavca ili sudski.</w:t>
      </w:r>
    </w:p>
  </w:footnote>
  <w:footnote w:id="58">
    <w:p w:rsidR="004D0AD5" w:rsidRPr="00635259" w:rsidRDefault="004D0AD5" w:rsidP="00635259">
      <w:pPr>
        <w:pStyle w:val="FootnoteText"/>
        <w:rPr>
          <w:color w:val="auto"/>
        </w:rPr>
      </w:pPr>
      <w:r>
        <w:rPr>
          <w:rStyle w:val="FootnoteReference"/>
        </w:rPr>
        <w:footnoteRef/>
      </w:r>
      <w:r>
        <w:t xml:space="preserve"> Pravilnik o porezu na dohodak (Narodne novi</w:t>
      </w:r>
      <w:r w:rsidRPr="00635259">
        <w:rPr>
          <w:color w:val="auto"/>
        </w:rPr>
        <w:t xml:space="preserve">ne </w:t>
      </w:r>
      <w:r w:rsidRPr="00635259">
        <w:rPr>
          <w:iCs/>
          <w:color w:val="auto"/>
        </w:rPr>
        <w:t>95/05, 96/06, 68/07, 146/08, 2/09, 9/09 - ispravak</w:t>
      </w:r>
      <w:r>
        <w:rPr>
          <w:iCs/>
          <w:color w:val="auto"/>
        </w:rPr>
        <w:t>, 146/09, 123/10, 137/11, 61/12 i</w:t>
      </w:r>
      <w:r w:rsidRPr="00635259">
        <w:rPr>
          <w:iCs/>
          <w:color w:val="auto"/>
        </w:rPr>
        <w:t xml:space="preserve"> 79/13</w:t>
      </w:r>
      <w:r w:rsidRPr="00635259">
        <w:rPr>
          <w:color w:val="auto"/>
        </w:rPr>
        <w:t>)</w:t>
      </w:r>
      <w:r>
        <w:rPr>
          <w:color w:val="auto"/>
        </w:rPr>
        <w:t>.</w:t>
      </w:r>
    </w:p>
  </w:footnote>
  <w:footnote w:id="59">
    <w:p w:rsidR="004D0AD5" w:rsidRDefault="004D0AD5">
      <w:pPr>
        <w:pStyle w:val="FootnoteText"/>
      </w:pPr>
      <w:r>
        <w:rPr>
          <w:rStyle w:val="FootnoteReference"/>
        </w:rPr>
        <w:footnoteRef/>
      </w:r>
      <w:r>
        <w:t xml:space="preserve"> </w:t>
      </w:r>
      <w:r w:rsidRPr="000D245B">
        <w:rPr>
          <w:bCs w:val="0"/>
          <w:color w:val="auto"/>
        </w:rPr>
        <w:t>Zakon</w:t>
      </w:r>
      <w:r>
        <w:rPr>
          <w:bCs w:val="0"/>
          <w:color w:val="auto"/>
        </w:rPr>
        <w:t xml:space="preserve"> o porezu na dohodak (Narodne novine</w:t>
      </w:r>
      <w:r w:rsidRPr="00890C05">
        <w:rPr>
          <w:bCs w:val="0"/>
          <w:color w:val="auto"/>
        </w:rPr>
        <w:t xml:space="preserve"> </w:t>
      </w:r>
      <w:r w:rsidRPr="00890C05">
        <w:rPr>
          <w:iCs/>
        </w:rPr>
        <w:t>177/</w:t>
      </w:r>
      <w:r>
        <w:rPr>
          <w:iCs/>
        </w:rPr>
        <w:t>04, 73/08, 80/10, 114/11, 22/12 i</w:t>
      </w:r>
      <w:r w:rsidRPr="00890C05">
        <w:rPr>
          <w:iCs/>
        </w:rPr>
        <w:t xml:space="preserve"> 144/12).</w:t>
      </w:r>
    </w:p>
  </w:footnote>
  <w:footnote w:id="60">
    <w:p w:rsidR="004D0AD5" w:rsidRPr="00FF2D21" w:rsidRDefault="004D0AD5">
      <w:pPr>
        <w:pStyle w:val="FootnoteText"/>
        <w:rPr>
          <w:i/>
        </w:rPr>
      </w:pPr>
      <w:r>
        <w:rPr>
          <w:rStyle w:val="FootnoteReference"/>
        </w:rPr>
        <w:footnoteRef/>
      </w:r>
      <w:r>
        <w:t xml:space="preserve"> Ovdje valja ukazati da je upitna pravednost i socijalna opravdanost tumačenja ove odredbe na način da bi </w:t>
      </w:r>
      <w:r>
        <w:rPr>
          <w:rFonts w:cs="Arial"/>
          <w:color w:val="auto"/>
        </w:rPr>
        <w:t xml:space="preserve">neoporezivom bila svaka otpremnina koja se daje bilo prema parametrima i obračunskoj formuli iz Zakona o radu, bilo prema nekim drugim parametrima iz drugog zakona, kolektivnog ugovora, </w:t>
      </w:r>
      <w:r w:rsidRPr="00641867">
        <w:t>pravilnik</w:t>
      </w:r>
      <w:r>
        <w:t>a</w:t>
      </w:r>
      <w:r w:rsidRPr="00641867">
        <w:t xml:space="preserve"> o radu ili ugovor</w:t>
      </w:r>
      <w:r>
        <w:t>a</w:t>
      </w:r>
      <w:r w:rsidRPr="00641867">
        <w:t xml:space="preserve"> o radu</w:t>
      </w:r>
      <w:r>
        <w:t xml:space="preserve"> kojima je, slijedom odredbe članka 119. stavka 3. Zakona o radu, </w:t>
      </w:r>
      <w:r w:rsidRPr="00641867">
        <w:t>otpremnin</w:t>
      </w:r>
      <w:r>
        <w:t>a drugačije uređena, p</w:t>
      </w:r>
      <w:r w:rsidRPr="00641867">
        <w:t xml:space="preserve">od povoljnijim uvjetima </w:t>
      </w:r>
      <w:r>
        <w:t xml:space="preserve">odnosno </w:t>
      </w:r>
      <w:r w:rsidRPr="00641867">
        <w:t xml:space="preserve">u </w:t>
      </w:r>
      <w:r>
        <w:t xml:space="preserve">iznosu višem od onog iz Zakona o radu. Naime, dvojbeno je treba li poslodavcu omogućiti da otpremnine koje on isplaćuje, slijedom ugovorenog ili jednostrano određenog, budu neoporezive i doprinosno neopterećene, te na taj način za njega prihvatljivije i povoljnije, te da budu poticajne poreznoj evaziji i korištenju nekog konkretnog posebnog poreznog statusa za razliku od plaće. Time se, također, odudara i od ustavnog načela o sudjelovanju u podmirenju javnih troškova u skladu sa mogućnostima. </w:t>
      </w:r>
    </w:p>
  </w:footnote>
  <w:footnote w:id="61">
    <w:p w:rsidR="004D0AD5" w:rsidRPr="00B74757" w:rsidRDefault="004D0AD5">
      <w:pPr>
        <w:pStyle w:val="FootnoteText"/>
      </w:pPr>
      <w:r>
        <w:rPr>
          <w:rStyle w:val="FootnoteReference"/>
        </w:rPr>
        <w:footnoteRef/>
      </w:r>
      <w:r>
        <w:t xml:space="preserve"> Te osobe,</w:t>
      </w:r>
      <w:r w:rsidRPr="00B74757">
        <w:t xml:space="preserve"> slijedom odredbe članka 2. </w:t>
      </w:r>
      <w:r>
        <w:t>s</w:t>
      </w:r>
      <w:r w:rsidRPr="00B74757">
        <w:t>tavka 3. Zakona o radu, mogu – ali i ne moraju – kao radnici u radnom odnosu obavljati određene poslove za poslodavca, no ako te poslove i obavljaju u radnom odnosu na njih se ne primjenjuju odredbe Zakona o radu o prestanku ugovora o radu, pa ni ona o pravu na otpremninu.</w:t>
      </w:r>
    </w:p>
  </w:footnote>
  <w:footnote w:id="62">
    <w:p w:rsidR="004D0AD5" w:rsidRDefault="004D0AD5">
      <w:pPr>
        <w:pStyle w:val="FootnoteText"/>
      </w:pPr>
      <w:r>
        <w:rPr>
          <w:rStyle w:val="FootnoteReference"/>
        </w:rPr>
        <w:footnoteRef/>
      </w:r>
      <w:r>
        <w:t xml:space="preserve"> Radi se o manipulacijama koje se kreću od uvođenja elemenata koji u bitnome odudaraju od zakonske svrhe i uređenja otpremnina do nezakonitog postupanja, bilo u vidu iskrivljavanju činjenica na temelju kojih se izračunava otpremnina, bilo u vidu fingiranja otkaznih razloga i procedura, a usmjerene su nepripadnoj isplati otpremnina, uvećanju njihova iznosa ili zlorabljenju neoporezivih iznosa otpremnina. </w:t>
      </w:r>
    </w:p>
  </w:footnote>
  <w:footnote w:id="63">
    <w:p w:rsidR="004D0AD5" w:rsidRPr="00E02E69" w:rsidRDefault="004D0AD5">
      <w:pPr>
        <w:pStyle w:val="FootnoteText"/>
      </w:pPr>
      <w:r>
        <w:rPr>
          <w:rStyle w:val="FootnoteReference"/>
        </w:rPr>
        <w:footnoteRef/>
      </w:r>
      <w:r>
        <w:t xml:space="preserve"> Prema odredbama članka 3. </w:t>
      </w:r>
      <w:r w:rsidRPr="00E02E69">
        <w:rPr>
          <w:color w:val="auto"/>
        </w:rPr>
        <w:t>Zakon</w:t>
      </w:r>
      <w:r>
        <w:rPr>
          <w:color w:val="auto"/>
        </w:rPr>
        <w:t>a</w:t>
      </w:r>
      <w:r w:rsidRPr="00E02E69">
        <w:rPr>
          <w:color w:val="auto"/>
        </w:rPr>
        <w:t xml:space="preserve"> o osiguranju potraživanja radnika u slučaju stečaja poslodavca </w:t>
      </w:r>
      <w:r w:rsidRPr="00E02E69">
        <w:t>(N</w:t>
      </w:r>
      <w:r>
        <w:t>arodne novine</w:t>
      </w:r>
      <w:r w:rsidRPr="00E02E69">
        <w:t xml:space="preserve"> 86/08</w:t>
      </w:r>
      <w:r>
        <w:t xml:space="preserve"> i 80/13</w:t>
      </w:r>
      <w:r w:rsidRPr="00E02E69">
        <w:t>)</w:t>
      </w:r>
      <w:r>
        <w:t>.</w:t>
      </w:r>
    </w:p>
  </w:footnote>
  <w:footnote w:id="64">
    <w:p w:rsidR="004D0AD5" w:rsidRPr="00EB49DB" w:rsidRDefault="004D0AD5" w:rsidP="00EB49DB">
      <w:pPr>
        <w:pStyle w:val="FootnoteText"/>
      </w:pPr>
      <w:r w:rsidRPr="00EB49DB">
        <w:rPr>
          <w:rStyle w:val="FootnoteReference"/>
        </w:rPr>
        <w:footnoteRef/>
      </w:r>
      <w:r w:rsidRPr="00EB49DB">
        <w:t xml:space="preserve"> Prema odredbama Pravilnika o sadržaju obračuna plaće, naknade plaće ili otpremnine (Narodne novine 81/10).</w:t>
      </w:r>
    </w:p>
  </w:footnote>
  <w:footnote w:id="65">
    <w:p w:rsidR="004D0AD5" w:rsidRPr="00EB49DB" w:rsidRDefault="004D0AD5" w:rsidP="00EB49DB">
      <w:pPr>
        <w:pStyle w:val="Footer"/>
        <w:tabs>
          <w:tab w:val="clear" w:pos="4536"/>
          <w:tab w:val="clear" w:pos="9072"/>
        </w:tabs>
        <w:spacing w:line="240" w:lineRule="auto"/>
        <w:rPr>
          <w:sz w:val="20"/>
          <w:szCs w:val="20"/>
        </w:rPr>
      </w:pPr>
      <w:r w:rsidRPr="00EB49DB">
        <w:rPr>
          <w:rStyle w:val="FootnoteReference"/>
          <w:sz w:val="20"/>
          <w:szCs w:val="20"/>
        </w:rPr>
        <w:footnoteRef/>
      </w:r>
      <w:r w:rsidRPr="00EB49DB">
        <w:rPr>
          <w:sz w:val="20"/>
          <w:szCs w:val="20"/>
        </w:rPr>
        <w:t xml:space="preserve"> Vidi: Zuber, Marija. Otpremnine – pravo radnika i porezno određenje. Zagreb: Računovodstvo i financije, 2012, str. 100-106.</w:t>
      </w:r>
    </w:p>
  </w:footnote>
  <w:footnote w:id="66">
    <w:p w:rsidR="004D0AD5" w:rsidRDefault="004D0AD5">
      <w:pPr>
        <w:pStyle w:val="FootnoteText"/>
      </w:pPr>
      <w:r>
        <w:rPr>
          <w:rStyle w:val="FootnoteReference"/>
        </w:rPr>
        <w:footnoteRef/>
      </w:r>
      <w:r>
        <w:t xml:space="preserve"> Tako, primjerice, </w:t>
      </w:r>
      <w:r w:rsidRPr="007C3512">
        <w:t>Hrvatska poštanska banka</w:t>
      </w:r>
      <w:r>
        <w:t xml:space="preserve"> d.d.</w:t>
      </w:r>
      <w:r w:rsidRPr="007C3512">
        <w:t xml:space="preserve"> i Croatia osiguranje</w:t>
      </w:r>
      <w:r>
        <w:t xml:space="preserve"> d.d.</w:t>
      </w:r>
    </w:p>
  </w:footnote>
  <w:footnote w:id="67">
    <w:p w:rsidR="004D0AD5" w:rsidRDefault="004D0AD5">
      <w:pPr>
        <w:pStyle w:val="FootnoteText"/>
      </w:pPr>
      <w:r>
        <w:rPr>
          <w:rStyle w:val="FootnoteReference"/>
        </w:rPr>
        <w:footnoteRef/>
      </w:r>
      <w:r>
        <w:t xml:space="preserve"> Primjerice, uračunavanje staževa kod različitih poslodavaca u jednoj ili čak više javnih službi u jedinstveni staž koji se uzima u obzir kod izračuna otpremnine, nadalje značajno uvećanje, čak i udvostručenje, elemenata u formuli za izračun otpremnine, ili uređenju prema kojem je radniku otpremnina pripadala u svakom slučaju otkaza ugovora o radu – čak i kada sam radnik otkazuje ugovor o radu, kao što je bio slučaj kolektivnog ugovora u Hrvatskom fondu za privatizaciju.</w:t>
      </w:r>
    </w:p>
  </w:footnote>
  <w:footnote w:id="68">
    <w:p w:rsidR="004D0AD5" w:rsidRDefault="004D0AD5">
      <w:pPr>
        <w:pStyle w:val="FootnoteText"/>
      </w:pPr>
      <w:r>
        <w:rPr>
          <w:rStyle w:val="FootnoteReference"/>
        </w:rPr>
        <w:footnoteRef/>
      </w:r>
      <w:r>
        <w:t xml:space="preserve"> Primjerice, iskrivljavanje činjenica na temelju kojih se izračunava otpremnina, nadalje fingiranje otkaznih razloga i procedura, uvođenje elementa “dobrovoljnosti” i radnikova javljanja odnosno ”prihvaćanja” poslodavčeve odluke o otkazu, ponajčešće poslovno ili osobno uvjetovanom. </w:t>
      </w:r>
    </w:p>
  </w:footnote>
  <w:footnote w:id="69">
    <w:p w:rsidR="004D0AD5" w:rsidRDefault="004D0AD5">
      <w:pPr>
        <w:pStyle w:val="FootnoteText"/>
      </w:pPr>
      <w:r>
        <w:rPr>
          <w:rStyle w:val="FootnoteReference"/>
        </w:rPr>
        <w:footnoteRef/>
      </w:r>
      <w:r>
        <w:t xml:space="preserve"> </w:t>
      </w:r>
      <w:r w:rsidRPr="008F6167">
        <w:t xml:space="preserve">Minimalna plaća </w:t>
      </w:r>
      <w:r w:rsidRPr="008F6167">
        <w:rPr>
          <w:rFonts w:cs="Arial"/>
          <w:color w:val="auto"/>
        </w:rPr>
        <w:t xml:space="preserve">za razdoblje od </w:t>
      </w:r>
      <w:r>
        <w:rPr>
          <w:rFonts w:cs="Arial"/>
          <w:color w:val="auto"/>
        </w:rPr>
        <w:t xml:space="preserve">dana </w:t>
      </w:r>
      <w:r w:rsidRPr="008F6167">
        <w:rPr>
          <w:rFonts w:cs="Arial"/>
          <w:color w:val="auto"/>
        </w:rPr>
        <w:t xml:space="preserve">1. lipnja 2012. </w:t>
      </w:r>
      <w:r>
        <w:rPr>
          <w:rFonts w:cs="Arial"/>
          <w:color w:val="auto"/>
        </w:rPr>
        <w:t xml:space="preserve">godine </w:t>
      </w:r>
      <w:r w:rsidRPr="008F6167">
        <w:rPr>
          <w:rFonts w:cs="Arial"/>
          <w:color w:val="auto"/>
        </w:rPr>
        <w:t xml:space="preserve">do </w:t>
      </w:r>
      <w:r>
        <w:rPr>
          <w:rFonts w:cs="Arial"/>
          <w:color w:val="auto"/>
        </w:rPr>
        <w:t xml:space="preserve">dana </w:t>
      </w:r>
      <w:r w:rsidRPr="008F6167">
        <w:rPr>
          <w:rFonts w:cs="Arial"/>
          <w:color w:val="auto"/>
        </w:rPr>
        <w:t xml:space="preserve">31. svibnja 2013. </w:t>
      </w:r>
      <w:r>
        <w:rPr>
          <w:rFonts w:cs="Arial"/>
          <w:color w:val="auto"/>
        </w:rPr>
        <w:t xml:space="preserve">godine </w:t>
      </w:r>
      <w:r w:rsidRPr="008F6167">
        <w:rPr>
          <w:rFonts w:cs="Arial"/>
          <w:color w:val="auto"/>
        </w:rPr>
        <w:t>u Republici Hrvatskoj</w:t>
      </w:r>
      <w:r>
        <w:rPr>
          <w:rFonts w:cs="Arial"/>
          <w:color w:val="auto"/>
        </w:rPr>
        <w:t xml:space="preserve"> </w:t>
      </w:r>
      <w:r w:rsidRPr="008F6167">
        <w:t>iznosi</w:t>
      </w:r>
      <w:r>
        <w:t>la je HRK</w:t>
      </w:r>
      <w:r w:rsidRPr="008F6167">
        <w:t xml:space="preserve"> 2.814</w:t>
      </w:r>
      <w:r>
        <w:t xml:space="preserve">,00 prema objavi Državnog zavoda za statistiku </w:t>
      </w:r>
      <w:r w:rsidRPr="008F6167">
        <w:rPr>
          <w:color w:val="auto"/>
        </w:rPr>
        <w:t>(N</w:t>
      </w:r>
      <w:r>
        <w:rPr>
          <w:color w:val="auto"/>
        </w:rPr>
        <w:t xml:space="preserve">arodne novine </w:t>
      </w:r>
      <w:r w:rsidRPr="008F6167">
        <w:rPr>
          <w:color w:val="auto"/>
        </w:rPr>
        <w:t>60/12)</w:t>
      </w:r>
      <w:r>
        <w:rPr>
          <w:color w:val="auto"/>
        </w:rPr>
        <w:t>.</w:t>
      </w:r>
    </w:p>
  </w:footnote>
  <w:footnote w:id="70">
    <w:p w:rsidR="004D0AD5" w:rsidRDefault="004D0AD5">
      <w:pPr>
        <w:pStyle w:val="FootnoteText"/>
      </w:pPr>
      <w:r>
        <w:rPr>
          <w:rStyle w:val="FootnoteReference"/>
        </w:rPr>
        <w:footnoteRef/>
      </w:r>
      <w:r>
        <w:t xml:space="preserve"> Stečajni zakon (Narodne novine 44/96, 29/99, 129/00, 123/03, 82/06, 116/10, 25/12 i 133/12).</w:t>
      </w:r>
    </w:p>
  </w:footnote>
  <w:footnote w:id="71">
    <w:p w:rsidR="004D0AD5" w:rsidRDefault="004D0AD5">
      <w:pPr>
        <w:pStyle w:val="FootnoteText"/>
      </w:pPr>
      <w:r>
        <w:rPr>
          <w:rStyle w:val="FootnoteReference"/>
        </w:rPr>
        <w:footnoteRef/>
      </w:r>
      <w:r>
        <w:t xml:space="preserve"> Vidi: </w:t>
      </w:r>
      <w:r w:rsidRPr="007C3512">
        <w:t>Krištof, M</w:t>
      </w:r>
      <w:r>
        <w:t>arko</w:t>
      </w:r>
      <w:r w:rsidRPr="007C3512">
        <w:t>. Potiču li neoporezive otpremnine prerano umirovljenje? Banka,</w:t>
      </w:r>
      <w:r>
        <w:t xml:space="preserve"> 2011.</w:t>
      </w:r>
      <w:r w:rsidRPr="007C3512">
        <w:t xml:space="preserve"> </w:t>
      </w:r>
      <w:r>
        <w:t>(</w:t>
      </w:r>
      <w:r w:rsidRPr="007C3512">
        <w:t>dostupno na</w:t>
      </w:r>
      <w:r>
        <w:t>:</w:t>
      </w:r>
      <w:r w:rsidRPr="007C3512">
        <w:t xml:space="preserve"> </w:t>
      </w:r>
      <w:r w:rsidRPr="00DE31AF">
        <w:t>www.banka.hr/UserDocsImages/.../AMS_</w:t>
      </w:r>
      <w:r w:rsidRPr="00DE31AF">
        <w:rPr>
          <w:bCs w:val="0"/>
        </w:rPr>
        <w:t>Kristof</w:t>
      </w:r>
      <w:r w:rsidRPr="00DE31AF">
        <w:t>_2011-03_17.ppt</w:t>
      </w:r>
      <w:r>
        <w:t>).</w:t>
      </w:r>
    </w:p>
  </w:footnote>
  <w:footnote w:id="72">
    <w:p w:rsidR="004D0AD5" w:rsidRDefault="004D0AD5">
      <w:pPr>
        <w:pStyle w:val="FootnoteText"/>
      </w:pPr>
      <w:r>
        <w:rPr>
          <w:rStyle w:val="FootnoteReference"/>
        </w:rPr>
        <w:footnoteRef/>
      </w:r>
      <w:r>
        <w:t xml:space="preserve"> Vidi: Bejaković, Predrag. Poteškoće oko mogućeg osnivanja posebnog fonda za otpremnine. Radno pravo – Stručni časopis, 10, 2013., 5, str. 33.</w:t>
      </w:r>
    </w:p>
  </w:footnote>
  <w:footnote w:id="73">
    <w:p w:rsidR="004D0AD5" w:rsidRDefault="004D0AD5">
      <w:pPr>
        <w:pStyle w:val="FootnoteText"/>
      </w:pPr>
      <w:r>
        <w:rPr>
          <w:rStyle w:val="FootnoteReference"/>
        </w:rPr>
        <w:footnoteRef/>
      </w:r>
      <w:r>
        <w:t xml:space="preserve"> Vidi: Zuber, Marija: </w:t>
      </w:r>
      <w:r w:rsidRPr="00582661">
        <w:t>Kakva je veza između uplaćenog doprinosa i mirovine?</w:t>
      </w:r>
      <w:r w:rsidRPr="007C3512">
        <w:t xml:space="preserve"> Banka,</w:t>
      </w:r>
      <w:r>
        <w:t xml:space="preserve"> 2011. (</w:t>
      </w:r>
      <w:r w:rsidRPr="007C3512">
        <w:t>dostupno na</w:t>
      </w:r>
      <w:r>
        <w:t>:</w:t>
      </w:r>
      <w:r w:rsidRPr="007C3512">
        <w:t xml:space="preserve"> </w:t>
      </w:r>
      <w:r w:rsidRPr="000D600C">
        <w:t>www.</w:t>
      </w:r>
      <w:r>
        <w:t>banka.hr).</w:t>
      </w:r>
    </w:p>
  </w:footnote>
  <w:footnote w:id="74">
    <w:p w:rsidR="004D0AD5" w:rsidRDefault="004D0AD5">
      <w:pPr>
        <w:pStyle w:val="FootnoteText"/>
      </w:pPr>
      <w:r>
        <w:rPr>
          <w:rStyle w:val="FootnoteReference"/>
        </w:rPr>
        <w:footnoteRef/>
      </w:r>
      <w:r>
        <w:t xml:space="preserve"> Vidi: Zuber, Marija</w:t>
      </w:r>
      <w:r w:rsidRPr="001E6319">
        <w:t xml:space="preserve">. </w:t>
      </w:r>
      <w:r>
        <w:t>Plaće</w:t>
      </w:r>
      <w:r w:rsidRPr="001E6319">
        <w:t>, u: Babić, Vera</w:t>
      </w:r>
      <w:r>
        <w:t xml:space="preserve"> </w:t>
      </w:r>
      <w:r w:rsidRPr="006C6621">
        <w:rPr>
          <w:i/>
        </w:rPr>
        <w:t>et al.</w:t>
      </w:r>
      <w:r w:rsidRPr="001E6319">
        <w:t xml:space="preserve"> Veliki komentar novog Zakona o radu. Zagreb: </w:t>
      </w:r>
      <w:r>
        <w:t>Vaša knjiga, 2010., str. 135</w:t>
      </w:r>
      <w:r w:rsidRPr="001E6319">
        <w:t>.</w:t>
      </w:r>
    </w:p>
  </w:footnote>
  <w:footnote w:id="75">
    <w:p w:rsidR="004D0AD5" w:rsidRPr="000A4115" w:rsidRDefault="004D0AD5" w:rsidP="007C4F28">
      <w:pPr>
        <w:pStyle w:val="FootnoteText"/>
      </w:pPr>
      <w:r>
        <w:rPr>
          <w:rStyle w:val="FootnoteReference"/>
        </w:rPr>
        <w:footnoteRef/>
      </w:r>
      <w:r>
        <w:t xml:space="preserve"> Vidi</w:t>
      </w:r>
      <w:r w:rsidRPr="003B6394">
        <w:t xml:space="preserve">: Reforming Severance Pay (ur. Holzmann, Robert; Vodopivec, Milan). Washington: </w:t>
      </w:r>
      <w:r w:rsidRPr="003B6394">
        <w:rPr>
          <w:bCs w:val="0"/>
          <w:color w:val="auto"/>
        </w:rPr>
        <w:t>The International Bank for Reconstruction and Development; The World Bank,</w:t>
      </w:r>
      <w:r w:rsidRPr="003B6394">
        <w:t xml:space="preserve"> 2012., str. </w:t>
      </w:r>
      <w:r>
        <w:t>17-67.</w:t>
      </w:r>
    </w:p>
  </w:footnote>
  <w:footnote w:id="76">
    <w:p w:rsidR="004D0AD5" w:rsidRDefault="004D0AD5">
      <w:pPr>
        <w:pStyle w:val="FootnoteText"/>
      </w:pPr>
      <w:r>
        <w:rPr>
          <w:rStyle w:val="FootnoteReference"/>
        </w:rPr>
        <w:footnoteRef/>
      </w:r>
      <w:r>
        <w:t xml:space="preserve"> </w:t>
      </w:r>
      <w:r w:rsidRPr="00031544">
        <w:t xml:space="preserve">Vidi: Reforming Severance Pay (ur. Holzmann, Robert; Vodopivec, Milan). Washington: </w:t>
      </w:r>
      <w:r w:rsidRPr="00031544">
        <w:rPr>
          <w:bCs w:val="0"/>
          <w:color w:val="auto"/>
        </w:rPr>
        <w:t>The International Bank for Reconstruction and Development; The World Bank,</w:t>
      </w:r>
      <w:r w:rsidRPr="00031544">
        <w:t xml:space="preserve"> 2012.</w:t>
      </w:r>
      <w:r>
        <w:t>;</w:t>
      </w:r>
      <w:r w:rsidRPr="00031544">
        <w:t xml:space="preserve"> Holzmann, Robert</w:t>
      </w:r>
      <w:r>
        <w:t xml:space="preserve"> </w:t>
      </w:r>
      <w:r w:rsidRPr="009D278F">
        <w:rPr>
          <w:i/>
        </w:rPr>
        <w:t>et al.</w:t>
      </w:r>
      <w:r w:rsidRPr="00031544">
        <w:t xml:space="preserve"> </w:t>
      </w:r>
      <w:r>
        <w:t xml:space="preserve">Severance Pay Programs around the World: </w:t>
      </w:r>
      <w:r w:rsidRPr="004840EF">
        <w:rPr>
          <w:bCs w:val="0"/>
          <w:color w:val="auto"/>
        </w:rPr>
        <w:t>History, Rationale,</w:t>
      </w:r>
      <w:r>
        <w:rPr>
          <w:bCs w:val="0"/>
          <w:color w:val="auto"/>
        </w:rPr>
        <w:t xml:space="preserve"> Status, and</w:t>
      </w:r>
      <w:r w:rsidRPr="004840EF">
        <w:rPr>
          <w:bCs w:val="0"/>
          <w:color w:val="auto"/>
        </w:rPr>
        <w:t xml:space="preserve"> Reforms</w:t>
      </w:r>
      <w:r w:rsidRPr="004840EF">
        <w:rPr>
          <w:color w:val="auto"/>
        </w:rPr>
        <w:t xml:space="preserve">. </w:t>
      </w:r>
      <w:r w:rsidRPr="004840EF">
        <w:rPr>
          <w:bCs w:val="0"/>
          <w:color w:val="auto"/>
        </w:rPr>
        <w:t>Hirschegg</w:t>
      </w:r>
      <w:r>
        <w:rPr>
          <w:bCs w:val="0"/>
          <w:color w:val="auto"/>
        </w:rPr>
        <w:t>;</w:t>
      </w:r>
      <w:r w:rsidRPr="004840EF">
        <w:rPr>
          <w:bCs w:val="0"/>
          <w:color w:val="auto"/>
        </w:rPr>
        <w:t xml:space="preserve"> Marseille</w:t>
      </w:r>
      <w:r>
        <w:rPr>
          <w:bCs w:val="0"/>
          <w:color w:val="auto"/>
        </w:rPr>
        <w:t>;</w:t>
      </w:r>
      <w:r w:rsidRPr="004840EF">
        <w:rPr>
          <w:bCs w:val="0"/>
          <w:color w:val="auto"/>
        </w:rPr>
        <w:t xml:space="preserve"> Pretoria</w:t>
      </w:r>
      <w:r>
        <w:rPr>
          <w:bCs w:val="0"/>
          <w:color w:val="auto"/>
        </w:rPr>
        <w:t xml:space="preserve">; </w:t>
      </w:r>
      <w:r w:rsidRPr="004840EF">
        <w:rPr>
          <w:bCs w:val="0"/>
          <w:color w:val="auto"/>
        </w:rPr>
        <w:t>Washington</w:t>
      </w:r>
      <w:r w:rsidRPr="004840EF">
        <w:t xml:space="preserve">: </w:t>
      </w:r>
      <w:r w:rsidRPr="00031544">
        <w:rPr>
          <w:bCs w:val="0"/>
          <w:color w:val="auto"/>
        </w:rPr>
        <w:t>The World Bank</w:t>
      </w:r>
      <w:r>
        <w:rPr>
          <w:bCs w:val="0"/>
          <w:color w:val="auto"/>
        </w:rPr>
        <w:t>; IZA</w:t>
      </w:r>
      <w:r w:rsidRPr="00031544">
        <w:rPr>
          <w:bCs w:val="0"/>
          <w:color w:val="auto"/>
        </w:rPr>
        <w:t>,</w:t>
      </w:r>
      <w:r w:rsidRPr="00031544">
        <w:t xml:space="preserve"> 201</w:t>
      </w:r>
      <w:r>
        <w:t>1.</w:t>
      </w:r>
    </w:p>
  </w:footnote>
  <w:footnote w:id="77">
    <w:p w:rsidR="004D0AD5" w:rsidRDefault="004D0AD5" w:rsidP="005730C9">
      <w:pPr>
        <w:pStyle w:val="Reference"/>
        <w:spacing w:after="0" w:line="240" w:lineRule="auto"/>
        <w:ind w:left="0" w:firstLine="0"/>
      </w:pPr>
      <w:r>
        <w:rPr>
          <w:rStyle w:val="FootnoteReference"/>
        </w:rPr>
        <w:footnoteRef/>
      </w:r>
      <w:r>
        <w:t xml:space="preserve"> </w:t>
      </w:r>
      <w:r w:rsidRPr="005730C9">
        <w:rPr>
          <w:rFonts w:ascii="Times New Roman" w:hAnsi="Times New Roman" w:cs="Times New Roman"/>
        </w:rPr>
        <w:t xml:space="preserve">Vidi: </w:t>
      </w:r>
      <w:r w:rsidRPr="005730C9">
        <w:rPr>
          <w:rFonts w:ascii="Times New Roman" w:hAnsi="Times New Roman" w:cs="Times New Roman"/>
          <w:bCs/>
          <w:lang w:val="en"/>
        </w:rPr>
        <w:t>Organisation for Economic Co-operation and Development</w:t>
      </w:r>
      <w:r w:rsidRPr="005730C9">
        <w:rPr>
          <w:rFonts w:ascii="Times New Roman" w:hAnsi="Times New Roman" w:cs="Times New Roman"/>
        </w:rPr>
        <w:t xml:space="preserve">. Employment Outlook. Pariz: </w:t>
      </w:r>
      <w:r w:rsidRPr="005730C9">
        <w:rPr>
          <w:rFonts w:ascii="Times New Roman" w:hAnsi="Times New Roman" w:cs="Times New Roman"/>
          <w:bCs/>
          <w:lang w:val="en"/>
        </w:rPr>
        <w:t>Organisation for Economic Co-operation and Development, 2004.</w:t>
      </w:r>
      <w:r w:rsidRPr="005730C9">
        <w:rPr>
          <w:b/>
          <w:bCs/>
          <w:lang w:val="en"/>
        </w:rPr>
        <w:t xml:space="preserve"> </w:t>
      </w:r>
    </w:p>
  </w:footnote>
  <w:footnote w:id="78">
    <w:p w:rsidR="004D0AD5" w:rsidRPr="005730C9" w:rsidRDefault="004D0AD5">
      <w:pPr>
        <w:pStyle w:val="FootnoteText"/>
        <w:rPr>
          <w:color w:val="auto"/>
        </w:rPr>
      </w:pPr>
      <w:r w:rsidRPr="005730C9">
        <w:rPr>
          <w:rStyle w:val="FootnoteReference"/>
          <w:color w:val="auto"/>
        </w:rPr>
        <w:footnoteRef/>
      </w:r>
      <w:r w:rsidRPr="005730C9">
        <w:rPr>
          <w:color w:val="auto"/>
        </w:rPr>
        <w:t xml:space="preserve"> </w:t>
      </w:r>
      <w:r>
        <w:rPr>
          <w:color w:val="auto"/>
        </w:rPr>
        <w:t xml:space="preserve">Vidi: </w:t>
      </w:r>
      <w:r w:rsidRPr="005730C9">
        <w:rPr>
          <w:color w:val="auto"/>
        </w:rPr>
        <w:t>Davis</w:t>
      </w:r>
      <w:r>
        <w:rPr>
          <w:color w:val="auto"/>
        </w:rPr>
        <w:t xml:space="preserve">, </w:t>
      </w:r>
      <w:r w:rsidRPr="005730C9">
        <w:rPr>
          <w:color w:val="auto"/>
        </w:rPr>
        <w:t>Steven J.</w:t>
      </w:r>
      <w:r>
        <w:rPr>
          <w:color w:val="auto"/>
        </w:rPr>
        <w:t xml:space="preserve">; </w:t>
      </w:r>
      <w:r w:rsidRPr="005730C9">
        <w:rPr>
          <w:color w:val="auto"/>
        </w:rPr>
        <w:t>Haltiwanger,</w:t>
      </w:r>
      <w:r>
        <w:rPr>
          <w:color w:val="auto"/>
        </w:rPr>
        <w:t xml:space="preserve"> John.</w:t>
      </w:r>
      <w:r w:rsidRPr="005730C9">
        <w:rPr>
          <w:color w:val="auto"/>
        </w:rPr>
        <w:t xml:space="preserve"> </w:t>
      </w:r>
      <w:hyperlink r:id="rId1" w:history="1">
        <w:r w:rsidRPr="005730C9">
          <w:rPr>
            <w:bCs w:val="0"/>
            <w:color w:val="auto"/>
          </w:rPr>
          <w:t>Sectoral Job Creation and Destruction Responses to Oil Price Changes</w:t>
        </w:r>
      </w:hyperlink>
      <w:r>
        <w:rPr>
          <w:bCs w:val="0"/>
          <w:color w:val="auto"/>
        </w:rPr>
        <w:t xml:space="preserve"> (</w:t>
      </w:r>
      <w:hyperlink r:id="rId2" w:history="1">
        <w:r w:rsidRPr="005730C9">
          <w:rPr>
            <w:color w:val="auto"/>
          </w:rPr>
          <w:t>NBER Working Papers</w:t>
        </w:r>
      </w:hyperlink>
      <w:r w:rsidRPr="005730C9">
        <w:rPr>
          <w:color w:val="auto"/>
        </w:rPr>
        <w:t xml:space="preserve"> 7095</w:t>
      </w:r>
      <w:r>
        <w:rPr>
          <w:color w:val="auto"/>
        </w:rPr>
        <w:t>).</w:t>
      </w:r>
      <w:r w:rsidRPr="005730C9">
        <w:rPr>
          <w:color w:val="auto"/>
        </w:rPr>
        <w:t xml:space="preserve"> </w:t>
      </w:r>
      <w:r>
        <w:rPr>
          <w:color w:val="auto"/>
        </w:rPr>
        <w:t xml:space="preserve">Cambridge: </w:t>
      </w:r>
      <w:r w:rsidRPr="005730C9">
        <w:rPr>
          <w:color w:val="auto"/>
        </w:rPr>
        <w:t>National Bureau of Economic Research Inc.</w:t>
      </w:r>
      <w:r>
        <w:rPr>
          <w:color w:val="auto"/>
        </w:rPr>
        <w:t>, 1999.</w:t>
      </w:r>
    </w:p>
  </w:footnote>
  <w:footnote w:id="79">
    <w:p w:rsidR="004D0AD5" w:rsidRPr="002B205C" w:rsidRDefault="004D0AD5">
      <w:pPr>
        <w:pStyle w:val="FootnoteText"/>
      </w:pPr>
      <w:r>
        <w:rPr>
          <w:rStyle w:val="FootnoteReference"/>
        </w:rPr>
        <w:footnoteRef/>
      </w:r>
      <w:r>
        <w:t xml:space="preserve"> </w:t>
      </w:r>
      <w:r w:rsidRPr="002B205C">
        <w:t>Vidi: Boeri, Tito; Garibaldi, Pietro. Beyond Eurosclerosis</w:t>
      </w:r>
      <w:r>
        <w:t>.</w:t>
      </w:r>
      <w:r w:rsidRPr="002B205C">
        <w:t xml:space="preserve"> Economic Policy</w:t>
      </w:r>
      <w:r>
        <w:t>,</w:t>
      </w:r>
      <w:r w:rsidRPr="002B205C">
        <w:t xml:space="preserve"> 24</w:t>
      </w:r>
      <w:r>
        <w:t>, 2</w:t>
      </w:r>
      <w:r w:rsidRPr="002B205C">
        <w:t>009.,</w:t>
      </w:r>
      <w:r>
        <w:t xml:space="preserve"> 7, str.</w:t>
      </w:r>
      <w:r w:rsidRPr="002B205C">
        <w:t xml:space="preserve"> 409-</w:t>
      </w:r>
      <w:r>
        <w:t>4</w:t>
      </w:r>
      <w:r w:rsidRPr="002B205C">
        <w:t>61.</w:t>
      </w:r>
    </w:p>
  </w:footnote>
  <w:footnote w:id="80">
    <w:p w:rsidR="004D0AD5" w:rsidRDefault="004D0AD5">
      <w:pPr>
        <w:pStyle w:val="FootnoteText"/>
      </w:pPr>
      <w:r>
        <w:rPr>
          <w:rStyle w:val="FootnoteReference"/>
        </w:rPr>
        <w:footnoteRef/>
      </w:r>
      <w:r w:rsidRPr="00FF226A">
        <w:t xml:space="preserve"> </w:t>
      </w:r>
      <w:r>
        <w:t xml:space="preserve">Vidi: </w:t>
      </w:r>
      <w:r w:rsidRPr="00FF226A">
        <w:t xml:space="preserve">Parsons, Donald O. Mandated Severance Pay and Firing Cost Distortions: A Critical Review of the Evidence, u: Reforming Severance Pay (ur. Holzmann, Robert; Vodopivec, Milan). Washington: </w:t>
      </w:r>
      <w:r w:rsidRPr="00FF226A">
        <w:rPr>
          <w:bCs w:val="0"/>
          <w:color w:val="auto"/>
        </w:rPr>
        <w:t>The International Bank for Reconstruction and Development; The World Bank,</w:t>
      </w:r>
      <w:r w:rsidRPr="00FF226A">
        <w:t xml:space="preserve"> 2012.</w:t>
      </w:r>
      <w:r>
        <w:t>, str. 121-157.</w:t>
      </w:r>
    </w:p>
  </w:footnote>
  <w:footnote w:id="81">
    <w:p w:rsidR="004D0AD5" w:rsidRDefault="004D0AD5">
      <w:pPr>
        <w:pStyle w:val="FootnoteText"/>
      </w:pPr>
      <w:r>
        <w:rPr>
          <w:rStyle w:val="FootnoteReference"/>
        </w:rPr>
        <w:footnoteRef/>
      </w:r>
      <w:r w:rsidRPr="00B5586F">
        <w:t xml:space="preserve"> Vidi: Hofer, Helmut; Schuh, Ulrik; Walch, Dominik. Effects of the Austrian Severance Pay Reform, u: Reforming Severance Pay (ur. Holzmann, Robert; Vodopivec, Milan). Washington: </w:t>
      </w:r>
      <w:r w:rsidRPr="00B5586F">
        <w:rPr>
          <w:bCs w:val="0"/>
          <w:color w:val="auto"/>
        </w:rPr>
        <w:t>The International Bank for Reconstruction and Development; The World Bank,</w:t>
      </w:r>
      <w:r w:rsidRPr="00B5586F">
        <w:t xml:space="preserve"> 2012., str. 1</w:t>
      </w:r>
      <w:r>
        <w:t>77</w:t>
      </w:r>
      <w:r w:rsidRPr="00B5586F">
        <w:t>-</w:t>
      </w:r>
      <w:r>
        <w:t>209</w:t>
      </w:r>
      <w:r w:rsidRPr="00B5586F">
        <w:t>.</w:t>
      </w:r>
    </w:p>
  </w:footnote>
  <w:footnote w:id="82">
    <w:p w:rsidR="004D0AD5" w:rsidRPr="00D4607C" w:rsidRDefault="004D0AD5" w:rsidP="00D4607C">
      <w:pPr>
        <w:pStyle w:val="Reference"/>
        <w:spacing w:after="0" w:line="240" w:lineRule="auto"/>
        <w:ind w:left="0" w:firstLine="0"/>
        <w:rPr>
          <w:rFonts w:ascii="Times New Roman" w:hAnsi="Times New Roman" w:cs="Times New Roman"/>
        </w:rPr>
      </w:pPr>
      <w:r w:rsidRPr="00D4607C">
        <w:rPr>
          <w:rStyle w:val="FootnoteReference"/>
          <w:rFonts w:ascii="Times New Roman" w:hAnsi="Times New Roman" w:cs="Times New Roman"/>
        </w:rPr>
        <w:footnoteRef/>
      </w:r>
      <w:r w:rsidRPr="00D4607C">
        <w:rPr>
          <w:rFonts w:ascii="Times New Roman" w:hAnsi="Times New Roman" w:cs="Times New Roman"/>
        </w:rPr>
        <w:t xml:space="preserve"> Vidi: Abfertigungen im Spannungsfeld der Wirtschaftspolitik </w:t>
      </w:r>
      <w:r w:rsidRPr="00D4607C">
        <w:rPr>
          <w:rFonts w:ascii="Times New Roman" w:hAnsi="Times New Roman" w:cs="Times New Roman"/>
        </w:rPr>
        <w:noBreakHyphen/>
        <w:t xml:space="preserve"> Eine interdisziplinäre Analyse (ur. Genser, Bernd). Beč: Manz, 1987.; Europan Industral Relations Observatory. Reform of Severance Pay under Discussion. Dublin: Europan Industral Relations Observatory, 2001. (dostupno na: www.eiro.eurofound.ie/2001/06/inbrief/at0106220n.html); Klec, Gerald. Flexicurity and the Reform of the Austrian Severance-pay System. Brussels: ETUI-REHS, 2007.</w:t>
      </w:r>
    </w:p>
  </w:footnote>
  <w:footnote w:id="83">
    <w:p w:rsidR="004D0AD5" w:rsidRPr="00AE7171" w:rsidRDefault="004D0AD5">
      <w:pPr>
        <w:pStyle w:val="FootnoteText"/>
      </w:pPr>
      <w:r>
        <w:rPr>
          <w:rStyle w:val="FootnoteReference"/>
        </w:rPr>
        <w:footnoteRef/>
      </w:r>
      <w:r>
        <w:t xml:space="preserve"> </w:t>
      </w:r>
      <w:r w:rsidRPr="00AE7171">
        <w:t>Vidi: Kristen, Sabine; Pinggera, Winfried; Schön, Rosemarie. Abfertigung Neu: Überblick über die Neuregelungen durch das Betriebliche Mitarbeitervorsorgegesetz</w:t>
      </w:r>
      <w:r>
        <w:t>.</w:t>
      </w:r>
      <w:r w:rsidRPr="00AE7171">
        <w:t xml:space="preserve"> Recht der Wirtschaft</w:t>
      </w:r>
      <w:r>
        <w:t xml:space="preserve"> 2002., </w:t>
      </w:r>
      <w:r w:rsidRPr="00AE7171">
        <w:t>7.</w:t>
      </w:r>
    </w:p>
  </w:footnote>
  <w:footnote w:id="84">
    <w:p w:rsidR="004D0AD5" w:rsidRPr="00AE7171" w:rsidRDefault="004D0AD5" w:rsidP="002214A1">
      <w:pPr>
        <w:pStyle w:val="FootnoteText"/>
      </w:pPr>
      <w:r>
        <w:rPr>
          <w:rStyle w:val="FootnoteReference"/>
        </w:rPr>
        <w:footnoteRef/>
      </w:r>
      <w:r>
        <w:t xml:space="preserve"> </w:t>
      </w:r>
      <w:r w:rsidRPr="00AE7171">
        <w:t>Vidi: Kristen, Sabine; Pinggera, Winfried; Schön, Rosemarie. Abfertigung Neu: Überblick über die Neuregelungen durch das Betriebliche Mitarbeitervorsorgegesetz</w:t>
      </w:r>
      <w:r>
        <w:t>.</w:t>
      </w:r>
      <w:r w:rsidRPr="00AE7171">
        <w:t xml:space="preserve"> Recht der Wirtschaft</w:t>
      </w:r>
      <w:r>
        <w:t xml:space="preserve"> 2002., </w:t>
      </w:r>
      <w:r w:rsidRPr="00AE7171">
        <w:t>7.</w:t>
      </w:r>
    </w:p>
  </w:footnote>
  <w:footnote w:id="85">
    <w:p w:rsidR="004D0AD5" w:rsidRDefault="004D0AD5">
      <w:pPr>
        <w:pStyle w:val="FootnoteText"/>
      </w:pPr>
      <w:r>
        <w:rPr>
          <w:rStyle w:val="FootnoteReference"/>
        </w:rPr>
        <w:footnoteRef/>
      </w:r>
      <w:r>
        <w:t xml:space="preserve"> </w:t>
      </w:r>
      <w:r w:rsidRPr="005730C9">
        <w:t>Vidi</w:t>
      </w:r>
      <w:r>
        <w:t xml:space="preserve"> i</w:t>
      </w:r>
      <w:r w:rsidRPr="005730C9">
        <w:t xml:space="preserve">: </w:t>
      </w:r>
      <w:r w:rsidRPr="005730C9">
        <w:rPr>
          <w:bCs w:val="0"/>
          <w:lang w:val="en"/>
        </w:rPr>
        <w:t>Organisation for Economic Co-operation and Development</w:t>
      </w:r>
      <w:r w:rsidRPr="005730C9">
        <w:t xml:space="preserve">. Employment Outlook. Pariz: </w:t>
      </w:r>
      <w:r w:rsidRPr="005730C9">
        <w:rPr>
          <w:bCs w:val="0"/>
          <w:lang w:val="en"/>
        </w:rPr>
        <w:t>Organisation for Economic Co-operation and Development, 2004.</w:t>
      </w:r>
    </w:p>
  </w:footnote>
  <w:footnote w:id="86">
    <w:p w:rsidR="004D0AD5" w:rsidRPr="00A46A13" w:rsidRDefault="004D0AD5">
      <w:pPr>
        <w:pStyle w:val="FootnoteText"/>
      </w:pPr>
      <w:r w:rsidRPr="00A46A13">
        <w:rPr>
          <w:rStyle w:val="FootnoteReference"/>
        </w:rPr>
        <w:footnoteRef/>
      </w:r>
      <w:r w:rsidRPr="00A46A13">
        <w:t xml:space="preserve"> </w:t>
      </w:r>
      <w:r>
        <w:t xml:space="preserve">Prema: </w:t>
      </w:r>
      <w:r w:rsidRPr="00A46A13">
        <w:t>Bassanini, A</w:t>
      </w:r>
      <w:r>
        <w:t>narea;</w:t>
      </w:r>
      <w:r w:rsidRPr="00A46A13">
        <w:t xml:space="preserve"> </w:t>
      </w:r>
      <w:r>
        <w:t>N</w:t>
      </w:r>
      <w:r w:rsidRPr="00A46A13">
        <w:t>unziata,</w:t>
      </w:r>
      <w:r>
        <w:t xml:space="preserve"> Luca; </w:t>
      </w:r>
      <w:r w:rsidRPr="00A46A13">
        <w:t>Venn</w:t>
      </w:r>
      <w:r>
        <w:t xml:space="preserve">, Danniele. </w:t>
      </w:r>
      <w:r w:rsidRPr="00A46A13">
        <w:t>Job Protection Legislation and Productivity Growth in OECD Countries</w:t>
      </w:r>
      <w:r>
        <w:t>.</w:t>
      </w:r>
      <w:r w:rsidRPr="00A46A13">
        <w:t xml:space="preserve"> Economic Policy, </w:t>
      </w:r>
      <w:r>
        <w:t xml:space="preserve">2009., </w:t>
      </w:r>
      <w:r w:rsidRPr="00A46A13">
        <w:t xml:space="preserve">58, </w:t>
      </w:r>
      <w:r>
        <w:t xml:space="preserve">str. </w:t>
      </w:r>
      <w:r w:rsidRPr="00A46A13">
        <w:t>351-402.</w:t>
      </w:r>
    </w:p>
  </w:footnote>
  <w:footnote w:id="87">
    <w:p w:rsidR="004D0AD5" w:rsidRPr="00A46A13" w:rsidRDefault="004D0AD5">
      <w:pPr>
        <w:pStyle w:val="FootnoteText"/>
      </w:pPr>
      <w:r w:rsidRPr="00A46A13">
        <w:rPr>
          <w:rStyle w:val="FootnoteReference"/>
        </w:rPr>
        <w:footnoteRef/>
      </w:r>
      <w:r w:rsidRPr="00A46A13">
        <w:t xml:space="preserve"> Vidi: Hofer, Helmut; Schuh, Ulrich; Walch, Dominik. 2012. Effects of the Austrian Severance Pay Reform, u: Reforming Severance Pay (ur. Holzmann, Robert; Vodopivec, Milan). Washington: </w:t>
      </w:r>
      <w:r w:rsidRPr="00A46A13">
        <w:rPr>
          <w:bCs w:val="0"/>
          <w:color w:val="auto"/>
        </w:rPr>
        <w:t>The International Bank for Reconstruction and Development; The World Bank,</w:t>
      </w:r>
      <w:r>
        <w:t xml:space="preserve"> 2012.</w:t>
      </w:r>
    </w:p>
  </w:footnote>
  <w:footnote w:id="88">
    <w:p w:rsidR="004D0AD5" w:rsidRPr="0059531D" w:rsidRDefault="004D0AD5" w:rsidP="007C4F28">
      <w:pPr>
        <w:pStyle w:val="FootnoteText"/>
      </w:pPr>
      <w:r w:rsidRPr="0059531D">
        <w:rPr>
          <w:rStyle w:val="FootnoteReference"/>
        </w:rPr>
        <w:footnoteRef/>
      </w:r>
      <w:r w:rsidRPr="0059531D">
        <w:t xml:space="preserve"> Vidi</w:t>
      </w:r>
      <w:r>
        <w:t>:</w:t>
      </w:r>
      <w:r w:rsidRPr="0059531D">
        <w:t xml:space="preserve"> Felderer, Bernhard </w:t>
      </w:r>
      <w:r w:rsidRPr="0059531D">
        <w:rPr>
          <w:i/>
        </w:rPr>
        <w:t xml:space="preserve">et al. </w:t>
      </w:r>
      <w:r w:rsidRPr="0059531D">
        <w:t xml:space="preserve">Perspektiven der betrieblichen Altersvorsorge in Österreich - </w:t>
      </w:r>
      <w:r w:rsidRPr="0059531D">
        <w:rPr>
          <w:lang w:val="en"/>
        </w:rPr>
        <w:t>Studie im Auftrag der Wirtschaftskammer Wien. Wien:</w:t>
      </w:r>
      <w:r w:rsidRPr="0059531D">
        <w:t xml:space="preserve"> </w:t>
      </w:r>
      <w:r w:rsidRPr="0059531D">
        <w:rPr>
          <w:lang w:val="en"/>
        </w:rPr>
        <w:t>Institute for Advanced Studies,</w:t>
      </w:r>
      <w:r w:rsidRPr="0059531D">
        <w:t xml:space="preserve"> 2008.</w:t>
      </w:r>
    </w:p>
  </w:footnote>
  <w:footnote w:id="89">
    <w:p w:rsidR="004D0AD5" w:rsidRDefault="004D0AD5">
      <w:pPr>
        <w:pStyle w:val="FootnoteText"/>
      </w:pPr>
      <w:r>
        <w:rPr>
          <w:rStyle w:val="FootnoteReference"/>
        </w:rPr>
        <w:footnoteRef/>
      </w:r>
      <w:r>
        <w:t xml:space="preserve"> Stopa zamjene je udio prosječne plaće u prosječnoj mirovini. </w:t>
      </w:r>
    </w:p>
  </w:footnote>
  <w:footnote w:id="90">
    <w:p w:rsidR="004D0AD5" w:rsidRDefault="004D0AD5" w:rsidP="002E496E">
      <w:pPr>
        <w:spacing w:line="240" w:lineRule="auto"/>
      </w:pPr>
      <w:r w:rsidRPr="00EB2A7C">
        <w:rPr>
          <w:rStyle w:val="FootnoteReference"/>
          <w:sz w:val="20"/>
          <w:szCs w:val="20"/>
        </w:rPr>
        <w:footnoteRef/>
      </w:r>
      <w:r w:rsidRPr="00EB2A7C">
        <w:rPr>
          <w:sz w:val="20"/>
          <w:szCs w:val="20"/>
        </w:rPr>
        <w:t xml:space="preserve"> </w:t>
      </w:r>
      <w:r w:rsidRPr="002E496E">
        <w:rPr>
          <w:sz w:val="20"/>
          <w:szCs w:val="20"/>
        </w:rPr>
        <w:t xml:space="preserve">Vidi: Urban, Ivica. Što porez na dohodak u Hrvatskoj čini progresivnim? </w:t>
      </w:r>
      <w:r w:rsidRPr="002E496E">
        <w:rPr>
          <w:bCs w:val="0"/>
          <w:iCs/>
          <w:sz w:val="20"/>
          <w:szCs w:val="20"/>
        </w:rPr>
        <w:t xml:space="preserve">Newsletter Instituta za javne financije, 2006., </w:t>
      </w:r>
      <w:r w:rsidRPr="002E496E">
        <w:rPr>
          <w:bCs w:val="0"/>
          <w:iCs/>
          <w:sz w:val="20"/>
          <w:szCs w:val="20"/>
          <w:lang w:val="fr-FR"/>
        </w:rPr>
        <w:t xml:space="preserve">23. (dostupno na: </w:t>
      </w:r>
      <w:r w:rsidRPr="002E496E">
        <w:rPr>
          <w:iCs/>
          <w:sz w:val="20"/>
          <w:szCs w:val="20"/>
          <w:lang w:val="fr-FR"/>
        </w:rPr>
        <w:t>www.ijf.hr/newsletter/23.pdf)</w:t>
      </w:r>
      <w:r>
        <w:rPr>
          <w:iCs/>
          <w:sz w:val="20"/>
          <w:szCs w:val="20"/>
          <w:lang w:val="fr-FR"/>
        </w:rPr>
        <w:t xml:space="preserve">; </w:t>
      </w:r>
      <w:r w:rsidRPr="002E496E">
        <w:rPr>
          <w:sz w:val="20"/>
          <w:szCs w:val="20"/>
          <w:lang w:val="fr-FR"/>
        </w:rPr>
        <w:t xml:space="preserve">Urban, Ivica. Raspodjela poreznog opterećenja u Hrvatskoj. </w:t>
      </w:r>
      <w:r w:rsidRPr="002E496E">
        <w:rPr>
          <w:bCs w:val="0"/>
          <w:iCs/>
          <w:sz w:val="20"/>
          <w:szCs w:val="20"/>
          <w:lang w:val="fr-FR"/>
        </w:rPr>
        <w:t xml:space="preserve">Newsletter Instituta za javne financije, 2011., 58. (dostupno na: </w:t>
      </w:r>
      <w:r w:rsidRPr="002E496E">
        <w:rPr>
          <w:iCs/>
          <w:sz w:val="20"/>
          <w:szCs w:val="20"/>
          <w:lang w:val="fr-FR"/>
        </w:rPr>
        <w:t>www.ijf.hr/newsletter/58.pdf).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pPr>
    </w:lvl>
  </w:abstractNum>
  <w:abstractNum w:abstractNumId="1">
    <w:nsid w:val="0E3A6BDB"/>
    <w:multiLevelType w:val="hybridMultilevel"/>
    <w:tmpl w:val="07EA1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BE3D8A"/>
    <w:multiLevelType w:val="hybridMultilevel"/>
    <w:tmpl w:val="1DA46098"/>
    <w:lvl w:ilvl="0" w:tplc="041A0001">
      <w:start w:val="1"/>
      <w:numFmt w:val="bullet"/>
      <w:lvlText w:val=""/>
      <w:lvlJc w:val="left"/>
      <w:pPr>
        <w:tabs>
          <w:tab w:val="num" w:pos="1320"/>
        </w:tabs>
        <w:ind w:left="1320" w:hanging="360"/>
      </w:pPr>
      <w:rPr>
        <w:rFonts w:ascii="Symbol" w:hAnsi="Symbol" w:hint="default"/>
      </w:rPr>
    </w:lvl>
    <w:lvl w:ilvl="1" w:tplc="2CC83A4E">
      <w:numFmt w:val="bullet"/>
      <w:lvlText w:val="-"/>
      <w:lvlJc w:val="left"/>
      <w:pPr>
        <w:tabs>
          <w:tab w:val="num" w:pos="2040"/>
        </w:tabs>
        <w:ind w:left="2040" w:hanging="360"/>
      </w:pPr>
      <w:rPr>
        <w:rFonts w:ascii="Times New Roman" w:eastAsia="Times New Roman" w:hAnsi="Times New Roman" w:cs="Times New Roman" w:hint="default"/>
      </w:rPr>
    </w:lvl>
    <w:lvl w:ilvl="2" w:tplc="041A0005" w:tentative="1">
      <w:start w:val="1"/>
      <w:numFmt w:val="bullet"/>
      <w:lvlText w:val=""/>
      <w:lvlJc w:val="left"/>
      <w:pPr>
        <w:tabs>
          <w:tab w:val="num" w:pos="2760"/>
        </w:tabs>
        <w:ind w:left="2760" w:hanging="360"/>
      </w:pPr>
      <w:rPr>
        <w:rFonts w:ascii="Wingdings" w:hAnsi="Wingdings" w:hint="default"/>
      </w:rPr>
    </w:lvl>
    <w:lvl w:ilvl="3" w:tplc="041A0001" w:tentative="1">
      <w:start w:val="1"/>
      <w:numFmt w:val="bullet"/>
      <w:lvlText w:val=""/>
      <w:lvlJc w:val="left"/>
      <w:pPr>
        <w:tabs>
          <w:tab w:val="num" w:pos="3480"/>
        </w:tabs>
        <w:ind w:left="3480" w:hanging="360"/>
      </w:pPr>
      <w:rPr>
        <w:rFonts w:ascii="Symbol" w:hAnsi="Symbol" w:hint="default"/>
      </w:rPr>
    </w:lvl>
    <w:lvl w:ilvl="4" w:tplc="041A0003" w:tentative="1">
      <w:start w:val="1"/>
      <w:numFmt w:val="bullet"/>
      <w:lvlText w:val="o"/>
      <w:lvlJc w:val="left"/>
      <w:pPr>
        <w:tabs>
          <w:tab w:val="num" w:pos="4200"/>
        </w:tabs>
        <w:ind w:left="4200" w:hanging="360"/>
      </w:pPr>
      <w:rPr>
        <w:rFonts w:ascii="Courier New" w:hAnsi="Courier New" w:hint="default"/>
      </w:rPr>
    </w:lvl>
    <w:lvl w:ilvl="5" w:tplc="041A0005" w:tentative="1">
      <w:start w:val="1"/>
      <w:numFmt w:val="bullet"/>
      <w:lvlText w:val=""/>
      <w:lvlJc w:val="left"/>
      <w:pPr>
        <w:tabs>
          <w:tab w:val="num" w:pos="4920"/>
        </w:tabs>
        <w:ind w:left="4920" w:hanging="360"/>
      </w:pPr>
      <w:rPr>
        <w:rFonts w:ascii="Wingdings" w:hAnsi="Wingdings" w:hint="default"/>
      </w:rPr>
    </w:lvl>
    <w:lvl w:ilvl="6" w:tplc="041A0001" w:tentative="1">
      <w:start w:val="1"/>
      <w:numFmt w:val="bullet"/>
      <w:lvlText w:val=""/>
      <w:lvlJc w:val="left"/>
      <w:pPr>
        <w:tabs>
          <w:tab w:val="num" w:pos="5640"/>
        </w:tabs>
        <w:ind w:left="5640" w:hanging="360"/>
      </w:pPr>
      <w:rPr>
        <w:rFonts w:ascii="Symbol" w:hAnsi="Symbol" w:hint="default"/>
      </w:rPr>
    </w:lvl>
    <w:lvl w:ilvl="7" w:tplc="041A0003" w:tentative="1">
      <w:start w:val="1"/>
      <w:numFmt w:val="bullet"/>
      <w:lvlText w:val="o"/>
      <w:lvlJc w:val="left"/>
      <w:pPr>
        <w:tabs>
          <w:tab w:val="num" w:pos="6360"/>
        </w:tabs>
        <w:ind w:left="6360" w:hanging="360"/>
      </w:pPr>
      <w:rPr>
        <w:rFonts w:ascii="Courier New" w:hAnsi="Courier New" w:hint="default"/>
      </w:rPr>
    </w:lvl>
    <w:lvl w:ilvl="8" w:tplc="041A0005" w:tentative="1">
      <w:start w:val="1"/>
      <w:numFmt w:val="bullet"/>
      <w:lvlText w:val=""/>
      <w:lvlJc w:val="left"/>
      <w:pPr>
        <w:tabs>
          <w:tab w:val="num" w:pos="7080"/>
        </w:tabs>
        <w:ind w:left="7080" w:hanging="360"/>
      </w:pPr>
      <w:rPr>
        <w:rFonts w:ascii="Wingdings" w:hAnsi="Wingdings" w:hint="default"/>
      </w:rPr>
    </w:lvl>
  </w:abstractNum>
  <w:abstractNum w:abstractNumId="3">
    <w:nsid w:val="13067163"/>
    <w:multiLevelType w:val="hybridMultilevel"/>
    <w:tmpl w:val="A2E0FEDA"/>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C5F219C"/>
    <w:multiLevelType w:val="hybridMultilevel"/>
    <w:tmpl w:val="3DD0B40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CAC241C"/>
    <w:multiLevelType w:val="hybridMultilevel"/>
    <w:tmpl w:val="EE0833C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F09424A"/>
    <w:multiLevelType w:val="hybridMultilevel"/>
    <w:tmpl w:val="A760A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005FAB"/>
    <w:multiLevelType w:val="hybridMultilevel"/>
    <w:tmpl w:val="C6705660"/>
    <w:lvl w:ilvl="0" w:tplc="4388271A">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nsid w:val="2303746A"/>
    <w:multiLevelType w:val="hybridMultilevel"/>
    <w:tmpl w:val="0542014A"/>
    <w:lvl w:ilvl="0" w:tplc="5204D14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4E1451"/>
    <w:multiLevelType w:val="hybridMultilevel"/>
    <w:tmpl w:val="4FA4B562"/>
    <w:lvl w:ilvl="0" w:tplc="4388271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552199"/>
    <w:multiLevelType w:val="hybridMultilevel"/>
    <w:tmpl w:val="97C863EC"/>
    <w:lvl w:ilvl="0" w:tplc="4388271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9731E6"/>
    <w:multiLevelType w:val="hybridMultilevel"/>
    <w:tmpl w:val="0FFED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B047B9B"/>
    <w:multiLevelType w:val="hybridMultilevel"/>
    <w:tmpl w:val="5A0AB1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D182140"/>
    <w:multiLevelType w:val="hybridMultilevel"/>
    <w:tmpl w:val="AE2EB4DC"/>
    <w:lvl w:ilvl="0" w:tplc="4388271A">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1B38C6"/>
    <w:multiLevelType w:val="hybridMultilevel"/>
    <w:tmpl w:val="96A0E9D2"/>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375CDE"/>
    <w:multiLevelType w:val="hybridMultilevel"/>
    <w:tmpl w:val="FA948DB2"/>
    <w:lvl w:ilvl="0" w:tplc="43882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B4A7D"/>
    <w:multiLevelType w:val="hybridMultilevel"/>
    <w:tmpl w:val="A72CF4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73D6AED"/>
    <w:multiLevelType w:val="hybridMultilevel"/>
    <w:tmpl w:val="BB4E161C"/>
    <w:lvl w:ilvl="0" w:tplc="A49C6B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006AD0"/>
    <w:multiLevelType w:val="hybridMultilevel"/>
    <w:tmpl w:val="E28CBD3A"/>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9">
    <w:nsid w:val="39F51F7C"/>
    <w:multiLevelType w:val="hybridMultilevel"/>
    <w:tmpl w:val="069E5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FA4833"/>
    <w:multiLevelType w:val="hybridMultilevel"/>
    <w:tmpl w:val="1A208D34"/>
    <w:lvl w:ilvl="0" w:tplc="90BE570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80B11FF"/>
    <w:multiLevelType w:val="hybridMultilevel"/>
    <w:tmpl w:val="2B303470"/>
    <w:lvl w:ilvl="0" w:tplc="4388271A">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0E571B"/>
    <w:multiLevelType w:val="hybridMultilevel"/>
    <w:tmpl w:val="9FC26D96"/>
    <w:lvl w:ilvl="0" w:tplc="5FBE5E5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D33369"/>
    <w:multiLevelType w:val="hybridMultilevel"/>
    <w:tmpl w:val="E24AE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8F3508"/>
    <w:multiLevelType w:val="hybridMultilevel"/>
    <w:tmpl w:val="59BAC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BBB4EC5"/>
    <w:multiLevelType w:val="hybridMultilevel"/>
    <w:tmpl w:val="630C2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F41C55"/>
    <w:multiLevelType w:val="hybridMultilevel"/>
    <w:tmpl w:val="341A3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ED970F1"/>
    <w:multiLevelType w:val="hybridMultilevel"/>
    <w:tmpl w:val="4D344A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352636"/>
    <w:multiLevelType w:val="hybridMultilevel"/>
    <w:tmpl w:val="D0D61CF4"/>
    <w:lvl w:ilvl="0" w:tplc="A72E37D2">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473657B"/>
    <w:multiLevelType w:val="hybridMultilevel"/>
    <w:tmpl w:val="97202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5746379"/>
    <w:multiLevelType w:val="hybridMultilevel"/>
    <w:tmpl w:val="A3CEC42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8346967"/>
    <w:multiLevelType w:val="hybridMultilevel"/>
    <w:tmpl w:val="9F18C7D6"/>
    <w:lvl w:ilvl="0" w:tplc="80F0E5F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ACF368B"/>
    <w:multiLevelType w:val="hybridMultilevel"/>
    <w:tmpl w:val="8A707AE2"/>
    <w:lvl w:ilvl="0" w:tplc="A1EEC4F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28"/>
  </w:num>
  <w:num w:numId="5">
    <w:abstractNumId w:val="31"/>
  </w:num>
  <w:num w:numId="6">
    <w:abstractNumId w:val="32"/>
  </w:num>
  <w:num w:numId="7">
    <w:abstractNumId w:val="15"/>
  </w:num>
  <w:num w:numId="8">
    <w:abstractNumId w:val="23"/>
  </w:num>
  <w:num w:numId="9">
    <w:abstractNumId w:val="1"/>
  </w:num>
  <w:num w:numId="10">
    <w:abstractNumId w:val="19"/>
  </w:num>
  <w:num w:numId="11">
    <w:abstractNumId w:val="24"/>
  </w:num>
  <w:num w:numId="12">
    <w:abstractNumId w:val="18"/>
  </w:num>
  <w:num w:numId="13">
    <w:abstractNumId w:val="13"/>
  </w:num>
  <w:num w:numId="14">
    <w:abstractNumId w:val="21"/>
  </w:num>
  <w:num w:numId="15">
    <w:abstractNumId w:val="2"/>
  </w:num>
  <w:num w:numId="16">
    <w:abstractNumId w:val="7"/>
  </w:num>
  <w:num w:numId="17">
    <w:abstractNumId w:val="8"/>
  </w:num>
  <w:num w:numId="18">
    <w:abstractNumId w:val="22"/>
  </w:num>
  <w:num w:numId="19">
    <w:abstractNumId w:val="17"/>
  </w:num>
  <w:num w:numId="20">
    <w:abstractNumId w:val="20"/>
  </w:num>
  <w:num w:numId="21">
    <w:abstractNumId w:val="5"/>
  </w:num>
  <w:num w:numId="22">
    <w:abstractNumId w:val="4"/>
  </w:num>
  <w:num w:numId="23">
    <w:abstractNumId w:val="6"/>
  </w:num>
  <w:num w:numId="24">
    <w:abstractNumId w:val="25"/>
  </w:num>
  <w:num w:numId="25">
    <w:abstractNumId w:val="26"/>
  </w:num>
  <w:num w:numId="26">
    <w:abstractNumId w:val="12"/>
  </w:num>
  <w:num w:numId="27">
    <w:abstractNumId w:val="11"/>
  </w:num>
  <w:num w:numId="28">
    <w:abstractNumId w:val="29"/>
  </w:num>
  <w:num w:numId="29">
    <w:abstractNumId w:val="30"/>
  </w:num>
  <w:num w:numId="30">
    <w:abstractNumId w:val="9"/>
  </w:num>
  <w:num w:numId="31">
    <w:abstractNumId w:val="14"/>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80"/>
    <w:rsid w:val="000000F8"/>
    <w:rsid w:val="0000343E"/>
    <w:rsid w:val="000048E8"/>
    <w:rsid w:val="000051B0"/>
    <w:rsid w:val="0000766F"/>
    <w:rsid w:val="000100CD"/>
    <w:rsid w:val="000106D3"/>
    <w:rsid w:val="00010929"/>
    <w:rsid w:val="000121DB"/>
    <w:rsid w:val="00012C71"/>
    <w:rsid w:val="0001478C"/>
    <w:rsid w:val="00027D0F"/>
    <w:rsid w:val="00027FCE"/>
    <w:rsid w:val="00031544"/>
    <w:rsid w:val="0003231D"/>
    <w:rsid w:val="00034521"/>
    <w:rsid w:val="00036185"/>
    <w:rsid w:val="000419DB"/>
    <w:rsid w:val="00041CEE"/>
    <w:rsid w:val="0004475A"/>
    <w:rsid w:val="000622AC"/>
    <w:rsid w:val="00063A47"/>
    <w:rsid w:val="00070B63"/>
    <w:rsid w:val="00070BDE"/>
    <w:rsid w:val="00070ED8"/>
    <w:rsid w:val="000711F4"/>
    <w:rsid w:val="000726B8"/>
    <w:rsid w:val="000737F8"/>
    <w:rsid w:val="00075EA0"/>
    <w:rsid w:val="00077136"/>
    <w:rsid w:val="000873D0"/>
    <w:rsid w:val="0009262F"/>
    <w:rsid w:val="000941D0"/>
    <w:rsid w:val="00096F38"/>
    <w:rsid w:val="000A5303"/>
    <w:rsid w:val="000B52A6"/>
    <w:rsid w:val="000C1365"/>
    <w:rsid w:val="000C52F7"/>
    <w:rsid w:val="000C58F6"/>
    <w:rsid w:val="000C6D2D"/>
    <w:rsid w:val="000D0263"/>
    <w:rsid w:val="000D10E3"/>
    <w:rsid w:val="000D1822"/>
    <w:rsid w:val="000D245B"/>
    <w:rsid w:val="000D27A8"/>
    <w:rsid w:val="000D3075"/>
    <w:rsid w:val="000D55A1"/>
    <w:rsid w:val="000D6FBE"/>
    <w:rsid w:val="000E09A7"/>
    <w:rsid w:val="000E0C86"/>
    <w:rsid w:val="000E1709"/>
    <w:rsid w:val="000F3BEE"/>
    <w:rsid w:val="001002EB"/>
    <w:rsid w:val="001074EA"/>
    <w:rsid w:val="00113840"/>
    <w:rsid w:val="00117C34"/>
    <w:rsid w:val="001279AE"/>
    <w:rsid w:val="0013480A"/>
    <w:rsid w:val="001453AA"/>
    <w:rsid w:val="0014661A"/>
    <w:rsid w:val="00150A10"/>
    <w:rsid w:val="00150EBB"/>
    <w:rsid w:val="0015133F"/>
    <w:rsid w:val="00157FD5"/>
    <w:rsid w:val="00160415"/>
    <w:rsid w:val="00161294"/>
    <w:rsid w:val="001612DA"/>
    <w:rsid w:val="00162A32"/>
    <w:rsid w:val="00163EB4"/>
    <w:rsid w:val="00165C51"/>
    <w:rsid w:val="00167191"/>
    <w:rsid w:val="00173D71"/>
    <w:rsid w:val="001746CD"/>
    <w:rsid w:val="0017744F"/>
    <w:rsid w:val="0018289A"/>
    <w:rsid w:val="00184074"/>
    <w:rsid w:val="001A265D"/>
    <w:rsid w:val="001A3D83"/>
    <w:rsid w:val="001B018C"/>
    <w:rsid w:val="001B09C2"/>
    <w:rsid w:val="001B1BF3"/>
    <w:rsid w:val="001B5F10"/>
    <w:rsid w:val="001B7524"/>
    <w:rsid w:val="001B7EE3"/>
    <w:rsid w:val="001C321E"/>
    <w:rsid w:val="001C57EA"/>
    <w:rsid w:val="001D1230"/>
    <w:rsid w:val="001D5AC2"/>
    <w:rsid w:val="001D7323"/>
    <w:rsid w:val="001D761B"/>
    <w:rsid w:val="001E004E"/>
    <w:rsid w:val="002017C6"/>
    <w:rsid w:val="00210980"/>
    <w:rsid w:val="00217933"/>
    <w:rsid w:val="00220386"/>
    <w:rsid w:val="00220740"/>
    <w:rsid w:val="00220B79"/>
    <w:rsid w:val="002214A1"/>
    <w:rsid w:val="00222086"/>
    <w:rsid w:val="00224CB5"/>
    <w:rsid w:val="00225A4F"/>
    <w:rsid w:val="00227012"/>
    <w:rsid w:val="002313A4"/>
    <w:rsid w:val="0023640B"/>
    <w:rsid w:val="0023766A"/>
    <w:rsid w:val="002479D6"/>
    <w:rsid w:val="00250269"/>
    <w:rsid w:val="0025665F"/>
    <w:rsid w:val="00256C7D"/>
    <w:rsid w:val="002570C4"/>
    <w:rsid w:val="00257D8A"/>
    <w:rsid w:val="002602B7"/>
    <w:rsid w:val="0026040D"/>
    <w:rsid w:val="00264697"/>
    <w:rsid w:val="00267EA9"/>
    <w:rsid w:val="00283EB7"/>
    <w:rsid w:val="0028745A"/>
    <w:rsid w:val="00290802"/>
    <w:rsid w:val="00291261"/>
    <w:rsid w:val="00293CB3"/>
    <w:rsid w:val="0029470C"/>
    <w:rsid w:val="002A1F3A"/>
    <w:rsid w:val="002A215B"/>
    <w:rsid w:val="002A3A68"/>
    <w:rsid w:val="002A77E6"/>
    <w:rsid w:val="002B205C"/>
    <w:rsid w:val="002B454B"/>
    <w:rsid w:val="002B5B84"/>
    <w:rsid w:val="002C39B9"/>
    <w:rsid w:val="002C621E"/>
    <w:rsid w:val="002D075B"/>
    <w:rsid w:val="002D4152"/>
    <w:rsid w:val="002D70C0"/>
    <w:rsid w:val="002E0BC3"/>
    <w:rsid w:val="002E496E"/>
    <w:rsid w:val="002E70F5"/>
    <w:rsid w:val="002F0A22"/>
    <w:rsid w:val="002F19E9"/>
    <w:rsid w:val="002F7052"/>
    <w:rsid w:val="00304876"/>
    <w:rsid w:val="003057A9"/>
    <w:rsid w:val="00311C21"/>
    <w:rsid w:val="00313B89"/>
    <w:rsid w:val="00313C14"/>
    <w:rsid w:val="00314088"/>
    <w:rsid w:val="003257F6"/>
    <w:rsid w:val="00326766"/>
    <w:rsid w:val="0033328B"/>
    <w:rsid w:val="003350A9"/>
    <w:rsid w:val="003462A1"/>
    <w:rsid w:val="00347084"/>
    <w:rsid w:val="00347BFB"/>
    <w:rsid w:val="00350A71"/>
    <w:rsid w:val="0035113B"/>
    <w:rsid w:val="0035329F"/>
    <w:rsid w:val="00356573"/>
    <w:rsid w:val="0036109B"/>
    <w:rsid w:val="00365F8D"/>
    <w:rsid w:val="00367E35"/>
    <w:rsid w:val="0037055F"/>
    <w:rsid w:val="003724FD"/>
    <w:rsid w:val="003756B2"/>
    <w:rsid w:val="003807C9"/>
    <w:rsid w:val="00380807"/>
    <w:rsid w:val="00380C28"/>
    <w:rsid w:val="00380E1B"/>
    <w:rsid w:val="0038192C"/>
    <w:rsid w:val="00381D2B"/>
    <w:rsid w:val="00381F9F"/>
    <w:rsid w:val="003825B5"/>
    <w:rsid w:val="0038309B"/>
    <w:rsid w:val="003841AC"/>
    <w:rsid w:val="003939C4"/>
    <w:rsid w:val="00396A95"/>
    <w:rsid w:val="003A0896"/>
    <w:rsid w:val="003A20EE"/>
    <w:rsid w:val="003A26AA"/>
    <w:rsid w:val="003B1A61"/>
    <w:rsid w:val="003B1C07"/>
    <w:rsid w:val="003B2B5C"/>
    <w:rsid w:val="003B5E99"/>
    <w:rsid w:val="003B6394"/>
    <w:rsid w:val="003C064C"/>
    <w:rsid w:val="003C3983"/>
    <w:rsid w:val="003C4C6D"/>
    <w:rsid w:val="003C6B96"/>
    <w:rsid w:val="003C6F41"/>
    <w:rsid w:val="003D0744"/>
    <w:rsid w:val="003D0C0D"/>
    <w:rsid w:val="003D1A76"/>
    <w:rsid w:val="003D1E49"/>
    <w:rsid w:val="003D5B78"/>
    <w:rsid w:val="003D682D"/>
    <w:rsid w:val="003E1A17"/>
    <w:rsid w:val="003E24EB"/>
    <w:rsid w:val="003E2A53"/>
    <w:rsid w:val="003E4B38"/>
    <w:rsid w:val="003E5FC3"/>
    <w:rsid w:val="003E6929"/>
    <w:rsid w:val="003E70AA"/>
    <w:rsid w:val="003E77D1"/>
    <w:rsid w:val="003F08BE"/>
    <w:rsid w:val="003F6130"/>
    <w:rsid w:val="00405A58"/>
    <w:rsid w:val="004068E9"/>
    <w:rsid w:val="00406DD5"/>
    <w:rsid w:val="0040781D"/>
    <w:rsid w:val="004115A0"/>
    <w:rsid w:val="00413573"/>
    <w:rsid w:val="00414389"/>
    <w:rsid w:val="00416934"/>
    <w:rsid w:val="004269A2"/>
    <w:rsid w:val="0042776D"/>
    <w:rsid w:val="00427F32"/>
    <w:rsid w:val="00431C16"/>
    <w:rsid w:val="004368C5"/>
    <w:rsid w:val="0044141D"/>
    <w:rsid w:val="004417EC"/>
    <w:rsid w:val="00441AC5"/>
    <w:rsid w:val="0044418A"/>
    <w:rsid w:val="00450199"/>
    <w:rsid w:val="00454F4D"/>
    <w:rsid w:val="004602DC"/>
    <w:rsid w:val="00460794"/>
    <w:rsid w:val="00466D80"/>
    <w:rsid w:val="00473031"/>
    <w:rsid w:val="00473A6C"/>
    <w:rsid w:val="00481A4B"/>
    <w:rsid w:val="00482542"/>
    <w:rsid w:val="004840EF"/>
    <w:rsid w:val="00485FE6"/>
    <w:rsid w:val="00492AF2"/>
    <w:rsid w:val="0049429B"/>
    <w:rsid w:val="00494D79"/>
    <w:rsid w:val="00495272"/>
    <w:rsid w:val="00495508"/>
    <w:rsid w:val="004963FD"/>
    <w:rsid w:val="004A1F07"/>
    <w:rsid w:val="004A4F38"/>
    <w:rsid w:val="004A6378"/>
    <w:rsid w:val="004A73E8"/>
    <w:rsid w:val="004B2EF7"/>
    <w:rsid w:val="004B318F"/>
    <w:rsid w:val="004B33EC"/>
    <w:rsid w:val="004B343C"/>
    <w:rsid w:val="004B3F57"/>
    <w:rsid w:val="004B609C"/>
    <w:rsid w:val="004C035A"/>
    <w:rsid w:val="004C7B57"/>
    <w:rsid w:val="004D0AD5"/>
    <w:rsid w:val="004D6A9E"/>
    <w:rsid w:val="004E1AC7"/>
    <w:rsid w:val="004E2535"/>
    <w:rsid w:val="004E3FC9"/>
    <w:rsid w:val="004E4DA8"/>
    <w:rsid w:val="004E6F6D"/>
    <w:rsid w:val="004F112E"/>
    <w:rsid w:val="004F2463"/>
    <w:rsid w:val="00500E12"/>
    <w:rsid w:val="00505A88"/>
    <w:rsid w:val="00517F5A"/>
    <w:rsid w:val="00521467"/>
    <w:rsid w:val="00522EF9"/>
    <w:rsid w:val="00524466"/>
    <w:rsid w:val="00527038"/>
    <w:rsid w:val="005271D8"/>
    <w:rsid w:val="00537A99"/>
    <w:rsid w:val="005435F5"/>
    <w:rsid w:val="005521A0"/>
    <w:rsid w:val="005523BB"/>
    <w:rsid w:val="00556405"/>
    <w:rsid w:val="00560BFE"/>
    <w:rsid w:val="0056422E"/>
    <w:rsid w:val="0056553B"/>
    <w:rsid w:val="00565ACA"/>
    <w:rsid w:val="00571C2D"/>
    <w:rsid w:val="005730C9"/>
    <w:rsid w:val="00573402"/>
    <w:rsid w:val="00573D25"/>
    <w:rsid w:val="00586F1F"/>
    <w:rsid w:val="005875F7"/>
    <w:rsid w:val="00592193"/>
    <w:rsid w:val="005924F2"/>
    <w:rsid w:val="0059501E"/>
    <w:rsid w:val="0059531D"/>
    <w:rsid w:val="005959B4"/>
    <w:rsid w:val="00596DE9"/>
    <w:rsid w:val="005A1E55"/>
    <w:rsid w:val="005A1EBC"/>
    <w:rsid w:val="005A36D4"/>
    <w:rsid w:val="005A3B28"/>
    <w:rsid w:val="005A5531"/>
    <w:rsid w:val="005A5CE9"/>
    <w:rsid w:val="005A702E"/>
    <w:rsid w:val="005B50E2"/>
    <w:rsid w:val="005B54F7"/>
    <w:rsid w:val="005B6EB6"/>
    <w:rsid w:val="005C0C47"/>
    <w:rsid w:val="005C72DF"/>
    <w:rsid w:val="005D004B"/>
    <w:rsid w:val="005D021D"/>
    <w:rsid w:val="005D07C1"/>
    <w:rsid w:val="005D11A9"/>
    <w:rsid w:val="005D4C97"/>
    <w:rsid w:val="005D518F"/>
    <w:rsid w:val="005D5280"/>
    <w:rsid w:val="005E0367"/>
    <w:rsid w:val="005E041A"/>
    <w:rsid w:val="005E067F"/>
    <w:rsid w:val="005E1669"/>
    <w:rsid w:val="005E5503"/>
    <w:rsid w:val="005F04ED"/>
    <w:rsid w:val="005F1C53"/>
    <w:rsid w:val="005F21E2"/>
    <w:rsid w:val="005F3CD9"/>
    <w:rsid w:val="005F4A3F"/>
    <w:rsid w:val="0060220D"/>
    <w:rsid w:val="00604972"/>
    <w:rsid w:val="00606CFB"/>
    <w:rsid w:val="00610A9A"/>
    <w:rsid w:val="00611124"/>
    <w:rsid w:val="006139E5"/>
    <w:rsid w:val="006140CB"/>
    <w:rsid w:val="00614379"/>
    <w:rsid w:val="0061528D"/>
    <w:rsid w:val="00620415"/>
    <w:rsid w:val="00624541"/>
    <w:rsid w:val="00633631"/>
    <w:rsid w:val="00635259"/>
    <w:rsid w:val="006370DE"/>
    <w:rsid w:val="006377F0"/>
    <w:rsid w:val="0064103C"/>
    <w:rsid w:val="00641867"/>
    <w:rsid w:val="006424D4"/>
    <w:rsid w:val="00651C4E"/>
    <w:rsid w:val="0065303B"/>
    <w:rsid w:val="006605D0"/>
    <w:rsid w:val="00661887"/>
    <w:rsid w:val="00672F8D"/>
    <w:rsid w:val="006749C3"/>
    <w:rsid w:val="0067631B"/>
    <w:rsid w:val="0067704C"/>
    <w:rsid w:val="00680A34"/>
    <w:rsid w:val="00683F78"/>
    <w:rsid w:val="00684C2E"/>
    <w:rsid w:val="006854F2"/>
    <w:rsid w:val="00686775"/>
    <w:rsid w:val="006908EE"/>
    <w:rsid w:val="00692DE5"/>
    <w:rsid w:val="006933B1"/>
    <w:rsid w:val="0069433D"/>
    <w:rsid w:val="00695D8E"/>
    <w:rsid w:val="006A009E"/>
    <w:rsid w:val="006B2085"/>
    <w:rsid w:val="006B46DA"/>
    <w:rsid w:val="006C3189"/>
    <w:rsid w:val="006C3334"/>
    <w:rsid w:val="006C4F67"/>
    <w:rsid w:val="006C5B95"/>
    <w:rsid w:val="006C6621"/>
    <w:rsid w:val="006C7764"/>
    <w:rsid w:val="006D0A96"/>
    <w:rsid w:val="006D190D"/>
    <w:rsid w:val="006D2D7C"/>
    <w:rsid w:val="006D304A"/>
    <w:rsid w:val="006D4CA2"/>
    <w:rsid w:val="006D628D"/>
    <w:rsid w:val="006E2953"/>
    <w:rsid w:val="006E6C71"/>
    <w:rsid w:val="006F0782"/>
    <w:rsid w:val="006F0C76"/>
    <w:rsid w:val="006F5A49"/>
    <w:rsid w:val="0070240C"/>
    <w:rsid w:val="007027C9"/>
    <w:rsid w:val="00703CF8"/>
    <w:rsid w:val="007050AD"/>
    <w:rsid w:val="0070553A"/>
    <w:rsid w:val="007108FD"/>
    <w:rsid w:val="00710AF3"/>
    <w:rsid w:val="00722F73"/>
    <w:rsid w:val="00724838"/>
    <w:rsid w:val="00725AF6"/>
    <w:rsid w:val="00726185"/>
    <w:rsid w:val="00726FF8"/>
    <w:rsid w:val="0073168B"/>
    <w:rsid w:val="007401F6"/>
    <w:rsid w:val="00743034"/>
    <w:rsid w:val="00743205"/>
    <w:rsid w:val="00744280"/>
    <w:rsid w:val="00744F19"/>
    <w:rsid w:val="00745525"/>
    <w:rsid w:val="00745A28"/>
    <w:rsid w:val="00746B6C"/>
    <w:rsid w:val="00751AF5"/>
    <w:rsid w:val="00751FA9"/>
    <w:rsid w:val="007544D9"/>
    <w:rsid w:val="00761513"/>
    <w:rsid w:val="00763783"/>
    <w:rsid w:val="007650B0"/>
    <w:rsid w:val="0076762D"/>
    <w:rsid w:val="007745ED"/>
    <w:rsid w:val="007756A7"/>
    <w:rsid w:val="00790DBD"/>
    <w:rsid w:val="00791D21"/>
    <w:rsid w:val="00795130"/>
    <w:rsid w:val="007A3055"/>
    <w:rsid w:val="007A375A"/>
    <w:rsid w:val="007A55BF"/>
    <w:rsid w:val="007A7AF8"/>
    <w:rsid w:val="007B0ACA"/>
    <w:rsid w:val="007B3E0F"/>
    <w:rsid w:val="007B61AF"/>
    <w:rsid w:val="007C4F28"/>
    <w:rsid w:val="007C7D4B"/>
    <w:rsid w:val="007D1894"/>
    <w:rsid w:val="007D4953"/>
    <w:rsid w:val="007D758C"/>
    <w:rsid w:val="007E0FE9"/>
    <w:rsid w:val="007E4AF0"/>
    <w:rsid w:val="007E6C75"/>
    <w:rsid w:val="007F7478"/>
    <w:rsid w:val="0080123B"/>
    <w:rsid w:val="00802591"/>
    <w:rsid w:val="008061FF"/>
    <w:rsid w:val="00811029"/>
    <w:rsid w:val="0081114B"/>
    <w:rsid w:val="008159CA"/>
    <w:rsid w:val="00815D57"/>
    <w:rsid w:val="0082108F"/>
    <w:rsid w:val="00821A87"/>
    <w:rsid w:val="008238E9"/>
    <w:rsid w:val="00826A27"/>
    <w:rsid w:val="008314B9"/>
    <w:rsid w:val="00831E88"/>
    <w:rsid w:val="0083322E"/>
    <w:rsid w:val="008343B2"/>
    <w:rsid w:val="00835188"/>
    <w:rsid w:val="00842F40"/>
    <w:rsid w:val="00845008"/>
    <w:rsid w:val="0084536D"/>
    <w:rsid w:val="00845FA2"/>
    <w:rsid w:val="00847875"/>
    <w:rsid w:val="00852341"/>
    <w:rsid w:val="00852714"/>
    <w:rsid w:val="00855CF6"/>
    <w:rsid w:val="0086086A"/>
    <w:rsid w:val="00862215"/>
    <w:rsid w:val="00863EC0"/>
    <w:rsid w:val="00865670"/>
    <w:rsid w:val="00865C20"/>
    <w:rsid w:val="0087508D"/>
    <w:rsid w:val="0088071C"/>
    <w:rsid w:val="00885E48"/>
    <w:rsid w:val="00886B06"/>
    <w:rsid w:val="00890C05"/>
    <w:rsid w:val="00891BBD"/>
    <w:rsid w:val="00897372"/>
    <w:rsid w:val="008976C8"/>
    <w:rsid w:val="008A0716"/>
    <w:rsid w:val="008A1E01"/>
    <w:rsid w:val="008A3125"/>
    <w:rsid w:val="008A498F"/>
    <w:rsid w:val="008A4ACF"/>
    <w:rsid w:val="008A5262"/>
    <w:rsid w:val="008B1F5D"/>
    <w:rsid w:val="008B2ED7"/>
    <w:rsid w:val="008B3BBC"/>
    <w:rsid w:val="008B7B32"/>
    <w:rsid w:val="008C0676"/>
    <w:rsid w:val="008C1E2B"/>
    <w:rsid w:val="008C265A"/>
    <w:rsid w:val="008C39E0"/>
    <w:rsid w:val="008C5090"/>
    <w:rsid w:val="008C75C6"/>
    <w:rsid w:val="008D0FF0"/>
    <w:rsid w:val="008D1327"/>
    <w:rsid w:val="008E02C0"/>
    <w:rsid w:val="008E1A65"/>
    <w:rsid w:val="008E28FF"/>
    <w:rsid w:val="008E61B3"/>
    <w:rsid w:val="008F11A9"/>
    <w:rsid w:val="008F11D0"/>
    <w:rsid w:val="008F6167"/>
    <w:rsid w:val="009017C0"/>
    <w:rsid w:val="0090657E"/>
    <w:rsid w:val="00907FB4"/>
    <w:rsid w:val="00912F76"/>
    <w:rsid w:val="009136FC"/>
    <w:rsid w:val="00913929"/>
    <w:rsid w:val="0092332C"/>
    <w:rsid w:val="0092424F"/>
    <w:rsid w:val="00924498"/>
    <w:rsid w:val="0092458A"/>
    <w:rsid w:val="0092736C"/>
    <w:rsid w:val="009336BF"/>
    <w:rsid w:val="0093586A"/>
    <w:rsid w:val="00940696"/>
    <w:rsid w:val="00942238"/>
    <w:rsid w:val="009428D2"/>
    <w:rsid w:val="0094345A"/>
    <w:rsid w:val="009449B0"/>
    <w:rsid w:val="00944FA7"/>
    <w:rsid w:val="009511A5"/>
    <w:rsid w:val="00951AD5"/>
    <w:rsid w:val="00951BA4"/>
    <w:rsid w:val="00951F6C"/>
    <w:rsid w:val="00953494"/>
    <w:rsid w:val="00953858"/>
    <w:rsid w:val="0095504A"/>
    <w:rsid w:val="00956D6A"/>
    <w:rsid w:val="0095780E"/>
    <w:rsid w:val="00957C5C"/>
    <w:rsid w:val="0096429A"/>
    <w:rsid w:val="009648FE"/>
    <w:rsid w:val="00970F25"/>
    <w:rsid w:val="00971EC4"/>
    <w:rsid w:val="00973720"/>
    <w:rsid w:val="009769E7"/>
    <w:rsid w:val="009813E5"/>
    <w:rsid w:val="009831B1"/>
    <w:rsid w:val="00986536"/>
    <w:rsid w:val="00986B24"/>
    <w:rsid w:val="009870F5"/>
    <w:rsid w:val="00990400"/>
    <w:rsid w:val="00990A02"/>
    <w:rsid w:val="00993EF1"/>
    <w:rsid w:val="009A0E65"/>
    <w:rsid w:val="009A1ADE"/>
    <w:rsid w:val="009A4613"/>
    <w:rsid w:val="009B141A"/>
    <w:rsid w:val="009B36FA"/>
    <w:rsid w:val="009B5D4C"/>
    <w:rsid w:val="009B7D06"/>
    <w:rsid w:val="009C433D"/>
    <w:rsid w:val="009C4506"/>
    <w:rsid w:val="009C6643"/>
    <w:rsid w:val="009D162E"/>
    <w:rsid w:val="009D1DEF"/>
    <w:rsid w:val="009D278F"/>
    <w:rsid w:val="009D32C0"/>
    <w:rsid w:val="009D5FC6"/>
    <w:rsid w:val="009E2901"/>
    <w:rsid w:val="009E4BAD"/>
    <w:rsid w:val="009E57B0"/>
    <w:rsid w:val="009F2654"/>
    <w:rsid w:val="009F385B"/>
    <w:rsid w:val="00A02309"/>
    <w:rsid w:val="00A024D9"/>
    <w:rsid w:val="00A04981"/>
    <w:rsid w:val="00A057C9"/>
    <w:rsid w:val="00A06804"/>
    <w:rsid w:val="00A1492F"/>
    <w:rsid w:val="00A175CA"/>
    <w:rsid w:val="00A20208"/>
    <w:rsid w:val="00A22F42"/>
    <w:rsid w:val="00A26596"/>
    <w:rsid w:val="00A26BD5"/>
    <w:rsid w:val="00A30DB8"/>
    <w:rsid w:val="00A359E0"/>
    <w:rsid w:val="00A430EB"/>
    <w:rsid w:val="00A46A13"/>
    <w:rsid w:val="00A5193D"/>
    <w:rsid w:val="00A52D40"/>
    <w:rsid w:val="00A5323E"/>
    <w:rsid w:val="00A5507D"/>
    <w:rsid w:val="00A55BD2"/>
    <w:rsid w:val="00A5682B"/>
    <w:rsid w:val="00A60590"/>
    <w:rsid w:val="00A60C32"/>
    <w:rsid w:val="00A62CDB"/>
    <w:rsid w:val="00A63383"/>
    <w:rsid w:val="00A63AF8"/>
    <w:rsid w:val="00A6748C"/>
    <w:rsid w:val="00A70D09"/>
    <w:rsid w:val="00A81121"/>
    <w:rsid w:val="00A833CA"/>
    <w:rsid w:val="00A94425"/>
    <w:rsid w:val="00AA03B1"/>
    <w:rsid w:val="00AA0D9B"/>
    <w:rsid w:val="00AA41BA"/>
    <w:rsid w:val="00AA649E"/>
    <w:rsid w:val="00AB2378"/>
    <w:rsid w:val="00AB53B3"/>
    <w:rsid w:val="00AB66D6"/>
    <w:rsid w:val="00AB77FE"/>
    <w:rsid w:val="00AC35FD"/>
    <w:rsid w:val="00AC7A81"/>
    <w:rsid w:val="00AD1353"/>
    <w:rsid w:val="00AD2626"/>
    <w:rsid w:val="00AD3072"/>
    <w:rsid w:val="00AD6D05"/>
    <w:rsid w:val="00AE306F"/>
    <w:rsid w:val="00AE4C6E"/>
    <w:rsid w:val="00AE7171"/>
    <w:rsid w:val="00AF7430"/>
    <w:rsid w:val="00B030AC"/>
    <w:rsid w:val="00B05103"/>
    <w:rsid w:val="00B16A85"/>
    <w:rsid w:val="00B240C6"/>
    <w:rsid w:val="00B307A7"/>
    <w:rsid w:val="00B34CAA"/>
    <w:rsid w:val="00B34CD6"/>
    <w:rsid w:val="00B37983"/>
    <w:rsid w:val="00B40D53"/>
    <w:rsid w:val="00B410F2"/>
    <w:rsid w:val="00B43D42"/>
    <w:rsid w:val="00B45510"/>
    <w:rsid w:val="00B4742D"/>
    <w:rsid w:val="00B5258D"/>
    <w:rsid w:val="00B52804"/>
    <w:rsid w:val="00B5586F"/>
    <w:rsid w:val="00B6086A"/>
    <w:rsid w:val="00B65777"/>
    <w:rsid w:val="00B672BF"/>
    <w:rsid w:val="00B74757"/>
    <w:rsid w:val="00B80987"/>
    <w:rsid w:val="00B923E4"/>
    <w:rsid w:val="00B933C1"/>
    <w:rsid w:val="00B96024"/>
    <w:rsid w:val="00BA38B9"/>
    <w:rsid w:val="00BA5EC6"/>
    <w:rsid w:val="00BB3CE3"/>
    <w:rsid w:val="00BC0098"/>
    <w:rsid w:val="00BC2AE3"/>
    <w:rsid w:val="00BC5084"/>
    <w:rsid w:val="00BD3B8B"/>
    <w:rsid w:val="00BD4248"/>
    <w:rsid w:val="00BD52F6"/>
    <w:rsid w:val="00BE244B"/>
    <w:rsid w:val="00BE4846"/>
    <w:rsid w:val="00BE5B27"/>
    <w:rsid w:val="00BE72D0"/>
    <w:rsid w:val="00BE7C3B"/>
    <w:rsid w:val="00BF0FBC"/>
    <w:rsid w:val="00BF5CA2"/>
    <w:rsid w:val="00BF5D18"/>
    <w:rsid w:val="00BF5EB4"/>
    <w:rsid w:val="00BF61FB"/>
    <w:rsid w:val="00C00536"/>
    <w:rsid w:val="00C014BD"/>
    <w:rsid w:val="00C03160"/>
    <w:rsid w:val="00C074AC"/>
    <w:rsid w:val="00C168C7"/>
    <w:rsid w:val="00C16A1F"/>
    <w:rsid w:val="00C1759E"/>
    <w:rsid w:val="00C17C8E"/>
    <w:rsid w:val="00C205E4"/>
    <w:rsid w:val="00C23F79"/>
    <w:rsid w:val="00C25273"/>
    <w:rsid w:val="00C32207"/>
    <w:rsid w:val="00C32F07"/>
    <w:rsid w:val="00C400F7"/>
    <w:rsid w:val="00C40D20"/>
    <w:rsid w:val="00C45B2C"/>
    <w:rsid w:val="00C5349D"/>
    <w:rsid w:val="00C601A0"/>
    <w:rsid w:val="00C619DC"/>
    <w:rsid w:val="00C61F24"/>
    <w:rsid w:val="00C62EAC"/>
    <w:rsid w:val="00C6508F"/>
    <w:rsid w:val="00C661A1"/>
    <w:rsid w:val="00C67FEF"/>
    <w:rsid w:val="00C7332E"/>
    <w:rsid w:val="00C73598"/>
    <w:rsid w:val="00C75829"/>
    <w:rsid w:val="00C77058"/>
    <w:rsid w:val="00C77EE3"/>
    <w:rsid w:val="00C82502"/>
    <w:rsid w:val="00C84BF9"/>
    <w:rsid w:val="00C85108"/>
    <w:rsid w:val="00C91F09"/>
    <w:rsid w:val="00C944B6"/>
    <w:rsid w:val="00C94CB4"/>
    <w:rsid w:val="00C94FAE"/>
    <w:rsid w:val="00CA10AA"/>
    <w:rsid w:val="00CA65A6"/>
    <w:rsid w:val="00CA65D9"/>
    <w:rsid w:val="00CB3A56"/>
    <w:rsid w:val="00CC06CD"/>
    <w:rsid w:val="00CC15EC"/>
    <w:rsid w:val="00CC1E58"/>
    <w:rsid w:val="00CC68D1"/>
    <w:rsid w:val="00CD0520"/>
    <w:rsid w:val="00CD341D"/>
    <w:rsid w:val="00CD6359"/>
    <w:rsid w:val="00CE5B73"/>
    <w:rsid w:val="00CE6179"/>
    <w:rsid w:val="00CE7C74"/>
    <w:rsid w:val="00CF4B1F"/>
    <w:rsid w:val="00CF5187"/>
    <w:rsid w:val="00D00464"/>
    <w:rsid w:val="00D00975"/>
    <w:rsid w:val="00D025E8"/>
    <w:rsid w:val="00D036F6"/>
    <w:rsid w:val="00D067F2"/>
    <w:rsid w:val="00D106BB"/>
    <w:rsid w:val="00D1223D"/>
    <w:rsid w:val="00D1456E"/>
    <w:rsid w:val="00D262AD"/>
    <w:rsid w:val="00D265AC"/>
    <w:rsid w:val="00D2718D"/>
    <w:rsid w:val="00D27FD9"/>
    <w:rsid w:val="00D31FFB"/>
    <w:rsid w:val="00D3452B"/>
    <w:rsid w:val="00D3498B"/>
    <w:rsid w:val="00D34AE2"/>
    <w:rsid w:val="00D37931"/>
    <w:rsid w:val="00D40DC6"/>
    <w:rsid w:val="00D44694"/>
    <w:rsid w:val="00D4607C"/>
    <w:rsid w:val="00D50635"/>
    <w:rsid w:val="00D535ED"/>
    <w:rsid w:val="00D53B88"/>
    <w:rsid w:val="00D55AD9"/>
    <w:rsid w:val="00D602B3"/>
    <w:rsid w:val="00D63101"/>
    <w:rsid w:val="00D64B5A"/>
    <w:rsid w:val="00D65FED"/>
    <w:rsid w:val="00D677C3"/>
    <w:rsid w:val="00D70E2A"/>
    <w:rsid w:val="00D711CD"/>
    <w:rsid w:val="00D732F9"/>
    <w:rsid w:val="00D738D5"/>
    <w:rsid w:val="00D7475D"/>
    <w:rsid w:val="00D77C61"/>
    <w:rsid w:val="00D817DA"/>
    <w:rsid w:val="00D83D8D"/>
    <w:rsid w:val="00D95A9F"/>
    <w:rsid w:val="00DA0EDA"/>
    <w:rsid w:val="00DA13A7"/>
    <w:rsid w:val="00DA1548"/>
    <w:rsid w:val="00DA3275"/>
    <w:rsid w:val="00DA3A95"/>
    <w:rsid w:val="00DB41A6"/>
    <w:rsid w:val="00DB6E7D"/>
    <w:rsid w:val="00DC01B0"/>
    <w:rsid w:val="00DC2BB8"/>
    <w:rsid w:val="00DC53EE"/>
    <w:rsid w:val="00DC58FF"/>
    <w:rsid w:val="00DC670F"/>
    <w:rsid w:val="00DD57A3"/>
    <w:rsid w:val="00DD7D5A"/>
    <w:rsid w:val="00DE1BA7"/>
    <w:rsid w:val="00DE31AF"/>
    <w:rsid w:val="00DE3EC7"/>
    <w:rsid w:val="00DF29D6"/>
    <w:rsid w:val="00DF3A80"/>
    <w:rsid w:val="00DF50BB"/>
    <w:rsid w:val="00DF50D3"/>
    <w:rsid w:val="00DF566A"/>
    <w:rsid w:val="00DF5C5C"/>
    <w:rsid w:val="00E01089"/>
    <w:rsid w:val="00E01D19"/>
    <w:rsid w:val="00E01F56"/>
    <w:rsid w:val="00E02E69"/>
    <w:rsid w:val="00E13B98"/>
    <w:rsid w:val="00E1401E"/>
    <w:rsid w:val="00E15AA9"/>
    <w:rsid w:val="00E223F2"/>
    <w:rsid w:val="00E24EF2"/>
    <w:rsid w:val="00E271F3"/>
    <w:rsid w:val="00E30612"/>
    <w:rsid w:val="00E3216F"/>
    <w:rsid w:val="00E3539B"/>
    <w:rsid w:val="00E40837"/>
    <w:rsid w:val="00E4795B"/>
    <w:rsid w:val="00E51D47"/>
    <w:rsid w:val="00E53D2F"/>
    <w:rsid w:val="00E55EB1"/>
    <w:rsid w:val="00E574B0"/>
    <w:rsid w:val="00E6017D"/>
    <w:rsid w:val="00E61857"/>
    <w:rsid w:val="00E6223F"/>
    <w:rsid w:val="00E63104"/>
    <w:rsid w:val="00E66EE1"/>
    <w:rsid w:val="00E71850"/>
    <w:rsid w:val="00E73800"/>
    <w:rsid w:val="00E753F0"/>
    <w:rsid w:val="00E770C1"/>
    <w:rsid w:val="00E7717A"/>
    <w:rsid w:val="00E82084"/>
    <w:rsid w:val="00E839A3"/>
    <w:rsid w:val="00E86A4A"/>
    <w:rsid w:val="00E95481"/>
    <w:rsid w:val="00EA04DC"/>
    <w:rsid w:val="00EA307C"/>
    <w:rsid w:val="00EA4816"/>
    <w:rsid w:val="00EB2A7C"/>
    <w:rsid w:val="00EB3091"/>
    <w:rsid w:val="00EB3313"/>
    <w:rsid w:val="00EB49DB"/>
    <w:rsid w:val="00EB5145"/>
    <w:rsid w:val="00EB67A0"/>
    <w:rsid w:val="00EB7483"/>
    <w:rsid w:val="00EC0561"/>
    <w:rsid w:val="00EC6F83"/>
    <w:rsid w:val="00EC78E4"/>
    <w:rsid w:val="00EC7D9A"/>
    <w:rsid w:val="00ED52B4"/>
    <w:rsid w:val="00ED5BDF"/>
    <w:rsid w:val="00ED75CD"/>
    <w:rsid w:val="00ED7C0B"/>
    <w:rsid w:val="00EE1C55"/>
    <w:rsid w:val="00EE2CBB"/>
    <w:rsid w:val="00EE3AF7"/>
    <w:rsid w:val="00EE5F6C"/>
    <w:rsid w:val="00EE6840"/>
    <w:rsid w:val="00EE7D54"/>
    <w:rsid w:val="00EF6E80"/>
    <w:rsid w:val="00F06904"/>
    <w:rsid w:val="00F103AB"/>
    <w:rsid w:val="00F122D8"/>
    <w:rsid w:val="00F138D7"/>
    <w:rsid w:val="00F15381"/>
    <w:rsid w:val="00F1663F"/>
    <w:rsid w:val="00F17034"/>
    <w:rsid w:val="00F22551"/>
    <w:rsid w:val="00F248B7"/>
    <w:rsid w:val="00F3154B"/>
    <w:rsid w:val="00F316C0"/>
    <w:rsid w:val="00F318C2"/>
    <w:rsid w:val="00F32079"/>
    <w:rsid w:val="00F33152"/>
    <w:rsid w:val="00F34631"/>
    <w:rsid w:val="00F36054"/>
    <w:rsid w:val="00F37E1A"/>
    <w:rsid w:val="00F40E2F"/>
    <w:rsid w:val="00F4375F"/>
    <w:rsid w:val="00F44D51"/>
    <w:rsid w:val="00F45929"/>
    <w:rsid w:val="00F4598A"/>
    <w:rsid w:val="00F45CE0"/>
    <w:rsid w:val="00F50C9F"/>
    <w:rsid w:val="00F615CD"/>
    <w:rsid w:val="00F65073"/>
    <w:rsid w:val="00F665FC"/>
    <w:rsid w:val="00F67702"/>
    <w:rsid w:val="00F67A4D"/>
    <w:rsid w:val="00F67C38"/>
    <w:rsid w:val="00F70671"/>
    <w:rsid w:val="00F73A27"/>
    <w:rsid w:val="00F73FA9"/>
    <w:rsid w:val="00F748FE"/>
    <w:rsid w:val="00F74B26"/>
    <w:rsid w:val="00F75703"/>
    <w:rsid w:val="00F7581D"/>
    <w:rsid w:val="00F801A3"/>
    <w:rsid w:val="00F82ACF"/>
    <w:rsid w:val="00F84169"/>
    <w:rsid w:val="00F84724"/>
    <w:rsid w:val="00F86BFB"/>
    <w:rsid w:val="00F95318"/>
    <w:rsid w:val="00F954C1"/>
    <w:rsid w:val="00F9739D"/>
    <w:rsid w:val="00FB0C74"/>
    <w:rsid w:val="00FB0E94"/>
    <w:rsid w:val="00FB696E"/>
    <w:rsid w:val="00FC0041"/>
    <w:rsid w:val="00FC00AD"/>
    <w:rsid w:val="00FC1679"/>
    <w:rsid w:val="00FC3116"/>
    <w:rsid w:val="00FC63DF"/>
    <w:rsid w:val="00FC71B0"/>
    <w:rsid w:val="00FD127A"/>
    <w:rsid w:val="00FD391A"/>
    <w:rsid w:val="00FD4893"/>
    <w:rsid w:val="00FE25EF"/>
    <w:rsid w:val="00FE319C"/>
    <w:rsid w:val="00FE3D89"/>
    <w:rsid w:val="00FE3F28"/>
    <w:rsid w:val="00FE70C5"/>
    <w:rsid w:val="00FE7819"/>
    <w:rsid w:val="00FF154A"/>
    <w:rsid w:val="00FF15CA"/>
    <w:rsid w:val="00FF226A"/>
    <w:rsid w:val="00FF2D21"/>
    <w:rsid w:val="00FF6820"/>
    <w:rsid w:val="00FF71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E3"/>
    <w:pPr>
      <w:tabs>
        <w:tab w:val="center" w:pos="0"/>
        <w:tab w:val="right" w:pos="9360"/>
      </w:tabs>
      <w:spacing w:line="360" w:lineRule="auto"/>
      <w:jc w:val="both"/>
    </w:pPr>
    <w:rPr>
      <w:bCs/>
      <w:color w:val="000000"/>
      <w:sz w:val="24"/>
      <w:szCs w:val="24"/>
    </w:rPr>
  </w:style>
  <w:style w:type="paragraph" w:styleId="Heading1">
    <w:name w:val="heading 1"/>
    <w:basedOn w:val="Normal"/>
    <w:next w:val="Normal"/>
    <w:link w:val="Heading1Char"/>
    <w:qFormat/>
    <w:rsid w:val="00C77EE3"/>
    <w:pPr>
      <w:keepNext/>
      <w:widowControl w:val="0"/>
      <w:suppressAutoHyphens/>
      <w:spacing w:before="240" w:after="60" w:line="240" w:lineRule="auto"/>
      <w:outlineLvl w:val="0"/>
    </w:pPr>
    <w:rPr>
      <w:rFonts w:ascii="Arial" w:eastAsia="Lucida Sans Unicode" w:hAnsi="Arial" w:cs="Arial"/>
      <w:b/>
      <w:bCs w:val="0"/>
      <w:sz w:val="32"/>
      <w:szCs w:val="32"/>
    </w:rPr>
  </w:style>
  <w:style w:type="paragraph" w:styleId="Heading2">
    <w:name w:val="heading 2"/>
    <w:basedOn w:val="Normal"/>
    <w:next w:val="Normal"/>
    <w:link w:val="Heading2Char"/>
    <w:qFormat/>
    <w:rsid w:val="00C77EE3"/>
    <w:pPr>
      <w:keepNext/>
      <w:widowControl w:val="0"/>
      <w:suppressAutoHyphens/>
      <w:spacing w:before="240" w:after="60"/>
      <w:outlineLvl w:val="1"/>
    </w:pPr>
    <w:rPr>
      <w:rFonts w:ascii="Arial" w:eastAsia="Lucida Sans Unicode" w:hAnsi="Arial" w:cs="Arial"/>
      <w:b/>
      <w:bCs w:val="0"/>
      <w:i/>
      <w:iCs/>
      <w:sz w:val="28"/>
      <w:szCs w:val="28"/>
    </w:rPr>
  </w:style>
  <w:style w:type="paragraph" w:styleId="Heading3">
    <w:name w:val="heading 3"/>
    <w:basedOn w:val="Normal"/>
    <w:next w:val="Normal"/>
    <w:link w:val="Heading3Char"/>
    <w:qFormat/>
    <w:rsid w:val="00C77EE3"/>
    <w:pPr>
      <w:keepNext/>
      <w:widowControl w:val="0"/>
      <w:suppressAutoHyphens/>
      <w:spacing w:before="240" w:after="60" w:line="240" w:lineRule="auto"/>
      <w:outlineLvl w:val="2"/>
    </w:pPr>
    <w:rPr>
      <w:rFonts w:ascii="Arial" w:eastAsia="Lucida Sans Unicode" w:hAnsi="Arial" w:cs="Arial"/>
      <w:b/>
      <w:bCs w:val="0"/>
      <w:sz w:val="26"/>
      <w:szCs w:val="26"/>
    </w:rPr>
  </w:style>
  <w:style w:type="paragraph" w:styleId="Heading4">
    <w:name w:val="heading 4"/>
    <w:basedOn w:val="Normal"/>
    <w:next w:val="Normal"/>
    <w:qFormat/>
    <w:rsid w:val="00C77EE3"/>
    <w:pPr>
      <w:keepNext/>
      <w:widowControl w:val="0"/>
      <w:suppressAutoHyphens/>
      <w:spacing w:before="240" w:after="60" w:line="240" w:lineRule="auto"/>
      <w:outlineLvl w:val="3"/>
    </w:pPr>
    <w:rPr>
      <w:rFonts w:ascii="Arial" w:eastAsia="Lucida Sans Unicode" w:hAnsi="Arial" w:cs="Tahoma"/>
      <w:b/>
      <w:bCs w:val="0"/>
      <w:sz w:val="28"/>
      <w:szCs w:val="28"/>
    </w:rPr>
  </w:style>
  <w:style w:type="paragraph" w:styleId="Heading5">
    <w:name w:val="heading 5"/>
    <w:basedOn w:val="Normal"/>
    <w:next w:val="Normal"/>
    <w:qFormat/>
    <w:rsid w:val="00C77EE3"/>
    <w:pPr>
      <w:keepNext/>
      <w:widowControl w:val="0"/>
      <w:suppressAutoHyphens/>
      <w:spacing w:before="240" w:after="60" w:line="240" w:lineRule="auto"/>
      <w:outlineLvl w:val="4"/>
    </w:pPr>
    <w:rPr>
      <w:rFonts w:ascii="Arial" w:hAnsi="Arial"/>
      <w:b/>
      <w:i/>
      <w:sz w:val="26"/>
      <w:szCs w:val="20"/>
      <w:lang w:eastAsia="en-US"/>
    </w:rPr>
  </w:style>
  <w:style w:type="paragraph" w:styleId="Heading6">
    <w:name w:val="heading 6"/>
    <w:basedOn w:val="Normal"/>
    <w:next w:val="Normal"/>
    <w:qFormat/>
    <w:rsid w:val="00C77EE3"/>
    <w:pPr>
      <w:widowControl w:val="0"/>
      <w:suppressAutoHyphens/>
      <w:spacing w:before="240" w:after="60" w:line="240" w:lineRule="auto"/>
      <w:outlineLvl w:val="5"/>
    </w:pPr>
    <w:rPr>
      <w:rFonts w:ascii="Arial" w:hAnsi="Arial"/>
      <w:b/>
      <w:bCs w:val="0"/>
      <w:sz w:val="22"/>
      <w:szCs w:val="32"/>
      <w:lang w:eastAsia="en-US"/>
    </w:rPr>
  </w:style>
  <w:style w:type="paragraph" w:styleId="Heading7">
    <w:name w:val="heading 7"/>
    <w:basedOn w:val="Normal"/>
    <w:next w:val="Normal"/>
    <w:qFormat/>
    <w:rsid w:val="00C77EE3"/>
    <w:pPr>
      <w:keepNext/>
      <w:widowControl w:val="0"/>
      <w:suppressAutoHyphens/>
      <w:spacing w:before="240" w:after="60" w:line="240" w:lineRule="auto"/>
      <w:outlineLvl w:val="6"/>
    </w:pPr>
    <w:rPr>
      <w:rFonts w:ascii="Arial" w:hAnsi="Arial"/>
      <w:sz w:val="22"/>
      <w:lang w:eastAsia="ar-SA"/>
    </w:rPr>
  </w:style>
  <w:style w:type="paragraph" w:styleId="Heading8">
    <w:name w:val="heading 8"/>
    <w:basedOn w:val="Normal"/>
    <w:next w:val="Normal"/>
    <w:qFormat/>
    <w:rsid w:val="008343B2"/>
    <w:pPr>
      <w:keepNext/>
      <w:widowControl w:val="0"/>
      <w:suppressAutoHyphens/>
      <w:spacing w:before="240" w:after="60" w:line="240" w:lineRule="auto"/>
      <w:outlineLvl w:val="7"/>
    </w:pPr>
    <w:rPr>
      <w:rFonts w:ascii="Arial" w:hAnsi="Arial"/>
      <w:bCs w:val="0"/>
      <w:sz w:val="22"/>
      <w:szCs w:val="28"/>
      <w:lang w:eastAsia="en-US"/>
    </w:rPr>
  </w:style>
  <w:style w:type="paragraph" w:styleId="Heading9">
    <w:name w:val="heading 9"/>
    <w:basedOn w:val="Normal"/>
    <w:next w:val="Normal"/>
    <w:qFormat/>
    <w:rsid w:val="008343B2"/>
    <w:pPr>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1 Char,Footnote Text2,Footnote Text Char Char Char1,Footnote Text11 Char,Footnote Text Char Char Char Char1,Footnote Text Char Char Char2,Footnote Text Char Char Char Char2"/>
    <w:basedOn w:val="Normal"/>
    <w:link w:val="FootnoteTextChar"/>
    <w:semiHidden/>
    <w:rsid w:val="008343B2"/>
    <w:pPr>
      <w:tabs>
        <w:tab w:val="center" w:pos="720"/>
      </w:tabs>
      <w:spacing w:line="240" w:lineRule="auto"/>
    </w:pPr>
    <w:rPr>
      <w:sz w:val="20"/>
      <w:szCs w:val="20"/>
    </w:rPr>
  </w:style>
  <w:style w:type="character" w:styleId="FootnoteReference">
    <w:name w:val="footnote reference"/>
    <w:basedOn w:val="DefaultParagraphFont"/>
    <w:semiHidden/>
    <w:rsid w:val="008343B2"/>
    <w:rPr>
      <w:vertAlign w:val="superscript"/>
    </w:rPr>
  </w:style>
  <w:style w:type="paragraph" w:styleId="BodyTextIndent">
    <w:name w:val="Body Text Indent"/>
    <w:basedOn w:val="Normal"/>
    <w:semiHidden/>
    <w:rsid w:val="008343B2"/>
    <w:pPr>
      <w:ind w:firstLine="720"/>
    </w:pPr>
  </w:style>
  <w:style w:type="paragraph" w:styleId="TOC1">
    <w:name w:val="toc 1"/>
    <w:basedOn w:val="Normal"/>
    <w:next w:val="Normal"/>
    <w:autoRedefine/>
    <w:uiPriority w:val="39"/>
    <w:qFormat/>
    <w:rsid w:val="008343B2"/>
    <w:pPr>
      <w:tabs>
        <w:tab w:val="clear" w:pos="0"/>
        <w:tab w:val="clear" w:pos="9360"/>
      </w:tabs>
    </w:pPr>
  </w:style>
  <w:style w:type="paragraph" w:styleId="TOC2">
    <w:name w:val="toc 2"/>
    <w:basedOn w:val="Normal"/>
    <w:next w:val="Normal"/>
    <w:autoRedefine/>
    <w:uiPriority w:val="39"/>
    <w:qFormat/>
    <w:rsid w:val="008343B2"/>
    <w:pPr>
      <w:tabs>
        <w:tab w:val="clear" w:pos="0"/>
        <w:tab w:val="clear" w:pos="9360"/>
      </w:tabs>
      <w:ind w:left="240"/>
    </w:pPr>
  </w:style>
  <w:style w:type="paragraph" w:styleId="TOC3">
    <w:name w:val="toc 3"/>
    <w:basedOn w:val="Normal"/>
    <w:next w:val="Normal"/>
    <w:autoRedefine/>
    <w:uiPriority w:val="39"/>
    <w:qFormat/>
    <w:rsid w:val="008343B2"/>
    <w:pPr>
      <w:tabs>
        <w:tab w:val="clear" w:pos="0"/>
        <w:tab w:val="clear" w:pos="9360"/>
      </w:tabs>
      <w:ind w:left="480"/>
    </w:pPr>
  </w:style>
  <w:style w:type="paragraph" w:styleId="TOC4">
    <w:name w:val="toc 4"/>
    <w:basedOn w:val="Normal"/>
    <w:next w:val="Normal"/>
    <w:autoRedefine/>
    <w:uiPriority w:val="39"/>
    <w:rsid w:val="008343B2"/>
    <w:pPr>
      <w:tabs>
        <w:tab w:val="clear" w:pos="0"/>
        <w:tab w:val="clear" w:pos="9360"/>
      </w:tabs>
      <w:ind w:left="720"/>
    </w:pPr>
  </w:style>
  <w:style w:type="paragraph" w:styleId="TOC5">
    <w:name w:val="toc 5"/>
    <w:basedOn w:val="Normal"/>
    <w:next w:val="Normal"/>
    <w:autoRedefine/>
    <w:uiPriority w:val="39"/>
    <w:rsid w:val="008343B2"/>
    <w:pPr>
      <w:tabs>
        <w:tab w:val="clear" w:pos="0"/>
        <w:tab w:val="clear" w:pos="9360"/>
      </w:tabs>
      <w:ind w:left="960"/>
    </w:pPr>
  </w:style>
  <w:style w:type="paragraph" w:styleId="TOC6">
    <w:name w:val="toc 6"/>
    <w:basedOn w:val="Normal"/>
    <w:next w:val="Normal"/>
    <w:autoRedefine/>
    <w:uiPriority w:val="39"/>
    <w:rsid w:val="008343B2"/>
    <w:pPr>
      <w:tabs>
        <w:tab w:val="clear" w:pos="0"/>
        <w:tab w:val="clear" w:pos="9360"/>
      </w:tabs>
      <w:ind w:left="1200"/>
    </w:pPr>
  </w:style>
  <w:style w:type="paragraph" w:styleId="TOC7">
    <w:name w:val="toc 7"/>
    <w:basedOn w:val="Normal"/>
    <w:next w:val="Normal"/>
    <w:autoRedefine/>
    <w:semiHidden/>
    <w:rsid w:val="008343B2"/>
    <w:pPr>
      <w:tabs>
        <w:tab w:val="clear" w:pos="0"/>
        <w:tab w:val="clear" w:pos="9360"/>
      </w:tabs>
      <w:ind w:left="1440"/>
    </w:pPr>
  </w:style>
  <w:style w:type="paragraph" w:styleId="TOC8">
    <w:name w:val="toc 8"/>
    <w:basedOn w:val="Normal"/>
    <w:next w:val="Normal"/>
    <w:autoRedefine/>
    <w:semiHidden/>
    <w:rsid w:val="008343B2"/>
    <w:pPr>
      <w:tabs>
        <w:tab w:val="clear" w:pos="0"/>
        <w:tab w:val="clear" w:pos="9360"/>
      </w:tabs>
      <w:ind w:left="1680"/>
    </w:pPr>
  </w:style>
  <w:style w:type="paragraph" w:styleId="TOC9">
    <w:name w:val="toc 9"/>
    <w:basedOn w:val="Normal"/>
    <w:next w:val="Normal"/>
    <w:autoRedefine/>
    <w:semiHidden/>
    <w:rsid w:val="008343B2"/>
    <w:pPr>
      <w:tabs>
        <w:tab w:val="clear" w:pos="0"/>
        <w:tab w:val="clear" w:pos="9360"/>
      </w:tabs>
      <w:ind w:left="1920"/>
    </w:pPr>
  </w:style>
  <w:style w:type="paragraph" w:styleId="Index1">
    <w:name w:val="index 1"/>
    <w:basedOn w:val="Normal"/>
    <w:next w:val="Normal"/>
    <w:autoRedefine/>
    <w:semiHidden/>
    <w:rsid w:val="008343B2"/>
    <w:pPr>
      <w:tabs>
        <w:tab w:val="clear" w:pos="0"/>
        <w:tab w:val="clear" w:pos="9360"/>
      </w:tabs>
      <w:ind w:left="240" w:hanging="240"/>
    </w:pPr>
  </w:style>
  <w:style w:type="paragraph" w:styleId="Index2">
    <w:name w:val="index 2"/>
    <w:basedOn w:val="Normal"/>
    <w:next w:val="Normal"/>
    <w:autoRedefine/>
    <w:semiHidden/>
    <w:rsid w:val="008343B2"/>
    <w:pPr>
      <w:tabs>
        <w:tab w:val="clear" w:pos="0"/>
        <w:tab w:val="clear" w:pos="9360"/>
      </w:tabs>
      <w:ind w:left="480" w:hanging="240"/>
    </w:pPr>
  </w:style>
  <w:style w:type="paragraph" w:styleId="Index3">
    <w:name w:val="index 3"/>
    <w:basedOn w:val="Normal"/>
    <w:next w:val="Normal"/>
    <w:autoRedefine/>
    <w:semiHidden/>
    <w:rsid w:val="008343B2"/>
    <w:pPr>
      <w:tabs>
        <w:tab w:val="clear" w:pos="0"/>
        <w:tab w:val="clear" w:pos="9360"/>
      </w:tabs>
      <w:ind w:left="720" w:hanging="240"/>
    </w:pPr>
  </w:style>
  <w:style w:type="paragraph" w:styleId="Index4">
    <w:name w:val="index 4"/>
    <w:basedOn w:val="Normal"/>
    <w:next w:val="Normal"/>
    <w:autoRedefine/>
    <w:semiHidden/>
    <w:rsid w:val="008343B2"/>
    <w:pPr>
      <w:tabs>
        <w:tab w:val="clear" w:pos="0"/>
        <w:tab w:val="clear" w:pos="9360"/>
      </w:tabs>
      <w:ind w:left="960" w:hanging="240"/>
    </w:pPr>
  </w:style>
  <w:style w:type="paragraph" w:styleId="Index5">
    <w:name w:val="index 5"/>
    <w:basedOn w:val="Normal"/>
    <w:next w:val="Normal"/>
    <w:autoRedefine/>
    <w:semiHidden/>
    <w:rsid w:val="008343B2"/>
    <w:pPr>
      <w:tabs>
        <w:tab w:val="clear" w:pos="0"/>
        <w:tab w:val="clear" w:pos="9360"/>
      </w:tabs>
      <w:ind w:left="1200" w:hanging="240"/>
    </w:pPr>
  </w:style>
  <w:style w:type="paragraph" w:styleId="Index6">
    <w:name w:val="index 6"/>
    <w:basedOn w:val="Normal"/>
    <w:next w:val="Normal"/>
    <w:autoRedefine/>
    <w:semiHidden/>
    <w:rsid w:val="008343B2"/>
    <w:pPr>
      <w:tabs>
        <w:tab w:val="clear" w:pos="0"/>
        <w:tab w:val="clear" w:pos="9360"/>
      </w:tabs>
      <w:ind w:left="1440" w:hanging="240"/>
    </w:pPr>
  </w:style>
  <w:style w:type="paragraph" w:styleId="Index7">
    <w:name w:val="index 7"/>
    <w:basedOn w:val="Normal"/>
    <w:next w:val="Normal"/>
    <w:autoRedefine/>
    <w:semiHidden/>
    <w:rsid w:val="008343B2"/>
    <w:pPr>
      <w:tabs>
        <w:tab w:val="clear" w:pos="0"/>
        <w:tab w:val="clear" w:pos="9360"/>
      </w:tabs>
      <w:ind w:left="1680" w:hanging="240"/>
    </w:pPr>
  </w:style>
  <w:style w:type="paragraph" w:styleId="Index8">
    <w:name w:val="index 8"/>
    <w:basedOn w:val="Normal"/>
    <w:next w:val="Normal"/>
    <w:autoRedefine/>
    <w:semiHidden/>
    <w:rsid w:val="008343B2"/>
    <w:pPr>
      <w:tabs>
        <w:tab w:val="clear" w:pos="0"/>
        <w:tab w:val="clear" w:pos="9360"/>
      </w:tabs>
      <w:ind w:left="1920" w:hanging="240"/>
    </w:pPr>
  </w:style>
  <w:style w:type="paragraph" w:styleId="Index9">
    <w:name w:val="index 9"/>
    <w:basedOn w:val="Normal"/>
    <w:next w:val="Normal"/>
    <w:autoRedefine/>
    <w:semiHidden/>
    <w:rsid w:val="008343B2"/>
    <w:pPr>
      <w:tabs>
        <w:tab w:val="clear" w:pos="0"/>
        <w:tab w:val="clear" w:pos="9360"/>
      </w:tabs>
      <w:ind w:left="2160" w:hanging="240"/>
    </w:pPr>
  </w:style>
  <w:style w:type="paragraph" w:styleId="IndexHeading">
    <w:name w:val="index heading"/>
    <w:basedOn w:val="Normal"/>
    <w:next w:val="Index1"/>
    <w:semiHidden/>
    <w:rsid w:val="008343B2"/>
  </w:style>
  <w:style w:type="character" w:styleId="Hyperlink">
    <w:name w:val="Hyperlink"/>
    <w:basedOn w:val="DefaultParagraphFont"/>
    <w:uiPriority w:val="99"/>
    <w:rsid w:val="008343B2"/>
    <w:rPr>
      <w:color w:val="0000FF"/>
      <w:u w:val="single"/>
    </w:rPr>
  </w:style>
  <w:style w:type="paragraph" w:styleId="Footer">
    <w:name w:val="footer"/>
    <w:basedOn w:val="Normal"/>
    <w:link w:val="FooterChar"/>
    <w:rsid w:val="008343B2"/>
    <w:pPr>
      <w:tabs>
        <w:tab w:val="clear" w:pos="0"/>
        <w:tab w:val="clear" w:pos="9360"/>
        <w:tab w:val="center" w:pos="4536"/>
        <w:tab w:val="right" w:pos="9072"/>
      </w:tabs>
    </w:pPr>
  </w:style>
  <w:style w:type="character" w:styleId="PageNumber">
    <w:name w:val="page number"/>
    <w:basedOn w:val="DefaultParagraphFont"/>
    <w:semiHidden/>
    <w:rsid w:val="008343B2"/>
  </w:style>
  <w:style w:type="paragraph" w:styleId="Header">
    <w:name w:val="header"/>
    <w:basedOn w:val="Normal"/>
    <w:link w:val="HeaderChar"/>
    <w:rsid w:val="008343B2"/>
    <w:pPr>
      <w:tabs>
        <w:tab w:val="clear" w:pos="0"/>
        <w:tab w:val="clear" w:pos="9360"/>
        <w:tab w:val="center" w:pos="4536"/>
        <w:tab w:val="right" w:pos="9072"/>
      </w:tabs>
    </w:pPr>
  </w:style>
  <w:style w:type="paragraph" w:styleId="BodyText">
    <w:name w:val="Body Text"/>
    <w:basedOn w:val="Normal"/>
    <w:link w:val="BodyTextChar"/>
    <w:unhideWhenUsed/>
    <w:rsid w:val="00482542"/>
    <w:pPr>
      <w:spacing w:after="120"/>
    </w:pPr>
  </w:style>
  <w:style w:type="character" w:customStyle="1" w:styleId="BodyTextChar">
    <w:name w:val="Body Text Char"/>
    <w:basedOn w:val="DefaultParagraphFont"/>
    <w:link w:val="BodyText"/>
    <w:rsid w:val="00482542"/>
    <w:rPr>
      <w:bCs/>
      <w:color w:val="000000"/>
      <w:sz w:val="24"/>
      <w:szCs w:val="24"/>
    </w:rPr>
  </w:style>
  <w:style w:type="character" w:customStyle="1" w:styleId="Heading1Char">
    <w:name w:val="Heading 1 Char"/>
    <w:basedOn w:val="DefaultParagraphFont"/>
    <w:link w:val="Heading1"/>
    <w:rsid w:val="00482542"/>
    <w:rPr>
      <w:rFonts w:ascii="Arial" w:eastAsia="Lucida Sans Unicode" w:hAnsi="Arial" w:cs="Arial"/>
      <w:b/>
      <w:color w:val="000000"/>
      <w:sz w:val="32"/>
      <w:szCs w:val="32"/>
    </w:rPr>
  </w:style>
  <w:style w:type="character" w:customStyle="1" w:styleId="Heading2Char">
    <w:name w:val="Heading 2 Char"/>
    <w:basedOn w:val="DefaultParagraphFont"/>
    <w:link w:val="Heading2"/>
    <w:rsid w:val="00482542"/>
    <w:rPr>
      <w:rFonts w:ascii="Arial" w:eastAsia="Lucida Sans Unicode" w:hAnsi="Arial" w:cs="Arial"/>
      <w:b/>
      <w:i/>
      <w:iCs/>
      <w:color w:val="000000"/>
      <w:sz w:val="28"/>
      <w:szCs w:val="28"/>
    </w:rPr>
  </w:style>
  <w:style w:type="character" w:customStyle="1" w:styleId="Heading3Char">
    <w:name w:val="Heading 3 Char"/>
    <w:basedOn w:val="DefaultParagraphFont"/>
    <w:link w:val="Heading3"/>
    <w:rsid w:val="00482542"/>
    <w:rPr>
      <w:rFonts w:ascii="Arial" w:eastAsia="Lucida Sans Unicode" w:hAnsi="Arial" w:cs="Arial"/>
      <w:b/>
      <w:color w:val="000000"/>
      <w:sz w:val="26"/>
      <w:szCs w:val="26"/>
    </w:rPr>
  </w:style>
  <w:style w:type="character" w:customStyle="1" w:styleId="FootnoteTextChar">
    <w:name w:val="Footnote Text Char"/>
    <w:aliases w:val="Footnote Text Char Char1 Char Char,Footnote Text2 Char,Footnote Text Char Char Char1 Char,Footnote Text11 Char Char,Footnote Text Char Char Char Char1 Char,Footnote Text Char Char Char2 Char,Footnote Text Char Char Char Char2 Char"/>
    <w:basedOn w:val="DefaultParagraphFont"/>
    <w:link w:val="FootnoteText"/>
    <w:semiHidden/>
    <w:rsid w:val="00482542"/>
    <w:rPr>
      <w:bCs/>
      <w:color w:val="000000"/>
    </w:rPr>
  </w:style>
  <w:style w:type="paragraph" w:styleId="NormalWeb">
    <w:name w:val="Normal (Web)"/>
    <w:basedOn w:val="Normal"/>
    <w:uiPriority w:val="99"/>
    <w:rsid w:val="00482542"/>
    <w:pPr>
      <w:tabs>
        <w:tab w:val="clear" w:pos="0"/>
        <w:tab w:val="clear" w:pos="9360"/>
      </w:tabs>
      <w:spacing w:before="100" w:beforeAutospacing="1" w:after="100" w:afterAutospacing="1" w:line="240" w:lineRule="auto"/>
      <w:jc w:val="left"/>
    </w:pPr>
    <w:rPr>
      <w:bCs w:val="0"/>
      <w:color w:val="auto"/>
      <w:lang w:val="en-GB" w:eastAsia="en-US"/>
    </w:rPr>
  </w:style>
  <w:style w:type="paragraph" w:customStyle="1" w:styleId="CharCharCharCharCharCharCharCharCharCharCharCharChar">
    <w:name w:val="Char Char Char Char Char Char Char Char Char Char Char Char Char"/>
    <w:basedOn w:val="Normal"/>
    <w:rsid w:val="00482542"/>
    <w:pPr>
      <w:tabs>
        <w:tab w:val="clear" w:pos="0"/>
        <w:tab w:val="clear" w:pos="9360"/>
        <w:tab w:val="left" w:pos="709"/>
      </w:tabs>
      <w:spacing w:line="240" w:lineRule="auto"/>
      <w:jc w:val="left"/>
    </w:pPr>
    <w:rPr>
      <w:rFonts w:ascii="Tahoma" w:hAnsi="Tahoma"/>
      <w:bCs w:val="0"/>
      <w:color w:val="auto"/>
      <w:lang w:val="pl-PL" w:eastAsia="pl-PL"/>
    </w:rPr>
  </w:style>
  <w:style w:type="paragraph" w:customStyle="1" w:styleId="CharCharCarCar1CharCharCarCar">
    <w:name w:val="Char Char Car Car1 Char Char Car Car"/>
    <w:basedOn w:val="Normal"/>
    <w:rsid w:val="00482542"/>
    <w:pPr>
      <w:tabs>
        <w:tab w:val="clear" w:pos="0"/>
        <w:tab w:val="clear" w:pos="9360"/>
        <w:tab w:val="left" w:pos="709"/>
      </w:tabs>
      <w:spacing w:line="240" w:lineRule="auto"/>
      <w:jc w:val="left"/>
    </w:pPr>
    <w:rPr>
      <w:rFonts w:ascii="Tahoma" w:hAnsi="Tahoma"/>
      <w:bCs w:val="0"/>
      <w:color w:val="auto"/>
      <w:lang w:val="pl-PL" w:eastAsia="pl-PL"/>
    </w:rPr>
  </w:style>
  <w:style w:type="character" w:customStyle="1" w:styleId="FooterChar">
    <w:name w:val="Footer Char"/>
    <w:basedOn w:val="DefaultParagraphFont"/>
    <w:link w:val="Footer"/>
    <w:rsid w:val="00482542"/>
    <w:rPr>
      <w:bCs/>
      <w:color w:val="000000"/>
      <w:sz w:val="24"/>
      <w:szCs w:val="24"/>
    </w:rPr>
  </w:style>
  <w:style w:type="paragraph" w:customStyle="1" w:styleId="tekst1">
    <w:name w:val="tekst_1"/>
    <w:basedOn w:val="Normal"/>
    <w:rsid w:val="00482542"/>
    <w:pPr>
      <w:tabs>
        <w:tab w:val="clear" w:pos="0"/>
        <w:tab w:val="clear" w:pos="9360"/>
      </w:tabs>
      <w:spacing w:before="100" w:beforeAutospacing="1" w:after="100" w:afterAutospacing="1" w:line="240" w:lineRule="auto"/>
      <w:jc w:val="left"/>
    </w:pPr>
    <w:rPr>
      <w:rFonts w:ascii="Arial" w:hAnsi="Arial" w:cs="Arial"/>
      <w:bCs w:val="0"/>
      <w:sz w:val="18"/>
      <w:szCs w:val="18"/>
    </w:rPr>
  </w:style>
  <w:style w:type="paragraph" w:customStyle="1" w:styleId="tekstcentar">
    <w:name w:val="tekst_centar"/>
    <w:basedOn w:val="Normal"/>
    <w:rsid w:val="00482542"/>
    <w:pPr>
      <w:tabs>
        <w:tab w:val="clear" w:pos="0"/>
        <w:tab w:val="clear" w:pos="9360"/>
      </w:tabs>
      <w:spacing w:before="100" w:beforeAutospacing="1" w:after="100" w:afterAutospacing="1" w:line="240" w:lineRule="auto"/>
      <w:jc w:val="center"/>
    </w:pPr>
    <w:rPr>
      <w:rFonts w:ascii="Arial" w:hAnsi="Arial" w:cs="Arial"/>
      <w:bCs w:val="0"/>
      <w:sz w:val="18"/>
      <w:szCs w:val="18"/>
    </w:rPr>
  </w:style>
  <w:style w:type="character" w:customStyle="1" w:styleId="HeaderChar">
    <w:name w:val="Header Char"/>
    <w:basedOn w:val="DefaultParagraphFont"/>
    <w:link w:val="Header"/>
    <w:semiHidden/>
    <w:rsid w:val="00482542"/>
    <w:rPr>
      <w:bCs/>
      <w:color w:val="000000"/>
      <w:sz w:val="24"/>
      <w:szCs w:val="24"/>
    </w:rPr>
  </w:style>
  <w:style w:type="paragraph" w:styleId="ListParagraph">
    <w:name w:val="List Paragraph"/>
    <w:basedOn w:val="Normal"/>
    <w:uiPriority w:val="34"/>
    <w:qFormat/>
    <w:rsid w:val="00482542"/>
    <w:pPr>
      <w:tabs>
        <w:tab w:val="clear" w:pos="0"/>
        <w:tab w:val="clear" w:pos="9360"/>
      </w:tabs>
      <w:spacing w:line="240" w:lineRule="auto"/>
      <w:ind w:left="720"/>
      <w:contextualSpacing/>
      <w:jc w:val="left"/>
    </w:pPr>
    <w:rPr>
      <w:bCs w:val="0"/>
      <w:color w:val="auto"/>
    </w:rPr>
  </w:style>
  <w:style w:type="paragraph" w:customStyle="1" w:styleId="clanak">
    <w:name w:val="clanak"/>
    <w:basedOn w:val="Normal"/>
    <w:rsid w:val="003807C9"/>
    <w:pPr>
      <w:tabs>
        <w:tab w:val="clear" w:pos="0"/>
        <w:tab w:val="clear" w:pos="9360"/>
      </w:tabs>
      <w:spacing w:before="100" w:beforeAutospacing="1" w:after="100" w:afterAutospacing="1" w:line="240" w:lineRule="auto"/>
      <w:jc w:val="center"/>
    </w:pPr>
    <w:rPr>
      <w:bCs w:val="0"/>
      <w:color w:val="auto"/>
      <w:lang w:val="en-US" w:eastAsia="en-US"/>
    </w:rPr>
  </w:style>
  <w:style w:type="paragraph" w:customStyle="1" w:styleId="t-9-8">
    <w:name w:val="t-9-8"/>
    <w:basedOn w:val="Normal"/>
    <w:rsid w:val="003807C9"/>
    <w:pPr>
      <w:tabs>
        <w:tab w:val="clear" w:pos="0"/>
        <w:tab w:val="clear" w:pos="9360"/>
      </w:tabs>
      <w:spacing w:before="100" w:beforeAutospacing="1" w:after="100" w:afterAutospacing="1" w:line="240" w:lineRule="auto"/>
      <w:jc w:val="left"/>
    </w:pPr>
    <w:rPr>
      <w:bCs w:val="0"/>
      <w:color w:val="auto"/>
      <w:lang w:val="en-US" w:eastAsia="en-US"/>
    </w:rPr>
  </w:style>
  <w:style w:type="paragraph" w:customStyle="1" w:styleId="CharCharCharCharCharCharCharCharCharCharCharCharChar0">
    <w:name w:val="Char Char Char Char Char Char Char Char Char Char Char Char Char"/>
    <w:basedOn w:val="Normal"/>
    <w:rsid w:val="00454F4D"/>
    <w:pPr>
      <w:tabs>
        <w:tab w:val="clear" w:pos="0"/>
        <w:tab w:val="clear" w:pos="9360"/>
        <w:tab w:val="left" w:pos="709"/>
      </w:tabs>
      <w:spacing w:line="240" w:lineRule="auto"/>
      <w:jc w:val="left"/>
    </w:pPr>
    <w:rPr>
      <w:rFonts w:ascii="Tahoma" w:hAnsi="Tahoma"/>
      <w:bCs w:val="0"/>
      <w:color w:val="auto"/>
      <w:lang w:val="pl-PL" w:eastAsia="pl-PL"/>
    </w:rPr>
  </w:style>
  <w:style w:type="character" w:styleId="CommentReference">
    <w:name w:val="annotation reference"/>
    <w:basedOn w:val="DefaultParagraphFont"/>
    <w:uiPriority w:val="99"/>
    <w:semiHidden/>
    <w:unhideWhenUsed/>
    <w:rsid w:val="00173D71"/>
    <w:rPr>
      <w:sz w:val="16"/>
      <w:szCs w:val="16"/>
    </w:rPr>
  </w:style>
  <w:style w:type="paragraph" w:styleId="CommentText">
    <w:name w:val="annotation text"/>
    <w:basedOn w:val="Normal"/>
    <w:link w:val="CommentTextChar"/>
    <w:uiPriority w:val="99"/>
    <w:semiHidden/>
    <w:unhideWhenUsed/>
    <w:rsid w:val="00173D71"/>
    <w:pPr>
      <w:spacing w:line="240" w:lineRule="auto"/>
    </w:pPr>
    <w:rPr>
      <w:sz w:val="20"/>
      <w:szCs w:val="20"/>
    </w:rPr>
  </w:style>
  <w:style w:type="character" w:customStyle="1" w:styleId="CommentTextChar">
    <w:name w:val="Comment Text Char"/>
    <w:basedOn w:val="DefaultParagraphFont"/>
    <w:link w:val="CommentText"/>
    <w:uiPriority w:val="99"/>
    <w:semiHidden/>
    <w:rsid w:val="00173D71"/>
    <w:rPr>
      <w:bCs/>
      <w:color w:val="000000"/>
    </w:rPr>
  </w:style>
  <w:style w:type="paragraph" w:styleId="CommentSubject">
    <w:name w:val="annotation subject"/>
    <w:basedOn w:val="CommentText"/>
    <w:next w:val="CommentText"/>
    <w:link w:val="CommentSubjectChar"/>
    <w:uiPriority w:val="99"/>
    <w:semiHidden/>
    <w:unhideWhenUsed/>
    <w:rsid w:val="00173D71"/>
    <w:rPr>
      <w:b/>
    </w:rPr>
  </w:style>
  <w:style w:type="character" w:customStyle="1" w:styleId="CommentSubjectChar">
    <w:name w:val="Comment Subject Char"/>
    <w:basedOn w:val="CommentTextChar"/>
    <w:link w:val="CommentSubject"/>
    <w:uiPriority w:val="99"/>
    <w:semiHidden/>
    <w:rsid w:val="00173D71"/>
    <w:rPr>
      <w:b/>
      <w:bCs/>
      <w:color w:val="000000"/>
    </w:rPr>
  </w:style>
  <w:style w:type="paragraph" w:styleId="BalloonText">
    <w:name w:val="Balloon Text"/>
    <w:basedOn w:val="Normal"/>
    <w:link w:val="BalloonTextChar"/>
    <w:uiPriority w:val="99"/>
    <w:semiHidden/>
    <w:unhideWhenUsed/>
    <w:rsid w:val="00173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71"/>
    <w:rPr>
      <w:rFonts w:ascii="Tahoma" w:hAnsi="Tahoma" w:cs="Tahoma"/>
      <w:bCs/>
      <w:color w:val="000000"/>
      <w:sz w:val="16"/>
      <w:szCs w:val="16"/>
    </w:rPr>
  </w:style>
  <w:style w:type="paragraph" w:styleId="Caption">
    <w:name w:val="caption"/>
    <w:basedOn w:val="Normal"/>
    <w:next w:val="Normal"/>
    <w:uiPriority w:val="35"/>
    <w:unhideWhenUsed/>
    <w:qFormat/>
    <w:rsid w:val="007C4F28"/>
    <w:pPr>
      <w:tabs>
        <w:tab w:val="clear" w:pos="0"/>
        <w:tab w:val="clear" w:pos="9360"/>
      </w:tabs>
      <w:spacing w:after="200" w:line="240" w:lineRule="auto"/>
      <w:jc w:val="left"/>
    </w:pPr>
    <w:rPr>
      <w:rFonts w:ascii="Arial" w:eastAsia="Calibri" w:hAnsi="Arial"/>
      <w:b/>
      <w:color w:val="4F81BD"/>
      <w:sz w:val="18"/>
      <w:szCs w:val="18"/>
      <w:lang w:eastAsia="en-US"/>
    </w:rPr>
  </w:style>
  <w:style w:type="paragraph" w:customStyle="1" w:styleId="Reference">
    <w:name w:val="_Reference"/>
    <w:basedOn w:val="Normal"/>
    <w:uiPriority w:val="99"/>
    <w:rsid w:val="007C4F28"/>
    <w:pPr>
      <w:tabs>
        <w:tab w:val="clear" w:pos="0"/>
        <w:tab w:val="clear" w:pos="9360"/>
      </w:tabs>
      <w:overflowPunct w:val="0"/>
      <w:autoSpaceDE w:val="0"/>
      <w:autoSpaceDN w:val="0"/>
      <w:adjustRightInd w:val="0"/>
      <w:spacing w:after="312" w:line="310" w:lineRule="exact"/>
      <w:ind w:left="454" w:hanging="454"/>
      <w:textAlignment w:val="baseline"/>
    </w:pPr>
    <w:rPr>
      <w:rFonts w:ascii="Arial" w:hAnsi="Arial" w:cs="Arial"/>
      <w:bCs w:val="0"/>
      <w:color w:val="auto"/>
      <w:kern w:val="16"/>
      <w:sz w:val="20"/>
      <w:szCs w:val="20"/>
      <w:lang w:eastAsia="en-US"/>
    </w:rPr>
  </w:style>
  <w:style w:type="character" w:styleId="Strong">
    <w:name w:val="Strong"/>
    <w:basedOn w:val="DefaultParagraphFont"/>
    <w:uiPriority w:val="22"/>
    <w:qFormat/>
    <w:rsid w:val="006377F0"/>
    <w:rPr>
      <w:b/>
      <w:bCs/>
    </w:rPr>
  </w:style>
  <w:style w:type="paragraph" w:customStyle="1" w:styleId="T-98-2">
    <w:name w:val="T-9/8-2"/>
    <w:rsid w:val="003D1A76"/>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Clanak0">
    <w:name w:val="Clanak"/>
    <w:next w:val="T-98-2"/>
    <w:rsid w:val="003D1A76"/>
    <w:pPr>
      <w:widowControl w:val="0"/>
      <w:autoSpaceDE w:val="0"/>
      <w:autoSpaceDN w:val="0"/>
      <w:adjustRightInd w:val="0"/>
      <w:spacing w:before="86" w:after="43"/>
      <w:jc w:val="center"/>
    </w:pPr>
    <w:rPr>
      <w:rFonts w:ascii="Times-NewRoman" w:hAnsi="Times-NewRoman"/>
      <w:sz w:val="19"/>
      <w:szCs w:val="19"/>
      <w:lang w:val="en-US"/>
    </w:rPr>
  </w:style>
  <w:style w:type="paragraph" w:customStyle="1" w:styleId="tb-na16">
    <w:name w:val="tb-na16"/>
    <w:basedOn w:val="Normal"/>
    <w:rsid w:val="000A5303"/>
    <w:pPr>
      <w:tabs>
        <w:tab w:val="clear" w:pos="0"/>
        <w:tab w:val="clear" w:pos="9360"/>
      </w:tabs>
      <w:spacing w:before="100" w:beforeAutospacing="1" w:after="100" w:afterAutospacing="1" w:line="240" w:lineRule="auto"/>
      <w:jc w:val="left"/>
    </w:pPr>
    <w:rPr>
      <w:bCs w:val="0"/>
      <w:color w:val="auto"/>
    </w:rPr>
  </w:style>
  <w:style w:type="paragraph" w:customStyle="1" w:styleId="t-12-9-fett-s">
    <w:name w:val="t-12-9-fett-s"/>
    <w:basedOn w:val="Normal"/>
    <w:rsid w:val="000A5303"/>
    <w:pPr>
      <w:tabs>
        <w:tab w:val="clear" w:pos="0"/>
        <w:tab w:val="clear" w:pos="9360"/>
      </w:tabs>
      <w:spacing w:before="100" w:beforeAutospacing="1" w:after="100" w:afterAutospacing="1" w:line="240" w:lineRule="auto"/>
      <w:jc w:val="left"/>
    </w:pPr>
    <w:rPr>
      <w:bCs w:val="0"/>
      <w:color w:val="auto"/>
    </w:rPr>
  </w:style>
  <w:style w:type="paragraph" w:styleId="TOCHeading">
    <w:name w:val="TOC Heading"/>
    <w:basedOn w:val="Heading1"/>
    <w:next w:val="Normal"/>
    <w:uiPriority w:val="39"/>
    <w:semiHidden/>
    <w:unhideWhenUsed/>
    <w:qFormat/>
    <w:rsid w:val="00726FF8"/>
    <w:pPr>
      <w:keepLines/>
      <w:widowControl/>
      <w:tabs>
        <w:tab w:val="clear" w:pos="0"/>
        <w:tab w:val="clear" w:pos="9360"/>
      </w:tab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uiPriority w:val="99"/>
    <w:qFormat/>
    <w:rsid w:val="008A5262"/>
    <w:pPr>
      <w:pBdr>
        <w:bottom w:val="single" w:sz="8" w:space="4" w:color="4F81BD"/>
      </w:pBdr>
      <w:tabs>
        <w:tab w:val="clear" w:pos="0"/>
        <w:tab w:val="clear" w:pos="9360"/>
      </w:tabs>
      <w:spacing w:after="300" w:line="240" w:lineRule="auto"/>
      <w:contextualSpacing/>
    </w:pPr>
    <w:rPr>
      <w:rFonts w:ascii="Cambria" w:hAnsi="Cambria"/>
      <w:bCs w:val="0"/>
      <w:color w:val="17365D"/>
      <w:spacing w:val="5"/>
      <w:kern w:val="28"/>
      <w:sz w:val="52"/>
      <w:szCs w:val="52"/>
      <w:lang w:val="en-GB" w:eastAsia="en-GB"/>
    </w:rPr>
  </w:style>
  <w:style w:type="character" w:customStyle="1" w:styleId="TitleChar">
    <w:name w:val="Title Char"/>
    <w:basedOn w:val="DefaultParagraphFont"/>
    <w:link w:val="Title"/>
    <w:uiPriority w:val="99"/>
    <w:rsid w:val="008A5262"/>
    <w:rPr>
      <w:rFonts w:ascii="Cambria" w:hAnsi="Cambria"/>
      <w:color w:val="17365D"/>
      <w:spacing w:val="5"/>
      <w:kern w:val="28"/>
      <w:sz w:val="52"/>
      <w:szCs w:val="5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E3"/>
    <w:pPr>
      <w:tabs>
        <w:tab w:val="center" w:pos="0"/>
        <w:tab w:val="right" w:pos="9360"/>
      </w:tabs>
      <w:spacing w:line="360" w:lineRule="auto"/>
      <w:jc w:val="both"/>
    </w:pPr>
    <w:rPr>
      <w:bCs/>
      <w:color w:val="000000"/>
      <w:sz w:val="24"/>
      <w:szCs w:val="24"/>
    </w:rPr>
  </w:style>
  <w:style w:type="paragraph" w:styleId="Heading1">
    <w:name w:val="heading 1"/>
    <w:basedOn w:val="Normal"/>
    <w:next w:val="Normal"/>
    <w:link w:val="Heading1Char"/>
    <w:qFormat/>
    <w:rsid w:val="00C77EE3"/>
    <w:pPr>
      <w:keepNext/>
      <w:widowControl w:val="0"/>
      <w:suppressAutoHyphens/>
      <w:spacing w:before="240" w:after="60" w:line="240" w:lineRule="auto"/>
      <w:outlineLvl w:val="0"/>
    </w:pPr>
    <w:rPr>
      <w:rFonts w:ascii="Arial" w:eastAsia="Lucida Sans Unicode" w:hAnsi="Arial" w:cs="Arial"/>
      <w:b/>
      <w:bCs w:val="0"/>
      <w:sz w:val="32"/>
      <w:szCs w:val="32"/>
    </w:rPr>
  </w:style>
  <w:style w:type="paragraph" w:styleId="Heading2">
    <w:name w:val="heading 2"/>
    <w:basedOn w:val="Normal"/>
    <w:next w:val="Normal"/>
    <w:link w:val="Heading2Char"/>
    <w:qFormat/>
    <w:rsid w:val="00C77EE3"/>
    <w:pPr>
      <w:keepNext/>
      <w:widowControl w:val="0"/>
      <w:suppressAutoHyphens/>
      <w:spacing w:before="240" w:after="60"/>
      <w:outlineLvl w:val="1"/>
    </w:pPr>
    <w:rPr>
      <w:rFonts w:ascii="Arial" w:eastAsia="Lucida Sans Unicode" w:hAnsi="Arial" w:cs="Arial"/>
      <w:b/>
      <w:bCs w:val="0"/>
      <w:i/>
      <w:iCs/>
      <w:sz w:val="28"/>
      <w:szCs w:val="28"/>
    </w:rPr>
  </w:style>
  <w:style w:type="paragraph" w:styleId="Heading3">
    <w:name w:val="heading 3"/>
    <w:basedOn w:val="Normal"/>
    <w:next w:val="Normal"/>
    <w:link w:val="Heading3Char"/>
    <w:qFormat/>
    <w:rsid w:val="00C77EE3"/>
    <w:pPr>
      <w:keepNext/>
      <w:widowControl w:val="0"/>
      <w:suppressAutoHyphens/>
      <w:spacing w:before="240" w:after="60" w:line="240" w:lineRule="auto"/>
      <w:outlineLvl w:val="2"/>
    </w:pPr>
    <w:rPr>
      <w:rFonts w:ascii="Arial" w:eastAsia="Lucida Sans Unicode" w:hAnsi="Arial" w:cs="Arial"/>
      <w:b/>
      <w:bCs w:val="0"/>
      <w:sz w:val="26"/>
      <w:szCs w:val="26"/>
    </w:rPr>
  </w:style>
  <w:style w:type="paragraph" w:styleId="Heading4">
    <w:name w:val="heading 4"/>
    <w:basedOn w:val="Normal"/>
    <w:next w:val="Normal"/>
    <w:qFormat/>
    <w:rsid w:val="00C77EE3"/>
    <w:pPr>
      <w:keepNext/>
      <w:widowControl w:val="0"/>
      <w:suppressAutoHyphens/>
      <w:spacing w:before="240" w:after="60" w:line="240" w:lineRule="auto"/>
      <w:outlineLvl w:val="3"/>
    </w:pPr>
    <w:rPr>
      <w:rFonts w:ascii="Arial" w:eastAsia="Lucida Sans Unicode" w:hAnsi="Arial" w:cs="Tahoma"/>
      <w:b/>
      <w:bCs w:val="0"/>
      <w:sz w:val="28"/>
      <w:szCs w:val="28"/>
    </w:rPr>
  </w:style>
  <w:style w:type="paragraph" w:styleId="Heading5">
    <w:name w:val="heading 5"/>
    <w:basedOn w:val="Normal"/>
    <w:next w:val="Normal"/>
    <w:qFormat/>
    <w:rsid w:val="00C77EE3"/>
    <w:pPr>
      <w:keepNext/>
      <w:widowControl w:val="0"/>
      <w:suppressAutoHyphens/>
      <w:spacing w:before="240" w:after="60" w:line="240" w:lineRule="auto"/>
      <w:outlineLvl w:val="4"/>
    </w:pPr>
    <w:rPr>
      <w:rFonts w:ascii="Arial" w:hAnsi="Arial"/>
      <w:b/>
      <w:i/>
      <w:sz w:val="26"/>
      <w:szCs w:val="20"/>
      <w:lang w:eastAsia="en-US"/>
    </w:rPr>
  </w:style>
  <w:style w:type="paragraph" w:styleId="Heading6">
    <w:name w:val="heading 6"/>
    <w:basedOn w:val="Normal"/>
    <w:next w:val="Normal"/>
    <w:qFormat/>
    <w:rsid w:val="00C77EE3"/>
    <w:pPr>
      <w:widowControl w:val="0"/>
      <w:suppressAutoHyphens/>
      <w:spacing w:before="240" w:after="60" w:line="240" w:lineRule="auto"/>
      <w:outlineLvl w:val="5"/>
    </w:pPr>
    <w:rPr>
      <w:rFonts w:ascii="Arial" w:hAnsi="Arial"/>
      <w:b/>
      <w:bCs w:val="0"/>
      <w:sz w:val="22"/>
      <w:szCs w:val="32"/>
      <w:lang w:eastAsia="en-US"/>
    </w:rPr>
  </w:style>
  <w:style w:type="paragraph" w:styleId="Heading7">
    <w:name w:val="heading 7"/>
    <w:basedOn w:val="Normal"/>
    <w:next w:val="Normal"/>
    <w:qFormat/>
    <w:rsid w:val="00C77EE3"/>
    <w:pPr>
      <w:keepNext/>
      <w:widowControl w:val="0"/>
      <w:suppressAutoHyphens/>
      <w:spacing w:before="240" w:after="60" w:line="240" w:lineRule="auto"/>
      <w:outlineLvl w:val="6"/>
    </w:pPr>
    <w:rPr>
      <w:rFonts w:ascii="Arial" w:hAnsi="Arial"/>
      <w:sz w:val="22"/>
      <w:lang w:eastAsia="ar-SA"/>
    </w:rPr>
  </w:style>
  <w:style w:type="paragraph" w:styleId="Heading8">
    <w:name w:val="heading 8"/>
    <w:basedOn w:val="Normal"/>
    <w:next w:val="Normal"/>
    <w:qFormat/>
    <w:rsid w:val="008343B2"/>
    <w:pPr>
      <w:keepNext/>
      <w:widowControl w:val="0"/>
      <w:suppressAutoHyphens/>
      <w:spacing w:before="240" w:after="60" w:line="240" w:lineRule="auto"/>
      <w:outlineLvl w:val="7"/>
    </w:pPr>
    <w:rPr>
      <w:rFonts w:ascii="Arial" w:hAnsi="Arial"/>
      <w:bCs w:val="0"/>
      <w:sz w:val="22"/>
      <w:szCs w:val="28"/>
      <w:lang w:eastAsia="en-US"/>
    </w:rPr>
  </w:style>
  <w:style w:type="paragraph" w:styleId="Heading9">
    <w:name w:val="heading 9"/>
    <w:basedOn w:val="Normal"/>
    <w:next w:val="Normal"/>
    <w:qFormat/>
    <w:rsid w:val="008343B2"/>
    <w:pPr>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1 Char,Footnote Text2,Footnote Text Char Char Char1,Footnote Text11 Char,Footnote Text Char Char Char Char1,Footnote Text Char Char Char2,Footnote Text Char Char Char Char2"/>
    <w:basedOn w:val="Normal"/>
    <w:link w:val="FootnoteTextChar"/>
    <w:semiHidden/>
    <w:rsid w:val="008343B2"/>
    <w:pPr>
      <w:tabs>
        <w:tab w:val="center" w:pos="720"/>
      </w:tabs>
      <w:spacing w:line="240" w:lineRule="auto"/>
    </w:pPr>
    <w:rPr>
      <w:sz w:val="20"/>
      <w:szCs w:val="20"/>
    </w:rPr>
  </w:style>
  <w:style w:type="character" w:styleId="FootnoteReference">
    <w:name w:val="footnote reference"/>
    <w:basedOn w:val="DefaultParagraphFont"/>
    <w:semiHidden/>
    <w:rsid w:val="008343B2"/>
    <w:rPr>
      <w:vertAlign w:val="superscript"/>
    </w:rPr>
  </w:style>
  <w:style w:type="paragraph" w:styleId="BodyTextIndent">
    <w:name w:val="Body Text Indent"/>
    <w:basedOn w:val="Normal"/>
    <w:semiHidden/>
    <w:rsid w:val="008343B2"/>
    <w:pPr>
      <w:ind w:firstLine="720"/>
    </w:pPr>
  </w:style>
  <w:style w:type="paragraph" w:styleId="TOC1">
    <w:name w:val="toc 1"/>
    <w:basedOn w:val="Normal"/>
    <w:next w:val="Normal"/>
    <w:autoRedefine/>
    <w:uiPriority w:val="39"/>
    <w:qFormat/>
    <w:rsid w:val="008343B2"/>
    <w:pPr>
      <w:tabs>
        <w:tab w:val="clear" w:pos="0"/>
        <w:tab w:val="clear" w:pos="9360"/>
      </w:tabs>
    </w:pPr>
  </w:style>
  <w:style w:type="paragraph" w:styleId="TOC2">
    <w:name w:val="toc 2"/>
    <w:basedOn w:val="Normal"/>
    <w:next w:val="Normal"/>
    <w:autoRedefine/>
    <w:uiPriority w:val="39"/>
    <w:qFormat/>
    <w:rsid w:val="008343B2"/>
    <w:pPr>
      <w:tabs>
        <w:tab w:val="clear" w:pos="0"/>
        <w:tab w:val="clear" w:pos="9360"/>
      </w:tabs>
      <w:ind w:left="240"/>
    </w:pPr>
  </w:style>
  <w:style w:type="paragraph" w:styleId="TOC3">
    <w:name w:val="toc 3"/>
    <w:basedOn w:val="Normal"/>
    <w:next w:val="Normal"/>
    <w:autoRedefine/>
    <w:uiPriority w:val="39"/>
    <w:qFormat/>
    <w:rsid w:val="008343B2"/>
    <w:pPr>
      <w:tabs>
        <w:tab w:val="clear" w:pos="0"/>
        <w:tab w:val="clear" w:pos="9360"/>
      </w:tabs>
      <w:ind w:left="480"/>
    </w:pPr>
  </w:style>
  <w:style w:type="paragraph" w:styleId="TOC4">
    <w:name w:val="toc 4"/>
    <w:basedOn w:val="Normal"/>
    <w:next w:val="Normal"/>
    <w:autoRedefine/>
    <w:uiPriority w:val="39"/>
    <w:rsid w:val="008343B2"/>
    <w:pPr>
      <w:tabs>
        <w:tab w:val="clear" w:pos="0"/>
        <w:tab w:val="clear" w:pos="9360"/>
      </w:tabs>
      <w:ind w:left="720"/>
    </w:pPr>
  </w:style>
  <w:style w:type="paragraph" w:styleId="TOC5">
    <w:name w:val="toc 5"/>
    <w:basedOn w:val="Normal"/>
    <w:next w:val="Normal"/>
    <w:autoRedefine/>
    <w:uiPriority w:val="39"/>
    <w:rsid w:val="008343B2"/>
    <w:pPr>
      <w:tabs>
        <w:tab w:val="clear" w:pos="0"/>
        <w:tab w:val="clear" w:pos="9360"/>
      </w:tabs>
      <w:ind w:left="960"/>
    </w:pPr>
  </w:style>
  <w:style w:type="paragraph" w:styleId="TOC6">
    <w:name w:val="toc 6"/>
    <w:basedOn w:val="Normal"/>
    <w:next w:val="Normal"/>
    <w:autoRedefine/>
    <w:uiPriority w:val="39"/>
    <w:rsid w:val="008343B2"/>
    <w:pPr>
      <w:tabs>
        <w:tab w:val="clear" w:pos="0"/>
        <w:tab w:val="clear" w:pos="9360"/>
      </w:tabs>
      <w:ind w:left="1200"/>
    </w:pPr>
  </w:style>
  <w:style w:type="paragraph" w:styleId="TOC7">
    <w:name w:val="toc 7"/>
    <w:basedOn w:val="Normal"/>
    <w:next w:val="Normal"/>
    <w:autoRedefine/>
    <w:semiHidden/>
    <w:rsid w:val="008343B2"/>
    <w:pPr>
      <w:tabs>
        <w:tab w:val="clear" w:pos="0"/>
        <w:tab w:val="clear" w:pos="9360"/>
      </w:tabs>
      <w:ind w:left="1440"/>
    </w:pPr>
  </w:style>
  <w:style w:type="paragraph" w:styleId="TOC8">
    <w:name w:val="toc 8"/>
    <w:basedOn w:val="Normal"/>
    <w:next w:val="Normal"/>
    <w:autoRedefine/>
    <w:semiHidden/>
    <w:rsid w:val="008343B2"/>
    <w:pPr>
      <w:tabs>
        <w:tab w:val="clear" w:pos="0"/>
        <w:tab w:val="clear" w:pos="9360"/>
      </w:tabs>
      <w:ind w:left="1680"/>
    </w:pPr>
  </w:style>
  <w:style w:type="paragraph" w:styleId="TOC9">
    <w:name w:val="toc 9"/>
    <w:basedOn w:val="Normal"/>
    <w:next w:val="Normal"/>
    <w:autoRedefine/>
    <w:semiHidden/>
    <w:rsid w:val="008343B2"/>
    <w:pPr>
      <w:tabs>
        <w:tab w:val="clear" w:pos="0"/>
        <w:tab w:val="clear" w:pos="9360"/>
      </w:tabs>
      <w:ind w:left="1920"/>
    </w:pPr>
  </w:style>
  <w:style w:type="paragraph" w:styleId="Index1">
    <w:name w:val="index 1"/>
    <w:basedOn w:val="Normal"/>
    <w:next w:val="Normal"/>
    <w:autoRedefine/>
    <w:semiHidden/>
    <w:rsid w:val="008343B2"/>
    <w:pPr>
      <w:tabs>
        <w:tab w:val="clear" w:pos="0"/>
        <w:tab w:val="clear" w:pos="9360"/>
      </w:tabs>
      <w:ind w:left="240" w:hanging="240"/>
    </w:pPr>
  </w:style>
  <w:style w:type="paragraph" w:styleId="Index2">
    <w:name w:val="index 2"/>
    <w:basedOn w:val="Normal"/>
    <w:next w:val="Normal"/>
    <w:autoRedefine/>
    <w:semiHidden/>
    <w:rsid w:val="008343B2"/>
    <w:pPr>
      <w:tabs>
        <w:tab w:val="clear" w:pos="0"/>
        <w:tab w:val="clear" w:pos="9360"/>
      </w:tabs>
      <w:ind w:left="480" w:hanging="240"/>
    </w:pPr>
  </w:style>
  <w:style w:type="paragraph" w:styleId="Index3">
    <w:name w:val="index 3"/>
    <w:basedOn w:val="Normal"/>
    <w:next w:val="Normal"/>
    <w:autoRedefine/>
    <w:semiHidden/>
    <w:rsid w:val="008343B2"/>
    <w:pPr>
      <w:tabs>
        <w:tab w:val="clear" w:pos="0"/>
        <w:tab w:val="clear" w:pos="9360"/>
      </w:tabs>
      <w:ind w:left="720" w:hanging="240"/>
    </w:pPr>
  </w:style>
  <w:style w:type="paragraph" w:styleId="Index4">
    <w:name w:val="index 4"/>
    <w:basedOn w:val="Normal"/>
    <w:next w:val="Normal"/>
    <w:autoRedefine/>
    <w:semiHidden/>
    <w:rsid w:val="008343B2"/>
    <w:pPr>
      <w:tabs>
        <w:tab w:val="clear" w:pos="0"/>
        <w:tab w:val="clear" w:pos="9360"/>
      </w:tabs>
      <w:ind w:left="960" w:hanging="240"/>
    </w:pPr>
  </w:style>
  <w:style w:type="paragraph" w:styleId="Index5">
    <w:name w:val="index 5"/>
    <w:basedOn w:val="Normal"/>
    <w:next w:val="Normal"/>
    <w:autoRedefine/>
    <w:semiHidden/>
    <w:rsid w:val="008343B2"/>
    <w:pPr>
      <w:tabs>
        <w:tab w:val="clear" w:pos="0"/>
        <w:tab w:val="clear" w:pos="9360"/>
      </w:tabs>
      <w:ind w:left="1200" w:hanging="240"/>
    </w:pPr>
  </w:style>
  <w:style w:type="paragraph" w:styleId="Index6">
    <w:name w:val="index 6"/>
    <w:basedOn w:val="Normal"/>
    <w:next w:val="Normal"/>
    <w:autoRedefine/>
    <w:semiHidden/>
    <w:rsid w:val="008343B2"/>
    <w:pPr>
      <w:tabs>
        <w:tab w:val="clear" w:pos="0"/>
        <w:tab w:val="clear" w:pos="9360"/>
      </w:tabs>
      <w:ind w:left="1440" w:hanging="240"/>
    </w:pPr>
  </w:style>
  <w:style w:type="paragraph" w:styleId="Index7">
    <w:name w:val="index 7"/>
    <w:basedOn w:val="Normal"/>
    <w:next w:val="Normal"/>
    <w:autoRedefine/>
    <w:semiHidden/>
    <w:rsid w:val="008343B2"/>
    <w:pPr>
      <w:tabs>
        <w:tab w:val="clear" w:pos="0"/>
        <w:tab w:val="clear" w:pos="9360"/>
      </w:tabs>
      <w:ind w:left="1680" w:hanging="240"/>
    </w:pPr>
  </w:style>
  <w:style w:type="paragraph" w:styleId="Index8">
    <w:name w:val="index 8"/>
    <w:basedOn w:val="Normal"/>
    <w:next w:val="Normal"/>
    <w:autoRedefine/>
    <w:semiHidden/>
    <w:rsid w:val="008343B2"/>
    <w:pPr>
      <w:tabs>
        <w:tab w:val="clear" w:pos="0"/>
        <w:tab w:val="clear" w:pos="9360"/>
      </w:tabs>
      <w:ind w:left="1920" w:hanging="240"/>
    </w:pPr>
  </w:style>
  <w:style w:type="paragraph" w:styleId="Index9">
    <w:name w:val="index 9"/>
    <w:basedOn w:val="Normal"/>
    <w:next w:val="Normal"/>
    <w:autoRedefine/>
    <w:semiHidden/>
    <w:rsid w:val="008343B2"/>
    <w:pPr>
      <w:tabs>
        <w:tab w:val="clear" w:pos="0"/>
        <w:tab w:val="clear" w:pos="9360"/>
      </w:tabs>
      <w:ind w:left="2160" w:hanging="240"/>
    </w:pPr>
  </w:style>
  <w:style w:type="paragraph" w:styleId="IndexHeading">
    <w:name w:val="index heading"/>
    <w:basedOn w:val="Normal"/>
    <w:next w:val="Index1"/>
    <w:semiHidden/>
    <w:rsid w:val="008343B2"/>
  </w:style>
  <w:style w:type="character" w:styleId="Hyperlink">
    <w:name w:val="Hyperlink"/>
    <w:basedOn w:val="DefaultParagraphFont"/>
    <w:uiPriority w:val="99"/>
    <w:rsid w:val="008343B2"/>
    <w:rPr>
      <w:color w:val="0000FF"/>
      <w:u w:val="single"/>
    </w:rPr>
  </w:style>
  <w:style w:type="paragraph" w:styleId="Footer">
    <w:name w:val="footer"/>
    <w:basedOn w:val="Normal"/>
    <w:link w:val="FooterChar"/>
    <w:rsid w:val="008343B2"/>
    <w:pPr>
      <w:tabs>
        <w:tab w:val="clear" w:pos="0"/>
        <w:tab w:val="clear" w:pos="9360"/>
        <w:tab w:val="center" w:pos="4536"/>
        <w:tab w:val="right" w:pos="9072"/>
      </w:tabs>
    </w:pPr>
  </w:style>
  <w:style w:type="character" w:styleId="PageNumber">
    <w:name w:val="page number"/>
    <w:basedOn w:val="DefaultParagraphFont"/>
    <w:semiHidden/>
    <w:rsid w:val="008343B2"/>
  </w:style>
  <w:style w:type="paragraph" w:styleId="Header">
    <w:name w:val="header"/>
    <w:basedOn w:val="Normal"/>
    <w:link w:val="HeaderChar"/>
    <w:rsid w:val="008343B2"/>
    <w:pPr>
      <w:tabs>
        <w:tab w:val="clear" w:pos="0"/>
        <w:tab w:val="clear" w:pos="9360"/>
        <w:tab w:val="center" w:pos="4536"/>
        <w:tab w:val="right" w:pos="9072"/>
      </w:tabs>
    </w:pPr>
  </w:style>
  <w:style w:type="paragraph" w:styleId="BodyText">
    <w:name w:val="Body Text"/>
    <w:basedOn w:val="Normal"/>
    <w:link w:val="BodyTextChar"/>
    <w:unhideWhenUsed/>
    <w:rsid w:val="00482542"/>
    <w:pPr>
      <w:spacing w:after="120"/>
    </w:pPr>
  </w:style>
  <w:style w:type="character" w:customStyle="1" w:styleId="BodyTextChar">
    <w:name w:val="Body Text Char"/>
    <w:basedOn w:val="DefaultParagraphFont"/>
    <w:link w:val="BodyText"/>
    <w:rsid w:val="00482542"/>
    <w:rPr>
      <w:bCs/>
      <w:color w:val="000000"/>
      <w:sz w:val="24"/>
      <w:szCs w:val="24"/>
    </w:rPr>
  </w:style>
  <w:style w:type="character" w:customStyle="1" w:styleId="Heading1Char">
    <w:name w:val="Heading 1 Char"/>
    <w:basedOn w:val="DefaultParagraphFont"/>
    <w:link w:val="Heading1"/>
    <w:rsid w:val="00482542"/>
    <w:rPr>
      <w:rFonts w:ascii="Arial" w:eastAsia="Lucida Sans Unicode" w:hAnsi="Arial" w:cs="Arial"/>
      <w:b/>
      <w:color w:val="000000"/>
      <w:sz w:val="32"/>
      <w:szCs w:val="32"/>
    </w:rPr>
  </w:style>
  <w:style w:type="character" w:customStyle="1" w:styleId="Heading2Char">
    <w:name w:val="Heading 2 Char"/>
    <w:basedOn w:val="DefaultParagraphFont"/>
    <w:link w:val="Heading2"/>
    <w:rsid w:val="00482542"/>
    <w:rPr>
      <w:rFonts w:ascii="Arial" w:eastAsia="Lucida Sans Unicode" w:hAnsi="Arial" w:cs="Arial"/>
      <w:b/>
      <w:i/>
      <w:iCs/>
      <w:color w:val="000000"/>
      <w:sz w:val="28"/>
      <w:szCs w:val="28"/>
    </w:rPr>
  </w:style>
  <w:style w:type="character" w:customStyle="1" w:styleId="Heading3Char">
    <w:name w:val="Heading 3 Char"/>
    <w:basedOn w:val="DefaultParagraphFont"/>
    <w:link w:val="Heading3"/>
    <w:rsid w:val="00482542"/>
    <w:rPr>
      <w:rFonts w:ascii="Arial" w:eastAsia="Lucida Sans Unicode" w:hAnsi="Arial" w:cs="Arial"/>
      <w:b/>
      <w:color w:val="000000"/>
      <w:sz w:val="26"/>
      <w:szCs w:val="26"/>
    </w:rPr>
  </w:style>
  <w:style w:type="character" w:customStyle="1" w:styleId="FootnoteTextChar">
    <w:name w:val="Footnote Text Char"/>
    <w:aliases w:val="Footnote Text Char Char1 Char Char,Footnote Text2 Char,Footnote Text Char Char Char1 Char,Footnote Text11 Char Char,Footnote Text Char Char Char Char1 Char,Footnote Text Char Char Char2 Char,Footnote Text Char Char Char Char2 Char"/>
    <w:basedOn w:val="DefaultParagraphFont"/>
    <w:link w:val="FootnoteText"/>
    <w:semiHidden/>
    <w:rsid w:val="00482542"/>
    <w:rPr>
      <w:bCs/>
      <w:color w:val="000000"/>
    </w:rPr>
  </w:style>
  <w:style w:type="paragraph" w:styleId="NormalWeb">
    <w:name w:val="Normal (Web)"/>
    <w:basedOn w:val="Normal"/>
    <w:uiPriority w:val="99"/>
    <w:rsid w:val="00482542"/>
    <w:pPr>
      <w:tabs>
        <w:tab w:val="clear" w:pos="0"/>
        <w:tab w:val="clear" w:pos="9360"/>
      </w:tabs>
      <w:spacing w:before="100" w:beforeAutospacing="1" w:after="100" w:afterAutospacing="1" w:line="240" w:lineRule="auto"/>
      <w:jc w:val="left"/>
    </w:pPr>
    <w:rPr>
      <w:bCs w:val="0"/>
      <w:color w:val="auto"/>
      <w:lang w:val="en-GB" w:eastAsia="en-US"/>
    </w:rPr>
  </w:style>
  <w:style w:type="paragraph" w:customStyle="1" w:styleId="CharCharCharCharCharCharCharCharCharCharCharCharChar">
    <w:name w:val="Char Char Char Char Char Char Char Char Char Char Char Char Char"/>
    <w:basedOn w:val="Normal"/>
    <w:rsid w:val="00482542"/>
    <w:pPr>
      <w:tabs>
        <w:tab w:val="clear" w:pos="0"/>
        <w:tab w:val="clear" w:pos="9360"/>
        <w:tab w:val="left" w:pos="709"/>
      </w:tabs>
      <w:spacing w:line="240" w:lineRule="auto"/>
      <w:jc w:val="left"/>
    </w:pPr>
    <w:rPr>
      <w:rFonts w:ascii="Tahoma" w:hAnsi="Tahoma"/>
      <w:bCs w:val="0"/>
      <w:color w:val="auto"/>
      <w:lang w:val="pl-PL" w:eastAsia="pl-PL"/>
    </w:rPr>
  </w:style>
  <w:style w:type="paragraph" w:customStyle="1" w:styleId="CharCharCarCar1CharCharCarCar">
    <w:name w:val="Char Char Car Car1 Char Char Car Car"/>
    <w:basedOn w:val="Normal"/>
    <w:rsid w:val="00482542"/>
    <w:pPr>
      <w:tabs>
        <w:tab w:val="clear" w:pos="0"/>
        <w:tab w:val="clear" w:pos="9360"/>
        <w:tab w:val="left" w:pos="709"/>
      </w:tabs>
      <w:spacing w:line="240" w:lineRule="auto"/>
      <w:jc w:val="left"/>
    </w:pPr>
    <w:rPr>
      <w:rFonts w:ascii="Tahoma" w:hAnsi="Tahoma"/>
      <w:bCs w:val="0"/>
      <w:color w:val="auto"/>
      <w:lang w:val="pl-PL" w:eastAsia="pl-PL"/>
    </w:rPr>
  </w:style>
  <w:style w:type="character" w:customStyle="1" w:styleId="FooterChar">
    <w:name w:val="Footer Char"/>
    <w:basedOn w:val="DefaultParagraphFont"/>
    <w:link w:val="Footer"/>
    <w:rsid w:val="00482542"/>
    <w:rPr>
      <w:bCs/>
      <w:color w:val="000000"/>
      <w:sz w:val="24"/>
      <w:szCs w:val="24"/>
    </w:rPr>
  </w:style>
  <w:style w:type="paragraph" w:customStyle="1" w:styleId="tekst1">
    <w:name w:val="tekst_1"/>
    <w:basedOn w:val="Normal"/>
    <w:rsid w:val="00482542"/>
    <w:pPr>
      <w:tabs>
        <w:tab w:val="clear" w:pos="0"/>
        <w:tab w:val="clear" w:pos="9360"/>
      </w:tabs>
      <w:spacing w:before="100" w:beforeAutospacing="1" w:after="100" w:afterAutospacing="1" w:line="240" w:lineRule="auto"/>
      <w:jc w:val="left"/>
    </w:pPr>
    <w:rPr>
      <w:rFonts w:ascii="Arial" w:hAnsi="Arial" w:cs="Arial"/>
      <w:bCs w:val="0"/>
      <w:sz w:val="18"/>
      <w:szCs w:val="18"/>
    </w:rPr>
  </w:style>
  <w:style w:type="paragraph" w:customStyle="1" w:styleId="tekstcentar">
    <w:name w:val="tekst_centar"/>
    <w:basedOn w:val="Normal"/>
    <w:rsid w:val="00482542"/>
    <w:pPr>
      <w:tabs>
        <w:tab w:val="clear" w:pos="0"/>
        <w:tab w:val="clear" w:pos="9360"/>
      </w:tabs>
      <w:spacing w:before="100" w:beforeAutospacing="1" w:after="100" w:afterAutospacing="1" w:line="240" w:lineRule="auto"/>
      <w:jc w:val="center"/>
    </w:pPr>
    <w:rPr>
      <w:rFonts w:ascii="Arial" w:hAnsi="Arial" w:cs="Arial"/>
      <w:bCs w:val="0"/>
      <w:sz w:val="18"/>
      <w:szCs w:val="18"/>
    </w:rPr>
  </w:style>
  <w:style w:type="character" w:customStyle="1" w:styleId="HeaderChar">
    <w:name w:val="Header Char"/>
    <w:basedOn w:val="DefaultParagraphFont"/>
    <w:link w:val="Header"/>
    <w:semiHidden/>
    <w:rsid w:val="00482542"/>
    <w:rPr>
      <w:bCs/>
      <w:color w:val="000000"/>
      <w:sz w:val="24"/>
      <w:szCs w:val="24"/>
    </w:rPr>
  </w:style>
  <w:style w:type="paragraph" w:styleId="ListParagraph">
    <w:name w:val="List Paragraph"/>
    <w:basedOn w:val="Normal"/>
    <w:uiPriority w:val="34"/>
    <w:qFormat/>
    <w:rsid w:val="00482542"/>
    <w:pPr>
      <w:tabs>
        <w:tab w:val="clear" w:pos="0"/>
        <w:tab w:val="clear" w:pos="9360"/>
      </w:tabs>
      <w:spacing w:line="240" w:lineRule="auto"/>
      <w:ind w:left="720"/>
      <w:contextualSpacing/>
      <w:jc w:val="left"/>
    </w:pPr>
    <w:rPr>
      <w:bCs w:val="0"/>
      <w:color w:val="auto"/>
    </w:rPr>
  </w:style>
  <w:style w:type="paragraph" w:customStyle="1" w:styleId="clanak">
    <w:name w:val="clanak"/>
    <w:basedOn w:val="Normal"/>
    <w:rsid w:val="003807C9"/>
    <w:pPr>
      <w:tabs>
        <w:tab w:val="clear" w:pos="0"/>
        <w:tab w:val="clear" w:pos="9360"/>
      </w:tabs>
      <w:spacing w:before="100" w:beforeAutospacing="1" w:after="100" w:afterAutospacing="1" w:line="240" w:lineRule="auto"/>
      <w:jc w:val="center"/>
    </w:pPr>
    <w:rPr>
      <w:bCs w:val="0"/>
      <w:color w:val="auto"/>
      <w:lang w:val="en-US" w:eastAsia="en-US"/>
    </w:rPr>
  </w:style>
  <w:style w:type="paragraph" w:customStyle="1" w:styleId="t-9-8">
    <w:name w:val="t-9-8"/>
    <w:basedOn w:val="Normal"/>
    <w:rsid w:val="003807C9"/>
    <w:pPr>
      <w:tabs>
        <w:tab w:val="clear" w:pos="0"/>
        <w:tab w:val="clear" w:pos="9360"/>
      </w:tabs>
      <w:spacing w:before="100" w:beforeAutospacing="1" w:after="100" w:afterAutospacing="1" w:line="240" w:lineRule="auto"/>
      <w:jc w:val="left"/>
    </w:pPr>
    <w:rPr>
      <w:bCs w:val="0"/>
      <w:color w:val="auto"/>
      <w:lang w:val="en-US" w:eastAsia="en-US"/>
    </w:rPr>
  </w:style>
  <w:style w:type="paragraph" w:customStyle="1" w:styleId="CharCharCharCharCharCharCharCharCharCharCharCharChar0">
    <w:name w:val="Char Char Char Char Char Char Char Char Char Char Char Char Char"/>
    <w:basedOn w:val="Normal"/>
    <w:rsid w:val="00454F4D"/>
    <w:pPr>
      <w:tabs>
        <w:tab w:val="clear" w:pos="0"/>
        <w:tab w:val="clear" w:pos="9360"/>
        <w:tab w:val="left" w:pos="709"/>
      </w:tabs>
      <w:spacing w:line="240" w:lineRule="auto"/>
      <w:jc w:val="left"/>
    </w:pPr>
    <w:rPr>
      <w:rFonts w:ascii="Tahoma" w:hAnsi="Tahoma"/>
      <w:bCs w:val="0"/>
      <w:color w:val="auto"/>
      <w:lang w:val="pl-PL" w:eastAsia="pl-PL"/>
    </w:rPr>
  </w:style>
  <w:style w:type="character" w:styleId="CommentReference">
    <w:name w:val="annotation reference"/>
    <w:basedOn w:val="DefaultParagraphFont"/>
    <w:uiPriority w:val="99"/>
    <w:semiHidden/>
    <w:unhideWhenUsed/>
    <w:rsid w:val="00173D71"/>
    <w:rPr>
      <w:sz w:val="16"/>
      <w:szCs w:val="16"/>
    </w:rPr>
  </w:style>
  <w:style w:type="paragraph" w:styleId="CommentText">
    <w:name w:val="annotation text"/>
    <w:basedOn w:val="Normal"/>
    <w:link w:val="CommentTextChar"/>
    <w:uiPriority w:val="99"/>
    <w:semiHidden/>
    <w:unhideWhenUsed/>
    <w:rsid w:val="00173D71"/>
    <w:pPr>
      <w:spacing w:line="240" w:lineRule="auto"/>
    </w:pPr>
    <w:rPr>
      <w:sz w:val="20"/>
      <w:szCs w:val="20"/>
    </w:rPr>
  </w:style>
  <w:style w:type="character" w:customStyle="1" w:styleId="CommentTextChar">
    <w:name w:val="Comment Text Char"/>
    <w:basedOn w:val="DefaultParagraphFont"/>
    <w:link w:val="CommentText"/>
    <w:uiPriority w:val="99"/>
    <w:semiHidden/>
    <w:rsid w:val="00173D71"/>
    <w:rPr>
      <w:bCs/>
      <w:color w:val="000000"/>
    </w:rPr>
  </w:style>
  <w:style w:type="paragraph" w:styleId="CommentSubject">
    <w:name w:val="annotation subject"/>
    <w:basedOn w:val="CommentText"/>
    <w:next w:val="CommentText"/>
    <w:link w:val="CommentSubjectChar"/>
    <w:uiPriority w:val="99"/>
    <w:semiHidden/>
    <w:unhideWhenUsed/>
    <w:rsid w:val="00173D71"/>
    <w:rPr>
      <w:b/>
    </w:rPr>
  </w:style>
  <w:style w:type="character" w:customStyle="1" w:styleId="CommentSubjectChar">
    <w:name w:val="Comment Subject Char"/>
    <w:basedOn w:val="CommentTextChar"/>
    <w:link w:val="CommentSubject"/>
    <w:uiPriority w:val="99"/>
    <w:semiHidden/>
    <w:rsid w:val="00173D71"/>
    <w:rPr>
      <w:b/>
      <w:bCs/>
      <w:color w:val="000000"/>
    </w:rPr>
  </w:style>
  <w:style w:type="paragraph" w:styleId="BalloonText">
    <w:name w:val="Balloon Text"/>
    <w:basedOn w:val="Normal"/>
    <w:link w:val="BalloonTextChar"/>
    <w:uiPriority w:val="99"/>
    <w:semiHidden/>
    <w:unhideWhenUsed/>
    <w:rsid w:val="00173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71"/>
    <w:rPr>
      <w:rFonts w:ascii="Tahoma" w:hAnsi="Tahoma" w:cs="Tahoma"/>
      <w:bCs/>
      <w:color w:val="000000"/>
      <w:sz w:val="16"/>
      <w:szCs w:val="16"/>
    </w:rPr>
  </w:style>
  <w:style w:type="paragraph" w:styleId="Caption">
    <w:name w:val="caption"/>
    <w:basedOn w:val="Normal"/>
    <w:next w:val="Normal"/>
    <w:uiPriority w:val="35"/>
    <w:unhideWhenUsed/>
    <w:qFormat/>
    <w:rsid w:val="007C4F28"/>
    <w:pPr>
      <w:tabs>
        <w:tab w:val="clear" w:pos="0"/>
        <w:tab w:val="clear" w:pos="9360"/>
      </w:tabs>
      <w:spacing w:after="200" w:line="240" w:lineRule="auto"/>
      <w:jc w:val="left"/>
    </w:pPr>
    <w:rPr>
      <w:rFonts w:ascii="Arial" w:eastAsia="Calibri" w:hAnsi="Arial"/>
      <w:b/>
      <w:color w:val="4F81BD"/>
      <w:sz w:val="18"/>
      <w:szCs w:val="18"/>
      <w:lang w:eastAsia="en-US"/>
    </w:rPr>
  </w:style>
  <w:style w:type="paragraph" w:customStyle="1" w:styleId="Reference">
    <w:name w:val="_Reference"/>
    <w:basedOn w:val="Normal"/>
    <w:uiPriority w:val="99"/>
    <w:rsid w:val="007C4F28"/>
    <w:pPr>
      <w:tabs>
        <w:tab w:val="clear" w:pos="0"/>
        <w:tab w:val="clear" w:pos="9360"/>
      </w:tabs>
      <w:overflowPunct w:val="0"/>
      <w:autoSpaceDE w:val="0"/>
      <w:autoSpaceDN w:val="0"/>
      <w:adjustRightInd w:val="0"/>
      <w:spacing w:after="312" w:line="310" w:lineRule="exact"/>
      <w:ind w:left="454" w:hanging="454"/>
      <w:textAlignment w:val="baseline"/>
    </w:pPr>
    <w:rPr>
      <w:rFonts w:ascii="Arial" w:hAnsi="Arial" w:cs="Arial"/>
      <w:bCs w:val="0"/>
      <w:color w:val="auto"/>
      <w:kern w:val="16"/>
      <w:sz w:val="20"/>
      <w:szCs w:val="20"/>
      <w:lang w:eastAsia="en-US"/>
    </w:rPr>
  </w:style>
  <w:style w:type="character" w:styleId="Strong">
    <w:name w:val="Strong"/>
    <w:basedOn w:val="DefaultParagraphFont"/>
    <w:uiPriority w:val="22"/>
    <w:qFormat/>
    <w:rsid w:val="006377F0"/>
    <w:rPr>
      <w:b/>
      <w:bCs/>
    </w:rPr>
  </w:style>
  <w:style w:type="paragraph" w:customStyle="1" w:styleId="T-98-2">
    <w:name w:val="T-9/8-2"/>
    <w:rsid w:val="003D1A76"/>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Clanak0">
    <w:name w:val="Clanak"/>
    <w:next w:val="T-98-2"/>
    <w:rsid w:val="003D1A76"/>
    <w:pPr>
      <w:widowControl w:val="0"/>
      <w:autoSpaceDE w:val="0"/>
      <w:autoSpaceDN w:val="0"/>
      <w:adjustRightInd w:val="0"/>
      <w:spacing w:before="86" w:after="43"/>
      <w:jc w:val="center"/>
    </w:pPr>
    <w:rPr>
      <w:rFonts w:ascii="Times-NewRoman" w:hAnsi="Times-NewRoman"/>
      <w:sz w:val="19"/>
      <w:szCs w:val="19"/>
      <w:lang w:val="en-US"/>
    </w:rPr>
  </w:style>
  <w:style w:type="paragraph" w:customStyle="1" w:styleId="tb-na16">
    <w:name w:val="tb-na16"/>
    <w:basedOn w:val="Normal"/>
    <w:rsid w:val="000A5303"/>
    <w:pPr>
      <w:tabs>
        <w:tab w:val="clear" w:pos="0"/>
        <w:tab w:val="clear" w:pos="9360"/>
      </w:tabs>
      <w:spacing w:before="100" w:beforeAutospacing="1" w:after="100" w:afterAutospacing="1" w:line="240" w:lineRule="auto"/>
      <w:jc w:val="left"/>
    </w:pPr>
    <w:rPr>
      <w:bCs w:val="0"/>
      <w:color w:val="auto"/>
    </w:rPr>
  </w:style>
  <w:style w:type="paragraph" w:customStyle="1" w:styleId="t-12-9-fett-s">
    <w:name w:val="t-12-9-fett-s"/>
    <w:basedOn w:val="Normal"/>
    <w:rsid w:val="000A5303"/>
    <w:pPr>
      <w:tabs>
        <w:tab w:val="clear" w:pos="0"/>
        <w:tab w:val="clear" w:pos="9360"/>
      </w:tabs>
      <w:spacing w:before="100" w:beforeAutospacing="1" w:after="100" w:afterAutospacing="1" w:line="240" w:lineRule="auto"/>
      <w:jc w:val="left"/>
    </w:pPr>
    <w:rPr>
      <w:bCs w:val="0"/>
      <w:color w:val="auto"/>
    </w:rPr>
  </w:style>
  <w:style w:type="paragraph" w:styleId="TOCHeading">
    <w:name w:val="TOC Heading"/>
    <w:basedOn w:val="Heading1"/>
    <w:next w:val="Normal"/>
    <w:uiPriority w:val="39"/>
    <w:semiHidden/>
    <w:unhideWhenUsed/>
    <w:qFormat/>
    <w:rsid w:val="00726FF8"/>
    <w:pPr>
      <w:keepLines/>
      <w:widowControl/>
      <w:tabs>
        <w:tab w:val="clear" w:pos="0"/>
        <w:tab w:val="clear" w:pos="9360"/>
      </w:tab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uiPriority w:val="99"/>
    <w:qFormat/>
    <w:rsid w:val="008A5262"/>
    <w:pPr>
      <w:pBdr>
        <w:bottom w:val="single" w:sz="8" w:space="4" w:color="4F81BD"/>
      </w:pBdr>
      <w:tabs>
        <w:tab w:val="clear" w:pos="0"/>
        <w:tab w:val="clear" w:pos="9360"/>
      </w:tabs>
      <w:spacing w:after="300" w:line="240" w:lineRule="auto"/>
      <w:contextualSpacing/>
    </w:pPr>
    <w:rPr>
      <w:rFonts w:ascii="Cambria" w:hAnsi="Cambria"/>
      <w:bCs w:val="0"/>
      <w:color w:val="17365D"/>
      <w:spacing w:val="5"/>
      <w:kern w:val="28"/>
      <w:sz w:val="52"/>
      <w:szCs w:val="52"/>
      <w:lang w:val="en-GB" w:eastAsia="en-GB"/>
    </w:rPr>
  </w:style>
  <w:style w:type="character" w:customStyle="1" w:styleId="TitleChar">
    <w:name w:val="Title Char"/>
    <w:basedOn w:val="DefaultParagraphFont"/>
    <w:link w:val="Title"/>
    <w:uiPriority w:val="99"/>
    <w:rsid w:val="008A5262"/>
    <w:rPr>
      <w:rFonts w:ascii="Cambria" w:hAnsi="Cambria"/>
      <w:color w:val="17365D"/>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1918">
      <w:bodyDiv w:val="1"/>
      <w:marLeft w:val="0"/>
      <w:marRight w:val="0"/>
      <w:marTop w:val="0"/>
      <w:marBottom w:val="0"/>
      <w:divBdr>
        <w:top w:val="none" w:sz="0" w:space="0" w:color="auto"/>
        <w:left w:val="none" w:sz="0" w:space="0" w:color="auto"/>
        <w:bottom w:val="none" w:sz="0" w:space="0" w:color="auto"/>
        <w:right w:val="none" w:sz="0" w:space="0" w:color="auto"/>
      </w:divBdr>
    </w:div>
    <w:div w:id="293367612">
      <w:bodyDiv w:val="1"/>
      <w:marLeft w:val="0"/>
      <w:marRight w:val="0"/>
      <w:marTop w:val="0"/>
      <w:marBottom w:val="0"/>
      <w:divBdr>
        <w:top w:val="none" w:sz="0" w:space="0" w:color="auto"/>
        <w:left w:val="none" w:sz="0" w:space="0" w:color="auto"/>
        <w:bottom w:val="none" w:sz="0" w:space="0" w:color="auto"/>
        <w:right w:val="none" w:sz="0" w:space="0" w:color="auto"/>
      </w:divBdr>
    </w:div>
    <w:div w:id="347604740">
      <w:bodyDiv w:val="1"/>
      <w:marLeft w:val="0"/>
      <w:marRight w:val="0"/>
      <w:marTop w:val="0"/>
      <w:marBottom w:val="0"/>
      <w:divBdr>
        <w:top w:val="none" w:sz="0" w:space="0" w:color="auto"/>
        <w:left w:val="none" w:sz="0" w:space="0" w:color="auto"/>
        <w:bottom w:val="none" w:sz="0" w:space="0" w:color="auto"/>
        <w:right w:val="none" w:sz="0" w:space="0" w:color="auto"/>
      </w:divBdr>
    </w:div>
    <w:div w:id="747309213">
      <w:bodyDiv w:val="1"/>
      <w:marLeft w:val="0"/>
      <w:marRight w:val="0"/>
      <w:marTop w:val="0"/>
      <w:marBottom w:val="0"/>
      <w:divBdr>
        <w:top w:val="none" w:sz="0" w:space="0" w:color="auto"/>
        <w:left w:val="none" w:sz="0" w:space="0" w:color="auto"/>
        <w:bottom w:val="none" w:sz="0" w:space="0" w:color="auto"/>
        <w:right w:val="none" w:sz="0" w:space="0" w:color="auto"/>
      </w:divBdr>
    </w:div>
    <w:div w:id="826752989">
      <w:bodyDiv w:val="1"/>
      <w:marLeft w:val="0"/>
      <w:marRight w:val="0"/>
      <w:marTop w:val="0"/>
      <w:marBottom w:val="0"/>
      <w:divBdr>
        <w:top w:val="none" w:sz="0" w:space="0" w:color="auto"/>
        <w:left w:val="none" w:sz="0" w:space="0" w:color="auto"/>
        <w:bottom w:val="none" w:sz="0" w:space="0" w:color="auto"/>
        <w:right w:val="none" w:sz="0" w:space="0" w:color="auto"/>
      </w:divBdr>
    </w:div>
    <w:div w:id="838689470">
      <w:bodyDiv w:val="1"/>
      <w:marLeft w:val="0"/>
      <w:marRight w:val="0"/>
      <w:marTop w:val="0"/>
      <w:marBottom w:val="0"/>
      <w:divBdr>
        <w:top w:val="none" w:sz="0" w:space="0" w:color="auto"/>
        <w:left w:val="none" w:sz="0" w:space="0" w:color="auto"/>
        <w:bottom w:val="none" w:sz="0" w:space="0" w:color="auto"/>
        <w:right w:val="none" w:sz="0" w:space="0" w:color="auto"/>
      </w:divBdr>
    </w:div>
    <w:div w:id="1164980107">
      <w:bodyDiv w:val="1"/>
      <w:marLeft w:val="0"/>
      <w:marRight w:val="0"/>
      <w:marTop w:val="0"/>
      <w:marBottom w:val="0"/>
      <w:divBdr>
        <w:top w:val="none" w:sz="0" w:space="0" w:color="auto"/>
        <w:left w:val="none" w:sz="0" w:space="0" w:color="auto"/>
        <w:bottom w:val="none" w:sz="0" w:space="0" w:color="auto"/>
        <w:right w:val="none" w:sz="0" w:space="0" w:color="auto"/>
      </w:divBdr>
    </w:div>
    <w:div w:id="1192184626">
      <w:bodyDiv w:val="1"/>
      <w:marLeft w:val="0"/>
      <w:marRight w:val="0"/>
      <w:marTop w:val="0"/>
      <w:marBottom w:val="0"/>
      <w:divBdr>
        <w:top w:val="none" w:sz="0" w:space="0" w:color="auto"/>
        <w:left w:val="none" w:sz="0" w:space="0" w:color="auto"/>
        <w:bottom w:val="none" w:sz="0" w:space="0" w:color="auto"/>
        <w:right w:val="none" w:sz="0" w:space="0" w:color="auto"/>
      </w:divBdr>
    </w:div>
    <w:div w:id="1281645663">
      <w:bodyDiv w:val="1"/>
      <w:marLeft w:val="0"/>
      <w:marRight w:val="0"/>
      <w:marTop w:val="0"/>
      <w:marBottom w:val="0"/>
      <w:divBdr>
        <w:top w:val="none" w:sz="0" w:space="0" w:color="auto"/>
        <w:left w:val="none" w:sz="0" w:space="0" w:color="auto"/>
        <w:bottom w:val="none" w:sz="0" w:space="0" w:color="auto"/>
        <w:right w:val="none" w:sz="0" w:space="0" w:color="auto"/>
      </w:divBdr>
    </w:div>
    <w:div w:id="1693919439">
      <w:bodyDiv w:val="1"/>
      <w:marLeft w:val="0"/>
      <w:marRight w:val="0"/>
      <w:marTop w:val="0"/>
      <w:marBottom w:val="0"/>
      <w:divBdr>
        <w:top w:val="none" w:sz="0" w:space="0" w:color="auto"/>
        <w:left w:val="none" w:sz="0" w:space="0" w:color="auto"/>
        <w:bottom w:val="none" w:sz="0" w:space="0" w:color="auto"/>
        <w:right w:val="none" w:sz="0" w:space="0" w:color="auto"/>
      </w:divBdr>
    </w:div>
    <w:div w:id="20959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ideas.repec.org/s/nbr/nberwo.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ideas.repec.org/p/nbr/nberwo/7095.html"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chart" Target="charts/chart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deas.repec.org/s/nbr/nberwo.html" TargetMode="External"/><Relationship Id="rId1" Type="http://schemas.openxmlformats.org/officeDocument/2006/relationships/hyperlink" Target="http://ideas.repec.org/p/nbr/nberwo/7095.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D\Desktop\otpremnine\otpremi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D\Desktop\otpremnine\otpremi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D\Desktop\otpremnine\otprem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bar"/>
        <c:grouping val="clustered"/>
        <c:varyColors val="1"/>
        <c:ser>
          <c:idx val="0"/>
          <c:order val="0"/>
          <c:invertIfNegative val="1"/>
          <c:dLbls>
            <c:dLbl>
              <c:idx val="0"/>
              <c:tx>
                <c:rich>
                  <a:bodyPr/>
                  <a:lstStyle/>
                  <a:p>
                    <a:r>
                      <a:rPr lang="en-US"/>
                      <a:t>Povoljni financijski uvjeti</a:t>
                    </a:r>
                  </a:p>
                </c:rich>
              </c:tx>
              <c:showLegendKey val="1"/>
              <c:showVal val="1"/>
              <c:showCatName val="1"/>
              <c:showSerName val="1"/>
              <c:showPercent val="1"/>
              <c:showBubbleSize val="1"/>
            </c:dLbl>
            <c:dLbl>
              <c:idx val="1"/>
              <c:layout>
                <c:manualLayout>
                  <c:x val="4.2074119847947261E-2"/>
                  <c:y val="3.067335007566898E-2"/>
                </c:manualLayout>
              </c:layout>
              <c:tx>
                <c:rich>
                  <a:bodyPr/>
                  <a:lstStyle/>
                  <a:p>
                    <a:r>
                      <a:rPr lang="en-US"/>
                      <a:t>Ostali bez posla, ne mogu naći drugi, otkaz, stečaj ili </a:t>
                    </a:r>
                    <a:r>
                      <a:rPr lang="hr-HR"/>
                      <a:t>likvidacija</a:t>
                    </a:r>
                    <a:r>
                      <a:rPr lang="en-US"/>
                      <a:t> </a:t>
                    </a:r>
                    <a:r>
                      <a:rPr lang="hr-HR"/>
                      <a:t>poslodavca</a:t>
                    </a:r>
                    <a:endParaRPr lang="en-US"/>
                  </a:p>
                </c:rich>
              </c:tx>
              <c:showLegendKey val="1"/>
              <c:showVal val="1"/>
              <c:showCatName val="1"/>
              <c:showSerName val="1"/>
              <c:showPercent val="1"/>
              <c:showBubbleSize val="1"/>
            </c:dLbl>
            <c:dLbl>
              <c:idx val="2"/>
              <c:tx>
                <c:rich>
                  <a:bodyPr/>
                  <a:lstStyle/>
                  <a:p>
                    <a:r>
                      <a:rPr lang="en-US"/>
                      <a:t>Dosegnuli dob</a:t>
                    </a:r>
                  </a:p>
                </c:rich>
              </c:tx>
              <c:showLegendKey val="1"/>
              <c:showVal val="1"/>
              <c:showCatName val="1"/>
              <c:showSerName val="1"/>
              <c:showPercent val="1"/>
              <c:showBubbleSize val="1"/>
            </c:dLbl>
            <c:dLbl>
              <c:idx val="3"/>
              <c:tx>
                <c:rich>
                  <a:bodyPr/>
                  <a:lstStyle/>
                  <a:p>
                    <a:r>
                      <a:rPr lang="en-US"/>
                      <a:t>Ispunili uvjete za mirovinu (dobrovoljni odlazak)</a:t>
                    </a:r>
                  </a:p>
                </c:rich>
              </c:tx>
              <c:showLegendKey val="1"/>
              <c:showVal val="1"/>
              <c:showCatName val="1"/>
              <c:showSerName val="1"/>
              <c:showPercent val="1"/>
              <c:showBubbleSize val="1"/>
            </c:dLbl>
            <c:dLbl>
              <c:idx val="4"/>
              <c:tx>
                <c:rich>
                  <a:bodyPr/>
                  <a:lstStyle/>
                  <a:p>
                    <a:r>
                      <a:rPr lang="en-US"/>
                      <a:t>Ostali razlozi povezani s poslom</a:t>
                    </a:r>
                  </a:p>
                </c:rich>
              </c:tx>
              <c:showLegendKey val="1"/>
              <c:showVal val="1"/>
              <c:showCatName val="1"/>
              <c:showSerName val="1"/>
              <c:showPercent val="1"/>
              <c:showBubbleSize val="1"/>
            </c:dLbl>
            <c:dLbl>
              <c:idx val="5"/>
              <c:tx>
                <c:rich>
                  <a:bodyPr/>
                  <a:lstStyle/>
                  <a:p>
                    <a:r>
                      <a:rPr lang="en-US"/>
                      <a:t>Zdravstveni razlozi, invalidnost</a:t>
                    </a:r>
                  </a:p>
                </c:rich>
              </c:tx>
              <c:showLegendKey val="1"/>
              <c:showVal val="1"/>
              <c:showCatName val="1"/>
              <c:showSerName val="1"/>
              <c:showPercent val="1"/>
              <c:showBubbleSize val="1"/>
            </c:dLbl>
            <c:dLbl>
              <c:idx val="6"/>
              <c:layout>
                <c:manualLayout>
                  <c:x val="2.2144273604182588E-3"/>
                  <c:y val="-1.4058456380193858E-17"/>
                </c:manualLayout>
              </c:layout>
              <c:tx>
                <c:rich>
                  <a:bodyPr/>
                  <a:lstStyle/>
                  <a:p>
                    <a:r>
                      <a:rPr lang="en-US"/>
                      <a:t>Obiteljski razlozi ili skrb o drugim osobama</a:t>
                    </a:r>
                  </a:p>
                </c:rich>
              </c:tx>
              <c:showLegendKey val="1"/>
              <c:showVal val="1"/>
              <c:showCatName val="1"/>
              <c:showSerName val="1"/>
              <c:showPercent val="1"/>
              <c:showBubbleSize val="1"/>
            </c:dLbl>
            <c:dLbl>
              <c:idx val="7"/>
              <c:tx>
                <c:rich>
                  <a:bodyPr/>
                  <a:lstStyle/>
                  <a:p>
                    <a:r>
                      <a:rPr lang="en-US"/>
                      <a:t>Ostali razlozi</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Sheet1!$B$8:$B$15</c:f>
              <c:strCache>
                <c:ptCount val="8"/>
                <c:pt idx="0">
                  <c:v>Povoljni financijski uvjeti</c:v>
                </c:pt>
                <c:pt idx="1">
                  <c:v>Ostali bez posla, ne mogu naći drugi, otkaz, stečaj ili zatvaranje poduzeća</c:v>
                </c:pt>
                <c:pt idx="2">
                  <c:v>Dosegnuli najveću dob</c:v>
                </c:pt>
                <c:pt idx="3">
                  <c:v>Ispunili uvjete za mirovinu (dobrovoljni odlazak)</c:v>
                </c:pt>
                <c:pt idx="4">
                  <c:v>Ostali razlozi povezani s poslom</c:v>
                </c:pt>
                <c:pt idx="5">
                  <c:v>Zdravstveni razlozi, vlastita invalidnost </c:v>
                </c:pt>
                <c:pt idx="6">
                  <c:v>Obiteljski razlozi ili skrb o drugim osobama</c:v>
                </c:pt>
                <c:pt idx="7">
                  <c:v>Ostali razlozi </c:v>
                </c:pt>
              </c:strCache>
            </c:strRef>
          </c:cat>
          <c:val>
            <c:numRef>
              <c:f>Sheet1!$C$8:$C$15</c:f>
              <c:numCache>
                <c:formatCode>General</c:formatCode>
                <c:ptCount val="8"/>
                <c:pt idx="0">
                  <c:v>5.7</c:v>
                </c:pt>
                <c:pt idx="1">
                  <c:v>11.6</c:v>
                </c:pt>
                <c:pt idx="2">
                  <c:v>4.5</c:v>
                </c:pt>
                <c:pt idx="3">
                  <c:v>30.1</c:v>
                </c:pt>
                <c:pt idx="4">
                  <c:v>4.0999999999999996</c:v>
                </c:pt>
                <c:pt idx="5">
                  <c:v>38.799999999999997</c:v>
                </c:pt>
                <c:pt idx="6">
                  <c:v>3.2</c:v>
                </c:pt>
                <c:pt idx="7">
                  <c:v>2</c:v>
                </c:pt>
              </c:numCache>
            </c:numRef>
          </c:val>
        </c:ser>
        <c:dLbls>
          <c:showLegendKey val="0"/>
          <c:showVal val="0"/>
          <c:showCatName val="0"/>
          <c:showSerName val="0"/>
          <c:showPercent val="0"/>
          <c:showBubbleSize val="0"/>
        </c:dLbls>
        <c:gapWidth val="150"/>
        <c:axId val="167080320"/>
        <c:axId val="167081856"/>
      </c:barChart>
      <c:catAx>
        <c:axId val="167080320"/>
        <c:scaling>
          <c:orientation val="minMax"/>
        </c:scaling>
        <c:delete val="1"/>
        <c:axPos val="l"/>
        <c:majorTickMark val="cross"/>
        <c:minorTickMark val="cross"/>
        <c:tickLblPos val="nextTo"/>
        <c:crossAx val="167081856"/>
        <c:crosses val="autoZero"/>
        <c:auto val="1"/>
        <c:lblAlgn val="ctr"/>
        <c:lblOffset val="100"/>
        <c:noMultiLvlLbl val="1"/>
      </c:catAx>
      <c:valAx>
        <c:axId val="167081856"/>
        <c:scaling>
          <c:orientation val="minMax"/>
        </c:scaling>
        <c:delete val="1"/>
        <c:axPos val="b"/>
        <c:majorGridlines/>
        <c:numFmt formatCode="General" sourceLinked="1"/>
        <c:majorTickMark val="cross"/>
        <c:minorTickMark val="cross"/>
        <c:tickLblPos val="nextTo"/>
        <c:crossAx val="167080320"/>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bar"/>
        <c:grouping val="clustered"/>
        <c:varyColors val="1"/>
        <c:ser>
          <c:idx val="0"/>
          <c:order val="0"/>
          <c:invertIfNegative val="1"/>
          <c:dLbls>
            <c:dLbl>
              <c:idx val="0"/>
              <c:tx>
                <c:rich>
                  <a:bodyPr/>
                  <a:lstStyle/>
                  <a:p>
                    <a:r>
                      <a:rPr lang="en-US"/>
                      <a:t>Osobni, obiteljski razlozi</a:t>
                    </a:r>
                  </a:p>
                </c:rich>
              </c:tx>
              <c:showLegendKey val="1"/>
              <c:showVal val="1"/>
              <c:showCatName val="1"/>
              <c:showSerName val="1"/>
              <c:showPercent val="1"/>
              <c:showBubbleSize val="1"/>
            </c:dLbl>
            <c:dLbl>
              <c:idx val="1"/>
              <c:tx>
                <c:rich>
                  <a:bodyPr/>
                  <a:lstStyle/>
                  <a:p>
                    <a:r>
                      <a:rPr lang="en-US"/>
                      <a:t>Strah od gubitka posla i nemogućnost dobivanja novoga</a:t>
                    </a:r>
                  </a:p>
                </c:rich>
              </c:tx>
              <c:showLegendKey val="1"/>
              <c:showVal val="1"/>
              <c:showCatName val="1"/>
              <c:showSerName val="1"/>
              <c:showPercent val="1"/>
              <c:showBubbleSize val="1"/>
            </c:dLbl>
            <c:dLbl>
              <c:idx val="2"/>
              <c:tx>
                <c:rich>
                  <a:bodyPr/>
                  <a:lstStyle/>
                  <a:p>
                    <a:r>
                      <a:rPr lang="en-US"/>
                      <a:t>Ostvarivanje prava na otpremninu</a:t>
                    </a:r>
                  </a:p>
                </c:rich>
              </c:tx>
              <c:showLegendKey val="1"/>
              <c:showVal val="1"/>
              <c:showCatName val="1"/>
              <c:showSerName val="1"/>
              <c:showPercent val="1"/>
              <c:showBubbleSize val="1"/>
            </c:dLbl>
            <c:dLbl>
              <c:idx val="3"/>
              <c:tx>
                <c:rich>
                  <a:bodyPr/>
                  <a:lstStyle/>
                  <a:p>
                    <a:r>
                      <a:rPr lang="en-US"/>
                      <a:t>Uvjeti za odlazak u mirovinu mogli bi biti nepovoljniji</a:t>
                    </a:r>
                  </a:p>
                </c:rich>
              </c:tx>
              <c:showLegendKey val="1"/>
              <c:showVal val="1"/>
              <c:showCatName val="1"/>
              <c:showSerName val="1"/>
              <c:showPercent val="1"/>
              <c:showBubbleSize val="1"/>
            </c:dLbl>
            <c:dLbl>
              <c:idx val="4"/>
              <c:tx>
                <c:rich>
                  <a:bodyPr/>
                  <a:lstStyle/>
                  <a:p>
                    <a:r>
                      <a:rPr lang="en-US"/>
                      <a:t>Smanjenje iznosa mirovine s vremenom</a:t>
                    </a:r>
                  </a:p>
                </c:rich>
              </c:tx>
              <c:showLegendKey val="1"/>
              <c:showVal val="1"/>
              <c:showCatName val="1"/>
              <c:showSerName val="1"/>
              <c:showPercent val="1"/>
              <c:showBubbleSize val="1"/>
            </c:dLbl>
            <c:dLbl>
              <c:idx val="5"/>
              <c:tx>
                <c:rich>
                  <a:bodyPr/>
                  <a:lstStyle/>
                  <a:p>
                    <a:r>
                      <a:rPr lang="en-US"/>
                      <a:t>Teški uvjeti rada na poslu</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Sheet1!$B$27:$B$32</c:f>
              <c:strCache>
                <c:ptCount val="6"/>
                <c:pt idx="0">
                  <c:v>Osobni, obiteljski razlozi</c:v>
                </c:pt>
                <c:pt idx="1">
                  <c:v>Strah od gubitka posla i nemogućnost dobivanja novoga</c:v>
                </c:pt>
                <c:pt idx="2">
                  <c:v>Ostvarivanje prava na otpremninu</c:v>
                </c:pt>
                <c:pt idx="3">
                  <c:v>Uvjeti za odlazak u mirovinu mogli bi biti nepovoljniji</c:v>
                </c:pt>
                <c:pt idx="4">
                  <c:v>Smanjenje iznosa mirovine s vremenom</c:v>
                </c:pt>
                <c:pt idx="5">
                  <c:v>Teški uvjeti rada na poslu</c:v>
                </c:pt>
              </c:strCache>
            </c:strRef>
          </c:cat>
          <c:val>
            <c:numRef>
              <c:f>Sheet1!$C$27:$C$32</c:f>
              <c:numCache>
                <c:formatCode>General</c:formatCode>
                <c:ptCount val="6"/>
                <c:pt idx="0">
                  <c:v>30</c:v>
                </c:pt>
                <c:pt idx="1">
                  <c:v>10.8</c:v>
                </c:pt>
                <c:pt idx="2">
                  <c:v>13.1</c:v>
                </c:pt>
                <c:pt idx="3">
                  <c:v>21.6</c:v>
                </c:pt>
                <c:pt idx="4">
                  <c:v>6.6</c:v>
                </c:pt>
                <c:pt idx="5">
                  <c:v>12.7</c:v>
                </c:pt>
              </c:numCache>
            </c:numRef>
          </c:val>
        </c:ser>
        <c:dLbls>
          <c:showLegendKey val="0"/>
          <c:showVal val="0"/>
          <c:showCatName val="0"/>
          <c:showSerName val="0"/>
          <c:showPercent val="0"/>
          <c:showBubbleSize val="0"/>
        </c:dLbls>
        <c:gapWidth val="150"/>
        <c:axId val="53872512"/>
        <c:axId val="53874048"/>
      </c:barChart>
      <c:catAx>
        <c:axId val="53872512"/>
        <c:scaling>
          <c:orientation val="minMax"/>
        </c:scaling>
        <c:delete val="1"/>
        <c:axPos val="l"/>
        <c:majorTickMark val="cross"/>
        <c:minorTickMark val="cross"/>
        <c:tickLblPos val="nextTo"/>
        <c:crossAx val="53874048"/>
        <c:crosses val="autoZero"/>
        <c:auto val="1"/>
        <c:lblAlgn val="ctr"/>
        <c:lblOffset val="100"/>
        <c:noMultiLvlLbl val="1"/>
      </c:catAx>
      <c:valAx>
        <c:axId val="53874048"/>
        <c:scaling>
          <c:orientation val="minMax"/>
        </c:scaling>
        <c:delete val="1"/>
        <c:axPos val="b"/>
        <c:majorGridlines/>
        <c:numFmt formatCode="General" sourceLinked="1"/>
        <c:majorTickMark val="cross"/>
        <c:minorTickMark val="cross"/>
        <c:tickLblPos val="nextTo"/>
        <c:crossAx val="53872512"/>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'porezni obračun'!$AC$40</c:f>
              <c:strCache>
                <c:ptCount val="1"/>
                <c:pt idx="0">
                  <c:v>30god10000</c:v>
                </c:pt>
              </c:strCache>
            </c:strRef>
          </c:tx>
          <c:invertIfNegative val="1"/>
          <c:cat>
            <c:numRef>
              <c:f>'porezni obračun'!$AD$39:$AH$39</c:f>
              <c:numCache>
                <c:formatCode>0%</c:formatCode>
                <c:ptCount val="5"/>
                <c:pt idx="0">
                  <c:v>0.01</c:v>
                </c:pt>
                <c:pt idx="1">
                  <c:v>0.02</c:v>
                </c:pt>
                <c:pt idx="2">
                  <c:v>0.03</c:v>
                </c:pt>
                <c:pt idx="3">
                  <c:v>0.04</c:v>
                </c:pt>
                <c:pt idx="4">
                  <c:v>0.05</c:v>
                </c:pt>
              </c:numCache>
            </c:numRef>
          </c:cat>
          <c:val>
            <c:numRef>
              <c:f>'porezni obračun'!$AD$40:$AH$40</c:f>
              <c:numCache>
                <c:formatCode>General</c:formatCode>
                <c:ptCount val="5"/>
                <c:pt idx="0">
                  <c:v>63214.911737744027</c:v>
                </c:pt>
                <c:pt idx="1">
                  <c:v>74419.063011837177</c:v>
                </c:pt>
                <c:pt idx="2">
                  <c:v>88077.566182196533</c:v>
                </c:pt>
                <c:pt idx="3">
                  <c:v>104766.46056474837</c:v>
                </c:pt>
                <c:pt idx="4">
                  <c:v>125198.96957711066</c:v>
                </c:pt>
              </c:numCache>
            </c:numRef>
          </c:val>
        </c:ser>
        <c:dLbls>
          <c:showLegendKey val="0"/>
          <c:showVal val="0"/>
          <c:showCatName val="0"/>
          <c:showSerName val="0"/>
          <c:showPercent val="0"/>
          <c:showBubbleSize val="0"/>
        </c:dLbls>
        <c:gapWidth val="150"/>
        <c:axId val="53895552"/>
        <c:axId val="53897088"/>
      </c:barChart>
      <c:lineChart>
        <c:grouping val="standard"/>
        <c:varyColors val="1"/>
        <c:ser>
          <c:idx val="1"/>
          <c:order val="1"/>
          <c:tx>
            <c:strRef>
              <c:f>'porezni obračun'!$AC$41</c:f>
              <c:strCache>
                <c:ptCount val="1"/>
                <c:pt idx="0">
                  <c:v>30godst10000</c:v>
                </c:pt>
              </c:strCache>
            </c:strRef>
          </c:tx>
          <c:marker>
            <c:symbol val="none"/>
          </c:marker>
          <c:cat>
            <c:numRef>
              <c:f>'porezni obračun'!$AD$39:$AH$39</c:f>
              <c:numCache>
                <c:formatCode>0%</c:formatCode>
                <c:ptCount val="5"/>
                <c:pt idx="0">
                  <c:v>0.01</c:v>
                </c:pt>
                <c:pt idx="1">
                  <c:v>0.02</c:v>
                </c:pt>
                <c:pt idx="2">
                  <c:v>0.03</c:v>
                </c:pt>
                <c:pt idx="3">
                  <c:v>0.04</c:v>
                </c:pt>
                <c:pt idx="4">
                  <c:v>0.05</c:v>
                </c:pt>
              </c:numCache>
            </c:numRef>
          </c:cat>
          <c:val>
            <c:numRef>
              <c:f>'porezni obračun'!$AD$41:$AH$41</c:f>
              <c:numCache>
                <c:formatCode>General</c:formatCode>
                <c:ptCount val="5"/>
                <c:pt idx="0">
                  <c:v>60000</c:v>
                </c:pt>
                <c:pt idx="1">
                  <c:v>60000</c:v>
                </c:pt>
                <c:pt idx="2">
                  <c:v>60000</c:v>
                </c:pt>
                <c:pt idx="3">
                  <c:v>60000</c:v>
                </c:pt>
                <c:pt idx="4">
                  <c:v>60000</c:v>
                </c:pt>
              </c:numCache>
            </c:numRef>
          </c:val>
          <c:smooth val="1"/>
        </c:ser>
        <c:dLbls>
          <c:showLegendKey val="0"/>
          <c:showVal val="0"/>
          <c:showCatName val="0"/>
          <c:showSerName val="0"/>
          <c:showPercent val="0"/>
          <c:showBubbleSize val="0"/>
        </c:dLbls>
        <c:marker val="1"/>
        <c:smooth val="0"/>
        <c:axId val="53895552"/>
        <c:axId val="53897088"/>
      </c:lineChart>
      <c:catAx>
        <c:axId val="53895552"/>
        <c:scaling>
          <c:orientation val="minMax"/>
        </c:scaling>
        <c:delete val="1"/>
        <c:axPos val="b"/>
        <c:numFmt formatCode="0%" sourceLinked="1"/>
        <c:majorTickMark val="cross"/>
        <c:minorTickMark val="cross"/>
        <c:tickLblPos val="nextTo"/>
        <c:crossAx val="53897088"/>
        <c:crosses val="autoZero"/>
        <c:auto val="1"/>
        <c:lblAlgn val="ctr"/>
        <c:lblOffset val="100"/>
        <c:noMultiLvlLbl val="1"/>
      </c:catAx>
      <c:valAx>
        <c:axId val="53897088"/>
        <c:scaling>
          <c:orientation val="minMax"/>
        </c:scaling>
        <c:delete val="1"/>
        <c:axPos val="l"/>
        <c:majorGridlines/>
        <c:numFmt formatCode="General" sourceLinked="1"/>
        <c:majorTickMark val="cross"/>
        <c:minorTickMark val="cross"/>
        <c:tickLblPos val="nextTo"/>
        <c:crossAx val="53895552"/>
        <c:crosses val="autoZero"/>
        <c:crossBetween val="between"/>
      </c:valAx>
    </c:plotArea>
    <c:legend>
      <c:legendPos val="r"/>
      <c:overlay val="1"/>
    </c:legend>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fondovi!$E$8</c:f>
              <c:strCache>
                <c:ptCount val="1"/>
                <c:pt idx="0">
                  <c:v>2013</c:v>
                </c:pt>
              </c:strCache>
            </c:strRef>
          </c:tx>
          <c:invertIfNegative val="1"/>
          <c:dLbls>
            <c:showLegendKey val="1"/>
            <c:showVal val="1"/>
            <c:showCatName val="1"/>
            <c:showSerName val="1"/>
            <c:showPercent val="1"/>
            <c:showBubbleSize val="1"/>
            <c:showLeaderLines val="0"/>
          </c:dLbls>
          <c:cat>
            <c:strRef>
              <c:f>fondovi!$D$9:$D$12</c:f>
              <c:strCache>
                <c:ptCount val="4"/>
                <c:pt idx="0">
                  <c:v>AZ</c:v>
                </c:pt>
                <c:pt idx="1">
                  <c:v>Erste plavi</c:v>
                </c:pt>
                <c:pt idx="2">
                  <c:v>PBZ CO</c:v>
                </c:pt>
                <c:pt idx="3">
                  <c:v>Raiffeisen OMF</c:v>
                </c:pt>
              </c:strCache>
            </c:strRef>
          </c:cat>
          <c:val>
            <c:numRef>
              <c:f>fondovi!$E$9:$E$12</c:f>
              <c:numCache>
                <c:formatCode>General</c:formatCode>
                <c:ptCount val="4"/>
                <c:pt idx="0">
                  <c:v>2.62</c:v>
                </c:pt>
                <c:pt idx="1">
                  <c:v>1.76</c:v>
                </c:pt>
                <c:pt idx="2">
                  <c:v>2.1</c:v>
                </c:pt>
                <c:pt idx="3">
                  <c:v>0.93</c:v>
                </c:pt>
              </c:numCache>
            </c:numRef>
          </c:val>
        </c:ser>
        <c:ser>
          <c:idx val="1"/>
          <c:order val="1"/>
          <c:tx>
            <c:strRef>
              <c:f>fondovi!$F$8</c:f>
              <c:strCache>
                <c:ptCount val="1"/>
                <c:pt idx="0">
                  <c:v>PGP</c:v>
                </c:pt>
              </c:strCache>
            </c:strRef>
          </c:tx>
          <c:invertIfNegative val="1"/>
          <c:dLbls>
            <c:showLegendKey val="1"/>
            <c:showVal val="1"/>
            <c:showCatName val="1"/>
            <c:showSerName val="1"/>
            <c:showPercent val="1"/>
            <c:showBubbleSize val="1"/>
            <c:showLeaderLines val="0"/>
          </c:dLbls>
          <c:cat>
            <c:strRef>
              <c:f>fondovi!$D$9:$D$12</c:f>
              <c:strCache>
                <c:ptCount val="4"/>
                <c:pt idx="0">
                  <c:v>AZ</c:v>
                </c:pt>
                <c:pt idx="1">
                  <c:v>Erste plavi</c:v>
                </c:pt>
                <c:pt idx="2">
                  <c:v>PBZ CO</c:v>
                </c:pt>
                <c:pt idx="3">
                  <c:v>Raiffeisen OMF</c:v>
                </c:pt>
              </c:strCache>
            </c:strRef>
          </c:cat>
          <c:val>
            <c:numRef>
              <c:f>fondovi!$F$9:$F$12</c:f>
              <c:numCache>
                <c:formatCode>General</c:formatCode>
                <c:ptCount val="4"/>
                <c:pt idx="0">
                  <c:v>5.22</c:v>
                </c:pt>
                <c:pt idx="1">
                  <c:v>5.2</c:v>
                </c:pt>
                <c:pt idx="2">
                  <c:v>4.32</c:v>
                </c:pt>
                <c:pt idx="3">
                  <c:v>4.8099999999999996</c:v>
                </c:pt>
              </c:numCache>
            </c:numRef>
          </c:val>
        </c:ser>
        <c:dLbls>
          <c:showLegendKey val="0"/>
          <c:showVal val="0"/>
          <c:showCatName val="0"/>
          <c:showSerName val="0"/>
          <c:showPercent val="0"/>
          <c:showBubbleSize val="0"/>
        </c:dLbls>
        <c:gapWidth val="150"/>
        <c:axId val="53918720"/>
        <c:axId val="169612032"/>
      </c:barChart>
      <c:catAx>
        <c:axId val="53918720"/>
        <c:scaling>
          <c:orientation val="minMax"/>
        </c:scaling>
        <c:delete val="1"/>
        <c:axPos val="b"/>
        <c:majorTickMark val="cross"/>
        <c:minorTickMark val="cross"/>
        <c:tickLblPos val="nextTo"/>
        <c:crossAx val="169612032"/>
        <c:crosses val="autoZero"/>
        <c:auto val="1"/>
        <c:lblAlgn val="ctr"/>
        <c:lblOffset val="100"/>
        <c:noMultiLvlLbl val="1"/>
      </c:catAx>
      <c:valAx>
        <c:axId val="169612032"/>
        <c:scaling>
          <c:orientation val="minMax"/>
        </c:scaling>
        <c:delete val="1"/>
        <c:axPos val="l"/>
        <c:majorGridlines/>
        <c:numFmt formatCode="General" sourceLinked="1"/>
        <c:majorTickMark val="cross"/>
        <c:minorTickMark val="cross"/>
        <c:tickLblPos val="nextTo"/>
        <c:crossAx val="53918720"/>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52B9-0FA3-4937-96E5-65815A05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22626</Words>
  <Characters>128974</Characters>
  <Application>Microsoft Office Word</Application>
  <DocSecurity>0</DocSecurity>
  <Lines>1074</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15</vt:lpstr>
      <vt:lpstr>15</vt:lpstr>
    </vt:vector>
  </TitlesOfParts>
  <Company>The World Bank Group</Company>
  <LinksUpToDate>false</LinksUpToDate>
  <CharactersWithSpaces>151298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viktor</dc:creator>
  <cp:lastModifiedBy>WB456288</cp:lastModifiedBy>
  <cp:revision>5</cp:revision>
  <cp:lastPrinted>2013-08-26T07:15:00Z</cp:lastPrinted>
  <dcterms:created xsi:type="dcterms:W3CDTF">2013-09-22T19:39:00Z</dcterms:created>
  <dcterms:modified xsi:type="dcterms:W3CDTF">2013-10-03T13:45:00Z</dcterms:modified>
</cp:coreProperties>
</file>